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54E60" w14:textId="15719D9D" w:rsidR="00E24AA1" w:rsidRDefault="00742B5A" w:rsidP="00A40C21">
      <w:pPr>
        <w:pStyle w:val="Baseparagraphcentred"/>
        <w:spacing w:before="720"/>
      </w:pPr>
      <w:bookmarkStart w:id="0" w:name="_Toc78548463"/>
      <w:bookmarkStart w:id="1" w:name="_Toc78549734"/>
      <w:bookmarkStart w:id="2" w:name="_Toc78549779"/>
      <w:bookmarkStart w:id="3" w:name="_Toc80097481"/>
      <w:bookmarkStart w:id="4" w:name="_Toc80097775"/>
      <w:bookmarkStart w:id="5" w:name="_Hlk81640909"/>
      <w:r>
        <w:t>2022</w:t>
      </w:r>
    </w:p>
    <w:p w14:paraId="549C81C8" w14:textId="77777777" w:rsidR="00E24AA1" w:rsidRDefault="00E24AA1" w:rsidP="00A40C21">
      <w:pPr>
        <w:pStyle w:val="Baseparagraphcentred"/>
      </w:pPr>
    </w:p>
    <w:p w14:paraId="132BA562" w14:textId="77777777" w:rsidR="00E24AA1" w:rsidRDefault="00E24AA1" w:rsidP="00A40C21">
      <w:pPr>
        <w:pStyle w:val="Baseparagraphcentred"/>
      </w:pPr>
      <w:r>
        <w:t>THE PARLIAMENT OF THE COMMONWEALTH OF AUSTRALIA</w:t>
      </w:r>
    </w:p>
    <w:p w14:paraId="0C745E45" w14:textId="77777777" w:rsidR="00E24AA1" w:rsidRDefault="00E24AA1" w:rsidP="00A40C21">
      <w:pPr>
        <w:pStyle w:val="Baseparagraphcentred"/>
      </w:pPr>
    </w:p>
    <w:p w14:paraId="67514359" w14:textId="77777777" w:rsidR="00E24AA1" w:rsidRDefault="00E24AA1" w:rsidP="00A40C21">
      <w:pPr>
        <w:pStyle w:val="Baseparagraphcentred"/>
      </w:pPr>
    </w:p>
    <w:p w14:paraId="339195B5" w14:textId="77777777" w:rsidR="00E24AA1" w:rsidRDefault="00E24AA1" w:rsidP="00A40C21">
      <w:pPr>
        <w:pStyle w:val="Baseparagraphcentred"/>
      </w:pPr>
    </w:p>
    <w:p w14:paraId="73291B90" w14:textId="6E615CF2" w:rsidR="00E24AA1" w:rsidRDefault="00742B5A" w:rsidP="00A40C21">
      <w:pPr>
        <w:pStyle w:val="Baseparagraphcentred"/>
      </w:pPr>
      <w:r>
        <w:t>HOUSE OF REPRESENTATIVES</w:t>
      </w:r>
    </w:p>
    <w:p w14:paraId="0B136937" w14:textId="77777777" w:rsidR="00E24AA1" w:rsidRDefault="00E24AA1" w:rsidP="00A40C21">
      <w:pPr>
        <w:pStyle w:val="Baseparagraphcentred"/>
      </w:pPr>
    </w:p>
    <w:p w14:paraId="02B806E0" w14:textId="77777777" w:rsidR="00E24AA1" w:rsidRDefault="00E24AA1" w:rsidP="00A40C21">
      <w:pPr>
        <w:pStyle w:val="Baseparagraphcentred"/>
      </w:pPr>
    </w:p>
    <w:p w14:paraId="68EC7313" w14:textId="77777777" w:rsidR="00E24AA1" w:rsidRDefault="00E24AA1" w:rsidP="00A40C21">
      <w:pPr>
        <w:pStyle w:val="Baseparagraphcentred"/>
        <w:pBdr>
          <w:bottom w:val="single" w:sz="4" w:space="1" w:color="auto"/>
        </w:pBdr>
      </w:pPr>
    </w:p>
    <w:p w14:paraId="5207867B" w14:textId="1B103F6F" w:rsidR="00E24AA1" w:rsidRPr="00E24AA1" w:rsidRDefault="00BE12B0" w:rsidP="00A40C21">
      <w:pPr>
        <w:pStyle w:val="BillName"/>
      </w:pPr>
      <w:bookmarkStart w:id="6" w:name="BillName"/>
      <w:bookmarkEnd w:id="6"/>
      <w:r w:rsidRPr="00BE12B0">
        <w:t>Treasury Laws Amendment (Miscellaneous and Technical Amendments) Bill 2022</w:t>
      </w:r>
    </w:p>
    <w:p w14:paraId="05BF00B7" w14:textId="77777777" w:rsidR="00E24AA1" w:rsidRDefault="00E24AA1" w:rsidP="00A40C21">
      <w:pPr>
        <w:pStyle w:val="Baseparagraphcentred"/>
        <w:pBdr>
          <w:top w:val="single" w:sz="4" w:space="1" w:color="auto"/>
        </w:pBdr>
      </w:pPr>
    </w:p>
    <w:p w14:paraId="0B8B32C4" w14:textId="77777777" w:rsidR="00E24AA1" w:rsidRDefault="00E24AA1" w:rsidP="00A40C21">
      <w:pPr>
        <w:pStyle w:val="Baseparagraphcentred"/>
      </w:pPr>
    </w:p>
    <w:p w14:paraId="76274B36" w14:textId="77777777" w:rsidR="00E24AA1" w:rsidRDefault="00E24AA1" w:rsidP="00A40C21">
      <w:pPr>
        <w:pStyle w:val="Baseparagraphcentred"/>
      </w:pPr>
    </w:p>
    <w:p w14:paraId="5C7D57CB" w14:textId="77777777" w:rsidR="00E24AA1" w:rsidRDefault="00E24AA1" w:rsidP="00A40C21">
      <w:pPr>
        <w:pStyle w:val="Baseparagraphcentred"/>
      </w:pPr>
    </w:p>
    <w:p w14:paraId="5B86CDC8" w14:textId="77777777" w:rsidR="00E0261D" w:rsidRDefault="00E0261D" w:rsidP="00A40C21">
      <w:pPr>
        <w:pStyle w:val="Baseparagraphcentred"/>
      </w:pPr>
      <w:r>
        <w:t>EXPOSURE DRAFT EXPLANATORY MATERIALS</w:t>
      </w:r>
    </w:p>
    <w:p w14:paraId="77982255" w14:textId="69EA45DB" w:rsidR="00E24AA1" w:rsidRDefault="00E24AA1" w:rsidP="00A40C21">
      <w:pPr>
        <w:pStyle w:val="Baseparagraphcentred"/>
      </w:pPr>
    </w:p>
    <w:p w14:paraId="226A1057" w14:textId="77777777" w:rsidR="00E24AA1" w:rsidRDefault="00E24AA1" w:rsidP="00A40C21">
      <w:pPr>
        <w:pStyle w:val="Baseparagraphcentred"/>
      </w:pPr>
    </w:p>
    <w:p w14:paraId="5A019E04" w14:textId="77777777" w:rsidR="00E24AA1" w:rsidRDefault="00E24AA1" w:rsidP="00A40C21">
      <w:pPr>
        <w:pStyle w:val="ParaCentredNoSpacing"/>
      </w:pPr>
    </w:p>
    <w:p w14:paraId="0B17D314" w14:textId="77777777" w:rsidR="00E24AA1" w:rsidRPr="00967273" w:rsidRDefault="00E24AA1" w:rsidP="00A40C21">
      <w:pPr>
        <w:pStyle w:val="Normalparatextnonumbers"/>
        <w:jc w:val="center"/>
        <w:rPr>
          <w:rFonts w:cs="Calibri"/>
          <w:color w:val="000000" w:themeColor="text1"/>
        </w:rPr>
      </w:pPr>
    </w:p>
    <w:p w14:paraId="7C1B32D5" w14:textId="77777777" w:rsidR="00873094" w:rsidRDefault="00873094" w:rsidP="00A40C21">
      <w:pPr>
        <w:pStyle w:val="Normalparatextnonumbers"/>
      </w:pPr>
    </w:p>
    <w:p w14:paraId="3A7A113C" w14:textId="77777777" w:rsidR="00E24AA1" w:rsidRPr="00020288" w:rsidRDefault="00E24AA1" w:rsidP="00A40C21">
      <w:pPr>
        <w:pStyle w:val="Normalparatextnonumbers"/>
      </w:pPr>
    </w:p>
    <w:p w14:paraId="77F40E60" w14:textId="77777777" w:rsidR="00873094" w:rsidRPr="00020288" w:rsidRDefault="00873094" w:rsidP="00A40C21">
      <w:pPr>
        <w:pStyle w:val="TOC1"/>
        <w:sectPr w:rsidR="00873094" w:rsidRPr="00020288" w:rsidSect="00000BFC">
          <w:headerReference w:type="first" r:id="rId8"/>
          <w:footerReference w:type="first" r:id="rId9"/>
          <w:type w:val="oddPage"/>
          <w:pgSz w:w="9979" w:h="14175" w:code="138"/>
          <w:pgMar w:top="567" w:right="1134" w:bottom="567" w:left="1134" w:header="709" w:footer="709" w:gutter="0"/>
          <w:cols w:space="708"/>
          <w:titlePg/>
          <w:docGrid w:linePitch="360"/>
        </w:sectPr>
      </w:pPr>
    </w:p>
    <w:p w14:paraId="68D86212" w14:textId="77777777" w:rsidR="00873094" w:rsidRPr="00020288" w:rsidRDefault="00873094" w:rsidP="00A40C21">
      <w:pPr>
        <w:pStyle w:val="TOCHeading"/>
      </w:pPr>
      <w:bookmarkStart w:id="7" w:name="_Toc80172450"/>
      <w:bookmarkStart w:id="8" w:name="_Toc80197114"/>
      <w:bookmarkStart w:id="9" w:name="_Toc81852681"/>
      <w:bookmarkEnd w:id="0"/>
      <w:bookmarkEnd w:id="1"/>
      <w:bookmarkEnd w:id="2"/>
      <w:bookmarkEnd w:id="3"/>
      <w:bookmarkEnd w:id="4"/>
      <w:r w:rsidRPr="00020288">
        <w:lastRenderedPageBreak/>
        <w:t>Table of Contents</w:t>
      </w:r>
      <w:bookmarkStart w:id="10" w:name="_Toc78549733"/>
      <w:bookmarkStart w:id="11" w:name="_Toc78549778"/>
      <w:bookmarkStart w:id="12" w:name="_Toc80097483"/>
      <w:bookmarkStart w:id="13" w:name="_Toc80097777"/>
      <w:bookmarkStart w:id="14" w:name="_Toc80115276"/>
      <w:bookmarkStart w:id="15" w:name="_Toc80172451"/>
      <w:bookmarkStart w:id="16" w:name="_Toc80197115"/>
      <w:bookmarkStart w:id="17" w:name="_Toc81852682"/>
      <w:bookmarkStart w:id="18" w:name="_Toc81852727"/>
      <w:bookmarkEnd w:id="7"/>
      <w:bookmarkEnd w:id="8"/>
      <w:bookmarkEnd w:id="9"/>
    </w:p>
    <w:p w14:paraId="43BBC9C6" w14:textId="2E1242FA" w:rsidR="00E0261D" w:rsidRDefault="00873094" w:rsidP="00E0261D">
      <w:pPr>
        <w:pStyle w:val="TOC1"/>
        <w:tabs>
          <w:tab w:val="clear" w:pos="7655"/>
          <w:tab w:val="right" w:leader="dot" w:pos="7654"/>
        </w:tabs>
        <w:ind w:left="0" w:firstLine="0"/>
        <w:rPr>
          <w:rFonts w:asciiTheme="minorHAnsi" w:eastAsiaTheme="minorEastAsia" w:hAnsiTheme="minorHAnsi" w:cstheme="minorBidi"/>
          <w:bCs w:val="0"/>
          <w:noProof/>
          <w:sz w:val="22"/>
          <w:szCs w:val="22"/>
          <w:lang w:eastAsia="en-AU"/>
        </w:rPr>
      </w:pPr>
      <w:r w:rsidRPr="00BC2E4A">
        <w:fldChar w:fldCharType="begin"/>
      </w:r>
      <w:r w:rsidRPr="00BC2E4A">
        <w:instrText xml:space="preserve"> TOC \o "1-1" \u </w:instrText>
      </w:r>
      <w:r w:rsidRPr="00BC2E4A">
        <w:fldChar w:fldCharType="separate"/>
      </w:r>
      <w:r w:rsidR="00E0261D">
        <w:rPr>
          <w:noProof/>
        </w:rPr>
        <w:t>Glossary</w:t>
      </w:r>
      <w:r w:rsidR="00E0261D">
        <w:rPr>
          <w:noProof/>
        </w:rPr>
        <w:tab/>
      </w:r>
      <w:r w:rsidR="00E0261D">
        <w:rPr>
          <w:noProof/>
        </w:rPr>
        <w:fldChar w:fldCharType="begin"/>
      </w:r>
      <w:r w:rsidR="00E0261D">
        <w:rPr>
          <w:noProof/>
        </w:rPr>
        <w:instrText xml:space="preserve"> PAGEREF _Toc111132342 \h </w:instrText>
      </w:r>
      <w:r w:rsidR="00E0261D">
        <w:rPr>
          <w:noProof/>
        </w:rPr>
      </w:r>
      <w:r w:rsidR="00E0261D">
        <w:rPr>
          <w:noProof/>
        </w:rPr>
        <w:fldChar w:fldCharType="separate"/>
      </w:r>
      <w:r w:rsidR="006A7DE3">
        <w:rPr>
          <w:noProof/>
        </w:rPr>
        <w:t>iii</w:t>
      </w:r>
      <w:r w:rsidR="00E0261D">
        <w:rPr>
          <w:noProof/>
        </w:rPr>
        <w:fldChar w:fldCharType="end"/>
      </w:r>
    </w:p>
    <w:p w14:paraId="163891BD" w14:textId="549A3DE6" w:rsidR="00E0261D" w:rsidRDefault="00E0261D" w:rsidP="00E0261D">
      <w:pPr>
        <w:pStyle w:val="TOC1"/>
        <w:tabs>
          <w:tab w:val="clear" w:pos="7655"/>
          <w:tab w:val="left" w:pos="1757"/>
          <w:tab w:val="right" w:leader="dot" w:pos="7654"/>
        </w:tabs>
        <w:rPr>
          <w:rFonts w:asciiTheme="minorHAnsi" w:eastAsiaTheme="minorEastAsia" w:hAnsiTheme="minorHAnsi" w:cstheme="minorBidi"/>
          <w:bCs w:val="0"/>
          <w:noProof/>
          <w:sz w:val="22"/>
          <w:szCs w:val="22"/>
          <w:lang w:eastAsia="en-AU"/>
        </w:rPr>
      </w:pPr>
      <w:r w:rsidRPr="0023453D">
        <w:rPr>
          <w:noProof/>
          <w14:scene3d>
            <w14:camera w14:prst="orthographicFront"/>
            <w14:lightRig w14:rig="threePt" w14:dir="t">
              <w14:rot w14:lat="0" w14:lon="0" w14:rev="0"/>
            </w14:lightRig>
          </w14:scene3d>
        </w:rPr>
        <w:t>Chapter 1:</w:t>
      </w:r>
      <w:r>
        <w:rPr>
          <w:rFonts w:asciiTheme="minorHAnsi" w:eastAsiaTheme="minorEastAsia" w:hAnsiTheme="minorHAnsi" w:cstheme="minorBidi"/>
          <w:bCs w:val="0"/>
          <w:noProof/>
          <w:sz w:val="22"/>
          <w:szCs w:val="22"/>
          <w:lang w:eastAsia="en-AU"/>
        </w:rPr>
        <w:tab/>
      </w:r>
      <w:r>
        <w:rPr>
          <w:noProof/>
        </w:rPr>
        <w:t>Miscellaneous and technical amendments</w:t>
      </w:r>
      <w:r>
        <w:rPr>
          <w:noProof/>
        </w:rPr>
        <w:tab/>
      </w:r>
      <w:r>
        <w:rPr>
          <w:noProof/>
        </w:rPr>
        <w:fldChar w:fldCharType="begin"/>
      </w:r>
      <w:r>
        <w:rPr>
          <w:noProof/>
        </w:rPr>
        <w:instrText xml:space="preserve"> PAGEREF _Toc111132343 \h </w:instrText>
      </w:r>
      <w:r>
        <w:rPr>
          <w:noProof/>
        </w:rPr>
      </w:r>
      <w:r>
        <w:rPr>
          <w:noProof/>
        </w:rPr>
        <w:fldChar w:fldCharType="separate"/>
      </w:r>
      <w:r w:rsidR="006A7DE3">
        <w:rPr>
          <w:noProof/>
        </w:rPr>
        <w:t>5</w:t>
      </w:r>
      <w:r>
        <w:rPr>
          <w:noProof/>
        </w:rPr>
        <w:fldChar w:fldCharType="end"/>
      </w:r>
    </w:p>
    <w:p w14:paraId="7E8F38EE" w14:textId="133BCD37" w:rsidR="00873094" w:rsidRPr="00020288" w:rsidRDefault="00873094" w:rsidP="00A40C21">
      <w:pPr>
        <w:pStyle w:val="TOC1"/>
      </w:pPr>
      <w:r w:rsidRPr="00BC2E4A">
        <w:fldChar w:fldCharType="end"/>
      </w:r>
    </w:p>
    <w:p w14:paraId="1E29DFA7" w14:textId="77777777" w:rsidR="00873094" w:rsidRPr="00020288" w:rsidRDefault="00873094" w:rsidP="00A40C21"/>
    <w:p w14:paraId="4775DB1D" w14:textId="77777777" w:rsidR="00873094" w:rsidRPr="00020288" w:rsidRDefault="00873094" w:rsidP="00A40C21"/>
    <w:p w14:paraId="0F63D263" w14:textId="77777777" w:rsidR="00873094" w:rsidRPr="00020288" w:rsidRDefault="00873094" w:rsidP="00A40C21">
      <w:pPr>
        <w:sectPr w:rsidR="00873094" w:rsidRPr="00020288" w:rsidSect="00000BFC">
          <w:headerReference w:type="even" r:id="rId10"/>
          <w:headerReference w:type="default" r:id="rId11"/>
          <w:headerReference w:type="first" r:id="rId12"/>
          <w:footerReference w:type="first" r:id="rId13"/>
          <w:type w:val="oddPage"/>
          <w:pgSz w:w="9979" w:h="14175" w:code="9"/>
          <w:pgMar w:top="567" w:right="1134" w:bottom="567" w:left="1134" w:header="709" w:footer="709" w:gutter="0"/>
          <w:pgNumType w:start="1"/>
          <w:cols w:space="708"/>
          <w:titlePg/>
          <w:docGrid w:linePitch="360"/>
        </w:sectPr>
      </w:pPr>
    </w:p>
    <w:p w14:paraId="5CB791F4" w14:textId="13AF74C4" w:rsidR="00C33991" w:rsidRPr="00020288" w:rsidRDefault="00C33991" w:rsidP="00A40C21">
      <w:pPr>
        <w:pStyle w:val="Heading1"/>
      </w:pPr>
      <w:bookmarkStart w:id="19" w:name="GlossaryTableStart"/>
      <w:bookmarkStart w:id="20" w:name="_Toc108686162"/>
      <w:bookmarkStart w:id="21" w:name="_Toc111132342"/>
      <w:bookmarkStart w:id="22" w:name="_Toc485286223"/>
      <w:bookmarkStart w:id="23" w:name="_Toc78193244"/>
      <w:bookmarkStart w:id="24" w:name="_Toc78193401"/>
      <w:bookmarkStart w:id="25" w:name="_Toc78548464"/>
      <w:bookmarkStart w:id="26" w:name="_Toc78549735"/>
      <w:bookmarkStart w:id="27" w:name="_Toc78549780"/>
      <w:bookmarkStart w:id="28" w:name="_Toc80097484"/>
      <w:bookmarkStart w:id="29" w:name="_Toc80097778"/>
      <w:bookmarkStart w:id="30" w:name="_Toc80115277"/>
      <w:bookmarkStart w:id="31" w:name="_Toc80172452"/>
      <w:bookmarkStart w:id="32" w:name="_Toc80197116"/>
      <w:bookmarkStart w:id="33" w:name="_Toc81852683"/>
      <w:bookmarkStart w:id="34" w:name="_Toc81852728"/>
      <w:bookmarkEnd w:id="10"/>
      <w:bookmarkEnd w:id="11"/>
      <w:bookmarkEnd w:id="12"/>
      <w:bookmarkEnd w:id="13"/>
      <w:bookmarkEnd w:id="14"/>
      <w:bookmarkEnd w:id="15"/>
      <w:bookmarkEnd w:id="16"/>
      <w:bookmarkEnd w:id="17"/>
      <w:bookmarkEnd w:id="18"/>
      <w:bookmarkEnd w:id="19"/>
      <w:r w:rsidRPr="00020288">
        <w:lastRenderedPageBreak/>
        <w:t>Glossary</w:t>
      </w:r>
      <w:bookmarkEnd w:id="20"/>
      <w:bookmarkEnd w:id="21"/>
    </w:p>
    <w:p w14:paraId="09672712" w14:textId="77777777" w:rsidR="00C33991" w:rsidRPr="00020288" w:rsidRDefault="00C33991" w:rsidP="00A40C21">
      <w:pPr>
        <w:pStyle w:val="Normalparatextnonumbers"/>
      </w:pPr>
      <w:r w:rsidRPr="00020288">
        <w:t>This Explanatory Memorand</w:t>
      </w:r>
      <w:r>
        <w:t>um</w:t>
      </w:r>
      <w:r w:rsidRPr="00020288">
        <w:t xml:space="preserve"> uses the following abbreviations and acronyms.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5670"/>
      </w:tblGrid>
      <w:tr w:rsidR="00C33991" w:rsidRPr="002E7A73" w14:paraId="5BEAF32D" w14:textId="77777777" w:rsidTr="00203FDD">
        <w:tc>
          <w:tcPr>
            <w:tcW w:w="1980" w:type="dxa"/>
            <w:shd w:val="clear" w:color="auto" w:fill="auto"/>
          </w:tcPr>
          <w:p w14:paraId="55528074" w14:textId="77777777" w:rsidR="00C33991" w:rsidRPr="002E7A73" w:rsidRDefault="00C33991" w:rsidP="00A40C21">
            <w:pPr>
              <w:pStyle w:val="Tableheaderrowtext"/>
              <w:numPr>
                <w:ilvl w:val="3"/>
                <w:numId w:val="2"/>
              </w:numPr>
            </w:pPr>
            <w:r w:rsidRPr="002E7A73">
              <w:t>Abbreviation</w:t>
            </w:r>
          </w:p>
        </w:tc>
        <w:tc>
          <w:tcPr>
            <w:tcW w:w="5670" w:type="dxa"/>
            <w:shd w:val="clear" w:color="auto" w:fill="auto"/>
          </w:tcPr>
          <w:p w14:paraId="5916D4B4" w14:textId="77777777" w:rsidR="00C33991" w:rsidRPr="002E7A73" w:rsidRDefault="00C33991" w:rsidP="00A40C21">
            <w:pPr>
              <w:pStyle w:val="Tableheaderrowtext"/>
              <w:numPr>
                <w:ilvl w:val="3"/>
                <w:numId w:val="2"/>
              </w:numPr>
            </w:pPr>
            <w:r w:rsidRPr="002E7A73">
              <w:t>Definition</w:t>
            </w:r>
          </w:p>
        </w:tc>
      </w:tr>
      <w:tr w:rsidR="00BB478B" w:rsidRPr="002E7A73" w14:paraId="01C5E124" w14:textId="77777777" w:rsidTr="00203FDD">
        <w:tc>
          <w:tcPr>
            <w:tcW w:w="1980" w:type="dxa"/>
            <w:shd w:val="clear" w:color="auto" w:fill="auto"/>
          </w:tcPr>
          <w:p w14:paraId="2C61AADA" w14:textId="41B688C7" w:rsidR="00BB478B" w:rsidRPr="00165624" w:rsidRDefault="00BB478B" w:rsidP="00A40C21">
            <w:pPr>
              <w:pStyle w:val="Tableheaderrowtext"/>
              <w:numPr>
                <w:ilvl w:val="3"/>
                <w:numId w:val="2"/>
              </w:numPr>
              <w:rPr>
                <w:rFonts w:ascii="Times New Roman" w:hAnsi="Times New Roman" w:cs="Times New Roman"/>
                <w:b w:val="0"/>
                <w:bCs/>
                <w:i w:val="0"/>
                <w:iCs w:val="0"/>
              </w:rPr>
            </w:pPr>
            <w:r w:rsidRPr="00772A28">
              <w:rPr>
                <w:rFonts w:ascii="Times New Roman" w:hAnsi="Times New Roman" w:cs="Times New Roman"/>
                <w:b w:val="0"/>
                <w:bCs/>
                <w:i w:val="0"/>
                <w:iCs w:val="0"/>
              </w:rPr>
              <w:t>ACCC</w:t>
            </w:r>
          </w:p>
        </w:tc>
        <w:tc>
          <w:tcPr>
            <w:tcW w:w="5670" w:type="dxa"/>
            <w:shd w:val="clear" w:color="auto" w:fill="auto"/>
          </w:tcPr>
          <w:p w14:paraId="39E42E02" w14:textId="1BFD5491" w:rsidR="00BB478B" w:rsidRPr="00165624" w:rsidRDefault="00BB478B" w:rsidP="00A40C21">
            <w:pPr>
              <w:pStyle w:val="Tableheaderrowtext"/>
              <w:numPr>
                <w:ilvl w:val="3"/>
                <w:numId w:val="2"/>
              </w:numPr>
              <w:rPr>
                <w:rFonts w:ascii="Times New Roman" w:hAnsi="Times New Roman" w:cs="Times New Roman"/>
                <w:b w:val="0"/>
                <w:bCs/>
                <w:i w:val="0"/>
                <w:iCs w:val="0"/>
              </w:rPr>
            </w:pPr>
            <w:r w:rsidRPr="00165624">
              <w:rPr>
                <w:rFonts w:ascii="Times New Roman" w:hAnsi="Times New Roman" w:cs="Times New Roman"/>
                <w:b w:val="0"/>
                <w:bCs/>
                <w:i w:val="0"/>
                <w:iCs w:val="0"/>
              </w:rPr>
              <w:t>Australian Competition and Consumer Com</w:t>
            </w:r>
            <w:r>
              <w:rPr>
                <w:rFonts w:ascii="Times New Roman" w:hAnsi="Times New Roman" w:cs="Times New Roman"/>
                <w:b w:val="0"/>
                <w:bCs/>
                <w:i w:val="0"/>
                <w:iCs w:val="0"/>
              </w:rPr>
              <w:t>m</w:t>
            </w:r>
            <w:r w:rsidRPr="00165624">
              <w:rPr>
                <w:rFonts w:ascii="Times New Roman" w:hAnsi="Times New Roman" w:cs="Times New Roman"/>
                <w:b w:val="0"/>
                <w:bCs/>
                <w:i w:val="0"/>
                <w:iCs w:val="0"/>
              </w:rPr>
              <w:t>ission</w:t>
            </w:r>
          </w:p>
        </w:tc>
      </w:tr>
      <w:tr w:rsidR="00173784" w:rsidRPr="00173784" w14:paraId="3786785B" w14:textId="77777777" w:rsidTr="00203FDD">
        <w:tc>
          <w:tcPr>
            <w:tcW w:w="1980" w:type="dxa"/>
            <w:shd w:val="clear" w:color="auto" w:fill="auto"/>
          </w:tcPr>
          <w:p w14:paraId="4DD5A799" w14:textId="5C948819" w:rsidR="00173784" w:rsidRPr="002D2AEB" w:rsidRDefault="00173784" w:rsidP="00A40C21">
            <w:pPr>
              <w:pStyle w:val="Tableheaderrowtext"/>
              <w:numPr>
                <w:ilvl w:val="3"/>
                <w:numId w:val="2"/>
              </w:numPr>
              <w:rPr>
                <w:rFonts w:ascii="Times New Roman" w:hAnsi="Times New Roman" w:cs="Times New Roman"/>
                <w:b w:val="0"/>
                <w:i w:val="0"/>
              </w:rPr>
            </w:pPr>
            <w:r w:rsidRPr="002D2AEB">
              <w:rPr>
                <w:rFonts w:ascii="Times New Roman" w:hAnsi="Times New Roman" w:cs="Times New Roman"/>
                <w:b w:val="0"/>
                <w:i w:val="0"/>
              </w:rPr>
              <w:t>APRA</w:t>
            </w:r>
          </w:p>
        </w:tc>
        <w:tc>
          <w:tcPr>
            <w:tcW w:w="5670" w:type="dxa"/>
            <w:shd w:val="clear" w:color="auto" w:fill="auto"/>
          </w:tcPr>
          <w:p w14:paraId="188B6AA2" w14:textId="4496ADDE" w:rsidR="00173784" w:rsidRPr="002D2AEB" w:rsidRDefault="00173784" w:rsidP="00A40C21">
            <w:pPr>
              <w:pStyle w:val="Tableheaderrowtext"/>
              <w:numPr>
                <w:ilvl w:val="3"/>
                <w:numId w:val="2"/>
              </w:numPr>
              <w:rPr>
                <w:rFonts w:ascii="Times New Roman" w:hAnsi="Times New Roman" w:cs="Times New Roman"/>
                <w:b w:val="0"/>
                <w:i w:val="0"/>
              </w:rPr>
            </w:pPr>
            <w:r w:rsidRPr="002D2AEB">
              <w:rPr>
                <w:rFonts w:ascii="Times New Roman" w:hAnsi="Times New Roman" w:cs="Times New Roman"/>
                <w:b w:val="0"/>
                <w:i w:val="0"/>
              </w:rPr>
              <w:t xml:space="preserve">Australian Prudential Regulation Authority </w:t>
            </w:r>
          </w:p>
        </w:tc>
      </w:tr>
      <w:tr w:rsidR="003A1FF5" w:rsidRPr="00173784" w14:paraId="22C107F8" w14:textId="77777777" w:rsidTr="00203FDD">
        <w:tc>
          <w:tcPr>
            <w:tcW w:w="1980" w:type="dxa"/>
            <w:shd w:val="clear" w:color="auto" w:fill="auto"/>
          </w:tcPr>
          <w:p w14:paraId="1630F96D" w14:textId="48A678D4" w:rsidR="003A1FF5" w:rsidRPr="00062E8D" w:rsidRDefault="003A1FF5" w:rsidP="00A40C21">
            <w:pPr>
              <w:pStyle w:val="Tableheaderrowtext"/>
              <w:numPr>
                <w:ilvl w:val="3"/>
                <w:numId w:val="2"/>
              </w:numPr>
              <w:rPr>
                <w:rFonts w:ascii="Times New Roman" w:hAnsi="Times New Roman" w:cs="Times New Roman"/>
                <w:b w:val="0"/>
                <w:bCs/>
                <w:i w:val="0"/>
                <w:iCs w:val="0"/>
              </w:rPr>
            </w:pPr>
            <w:r>
              <w:rPr>
                <w:rFonts w:ascii="Times New Roman" w:hAnsi="Times New Roman" w:cs="Times New Roman"/>
                <w:b w:val="0"/>
                <w:bCs/>
                <w:i w:val="0"/>
                <w:iCs w:val="0"/>
              </w:rPr>
              <w:t>ASIC</w:t>
            </w:r>
          </w:p>
        </w:tc>
        <w:tc>
          <w:tcPr>
            <w:tcW w:w="5670" w:type="dxa"/>
            <w:shd w:val="clear" w:color="auto" w:fill="auto"/>
          </w:tcPr>
          <w:p w14:paraId="6FDD9599" w14:textId="32FA17E4" w:rsidR="003A1FF5" w:rsidRPr="00062E8D" w:rsidRDefault="003A1FF5" w:rsidP="00A40C21">
            <w:pPr>
              <w:pStyle w:val="Tableheaderrowtext"/>
              <w:numPr>
                <w:ilvl w:val="3"/>
                <w:numId w:val="2"/>
              </w:numPr>
              <w:rPr>
                <w:rFonts w:ascii="Times New Roman" w:hAnsi="Times New Roman" w:cs="Times New Roman"/>
                <w:b w:val="0"/>
                <w:bCs/>
                <w:i w:val="0"/>
                <w:iCs w:val="0"/>
              </w:rPr>
            </w:pPr>
            <w:r>
              <w:rPr>
                <w:rFonts w:ascii="Times New Roman" w:hAnsi="Times New Roman" w:cs="Times New Roman"/>
                <w:b w:val="0"/>
                <w:bCs/>
                <w:i w:val="0"/>
                <w:iCs w:val="0"/>
              </w:rPr>
              <w:t xml:space="preserve">Australian Securities and Investments Commission </w:t>
            </w:r>
          </w:p>
        </w:tc>
      </w:tr>
      <w:tr w:rsidR="00C52B68" w:rsidRPr="00173784" w14:paraId="3D4BD0F0" w14:textId="77777777" w:rsidTr="00203FDD">
        <w:tc>
          <w:tcPr>
            <w:tcW w:w="1980" w:type="dxa"/>
            <w:shd w:val="clear" w:color="auto" w:fill="auto"/>
          </w:tcPr>
          <w:p w14:paraId="1C2F6399" w14:textId="5F2CBF41" w:rsidR="00C52B68" w:rsidRDefault="00C52B68" w:rsidP="00A40C21">
            <w:pPr>
              <w:pStyle w:val="Tableheaderrowtext"/>
              <w:numPr>
                <w:ilvl w:val="3"/>
                <w:numId w:val="2"/>
              </w:numPr>
              <w:rPr>
                <w:rFonts w:ascii="Times New Roman" w:hAnsi="Times New Roman" w:cs="Times New Roman"/>
                <w:b w:val="0"/>
                <w:bCs/>
                <w:i w:val="0"/>
                <w:iCs w:val="0"/>
              </w:rPr>
            </w:pPr>
            <w:r>
              <w:rPr>
                <w:rFonts w:ascii="Times New Roman" w:hAnsi="Times New Roman" w:cs="Times New Roman"/>
                <w:b w:val="0"/>
                <w:bCs/>
                <w:i w:val="0"/>
                <w:iCs w:val="0"/>
              </w:rPr>
              <w:t>ATO</w:t>
            </w:r>
          </w:p>
        </w:tc>
        <w:tc>
          <w:tcPr>
            <w:tcW w:w="5670" w:type="dxa"/>
            <w:shd w:val="clear" w:color="auto" w:fill="auto"/>
          </w:tcPr>
          <w:p w14:paraId="610CA611" w14:textId="1299524D" w:rsidR="00C52B68" w:rsidRDefault="00C52B68" w:rsidP="00A40C21">
            <w:pPr>
              <w:pStyle w:val="Tableheaderrowtext"/>
              <w:numPr>
                <w:ilvl w:val="3"/>
                <w:numId w:val="2"/>
              </w:numPr>
              <w:rPr>
                <w:rFonts w:ascii="Times New Roman" w:hAnsi="Times New Roman" w:cs="Times New Roman"/>
                <w:b w:val="0"/>
                <w:bCs/>
                <w:i w:val="0"/>
                <w:iCs w:val="0"/>
              </w:rPr>
            </w:pPr>
            <w:r>
              <w:rPr>
                <w:rFonts w:ascii="Times New Roman" w:hAnsi="Times New Roman" w:cs="Times New Roman"/>
                <w:b w:val="0"/>
                <w:bCs/>
                <w:i w:val="0"/>
                <w:iCs w:val="0"/>
              </w:rPr>
              <w:t>Australian Taxation Office</w:t>
            </w:r>
          </w:p>
        </w:tc>
      </w:tr>
      <w:tr w:rsidR="00C33991" w:rsidRPr="00020288" w14:paraId="11BB6363" w14:textId="77777777" w:rsidTr="00203FDD">
        <w:tc>
          <w:tcPr>
            <w:tcW w:w="1980" w:type="dxa"/>
          </w:tcPr>
          <w:p w14:paraId="5F7FF3DE" w14:textId="237F2306" w:rsidR="00C33991" w:rsidRPr="00173784" w:rsidRDefault="00C33991" w:rsidP="00A40C21">
            <w:pPr>
              <w:pStyle w:val="Normalparatextnonumbers"/>
              <w:rPr>
                <w:bCs/>
              </w:rPr>
            </w:pPr>
            <w:r w:rsidRPr="00173784">
              <w:rPr>
                <w:bCs/>
              </w:rPr>
              <w:t xml:space="preserve">Bill </w:t>
            </w:r>
          </w:p>
        </w:tc>
        <w:tc>
          <w:tcPr>
            <w:tcW w:w="5670" w:type="dxa"/>
          </w:tcPr>
          <w:p w14:paraId="4ABB626A" w14:textId="585CC644" w:rsidR="00C33991" w:rsidRPr="00B84172" w:rsidRDefault="00C33991" w:rsidP="00A40C21">
            <w:pPr>
              <w:pStyle w:val="Normalparatextnonumbers"/>
              <w:rPr>
                <w:i/>
              </w:rPr>
            </w:pPr>
            <w:r w:rsidRPr="001775D2">
              <w:rPr>
                <w:i/>
              </w:rPr>
              <w:t xml:space="preserve">Treasury Laws Amendment (Miscellaneous and Technical Amendments) Bill 2022 </w:t>
            </w:r>
          </w:p>
        </w:tc>
      </w:tr>
      <w:tr w:rsidR="00E00A83" w:rsidRPr="00173784" w14:paraId="0AFE6F93" w14:textId="77777777" w:rsidTr="00203FDD">
        <w:tc>
          <w:tcPr>
            <w:tcW w:w="1980" w:type="dxa"/>
          </w:tcPr>
          <w:p w14:paraId="0C225BDC" w14:textId="62EC494B" w:rsidR="00E00A83" w:rsidRPr="00B84172" w:rsidRDefault="00E00A83" w:rsidP="00A40C21">
            <w:pPr>
              <w:pStyle w:val="Normalparatextnonumbers"/>
            </w:pPr>
            <w:r w:rsidRPr="001775D2">
              <w:t>CCIV</w:t>
            </w:r>
          </w:p>
        </w:tc>
        <w:tc>
          <w:tcPr>
            <w:tcW w:w="5670" w:type="dxa"/>
          </w:tcPr>
          <w:p w14:paraId="1D2AB8C0" w14:textId="47C87FB0" w:rsidR="00E00A83" w:rsidRPr="002D2AEB" w:rsidRDefault="00173784" w:rsidP="00A40C21">
            <w:pPr>
              <w:pStyle w:val="Normalparatextnonumbers"/>
            </w:pPr>
            <w:r w:rsidRPr="002D2AEB">
              <w:t>Corporate Collective Investment Vehicle</w:t>
            </w:r>
          </w:p>
        </w:tc>
      </w:tr>
      <w:tr w:rsidR="007302E5" w:rsidRPr="00020288" w14:paraId="2ACB7BA0" w14:textId="77777777" w:rsidTr="00203FDD">
        <w:tc>
          <w:tcPr>
            <w:tcW w:w="1980" w:type="dxa"/>
          </w:tcPr>
          <w:p w14:paraId="075EC75E" w14:textId="0A77A870" w:rsidR="007302E5" w:rsidRDefault="007302E5" w:rsidP="00A40C21">
            <w:pPr>
              <w:pStyle w:val="Normalparatextnonumbers"/>
            </w:pPr>
            <w:r>
              <w:t>FHSSS</w:t>
            </w:r>
          </w:p>
        </w:tc>
        <w:tc>
          <w:tcPr>
            <w:tcW w:w="5670" w:type="dxa"/>
          </w:tcPr>
          <w:p w14:paraId="5A132050" w14:textId="1F979F3D" w:rsidR="007302E5" w:rsidRDefault="00662A85" w:rsidP="00A40C21">
            <w:pPr>
              <w:pStyle w:val="Normalparatextnonumbers"/>
            </w:pPr>
            <w:r>
              <w:t>F</w:t>
            </w:r>
            <w:r w:rsidR="007302E5" w:rsidRPr="00DD173C">
              <w:t>irst home super saver scheme</w:t>
            </w:r>
          </w:p>
        </w:tc>
      </w:tr>
      <w:tr w:rsidR="00772A28" w:rsidRPr="00020288" w14:paraId="589BA6AE" w14:textId="77777777" w:rsidTr="002A2F63">
        <w:tc>
          <w:tcPr>
            <w:tcW w:w="1980" w:type="dxa"/>
          </w:tcPr>
          <w:p w14:paraId="1B1693DB" w14:textId="77777777" w:rsidR="00772A28" w:rsidRPr="00173784" w:rsidRDefault="00772A28" w:rsidP="002A2F63">
            <w:pPr>
              <w:pStyle w:val="Normalparatextnonumbers"/>
            </w:pPr>
            <w:r w:rsidRPr="00173784">
              <w:t>GST</w:t>
            </w:r>
          </w:p>
        </w:tc>
        <w:tc>
          <w:tcPr>
            <w:tcW w:w="5670" w:type="dxa"/>
          </w:tcPr>
          <w:p w14:paraId="4C32EC2F" w14:textId="77777777" w:rsidR="00772A28" w:rsidRPr="002D2AEB" w:rsidRDefault="00772A28" w:rsidP="002A2F63">
            <w:pPr>
              <w:pStyle w:val="Normalparatextnonumbers"/>
            </w:pPr>
            <w:r w:rsidRPr="00173784">
              <w:t>Goods and services tax</w:t>
            </w:r>
          </w:p>
        </w:tc>
      </w:tr>
      <w:tr w:rsidR="00772A28" w:rsidRPr="00020288" w14:paraId="117A6CDF" w14:textId="77777777" w:rsidTr="00203FDD">
        <w:tc>
          <w:tcPr>
            <w:tcW w:w="1980" w:type="dxa"/>
          </w:tcPr>
          <w:p w14:paraId="0306EE61" w14:textId="44E2D6EB" w:rsidR="00772A28" w:rsidRDefault="00772A28" w:rsidP="00A40C21">
            <w:pPr>
              <w:pStyle w:val="Normalparatextnonumbers"/>
            </w:pPr>
            <w:r>
              <w:t>MIS</w:t>
            </w:r>
          </w:p>
        </w:tc>
        <w:tc>
          <w:tcPr>
            <w:tcW w:w="5670" w:type="dxa"/>
          </w:tcPr>
          <w:p w14:paraId="3BF3C286" w14:textId="31F17C19" w:rsidR="00772A28" w:rsidRDefault="00772A28" w:rsidP="00A40C21">
            <w:pPr>
              <w:pStyle w:val="Normalparatextnonumbers"/>
            </w:pPr>
            <w:r>
              <w:t>Managed Investment Scheme</w:t>
            </w:r>
          </w:p>
        </w:tc>
      </w:tr>
    </w:tbl>
    <w:p w14:paraId="7E2EAF68" w14:textId="77777777" w:rsidR="00C33991" w:rsidRPr="00020288" w:rsidRDefault="00C33991" w:rsidP="00A40C21"/>
    <w:p w14:paraId="468B5D44" w14:textId="600C29E2" w:rsidR="00873094" w:rsidRPr="00020288" w:rsidRDefault="00873094" w:rsidP="00A40C21">
      <w:pPr>
        <w:pStyle w:val="Heading1"/>
        <w:tabs>
          <w:tab w:val="left" w:pos="666"/>
        </w:tabs>
        <w:sectPr w:rsidR="00873094" w:rsidRPr="00020288" w:rsidSect="00000BFC">
          <w:headerReference w:type="even" r:id="rId14"/>
          <w:headerReference w:type="default" r:id="rId15"/>
          <w:headerReference w:type="first" r:id="rId16"/>
          <w:footerReference w:type="first" r:id="rId17"/>
          <w:type w:val="oddPage"/>
          <w:pgSz w:w="9979" w:h="14175" w:code="9"/>
          <w:pgMar w:top="567" w:right="1134" w:bottom="567" w:left="1134" w:header="709" w:footer="709" w:gutter="0"/>
          <w:pgNumType w:fmt="lowerRoman"/>
          <w:cols w:space="708"/>
          <w:docGrid w:linePitch="360"/>
        </w:sectPr>
      </w:pPr>
    </w:p>
    <w:p w14:paraId="50BB8F50" w14:textId="175024BC" w:rsidR="00873094" w:rsidRPr="00020288" w:rsidRDefault="000C4DEE" w:rsidP="00A40C21">
      <w:pPr>
        <w:pStyle w:val="Chapterheading"/>
      </w:pPr>
      <w:bookmarkStart w:id="35" w:name="GeneralOutline"/>
      <w:bookmarkStart w:id="36" w:name="_Toc111132343"/>
      <w:bookmarkEnd w:id="22"/>
      <w:bookmarkEnd w:id="23"/>
      <w:bookmarkEnd w:id="24"/>
      <w:bookmarkEnd w:id="25"/>
      <w:bookmarkEnd w:id="26"/>
      <w:bookmarkEnd w:id="27"/>
      <w:bookmarkEnd w:id="28"/>
      <w:bookmarkEnd w:id="29"/>
      <w:bookmarkEnd w:id="30"/>
      <w:bookmarkEnd w:id="31"/>
      <w:bookmarkEnd w:id="32"/>
      <w:bookmarkEnd w:id="33"/>
      <w:bookmarkEnd w:id="34"/>
      <w:bookmarkEnd w:id="35"/>
      <w:r>
        <w:lastRenderedPageBreak/>
        <w:t>Mi</w:t>
      </w:r>
      <w:r w:rsidR="007873F0">
        <w:t>scellaneous</w:t>
      </w:r>
      <w:r>
        <w:t xml:space="preserve"> and technical amendments</w:t>
      </w:r>
      <w:bookmarkEnd w:id="36"/>
      <w:r>
        <w:t xml:space="preserve"> </w:t>
      </w:r>
    </w:p>
    <w:p w14:paraId="67BAD692" w14:textId="77777777" w:rsidR="00873094" w:rsidRPr="00020288" w:rsidRDefault="00873094" w:rsidP="00A40C21">
      <w:pPr>
        <w:pStyle w:val="Heading2"/>
      </w:pPr>
      <w:r w:rsidRPr="00020288">
        <w:t xml:space="preserve">Outline </w:t>
      </w:r>
      <w:r w:rsidRPr="005D0844">
        <w:t>of</w:t>
      </w:r>
      <w:r w:rsidRPr="00020288">
        <w:t xml:space="preserve"> chapter</w:t>
      </w:r>
    </w:p>
    <w:p w14:paraId="0F3CD4CF" w14:textId="5A5AF4BF" w:rsidR="00F20007" w:rsidRDefault="00F20007" w:rsidP="00A40C21">
      <w:pPr>
        <w:pStyle w:val="Normalparatextwithnumbers"/>
      </w:pPr>
      <w:r>
        <w:t xml:space="preserve">Schedule 1 makes </w:t>
      </w:r>
      <w:proofErr w:type="gramStart"/>
      <w:r>
        <w:t>a number of</w:t>
      </w:r>
      <w:proofErr w:type="gramEnd"/>
      <w:r>
        <w:t xml:space="preserve"> miscellaneous and technical amendments to Treasury portfolio</w:t>
      </w:r>
      <w:r w:rsidR="00040BC9">
        <w:t xml:space="preserve"> legislation</w:t>
      </w:r>
      <w:r>
        <w:t>. The amendments demonstrate the Government’s ongoing commitment to the care and maintenance of Treasury portfolio legislation.</w:t>
      </w:r>
    </w:p>
    <w:p w14:paraId="56E62271" w14:textId="58CEFD39" w:rsidR="00476832" w:rsidRPr="000E521B" w:rsidRDefault="00F20007" w:rsidP="00A40C21">
      <w:pPr>
        <w:pStyle w:val="Normalparatextwithnumbers"/>
      </w:pPr>
      <w:r>
        <w:t>The amendments correct drafting errors, repeal inoperative provisions, address unintended outcomes and make other technical changes.</w:t>
      </w:r>
      <w:r w:rsidR="00476832">
        <w:t xml:space="preserve"> </w:t>
      </w:r>
    </w:p>
    <w:p w14:paraId="140A9950" w14:textId="77777777" w:rsidR="00873094" w:rsidRPr="00020288" w:rsidRDefault="00873094" w:rsidP="00A40C21">
      <w:pPr>
        <w:pStyle w:val="Heading2"/>
      </w:pPr>
      <w:r w:rsidRPr="00020288">
        <w:t xml:space="preserve">Context of </w:t>
      </w:r>
      <w:r w:rsidRPr="005D0844">
        <w:t>amendments</w:t>
      </w:r>
    </w:p>
    <w:p w14:paraId="75A8593E" w14:textId="4DA4BC89" w:rsidR="00873094" w:rsidRDefault="00E95CC4" w:rsidP="00A40C21">
      <w:pPr>
        <w:pStyle w:val="Normalparatextwithnumbers"/>
        <w:numPr>
          <w:ilvl w:val="1"/>
          <w:numId w:val="3"/>
        </w:numPr>
      </w:pPr>
      <w:r>
        <w:t>Miscellaneous</w:t>
      </w:r>
      <w:r w:rsidR="00476832">
        <w:t xml:space="preserve"> and technical </w:t>
      </w:r>
      <w:r w:rsidR="00E9135E">
        <w:t>amendments are periodically made to</w:t>
      </w:r>
      <w:r>
        <w:t xml:space="preserve"> </w:t>
      </w:r>
      <w:r w:rsidR="00E9135E">
        <w:t xml:space="preserve">Treasury portfolio legislation </w:t>
      </w:r>
      <w:r>
        <w:t>to correct drafting errors, repeal inoperative provisions, address unintended outcomes and make other technical changes</w:t>
      </w:r>
      <w:r w:rsidR="00E9135E">
        <w:t xml:space="preserve">. The amendments are part of the Government’s ongoing commitment to the care and maintenance of Treasury portfolio legislation. </w:t>
      </w:r>
    </w:p>
    <w:p w14:paraId="43E1B0FB" w14:textId="30BF6510" w:rsidR="00E95CC4" w:rsidRPr="00020288" w:rsidRDefault="00E95CC4" w:rsidP="00A40C21">
      <w:pPr>
        <w:pStyle w:val="Normalparatextwithnumbers"/>
        <w:numPr>
          <w:ilvl w:val="1"/>
          <w:numId w:val="3"/>
        </w:numPr>
      </w:pPr>
      <w:r w:rsidRPr="00E95CC4">
        <w:t>The mi</w:t>
      </w:r>
      <w:r>
        <w:t>scellaneous</w:t>
      </w:r>
      <w:r w:rsidRPr="00E95CC4">
        <w:t xml:space="preserve"> and technical amendments process was first supported by a recommendation of the 2008 Tax Design Review Panel, which was appointed to examine how to reduce delays in the enactment of tax legislation and improve the quality of tax </w:t>
      </w:r>
      <w:r>
        <w:t>legislation</w:t>
      </w:r>
      <w:r w:rsidRPr="00E95CC4">
        <w:t>. The mi</w:t>
      </w:r>
      <w:r>
        <w:t>scellaneous</w:t>
      </w:r>
      <w:r w:rsidRPr="00E95CC4">
        <w:t xml:space="preserve"> and technical amendments process has since been expanded to all Treasury portfolio legislation.</w:t>
      </w:r>
    </w:p>
    <w:p w14:paraId="0673464D" w14:textId="77777777" w:rsidR="00873094" w:rsidRPr="00020288" w:rsidRDefault="00873094" w:rsidP="00A40C21">
      <w:pPr>
        <w:pStyle w:val="Heading2"/>
      </w:pPr>
      <w:r w:rsidRPr="00020288">
        <w:t xml:space="preserve">Summary of </w:t>
      </w:r>
      <w:r w:rsidRPr="005D0844">
        <w:t>new</w:t>
      </w:r>
      <w:r w:rsidRPr="00020288">
        <w:t xml:space="preserve"> law</w:t>
      </w:r>
    </w:p>
    <w:p w14:paraId="18B8AC46" w14:textId="3E4F97F2" w:rsidR="001D2384" w:rsidRDefault="001D2384" w:rsidP="00A40C21">
      <w:pPr>
        <w:pStyle w:val="Normalparatextwithnumbers"/>
        <w:numPr>
          <w:ilvl w:val="1"/>
          <w:numId w:val="3"/>
        </w:numPr>
      </w:pPr>
      <w:r>
        <w:t xml:space="preserve">The </w:t>
      </w:r>
      <w:r w:rsidR="00A36591" w:rsidRPr="00A36591">
        <w:t xml:space="preserve">amendments </w:t>
      </w:r>
      <w:r w:rsidR="00A36591">
        <w:t xml:space="preserve">maintain and improve the quality of </w:t>
      </w:r>
      <w:r>
        <w:t>Treasury legislation by:</w:t>
      </w:r>
    </w:p>
    <w:p w14:paraId="3BC3916B" w14:textId="5100F86C" w:rsidR="001D2384" w:rsidRDefault="001D2384" w:rsidP="00A40C21">
      <w:pPr>
        <w:pStyle w:val="Normalparatextwithnumbers"/>
        <w:numPr>
          <w:ilvl w:val="0"/>
          <w:numId w:val="29"/>
        </w:numPr>
      </w:pPr>
      <w:r>
        <w:t xml:space="preserve">correcting typographical </w:t>
      </w:r>
      <w:r w:rsidR="005C1C33">
        <w:t xml:space="preserve">and numbering </w:t>
      </w:r>
      <w:proofErr w:type="gramStart"/>
      <w:r>
        <w:t>errors</w:t>
      </w:r>
      <w:r w:rsidR="005C1C33">
        <w:t>;</w:t>
      </w:r>
      <w:proofErr w:type="gramEnd"/>
    </w:p>
    <w:p w14:paraId="681478D9" w14:textId="0DAD75E9" w:rsidR="001D2384" w:rsidRDefault="001D2384" w:rsidP="00A40C21">
      <w:pPr>
        <w:pStyle w:val="Normalparatextwithnumbers"/>
        <w:numPr>
          <w:ilvl w:val="0"/>
          <w:numId w:val="29"/>
        </w:numPr>
      </w:pPr>
      <w:r>
        <w:t xml:space="preserve">fixing incorrect legislative </w:t>
      </w:r>
      <w:proofErr w:type="gramStart"/>
      <w:r>
        <w:t>references</w:t>
      </w:r>
      <w:r w:rsidR="005C1C33">
        <w:t>;</w:t>
      </w:r>
      <w:proofErr w:type="gramEnd"/>
      <w:r>
        <w:t xml:space="preserve"> </w:t>
      </w:r>
    </w:p>
    <w:p w14:paraId="662CFB64" w14:textId="128CD6EF" w:rsidR="001D2384" w:rsidRDefault="001D2384" w:rsidP="00A40C21">
      <w:pPr>
        <w:pStyle w:val="Normalparatextwithnumbers"/>
        <w:numPr>
          <w:ilvl w:val="0"/>
          <w:numId w:val="29"/>
        </w:numPr>
      </w:pPr>
      <w:r>
        <w:t xml:space="preserve">reducing unnecessary red </w:t>
      </w:r>
      <w:proofErr w:type="gramStart"/>
      <w:r>
        <w:t>tape</w:t>
      </w:r>
      <w:r w:rsidR="005C1C33">
        <w:t>;</w:t>
      </w:r>
      <w:proofErr w:type="gramEnd"/>
    </w:p>
    <w:p w14:paraId="66D82B58" w14:textId="02557AA0" w:rsidR="001D2384" w:rsidRDefault="001D2384" w:rsidP="00A40C21">
      <w:pPr>
        <w:pStyle w:val="Normalparatextwithnumbers"/>
        <w:numPr>
          <w:ilvl w:val="0"/>
          <w:numId w:val="29"/>
        </w:numPr>
      </w:pPr>
      <w:r>
        <w:t xml:space="preserve">addressing unintended </w:t>
      </w:r>
      <w:proofErr w:type="gramStart"/>
      <w:r w:rsidR="00C800FC">
        <w:t>outcomes</w:t>
      </w:r>
      <w:r w:rsidR="005C1C33">
        <w:t>;</w:t>
      </w:r>
      <w:proofErr w:type="gramEnd"/>
      <w:r w:rsidR="00C800FC">
        <w:t xml:space="preserve"> </w:t>
      </w:r>
    </w:p>
    <w:p w14:paraId="08FC10F4" w14:textId="6F8644A2" w:rsidR="00C800FC" w:rsidRDefault="00C800FC" w:rsidP="00A40C21">
      <w:pPr>
        <w:pStyle w:val="Normalparatextwithnumbers"/>
        <w:numPr>
          <w:ilvl w:val="0"/>
          <w:numId w:val="29"/>
        </w:numPr>
      </w:pPr>
      <w:r>
        <w:t xml:space="preserve">adopting modern drafting </w:t>
      </w:r>
      <w:proofErr w:type="gramStart"/>
      <w:r>
        <w:t>practices</w:t>
      </w:r>
      <w:r w:rsidR="005C1C33">
        <w:t>;</w:t>
      </w:r>
      <w:proofErr w:type="gramEnd"/>
    </w:p>
    <w:p w14:paraId="0D0EBC9A" w14:textId="6D81274F" w:rsidR="00C800FC" w:rsidRDefault="00C800FC" w:rsidP="00A40C21">
      <w:pPr>
        <w:pStyle w:val="Normalparatextwithnumbers"/>
        <w:numPr>
          <w:ilvl w:val="0"/>
          <w:numId w:val="29"/>
        </w:numPr>
      </w:pPr>
      <w:r>
        <w:t xml:space="preserve">enhancing readability and administrative </w:t>
      </w:r>
      <w:proofErr w:type="gramStart"/>
      <w:r>
        <w:t>efficiency</w:t>
      </w:r>
      <w:r w:rsidR="005C1C33">
        <w:t>;</w:t>
      </w:r>
      <w:proofErr w:type="gramEnd"/>
    </w:p>
    <w:p w14:paraId="1A99262B" w14:textId="77777777" w:rsidR="005C1C33" w:rsidRDefault="00C800FC" w:rsidP="00A40C21">
      <w:pPr>
        <w:pStyle w:val="Normalparatextwithnumbers"/>
        <w:numPr>
          <w:ilvl w:val="0"/>
          <w:numId w:val="29"/>
        </w:numPr>
      </w:pPr>
      <w:r>
        <w:lastRenderedPageBreak/>
        <w:t>repealing redundant and inoperative provisions</w:t>
      </w:r>
      <w:r w:rsidR="005C1C33">
        <w:t xml:space="preserve">; and </w:t>
      </w:r>
    </w:p>
    <w:p w14:paraId="04D37F98" w14:textId="4912F7A0" w:rsidR="00C800FC" w:rsidRPr="00020288" w:rsidRDefault="005C1C33" w:rsidP="00A40C21">
      <w:pPr>
        <w:pStyle w:val="Normalparatextwithnumbers"/>
        <w:numPr>
          <w:ilvl w:val="0"/>
          <w:numId w:val="29"/>
        </w:numPr>
      </w:pPr>
      <w:r>
        <w:t xml:space="preserve">making other technical changes.  </w:t>
      </w:r>
      <w:r w:rsidR="00C800FC">
        <w:t xml:space="preserve"> </w:t>
      </w:r>
    </w:p>
    <w:p w14:paraId="3E38F95F" w14:textId="4D6C5FFB" w:rsidR="00873094" w:rsidRDefault="00873094" w:rsidP="00A40C21">
      <w:pPr>
        <w:pStyle w:val="Heading2"/>
        <w:numPr>
          <w:ilvl w:val="1"/>
          <w:numId w:val="2"/>
        </w:numPr>
        <w:tabs>
          <w:tab w:val="num" w:pos="567"/>
        </w:tabs>
        <w:ind w:left="567" w:hanging="567"/>
      </w:pPr>
      <w:r w:rsidRPr="00020288">
        <w:t>Detailed explanation of new law</w:t>
      </w:r>
    </w:p>
    <w:p w14:paraId="1F7253DF" w14:textId="77777777" w:rsidR="00352FA3" w:rsidRDefault="00352FA3" w:rsidP="00A40C21">
      <w:pPr>
        <w:pStyle w:val="Heading4"/>
      </w:pPr>
      <w:r>
        <w:t>Part 1 – Amendments commencing the day after Royal Assent</w:t>
      </w:r>
    </w:p>
    <w:p w14:paraId="51AB100D" w14:textId="0771E7DC" w:rsidR="00352FA3" w:rsidRPr="00352FA3" w:rsidRDefault="002E2BFB" w:rsidP="00A40C21">
      <w:pPr>
        <w:pStyle w:val="Heading6"/>
      </w:pPr>
      <w:r>
        <w:t xml:space="preserve">Division 1 </w:t>
      </w:r>
      <w:r w:rsidR="00DF6EC7">
        <w:t>–</w:t>
      </w:r>
      <w:r>
        <w:t xml:space="preserve"> </w:t>
      </w:r>
      <w:r w:rsidR="00352FA3">
        <w:t xml:space="preserve">Foreign ownership register notices  </w:t>
      </w:r>
    </w:p>
    <w:p w14:paraId="23311D15" w14:textId="1446E443" w:rsidR="00AD34C1" w:rsidRDefault="00AD34C1" w:rsidP="00A40C21">
      <w:pPr>
        <w:pStyle w:val="Normalparatextwithnumbers"/>
        <w:numPr>
          <w:ilvl w:val="1"/>
          <w:numId w:val="3"/>
        </w:numPr>
        <w:rPr>
          <w:rStyle w:val="References"/>
          <w:b w:val="0"/>
          <w:bCs w:val="0"/>
          <w:i w:val="0"/>
          <w:iCs w:val="0"/>
        </w:rPr>
      </w:pPr>
      <w:r>
        <w:rPr>
          <w:rStyle w:val="References"/>
          <w:b w:val="0"/>
          <w:bCs w:val="0"/>
          <w:i w:val="0"/>
          <w:iCs w:val="0"/>
        </w:rPr>
        <w:t>Various</w:t>
      </w:r>
      <w:r w:rsidRPr="00AD34C1">
        <w:rPr>
          <w:rStyle w:val="References"/>
          <w:b w:val="0"/>
          <w:bCs w:val="0"/>
          <w:i w:val="0"/>
          <w:iCs w:val="0"/>
        </w:rPr>
        <w:t xml:space="preserve"> provisions in </w:t>
      </w:r>
      <w:r>
        <w:rPr>
          <w:rStyle w:val="References"/>
          <w:b w:val="0"/>
          <w:bCs w:val="0"/>
          <w:i w:val="0"/>
          <w:iCs w:val="0"/>
        </w:rPr>
        <w:t xml:space="preserve">Part 7A of </w:t>
      </w:r>
      <w:r w:rsidRPr="00AD34C1">
        <w:rPr>
          <w:rStyle w:val="References"/>
          <w:b w:val="0"/>
          <w:bCs w:val="0"/>
          <w:i w:val="0"/>
          <w:iCs w:val="0"/>
        </w:rPr>
        <w:t xml:space="preserve">the </w:t>
      </w:r>
      <w:r w:rsidRPr="000C5509">
        <w:rPr>
          <w:rStyle w:val="References"/>
          <w:b w:val="0"/>
          <w:bCs w:val="0"/>
        </w:rPr>
        <w:t>Foreign Acquisitions and Takeovers Act 1975</w:t>
      </w:r>
      <w:r>
        <w:rPr>
          <w:rStyle w:val="References"/>
          <w:b w:val="0"/>
          <w:bCs w:val="0"/>
          <w:i w:val="0"/>
          <w:iCs w:val="0"/>
        </w:rPr>
        <w:t xml:space="preserve"> </w:t>
      </w:r>
      <w:r w:rsidRPr="00AD34C1">
        <w:rPr>
          <w:rStyle w:val="References"/>
          <w:b w:val="0"/>
          <w:bCs w:val="0"/>
          <w:i w:val="0"/>
          <w:iCs w:val="0"/>
        </w:rPr>
        <w:t>inappropriately refer to ‘notice’</w:t>
      </w:r>
      <w:r>
        <w:rPr>
          <w:rStyle w:val="References"/>
          <w:b w:val="0"/>
          <w:bCs w:val="0"/>
          <w:i w:val="0"/>
          <w:iCs w:val="0"/>
        </w:rPr>
        <w:t xml:space="preserve"> </w:t>
      </w:r>
      <w:r w:rsidRPr="00AD34C1">
        <w:rPr>
          <w:rStyle w:val="References"/>
          <w:b w:val="0"/>
          <w:bCs w:val="0"/>
          <w:i w:val="0"/>
          <w:iCs w:val="0"/>
        </w:rPr>
        <w:t xml:space="preserve">instead </w:t>
      </w:r>
      <w:r>
        <w:rPr>
          <w:rStyle w:val="References"/>
          <w:b w:val="0"/>
          <w:bCs w:val="0"/>
          <w:i w:val="0"/>
          <w:iCs w:val="0"/>
        </w:rPr>
        <w:t>of</w:t>
      </w:r>
      <w:r w:rsidRPr="00AD34C1">
        <w:rPr>
          <w:rStyle w:val="References"/>
          <w:b w:val="0"/>
          <w:bCs w:val="0"/>
          <w:i w:val="0"/>
          <w:iCs w:val="0"/>
        </w:rPr>
        <w:t xml:space="preserve"> ‘register notice’</w:t>
      </w:r>
      <w:r>
        <w:rPr>
          <w:rStyle w:val="References"/>
          <w:b w:val="0"/>
          <w:bCs w:val="0"/>
          <w:i w:val="0"/>
          <w:iCs w:val="0"/>
        </w:rPr>
        <w:t xml:space="preserve">. ‘Register notice’ is defined in section 4 </w:t>
      </w:r>
      <w:r w:rsidR="00FE59A3">
        <w:rPr>
          <w:rStyle w:val="References"/>
          <w:b w:val="0"/>
          <w:bCs w:val="0"/>
          <w:i w:val="0"/>
          <w:iCs w:val="0"/>
        </w:rPr>
        <w:t>of</w:t>
      </w:r>
      <w:r>
        <w:rPr>
          <w:rStyle w:val="References"/>
          <w:b w:val="0"/>
          <w:bCs w:val="0"/>
          <w:i w:val="0"/>
          <w:iCs w:val="0"/>
        </w:rPr>
        <w:t xml:space="preserve"> that Act as a notice given under a provision of Division 3 of Part 7A of that Act. </w:t>
      </w:r>
    </w:p>
    <w:p w14:paraId="35AE9F8F" w14:textId="1ACCB6EE" w:rsidR="00AD34C1" w:rsidRDefault="006A6555" w:rsidP="00A40C21">
      <w:pPr>
        <w:pStyle w:val="Normalparatextwithnumbers"/>
        <w:numPr>
          <w:ilvl w:val="1"/>
          <w:numId w:val="3"/>
        </w:numPr>
        <w:rPr>
          <w:rStyle w:val="References"/>
          <w:b w:val="0"/>
          <w:bCs w:val="0"/>
          <w:i w:val="0"/>
          <w:iCs w:val="0"/>
        </w:rPr>
      </w:pPr>
      <w:r>
        <w:rPr>
          <w:rStyle w:val="References"/>
          <w:b w:val="0"/>
          <w:bCs w:val="0"/>
          <w:i w:val="0"/>
          <w:iCs w:val="0"/>
        </w:rPr>
        <w:t>R</w:t>
      </w:r>
      <w:r w:rsidR="00096021">
        <w:rPr>
          <w:rStyle w:val="References"/>
          <w:b w:val="0"/>
          <w:bCs w:val="0"/>
          <w:i w:val="0"/>
          <w:iCs w:val="0"/>
        </w:rPr>
        <w:t>elevant</w:t>
      </w:r>
      <w:r w:rsidR="00AD34C1">
        <w:rPr>
          <w:rStyle w:val="References"/>
          <w:b w:val="0"/>
          <w:bCs w:val="0"/>
          <w:i w:val="0"/>
          <w:iCs w:val="0"/>
        </w:rPr>
        <w:t xml:space="preserve"> provisions in Part 7A of the </w:t>
      </w:r>
      <w:r w:rsidR="00AD34C1" w:rsidRPr="000C5509">
        <w:rPr>
          <w:rStyle w:val="References"/>
          <w:b w:val="0"/>
          <w:bCs w:val="0"/>
        </w:rPr>
        <w:t>Foreign Acquisitions and Takeovers Act 1975</w:t>
      </w:r>
      <w:r w:rsidR="00AD34C1">
        <w:rPr>
          <w:rStyle w:val="References"/>
          <w:b w:val="0"/>
          <w:bCs w:val="0"/>
          <w:i w:val="0"/>
          <w:iCs w:val="0"/>
        </w:rPr>
        <w:t xml:space="preserve"> </w:t>
      </w:r>
      <w:r>
        <w:rPr>
          <w:rStyle w:val="References"/>
          <w:b w:val="0"/>
          <w:bCs w:val="0"/>
          <w:i w:val="0"/>
          <w:iCs w:val="0"/>
        </w:rPr>
        <w:t xml:space="preserve">are amended </w:t>
      </w:r>
      <w:r w:rsidR="00AD34C1">
        <w:rPr>
          <w:rStyle w:val="References"/>
          <w:b w:val="0"/>
          <w:bCs w:val="0"/>
          <w:i w:val="0"/>
          <w:iCs w:val="0"/>
        </w:rPr>
        <w:t xml:space="preserve">to ensure they </w:t>
      </w:r>
      <w:r w:rsidR="00641748">
        <w:rPr>
          <w:rStyle w:val="References"/>
          <w:b w:val="0"/>
          <w:bCs w:val="0"/>
          <w:i w:val="0"/>
          <w:iCs w:val="0"/>
        </w:rPr>
        <w:t xml:space="preserve">correctly </w:t>
      </w:r>
      <w:r w:rsidR="00AD34C1">
        <w:rPr>
          <w:rStyle w:val="References"/>
          <w:b w:val="0"/>
          <w:bCs w:val="0"/>
          <w:i w:val="0"/>
          <w:iCs w:val="0"/>
        </w:rPr>
        <w:t>refer to</w:t>
      </w:r>
      <w:r w:rsidR="00734C25">
        <w:rPr>
          <w:rStyle w:val="References"/>
          <w:b w:val="0"/>
          <w:bCs w:val="0"/>
          <w:i w:val="0"/>
          <w:iCs w:val="0"/>
        </w:rPr>
        <w:t xml:space="preserve"> </w:t>
      </w:r>
      <w:r w:rsidR="00AD34C1">
        <w:rPr>
          <w:rStyle w:val="References"/>
          <w:b w:val="0"/>
          <w:bCs w:val="0"/>
          <w:i w:val="0"/>
          <w:iCs w:val="0"/>
        </w:rPr>
        <w:t xml:space="preserve">‘register notice’. </w:t>
      </w:r>
      <w:r w:rsidR="00113C22">
        <w:rPr>
          <w:rStyle w:val="References"/>
          <w:b w:val="0"/>
          <w:bCs w:val="0"/>
          <w:i w:val="0"/>
          <w:iCs w:val="0"/>
        </w:rPr>
        <w:br/>
      </w:r>
      <w:r w:rsidR="00113C22" w:rsidRPr="00113C22">
        <w:rPr>
          <w:rStyle w:val="References"/>
        </w:rPr>
        <w:t xml:space="preserve">[Schedule </w:t>
      </w:r>
      <w:r w:rsidR="00E02CA4">
        <w:rPr>
          <w:rStyle w:val="References"/>
        </w:rPr>
        <w:t>1</w:t>
      </w:r>
      <w:r w:rsidR="00113C22" w:rsidRPr="00113C22">
        <w:rPr>
          <w:rStyle w:val="References"/>
        </w:rPr>
        <w:t>, item</w:t>
      </w:r>
      <w:r w:rsidR="00E02CA4">
        <w:rPr>
          <w:rStyle w:val="References"/>
        </w:rPr>
        <w:t xml:space="preserve">s 1 to </w:t>
      </w:r>
      <w:r w:rsidR="003F5AE7">
        <w:rPr>
          <w:rStyle w:val="References"/>
        </w:rPr>
        <w:t>9</w:t>
      </w:r>
      <w:r w:rsidR="00113C22" w:rsidRPr="00113C22">
        <w:rPr>
          <w:rStyle w:val="References"/>
        </w:rPr>
        <w:t xml:space="preserve">, </w:t>
      </w:r>
      <w:r w:rsidR="0021082E">
        <w:rPr>
          <w:rStyle w:val="References"/>
        </w:rPr>
        <w:t>sections 130ZI, 130ZO, 130ZP</w:t>
      </w:r>
      <w:r w:rsidR="00BF6B5D">
        <w:rPr>
          <w:rStyle w:val="References"/>
        </w:rPr>
        <w:t xml:space="preserve">, </w:t>
      </w:r>
      <w:r w:rsidR="0021082E">
        <w:rPr>
          <w:rStyle w:val="References"/>
        </w:rPr>
        <w:t>130</w:t>
      </w:r>
      <w:r w:rsidR="003F5AE7">
        <w:rPr>
          <w:rStyle w:val="References"/>
        </w:rPr>
        <w:t>ZR,</w:t>
      </w:r>
      <w:r w:rsidR="00295554">
        <w:rPr>
          <w:rStyle w:val="References"/>
        </w:rPr>
        <w:t xml:space="preserve"> 130ZS</w:t>
      </w:r>
      <w:r w:rsidR="00BF6B5D">
        <w:rPr>
          <w:rStyle w:val="References"/>
        </w:rPr>
        <w:t xml:space="preserve"> and</w:t>
      </w:r>
      <w:r w:rsidR="00295554">
        <w:rPr>
          <w:rStyle w:val="References"/>
        </w:rPr>
        <w:t xml:space="preserve"> 130ZT of the Foreign Acquisitions and Takeovers Act 1975]</w:t>
      </w:r>
    </w:p>
    <w:p w14:paraId="4D23D7E5" w14:textId="20C66C3E" w:rsidR="00352FA3" w:rsidRPr="00113C22" w:rsidRDefault="00352FA3" w:rsidP="00A40C21">
      <w:pPr>
        <w:pStyle w:val="Normalparatextwithnumbers"/>
        <w:numPr>
          <w:ilvl w:val="1"/>
          <w:numId w:val="3"/>
        </w:numPr>
        <w:rPr>
          <w:rStyle w:val="References"/>
          <w:b w:val="0"/>
          <w:bCs w:val="0"/>
          <w:i w:val="0"/>
          <w:iCs w:val="0"/>
        </w:rPr>
      </w:pPr>
      <w:r w:rsidRPr="00113C22">
        <w:rPr>
          <w:rStyle w:val="References"/>
          <w:b w:val="0"/>
          <w:bCs w:val="0"/>
          <w:i w:val="0"/>
          <w:iCs w:val="0"/>
        </w:rPr>
        <w:t xml:space="preserve">Section 130ZU of the </w:t>
      </w:r>
      <w:r w:rsidRPr="00113C22">
        <w:rPr>
          <w:rStyle w:val="References"/>
          <w:b w:val="0"/>
          <w:bCs w:val="0"/>
        </w:rPr>
        <w:t>Foreign Acquisitions and Takeovers Act 1975</w:t>
      </w:r>
      <w:r w:rsidRPr="00113C22">
        <w:rPr>
          <w:rStyle w:val="References"/>
          <w:b w:val="0"/>
          <w:bCs w:val="0"/>
          <w:i w:val="0"/>
          <w:iCs w:val="0"/>
        </w:rPr>
        <w:t xml:space="preserve"> </w:t>
      </w:r>
      <w:r w:rsidR="00752E7F">
        <w:rPr>
          <w:rStyle w:val="References"/>
          <w:b w:val="0"/>
          <w:bCs w:val="0"/>
          <w:i w:val="0"/>
          <w:iCs w:val="0"/>
        </w:rPr>
        <w:t>allows</w:t>
      </w:r>
      <w:r w:rsidRPr="00113C22">
        <w:rPr>
          <w:rStyle w:val="References"/>
          <w:b w:val="0"/>
          <w:bCs w:val="0"/>
          <w:i w:val="0"/>
          <w:iCs w:val="0"/>
        </w:rPr>
        <w:t xml:space="preserve"> for regulations to be made prescribing circumstances in which register notices must be given to the Registrar.</w:t>
      </w:r>
      <w:r w:rsidR="00BC3C51" w:rsidRPr="00113C22">
        <w:rPr>
          <w:rStyle w:val="References"/>
          <w:b w:val="0"/>
          <w:bCs w:val="0"/>
          <w:i w:val="0"/>
          <w:iCs w:val="0"/>
        </w:rPr>
        <w:t xml:space="preserve"> </w:t>
      </w:r>
      <w:r w:rsidRPr="00113C22">
        <w:rPr>
          <w:rStyle w:val="References"/>
          <w:b w:val="0"/>
          <w:bCs w:val="0"/>
          <w:i w:val="0"/>
          <w:iCs w:val="0"/>
        </w:rPr>
        <w:t xml:space="preserve">Paragraph 130ZU(1)(c) of that Act inappropriately refers to circumstances relating to ‘a foreign person’. The policy intention is that there should be sufficient flexibility for regulations to be made </w:t>
      </w:r>
      <w:r w:rsidR="00596629">
        <w:rPr>
          <w:rStyle w:val="References"/>
          <w:b w:val="0"/>
          <w:bCs w:val="0"/>
          <w:i w:val="0"/>
          <w:iCs w:val="0"/>
        </w:rPr>
        <w:t>in relation</w:t>
      </w:r>
      <w:r w:rsidRPr="00113C22">
        <w:rPr>
          <w:rStyle w:val="References"/>
          <w:b w:val="0"/>
          <w:bCs w:val="0"/>
          <w:i w:val="0"/>
          <w:iCs w:val="0"/>
        </w:rPr>
        <w:t xml:space="preserve"> to all persons and not only foreign persons. </w:t>
      </w:r>
    </w:p>
    <w:p w14:paraId="731E5730" w14:textId="1D0A7407" w:rsidR="00352FA3" w:rsidRPr="000C5509" w:rsidRDefault="00352FA3" w:rsidP="00A40C21">
      <w:pPr>
        <w:pStyle w:val="Normalparatextwithnumbers"/>
        <w:numPr>
          <w:ilvl w:val="1"/>
          <w:numId w:val="3"/>
        </w:numPr>
        <w:rPr>
          <w:rStyle w:val="References"/>
          <w:b w:val="0"/>
          <w:bCs w:val="0"/>
          <w:i w:val="0"/>
          <w:iCs w:val="0"/>
        </w:rPr>
      </w:pPr>
      <w:r>
        <w:rPr>
          <w:rStyle w:val="References"/>
          <w:b w:val="0"/>
          <w:bCs w:val="0"/>
          <w:i w:val="0"/>
          <w:iCs w:val="0"/>
        </w:rPr>
        <w:t>The word ‘foreign’ from the paragraph</w:t>
      </w:r>
      <w:r w:rsidR="00D11D69">
        <w:rPr>
          <w:rStyle w:val="References"/>
          <w:b w:val="0"/>
          <w:bCs w:val="0"/>
          <w:i w:val="0"/>
          <w:iCs w:val="0"/>
        </w:rPr>
        <w:t xml:space="preserve"> is omitted from p</w:t>
      </w:r>
      <w:r w:rsidR="00D11D69" w:rsidRPr="00113C22">
        <w:rPr>
          <w:rStyle w:val="References"/>
          <w:b w:val="0"/>
          <w:bCs w:val="0"/>
          <w:i w:val="0"/>
          <w:iCs w:val="0"/>
        </w:rPr>
        <w:t>aragraph 130ZU(1)(c)</w:t>
      </w:r>
      <w:r w:rsidR="00D11D69">
        <w:rPr>
          <w:rStyle w:val="References"/>
          <w:b w:val="0"/>
          <w:bCs w:val="0"/>
          <w:i w:val="0"/>
          <w:iCs w:val="0"/>
        </w:rPr>
        <w:t xml:space="preserve"> </w:t>
      </w:r>
      <w:r w:rsidR="00D11D69" w:rsidRPr="00113C22">
        <w:rPr>
          <w:rStyle w:val="References"/>
          <w:b w:val="0"/>
          <w:bCs w:val="0"/>
          <w:i w:val="0"/>
          <w:iCs w:val="0"/>
        </w:rPr>
        <w:t xml:space="preserve">of the </w:t>
      </w:r>
      <w:r w:rsidR="00D11D69" w:rsidRPr="00113C22">
        <w:rPr>
          <w:rStyle w:val="References"/>
          <w:b w:val="0"/>
          <w:bCs w:val="0"/>
        </w:rPr>
        <w:t>Foreign Acquisitions and Takeovers Act 1975</w:t>
      </w:r>
      <w:r>
        <w:rPr>
          <w:rStyle w:val="References"/>
          <w:b w:val="0"/>
          <w:bCs w:val="0"/>
          <w:i w:val="0"/>
          <w:iCs w:val="0"/>
        </w:rPr>
        <w:t xml:space="preserve">. The amendment ensures that there is no ambiguity that regulations made under </w:t>
      </w:r>
      <w:r w:rsidR="00BC3C51">
        <w:rPr>
          <w:rStyle w:val="References"/>
          <w:b w:val="0"/>
          <w:bCs w:val="0"/>
          <w:i w:val="0"/>
          <w:iCs w:val="0"/>
        </w:rPr>
        <w:t>s</w:t>
      </w:r>
      <w:r w:rsidR="00BC3C51" w:rsidRPr="00BC3C51">
        <w:rPr>
          <w:rStyle w:val="References"/>
          <w:b w:val="0"/>
          <w:bCs w:val="0"/>
          <w:i w:val="0"/>
          <w:iCs w:val="0"/>
        </w:rPr>
        <w:t xml:space="preserve">ection 130ZU </w:t>
      </w:r>
      <w:r>
        <w:rPr>
          <w:rStyle w:val="References"/>
          <w:b w:val="0"/>
          <w:bCs w:val="0"/>
          <w:i w:val="0"/>
          <w:iCs w:val="0"/>
        </w:rPr>
        <w:t xml:space="preserve">can apply to all relevant persons. </w:t>
      </w:r>
      <w:r>
        <w:rPr>
          <w:rStyle w:val="References"/>
          <w:b w:val="0"/>
          <w:bCs w:val="0"/>
          <w:i w:val="0"/>
          <w:iCs w:val="0"/>
        </w:rPr>
        <w:br/>
      </w:r>
      <w:r w:rsidRPr="000C5509">
        <w:rPr>
          <w:rStyle w:val="References"/>
        </w:rPr>
        <w:t xml:space="preserve">[Schedule </w:t>
      </w:r>
      <w:r w:rsidR="003F5AE7">
        <w:rPr>
          <w:rStyle w:val="References"/>
        </w:rPr>
        <w:t>1</w:t>
      </w:r>
      <w:r w:rsidRPr="000C5509">
        <w:rPr>
          <w:rStyle w:val="References"/>
        </w:rPr>
        <w:t>, item</w:t>
      </w:r>
      <w:r w:rsidR="003F5AE7">
        <w:rPr>
          <w:rStyle w:val="References"/>
        </w:rPr>
        <w:t xml:space="preserve"> 10</w:t>
      </w:r>
      <w:r w:rsidRPr="000C5509">
        <w:rPr>
          <w:rStyle w:val="References"/>
        </w:rPr>
        <w:t xml:space="preserve">, </w:t>
      </w:r>
      <w:r w:rsidR="004D37E6">
        <w:rPr>
          <w:rStyle w:val="References"/>
        </w:rPr>
        <w:t xml:space="preserve">section </w:t>
      </w:r>
      <w:r w:rsidR="0091001B">
        <w:rPr>
          <w:rStyle w:val="References"/>
        </w:rPr>
        <w:t>130ZU of the Foreign Acquisitions and Takeovers Act 1975</w:t>
      </w:r>
      <w:r w:rsidRPr="000C5509">
        <w:rPr>
          <w:rStyle w:val="References"/>
        </w:rPr>
        <w:t xml:space="preserve">] </w:t>
      </w:r>
    </w:p>
    <w:p w14:paraId="38C21ABE" w14:textId="37D8A802" w:rsidR="00124168" w:rsidRDefault="002E2BFB" w:rsidP="00A40C21">
      <w:pPr>
        <w:pStyle w:val="Heading6"/>
      </w:pPr>
      <w:r>
        <w:t>Division 2</w:t>
      </w:r>
      <w:r w:rsidR="000A1496">
        <w:t xml:space="preserve"> </w:t>
      </w:r>
      <w:r w:rsidR="00DF6EC7">
        <w:t>–</w:t>
      </w:r>
      <w:r>
        <w:t xml:space="preserve"> </w:t>
      </w:r>
      <w:r w:rsidR="00124168">
        <w:t>Infringement notices</w:t>
      </w:r>
    </w:p>
    <w:p w14:paraId="545BFCE8" w14:textId="58071F6E" w:rsidR="00124168" w:rsidRDefault="00124168" w:rsidP="00A40C21">
      <w:pPr>
        <w:pStyle w:val="Normalparatextwithnumbers"/>
        <w:numPr>
          <w:ilvl w:val="1"/>
          <w:numId w:val="3"/>
        </w:numPr>
      </w:pPr>
      <w:r>
        <w:t xml:space="preserve">Under the </w:t>
      </w:r>
      <w:r w:rsidRPr="00C3753D">
        <w:rPr>
          <w:i/>
          <w:iCs/>
        </w:rPr>
        <w:t>Corporations Act 2001</w:t>
      </w:r>
      <w:r>
        <w:t xml:space="preserve">, a person may make a request to </w:t>
      </w:r>
      <w:r w:rsidR="003A1FF5">
        <w:t xml:space="preserve">ASIC </w:t>
      </w:r>
      <w:r>
        <w:t xml:space="preserve">to remove an infringement notice. </w:t>
      </w:r>
      <w:r w:rsidR="003A1FF5">
        <w:t>ASIC</w:t>
      </w:r>
      <w:r>
        <w:t xml:space="preserve"> must consider the request, </w:t>
      </w:r>
      <w:proofErr w:type="gramStart"/>
      <w:r>
        <w:t>make a decision</w:t>
      </w:r>
      <w:proofErr w:type="gramEnd"/>
      <w:r w:rsidR="001414AE">
        <w:t>,</w:t>
      </w:r>
      <w:r>
        <w:t xml:space="preserve"> and inform the applicant of the decision within 14 days. </w:t>
      </w:r>
    </w:p>
    <w:p w14:paraId="68024611" w14:textId="05FD20D4" w:rsidR="00124168" w:rsidRDefault="00A55EF4" w:rsidP="00A40C21">
      <w:pPr>
        <w:pStyle w:val="Normalparatextwithnumbers"/>
        <w:numPr>
          <w:ilvl w:val="1"/>
          <w:numId w:val="3"/>
        </w:numPr>
      </w:pPr>
      <w:r>
        <w:t>Paragraph 1317DAT(5)(a)</w:t>
      </w:r>
      <w:r w:rsidR="00506929">
        <w:t xml:space="preserve"> of the </w:t>
      </w:r>
      <w:r w:rsidR="00506929" w:rsidRPr="00C3753D">
        <w:rPr>
          <w:i/>
          <w:iCs/>
        </w:rPr>
        <w:t>Corporations Act 2001</w:t>
      </w:r>
      <w:r>
        <w:t xml:space="preserve"> </w:t>
      </w:r>
      <w:r w:rsidR="008652C2">
        <w:t xml:space="preserve">inadvertently </w:t>
      </w:r>
      <w:r>
        <w:t>replicates paragraph 1317DAS(4)(a) of that Act</w:t>
      </w:r>
      <w:r w:rsidR="00506929">
        <w:t xml:space="preserve"> and </w:t>
      </w:r>
      <w:r w:rsidR="001414AE">
        <w:t>incorrectly</w:t>
      </w:r>
      <w:r>
        <w:t xml:space="preserve"> deals with </w:t>
      </w:r>
      <w:r w:rsidR="003A1FF5">
        <w:t>ASIC</w:t>
      </w:r>
      <w:r>
        <w:t xml:space="preserve"> refusing to allow the amount payable under an infringement notice to be paid in instalments. </w:t>
      </w:r>
      <w:r w:rsidR="00694442">
        <w:t>It is intended that s</w:t>
      </w:r>
      <w:r w:rsidR="00124168">
        <w:t>ubsection 1317</w:t>
      </w:r>
      <w:proofErr w:type="gramStart"/>
      <w:r w:rsidR="00124168">
        <w:t>DAT(</w:t>
      </w:r>
      <w:proofErr w:type="gramEnd"/>
      <w:r w:rsidR="00124168">
        <w:t xml:space="preserve">5) of the </w:t>
      </w:r>
      <w:r w:rsidR="00124168" w:rsidRPr="001C19B9">
        <w:rPr>
          <w:i/>
          <w:iCs/>
        </w:rPr>
        <w:t>Corporations Act 2001</w:t>
      </w:r>
      <w:r w:rsidR="00124168">
        <w:t xml:space="preserve"> provide that if </w:t>
      </w:r>
      <w:r w:rsidR="003A1FF5">
        <w:t>ASIC</w:t>
      </w:r>
      <w:r w:rsidR="00D3674C">
        <w:t xml:space="preserve"> </w:t>
      </w:r>
      <w:r w:rsidR="00124168">
        <w:t>does not make a decision within 14 days</w:t>
      </w:r>
      <w:r w:rsidR="00E14D82">
        <w:t>,</w:t>
      </w:r>
      <w:r w:rsidR="00124168">
        <w:t xml:space="preserve"> then </w:t>
      </w:r>
      <w:r w:rsidR="00D3674C">
        <w:t xml:space="preserve">it </w:t>
      </w:r>
      <w:r w:rsidR="00124168">
        <w:t>is taken to have refused the request to withdraw an infringement notice.</w:t>
      </w:r>
    </w:p>
    <w:p w14:paraId="3A46E8B2" w14:textId="6A4DE426" w:rsidR="00124168" w:rsidRPr="00940850" w:rsidRDefault="001414AE" w:rsidP="00A40C21">
      <w:pPr>
        <w:pStyle w:val="Normalparatextwithnumbers"/>
        <w:numPr>
          <w:ilvl w:val="1"/>
          <w:numId w:val="3"/>
        </w:numPr>
        <w:rPr>
          <w:rStyle w:val="References"/>
          <w:b w:val="0"/>
          <w:bCs w:val="0"/>
          <w:i w:val="0"/>
          <w:iCs w:val="0"/>
        </w:rPr>
      </w:pPr>
      <w:r>
        <w:t>P</w:t>
      </w:r>
      <w:r w:rsidR="00124168">
        <w:t>aragraph 1317DAT(5)(a)</w:t>
      </w:r>
      <w:r w:rsidR="002E775E">
        <w:t xml:space="preserve"> of the </w:t>
      </w:r>
      <w:r w:rsidR="002E775E" w:rsidRPr="001C19B9">
        <w:rPr>
          <w:i/>
          <w:iCs/>
        </w:rPr>
        <w:t>Corporations Act 2001</w:t>
      </w:r>
      <w:r w:rsidR="002E775E">
        <w:t xml:space="preserve"> </w:t>
      </w:r>
      <w:r>
        <w:t xml:space="preserve">is amended </w:t>
      </w:r>
      <w:r w:rsidR="00124168">
        <w:t>to provide that where no decision is made by</w:t>
      </w:r>
      <w:r w:rsidR="00BF2B6B">
        <w:t xml:space="preserve"> </w:t>
      </w:r>
      <w:r w:rsidR="003A1FF5">
        <w:t>ASIC</w:t>
      </w:r>
      <w:r w:rsidR="00124168">
        <w:t xml:space="preserve"> regarding a request to withdraw an </w:t>
      </w:r>
      <w:r w:rsidR="00124168">
        <w:lastRenderedPageBreak/>
        <w:t xml:space="preserve">infringement notice, then </w:t>
      </w:r>
      <w:r w:rsidR="00BF2B6B">
        <w:t xml:space="preserve">it </w:t>
      </w:r>
      <w:r w:rsidR="00124168">
        <w:t>is taken to have refused the request.</w:t>
      </w:r>
      <w:r w:rsidR="002E775E">
        <w:br/>
      </w:r>
      <w:r w:rsidR="002E775E" w:rsidRPr="002E775E">
        <w:rPr>
          <w:rStyle w:val="References"/>
        </w:rPr>
        <w:t xml:space="preserve">[Schedule </w:t>
      </w:r>
      <w:r w:rsidR="00A55EF4">
        <w:rPr>
          <w:rStyle w:val="References"/>
        </w:rPr>
        <w:t>1</w:t>
      </w:r>
      <w:r w:rsidR="002E775E" w:rsidRPr="002E775E">
        <w:rPr>
          <w:rStyle w:val="References"/>
        </w:rPr>
        <w:t>, item</w:t>
      </w:r>
      <w:r w:rsidR="00A55EF4">
        <w:rPr>
          <w:rStyle w:val="References"/>
        </w:rPr>
        <w:t xml:space="preserve"> 11</w:t>
      </w:r>
      <w:r w:rsidR="002E775E" w:rsidRPr="002E775E">
        <w:rPr>
          <w:rStyle w:val="References"/>
        </w:rPr>
        <w:t xml:space="preserve">, </w:t>
      </w:r>
      <w:r w:rsidR="006D4306">
        <w:rPr>
          <w:rStyle w:val="References"/>
        </w:rPr>
        <w:t>section</w:t>
      </w:r>
      <w:r w:rsidR="00E4356D">
        <w:rPr>
          <w:rStyle w:val="References"/>
        </w:rPr>
        <w:t xml:space="preserve"> 1317DAT of the Corporations Act 2001]</w:t>
      </w:r>
    </w:p>
    <w:p w14:paraId="68FB5F2C" w14:textId="1C868D93" w:rsidR="00940850" w:rsidRPr="00E40542" w:rsidRDefault="00940850" w:rsidP="00A40C21">
      <w:pPr>
        <w:pStyle w:val="Normalparatextwithnumbers"/>
        <w:numPr>
          <w:ilvl w:val="1"/>
          <w:numId w:val="3"/>
        </w:numPr>
        <w:rPr>
          <w:rStyle w:val="References"/>
          <w:b w:val="0"/>
          <w:bCs w:val="0"/>
          <w:i w:val="0"/>
          <w:iCs w:val="0"/>
        </w:rPr>
      </w:pPr>
      <w:r>
        <w:rPr>
          <w:rStyle w:val="References"/>
          <w:b w:val="0"/>
          <w:bCs w:val="0"/>
          <w:i w:val="0"/>
          <w:iCs w:val="0"/>
        </w:rPr>
        <w:t>The amendment appl</w:t>
      </w:r>
      <w:r w:rsidR="001414AE">
        <w:rPr>
          <w:rStyle w:val="References"/>
          <w:b w:val="0"/>
          <w:bCs w:val="0"/>
          <w:i w:val="0"/>
          <w:iCs w:val="0"/>
        </w:rPr>
        <w:t>ies</w:t>
      </w:r>
      <w:r>
        <w:rPr>
          <w:rStyle w:val="References"/>
          <w:b w:val="0"/>
          <w:bCs w:val="0"/>
          <w:i w:val="0"/>
          <w:iCs w:val="0"/>
        </w:rPr>
        <w:t xml:space="preserve"> </w:t>
      </w:r>
      <w:r w:rsidRPr="00182DF8">
        <w:t xml:space="preserve">in relation to representations made to </w:t>
      </w:r>
      <w:r w:rsidR="003A1FF5">
        <w:t>ASIC</w:t>
      </w:r>
      <w:r w:rsidR="00BF2B6B">
        <w:t xml:space="preserve"> </w:t>
      </w:r>
      <w:r>
        <w:t xml:space="preserve">on or after the </w:t>
      </w:r>
      <w:r w:rsidR="00A82B42">
        <w:t>commencement</w:t>
      </w:r>
      <w:r>
        <w:t xml:space="preserve"> </w:t>
      </w:r>
      <w:r w:rsidR="002F3244">
        <w:t>of the amendment</w:t>
      </w:r>
      <w:r w:rsidR="00E14D82">
        <w:t>,</w:t>
      </w:r>
      <w:r w:rsidR="002F3244">
        <w:t xml:space="preserve"> </w:t>
      </w:r>
      <w:r w:rsidR="002F3244" w:rsidRPr="002F3244">
        <w:t xml:space="preserve">whether the related infringement notice </w:t>
      </w:r>
      <w:proofErr w:type="gramStart"/>
      <w:r w:rsidR="006F717F" w:rsidRPr="002F3244">
        <w:t>was given before</w:t>
      </w:r>
      <w:r w:rsidR="006F717F">
        <w:t>,</w:t>
      </w:r>
      <w:proofErr w:type="gramEnd"/>
      <w:r w:rsidR="002F3244" w:rsidRPr="002F3244">
        <w:t xml:space="preserve"> on or after that commencement.</w:t>
      </w:r>
      <w:r w:rsidR="00523F12">
        <w:br/>
      </w:r>
      <w:r w:rsidR="00523F12" w:rsidRPr="00523F12">
        <w:rPr>
          <w:rStyle w:val="References"/>
        </w:rPr>
        <w:t xml:space="preserve">[Schedule </w:t>
      </w:r>
      <w:r w:rsidR="00694442">
        <w:rPr>
          <w:rStyle w:val="References"/>
        </w:rPr>
        <w:t>1</w:t>
      </w:r>
      <w:r w:rsidR="00523F12" w:rsidRPr="00523F12">
        <w:rPr>
          <w:rStyle w:val="References"/>
        </w:rPr>
        <w:t xml:space="preserve">, </w:t>
      </w:r>
      <w:r w:rsidR="002503BF">
        <w:rPr>
          <w:rStyle w:val="References"/>
        </w:rPr>
        <w:t xml:space="preserve">item 12, </w:t>
      </w:r>
      <w:r w:rsidR="00694442">
        <w:rPr>
          <w:rStyle w:val="References"/>
        </w:rPr>
        <w:t>section 1693 of the Corporations Act 2001]</w:t>
      </w:r>
    </w:p>
    <w:p w14:paraId="74338787" w14:textId="1425F13F" w:rsidR="00983C06" w:rsidRDefault="00983C06" w:rsidP="00A40C21">
      <w:pPr>
        <w:pStyle w:val="Heading6"/>
      </w:pPr>
      <w:r>
        <w:t>Division 3 – Motor vehicle service and repair information scheme adviser</w:t>
      </w:r>
    </w:p>
    <w:p w14:paraId="1D376FF1" w14:textId="0A5364E6" w:rsidR="00E40542" w:rsidRDefault="00E40542" w:rsidP="00A40C21">
      <w:pPr>
        <w:pStyle w:val="Normalparatextwithnumbers"/>
        <w:numPr>
          <w:ilvl w:val="1"/>
          <w:numId w:val="3"/>
        </w:numPr>
      </w:pPr>
      <w:r w:rsidRPr="00A912EC">
        <w:t xml:space="preserve">Part IVE of the </w:t>
      </w:r>
      <w:r w:rsidR="00BF2B6B" w:rsidRPr="00E14D82">
        <w:rPr>
          <w:i/>
          <w:iCs/>
        </w:rPr>
        <w:t>Competition and Consumer Act 2010</w:t>
      </w:r>
      <w:r w:rsidRPr="00A912EC">
        <w:t xml:space="preserve"> establishes the motor vehicles service and repair information sharing scheme. The scheme mandates </w:t>
      </w:r>
      <w:r w:rsidR="00E14D82">
        <w:t xml:space="preserve">that </w:t>
      </w:r>
      <w:r w:rsidRPr="00A912EC">
        <w:t xml:space="preserve">all service and repair information provided to car dealership networks and manufacturer preferred repairers be made available for independent repairer and registered training organisations. </w:t>
      </w:r>
    </w:p>
    <w:p w14:paraId="6DDDBD73" w14:textId="69A811B3" w:rsidR="00E40542" w:rsidRDefault="00E40542" w:rsidP="00A40C21">
      <w:pPr>
        <w:pStyle w:val="Normalparatextwithnumbers"/>
        <w:numPr>
          <w:ilvl w:val="1"/>
          <w:numId w:val="3"/>
        </w:numPr>
      </w:pPr>
      <w:r w:rsidRPr="00A912EC">
        <w:t xml:space="preserve">The scheme also establishes the role of </w:t>
      </w:r>
      <w:r w:rsidR="00E14D82">
        <w:t xml:space="preserve">a </w:t>
      </w:r>
      <w:r w:rsidRPr="00A912EC">
        <w:t>scheme adviser, whose functions include facilitating dispute resolution</w:t>
      </w:r>
      <w:r w:rsidR="00F375AC">
        <w:t xml:space="preserve">, the </w:t>
      </w:r>
      <w:r w:rsidRPr="00A912EC">
        <w:t xml:space="preserve">sharing of information about the scheme and reporting to the </w:t>
      </w:r>
      <w:r>
        <w:t>A</w:t>
      </w:r>
      <w:r w:rsidR="00BB478B">
        <w:t>CCC</w:t>
      </w:r>
      <w:r w:rsidRPr="00A912EC">
        <w:t xml:space="preserve"> and the </w:t>
      </w:r>
      <w:r>
        <w:t>Minister</w:t>
      </w:r>
      <w:r w:rsidRPr="00A912EC">
        <w:t xml:space="preserve"> about the operation of the scheme. </w:t>
      </w:r>
      <w:r>
        <w:t>Section 57FA of the</w:t>
      </w:r>
      <w:r w:rsidR="006726AD">
        <w:rPr>
          <w:i/>
          <w:iCs/>
        </w:rPr>
        <w:t xml:space="preserve"> </w:t>
      </w:r>
      <w:r w:rsidR="00BF2B6B" w:rsidRPr="00E14D82">
        <w:rPr>
          <w:i/>
          <w:iCs/>
        </w:rPr>
        <w:t>Competition and Consumer Act 2010</w:t>
      </w:r>
      <w:r w:rsidRPr="00665B77">
        <w:t xml:space="preserve"> </w:t>
      </w:r>
      <w:r>
        <w:t xml:space="preserve">provides for the establishment and appointment of the scheme adviser. </w:t>
      </w:r>
    </w:p>
    <w:p w14:paraId="67C3FA48" w14:textId="623DAB78" w:rsidR="00E40542" w:rsidRDefault="00E40542" w:rsidP="00A40C21">
      <w:pPr>
        <w:pStyle w:val="Normalparatextwithnumbers"/>
        <w:numPr>
          <w:ilvl w:val="1"/>
          <w:numId w:val="3"/>
        </w:numPr>
        <w:rPr>
          <w:rStyle w:val="References"/>
          <w:b w:val="0"/>
          <w:bCs w:val="0"/>
          <w:i w:val="0"/>
          <w:iCs w:val="0"/>
        </w:rPr>
      </w:pPr>
      <w:r>
        <w:t>The amendment</w:t>
      </w:r>
      <w:r w:rsidR="00F375AC">
        <w:t>s</w:t>
      </w:r>
      <w:r>
        <w:t xml:space="preserve"> </w:t>
      </w:r>
      <w:r w:rsidR="00F375AC">
        <w:t>clarify</w:t>
      </w:r>
      <w:r>
        <w:t xml:space="preserve"> that the appointment of a scheme adviser is not limited to a natural person and may extend to a body corporate. The amendment</w:t>
      </w:r>
      <w:r w:rsidR="00F375AC">
        <w:t>s</w:t>
      </w:r>
      <w:r>
        <w:t xml:space="preserve"> also clarif</w:t>
      </w:r>
      <w:r w:rsidR="00F375AC">
        <w:t>y</w:t>
      </w:r>
      <w:r>
        <w:t xml:space="preserve"> that the appointed scheme adviser is not entitled to receive payment of any kind in relation to their appointment</w:t>
      </w:r>
      <w:r w:rsidRPr="00554688">
        <w:t xml:space="preserve">. </w:t>
      </w:r>
      <w:r w:rsidR="007B0990">
        <w:br/>
      </w:r>
      <w:r w:rsidR="007B0990" w:rsidRPr="007B0990">
        <w:rPr>
          <w:rStyle w:val="References"/>
        </w:rPr>
        <w:t>[Schedule</w:t>
      </w:r>
      <w:r w:rsidR="00846F67">
        <w:rPr>
          <w:rStyle w:val="References"/>
        </w:rPr>
        <w:t xml:space="preserve"> 1</w:t>
      </w:r>
      <w:r w:rsidR="007B0990" w:rsidRPr="007B0990">
        <w:rPr>
          <w:rStyle w:val="References"/>
        </w:rPr>
        <w:t>, item</w:t>
      </w:r>
      <w:r w:rsidR="00846F67">
        <w:rPr>
          <w:rStyle w:val="References"/>
        </w:rPr>
        <w:t>s 13 and 14</w:t>
      </w:r>
      <w:r w:rsidR="007B0990" w:rsidRPr="007B0990">
        <w:rPr>
          <w:rStyle w:val="References"/>
        </w:rPr>
        <w:t xml:space="preserve">, </w:t>
      </w:r>
      <w:r w:rsidR="00846F67">
        <w:rPr>
          <w:rStyle w:val="References"/>
        </w:rPr>
        <w:t>s</w:t>
      </w:r>
      <w:r w:rsidR="00F61911">
        <w:rPr>
          <w:rStyle w:val="References"/>
        </w:rPr>
        <w:t xml:space="preserve">ection </w:t>
      </w:r>
      <w:r w:rsidR="00846F67">
        <w:rPr>
          <w:rStyle w:val="References"/>
        </w:rPr>
        <w:t>57FA of the C</w:t>
      </w:r>
      <w:r w:rsidR="00BF2B6B">
        <w:rPr>
          <w:rStyle w:val="References"/>
        </w:rPr>
        <w:t>ompetition and Consumer Act 2010</w:t>
      </w:r>
      <w:r w:rsidR="007B0990" w:rsidRPr="007B0990">
        <w:rPr>
          <w:rStyle w:val="References"/>
        </w:rPr>
        <w:t>]</w:t>
      </w:r>
    </w:p>
    <w:p w14:paraId="7D4063A6" w14:textId="6091A2EC" w:rsidR="009042AD" w:rsidRPr="009042AD" w:rsidRDefault="009042AD" w:rsidP="00A40C21">
      <w:pPr>
        <w:pStyle w:val="Normalparatextwithnumbers"/>
        <w:numPr>
          <w:ilvl w:val="1"/>
          <w:numId w:val="3"/>
        </w:numPr>
        <w:rPr>
          <w:rStyle w:val="References"/>
          <w:b w:val="0"/>
          <w:bCs w:val="0"/>
          <w:i w:val="0"/>
          <w:iCs w:val="0"/>
        </w:rPr>
      </w:pPr>
      <w:r>
        <w:rPr>
          <w:rStyle w:val="References"/>
          <w:b w:val="0"/>
          <w:bCs w:val="0"/>
          <w:i w:val="0"/>
          <w:iCs w:val="0"/>
        </w:rPr>
        <w:t xml:space="preserve">The amendments apply in relation to appointments that take effect on or after 1 July 2022. </w:t>
      </w:r>
      <w:r>
        <w:rPr>
          <w:rStyle w:val="References"/>
          <w:b w:val="0"/>
          <w:bCs w:val="0"/>
          <w:i w:val="0"/>
          <w:iCs w:val="0"/>
        </w:rPr>
        <w:br/>
      </w:r>
      <w:r w:rsidRPr="009042AD">
        <w:rPr>
          <w:rStyle w:val="References"/>
        </w:rPr>
        <w:t xml:space="preserve">[Schedule </w:t>
      </w:r>
      <w:r w:rsidR="00AB4399">
        <w:rPr>
          <w:rStyle w:val="References"/>
        </w:rPr>
        <w:t>1</w:t>
      </w:r>
      <w:r w:rsidRPr="009042AD">
        <w:rPr>
          <w:rStyle w:val="References"/>
        </w:rPr>
        <w:t>, item</w:t>
      </w:r>
      <w:r w:rsidR="00AB4399">
        <w:rPr>
          <w:rStyle w:val="References"/>
        </w:rPr>
        <w:t xml:space="preserve"> 15]</w:t>
      </w:r>
    </w:p>
    <w:p w14:paraId="346E4F3F" w14:textId="03C8F6CA" w:rsidR="00983C06" w:rsidRDefault="00983C06" w:rsidP="00A40C21">
      <w:pPr>
        <w:pStyle w:val="Heading6"/>
      </w:pPr>
      <w:r>
        <w:t xml:space="preserve">Division 4 – Fringe Benefits technical amendment </w:t>
      </w:r>
    </w:p>
    <w:p w14:paraId="7D1FD748" w14:textId="66FFB3C5" w:rsidR="00170D58" w:rsidRDefault="00170D58" w:rsidP="00A40C21">
      <w:pPr>
        <w:pStyle w:val="Normalparatextwithnumbers"/>
        <w:numPr>
          <w:ilvl w:val="1"/>
          <w:numId w:val="3"/>
        </w:numPr>
      </w:pPr>
      <w:r>
        <w:t xml:space="preserve">Section 37 of the </w:t>
      </w:r>
      <w:r w:rsidRPr="00B166F3">
        <w:rPr>
          <w:i/>
          <w:iCs/>
        </w:rPr>
        <w:t>Fringe Benefits Tax Assessment Act 1986</w:t>
      </w:r>
      <w:r>
        <w:t xml:space="preserve"> sets out the ‘otherwise deductible’ rule for employers who provide board fringe benefits, where the recipient of the benefit is an employee of the employer. </w:t>
      </w:r>
    </w:p>
    <w:p w14:paraId="4992F23F" w14:textId="50128FC5" w:rsidR="00170D58" w:rsidRDefault="00170D58" w:rsidP="00A40C21">
      <w:pPr>
        <w:pStyle w:val="Normalparatextwithnumbers"/>
        <w:numPr>
          <w:ilvl w:val="1"/>
          <w:numId w:val="3"/>
        </w:numPr>
      </w:pPr>
      <w:r>
        <w:t xml:space="preserve">In </w:t>
      </w:r>
      <w:r w:rsidR="00FF7C98">
        <w:t>paragraphs</w:t>
      </w:r>
      <w:r>
        <w:t xml:space="preserve"> 37(b) </w:t>
      </w:r>
      <w:r w:rsidR="00FF7C98">
        <w:t>and (</w:t>
      </w:r>
      <w:r>
        <w:t xml:space="preserve">c) of </w:t>
      </w:r>
      <w:r w:rsidR="00FF7C98">
        <w:t xml:space="preserve">the </w:t>
      </w:r>
      <w:r w:rsidR="00FF7C98" w:rsidRPr="00B166F3">
        <w:rPr>
          <w:i/>
          <w:iCs/>
        </w:rPr>
        <w:t>Fringe Benefits Tax Assessment Act 1986</w:t>
      </w:r>
      <w:r>
        <w:t xml:space="preserve">, the word ‘under’ is inadvertently omitted. In both places, the text should read ‘…would…have been allowable to the recipient under section 8-1 of the </w:t>
      </w:r>
      <w:r w:rsidRPr="00B166F3">
        <w:rPr>
          <w:i/>
          <w:iCs/>
        </w:rPr>
        <w:t>Income Tax Assessment Act 1997</w:t>
      </w:r>
      <w:r>
        <w:t>…’.</w:t>
      </w:r>
    </w:p>
    <w:p w14:paraId="0FF57F44" w14:textId="729E0AEC" w:rsidR="00124168" w:rsidRPr="0066679B" w:rsidRDefault="00170D58" w:rsidP="00A40C21">
      <w:pPr>
        <w:pStyle w:val="Normalparatextwithnumbers"/>
        <w:numPr>
          <w:ilvl w:val="1"/>
          <w:numId w:val="3"/>
        </w:numPr>
        <w:rPr>
          <w:rStyle w:val="References"/>
          <w:b w:val="0"/>
          <w:bCs w:val="0"/>
          <w:i w:val="0"/>
          <w:iCs w:val="0"/>
        </w:rPr>
      </w:pPr>
      <w:r>
        <w:t xml:space="preserve">The amendment corrects these errors by inserting the word ‘under’ before ‘section 8-1 of the </w:t>
      </w:r>
      <w:r w:rsidRPr="007D5F36">
        <w:rPr>
          <w:i/>
          <w:iCs/>
        </w:rPr>
        <w:t>Income Tax Assessment Act 1997</w:t>
      </w:r>
      <w:r>
        <w:t xml:space="preserve">’ in both locations. </w:t>
      </w:r>
      <w:r>
        <w:br/>
      </w:r>
      <w:r w:rsidRPr="00056702">
        <w:rPr>
          <w:rStyle w:val="References"/>
        </w:rPr>
        <w:t xml:space="preserve">[Schedule </w:t>
      </w:r>
      <w:r w:rsidR="00665B77">
        <w:rPr>
          <w:rStyle w:val="References"/>
        </w:rPr>
        <w:t>1</w:t>
      </w:r>
      <w:r w:rsidRPr="00056702">
        <w:rPr>
          <w:rStyle w:val="References"/>
        </w:rPr>
        <w:t>, item</w:t>
      </w:r>
      <w:r w:rsidR="00665B77">
        <w:rPr>
          <w:rStyle w:val="References"/>
        </w:rPr>
        <w:t xml:space="preserve"> 16</w:t>
      </w:r>
      <w:r w:rsidRPr="00056702">
        <w:rPr>
          <w:rStyle w:val="References"/>
        </w:rPr>
        <w:t xml:space="preserve">, </w:t>
      </w:r>
      <w:r w:rsidR="00B320BF">
        <w:rPr>
          <w:rStyle w:val="References"/>
        </w:rPr>
        <w:t>section</w:t>
      </w:r>
      <w:r w:rsidR="00665B77">
        <w:rPr>
          <w:rStyle w:val="References"/>
        </w:rPr>
        <w:t xml:space="preserve"> 37 of the Fringe Benefits Tax Assessment Act 1986</w:t>
      </w:r>
      <w:r w:rsidRPr="00056702">
        <w:rPr>
          <w:rStyle w:val="References"/>
        </w:rPr>
        <w:t>]</w:t>
      </w:r>
    </w:p>
    <w:p w14:paraId="12271D05" w14:textId="2B5E6A4A" w:rsidR="004D79C2" w:rsidRDefault="004D79C2" w:rsidP="00A40C21">
      <w:pPr>
        <w:pStyle w:val="Heading6"/>
      </w:pPr>
      <w:r>
        <w:t xml:space="preserve">Division 5 </w:t>
      </w:r>
      <w:r w:rsidR="00983C06">
        <w:t xml:space="preserve">– Disclosure of protected information </w:t>
      </w:r>
    </w:p>
    <w:p w14:paraId="76ABD83A" w14:textId="00E4A2B7" w:rsidR="006D2808" w:rsidRDefault="0066679B" w:rsidP="00A40C21">
      <w:pPr>
        <w:pStyle w:val="Normalparatextwithnumbers"/>
        <w:numPr>
          <w:ilvl w:val="1"/>
          <w:numId w:val="3"/>
        </w:numPr>
      </w:pPr>
      <w:r>
        <w:t xml:space="preserve">The </w:t>
      </w:r>
      <w:r w:rsidRPr="00FB17CA">
        <w:rPr>
          <w:i/>
          <w:iCs/>
        </w:rPr>
        <w:t>Commonwealth Registers Act 2020</w:t>
      </w:r>
      <w:r>
        <w:t xml:space="preserve"> was introduced</w:t>
      </w:r>
      <w:r w:rsidR="000924D1">
        <w:t xml:space="preserve"> to create a new Commonwealth business registry regime. </w:t>
      </w:r>
      <w:r w:rsidR="00672B25">
        <w:t>Amendments were also made</w:t>
      </w:r>
      <w:r>
        <w:t xml:space="preserve"> to the </w:t>
      </w:r>
      <w:r w:rsidRPr="00FB17CA">
        <w:rPr>
          <w:i/>
          <w:iCs/>
        </w:rPr>
        <w:lastRenderedPageBreak/>
        <w:t>Business Names Registration Act 2011</w:t>
      </w:r>
      <w:r>
        <w:t xml:space="preserve">, </w:t>
      </w:r>
      <w:r w:rsidRPr="00FB17CA">
        <w:rPr>
          <w:i/>
          <w:iCs/>
        </w:rPr>
        <w:t xml:space="preserve">Corporations Act 2001 </w:t>
      </w:r>
      <w:r>
        <w:t xml:space="preserve">and </w:t>
      </w:r>
      <w:r w:rsidRPr="00FB17CA">
        <w:rPr>
          <w:i/>
          <w:iCs/>
        </w:rPr>
        <w:t>National Consumer Credit Protection Act 2009</w:t>
      </w:r>
      <w:r w:rsidR="00672B25">
        <w:t xml:space="preserve"> to facilitate the regime. </w:t>
      </w:r>
    </w:p>
    <w:p w14:paraId="682ED3EB" w14:textId="3212F7D6" w:rsidR="0066679B" w:rsidRDefault="0066679B" w:rsidP="00A40C21">
      <w:pPr>
        <w:pStyle w:val="Normalparatextwithnumbers"/>
        <w:numPr>
          <w:ilvl w:val="1"/>
          <w:numId w:val="3"/>
        </w:numPr>
      </w:pPr>
      <w:r>
        <w:t xml:space="preserve">The regime </w:t>
      </w:r>
      <w:r w:rsidR="00634BD9">
        <w:t>provides</w:t>
      </w:r>
      <w:r>
        <w:t xml:space="preserve"> that it is an offence for a person to disclose protected information obtained by the person in the course of their official employment.</w:t>
      </w:r>
      <w:r w:rsidR="006D2808">
        <w:t xml:space="preserve"> However, t</w:t>
      </w:r>
      <w:r>
        <w:t xml:space="preserve">he </w:t>
      </w:r>
      <w:r w:rsidRPr="006D2808">
        <w:rPr>
          <w:i/>
          <w:iCs/>
        </w:rPr>
        <w:t>Commonwealth Registers Act 2020</w:t>
      </w:r>
      <w:r>
        <w:t xml:space="preserve"> does not specify that the offence </w:t>
      </w:r>
      <w:r w:rsidR="006D2808">
        <w:t xml:space="preserve">is </w:t>
      </w:r>
      <w:r>
        <w:t xml:space="preserve">only </w:t>
      </w:r>
      <w:r w:rsidR="006D2808">
        <w:t xml:space="preserve">intended to </w:t>
      </w:r>
      <w:r>
        <w:t>appl</w:t>
      </w:r>
      <w:r w:rsidR="006D2808">
        <w:t>y</w:t>
      </w:r>
      <w:r>
        <w:t xml:space="preserve"> to the disclosure of protected information.</w:t>
      </w:r>
    </w:p>
    <w:p w14:paraId="6784CC5D" w14:textId="27CE1D00" w:rsidR="0066679B" w:rsidRPr="0066679B" w:rsidRDefault="0066679B" w:rsidP="00A40C21">
      <w:pPr>
        <w:pStyle w:val="Normalparatextwithnumbers"/>
        <w:numPr>
          <w:ilvl w:val="1"/>
          <w:numId w:val="3"/>
        </w:numPr>
        <w:rPr>
          <w:rStyle w:val="References"/>
          <w:b w:val="0"/>
          <w:bCs w:val="0"/>
          <w:i w:val="0"/>
          <w:iCs w:val="0"/>
        </w:rPr>
      </w:pPr>
      <w:r>
        <w:t xml:space="preserve">The amendment clarifies that the offence only applies to the disclosure of protected information, ensuring consistency with </w:t>
      </w:r>
      <w:r w:rsidR="00527ADB">
        <w:t xml:space="preserve">similar </w:t>
      </w:r>
      <w:r w:rsidR="00345FF7">
        <w:t>provisions in the C</w:t>
      </w:r>
      <w:r>
        <w:t>ommonwealth business registry regime</w:t>
      </w:r>
      <w:r w:rsidR="00345FF7">
        <w:t xml:space="preserve"> legislative framework</w:t>
      </w:r>
      <w:r>
        <w:t xml:space="preserve">. </w:t>
      </w:r>
      <w:r w:rsidR="00345FF7">
        <w:br/>
      </w:r>
      <w:r w:rsidR="00345FF7" w:rsidRPr="00345FF7">
        <w:rPr>
          <w:rStyle w:val="References"/>
        </w:rPr>
        <w:t xml:space="preserve">[Schedule </w:t>
      </w:r>
      <w:r w:rsidR="009178A3">
        <w:rPr>
          <w:rStyle w:val="References"/>
        </w:rPr>
        <w:t>1</w:t>
      </w:r>
      <w:r w:rsidR="00345FF7" w:rsidRPr="00345FF7">
        <w:rPr>
          <w:rStyle w:val="References"/>
        </w:rPr>
        <w:t>, item</w:t>
      </w:r>
      <w:r w:rsidR="009178A3">
        <w:rPr>
          <w:rStyle w:val="References"/>
        </w:rPr>
        <w:t xml:space="preserve"> 17</w:t>
      </w:r>
      <w:r w:rsidR="00345FF7" w:rsidRPr="00345FF7">
        <w:rPr>
          <w:rStyle w:val="References"/>
        </w:rPr>
        <w:t xml:space="preserve">, </w:t>
      </w:r>
      <w:r w:rsidR="00941A37">
        <w:rPr>
          <w:rStyle w:val="References"/>
        </w:rPr>
        <w:t>section</w:t>
      </w:r>
      <w:r w:rsidR="009178A3">
        <w:rPr>
          <w:rStyle w:val="References"/>
        </w:rPr>
        <w:t xml:space="preserve"> 17 of the Commonwealth Registers Act 2020</w:t>
      </w:r>
      <w:r w:rsidR="00345FF7" w:rsidRPr="00345FF7">
        <w:rPr>
          <w:rStyle w:val="References"/>
        </w:rPr>
        <w:t>]</w:t>
      </w:r>
    </w:p>
    <w:p w14:paraId="1AB87DA9" w14:textId="31D23562" w:rsidR="004D79C2" w:rsidRDefault="004D79C2" w:rsidP="00A40C21">
      <w:pPr>
        <w:pStyle w:val="Heading6"/>
      </w:pPr>
      <w:r>
        <w:t xml:space="preserve">Division 6 – Giving </w:t>
      </w:r>
      <w:r w:rsidR="001142E2">
        <w:t>TFNs</w:t>
      </w:r>
      <w:r>
        <w:t xml:space="preserve"> under </w:t>
      </w:r>
      <w:proofErr w:type="gramStart"/>
      <w:r w:rsidR="001142E2">
        <w:t>c</w:t>
      </w:r>
      <w:r w:rsidR="000C253B">
        <w:t>orporations</w:t>
      </w:r>
      <w:proofErr w:type="gramEnd"/>
      <w:r>
        <w:t xml:space="preserve"> legislation  </w:t>
      </w:r>
    </w:p>
    <w:p w14:paraId="2FF621CF" w14:textId="69EB551C" w:rsidR="0066679B" w:rsidRDefault="0066679B" w:rsidP="00A40C21">
      <w:pPr>
        <w:pStyle w:val="Normalparatextwithnumbers"/>
        <w:numPr>
          <w:ilvl w:val="1"/>
          <w:numId w:val="3"/>
        </w:numPr>
      </w:pPr>
      <w:r>
        <w:t xml:space="preserve">The director identification number initiative is part of the Modernising Business Registers program under the Digital Business Plan. The initiative requires directors of companies to apply for and hold an identification number provided by the Registrar. </w:t>
      </w:r>
    </w:p>
    <w:p w14:paraId="107BCF14" w14:textId="77777777" w:rsidR="0066679B" w:rsidRDefault="0066679B" w:rsidP="00A40C21">
      <w:pPr>
        <w:pStyle w:val="Normalparatextwithnumbers"/>
        <w:numPr>
          <w:ilvl w:val="1"/>
          <w:numId w:val="3"/>
        </w:numPr>
      </w:pPr>
      <w:r>
        <w:t xml:space="preserve">Currently, when a person applies for a director identification number, the Registrar may request, but not compel, that person to provide their tax file number. If the person consents, the tax file number must be provided in writing. </w:t>
      </w:r>
    </w:p>
    <w:p w14:paraId="78C3F3AD" w14:textId="778CDD61" w:rsidR="0066679B" w:rsidRPr="00165624" w:rsidRDefault="00E13D4B" w:rsidP="001142E2">
      <w:pPr>
        <w:pStyle w:val="Normalparatextwithnumbers"/>
        <w:numPr>
          <w:ilvl w:val="0"/>
          <w:numId w:val="0"/>
        </w:numPr>
        <w:ind w:left="709"/>
        <w:rPr>
          <w:rStyle w:val="References"/>
        </w:rPr>
      </w:pPr>
      <w:r>
        <w:t>T</w:t>
      </w:r>
      <w:r w:rsidR="0066679B">
        <w:t xml:space="preserve">he requirement to provide tax file numbers in writing to the Registrar </w:t>
      </w:r>
      <w:r>
        <w:t xml:space="preserve">is removed, </w:t>
      </w:r>
      <w:r w:rsidR="0066679B">
        <w:t>allow</w:t>
      </w:r>
      <w:r>
        <w:t>ing</w:t>
      </w:r>
      <w:r w:rsidR="0066679B">
        <w:t xml:space="preserve"> this information to be collected through non-written means such </w:t>
      </w:r>
      <w:r w:rsidR="008F65AF">
        <w:t>as</w:t>
      </w:r>
      <w:r w:rsidR="0066679B">
        <w:t xml:space="preserve"> electronic communication. This change increases regulator flexibility and helps modernise the relevant </w:t>
      </w:r>
      <w:r w:rsidR="00BC6828">
        <w:t>legislation</w:t>
      </w:r>
      <w:r w:rsidR="0066679B">
        <w:t xml:space="preserve">. </w:t>
      </w:r>
      <w:r w:rsidR="0006257D">
        <w:br/>
      </w:r>
      <w:r w:rsidR="0066679B" w:rsidRPr="0050751D">
        <w:rPr>
          <w:rStyle w:val="References"/>
        </w:rPr>
        <w:t xml:space="preserve">[Schedule </w:t>
      </w:r>
      <w:r w:rsidR="000F1940">
        <w:rPr>
          <w:rStyle w:val="References"/>
        </w:rPr>
        <w:t>1</w:t>
      </w:r>
      <w:r w:rsidR="0066679B" w:rsidRPr="0050751D">
        <w:rPr>
          <w:rStyle w:val="References"/>
        </w:rPr>
        <w:t>, item</w:t>
      </w:r>
      <w:r w:rsidR="000F1940">
        <w:rPr>
          <w:rStyle w:val="References"/>
        </w:rPr>
        <w:t>s 18 and 19</w:t>
      </w:r>
      <w:r w:rsidR="0066679B" w:rsidRPr="0050751D">
        <w:rPr>
          <w:rStyle w:val="References"/>
        </w:rPr>
        <w:t xml:space="preserve">, </w:t>
      </w:r>
      <w:r w:rsidR="00934E39">
        <w:rPr>
          <w:rStyle w:val="References"/>
        </w:rPr>
        <w:t xml:space="preserve">section </w:t>
      </w:r>
      <w:r w:rsidR="000F1940">
        <w:rPr>
          <w:rStyle w:val="References"/>
        </w:rPr>
        <w:t>308-5</w:t>
      </w:r>
      <w:r w:rsidR="0066679B" w:rsidRPr="0050751D">
        <w:rPr>
          <w:rStyle w:val="References"/>
        </w:rPr>
        <w:t xml:space="preserve"> of </w:t>
      </w:r>
      <w:r w:rsidR="002F37DC">
        <w:rPr>
          <w:rStyle w:val="References"/>
        </w:rPr>
        <w:t xml:space="preserve">the </w:t>
      </w:r>
      <w:r w:rsidR="000F1940">
        <w:rPr>
          <w:rStyle w:val="References"/>
        </w:rPr>
        <w:t xml:space="preserve">Corporations (Aboriginal and Torres Strait Islander) Act 2006; Schedule 1, items </w:t>
      </w:r>
      <w:r w:rsidR="004E5F44">
        <w:rPr>
          <w:rStyle w:val="References"/>
        </w:rPr>
        <w:t xml:space="preserve">20 and 21, </w:t>
      </w:r>
      <w:r w:rsidR="002F37DC">
        <w:rPr>
          <w:rStyle w:val="References"/>
        </w:rPr>
        <w:t>section</w:t>
      </w:r>
      <w:r w:rsidR="00604AC0">
        <w:rPr>
          <w:rStyle w:val="References"/>
        </w:rPr>
        <w:t xml:space="preserve"> </w:t>
      </w:r>
      <w:r w:rsidR="004E5F44">
        <w:rPr>
          <w:rStyle w:val="References"/>
        </w:rPr>
        <w:t xml:space="preserve">1272 of </w:t>
      </w:r>
      <w:r w:rsidR="002F37DC">
        <w:rPr>
          <w:rStyle w:val="References"/>
        </w:rPr>
        <w:t xml:space="preserve">the </w:t>
      </w:r>
      <w:r w:rsidR="004E5F44">
        <w:rPr>
          <w:rStyle w:val="References"/>
        </w:rPr>
        <w:t>Corporations Act 2001</w:t>
      </w:r>
      <w:r w:rsidR="0066679B" w:rsidRPr="0050751D">
        <w:rPr>
          <w:rStyle w:val="References"/>
        </w:rPr>
        <w:t>]</w:t>
      </w:r>
    </w:p>
    <w:p w14:paraId="106823A5" w14:textId="449D01D7" w:rsidR="0066679B" w:rsidRDefault="007F4748" w:rsidP="00A40C21">
      <w:pPr>
        <w:pStyle w:val="Normalparatextwithnumbers"/>
        <w:numPr>
          <w:ilvl w:val="1"/>
          <w:numId w:val="3"/>
        </w:numPr>
      </w:pPr>
      <w:r>
        <w:t>An application for a director identification number must meet any requirements of a data standard made by the Registrar under</w:t>
      </w:r>
      <w:r w:rsidR="0066679B" w:rsidRPr="00E43D02">
        <w:t xml:space="preserve"> section 1270G</w:t>
      </w:r>
      <w:r w:rsidR="0066679B">
        <w:t xml:space="preserve"> of the </w:t>
      </w:r>
      <w:r w:rsidR="0066679B" w:rsidRPr="00BF6148">
        <w:rPr>
          <w:i/>
          <w:iCs/>
        </w:rPr>
        <w:t>Corporations Act 2001</w:t>
      </w:r>
      <w:r w:rsidR="0066679B">
        <w:t xml:space="preserve"> (or section 13 of the </w:t>
      </w:r>
      <w:r w:rsidR="0066679B" w:rsidRPr="00BF6148">
        <w:rPr>
          <w:i/>
          <w:iCs/>
        </w:rPr>
        <w:t>Commonwealth Registers Act 2020</w:t>
      </w:r>
      <w:r w:rsidR="0066679B">
        <w:t xml:space="preserve"> for the purposes of the </w:t>
      </w:r>
      <w:r w:rsidR="0066679B" w:rsidRPr="00BF6148">
        <w:rPr>
          <w:i/>
          <w:iCs/>
        </w:rPr>
        <w:t>Corporations (Aboriginal and Torres Strait Islander) Act 2006</w:t>
      </w:r>
      <w:r w:rsidR="0066679B">
        <w:t xml:space="preserve">). </w:t>
      </w:r>
    </w:p>
    <w:p w14:paraId="5093498B" w14:textId="0DB21A57" w:rsidR="004D79C2" w:rsidRDefault="004D79C2" w:rsidP="00A40C21">
      <w:pPr>
        <w:pStyle w:val="Heading6"/>
      </w:pPr>
      <w:r>
        <w:t xml:space="preserve">Division 7 </w:t>
      </w:r>
      <w:r w:rsidR="00DF6EC7">
        <w:t>–</w:t>
      </w:r>
      <w:r>
        <w:t xml:space="preserve"> Consumers</w:t>
      </w:r>
    </w:p>
    <w:p w14:paraId="0BD594BE" w14:textId="0A9433B1" w:rsidR="0040608F" w:rsidRDefault="000A5647" w:rsidP="00A40C21">
      <w:pPr>
        <w:pStyle w:val="Normalparatextwithnumbers"/>
        <w:numPr>
          <w:ilvl w:val="1"/>
          <w:numId w:val="3"/>
        </w:numPr>
      </w:pPr>
      <w:r>
        <w:t xml:space="preserve">Amendments to </w:t>
      </w:r>
      <w:r w:rsidR="002857E3">
        <w:t xml:space="preserve">section 4B of </w:t>
      </w:r>
      <w:r>
        <w:t xml:space="preserve">the </w:t>
      </w:r>
      <w:r w:rsidR="002857E3" w:rsidRPr="00792819">
        <w:rPr>
          <w:i/>
          <w:iCs/>
        </w:rPr>
        <w:t>Competition and Consumer Act 2010</w:t>
      </w:r>
      <w:r>
        <w:t xml:space="preserve"> </w:t>
      </w:r>
      <w:r w:rsidR="00F2080B">
        <w:t>made by the</w:t>
      </w:r>
      <w:r>
        <w:t xml:space="preserve"> </w:t>
      </w:r>
      <w:r w:rsidRPr="00792819">
        <w:rPr>
          <w:i/>
          <w:iCs/>
        </w:rPr>
        <w:t>Treasury Laws Amendment (2020 Measures No .6) Act 2020</w:t>
      </w:r>
      <w:r>
        <w:t xml:space="preserve"> inadvertently removed </w:t>
      </w:r>
      <w:r w:rsidR="00F2080B">
        <w:t xml:space="preserve">a presumption </w:t>
      </w:r>
      <w:r w:rsidR="00792819">
        <w:t xml:space="preserve">provided </w:t>
      </w:r>
      <w:r w:rsidR="002857E3">
        <w:t xml:space="preserve">in that section. </w:t>
      </w:r>
      <w:r w:rsidR="00F2080B">
        <w:t xml:space="preserve">  </w:t>
      </w:r>
    </w:p>
    <w:p w14:paraId="2C475FBD" w14:textId="667DFBDA" w:rsidR="00F2080B" w:rsidRDefault="00065128" w:rsidP="00A40C21">
      <w:pPr>
        <w:pStyle w:val="Normalparatextwithnumbers"/>
        <w:numPr>
          <w:ilvl w:val="1"/>
          <w:numId w:val="3"/>
        </w:numPr>
      </w:pPr>
      <w:r>
        <w:t xml:space="preserve">The presumption provides that for any proceeding under, or in respect of a matter arising under the </w:t>
      </w:r>
      <w:r w:rsidR="002857E3" w:rsidRPr="00792819">
        <w:rPr>
          <w:i/>
          <w:iCs/>
        </w:rPr>
        <w:t>Competition and Consumer Act 2010</w:t>
      </w:r>
      <w:r>
        <w:t xml:space="preserve">, a person is presumed to be </w:t>
      </w:r>
      <w:r w:rsidR="00023F48">
        <w:t xml:space="preserve">a </w:t>
      </w:r>
      <w:r>
        <w:t xml:space="preserve">consumer in relation to </w:t>
      </w:r>
      <w:proofErr w:type="gramStart"/>
      <w:r>
        <w:t>particular goods</w:t>
      </w:r>
      <w:proofErr w:type="gramEnd"/>
      <w:r>
        <w:t xml:space="preserve"> or services, unless the contrary is established. </w:t>
      </w:r>
    </w:p>
    <w:p w14:paraId="1BB7E56A" w14:textId="3FE91B84" w:rsidR="0040608F" w:rsidRPr="0040608F" w:rsidRDefault="006D214E" w:rsidP="00A40C21">
      <w:pPr>
        <w:pStyle w:val="Normalparatextwithnumbers"/>
        <w:numPr>
          <w:ilvl w:val="1"/>
          <w:numId w:val="3"/>
        </w:numPr>
        <w:rPr>
          <w:rStyle w:val="References"/>
          <w:b w:val="0"/>
          <w:bCs w:val="0"/>
          <w:i w:val="0"/>
          <w:iCs w:val="0"/>
        </w:rPr>
      </w:pPr>
      <w:r>
        <w:t>The a</w:t>
      </w:r>
      <w:r w:rsidR="000F3E26">
        <w:t>mendments</w:t>
      </w:r>
      <w:r w:rsidR="0040608F">
        <w:t xml:space="preserve"> reinstate </w:t>
      </w:r>
      <w:r w:rsidR="00377B50">
        <w:t>the</w:t>
      </w:r>
      <w:r w:rsidR="0040608F">
        <w:t xml:space="preserve"> presumption </w:t>
      </w:r>
      <w:r w:rsidR="00065128">
        <w:t xml:space="preserve">and align the definition of consumer under section 3 of the </w:t>
      </w:r>
      <w:r w:rsidR="002857E3" w:rsidRPr="00792819">
        <w:rPr>
          <w:i/>
          <w:iCs/>
        </w:rPr>
        <w:t>Competition and Consumer Act 2010</w:t>
      </w:r>
      <w:r w:rsidR="00065128">
        <w:t xml:space="preserve"> with that in the Australian Consumer Law in Schedule 2 </w:t>
      </w:r>
      <w:r w:rsidR="000F3E26">
        <w:t>to</w:t>
      </w:r>
      <w:r w:rsidR="00065128">
        <w:t xml:space="preserve"> </w:t>
      </w:r>
      <w:r w:rsidR="002857E3">
        <w:t>that Act.</w:t>
      </w:r>
      <w:r w:rsidR="00482365">
        <w:br/>
      </w:r>
      <w:r w:rsidR="00482365" w:rsidRPr="00482365">
        <w:rPr>
          <w:rStyle w:val="References"/>
        </w:rPr>
        <w:lastRenderedPageBreak/>
        <w:t xml:space="preserve">[Schedule </w:t>
      </w:r>
      <w:r w:rsidR="00BF2D68">
        <w:rPr>
          <w:rStyle w:val="References"/>
        </w:rPr>
        <w:t>1</w:t>
      </w:r>
      <w:r w:rsidR="00482365" w:rsidRPr="00482365">
        <w:rPr>
          <w:rStyle w:val="References"/>
        </w:rPr>
        <w:t>, item</w:t>
      </w:r>
      <w:r w:rsidR="00BF2D68">
        <w:rPr>
          <w:rStyle w:val="References"/>
        </w:rPr>
        <w:t>s 22 to 24</w:t>
      </w:r>
      <w:r w:rsidR="00482365" w:rsidRPr="00482365">
        <w:rPr>
          <w:rStyle w:val="References"/>
        </w:rPr>
        <w:t xml:space="preserve">, </w:t>
      </w:r>
      <w:r w:rsidR="00F55A52">
        <w:rPr>
          <w:rStyle w:val="References"/>
        </w:rPr>
        <w:t>section</w:t>
      </w:r>
      <w:r w:rsidR="00AD6CC4">
        <w:rPr>
          <w:rStyle w:val="References"/>
        </w:rPr>
        <w:t>s</w:t>
      </w:r>
      <w:r w:rsidR="00F55A52">
        <w:rPr>
          <w:rStyle w:val="References"/>
        </w:rPr>
        <w:t xml:space="preserve"> 4B</w:t>
      </w:r>
      <w:r w:rsidR="001C58A7">
        <w:rPr>
          <w:rStyle w:val="References"/>
        </w:rPr>
        <w:t xml:space="preserve"> and</w:t>
      </w:r>
      <w:r w:rsidR="00F55A52">
        <w:rPr>
          <w:rStyle w:val="References"/>
        </w:rPr>
        <w:t xml:space="preserve"> 56AI of the C</w:t>
      </w:r>
      <w:r w:rsidR="002857E3">
        <w:rPr>
          <w:rStyle w:val="References"/>
        </w:rPr>
        <w:t>ompetition and Consumer Act 2010</w:t>
      </w:r>
      <w:r w:rsidR="00482365" w:rsidRPr="00482365">
        <w:rPr>
          <w:rStyle w:val="References"/>
        </w:rPr>
        <w:t>]</w:t>
      </w:r>
    </w:p>
    <w:p w14:paraId="0B90B8E3" w14:textId="2DCF5F19" w:rsidR="00004637" w:rsidRDefault="00004637" w:rsidP="00A40C21">
      <w:pPr>
        <w:pStyle w:val="Heading6"/>
      </w:pPr>
      <w:r>
        <w:t>Division 8 – Giving notices under the Superannuation Industry (Supervision) Act 1993</w:t>
      </w:r>
    </w:p>
    <w:p w14:paraId="0C94CF0A" w14:textId="1CFAC1A4" w:rsidR="0040608F" w:rsidRDefault="0040608F" w:rsidP="00A40C21">
      <w:pPr>
        <w:pStyle w:val="Normalparatextwithnumbers"/>
        <w:numPr>
          <w:ilvl w:val="1"/>
          <w:numId w:val="3"/>
        </w:numPr>
      </w:pPr>
      <w:r>
        <w:t xml:space="preserve">The </w:t>
      </w:r>
      <w:r w:rsidRPr="0018694D">
        <w:rPr>
          <w:i/>
          <w:iCs/>
        </w:rPr>
        <w:t>Superannuation Industry (Supervision) Act 1993</w:t>
      </w:r>
      <w:r>
        <w:t xml:space="preserve"> </w:t>
      </w:r>
      <w:r w:rsidR="00E61EB5">
        <w:t xml:space="preserve">previously </w:t>
      </w:r>
      <w:r>
        <w:t>require</w:t>
      </w:r>
      <w:r w:rsidR="00E61EB5">
        <w:t>d</w:t>
      </w:r>
      <w:r>
        <w:t xml:space="preserve"> regulators to publish a notice in the Gazette </w:t>
      </w:r>
      <w:r w:rsidR="00792819">
        <w:t xml:space="preserve">when </w:t>
      </w:r>
      <w:r>
        <w:t xml:space="preserve">they make decisions in relation to the disqualification, confirmation, revocation or variation of a person acting </w:t>
      </w:r>
      <w:r w:rsidR="001303E0">
        <w:t xml:space="preserve">in certain capacities. </w:t>
      </w:r>
    </w:p>
    <w:p w14:paraId="43D77039" w14:textId="0ADC8F16" w:rsidR="0040608F" w:rsidRDefault="0040608F" w:rsidP="00A40C21">
      <w:pPr>
        <w:pStyle w:val="Normalparatextwithnumbers"/>
        <w:numPr>
          <w:ilvl w:val="1"/>
          <w:numId w:val="3"/>
        </w:numPr>
      </w:pPr>
      <w:r>
        <w:t xml:space="preserve">The </w:t>
      </w:r>
      <w:r w:rsidRPr="0018694D">
        <w:rPr>
          <w:i/>
          <w:iCs/>
        </w:rPr>
        <w:t>Superannuation Industry (Supervision) Act 1993</w:t>
      </w:r>
      <w:r>
        <w:rPr>
          <w:i/>
          <w:iCs/>
        </w:rPr>
        <w:t xml:space="preserve"> </w:t>
      </w:r>
      <w:r>
        <w:t>also allow</w:t>
      </w:r>
      <w:r w:rsidR="001303E0">
        <w:t>ed</w:t>
      </w:r>
      <w:r>
        <w:t xml:space="preserve"> the regulator, by notice published in the Gazette, to extend the lodgement period for a specified class of filled-up survey forms. </w:t>
      </w:r>
    </w:p>
    <w:p w14:paraId="3AF92063" w14:textId="3788B4DC" w:rsidR="0040608F" w:rsidRPr="00E224F0" w:rsidRDefault="0040608F" w:rsidP="00A40C21">
      <w:pPr>
        <w:pStyle w:val="Normalparatextwithnumbers"/>
        <w:numPr>
          <w:ilvl w:val="1"/>
          <w:numId w:val="3"/>
        </w:numPr>
        <w:rPr>
          <w:rStyle w:val="References"/>
          <w:b w:val="0"/>
          <w:bCs w:val="0"/>
          <w:i w:val="0"/>
          <w:iCs w:val="0"/>
        </w:rPr>
      </w:pPr>
      <w:r>
        <w:t>The amendment</w:t>
      </w:r>
      <w:r w:rsidR="001303E0">
        <w:t>s</w:t>
      </w:r>
      <w:r>
        <w:t xml:space="preserve"> update the </w:t>
      </w:r>
      <w:r w:rsidRPr="00E224F0">
        <w:rPr>
          <w:i/>
          <w:iCs/>
        </w:rPr>
        <w:t>Superannuation Industry (Supervision) Act 1993</w:t>
      </w:r>
      <w:r>
        <w:t xml:space="preserve"> to ensure that notice</w:t>
      </w:r>
      <w:r w:rsidR="001303E0">
        <w:t>s</w:t>
      </w:r>
      <w:r>
        <w:t xml:space="preserve"> of </w:t>
      </w:r>
      <w:r w:rsidR="001303E0">
        <w:t xml:space="preserve">relevant </w:t>
      </w:r>
      <w:r>
        <w:t xml:space="preserve">decisions are published by notifiable instrument instead by </w:t>
      </w:r>
      <w:r w:rsidR="00792819">
        <w:t xml:space="preserve">notice </w:t>
      </w:r>
      <w:r>
        <w:t xml:space="preserve">in the Gazette. </w:t>
      </w:r>
      <w:r w:rsidR="00493F3A">
        <w:t xml:space="preserve">This change is consistent with modern drafting practice to use notifiable instruments to issue notices of decisions. </w:t>
      </w:r>
      <w:r w:rsidR="001303E0">
        <w:br/>
      </w:r>
      <w:r w:rsidR="001303E0" w:rsidRPr="001303E0">
        <w:rPr>
          <w:rStyle w:val="References"/>
        </w:rPr>
        <w:t xml:space="preserve">[Schedule </w:t>
      </w:r>
      <w:r w:rsidR="00964364">
        <w:rPr>
          <w:rStyle w:val="References"/>
        </w:rPr>
        <w:t>1</w:t>
      </w:r>
      <w:r w:rsidR="001303E0" w:rsidRPr="001303E0">
        <w:rPr>
          <w:rStyle w:val="References"/>
        </w:rPr>
        <w:t>, item</w:t>
      </w:r>
      <w:r w:rsidR="002857E3">
        <w:rPr>
          <w:rStyle w:val="References"/>
        </w:rPr>
        <w:t>s</w:t>
      </w:r>
      <w:r w:rsidR="00964364">
        <w:rPr>
          <w:rStyle w:val="References"/>
        </w:rPr>
        <w:t xml:space="preserve"> 25 to 42, </w:t>
      </w:r>
      <w:r w:rsidR="00F7401E">
        <w:rPr>
          <w:rStyle w:val="References"/>
        </w:rPr>
        <w:t>sections</w:t>
      </w:r>
      <w:r w:rsidR="00964364">
        <w:rPr>
          <w:rStyle w:val="References"/>
        </w:rPr>
        <w:t xml:space="preserve"> 126A, 126H, 130D, 130F, 131</w:t>
      </w:r>
      <w:r w:rsidR="00493F3A">
        <w:rPr>
          <w:rStyle w:val="References"/>
        </w:rPr>
        <w:t xml:space="preserve"> and 347A</w:t>
      </w:r>
      <w:r w:rsidR="00F7401E">
        <w:rPr>
          <w:rStyle w:val="References"/>
        </w:rPr>
        <w:t xml:space="preserve"> </w:t>
      </w:r>
      <w:r w:rsidR="00493F3A">
        <w:rPr>
          <w:rStyle w:val="References"/>
        </w:rPr>
        <w:t>of the Superannuation Industry (Supervision) Act 1993]</w:t>
      </w:r>
    </w:p>
    <w:p w14:paraId="1F39A11C" w14:textId="17711F89" w:rsidR="00004637" w:rsidRDefault="00004637" w:rsidP="00A40C21">
      <w:pPr>
        <w:pStyle w:val="Heading6"/>
      </w:pPr>
      <w:r>
        <w:t xml:space="preserve">Division 9 – Declarations for fringe benefits tax assessment  </w:t>
      </w:r>
    </w:p>
    <w:p w14:paraId="441479DF" w14:textId="55C955AF" w:rsidR="005F24D2" w:rsidRDefault="00C408BF" w:rsidP="00A40C21">
      <w:pPr>
        <w:pStyle w:val="Normalparatextwithnumbers"/>
        <w:numPr>
          <w:ilvl w:val="1"/>
          <w:numId w:val="3"/>
        </w:numPr>
      </w:pPr>
      <w:r>
        <w:t>P</w:t>
      </w:r>
      <w:r w:rsidR="0067514E">
        <w:t>erson</w:t>
      </w:r>
      <w:r>
        <w:t>s</w:t>
      </w:r>
      <w:r w:rsidR="0067514E">
        <w:t xml:space="preserve"> who a</w:t>
      </w:r>
      <w:r>
        <w:t>re</w:t>
      </w:r>
      <w:r w:rsidR="0067514E">
        <w:t xml:space="preserve"> recipient</w:t>
      </w:r>
      <w:r>
        <w:t>s</w:t>
      </w:r>
      <w:r w:rsidR="0067514E">
        <w:t xml:space="preserve"> of </w:t>
      </w:r>
      <w:r>
        <w:t>certain</w:t>
      </w:r>
      <w:r w:rsidR="0067514E">
        <w:t xml:space="preserve"> fringe benefit</w:t>
      </w:r>
      <w:r>
        <w:t>s</w:t>
      </w:r>
      <w:r w:rsidR="00887E0B">
        <w:t xml:space="preserve"> under the </w:t>
      </w:r>
      <w:r w:rsidR="00887E0B" w:rsidRPr="00E5200F">
        <w:rPr>
          <w:i/>
          <w:iCs/>
        </w:rPr>
        <w:t>Fringe Benefits Tax Assessment Act 1986</w:t>
      </w:r>
      <w:r w:rsidR="0067514E">
        <w:t xml:space="preserve"> </w:t>
      </w:r>
      <w:r>
        <w:t>are</w:t>
      </w:r>
      <w:r w:rsidR="0067514E">
        <w:t xml:space="preserve"> required to </w:t>
      </w:r>
      <w:r w:rsidR="005F24D2">
        <w:t>give their employer a declaration</w:t>
      </w:r>
      <w:r w:rsidR="00363AEE">
        <w:t xml:space="preserve">. The declaration </w:t>
      </w:r>
      <w:r>
        <w:t xml:space="preserve">must </w:t>
      </w:r>
      <w:r w:rsidR="00363AEE">
        <w:t>purport</w:t>
      </w:r>
      <w:r w:rsidR="005F24D2">
        <w:t xml:space="preserve"> to set out</w:t>
      </w:r>
      <w:r w:rsidR="0062431D">
        <w:t xml:space="preserve"> ‘</w:t>
      </w:r>
      <w:r w:rsidR="005F24D2">
        <w:t>particulars of the car’</w:t>
      </w:r>
      <w:r w:rsidR="0062431D">
        <w:t xml:space="preserve"> (among other things)</w:t>
      </w:r>
      <w:r w:rsidR="005F24D2">
        <w:t>. The declaration supports a reduction of the taxable value of:</w:t>
      </w:r>
    </w:p>
    <w:p w14:paraId="609430A2" w14:textId="4CC04388" w:rsidR="005F24D2" w:rsidRDefault="005F24D2" w:rsidP="00A40C21">
      <w:pPr>
        <w:pStyle w:val="Normalparatextwithnumbers"/>
        <w:numPr>
          <w:ilvl w:val="0"/>
          <w:numId w:val="24"/>
        </w:numPr>
      </w:pPr>
      <w:r>
        <w:t>fringe benefits in respect of overseas employment holiday transport (see section 61A</w:t>
      </w:r>
      <w:r w:rsidR="00693C77">
        <w:t xml:space="preserve"> of that Act</w:t>
      </w:r>
      <w:proofErr w:type="gramStart"/>
      <w:r>
        <w:t>)</w:t>
      </w:r>
      <w:r w:rsidR="00693C77">
        <w:t>;</w:t>
      </w:r>
      <w:proofErr w:type="gramEnd"/>
    </w:p>
    <w:p w14:paraId="301AA1C7" w14:textId="5934B6E9" w:rsidR="005F24D2" w:rsidRDefault="005F24D2" w:rsidP="00A40C21">
      <w:pPr>
        <w:pStyle w:val="Normalparatextwithnumbers"/>
        <w:numPr>
          <w:ilvl w:val="0"/>
          <w:numId w:val="24"/>
        </w:numPr>
      </w:pPr>
      <w:r>
        <w:t>certain expense payment fringe benefits in respect of relocation transport (see section 61B</w:t>
      </w:r>
      <w:r w:rsidR="00693C77">
        <w:t xml:space="preserve"> of that Act</w:t>
      </w:r>
      <w:proofErr w:type="gramStart"/>
      <w:r>
        <w:t>)</w:t>
      </w:r>
      <w:r w:rsidR="00693C77">
        <w:t>;</w:t>
      </w:r>
      <w:proofErr w:type="gramEnd"/>
    </w:p>
    <w:p w14:paraId="08BD0A7D" w14:textId="1EEBEEA4" w:rsidR="005F24D2" w:rsidRDefault="005F24D2" w:rsidP="00A40C21">
      <w:pPr>
        <w:pStyle w:val="Normalparatextwithnumbers"/>
        <w:numPr>
          <w:ilvl w:val="0"/>
          <w:numId w:val="24"/>
        </w:numPr>
      </w:pPr>
      <w:r>
        <w:t>certain expense payment fringe benefits in respect of employment interviews or selection tests (see section 61E</w:t>
      </w:r>
      <w:r w:rsidR="00693C77">
        <w:t xml:space="preserve"> of that Act</w:t>
      </w:r>
      <w:r>
        <w:t xml:space="preserve">); or </w:t>
      </w:r>
    </w:p>
    <w:p w14:paraId="574823EB" w14:textId="46638212" w:rsidR="005F24D2" w:rsidRDefault="005F24D2" w:rsidP="00A40C21">
      <w:pPr>
        <w:pStyle w:val="Normalparatextwithnumbers"/>
        <w:numPr>
          <w:ilvl w:val="0"/>
          <w:numId w:val="24"/>
        </w:numPr>
      </w:pPr>
      <w:r>
        <w:t>certain expense payment fringe benefits associated with work-related medical examinations, medical screenings, preventative health care or counselling or migrant language training (see section 61F</w:t>
      </w:r>
      <w:r w:rsidR="00693C77">
        <w:t xml:space="preserve"> of that Act</w:t>
      </w:r>
      <w:r>
        <w:t xml:space="preserve">). </w:t>
      </w:r>
    </w:p>
    <w:p w14:paraId="041B7656" w14:textId="2BA9A485" w:rsidR="005F24D2" w:rsidRDefault="006D214E" w:rsidP="00A40C21">
      <w:pPr>
        <w:pStyle w:val="Normalparatextwithnumbers"/>
        <w:numPr>
          <w:ilvl w:val="1"/>
          <w:numId w:val="3"/>
        </w:numPr>
      </w:pPr>
      <w:r>
        <w:t>The a</w:t>
      </w:r>
      <w:r w:rsidR="005F24D2">
        <w:t xml:space="preserve">mendments remove the reference to ‘particulars of the car’ as a requirement to be set out in a declaration. </w:t>
      </w:r>
      <w:r w:rsidR="00044892">
        <w:t>It</w:t>
      </w:r>
      <w:r w:rsidR="005F24D2">
        <w:t xml:space="preserve"> is no</w:t>
      </w:r>
      <w:r w:rsidR="00C025E3">
        <w:t xml:space="preserve"> longer</w:t>
      </w:r>
      <w:r w:rsidR="005F24D2">
        <w:t xml:space="preserve"> necessary </w:t>
      </w:r>
      <w:r w:rsidR="00044892">
        <w:t xml:space="preserve">for the Commissioner of Taxation </w:t>
      </w:r>
      <w:r w:rsidR="005F24D2">
        <w:t>to obtain this information</w:t>
      </w:r>
      <w:r w:rsidR="00044892">
        <w:t xml:space="preserve"> to administer the relevant provisions</w:t>
      </w:r>
      <w:r w:rsidR="005F24D2" w:rsidRPr="00554688">
        <w:t>.</w:t>
      </w:r>
      <w:r w:rsidR="005F24D2">
        <w:t xml:space="preserve"> </w:t>
      </w:r>
      <w:r w:rsidR="00C025E3">
        <w:br/>
      </w:r>
      <w:r w:rsidR="00C025E3" w:rsidRPr="00C025E3">
        <w:rPr>
          <w:rStyle w:val="References"/>
        </w:rPr>
        <w:t xml:space="preserve">[Schedule </w:t>
      </w:r>
      <w:r w:rsidR="00073032">
        <w:rPr>
          <w:rStyle w:val="References"/>
        </w:rPr>
        <w:t>1</w:t>
      </w:r>
      <w:r w:rsidR="00C025E3" w:rsidRPr="00C025E3">
        <w:rPr>
          <w:rStyle w:val="References"/>
        </w:rPr>
        <w:t>, item</w:t>
      </w:r>
      <w:r w:rsidR="00073032">
        <w:rPr>
          <w:rStyle w:val="References"/>
        </w:rPr>
        <w:t xml:space="preserve"> 43 to 4</w:t>
      </w:r>
      <w:r w:rsidR="00D76AF3">
        <w:rPr>
          <w:rStyle w:val="References"/>
        </w:rPr>
        <w:t>8</w:t>
      </w:r>
      <w:r w:rsidR="00073032">
        <w:rPr>
          <w:rStyle w:val="References"/>
        </w:rPr>
        <w:t xml:space="preserve">, </w:t>
      </w:r>
      <w:r w:rsidR="00405307">
        <w:rPr>
          <w:rStyle w:val="References"/>
        </w:rPr>
        <w:t>sections</w:t>
      </w:r>
      <w:r w:rsidR="00073032">
        <w:rPr>
          <w:rStyle w:val="References"/>
        </w:rPr>
        <w:t xml:space="preserve"> 61A, 61B, 61E and 61F of the Fringe Benefits Tax Assessment Act 1986</w:t>
      </w:r>
      <w:r w:rsidR="00C025E3" w:rsidRPr="00C025E3">
        <w:rPr>
          <w:rStyle w:val="References"/>
        </w:rPr>
        <w:t>]</w:t>
      </w:r>
    </w:p>
    <w:p w14:paraId="6107C2C8" w14:textId="37A3EFEE" w:rsidR="00004637" w:rsidRDefault="00004637" w:rsidP="00A40C21">
      <w:pPr>
        <w:pStyle w:val="Heading6"/>
      </w:pPr>
      <w:r w:rsidRPr="0040549B">
        <w:lastRenderedPageBreak/>
        <w:t>Division 10 – Cross reference update</w:t>
      </w:r>
    </w:p>
    <w:p w14:paraId="780440D1" w14:textId="04A92545" w:rsidR="005559C5" w:rsidRDefault="00E50BC4" w:rsidP="00A40C21">
      <w:pPr>
        <w:pStyle w:val="Normalparatextwithnumbers"/>
        <w:numPr>
          <w:ilvl w:val="1"/>
          <w:numId w:val="3"/>
        </w:numPr>
        <w:rPr>
          <w:rStyle w:val="References"/>
          <w:b w:val="0"/>
          <w:bCs w:val="0"/>
          <w:i w:val="0"/>
          <w:iCs w:val="0"/>
        </w:rPr>
      </w:pPr>
      <w:r w:rsidRPr="0016272A">
        <w:rPr>
          <w:rStyle w:val="References"/>
          <w:b w:val="0"/>
          <w:bCs w:val="0"/>
          <w:i w:val="0"/>
          <w:iCs w:val="0"/>
        </w:rPr>
        <w:t>Table i</w:t>
      </w:r>
      <w:r w:rsidR="0026160B" w:rsidRPr="0016272A">
        <w:rPr>
          <w:rStyle w:val="References"/>
          <w:b w:val="0"/>
          <w:bCs w:val="0"/>
          <w:i w:val="0"/>
          <w:iCs w:val="0"/>
        </w:rPr>
        <w:t xml:space="preserve">tem 24 of </w:t>
      </w:r>
      <w:r w:rsidR="0016272A" w:rsidRPr="0016272A">
        <w:rPr>
          <w:rStyle w:val="References"/>
          <w:b w:val="0"/>
          <w:bCs w:val="0"/>
          <w:i w:val="0"/>
          <w:iCs w:val="0"/>
        </w:rPr>
        <w:t>the table in sub</w:t>
      </w:r>
      <w:r w:rsidR="0026160B" w:rsidRPr="0016272A">
        <w:rPr>
          <w:rStyle w:val="References"/>
          <w:b w:val="0"/>
          <w:bCs w:val="0"/>
          <w:i w:val="0"/>
          <w:iCs w:val="0"/>
        </w:rPr>
        <w:t>section 6</w:t>
      </w:r>
      <w:r w:rsidR="0016272A" w:rsidRPr="0016272A">
        <w:rPr>
          <w:rStyle w:val="References"/>
          <w:b w:val="0"/>
          <w:bCs w:val="0"/>
          <w:i w:val="0"/>
          <w:iCs w:val="0"/>
        </w:rPr>
        <w:t>(1)</w:t>
      </w:r>
      <w:r w:rsidR="0026160B" w:rsidRPr="0016272A">
        <w:rPr>
          <w:rStyle w:val="References"/>
          <w:b w:val="0"/>
          <w:bCs w:val="0"/>
          <w:i w:val="0"/>
          <w:iCs w:val="0"/>
        </w:rPr>
        <w:t xml:space="preserve"> of the </w:t>
      </w:r>
      <w:r w:rsidR="0026160B" w:rsidRPr="0016272A">
        <w:rPr>
          <w:rStyle w:val="References"/>
          <w:b w:val="0"/>
          <w:bCs w:val="0"/>
        </w:rPr>
        <w:t>Superannuation Industry (Supervision) Act 1993</w:t>
      </w:r>
      <w:r w:rsidR="0026160B" w:rsidRPr="0016272A">
        <w:rPr>
          <w:rStyle w:val="References"/>
          <w:b w:val="0"/>
          <w:bCs w:val="0"/>
          <w:i w:val="0"/>
          <w:iCs w:val="0"/>
        </w:rPr>
        <w:t xml:space="preserve"> references regulators who are responsible for the administration of </w:t>
      </w:r>
      <w:r w:rsidR="000A7B95">
        <w:rPr>
          <w:rStyle w:val="References"/>
          <w:b w:val="0"/>
          <w:bCs w:val="0"/>
          <w:i w:val="0"/>
          <w:iCs w:val="0"/>
        </w:rPr>
        <w:t>section</w:t>
      </w:r>
      <w:r w:rsidR="000A7B95" w:rsidRPr="0016272A">
        <w:rPr>
          <w:rStyle w:val="References"/>
          <w:b w:val="0"/>
          <w:bCs w:val="0"/>
          <w:i w:val="0"/>
          <w:iCs w:val="0"/>
        </w:rPr>
        <w:t xml:space="preserve"> </w:t>
      </w:r>
      <w:r w:rsidR="0026160B" w:rsidRPr="0016272A">
        <w:rPr>
          <w:rStyle w:val="References"/>
          <w:b w:val="0"/>
          <w:bCs w:val="0"/>
          <w:i w:val="0"/>
          <w:iCs w:val="0"/>
        </w:rPr>
        <w:t>6</w:t>
      </w:r>
      <w:r w:rsidR="000A7B95">
        <w:rPr>
          <w:rStyle w:val="References"/>
          <w:b w:val="0"/>
          <w:bCs w:val="0"/>
          <w:i w:val="0"/>
          <w:iCs w:val="0"/>
        </w:rPr>
        <w:t>4</w:t>
      </w:r>
      <w:r w:rsidR="0026160B" w:rsidRPr="0016272A">
        <w:rPr>
          <w:rStyle w:val="References"/>
          <w:b w:val="0"/>
          <w:bCs w:val="0"/>
          <w:i w:val="0"/>
          <w:iCs w:val="0"/>
        </w:rPr>
        <w:t xml:space="preserve">A of that Act. </w:t>
      </w:r>
    </w:p>
    <w:p w14:paraId="55BA1CE2" w14:textId="020FD5B0" w:rsidR="000927D0" w:rsidRPr="0016272A" w:rsidRDefault="002F5710" w:rsidP="00A40C21">
      <w:pPr>
        <w:pStyle w:val="Normalparatextwithnumbers"/>
        <w:numPr>
          <w:ilvl w:val="1"/>
          <w:numId w:val="3"/>
        </w:numPr>
        <w:rPr>
          <w:rStyle w:val="References"/>
          <w:b w:val="0"/>
          <w:bCs w:val="0"/>
          <w:i w:val="0"/>
          <w:iCs w:val="0"/>
        </w:rPr>
      </w:pPr>
      <w:r w:rsidRPr="0016272A">
        <w:rPr>
          <w:rStyle w:val="References"/>
          <w:b w:val="0"/>
          <w:bCs w:val="0"/>
          <w:i w:val="0"/>
          <w:iCs w:val="0"/>
        </w:rPr>
        <w:t>T</w:t>
      </w:r>
      <w:r w:rsidR="0026160B" w:rsidRPr="0016272A">
        <w:rPr>
          <w:rStyle w:val="References"/>
          <w:b w:val="0"/>
          <w:bCs w:val="0"/>
          <w:i w:val="0"/>
          <w:iCs w:val="0"/>
        </w:rPr>
        <w:t xml:space="preserve">he </w:t>
      </w:r>
      <w:r w:rsidR="0026160B" w:rsidRPr="0016272A">
        <w:rPr>
          <w:rStyle w:val="References"/>
          <w:b w:val="0"/>
          <w:bCs w:val="0"/>
        </w:rPr>
        <w:t xml:space="preserve">Treasury Laws Amendment (Putting </w:t>
      </w:r>
      <w:r w:rsidR="000A7B95">
        <w:rPr>
          <w:rStyle w:val="References"/>
          <w:b w:val="0"/>
          <w:bCs w:val="0"/>
        </w:rPr>
        <w:t>Consumers</w:t>
      </w:r>
      <w:r w:rsidR="000A7B95" w:rsidRPr="0016272A">
        <w:rPr>
          <w:rStyle w:val="References"/>
          <w:b w:val="0"/>
          <w:bCs w:val="0"/>
        </w:rPr>
        <w:t xml:space="preserve"> </w:t>
      </w:r>
      <w:r w:rsidR="0026160B" w:rsidRPr="0016272A">
        <w:rPr>
          <w:rStyle w:val="References"/>
          <w:b w:val="0"/>
          <w:bCs w:val="0"/>
        </w:rPr>
        <w:t>First – Establishment of the Australian Financial Complaints Authority) Act 2018</w:t>
      </w:r>
      <w:r w:rsidRPr="0016272A">
        <w:rPr>
          <w:rStyle w:val="References"/>
          <w:b w:val="0"/>
          <w:bCs w:val="0"/>
          <w:i w:val="0"/>
          <w:iCs w:val="0"/>
        </w:rPr>
        <w:t xml:space="preserve"> repealed</w:t>
      </w:r>
      <w:r w:rsidR="0026160B" w:rsidRPr="0016272A">
        <w:rPr>
          <w:rStyle w:val="References"/>
          <w:b w:val="0"/>
          <w:bCs w:val="0"/>
          <w:i w:val="0"/>
          <w:iCs w:val="0"/>
        </w:rPr>
        <w:t xml:space="preserve"> </w:t>
      </w:r>
      <w:r w:rsidR="000A7B95">
        <w:rPr>
          <w:rStyle w:val="References"/>
          <w:b w:val="0"/>
          <w:bCs w:val="0"/>
          <w:i w:val="0"/>
          <w:iCs w:val="0"/>
        </w:rPr>
        <w:t>section</w:t>
      </w:r>
      <w:r w:rsidR="000A7B95" w:rsidRPr="0016272A">
        <w:rPr>
          <w:rStyle w:val="References"/>
          <w:b w:val="0"/>
          <w:bCs w:val="0"/>
          <w:i w:val="0"/>
          <w:iCs w:val="0"/>
        </w:rPr>
        <w:t xml:space="preserve"> </w:t>
      </w:r>
      <w:r w:rsidR="00322887" w:rsidRPr="0016272A">
        <w:rPr>
          <w:rStyle w:val="References"/>
          <w:b w:val="0"/>
          <w:bCs w:val="0"/>
          <w:i w:val="0"/>
          <w:iCs w:val="0"/>
        </w:rPr>
        <w:t>6</w:t>
      </w:r>
      <w:r w:rsidR="000A7B95">
        <w:rPr>
          <w:rStyle w:val="References"/>
          <w:b w:val="0"/>
          <w:bCs w:val="0"/>
          <w:i w:val="0"/>
          <w:iCs w:val="0"/>
        </w:rPr>
        <w:t>4</w:t>
      </w:r>
      <w:r w:rsidR="00322887" w:rsidRPr="0016272A">
        <w:rPr>
          <w:rStyle w:val="References"/>
          <w:b w:val="0"/>
          <w:bCs w:val="0"/>
          <w:i w:val="0"/>
          <w:iCs w:val="0"/>
        </w:rPr>
        <w:t>A of that Act, meaning table item 24</w:t>
      </w:r>
      <w:r w:rsidR="0016272A" w:rsidRPr="0016272A">
        <w:rPr>
          <w:rStyle w:val="References"/>
          <w:b w:val="0"/>
          <w:bCs w:val="0"/>
          <w:i w:val="0"/>
          <w:iCs w:val="0"/>
        </w:rPr>
        <w:t xml:space="preserve"> </w:t>
      </w:r>
      <w:r w:rsidR="00322887" w:rsidRPr="0016272A">
        <w:rPr>
          <w:rStyle w:val="References"/>
          <w:b w:val="0"/>
          <w:bCs w:val="0"/>
          <w:i w:val="0"/>
          <w:iCs w:val="0"/>
        </w:rPr>
        <w:t>is now redundant</w:t>
      </w:r>
      <w:r w:rsidR="0026160B" w:rsidRPr="0016272A">
        <w:rPr>
          <w:rStyle w:val="References"/>
          <w:b w:val="0"/>
          <w:bCs w:val="0"/>
          <w:i w:val="0"/>
          <w:iCs w:val="0"/>
        </w:rPr>
        <w:t xml:space="preserve">. </w:t>
      </w:r>
      <w:r w:rsidR="0016272A">
        <w:rPr>
          <w:rStyle w:val="References"/>
          <w:b w:val="0"/>
          <w:bCs w:val="0"/>
          <w:i w:val="0"/>
          <w:iCs w:val="0"/>
        </w:rPr>
        <w:t>Accordingly, table item 24 is repealed</w:t>
      </w:r>
      <w:r w:rsidR="0026160B" w:rsidRPr="0016272A">
        <w:rPr>
          <w:rStyle w:val="References"/>
          <w:b w:val="0"/>
          <w:bCs w:val="0"/>
          <w:i w:val="0"/>
          <w:iCs w:val="0"/>
        </w:rPr>
        <w:t xml:space="preserve">. </w:t>
      </w:r>
      <w:r w:rsidR="0026160B" w:rsidRPr="0016272A">
        <w:rPr>
          <w:rStyle w:val="References"/>
          <w:b w:val="0"/>
          <w:bCs w:val="0"/>
          <w:i w:val="0"/>
          <w:iCs w:val="0"/>
        </w:rPr>
        <w:br/>
      </w:r>
      <w:r w:rsidR="0026160B" w:rsidRPr="009A28B4">
        <w:rPr>
          <w:rStyle w:val="References"/>
        </w:rPr>
        <w:t xml:space="preserve">[Schedule </w:t>
      </w:r>
      <w:r w:rsidR="002207CE">
        <w:rPr>
          <w:rStyle w:val="References"/>
        </w:rPr>
        <w:t>1</w:t>
      </w:r>
      <w:r w:rsidR="0026160B" w:rsidRPr="009A28B4">
        <w:rPr>
          <w:rStyle w:val="References"/>
        </w:rPr>
        <w:t>, item</w:t>
      </w:r>
      <w:r w:rsidR="002207CE">
        <w:rPr>
          <w:rStyle w:val="References"/>
        </w:rPr>
        <w:t xml:space="preserve"> 4</w:t>
      </w:r>
      <w:r w:rsidR="00D76AF3">
        <w:rPr>
          <w:rStyle w:val="References"/>
        </w:rPr>
        <w:t>9</w:t>
      </w:r>
      <w:r w:rsidR="002207CE">
        <w:rPr>
          <w:rStyle w:val="References"/>
        </w:rPr>
        <w:t xml:space="preserve">, table item </w:t>
      </w:r>
      <w:r w:rsidR="00596560">
        <w:rPr>
          <w:rStyle w:val="References"/>
        </w:rPr>
        <w:t xml:space="preserve">24 </w:t>
      </w:r>
      <w:r w:rsidR="0016272A">
        <w:rPr>
          <w:rStyle w:val="References"/>
        </w:rPr>
        <w:t>of the table in sub</w:t>
      </w:r>
      <w:r w:rsidR="00596560">
        <w:rPr>
          <w:rStyle w:val="References"/>
        </w:rPr>
        <w:t>section 6</w:t>
      </w:r>
      <w:r w:rsidR="0016272A">
        <w:rPr>
          <w:rStyle w:val="References"/>
        </w:rPr>
        <w:t>(1)</w:t>
      </w:r>
      <w:r w:rsidR="00596560">
        <w:rPr>
          <w:rStyle w:val="References"/>
        </w:rPr>
        <w:t xml:space="preserve"> </w:t>
      </w:r>
      <w:r w:rsidR="002207CE">
        <w:rPr>
          <w:rStyle w:val="References"/>
        </w:rPr>
        <w:t>of the Superannuation Industry (Supervision) Act 1993]</w:t>
      </w:r>
    </w:p>
    <w:p w14:paraId="1B052D3A" w14:textId="6A5C1E6A" w:rsidR="00004637" w:rsidRPr="00004637" w:rsidRDefault="00004637" w:rsidP="00A40C21">
      <w:pPr>
        <w:pStyle w:val="Heading6"/>
        <w:rPr>
          <w:rStyle w:val="References"/>
          <w:rFonts w:ascii="Helvitica" w:hAnsi="Helvitica"/>
          <w:b w:val="0"/>
          <w:bCs w:val="0"/>
          <w:i/>
          <w:iCs w:val="0"/>
        </w:rPr>
      </w:pPr>
      <w:r>
        <w:t xml:space="preserve">Division 11 – Exempt core Part 3 actions  </w:t>
      </w:r>
    </w:p>
    <w:p w14:paraId="0F6612BA" w14:textId="3B30A08D" w:rsidR="00201CDF" w:rsidRDefault="00201CDF" w:rsidP="00A40C21">
      <w:pPr>
        <w:pStyle w:val="Normalparatextwithnumbers"/>
        <w:numPr>
          <w:ilvl w:val="1"/>
          <w:numId w:val="3"/>
        </w:numPr>
      </w:pPr>
      <w:r>
        <w:t xml:space="preserve">Section 4 of the </w:t>
      </w:r>
      <w:r w:rsidRPr="006C12B0">
        <w:rPr>
          <w:i/>
          <w:iCs/>
        </w:rPr>
        <w:t>Foreign Acquisitions and Takeovers Act 1975</w:t>
      </w:r>
      <w:r>
        <w:t>, defines ‘core Part 3 action’ as an action taken by a foreign person which is:</w:t>
      </w:r>
    </w:p>
    <w:p w14:paraId="59E92B0E" w14:textId="5F27B638" w:rsidR="00201CDF" w:rsidRDefault="00201CDF" w:rsidP="00A40C21">
      <w:pPr>
        <w:pStyle w:val="Normalparatextwithnumbers"/>
        <w:numPr>
          <w:ilvl w:val="0"/>
          <w:numId w:val="25"/>
        </w:numPr>
      </w:pPr>
      <w:r>
        <w:t xml:space="preserve">a significant </w:t>
      </w:r>
      <w:proofErr w:type="gramStart"/>
      <w:r>
        <w:t>action</w:t>
      </w:r>
      <w:r w:rsidR="00ED1CAC">
        <w:t>;</w:t>
      </w:r>
      <w:proofErr w:type="gramEnd"/>
    </w:p>
    <w:p w14:paraId="6125AED8" w14:textId="38BCDCE7" w:rsidR="00201CDF" w:rsidRDefault="00201CDF" w:rsidP="00A40C21">
      <w:pPr>
        <w:pStyle w:val="Normalparatextwithnumbers"/>
        <w:numPr>
          <w:ilvl w:val="0"/>
          <w:numId w:val="25"/>
        </w:numPr>
      </w:pPr>
      <w:r>
        <w:t xml:space="preserve">a notifiable national security </w:t>
      </w:r>
      <w:proofErr w:type="gramStart"/>
      <w:r>
        <w:t>action</w:t>
      </w:r>
      <w:r w:rsidR="00ED1CAC">
        <w:t>;</w:t>
      </w:r>
      <w:proofErr w:type="gramEnd"/>
    </w:p>
    <w:p w14:paraId="7DB190D9" w14:textId="77777777" w:rsidR="00201CDF" w:rsidRDefault="00201CDF" w:rsidP="00A40C21">
      <w:pPr>
        <w:pStyle w:val="Normalparatextwithnumbers"/>
        <w:numPr>
          <w:ilvl w:val="0"/>
          <w:numId w:val="25"/>
        </w:numPr>
      </w:pPr>
      <w:r>
        <w:t xml:space="preserve">an action where the Treasurer has given the person a notice that the action may pose a national security concern; or </w:t>
      </w:r>
    </w:p>
    <w:p w14:paraId="200EC2C1" w14:textId="77777777" w:rsidR="00201CDF" w:rsidRDefault="00201CDF" w:rsidP="00A40C21">
      <w:pPr>
        <w:pStyle w:val="Normalparatextwithnumbers"/>
        <w:numPr>
          <w:ilvl w:val="0"/>
          <w:numId w:val="25"/>
        </w:numPr>
      </w:pPr>
      <w:r>
        <w:t xml:space="preserve">a reviewable national security action that is notified to the Treasurer. </w:t>
      </w:r>
    </w:p>
    <w:p w14:paraId="785E687C" w14:textId="71E7CCC2" w:rsidR="00201CDF" w:rsidRPr="009721D3" w:rsidRDefault="00201CDF" w:rsidP="00A40C21">
      <w:pPr>
        <w:pStyle w:val="Normalparatextwithnumbers"/>
        <w:numPr>
          <w:ilvl w:val="0"/>
          <w:numId w:val="0"/>
        </w:numPr>
        <w:ind w:left="709"/>
      </w:pPr>
      <w:r>
        <w:t>These actions are further defined under Divisions 2, 4A and 4B of Part 2 of that Act</w:t>
      </w:r>
      <w:r w:rsidRPr="009721D3">
        <w:t xml:space="preserve">. </w:t>
      </w:r>
    </w:p>
    <w:p w14:paraId="58DB6557" w14:textId="77777777" w:rsidR="00201CDF" w:rsidRDefault="00201CDF" w:rsidP="00A40C21">
      <w:pPr>
        <w:pStyle w:val="Normalparatextwithnumbers"/>
        <w:numPr>
          <w:ilvl w:val="1"/>
          <w:numId w:val="3"/>
        </w:numPr>
      </w:pPr>
      <w:r>
        <w:t xml:space="preserve">Foreign persons may apply to the Treasurer for various types of exemption certificates under Division 5 of Part 2 of the </w:t>
      </w:r>
      <w:r w:rsidRPr="0023316F">
        <w:rPr>
          <w:i/>
          <w:iCs/>
        </w:rPr>
        <w:t>Foreign Acquisitions and Takeovers Act 1975</w:t>
      </w:r>
      <w:r>
        <w:t xml:space="preserve">. An exemption certificate specifies an interest of a kind that, if acquired by the foreign person, does not give rise to a significant action, notifiable action, notifiable national security action, or reviewable national security action. </w:t>
      </w:r>
    </w:p>
    <w:p w14:paraId="73CBA407" w14:textId="15426A63" w:rsidR="00201CDF" w:rsidRDefault="00201CDF" w:rsidP="00A40C21">
      <w:pPr>
        <w:pStyle w:val="Normalparatextwithnumbers"/>
        <w:numPr>
          <w:ilvl w:val="1"/>
          <w:numId w:val="3"/>
        </w:numPr>
      </w:pPr>
      <w:r>
        <w:t xml:space="preserve">Paragraphs 3.84 to 3.97 of the explanatory memorandum to the </w:t>
      </w:r>
      <w:r w:rsidRPr="00A92AA4">
        <w:rPr>
          <w:i/>
          <w:iCs/>
        </w:rPr>
        <w:t>Foreign Investment Reform (Protecting Australia’s National Security) Bill 2020</w:t>
      </w:r>
      <w:r>
        <w:t xml:space="preserve"> </w:t>
      </w:r>
      <w:r w:rsidR="00F77E46">
        <w:t>makes clear that the</w:t>
      </w:r>
      <w:r>
        <w:t xml:space="preserve"> policy intent is for foreign persons to be required to notify the Treasurer of certain events and be liable for penalty provisions, even if they have been issued with an exemption certificate. </w:t>
      </w:r>
    </w:p>
    <w:p w14:paraId="7FB2F627" w14:textId="77D529C2" w:rsidR="00B528B4" w:rsidRPr="00B528B4" w:rsidRDefault="00287ED4" w:rsidP="00B528B4">
      <w:pPr>
        <w:pStyle w:val="Normalparatextwithnumbers"/>
        <w:numPr>
          <w:ilvl w:val="0"/>
          <w:numId w:val="0"/>
        </w:numPr>
        <w:ind w:left="709"/>
        <w:rPr>
          <w:rStyle w:val="References"/>
          <w:b w:val="0"/>
          <w:bCs w:val="0"/>
          <w:i w:val="0"/>
          <w:iCs w:val="0"/>
        </w:rPr>
      </w:pPr>
      <w:r>
        <w:t>The a</w:t>
      </w:r>
      <w:r w:rsidR="00201CDF">
        <w:t>mendment</w:t>
      </w:r>
      <w:r w:rsidR="007737A8">
        <w:t>s</w:t>
      </w:r>
      <w:r w:rsidR="00201CDF">
        <w:t xml:space="preserve"> clarif</w:t>
      </w:r>
      <w:r w:rsidR="007737A8">
        <w:t>y</w:t>
      </w:r>
      <w:r w:rsidR="00201CDF">
        <w:t xml:space="preserve"> that core Part 3 actions taken under an exemption certificate are </w:t>
      </w:r>
      <w:r w:rsidR="006579AB">
        <w:t xml:space="preserve">still </w:t>
      </w:r>
      <w:r w:rsidR="00201CDF">
        <w:t>captured by the relevant penalty provisions. The amendment</w:t>
      </w:r>
      <w:r w:rsidR="00FC0AC7">
        <w:t>s</w:t>
      </w:r>
      <w:r w:rsidR="00201CDF">
        <w:t xml:space="preserve"> insert a new definition of an exempt core Part 3 action into section 4 of the </w:t>
      </w:r>
      <w:r w:rsidR="00201CDF" w:rsidRPr="00746E6D">
        <w:rPr>
          <w:i/>
          <w:iCs/>
        </w:rPr>
        <w:t xml:space="preserve">Foreign Acquisitions and Takeovers Act </w:t>
      </w:r>
      <w:r w:rsidR="006579AB" w:rsidRPr="00746E6D">
        <w:rPr>
          <w:i/>
          <w:iCs/>
        </w:rPr>
        <w:t>1975</w:t>
      </w:r>
      <w:r w:rsidR="006579AB">
        <w:t xml:space="preserve"> and</w:t>
      </w:r>
      <w:r w:rsidR="00201CDF">
        <w:t xml:space="preserve"> amend the civil penalties at sections 98B</w:t>
      </w:r>
      <w:r w:rsidR="000C253B">
        <w:t>,</w:t>
      </w:r>
      <w:r w:rsidR="00201CDF">
        <w:t xml:space="preserve"> 98D, 98E and 101AA of that Act to expressly include exempt core Part 3 actions where applicable. </w:t>
      </w:r>
      <w:r w:rsidR="00B528B4">
        <w:br/>
      </w:r>
      <w:r w:rsidR="00B528B4" w:rsidRPr="00B528B4">
        <w:rPr>
          <w:rStyle w:val="References"/>
        </w:rPr>
        <w:t>[</w:t>
      </w:r>
      <w:r w:rsidR="00B528B4" w:rsidRPr="00A92AA4">
        <w:rPr>
          <w:rStyle w:val="References"/>
        </w:rPr>
        <w:t xml:space="preserve">Schedule </w:t>
      </w:r>
      <w:r w:rsidR="00B528B4">
        <w:rPr>
          <w:rStyle w:val="References"/>
        </w:rPr>
        <w:t>1</w:t>
      </w:r>
      <w:r w:rsidR="00B528B4" w:rsidRPr="00A92AA4">
        <w:rPr>
          <w:rStyle w:val="References"/>
        </w:rPr>
        <w:t>, item</w:t>
      </w:r>
      <w:r w:rsidR="00B528B4">
        <w:rPr>
          <w:rStyle w:val="References"/>
        </w:rPr>
        <w:t xml:space="preserve">s 50 to 59, sections 4, 98B, 98D, 98E and 101AA of the </w:t>
      </w:r>
      <w:r w:rsidR="00B528B4" w:rsidRPr="006730DD">
        <w:rPr>
          <w:rStyle w:val="References"/>
        </w:rPr>
        <w:t>Foreign Acquisitions and Takeovers Act 1975</w:t>
      </w:r>
      <w:r w:rsidR="00B528B4" w:rsidRPr="00A92AA4">
        <w:rPr>
          <w:rStyle w:val="References"/>
        </w:rPr>
        <w:t xml:space="preserve">] </w:t>
      </w:r>
    </w:p>
    <w:p w14:paraId="1DD2FD5D" w14:textId="78EB2C75" w:rsidR="000927D0" w:rsidRDefault="000927D0" w:rsidP="00A40C21">
      <w:pPr>
        <w:pStyle w:val="Heading6"/>
      </w:pPr>
      <w:r>
        <w:lastRenderedPageBreak/>
        <w:t xml:space="preserve">Division 12 – Application provisions relating to financial advisers </w:t>
      </w:r>
    </w:p>
    <w:p w14:paraId="5CB4E8AD" w14:textId="4A016763" w:rsidR="00A278CB" w:rsidRDefault="00D86A40" w:rsidP="00A40C21">
      <w:pPr>
        <w:pStyle w:val="Normalparatextwithnumbers"/>
      </w:pPr>
      <w:r w:rsidRPr="00D86A40">
        <w:t xml:space="preserve">Transitional provisions inserted by the </w:t>
      </w:r>
      <w:r w:rsidRPr="00D86A40">
        <w:rPr>
          <w:i/>
          <w:iCs/>
        </w:rPr>
        <w:t>Financial Sector Reform (Hayne Royal Commission Response—Better Advice) Act 2021</w:t>
      </w:r>
      <w:r w:rsidRPr="00D86A40">
        <w:t xml:space="preserve"> were intended to more clearly set out, but not modify</w:t>
      </w:r>
      <w:r w:rsidR="00496907">
        <w:t>,</w:t>
      </w:r>
      <w:r w:rsidRPr="00D86A40">
        <w:t xml:space="preserve"> the timeframes in which an existing provider must meet the education and training standards, or the courses approved by the Minister.</w:t>
      </w:r>
    </w:p>
    <w:p w14:paraId="67390BFA" w14:textId="61D7212E" w:rsidR="00A278CB" w:rsidRDefault="008D7006" w:rsidP="00A40C21">
      <w:pPr>
        <w:pStyle w:val="Normalparatextwithnumbers"/>
      </w:pPr>
      <w:r>
        <w:t>E</w:t>
      </w:r>
      <w:r w:rsidRPr="008D7006">
        <w:t>xisting providers who passed the financial adviser exam by the exam cut-off date (1 January 2022, or 1 October 2022 for existing providers eligible for the exam extension) have until 1 January 2026 to meet the education and training standards or the courses approved by the Minister while remaining authorised to provide personal advice to retail clients in relation to relevant financial products.</w:t>
      </w:r>
    </w:p>
    <w:p w14:paraId="53E7E48A" w14:textId="4CF94681" w:rsidR="00A278CB" w:rsidRDefault="007171D1" w:rsidP="00A40C21">
      <w:pPr>
        <w:pStyle w:val="Normalparatextwithnumbers"/>
      </w:pPr>
      <w:r>
        <w:t>Additionally</w:t>
      </w:r>
      <w:r w:rsidR="00A278CB">
        <w:t>, consistent with previous transitional provisions, it was intended that existing providers who ceased to be relevant providers before the relevant exam cut-off date would also have until 1 January 2026 to meet the education and training standards or the courses approved by the Minister. To be reauthorised before this date, a person would need to pass the financial adviser exam.</w:t>
      </w:r>
    </w:p>
    <w:p w14:paraId="0237530F" w14:textId="77777777" w:rsidR="00A278CB" w:rsidRDefault="00A278CB" w:rsidP="00A40C21">
      <w:pPr>
        <w:pStyle w:val="Normalparatextwithnumbers"/>
      </w:pPr>
      <w:r>
        <w:t>However, the transitional provisions did not achieve this outcome.</w:t>
      </w:r>
    </w:p>
    <w:p w14:paraId="37986AD9" w14:textId="77777777" w:rsidR="006867A1" w:rsidRDefault="00A278CB" w:rsidP="00A40C21">
      <w:pPr>
        <w:pStyle w:val="Normalparatextwithnumbers"/>
      </w:pPr>
      <w:r>
        <w:t xml:space="preserve">Section 1684D of the </w:t>
      </w:r>
      <w:r w:rsidRPr="00A278CB">
        <w:rPr>
          <w:i/>
          <w:iCs/>
        </w:rPr>
        <w:t>Corporations Act 2001</w:t>
      </w:r>
      <w:r>
        <w:t xml:space="preserve"> is amended </w:t>
      </w:r>
      <w:r w:rsidR="006867A1">
        <w:t xml:space="preserve">to make clear that existing providers who do not pass the financial adviser exam by the relevant exam cut-off date and who ceased to be a relevant provider before the relevant exam </w:t>
      </w:r>
      <w:proofErr w:type="spellStart"/>
      <w:r w:rsidR="006867A1">
        <w:t>cut off</w:t>
      </w:r>
      <w:proofErr w:type="spellEnd"/>
      <w:r w:rsidR="006867A1">
        <w:t xml:space="preserve"> date:</w:t>
      </w:r>
    </w:p>
    <w:p w14:paraId="6D47D6C7" w14:textId="77777777" w:rsidR="006867A1" w:rsidRDefault="006867A1" w:rsidP="00A40C21">
      <w:pPr>
        <w:pStyle w:val="Dotpoint1"/>
      </w:pPr>
      <w:r>
        <w:t xml:space="preserve">are eligible to be re-authorised to provide personal advice once they pass the exam; and </w:t>
      </w:r>
    </w:p>
    <w:p w14:paraId="78078939" w14:textId="77777777" w:rsidR="006867A1" w:rsidRDefault="006867A1" w:rsidP="00A40C21">
      <w:pPr>
        <w:pStyle w:val="Dotpoint1"/>
      </w:pPr>
      <w:r>
        <w:t xml:space="preserve">have until 1 January 2026 to meet the education requirements or courses approved by the Minister. </w:t>
      </w:r>
    </w:p>
    <w:p w14:paraId="12DE5E57" w14:textId="30C9AA2E" w:rsidR="00A278CB" w:rsidRDefault="00A278CB" w:rsidP="00A40C21">
      <w:pPr>
        <w:pStyle w:val="Normalparatextwithnumbers"/>
        <w:numPr>
          <w:ilvl w:val="0"/>
          <w:numId w:val="0"/>
        </w:numPr>
        <w:ind w:left="709"/>
      </w:pPr>
      <w:r w:rsidRPr="00592FA3">
        <w:rPr>
          <w:rStyle w:val="References"/>
        </w:rPr>
        <w:t xml:space="preserve">[Schedule </w:t>
      </w:r>
      <w:r>
        <w:rPr>
          <w:rStyle w:val="References"/>
        </w:rPr>
        <w:t>1</w:t>
      </w:r>
      <w:r w:rsidRPr="00592FA3">
        <w:rPr>
          <w:rStyle w:val="References"/>
        </w:rPr>
        <w:t>, item</w:t>
      </w:r>
      <w:r>
        <w:rPr>
          <w:rStyle w:val="References"/>
        </w:rPr>
        <w:t>s 60 to 62</w:t>
      </w:r>
      <w:r w:rsidRPr="00592FA3">
        <w:rPr>
          <w:rStyle w:val="References"/>
        </w:rPr>
        <w:t xml:space="preserve">, </w:t>
      </w:r>
      <w:r>
        <w:rPr>
          <w:rStyle w:val="References"/>
        </w:rPr>
        <w:t xml:space="preserve">section 1684D of the Corporations Act 2001]  </w:t>
      </w:r>
    </w:p>
    <w:p w14:paraId="7AC33412" w14:textId="0826678A" w:rsidR="006867A1" w:rsidRDefault="006867A1" w:rsidP="00A40C21">
      <w:pPr>
        <w:pStyle w:val="Normalparatextwithnumbers"/>
      </w:pPr>
      <w:r>
        <w:t xml:space="preserve">From 1 January 2026, these advisers (existing providers who ceased to be relevant providers before the relevant exam cut-off date) will need to pass the exam and meet the education requirements or courses approved by the Minister before they can be authorised to provide personal advice to retail clients in relation to relevant financial products. If the existing provider was not a relevant provider on 1 January 2026, they will not need to meet the work and training related standards to be able to be authorised. </w:t>
      </w:r>
    </w:p>
    <w:p w14:paraId="331699C3" w14:textId="3D42CBDE" w:rsidR="0066679B" w:rsidRDefault="006867A1" w:rsidP="00A40C21">
      <w:pPr>
        <w:pStyle w:val="Normalparatextwithnumbers"/>
      </w:pPr>
      <w:r>
        <w:t>From 1 January 2026, all existing providers will need to have passed the exam and met the education requirements to be authorised to provide personal advice to retail clients in relation to relevant financial products.</w:t>
      </w:r>
    </w:p>
    <w:p w14:paraId="12D7C552" w14:textId="3D75C074" w:rsidR="000927D0" w:rsidRDefault="000927D0" w:rsidP="00A40C21">
      <w:pPr>
        <w:pStyle w:val="Heading6"/>
      </w:pPr>
      <w:r>
        <w:t xml:space="preserve">Division 13 – Renumbering </w:t>
      </w:r>
    </w:p>
    <w:p w14:paraId="5175274F" w14:textId="03DF8173" w:rsidR="000962C2" w:rsidRPr="00695861" w:rsidRDefault="000962C2" w:rsidP="00A40C21">
      <w:pPr>
        <w:pStyle w:val="Normalparatextwithnumbers"/>
        <w:numPr>
          <w:ilvl w:val="1"/>
          <w:numId w:val="3"/>
        </w:numPr>
        <w:rPr>
          <w:rStyle w:val="References"/>
          <w:b w:val="0"/>
          <w:bCs w:val="0"/>
          <w:i w:val="0"/>
          <w:iCs w:val="0"/>
        </w:rPr>
      </w:pPr>
      <w:r w:rsidRPr="00695861">
        <w:rPr>
          <w:rStyle w:val="References"/>
          <w:b w:val="0"/>
          <w:bCs w:val="0"/>
          <w:i w:val="0"/>
          <w:iCs w:val="0"/>
        </w:rPr>
        <w:t xml:space="preserve">The </w:t>
      </w:r>
      <w:r w:rsidRPr="00695861">
        <w:rPr>
          <w:rStyle w:val="References"/>
          <w:b w:val="0"/>
          <w:bCs w:val="0"/>
        </w:rPr>
        <w:t>Australian Securities and Investment Commission Act 2001</w:t>
      </w:r>
      <w:r w:rsidRPr="00695861">
        <w:rPr>
          <w:rStyle w:val="References"/>
          <w:b w:val="0"/>
          <w:bCs w:val="0"/>
          <w:i w:val="0"/>
          <w:iCs w:val="0"/>
        </w:rPr>
        <w:t xml:space="preserve"> contains numbering error</w:t>
      </w:r>
      <w:r w:rsidR="00E806F4">
        <w:rPr>
          <w:rStyle w:val="References"/>
          <w:b w:val="0"/>
          <w:bCs w:val="0"/>
          <w:i w:val="0"/>
          <w:iCs w:val="0"/>
        </w:rPr>
        <w:t>s</w:t>
      </w:r>
      <w:r w:rsidRPr="00695861">
        <w:rPr>
          <w:rStyle w:val="References"/>
          <w:b w:val="0"/>
          <w:bCs w:val="0"/>
          <w:i w:val="0"/>
          <w:iCs w:val="0"/>
        </w:rPr>
        <w:t xml:space="preserve"> that incorrectly duplicate references to Part 29 </w:t>
      </w:r>
      <w:r w:rsidR="00E806F4">
        <w:rPr>
          <w:rStyle w:val="References"/>
          <w:b w:val="0"/>
          <w:bCs w:val="0"/>
          <w:i w:val="0"/>
          <w:iCs w:val="0"/>
        </w:rPr>
        <w:t>and section</w:t>
      </w:r>
      <w:r w:rsidR="00496907">
        <w:rPr>
          <w:rStyle w:val="References"/>
          <w:b w:val="0"/>
          <w:bCs w:val="0"/>
          <w:i w:val="0"/>
          <w:iCs w:val="0"/>
        </w:rPr>
        <w:t> </w:t>
      </w:r>
      <w:r w:rsidR="00E806F4">
        <w:rPr>
          <w:rStyle w:val="References"/>
          <w:b w:val="0"/>
          <w:bCs w:val="0"/>
          <w:i w:val="0"/>
          <w:iCs w:val="0"/>
        </w:rPr>
        <w:t xml:space="preserve">325 </w:t>
      </w:r>
      <w:r w:rsidRPr="00695861">
        <w:rPr>
          <w:rStyle w:val="References"/>
          <w:b w:val="0"/>
          <w:bCs w:val="0"/>
          <w:i w:val="0"/>
          <w:iCs w:val="0"/>
        </w:rPr>
        <w:t xml:space="preserve">of that Act. </w:t>
      </w:r>
      <w:r w:rsidR="00E806F4">
        <w:rPr>
          <w:rStyle w:val="References"/>
          <w:b w:val="0"/>
          <w:bCs w:val="0"/>
          <w:i w:val="0"/>
          <w:iCs w:val="0"/>
        </w:rPr>
        <w:t>The duplicate Part and section were</w:t>
      </w:r>
      <w:r w:rsidRPr="00695861">
        <w:rPr>
          <w:rStyle w:val="References"/>
          <w:b w:val="0"/>
          <w:bCs w:val="0"/>
          <w:i w:val="0"/>
          <w:iCs w:val="0"/>
        </w:rPr>
        <w:t xml:space="preserve"> inserted into that </w:t>
      </w:r>
      <w:r w:rsidRPr="00695861">
        <w:rPr>
          <w:rStyle w:val="References"/>
          <w:b w:val="0"/>
          <w:bCs w:val="0"/>
          <w:i w:val="0"/>
          <w:iCs w:val="0"/>
        </w:rPr>
        <w:lastRenderedPageBreak/>
        <w:t xml:space="preserve">Act by Schedule 1 to the </w:t>
      </w:r>
      <w:r w:rsidRPr="00695861">
        <w:rPr>
          <w:rStyle w:val="References"/>
          <w:b w:val="0"/>
          <w:bCs w:val="0"/>
        </w:rPr>
        <w:t>Financial Sector Reform (Hayne Royal Commission Response – Protecting Consumers (2019 Measures) Act 2020</w:t>
      </w:r>
      <w:r w:rsidRPr="00695861">
        <w:rPr>
          <w:rStyle w:val="References"/>
          <w:b w:val="0"/>
          <w:bCs w:val="0"/>
          <w:i w:val="0"/>
          <w:iCs w:val="0"/>
        </w:rPr>
        <w:t xml:space="preserve">. </w:t>
      </w:r>
    </w:p>
    <w:p w14:paraId="35AED547" w14:textId="77777777" w:rsidR="00B528B4" w:rsidRPr="009A28B4" w:rsidRDefault="00DC20E2" w:rsidP="00B528B4">
      <w:pPr>
        <w:pStyle w:val="Normalparatextwithnumbers"/>
        <w:numPr>
          <w:ilvl w:val="0"/>
          <w:numId w:val="0"/>
        </w:numPr>
        <w:ind w:left="709"/>
        <w:rPr>
          <w:rStyle w:val="References"/>
          <w:b w:val="0"/>
          <w:i w:val="0"/>
        </w:rPr>
      </w:pPr>
      <w:r>
        <w:rPr>
          <w:rStyle w:val="References"/>
          <w:b w:val="0"/>
          <w:bCs w:val="0"/>
          <w:i w:val="0"/>
          <w:iCs w:val="0"/>
        </w:rPr>
        <w:t>A</w:t>
      </w:r>
      <w:r w:rsidR="000962C2">
        <w:rPr>
          <w:rStyle w:val="References"/>
          <w:b w:val="0"/>
          <w:bCs w:val="0"/>
          <w:i w:val="0"/>
          <w:iCs w:val="0"/>
        </w:rPr>
        <w:t>mendment</w:t>
      </w:r>
      <w:r>
        <w:rPr>
          <w:rStyle w:val="References"/>
          <w:b w:val="0"/>
          <w:bCs w:val="0"/>
          <w:i w:val="0"/>
          <w:iCs w:val="0"/>
        </w:rPr>
        <w:t>s</w:t>
      </w:r>
      <w:r w:rsidR="000962C2">
        <w:rPr>
          <w:rStyle w:val="References"/>
          <w:b w:val="0"/>
          <w:bCs w:val="0"/>
          <w:i w:val="0"/>
          <w:iCs w:val="0"/>
        </w:rPr>
        <w:t xml:space="preserve"> correct </w:t>
      </w:r>
      <w:r w:rsidR="00E806F4">
        <w:rPr>
          <w:rStyle w:val="References"/>
          <w:b w:val="0"/>
          <w:bCs w:val="0"/>
          <w:i w:val="0"/>
          <w:iCs w:val="0"/>
        </w:rPr>
        <w:t xml:space="preserve">the referencing </w:t>
      </w:r>
      <w:r w:rsidR="000962C2">
        <w:rPr>
          <w:rStyle w:val="References"/>
          <w:b w:val="0"/>
          <w:bCs w:val="0"/>
          <w:i w:val="0"/>
          <w:iCs w:val="0"/>
        </w:rPr>
        <w:t>error</w:t>
      </w:r>
      <w:r>
        <w:rPr>
          <w:rStyle w:val="References"/>
          <w:b w:val="0"/>
          <w:bCs w:val="0"/>
          <w:i w:val="0"/>
          <w:iCs w:val="0"/>
        </w:rPr>
        <w:t>s</w:t>
      </w:r>
      <w:r w:rsidR="000962C2">
        <w:rPr>
          <w:rStyle w:val="References"/>
          <w:b w:val="0"/>
          <w:bCs w:val="0"/>
          <w:i w:val="0"/>
          <w:iCs w:val="0"/>
        </w:rPr>
        <w:t xml:space="preserve"> </w:t>
      </w:r>
      <w:r w:rsidR="00E806F4">
        <w:rPr>
          <w:rStyle w:val="References"/>
          <w:b w:val="0"/>
          <w:bCs w:val="0"/>
          <w:i w:val="0"/>
          <w:iCs w:val="0"/>
        </w:rPr>
        <w:t xml:space="preserve">by renumbering Part </w:t>
      </w:r>
      <w:r w:rsidR="000005B2">
        <w:rPr>
          <w:rStyle w:val="References"/>
          <w:b w:val="0"/>
          <w:bCs w:val="0"/>
          <w:i w:val="0"/>
          <w:iCs w:val="0"/>
        </w:rPr>
        <w:t>29</w:t>
      </w:r>
      <w:r w:rsidR="00E806F4">
        <w:rPr>
          <w:rStyle w:val="References"/>
          <w:b w:val="0"/>
          <w:bCs w:val="0"/>
          <w:i w:val="0"/>
          <w:iCs w:val="0"/>
        </w:rPr>
        <w:t xml:space="preserve"> and section</w:t>
      </w:r>
      <w:r w:rsidR="00496907">
        <w:rPr>
          <w:rStyle w:val="References"/>
          <w:b w:val="0"/>
          <w:bCs w:val="0"/>
          <w:i w:val="0"/>
          <w:iCs w:val="0"/>
        </w:rPr>
        <w:t> </w:t>
      </w:r>
      <w:r w:rsidR="000005B2">
        <w:rPr>
          <w:rStyle w:val="References"/>
          <w:b w:val="0"/>
          <w:bCs w:val="0"/>
          <w:i w:val="0"/>
          <w:iCs w:val="0"/>
        </w:rPr>
        <w:t>325</w:t>
      </w:r>
      <w:r w:rsidR="00E806F4">
        <w:rPr>
          <w:rStyle w:val="References"/>
          <w:b w:val="0"/>
          <w:bCs w:val="0"/>
          <w:i w:val="0"/>
          <w:iCs w:val="0"/>
        </w:rPr>
        <w:t xml:space="preserve"> </w:t>
      </w:r>
      <w:r w:rsidR="0006163C">
        <w:rPr>
          <w:rStyle w:val="References"/>
          <w:b w:val="0"/>
          <w:bCs w:val="0"/>
          <w:i w:val="0"/>
          <w:iCs w:val="0"/>
        </w:rPr>
        <w:t>and</w:t>
      </w:r>
      <w:r w:rsidR="00516177">
        <w:rPr>
          <w:rStyle w:val="References"/>
          <w:b w:val="0"/>
          <w:bCs w:val="0"/>
          <w:i w:val="0"/>
          <w:iCs w:val="0"/>
        </w:rPr>
        <w:t xml:space="preserve"> updating a reference to Part</w:t>
      </w:r>
      <w:r w:rsidR="0006163C">
        <w:rPr>
          <w:rStyle w:val="References"/>
          <w:b w:val="0"/>
          <w:bCs w:val="0"/>
          <w:i w:val="0"/>
          <w:iCs w:val="0"/>
        </w:rPr>
        <w:t xml:space="preserve"> </w:t>
      </w:r>
      <w:r w:rsidR="000005B2">
        <w:rPr>
          <w:rStyle w:val="References"/>
          <w:b w:val="0"/>
          <w:bCs w:val="0"/>
          <w:i w:val="0"/>
          <w:iCs w:val="0"/>
        </w:rPr>
        <w:t>29</w:t>
      </w:r>
      <w:r w:rsidR="0006163C">
        <w:rPr>
          <w:rStyle w:val="References"/>
          <w:b w:val="0"/>
          <w:bCs w:val="0"/>
          <w:i w:val="0"/>
          <w:iCs w:val="0"/>
        </w:rPr>
        <w:t xml:space="preserve"> </w:t>
      </w:r>
      <w:r w:rsidR="00516177">
        <w:rPr>
          <w:rStyle w:val="References"/>
          <w:b w:val="0"/>
          <w:bCs w:val="0"/>
          <w:i w:val="0"/>
          <w:iCs w:val="0"/>
        </w:rPr>
        <w:t xml:space="preserve">in item 10 of Schedule 1 to the </w:t>
      </w:r>
      <w:r w:rsidR="00516177" w:rsidRPr="00592FA3">
        <w:rPr>
          <w:i/>
          <w:iCs/>
        </w:rPr>
        <w:t>Financial Sector Reform (Hayne Royal Commission Response—Protecting Consumers (2019 Measures)) Act 2020</w:t>
      </w:r>
      <w:r w:rsidR="00196B86">
        <w:rPr>
          <w:rStyle w:val="References"/>
          <w:b w:val="0"/>
          <w:bCs w:val="0"/>
          <w:i w:val="0"/>
          <w:iCs w:val="0"/>
        </w:rPr>
        <w:t xml:space="preserve">. </w:t>
      </w:r>
      <w:r w:rsidR="00B528B4">
        <w:rPr>
          <w:rStyle w:val="References"/>
          <w:b w:val="0"/>
          <w:bCs w:val="0"/>
          <w:i w:val="0"/>
          <w:iCs w:val="0"/>
        </w:rPr>
        <w:br/>
      </w:r>
      <w:r w:rsidR="00B528B4" w:rsidRPr="004C60D4">
        <w:rPr>
          <w:rStyle w:val="References"/>
        </w:rPr>
        <w:t xml:space="preserve">[Schedule </w:t>
      </w:r>
      <w:r w:rsidR="00B528B4">
        <w:rPr>
          <w:rStyle w:val="References"/>
        </w:rPr>
        <w:t>1</w:t>
      </w:r>
      <w:r w:rsidR="00B528B4" w:rsidRPr="004C60D4">
        <w:rPr>
          <w:rStyle w:val="References"/>
        </w:rPr>
        <w:t xml:space="preserve">, </w:t>
      </w:r>
      <w:r w:rsidR="00B528B4">
        <w:rPr>
          <w:rStyle w:val="References"/>
        </w:rPr>
        <w:t>items 63 to 65</w:t>
      </w:r>
      <w:r w:rsidR="00B528B4" w:rsidRPr="004C60D4">
        <w:rPr>
          <w:rStyle w:val="References"/>
        </w:rPr>
        <w:t xml:space="preserve">, </w:t>
      </w:r>
      <w:r w:rsidR="00B528B4">
        <w:rPr>
          <w:rStyle w:val="References"/>
        </w:rPr>
        <w:t>Part 29 and section 325 of the Australian Securities and Investments Commission Act 2001</w:t>
      </w:r>
      <w:r w:rsidR="00B528B4" w:rsidRPr="004C60D4">
        <w:rPr>
          <w:rStyle w:val="References"/>
        </w:rPr>
        <w:t xml:space="preserve">] </w:t>
      </w:r>
    </w:p>
    <w:p w14:paraId="50CC7FC6" w14:textId="54A47D79" w:rsidR="000962C2" w:rsidRDefault="000962C2" w:rsidP="00A40C21">
      <w:pPr>
        <w:pStyle w:val="Heading6"/>
      </w:pPr>
      <w:r>
        <w:t xml:space="preserve">Division 14 – Virtual </w:t>
      </w:r>
      <w:r w:rsidR="0040549B">
        <w:t>RSE</w:t>
      </w:r>
      <w:r w:rsidR="00ED57F2">
        <w:t xml:space="preserve"> </w:t>
      </w:r>
      <w:r>
        <w:t xml:space="preserve">annual members’ meetings </w:t>
      </w:r>
    </w:p>
    <w:p w14:paraId="0217B9ED" w14:textId="350C018F" w:rsidR="000962C2" w:rsidRDefault="009879B3" w:rsidP="00A40C21">
      <w:pPr>
        <w:pStyle w:val="Normalparatextwithnumbers"/>
        <w:numPr>
          <w:ilvl w:val="1"/>
          <w:numId w:val="3"/>
        </w:numPr>
      </w:pPr>
      <w:r>
        <w:t>The</w:t>
      </w:r>
      <w:r w:rsidR="000962C2">
        <w:t xml:space="preserve"> </w:t>
      </w:r>
      <w:r w:rsidR="000962C2" w:rsidRPr="00C11C44">
        <w:rPr>
          <w:i/>
          <w:iCs/>
        </w:rPr>
        <w:t>Superannuation Industry (Supervision) Act 1993</w:t>
      </w:r>
      <w:r w:rsidR="000962C2">
        <w:t xml:space="preserve"> </w:t>
      </w:r>
      <w:r>
        <w:t xml:space="preserve">is amended </w:t>
      </w:r>
      <w:r w:rsidR="000962C2">
        <w:t xml:space="preserve">to clarify that </w:t>
      </w:r>
      <w:r w:rsidR="00D17F8F">
        <w:t>the</w:t>
      </w:r>
      <w:r w:rsidR="00ED57F2">
        <w:t xml:space="preserve"> </w:t>
      </w:r>
      <w:r w:rsidR="000962C2">
        <w:t>licensee of a registrable superannuation entity can use technology to hold annual members’ meetings.</w:t>
      </w:r>
    </w:p>
    <w:p w14:paraId="634472DE" w14:textId="17DAFC43" w:rsidR="000962C2" w:rsidRDefault="000962C2" w:rsidP="00A40C21">
      <w:pPr>
        <w:pStyle w:val="Normalparatextwithnumbers"/>
        <w:numPr>
          <w:ilvl w:val="1"/>
          <w:numId w:val="3"/>
        </w:numPr>
      </w:pPr>
      <w:r>
        <w:t>The licensee may hold an annual members’ meeting:</w:t>
      </w:r>
    </w:p>
    <w:p w14:paraId="53F78A36" w14:textId="0C12C99F" w:rsidR="000962C2" w:rsidRDefault="000962C2" w:rsidP="00A40C21">
      <w:pPr>
        <w:pStyle w:val="Normalparatextwithnumbers"/>
        <w:numPr>
          <w:ilvl w:val="0"/>
          <w:numId w:val="26"/>
        </w:numPr>
      </w:pPr>
      <w:r>
        <w:t>at one or more physical venues (a physical meeting</w:t>
      </w:r>
      <w:proofErr w:type="gramStart"/>
      <w:r>
        <w:t>)</w:t>
      </w:r>
      <w:r w:rsidR="005F222C">
        <w:t>;</w:t>
      </w:r>
      <w:proofErr w:type="gramEnd"/>
    </w:p>
    <w:p w14:paraId="5A7E291C" w14:textId="77777777" w:rsidR="000962C2" w:rsidRDefault="000962C2" w:rsidP="00A40C21">
      <w:pPr>
        <w:pStyle w:val="Normalparatextwithnumbers"/>
        <w:numPr>
          <w:ilvl w:val="0"/>
          <w:numId w:val="26"/>
        </w:numPr>
      </w:pPr>
      <w:r>
        <w:t xml:space="preserve">at one or more physical venues using virtual meeting technology (a hybrid meeting); or </w:t>
      </w:r>
    </w:p>
    <w:p w14:paraId="0ED69053" w14:textId="77777777" w:rsidR="00B528B4" w:rsidRDefault="000962C2" w:rsidP="00B528B4">
      <w:pPr>
        <w:pStyle w:val="Normalparatextwithnumbers"/>
        <w:numPr>
          <w:ilvl w:val="0"/>
          <w:numId w:val="26"/>
        </w:numPr>
      </w:pPr>
      <w:r>
        <w:t>using virtual meeting technology only (a wholly virtual meeting).</w:t>
      </w:r>
    </w:p>
    <w:p w14:paraId="34FBFBCD" w14:textId="0E452CDB" w:rsidR="000962C2" w:rsidRPr="00CC07A9" w:rsidRDefault="000962C2" w:rsidP="00B528B4">
      <w:pPr>
        <w:pStyle w:val="Normalparatextwithnumbers"/>
        <w:numPr>
          <w:ilvl w:val="0"/>
          <w:numId w:val="0"/>
        </w:numPr>
        <w:ind w:left="1069"/>
        <w:rPr>
          <w:rStyle w:val="References"/>
          <w:b w:val="0"/>
          <w:bCs w:val="0"/>
          <w:i w:val="0"/>
          <w:iCs w:val="0"/>
        </w:rPr>
      </w:pPr>
      <w:r w:rsidRPr="00CC07A9">
        <w:rPr>
          <w:rStyle w:val="References"/>
        </w:rPr>
        <w:t>[</w:t>
      </w:r>
      <w:r w:rsidRPr="008774ED">
        <w:rPr>
          <w:rStyle w:val="References"/>
        </w:rPr>
        <w:t xml:space="preserve">Schedule </w:t>
      </w:r>
      <w:r w:rsidR="00EA1688" w:rsidRPr="008774ED">
        <w:rPr>
          <w:rStyle w:val="References"/>
        </w:rPr>
        <w:t>1</w:t>
      </w:r>
      <w:r w:rsidRPr="008774ED">
        <w:rPr>
          <w:rStyle w:val="References"/>
        </w:rPr>
        <w:t>, item</w:t>
      </w:r>
      <w:r w:rsidR="008774ED" w:rsidRPr="00592FA3">
        <w:rPr>
          <w:rStyle w:val="References"/>
        </w:rPr>
        <w:t xml:space="preserve"> 6</w:t>
      </w:r>
      <w:r w:rsidR="00B44A67">
        <w:rPr>
          <w:rStyle w:val="References"/>
        </w:rPr>
        <w:t>7</w:t>
      </w:r>
      <w:r w:rsidRPr="008774ED">
        <w:rPr>
          <w:rStyle w:val="References"/>
        </w:rPr>
        <w:t xml:space="preserve">, </w:t>
      </w:r>
      <w:r w:rsidR="00EA1688" w:rsidRPr="008774ED">
        <w:rPr>
          <w:rStyle w:val="References"/>
        </w:rPr>
        <w:t>s</w:t>
      </w:r>
      <w:r w:rsidR="008F5656">
        <w:rPr>
          <w:rStyle w:val="References"/>
        </w:rPr>
        <w:t xml:space="preserve">ection </w:t>
      </w:r>
      <w:r w:rsidR="00EA1688" w:rsidRPr="008774ED">
        <w:rPr>
          <w:rStyle w:val="References"/>
        </w:rPr>
        <w:t>29P of the</w:t>
      </w:r>
      <w:r w:rsidR="00EA1688">
        <w:rPr>
          <w:rStyle w:val="References"/>
        </w:rPr>
        <w:t xml:space="preserve"> Superannuation Industry (Supervision) Act 1993</w:t>
      </w:r>
      <w:r w:rsidRPr="00CC07A9">
        <w:rPr>
          <w:rStyle w:val="References"/>
        </w:rPr>
        <w:t xml:space="preserve">] </w:t>
      </w:r>
    </w:p>
    <w:p w14:paraId="41F7BF24" w14:textId="4DC1336F" w:rsidR="000962C2" w:rsidRPr="008774ED" w:rsidRDefault="000962C2" w:rsidP="00A40C21">
      <w:pPr>
        <w:pStyle w:val="Normalparatextwithnumbers"/>
        <w:numPr>
          <w:ilvl w:val="1"/>
          <w:numId w:val="3"/>
        </w:numPr>
        <w:rPr>
          <w:rStyle w:val="References"/>
          <w:b w:val="0"/>
          <w:bCs w:val="0"/>
          <w:i w:val="0"/>
          <w:iCs w:val="0"/>
        </w:rPr>
      </w:pPr>
      <w:r>
        <w:t xml:space="preserve">Virtual meeting technology has the same meaning as in the </w:t>
      </w:r>
      <w:r w:rsidRPr="00CC07A9">
        <w:rPr>
          <w:i/>
          <w:iCs/>
        </w:rPr>
        <w:t>Corporations Act 2001</w:t>
      </w:r>
      <w:r>
        <w:t xml:space="preserve">, which is defined as any technology that allows a person to participate in a meeting without being physically present at the meeting. </w:t>
      </w:r>
      <w:r>
        <w:br/>
      </w:r>
      <w:r w:rsidRPr="008774ED">
        <w:rPr>
          <w:rStyle w:val="References"/>
        </w:rPr>
        <w:t>[Schedule</w:t>
      </w:r>
      <w:r w:rsidR="00EA1688" w:rsidRPr="008774ED">
        <w:rPr>
          <w:rStyle w:val="References"/>
        </w:rPr>
        <w:t xml:space="preserve"> 1</w:t>
      </w:r>
      <w:r w:rsidRPr="008774ED">
        <w:rPr>
          <w:rStyle w:val="References"/>
        </w:rPr>
        <w:t>, item</w:t>
      </w:r>
      <w:r w:rsidR="008774ED" w:rsidRPr="00592FA3">
        <w:rPr>
          <w:rStyle w:val="References"/>
        </w:rPr>
        <w:t xml:space="preserve"> 6</w:t>
      </w:r>
      <w:r w:rsidR="00B44A67">
        <w:rPr>
          <w:rStyle w:val="References"/>
        </w:rPr>
        <w:t>6</w:t>
      </w:r>
      <w:r w:rsidRPr="008774ED">
        <w:rPr>
          <w:rStyle w:val="References"/>
        </w:rPr>
        <w:t xml:space="preserve">, </w:t>
      </w:r>
      <w:r w:rsidR="00EA1688" w:rsidRPr="008774ED">
        <w:rPr>
          <w:rStyle w:val="References"/>
        </w:rPr>
        <w:t>section 10 of the Superannuation Industry (Supervision) Act 1993</w:t>
      </w:r>
      <w:r w:rsidRPr="008774ED">
        <w:rPr>
          <w:rStyle w:val="References"/>
        </w:rPr>
        <w:t xml:space="preserve">] </w:t>
      </w:r>
    </w:p>
    <w:p w14:paraId="586C8F7C" w14:textId="493DD709" w:rsidR="000962C2" w:rsidRPr="00E372DF" w:rsidRDefault="000962C2" w:rsidP="00A40C21">
      <w:pPr>
        <w:pStyle w:val="Normalparatextwithnumbers"/>
        <w:numPr>
          <w:ilvl w:val="1"/>
          <w:numId w:val="3"/>
        </w:numPr>
        <w:rPr>
          <w:rStyle w:val="References"/>
          <w:b w:val="0"/>
          <w:bCs w:val="0"/>
          <w:i w:val="0"/>
          <w:iCs w:val="0"/>
        </w:rPr>
      </w:pPr>
      <w:r>
        <w:t xml:space="preserve">All persons who attend the annual members’ meeting (whether at a physical venue or by using virtual meeting technology) are taken to be present at the meeting. </w:t>
      </w:r>
      <w:r>
        <w:br/>
      </w:r>
      <w:r w:rsidRPr="00CC07A9">
        <w:rPr>
          <w:rStyle w:val="References"/>
        </w:rPr>
        <w:t xml:space="preserve">[Schedule </w:t>
      </w:r>
      <w:r w:rsidR="00EF112E">
        <w:rPr>
          <w:rStyle w:val="References"/>
        </w:rPr>
        <w:t>1</w:t>
      </w:r>
      <w:r w:rsidRPr="006E7211">
        <w:rPr>
          <w:rStyle w:val="References"/>
        </w:rPr>
        <w:t>, item</w:t>
      </w:r>
      <w:r w:rsidR="00EF112E" w:rsidRPr="006E7211">
        <w:rPr>
          <w:rStyle w:val="References"/>
        </w:rPr>
        <w:t xml:space="preserve"> </w:t>
      </w:r>
      <w:r w:rsidR="006E7211" w:rsidRPr="00592FA3">
        <w:rPr>
          <w:rStyle w:val="References"/>
        </w:rPr>
        <w:t>6</w:t>
      </w:r>
      <w:r w:rsidR="00B44A67">
        <w:rPr>
          <w:rStyle w:val="References"/>
        </w:rPr>
        <w:t>8</w:t>
      </w:r>
      <w:r w:rsidRPr="006E7211">
        <w:rPr>
          <w:rStyle w:val="References"/>
        </w:rPr>
        <w:t xml:space="preserve">, </w:t>
      </w:r>
      <w:r w:rsidR="00EF112E" w:rsidRPr="006E7211">
        <w:rPr>
          <w:rStyle w:val="References"/>
        </w:rPr>
        <w:t>section 29P of the</w:t>
      </w:r>
      <w:r w:rsidR="00EF112E">
        <w:rPr>
          <w:rStyle w:val="References"/>
        </w:rPr>
        <w:t xml:space="preserve"> Superannuation Industry (Supervision) Act 1993</w:t>
      </w:r>
      <w:r w:rsidRPr="00CC07A9">
        <w:rPr>
          <w:rStyle w:val="References"/>
        </w:rPr>
        <w:t xml:space="preserve">] </w:t>
      </w:r>
    </w:p>
    <w:p w14:paraId="57C965DB" w14:textId="333A814B" w:rsidR="000962C2" w:rsidRDefault="000962C2" w:rsidP="00A40C21">
      <w:pPr>
        <w:pStyle w:val="Normalparatextwithnumbers"/>
        <w:numPr>
          <w:ilvl w:val="1"/>
          <w:numId w:val="3"/>
        </w:numPr>
        <w:rPr>
          <w:rStyle w:val="References"/>
          <w:b w:val="0"/>
          <w:bCs w:val="0"/>
          <w:i w:val="0"/>
          <w:iCs w:val="0"/>
        </w:rPr>
      </w:pPr>
      <w:r>
        <w:rPr>
          <w:rStyle w:val="References"/>
          <w:b w:val="0"/>
          <w:bCs w:val="0"/>
          <w:i w:val="0"/>
          <w:iCs w:val="0"/>
        </w:rPr>
        <w:t xml:space="preserve">The </w:t>
      </w:r>
      <w:r w:rsidR="00B44A67">
        <w:rPr>
          <w:rStyle w:val="References"/>
          <w:b w:val="0"/>
          <w:bCs w:val="0"/>
          <w:i w:val="0"/>
          <w:iCs w:val="0"/>
        </w:rPr>
        <w:t>new sections</w:t>
      </w:r>
      <w:r>
        <w:rPr>
          <w:rStyle w:val="References"/>
          <w:b w:val="0"/>
          <w:bCs w:val="0"/>
          <w:i w:val="0"/>
          <w:iCs w:val="0"/>
        </w:rPr>
        <w:t xml:space="preserve"> also set out:</w:t>
      </w:r>
    </w:p>
    <w:p w14:paraId="64556C48" w14:textId="78D7F5D9" w:rsidR="000962C2" w:rsidRPr="001354DD" w:rsidRDefault="000962C2" w:rsidP="00A40C21">
      <w:pPr>
        <w:pStyle w:val="Normalparatextwithnumbers"/>
        <w:numPr>
          <w:ilvl w:val="0"/>
          <w:numId w:val="27"/>
        </w:numPr>
        <w:rPr>
          <w:rStyle w:val="References"/>
          <w:b w:val="0"/>
          <w:bCs w:val="0"/>
          <w:i w:val="0"/>
          <w:iCs w:val="0"/>
        </w:rPr>
      </w:pPr>
      <w:r>
        <w:rPr>
          <w:rStyle w:val="References"/>
          <w:b w:val="0"/>
          <w:bCs w:val="0"/>
          <w:i w:val="0"/>
          <w:iCs w:val="0"/>
        </w:rPr>
        <w:t>the place and deemed time for different types of annual members’ meetings</w:t>
      </w:r>
      <w:r w:rsidRPr="001354DD">
        <w:rPr>
          <w:rStyle w:val="References"/>
          <w:b w:val="0"/>
          <w:bCs w:val="0"/>
          <w:i w:val="0"/>
          <w:iCs w:val="0"/>
        </w:rPr>
        <w:t xml:space="preserve">; and </w:t>
      </w:r>
    </w:p>
    <w:p w14:paraId="35867262" w14:textId="77777777" w:rsidR="00513FB6" w:rsidRDefault="000962C2" w:rsidP="00A40C21">
      <w:pPr>
        <w:pStyle w:val="Normalparatextwithnumbers"/>
        <w:numPr>
          <w:ilvl w:val="0"/>
          <w:numId w:val="27"/>
        </w:numPr>
        <w:rPr>
          <w:rStyle w:val="References"/>
          <w:b w:val="0"/>
          <w:bCs w:val="0"/>
          <w:i w:val="0"/>
          <w:iCs w:val="0"/>
        </w:rPr>
      </w:pPr>
      <w:r>
        <w:rPr>
          <w:rStyle w:val="References"/>
          <w:b w:val="0"/>
          <w:bCs w:val="0"/>
          <w:i w:val="0"/>
          <w:iCs w:val="0"/>
        </w:rPr>
        <w:t xml:space="preserve">changes to notice requirements for different types of annual members’ meetings. </w:t>
      </w:r>
    </w:p>
    <w:p w14:paraId="3C27EB4F" w14:textId="50B11BDB" w:rsidR="000962C2" w:rsidRPr="001354DD" w:rsidRDefault="000962C2" w:rsidP="00513FB6">
      <w:pPr>
        <w:pStyle w:val="Normalparatextwithnumbers"/>
        <w:numPr>
          <w:ilvl w:val="0"/>
          <w:numId w:val="0"/>
        </w:numPr>
        <w:ind w:left="1069"/>
        <w:rPr>
          <w:rStyle w:val="References"/>
          <w:b w:val="0"/>
          <w:bCs w:val="0"/>
          <w:i w:val="0"/>
          <w:iCs w:val="0"/>
        </w:rPr>
      </w:pPr>
      <w:r w:rsidRPr="00E372DF">
        <w:rPr>
          <w:rStyle w:val="References"/>
        </w:rPr>
        <w:t>[</w:t>
      </w:r>
      <w:r w:rsidRPr="001354DD">
        <w:rPr>
          <w:rStyle w:val="References"/>
        </w:rPr>
        <w:t xml:space="preserve">Schedule </w:t>
      </w:r>
      <w:r w:rsidR="001354DD" w:rsidRPr="00592FA3">
        <w:rPr>
          <w:rStyle w:val="References"/>
        </w:rPr>
        <w:t>1</w:t>
      </w:r>
      <w:r w:rsidRPr="001354DD">
        <w:rPr>
          <w:rStyle w:val="References"/>
        </w:rPr>
        <w:t>, item</w:t>
      </w:r>
      <w:r w:rsidR="001354DD" w:rsidRPr="00592FA3">
        <w:rPr>
          <w:rStyle w:val="References"/>
        </w:rPr>
        <w:t xml:space="preserve"> 6</w:t>
      </w:r>
      <w:r w:rsidR="00B44A67">
        <w:rPr>
          <w:rStyle w:val="References"/>
        </w:rPr>
        <w:t>8</w:t>
      </w:r>
      <w:r w:rsidRPr="001354DD">
        <w:rPr>
          <w:rStyle w:val="References"/>
        </w:rPr>
        <w:t xml:space="preserve">, </w:t>
      </w:r>
      <w:r w:rsidR="002B4CBB">
        <w:rPr>
          <w:rStyle w:val="References"/>
        </w:rPr>
        <w:t xml:space="preserve">section </w:t>
      </w:r>
      <w:r w:rsidR="00EF112E" w:rsidRPr="001354DD">
        <w:rPr>
          <w:rStyle w:val="References"/>
        </w:rPr>
        <w:t>29P</w:t>
      </w:r>
      <w:r w:rsidR="002B4CBB">
        <w:rPr>
          <w:rStyle w:val="References"/>
        </w:rPr>
        <w:t xml:space="preserve"> </w:t>
      </w:r>
      <w:r w:rsidR="00EF112E" w:rsidRPr="001354DD">
        <w:rPr>
          <w:rStyle w:val="References"/>
        </w:rPr>
        <w:t>of the Superannuation Industry (Supervision) Act 1993</w:t>
      </w:r>
      <w:r w:rsidRPr="001354DD">
        <w:rPr>
          <w:rStyle w:val="References"/>
        </w:rPr>
        <w:t xml:space="preserve">] </w:t>
      </w:r>
    </w:p>
    <w:p w14:paraId="627B17C7" w14:textId="3A26BAA8" w:rsidR="000962C2" w:rsidRDefault="000962C2" w:rsidP="00143BF2">
      <w:pPr>
        <w:pStyle w:val="Normalparatextwithnumbers"/>
        <w:numPr>
          <w:ilvl w:val="0"/>
          <w:numId w:val="0"/>
        </w:numPr>
        <w:ind w:left="1058" w:hanging="338"/>
        <w:rPr>
          <w:rStyle w:val="References"/>
          <w:b w:val="0"/>
          <w:bCs w:val="0"/>
          <w:i w:val="0"/>
          <w:iCs w:val="0"/>
        </w:rPr>
      </w:pPr>
      <w:r>
        <w:rPr>
          <w:rStyle w:val="References"/>
          <w:b w:val="0"/>
          <w:bCs w:val="0"/>
          <w:i w:val="0"/>
          <w:iCs w:val="0"/>
        </w:rPr>
        <w:t>These rules are summarised in Tables 1 and 2</w:t>
      </w:r>
      <w:r w:rsidR="007A56FE">
        <w:rPr>
          <w:rStyle w:val="References"/>
          <w:b w:val="0"/>
          <w:bCs w:val="0"/>
          <w:i w:val="0"/>
          <w:iCs w:val="0"/>
        </w:rPr>
        <w:t xml:space="preserve"> below</w:t>
      </w:r>
      <w:r>
        <w:rPr>
          <w:rStyle w:val="References"/>
          <w:b w:val="0"/>
          <w:bCs w:val="0"/>
          <w:i w:val="0"/>
          <w:iCs w:val="0"/>
        </w:rPr>
        <w:t xml:space="preserve">. </w:t>
      </w:r>
    </w:p>
    <w:p w14:paraId="274C2495" w14:textId="77777777" w:rsidR="000962C2" w:rsidRPr="00BF2632" w:rsidRDefault="000962C2" w:rsidP="00A40C21">
      <w:pPr>
        <w:pStyle w:val="Tableheaderrowtext"/>
        <w:numPr>
          <w:ilvl w:val="0"/>
          <w:numId w:val="0"/>
        </w:numPr>
        <w:rPr>
          <w:b w:val="0"/>
          <w:bCs/>
          <w:i w:val="0"/>
          <w:iCs w:val="0"/>
        </w:rPr>
      </w:pPr>
      <w:r w:rsidRPr="00BF2632">
        <w:rPr>
          <w:bCs/>
          <w:iCs w:val="0"/>
        </w:rPr>
        <w:lastRenderedPageBreak/>
        <w:t>Table 1: Place and deemed time of different types of meetings</w:t>
      </w:r>
    </w:p>
    <w:tbl>
      <w:tblPr>
        <w:tblStyle w:val="TableGrid"/>
        <w:tblW w:w="4994" w:type="pct"/>
        <w:tblInd w:w="34" w:type="dxa"/>
        <w:tblLook w:val="04A0" w:firstRow="1" w:lastRow="0" w:firstColumn="1" w:lastColumn="0" w:noHBand="0" w:noVBand="1"/>
      </w:tblPr>
      <w:tblGrid>
        <w:gridCol w:w="2564"/>
        <w:gridCol w:w="2563"/>
        <w:gridCol w:w="2565"/>
      </w:tblGrid>
      <w:tr w:rsidR="000962C2" w:rsidRPr="00BF2632" w14:paraId="1E6F6F79" w14:textId="77777777" w:rsidTr="009A28B4">
        <w:tc>
          <w:tcPr>
            <w:tcW w:w="1666" w:type="pct"/>
          </w:tcPr>
          <w:p w14:paraId="2F242233" w14:textId="77777777" w:rsidR="000962C2" w:rsidRPr="00BF2632" w:rsidRDefault="000962C2" w:rsidP="00A40C21">
            <w:pPr>
              <w:pStyle w:val="Tableheaderrowtext"/>
              <w:numPr>
                <w:ilvl w:val="3"/>
                <w:numId w:val="2"/>
              </w:numPr>
              <w:jc w:val="center"/>
              <w:rPr>
                <w:b w:val="0"/>
                <w:bCs/>
                <w:i w:val="0"/>
              </w:rPr>
            </w:pPr>
            <w:r w:rsidRPr="00BF2632">
              <w:rPr>
                <w:bCs/>
                <w:iCs w:val="0"/>
              </w:rPr>
              <w:t>Type of meeting</w:t>
            </w:r>
          </w:p>
        </w:tc>
        <w:tc>
          <w:tcPr>
            <w:tcW w:w="1666" w:type="pct"/>
          </w:tcPr>
          <w:p w14:paraId="1840CF9A" w14:textId="77777777" w:rsidR="000962C2" w:rsidRPr="00BF2632" w:rsidRDefault="000962C2" w:rsidP="00A40C21">
            <w:pPr>
              <w:pStyle w:val="Tableheaderrowtext"/>
              <w:numPr>
                <w:ilvl w:val="3"/>
                <w:numId w:val="2"/>
              </w:numPr>
              <w:jc w:val="center"/>
              <w:rPr>
                <w:b w:val="0"/>
                <w:bCs/>
                <w:i w:val="0"/>
                <w:iCs w:val="0"/>
              </w:rPr>
            </w:pPr>
            <w:r w:rsidRPr="00BF2632">
              <w:rPr>
                <w:bCs/>
                <w:iCs w:val="0"/>
              </w:rPr>
              <w:t>Place of meeting</w:t>
            </w:r>
          </w:p>
        </w:tc>
        <w:tc>
          <w:tcPr>
            <w:tcW w:w="1667" w:type="pct"/>
          </w:tcPr>
          <w:p w14:paraId="09690EF4" w14:textId="77777777" w:rsidR="000962C2" w:rsidRPr="00BF2632" w:rsidRDefault="000962C2" w:rsidP="00A40C21">
            <w:pPr>
              <w:pStyle w:val="Tableheaderrowtext"/>
              <w:numPr>
                <w:ilvl w:val="3"/>
                <w:numId w:val="2"/>
              </w:numPr>
              <w:jc w:val="center"/>
              <w:rPr>
                <w:b w:val="0"/>
                <w:bCs/>
                <w:i w:val="0"/>
                <w:iCs w:val="0"/>
              </w:rPr>
            </w:pPr>
            <w:r w:rsidRPr="00BF2632">
              <w:rPr>
                <w:bCs/>
                <w:iCs w:val="0"/>
              </w:rPr>
              <w:t>Time of meeting</w:t>
            </w:r>
          </w:p>
        </w:tc>
      </w:tr>
      <w:tr w:rsidR="000962C2" w:rsidRPr="00BF2632" w14:paraId="4A4EB75A" w14:textId="77777777" w:rsidTr="009A28B4">
        <w:tc>
          <w:tcPr>
            <w:tcW w:w="1666" w:type="pct"/>
          </w:tcPr>
          <w:p w14:paraId="34143DB7" w14:textId="77777777" w:rsidR="000962C2" w:rsidRPr="00BF2632" w:rsidRDefault="000962C2" w:rsidP="00A40C21">
            <w:pPr>
              <w:pStyle w:val="Tabletext"/>
              <w:ind w:left="0"/>
              <w:rPr>
                <w:sz w:val="22"/>
                <w:szCs w:val="22"/>
              </w:rPr>
            </w:pPr>
            <w:r w:rsidRPr="00BF2632">
              <w:rPr>
                <w:sz w:val="22"/>
                <w:szCs w:val="22"/>
              </w:rPr>
              <w:t>Physical meeting or hybrid meeting</w:t>
            </w:r>
          </w:p>
        </w:tc>
        <w:tc>
          <w:tcPr>
            <w:tcW w:w="1666" w:type="pct"/>
          </w:tcPr>
          <w:p w14:paraId="07905745" w14:textId="77777777" w:rsidR="000962C2" w:rsidRPr="00BF2632" w:rsidRDefault="000962C2" w:rsidP="00A40C21">
            <w:pPr>
              <w:pStyle w:val="Tabletext"/>
              <w:ind w:left="0"/>
              <w:rPr>
                <w:sz w:val="22"/>
                <w:szCs w:val="22"/>
              </w:rPr>
            </w:pPr>
            <w:r w:rsidRPr="00BF2632">
              <w:rPr>
                <w:sz w:val="22"/>
                <w:szCs w:val="22"/>
              </w:rPr>
              <w:t>Physical venue for the meeting or, if there is more than one physical venue, the main venue as set out in the meeting notice</w:t>
            </w:r>
          </w:p>
        </w:tc>
        <w:tc>
          <w:tcPr>
            <w:tcW w:w="1667" w:type="pct"/>
          </w:tcPr>
          <w:p w14:paraId="4770B7F9" w14:textId="77777777" w:rsidR="000962C2" w:rsidRPr="00BF2632" w:rsidRDefault="000962C2" w:rsidP="00A40C21">
            <w:pPr>
              <w:pStyle w:val="Tabletext"/>
              <w:ind w:left="0"/>
              <w:rPr>
                <w:sz w:val="22"/>
                <w:szCs w:val="22"/>
              </w:rPr>
            </w:pPr>
            <w:r w:rsidRPr="00BF2632">
              <w:rPr>
                <w:sz w:val="22"/>
                <w:szCs w:val="22"/>
              </w:rPr>
              <w:t>Time at the physical venue or main physical venue</w:t>
            </w:r>
          </w:p>
        </w:tc>
      </w:tr>
      <w:tr w:rsidR="000962C2" w:rsidRPr="00BF2632" w14:paraId="1BF595AD" w14:textId="77777777" w:rsidTr="009A28B4">
        <w:tc>
          <w:tcPr>
            <w:tcW w:w="1666" w:type="pct"/>
          </w:tcPr>
          <w:p w14:paraId="48DCE71D" w14:textId="77777777" w:rsidR="000962C2" w:rsidRPr="00BF2632" w:rsidRDefault="000962C2" w:rsidP="00A40C21">
            <w:pPr>
              <w:pStyle w:val="Tabletext"/>
              <w:ind w:left="0"/>
              <w:rPr>
                <w:sz w:val="22"/>
                <w:szCs w:val="22"/>
              </w:rPr>
            </w:pPr>
            <w:r w:rsidRPr="00BF2632">
              <w:rPr>
                <w:sz w:val="22"/>
                <w:szCs w:val="22"/>
              </w:rPr>
              <w:t>Wholly virtual meeting</w:t>
            </w:r>
          </w:p>
        </w:tc>
        <w:tc>
          <w:tcPr>
            <w:tcW w:w="1666" w:type="pct"/>
          </w:tcPr>
          <w:p w14:paraId="5D9B2132" w14:textId="77777777" w:rsidR="000962C2" w:rsidRPr="00BF2632" w:rsidRDefault="000962C2" w:rsidP="00A40C21">
            <w:pPr>
              <w:pStyle w:val="Tabletext"/>
              <w:ind w:left="0"/>
              <w:rPr>
                <w:sz w:val="22"/>
                <w:szCs w:val="22"/>
              </w:rPr>
            </w:pPr>
            <w:r w:rsidRPr="00BF2632">
              <w:rPr>
                <w:sz w:val="22"/>
                <w:szCs w:val="22"/>
              </w:rPr>
              <w:t>Registered address of, or address for service of notices on, the registrable superannuation entity</w:t>
            </w:r>
          </w:p>
        </w:tc>
        <w:tc>
          <w:tcPr>
            <w:tcW w:w="1667" w:type="pct"/>
          </w:tcPr>
          <w:p w14:paraId="235556F4" w14:textId="77777777" w:rsidR="000962C2" w:rsidRPr="00BF2632" w:rsidRDefault="000962C2" w:rsidP="00A40C21">
            <w:pPr>
              <w:pStyle w:val="Tabletext"/>
              <w:ind w:left="0"/>
              <w:rPr>
                <w:sz w:val="22"/>
                <w:szCs w:val="22"/>
              </w:rPr>
            </w:pPr>
            <w:r w:rsidRPr="00BF2632">
              <w:rPr>
                <w:sz w:val="22"/>
                <w:szCs w:val="22"/>
              </w:rPr>
              <w:t>Time at the registered address of, or address for service of notices on, the entity</w:t>
            </w:r>
          </w:p>
        </w:tc>
      </w:tr>
    </w:tbl>
    <w:p w14:paraId="377BC8D1" w14:textId="77777777" w:rsidR="000962C2" w:rsidRPr="00BF2632" w:rsidRDefault="000962C2" w:rsidP="00A40C21">
      <w:pPr>
        <w:pStyle w:val="Tableheaderrowtext"/>
        <w:numPr>
          <w:ilvl w:val="3"/>
          <w:numId w:val="2"/>
        </w:numPr>
        <w:rPr>
          <w:b w:val="0"/>
          <w:bCs/>
          <w:i w:val="0"/>
          <w:iCs w:val="0"/>
        </w:rPr>
      </w:pPr>
      <w:r w:rsidRPr="00BF2632">
        <w:rPr>
          <w:bCs/>
          <w:iCs w:val="0"/>
        </w:rPr>
        <w:t>Table 2: Notice requirements for different types of meetings</w:t>
      </w:r>
    </w:p>
    <w:tbl>
      <w:tblPr>
        <w:tblStyle w:val="TableGrid"/>
        <w:tblW w:w="5000" w:type="pct"/>
        <w:tblInd w:w="34" w:type="dxa"/>
        <w:tblLook w:val="04A0" w:firstRow="1" w:lastRow="0" w:firstColumn="1" w:lastColumn="0" w:noHBand="0" w:noVBand="1"/>
      </w:tblPr>
      <w:tblGrid>
        <w:gridCol w:w="3841"/>
        <w:gridCol w:w="3860"/>
      </w:tblGrid>
      <w:tr w:rsidR="000962C2" w:rsidRPr="00BF2632" w14:paraId="1FD92E80" w14:textId="77777777" w:rsidTr="009A28B4">
        <w:tc>
          <w:tcPr>
            <w:tcW w:w="2494" w:type="pct"/>
          </w:tcPr>
          <w:p w14:paraId="22D3D1E5" w14:textId="77777777" w:rsidR="000962C2" w:rsidRPr="00BF2632" w:rsidRDefault="000962C2" w:rsidP="00A40C21">
            <w:pPr>
              <w:pStyle w:val="Tableheaderrowtext"/>
              <w:numPr>
                <w:ilvl w:val="3"/>
                <w:numId w:val="2"/>
              </w:numPr>
              <w:jc w:val="center"/>
              <w:rPr>
                <w:b w:val="0"/>
                <w:bCs/>
                <w:i w:val="0"/>
              </w:rPr>
            </w:pPr>
            <w:r w:rsidRPr="00BF2632">
              <w:rPr>
                <w:bCs/>
                <w:iCs w:val="0"/>
              </w:rPr>
              <w:t>Type of meeting</w:t>
            </w:r>
          </w:p>
        </w:tc>
        <w:tc>
          <w:tcPr>
            <w:tcW w:w="2506" w:type="pct"/>
          </w:tcPr>
          <w:p w14:paraId="3327FB1C" w14:textId="77777777" w:rsidR="000962C2" w:rsidRPr="00BF2632" w:rsidRDefault="000962C2" w:rsidP="00A40C21">
            <w:pPr>
              <w:pStyle w:val="Tableheaderrowtext"/>
              <w:numPr>
                <w:ilvl w:val="3"/>
                <w:numId w:val="2"/>
              </w:numPr>
              <w:jc w:val="center"/>
              <w:rPr>
                <w:b w:val="0"/>
                <w:bCs/>
                <w:i w:val="0"/>
                <w:iCs w:val="0"/>
              </w:rPr>
            </w:pPr>
            <w:r w:rsidRPr="00BF2632">
              <w:rPr>
                <w:bCs/>
                <w:iCs w:val="0"/>
              </w:rPr>
              <w:t>Notice requirements</w:t>
            </w:r>
          </w:p>
        </w:tc>
      </w:tr>
      <w:tr w:rsidR="000962C2" w:rsidRPr="00BF2632" w14:paraId="4C3668CC" w14:textId="77777777" w:rsidTr="009A28B4">
        <w:tc>
          <w:tcPr>
            <w:tcW w:w="2494" w:type="pct"/>
          </w:tcPr>
          <w:p w14:paraId="69D9A95B" w14:textId="77777777" w:rsidR="000962C2" w:rsidRPr="00BF2632" w:rsidRDefault="000962C2" w:rsidP="00A40C21">
            <w:pPr>
              <w:pStyle w:val="Tabletext"/>
              <w:ind w:left="0"/>
              <w:rPr>
                <w:sz w:val="22"/>
                <w:szCs w:val="22"/>
              </w:rPr>
            </w:pPr>
            <w:r w:rsidRPr="00BF2632">
              <w:rPr>
                <w:sz w:val="22"/>
                <w:szCs w:val="22"/>
              </w:rPr>
              <w:t>Physical meeting (one location at which to physically attend)</w:t>
            </w:r>
          </w:p>
        </w:tc>
        <w:tc>
          <w:tcPr>
            <w:tcW w:w="2506" w:type="pct"/>
          </w:tcPr>
          <w:p w14:paraId="5E43057D" w14:textId="77777777" w:rsidR="000962C2" w:rsidRPr="00BF2632" w:rsidRDefault="000962C2" w:rsidP="00A40C21">
            <w:pPr>
              <w:pStyle w:val="Tabletext"/>
              <w:ind w:left="0"/>
              <w:rPr>
                <w:sz w:val="22"/>
                <w:szCs w:val="22"/>
              </w:rPr>
            </w:pPr>
            <w:r w:rsidRPr="00BF2632">
              <w:rPr>
                <w:sz w:val="22"/>
                <w:szCs w:val="22"/>
              </w:rPr>
              <w:t>The date, time and place of the meeting</w:t>
            </w:r>
          </w:p>
        </w:tc>
      </w:tr>
      <w:tr w:rsidR="000962C2" w:rsidRPr="00BF2632" w14:paraId="0A01E1BF" w14:textId="77777777" w:rsidTr="009A28B4">
        <w:tc>
          <w:tcPr>
            <w:tcW w:w="2494" w:type="pct"/>
          </w:tcPr>
          <w:p w14:paraId="5E5F3286" w14:textId="77777777" w:rsidR="000962C2" w:rsidRPr="00BF2632" w:rsidRDefault="000962C2" w:rsidP="00A40C21">
            <w:pPr>
              <w:pStyle w:val="Tabletext"/>
              <w:ind w:left="0"/>
              <w:rPr>
                <w:sz w:val="22"/>
                <w:szCs w:val="22"/>
              </w:rPr>
            </w:pPr>
            <w:r w:rsidRPr="00BF2632">
              <w:rPr>
                <w:sz w:val="22"/>
                <w:szCs w:val="22"/>
              </w:rPr>
              <w:t xml:space="preserve">Physical meeting (more than one location at which to physically attend) </w:t>
            </w:r>
          </w:p>
        </w:tc>
        <w:tc>
          <w:tcPr>
            <w:tcW w:w="2506" w:type="pct"/>
          </w:tcPr>
          <w:p w14:paraId="05222569" w14:textId="77777777" w:rsidR="000962C2" w:rsidRPr="00BF2632" w:rsidRDefault="000962C2" w:rsidP="00A40C21">
            <w:pPr>
              <w:pStyle w:val="Tabletext"/>
              <w:ind w:left="0"/>
              <w:rPr>
                <w:sz w:val="22"/>
                <w:szCs w:val="22"/>
              </w:rPr>
            </w:pPr>
            <w:r w:rsidRPr="00BF2632">
              <w:rPr>
                <w:sz w:val="22"/>
                <w:szCs w:val="22"/>
              </w:rPr>
              <w:t>The date and time for the meeting at each location, and the main location for the meeting</w:t>
            </w:r>
          </w:p>
        </w:tc>
      </w:tr>
      <w:tr w:rsidR="000962C2" w:rsidRPr="00BF2632" w14:paraId="3C09480B" w14:textId="77777777" w:rsidTr="009A28B4">
        <w:tc>
          <w:tcPr>
            <w:tcW w:w="2494" w:type="pct"/>
          </w:tcPr>
          <w:p w14:paraId="053E237F" w14:textId="77777777" w:rsidR="000962C2" w:rsidRPr="00BF2632" w:rsidRDefault="000962C2" w:rsidP="00A40C21">
            <w:pPr>
              <w:pStyle w:val="Tabletext"/>
              <w:ind w:left="0"/>
              <w:rPr>
                <w:sz w:val="22"/>
                <w:szCs w:val="22"/>
              </w:rPr>
            </w:pPr>
            <w:r w:rsidRPr="00BF2632">
              <w:rPr>
                <w:sz w:val="22"/>
                <w:szCs w:val="22"/>
              </w:rPr>
              <w:t>Hybrid meeting (one location at which to physically attend)</w:t>
            </w:r>
          </w:p>
        </w:tc>
        <w:tc>
          <w:tcPr>
            <w:tcW w:w="2506" w:type="pct"/>
          </w:tcPr>
          <w:p w14:paraId="3BE48113" w14:textId="77777777" w:rsidR="000962C2" w:rsidRPr="00BF2632" w:rsidRDefault="000962C2" w:rsidP="00A40C21">
            <w:pPr>
              <w:pStyle w:val="Tabletext"/>
              <w:ind w:left="0"/>
              <w:rPr>
                <w:sz w:val="22"/>
                <w:szCs w:val="22"/>
              </w:rPr>
            </w:pPr>
            <w:r w:rsidRPr="00BF2632">
              <w:rPr>
                <w:sz w:val="22"/>
                <w:szCs w:val="22"/>
              </w:rPr>
              <w:t xml:space="preserve">The date, time and place of the meeting </w:t>
            </w:r>
          </w:p>
          <w:p w14:paraId="483889BF" w14:textId="77777777" w:rsidR="000962C2" w:rsidRPr="00BF2632" w:rsidRDefault="000962C2" w:rsidP="00A40C21">
            <w:pPr>
              <w:pStyle w:val="Tabletext"/>
              <w:ind w:left="0"/>
              <w:rPr>
                <w:sz w:val="22"/>
                <w:szCs w:val="22"/>
              </w:rPr>
            </w:pPr>
            <w:r w:rsidRPr="00BF2632">
              <w:rPr>
                <w:sz w:val="22"/>
                <w:szCs w:val="22"/>
              </w:rPr>
              <w:t>Sufficient information to allow persons to participate in the meeting by means of the technology</w:t>
            </w:r>
          </w:p>
        </w:tc>
      </w:tr>
      <w:tr w:rsidR="000962C2" w:rsidRPr="00BF2632" w14:paraId="1477A764" w14:textId="77777777" w:rsidTr="009A28B4">
        <w:tc>
          <w:tcPr>
            <w:tcW w:w="2494" w:type="pct"/>
          </w:tcPr>
          <w:p w14:paraId="4B1D97CD" w14:textId="77777777" w:rsidR="000962C2" w:rsidRPr="00BF2632" w:rsidRDefault="000962C2" w:rsidP="00A40C21">
            <w:pPr>
              <w:pStyle w:val="Tabletext"/>
              <w:ind w:left="0"/>
              <w:rPr>
                <w:sz w:val="22"/>
                <w:szCs w:val="22"/>
              </w:rPr>
            </w:pPr>
            <w:r w:rsidRPr="00BF2632">
              <w:rPr>
                <w:sz w:val="22"/>
                <w:szCs w:val="22"/>
              </w:rPr>
              <w:t>Hybrid meeting (more than one location at which to physically attend)</w:t>
            </w:r>
          </w:p>
        </w:tc>
        <w:tc>
          <w:tcPr>
            <w:tcW w:w="2506" w:type="pct"/>
          </w:tcPr>
          <w:p w14:paraId="49556A17" w14:textId="77777777" w:rsidR="000962C2" w:rsidRPr="00BF2632" w:rsidRDefault="000962C2" w:rsidP="00A40C21">
            <w:pPr>
              <w:pStyle w:val="Tabletext"/>
              <w:ind w:left="0"/>
              <w:rPr>
                <w:sz w:val="22"/>
                <w:szCs w:val="22"/>
              </w:rPr>
            </w:pPr>
            <w:r w:rsidRPr="00BF2632">
              <w:rPr>
                <w:sz w:val="22"/>
                <w:szCs w:val="22"/>
              </w:rPr>
              <w:t>The date and time for the meeting at each location, and the main location for the meeting</w:t>
            </w:r>
          </w:p>
          <w:p w14:paraId="6CD3CD4B" w14:textId="77777777" w:rsidR="000962C2" w:rsidRPr="00BF2632" w:rsidRDefault="000962C2" w:rsidP="00A40C21">
            <w:pPr>
              <w:pStyle w:val="Tabletext"/>
              <w:ind w:left="0"/>
              <w:rPr>
                <w:sz w:val="22"/>
                <w:szCs w:val="22"/>
              </w:rPr>
            </w:pPr>
            <w:r w:rsidRPr="00BF2632">
              <w:rPr>
                <w:sz w:val="22"/>
                <w:szCs w:val="22"/>
              </w:rPr>
              <w:t>Sufficient information to allow persons to participate in the meeting by means of the technology</w:t>
            </w:r>
          </w:p>
        </w:tc>
      </w:tr>
      <w:tr w:rsidR="000962C2" w:rsidRPr="00BF2632" w14:paraId="4D787EDF" w14:textId="77777777" w:rsidTr="009A28B4">
        <w:tc>
          <w:tcPr>
            <w:tcW w:w="2494" w:type="pct"/>
          </w:tcPr>
          <w:p w14:paraId="4D5D6598" w14:textId="77777777" w:rsidR="000962C2" w:rsidRPr="00BF2632" w:rsidRDefault="000962C2" w:rsidP="00A40C21">
            <w:pPr>
              <w:pStyle w:val="Tabletext"/>
              <w:ind w:left="0"/>
              <w:rPr>
                <w:sz w:val="22"/>
                <w:szCs w:val="22"/>
              </w:rPr>
            </w:pPr>
            <w:r w:rsidRPr="00BF2632">
              <w:rPr>
                <w:sz w:val="22"/>
                <w:szCs w:val="22"/>
              </w:rPr>
              <w:t>Wholly virtual meeting</w:t>
            </w:r>
          </w:p>
        </w:tc>
        <w:tc>
          <w:tcPr>
            <w:tcW w:w="2506" w:type="pct"/>
          </w:tcPr>
          <w:p w14:paraId="130F4FE3" w14:textId="77777777" w:rsidR="000962C2" w:rsidRPr="00BF2632" w:rsidRDefault="000962C2" w:rsidP="00A40C21">
            <w:pPr>
              <w:pStyle w:val="Tabletext"/>
              <w:ind w:left="0"/>
              <w:rPr>
                <w:sz w:val="22"/>
                <w:szCs w:val="22"/>
              </w:rPr>
            </w:pPr>
            <w:r w:rsidRPr="00BF2632">
              <w:rPr>
                <w:sz w:val="22"/>
                <w:szCs w:val="22"/>
              </w:rPr>
              <w:t>Sufficient information to allow persons to participate in the meeting by means of the technology</w:t>
            </w:r>
          </w:p>
        </w:tc>
      </w:tr>
    </w:tbl>
    <w:p w14:paraId="22A80ED3" w14:textId="1E2C383D" w:rsidR="000962C2" w:rsidRPr="001354DD" w:rsidRDefault="000962C2" w:rsidP="00A40C21">
      <w:pPr>
        <w:pStyle w:val="Normalparatextwithnumbers"/>
        <w:numPr>
          <w:ilvl w:val="1"/>
          <w:numId w:val="3"/>
        </w:numPr>
        <w:rPr>
          <w:rStyle w:val="References"/>
          <w:b w:val="0"/>
          <w:bCs w:val="0"/>
          <w:i w:val="0"/>
          <w:iCs w:val="0"/>
        </w:rPr>
      </w:pPr>
      <w:r>
        <w:rPr>
          <w:rStyle w:val="References"/>
          <w:b w:val="0"/>
          <w:bCs w:val="0"/>
          <w:i w:val="0"/>
          <w:iCs w:val="0"/>
        </w:rPr>
        <w:t xml:space="preserve">If the annual members’ meeting is a wholly virtual meeting, the place at which the meeting is held is taken to be the registered address of, or an address for services of notices on, the registrable superannuation entity as contained in a register kept by </w:t>
      </w:r>
      <w:r w:rsidR="006D10C8">
        <w:rPr>
          <w:rStyle w:val="References"/>
          <w:b w:val="0"/>
          <w:bCs w:val="0"/>
          <w:i w:val="0"/>
          <w:iCs w:val="0"/>
        </w:rPr>
        <w:t>APRA</w:t>
      </w:r>
      <w:r>
        <w:rPr>
          <w:rStyle w:val="References"/>
          <w:b w:val="0"/>
          <w:bCs w:val="0"/>
          <w:i w:val="0"/>
          <w:iCs w:val="0"/>
        </w:rPr>
        <w:t xml:space="preserve"> under regulations made for the purposes of subsection 353(2) of the </w:t>
      </w:r>
      <w:r w:rsidR="00465CB3" w:rsidRPr="00C11C44">
        <w:rPr>
          <w:i/>
          <w:iCs/>
        </w:rPr>
        <w:t>Superannuation Industry (Supervision) Act 1993</w:t>
      </w:r>
      <w:r>
        <w:rPr>
          <w:rStyle w:val="References"/>
          <w:b w:val="0"/>
          <w:bCs w:val="0"/>
          <w:i w:val="0"/>
          <w:iCs w:val="0"/>
        </w:rPr>
        <w:t xml:space="preserve">. Under Part 11A of the </w:t>
      </w:r>
      <w:r w:rsidRPr="00465CB3">
        <w:rPr>
          <w:rStyle w:val="References"/>
          <w:b w:val="0"/>
          <w:bCs w:val="0"/>
        </w:rPr>
        <w:t>Superannuation Industry (Supervision) Regulations 1994</w:t>
      </w:r>
      <w:r>
        <w:rPr>
          <w:rStyle w:val="References"/>
          <w:b w:val="0"/>
          <w:bCs w:val="0"/>
          <w:i w:val="0"/>
          <w:iCs w:val="0"/>
        </w:rPr>
        <w:t xml:space="preserve">, a registrable superannuation entity must provide </w:t>
      </w:r>
      <w:r w:rsidR="006D10C8">
        <w:rPr>
          <w:rStyle w:val="References"/>
          <w:b w:val="0"/>
          <w:bCs w:val="0"/>
          <w:i w:val="0"/>
          <w:iCs w:val="0"/>
        </w:rPr>
        <w:t>APRA</w:t>
      </w:r>
      <w:r w:rsidR="00796861" w:rsidRPr="00EF112E">
        <w:rPr>
          <w:rStyle w:val="References"/>
          <w:b w:val="0"/>
          <w:bCs w:val="0"/>
          <w:i w:val="0"/>
          <w:iCs w:val="0"/>
        </w:rPr>
        <w:t xml:space="preserve"> </w:t>
      </w:r>
      <w:r w:rsidRPr="00EF112E">
        <w:rPr>
          <w:rStyle w:val="References"/>
          <w:b w:val="0"/>
          <w:bCs w:val="0"/>
          <w:i w:val="0"/>
          <w:iCs w:val="0"/>
        </w:rPr>
        <w:t>with</w:t>
      </w:r>
      <w:r>
        <w:rPr>
          <w:rStyle w:val="References"/>
          <w:b w:val="0"/>
          <w:bCs w:val="0"/>
          <w:i w:val="0"/>
          <w:iCs w:val="0"/>
        </w:rPr>
        <w:t xml:space="preserve"> either the registered address of the entity or an address for service of notices on the entity (i.e., a single </w:t>
      </w:r>
      <w:r>
        <w:rPr>
          <w:rStyle w:val="References"/>
          <w:b w:val="0"/>
          <w:bCs w:val="0"/>
          <w:i w:val="0"/>
          <w:iCs w:val="0"/>
        </w:rPr>
        <w:lastRenderedPageBreak/>
        <w:t xml:space="preserve">address). The address should not </w:t>
      </w:r>
      <w:r w:rsidR="00304EAF">
        <w:rPr>
          <w:rStyle w:val="References"/>
          <w:b w:val="0"/>
          <w:bCs w:val="0"/>
          <w:i w:val="0"/>
          <w:iCs w:val="0"/>
        </w:rPr>
        <w:t xml:space="preserve">be </w:t>
      </w:r>
      <w:r>
        <w:rPr>
          <w:rStyle w:val="References"/>
          <w:b w:val="0"/>
          <w:bCs w:val="0"/>
          <w:i w:val="0"/>
          <w:iCs w:val="0"/>
        </w:rPr>
        <w:t>a P.O</w:t>
      </w:r>
      <w:r w:rsidR="00796861">
        <w:rPr>
          <w:rStyle w:val="References"/>
          <w:b w:val="0"/>
          <w:bCs w:val="0"/>
          <w:i w:val="0"/>
          <w:iCs w:val="0"/>
        </w:rPr>
        <w:t>.</w:t>
      </w:r>
      <w:r>
        <w:rPr>
          <w:rStyle w:val="References"/>
          <w:b w:val="0"/>
          <w:bCs w:val="0"/>
          <w:i w:val="0"/>
          <w:iCs w:val="0"/>
        </w:rPr>
        <w:t xml:space="preserve"> Box. </w:t>
      </w:r>
      <w:r>
        <w:rPr>
          <w:rStyle w:val="References"/>
          <w:b w:val="0"/>
          <w:bCs w:val="0"/>
          <w:i w:val="0"/>
          <w:iCs w:val="0"/>
        </w:rPr>
        <w:br/>
      </w:r>
      <w:r w:rsidRPr="00EA5F38">
        <w:rPr>
          <w:rStyle w:val="References"/>
        </w:rPr>
        <w:t>[</w:t>
      </w:r>
      <w:r w:rsidRPr="001354DD">
        <w:rPr>
          <w:rStyle w:val="References"/>
        </w:rPr>
        <w:t xml:space="preserve">Schedule </w:t>
      </w:r>
      <w:r w:rsidR="00D61F58" w:rsidRPr="001354DD">
        <w:rPr>
          <w:rStyle w:val="References"/>
        </w:rPr>
        <w:t>1</w:t>
      </w:r>
      <w:r w:rsidRPr="001354DD">
        <w:rPr>
          <w:rStyle w:val="References"/>
        </w:rPr>
        <w:t>, item</w:t>
      </w:r>
      <w:r w:rsidR="001354DD" w:rsidRPr="00592FA3">
        <w:rPr>
          <w:rStyle w:val="References"/>
        </w:rPr>
        <w:t xml:space="preserve"> 6</w:t>
      </w:r>
      <w:r w:rsidR="00B44A67">
        <w:rPr>
          <w:rStyle w:val="References"/>
        </w:rPr>
        <w:t>8</w:t>
      </w:r>
      <w:r w:rsidRPr="001354DD">
        <w:rPr>
          <w:rStyle w:val="References"/>
        </w:rPr>
        <w:t xml:space="preserve">, </w:t>
      </w:r>
      <w:r w:rsidR="008720BC">
        <w:rPr>
          <w:rStyle w:val="References"/>
        </w:rPr>
        <w:t>section</w:t>
      </w:r>
      <w:r w:rsidR="00D61F58" w:rsidRPr="001354DD">
        <w:rPr>
          <w:rStyle w:val="References"/>
        </w:rPr>
        <w:t xml:space="preserve"> 29P of the Superannuation Industry (Supervision) Act 1993</w:t>
      </w:r>
      <w:r w:rsidRPr="001354DD">
        <w:rPr>
          <w:rStyle w:val="References"/>
        </w:rPr>
        <w:t xml:space="preserve">] </w:t>
      </w:r>
    </w:p>
    <w:p w14:paraId="4B20B61A" w14:textId="3E2674E2" w:rsidR="000962C2" w:rsidRDefault="000962C2" w:rsidP="00A40C21">
      <w:pPr>
        <w:pStyle w:val="Normalparatextwithnumbers"/>
        <w:numPr>
          <w:ilvl w:val="1"/>
          <w:numId w:val="3"/>
        </w:numPr>
      </w:pPr>
      <w:r>
        <w:rPr>
          <w:rStyle w:val="References"/>
          <w:b w:val="0"/>
          <w:bCs w:val="0"/>
          <w:i w:val="0"/>
          <w:iCs w:val="0"/>
        </w:rPr>
        <w:t xml:space="preserve">The amendments to the </w:t>
      </w:r>
      <w:r w:rsidR="00796861" w:rsidRPr="00C11C44">
        <w:rPr>
          <w:i/>
          <w:iCs/>
        </w:rPr>
        <w:t>Superannuation Industry (Supervision) Act 1993</w:t>
      </w:r>
      <w:r>
        <w:rPr>
          <w:rStyle w:val="References"/>
          <w:b w:val="0"/>
          <w:bCs w:val="0"/>
          <w:i w:val="0"/>
          <w:iCs w:val="0"/>
        </w:rPr>
        <w:t xml:space="preserve"> apply in relation to an annual members’ meeting of a registrable superannuation entity that ends on or after the day </w:t>
      </w:r>
      <w:r w:rsidRPr="00753A9F">
        <w:rPr>
          <w:rStyle w:val="References"/>
          <w:b w:val="0"/>
          <w:bCs w:val="0"/>
          <w:i w:val="0"/>
          <w:iCs w:val="0"/>
        </w:rPr>
        <w:t xml:space="preserve">that </w:t>
      </w:r>
      <w:r w:rsidRPr="00592FA3">
        <w:rPr>
          <w:rStyle w:val="References"/>
          <w:b w:val="0"/>
          <w:bCs w:val="0"/>
          <w:i w:val="0"/>
          <w:iCs w:val="0"/>
        </w:rPr>
        <w:t xml:space="preserve">Schedule </w:t>
      </w:r>
      <w:r w:rsidR="00753A9F" w:rsidRPr="00592FA3">
        <w:rPr>
          <w:rStyle w:val="References"/>
          <w:b w:val="0"/>
          <w:bCs w:val="0"/>
          <w:i w:val="0"/>
          <w:iCs w:val="0"/>
        </w:rPr>
        <w:t>1</w:t>
      </w:r>
      <w:r w:rsidRPr="00753A9F">
        <w:rPr>
          <w:rStyle w:val="References"/>
          <w:b w:val="0"/>
          <w:bCs w:val="0"/>
          <w:i w:val="0"/>
          <w:iCs w:val="0"/>
        </w:rPr>
        <w:t xml:space="preserve"> commences</w:t>
      </w:r>
      <w:r>
        <w:rPr>
          <w:rStyle w:val="References"/>
          <w:b w:val="0"/>
          <w:bCs w:val="0"/>
          <w:i w:val="0"/>
          <w:iCs w:val="0"/>
        </w:rPr>
        <w:t xml:space="preserve">. </w:t>
      </w:r>
      <w:r w:rsidR="00A945B7">
        <w:rPr>
          <w:rStyle w:val="References"/>
          <w:b w:val="0"/>
          <w:bCs w:val="0"/>
          <w:i w:val="0"/>
          <w:iCs w:val="0"/>
        </w:rPr>
        <w:br/>
      </w:r>
      <w:r w:rsidR="00A945B7" w:rsidRPr="00A945B7">
        <w:rPr>
          <w:rStyle w:val="References"/>
        </w:rPr>
        <w:t>[</w:t>
      </w:r>
      <w:r w:rsidRPr="002B7ED5">
        <w:rPr>
          <w:rStyle w:val="References"/>
        </w:rPr>
        <w:t xml:space="preserve">Schedule </w:t>
      </w:r>
      <w:r w:rsidR="00D61F58">
        <w:rPr>
          <w:rStyle w:val="References"/>
        </w:rPr>
        <w:t xml:space="preserve">1, item </w:t>
      </w:r>
      <w:r w:rsidR="00753A9F">
        <w:rPr>
          <w:rStyle w:val="References"/>
        </w:rPr>
        <w:t>6</w:t>
      </w:r>
      <w:r w:rsidR="00B44A67">
        <w:rPr>
          <w:rStyle w:val="References"/>
        </w:rPr>
        <w:t>9</w:t>
      </w:r>
      <w:r w:rsidRPr="002B7ED5">
        <w:rPr>
          <w:rStyle w:val="References"/>
        </w:rPr>
        <w:t>]</w:t>
      </w:r>
    </w:p>
    <w:p w14:paraId="232A6ADE" w14:textId="6C2DDCE9" w:rsidR="000962C2" w:rsidRDefault="000962C2" w:rsidP="00A40C21">
      <w:pPr>
        <w:pStyle w:val="Heading6"/>
      </w:pPr>
      <w:r>
        <w:t xml:space="preserve">Division 15 – Repeal of redundant appropriation </w:t>
      </w:r>
    </w:p>
    <w:p w14:paraId="2702AF42" w14:textId="56AE0C93" w:rsidR="00796861" w:rsidRDefault="00796861" w:rsidP="00A40C21">
      <w:pPr>
        <w:pStyle w:val="Normalparatextwithnumbers"/>
        <w:numPr>
          <w:ilvl w:val="1"/>
          <w:numId w:val="3"/>
        </w:numPr>
      </w:pPr>
      <w:r>
        <w:t xml:space="preserve">Schedule 3 to the </w:t>
      </w:r>
      <w:r w:rsidRPr="00796861">
        <w:rPr>
          <w:i/>
          <w:iCs/>
        </w:rPr>
        <w:t>Treasury Laws Amendment (North Queensland Flood Relief) Act 2019</w:t>
      </w:r>
      <w:r>
        <w:t xml:space="preserve"> provided an appropriation from the Consolidated Revenue Fund to provide ‘urgent’ assistance to north Queensland after the </w:t>
      </w:r>
      <w:r w:rsidR="00390DDA">
        <w:t xml:space="preserve">flooding in </w:t>
      </w:r>
      <w:r>
        <w:t xml:space="preserve">2019. The </w:t>
      </w:r>
      <w:r w:rsidR="00390DDA">
        <w:t>appropriation</w:t>
      </w:r>
      <w:r>
        <w:t xml:space="preserve"> was never used and is now redundant.  </w:t>
      </w:r>
    </w:p>
    <w:p w14:paraId="64A0E522" w14:textId="1D25A678" w:rsidR="000962C2" w:rsidRDefault="00D07589" w:rsidP="00A40C21">
      <w:pPr>
        <w:pStyle w:val="Normalparatextwithnumbers"/>
        <w:numPr>
          <w:ilvl w:val="1"/>
          <w:numId w:val="3"/>
        </w:numPr>
      </w:pPr>
      <w:r>
        <w:t xml:space="preserve">The amendment updates the </w:t>
      </w:r>
      <w:r w:rsidRPr="00796861">
        <w:rPr>
          <w:i/>
          <w:iCs/>
        </w:rPr>
        <w:t>Treasury Laws Amendment (North Queensland Flood Relief) Act 2019</w:t>
      </w:r>
      <w:r>
        <w:t xml:space="preserve"> by repealing the </w:t>
      </w:r>
      <w:r w:rsidR="009965BB">
        <w:t xml:space="preserve">redundant </w:t>
      </w:r>
      <w:r>
        <w:t xml:space="preserve">special appropriation contained in Schedule 3 </w:t>
      </w:r>
      <w:r w:rsidR="00390DDA">
        <w:t xml:space="preserve">to that </w:t>
      </w:r>
      <w:r>
        <w:t>Act.</w:t>
      </w:r>
      <w:r w:rsidR="00A8783D">
        <w:t xml:space="preserve"> </w:t>
      </w:r>
      <w:r w:rsidR="00A8783D">
        <w:br/>
      </w:r>
      <w:r w:rsidR="00A8783D" w:rsidRPr="00796861">
        <w:rPr>
          <w:rStyle w:val="References"/>
        </w:rPr>
        <w:t xml:space="preserve">[Schedule </w:t>
      </w:r>
      <w:r w:rsidR="00D5123F">
        <w:rPr>
          <w:rStyle w:val="References"/>
        </w:rPr>
        <w:t>1</w:t>
      </w:r>
      <w:r w:rsidR="00A8783D" w:rsidRPr="00796861">
        <w:rPr>
          <w:rStyle w:val="References"/>
        </w:rPr>
        <w:t>, item</w:t>
      </w:r>
      <w:r w:rsidR="00D5123F">
        <w:rPr>
          <w:rStyle w:val="References"/>
        </w:rPr>
        <w:t xml:space="preserve"> </w:t>
      </w:r>
      <w:r w:rsidR="00312657">
        <w:rPr>
          <w:rStyle w:val="References"/>
        </w:rPr>
        <w:t>70</w:t>
      </w:r>
      <w:r w:rsidR="008D0FC9">
        <w:rPr>
          <w:rStyle w:val="References"/>
        </w:rPr>
        <w:t xml:space="preserve">, Schedule 3 </w:t>
      </w:r>
      <w:r w:rsidR="009879B3">
        <w:rPr>
          <w:rStyle w:val="References"/>
        </w:rPr>
        <w:t xml:space="preserve">to the </w:t>
      </w:r>
      <w:r w:rsidR="008D0FC9">
        <w:rPr>
          <w:rStyle w:val="References"/>
        </w:rPr>
        <w:t>Treasury Laws Amendment (North Queensland Flood Recovery) Act 2019</w:t>
      </w:r>
      <w:r w:rsidR="00041570">
        <w:rPr>
          <w:rStyle w:val="References"/>
        </w:rPr>
        <w:t>]</w:t>
      </w:r>
    </w:p>
    <w:p w14:paraId="749AAC1B" w14:textId="2604E18F" w:rsidR="000962C2" w:rsidRDefault="00D010BB" w:rsidP="00A40C21">
      <w:pPr>
        <w:pStyle w:val="Heading6"/>
      </w:pPr>
      <w:r>
        <w:t>Division 16 – C</w:t>
      </w:r>
      <w:r w:rsidR="008D0FC9">
        <w:t>orporate collective investment vehicle</w:t>
      </w:r>
      <w:r>
        <w:t xml:space="preserve"> technical amendments </w:t>
      </w:r>
    </w:p>
    <w:p w14:paraId="21AF7BCF" w14:textId="6C2A216D" w:rsidR="00900E49" w:rsidRPr="00B33566" w:rsidRDefault="00900E49" w:rsidP="00A40C21">
      <w:pPr>
        <w:pStyle w:val="Normalparatextwithnumbers"/>
        <w:numPr>
          <w:ilvl w:val="1"/>
          <w:numId w:val="3"/>
        </w:numPr>
        <w:rPr>
          <w:rStyle w:val="References"/>
          <w:b w:val="0"/>
          <w:bCs w:val="0"/>
          <w:i w:val="0"/>
          <w:iCs w:val="0"/>
        </w:rPr>
      </w:pPr>
      <w:r>
        <w:rPr>
          <w:rStyle w:val="References"/>
          <w:b w:val="0"/>
          <w:bCs w:val="0"/>
          <w:i w:val="0"/>
          <w:iCs w:val="0"/>
        </w:rPr>
        <w:t xml:space="preserve">The </w:t>
      </w:r>
      <w:r w:rsidR="008D0FC9">
        <w:rPr>
          <w:rStyle w:val="References"/>
          <w:b w:val="0"/>
          <w:bCs w:val="0"/>
          <w:i w:val="0"/>
          <w:iCs w:val="0"/>
        </w:rPr>
        <w:t>corporate collective investment vehicle or CCIV</w:t>
      </w:r>
      <w:r>
        <w:rPr>
          <w:rStyle w:val="References"/>
          <w:b w:val="0"/>
          <w:bCs w:val="0"/>
          <w:i w:val="0"/>
          <w:iCs w:val="0"/>
        </w:rPr>
        <w:t xml:space="preserve"> regime commenced 1 July 2022. The </w:t>
      </w:r>
      <w:r w:rsidR="00173784">
        <w:rPr>
          <w:rStyle w:val="References"/>
          <w:b w:val="0"/>
          <w:bCs w:val="0"/>
          <w:i w:val="0"/>
          <w:iCs w:val="0"/>
        </w:rPr>
        <w:t xml:space="preserve">CCIV </w:t>
      </w:r>
      <w:r>
        <w:rPr>
          <w:rStyle w:val="References"/>
          <w:b w:val="0"/>
          <w:bCs w:val="0"/>
          <w:i w:val="0"/>
          <w:iCs w:val="0"/>
        </w:rPr>
        <w:t xml:space="preserve">regime (see Chapter 8B of the </w:t>
      </w:r>
      <w:r w:rsidRPr="00B33566">
        <w:rPr>
          <w:rStyle w:val="References"/>
          <w:b w:val="0"/>
          <w:bCs w:val="0"/>
        </w:rPr>
        <w:t>Corporations Act 2001)</w:t>
      </w:r>
      <w:r>
        <w:rPr>
          <w:rStyle w:val="References"/>
          <w:b w:val="0"/>
          <w:bCs w:val="0"/>
          <w:i w:val="0"/>
          <w:iCs w:val="0"/>
        </w:rPr>
        <w:t xml:space="preserve"> provides a new corporate structure alternative for funds management in Australia, in addition to the existing trust-based </w:t>
      </w:r>
      <w:r w:rsidR="00772A28">
        <w:rPr>
          <w:rStyle w:val="References"/>
          <w:b w:val="0"/>
          <w:bCs w:val="0"/>
          <w:i w:val="0"/>
          <w:iCs w:val="0"/>
        </w:rPr>
        <w:t>MIS</w:t>
      </w:r>
      <w:r>
        <w:rPr>
          <w:rStyle w:val="References"/>
          <w:b w:val="0"/>
          <w:bCs w:val="0"/>
          <w:i w:val="0"/>
          <w:iCs w:val="0"/>
        </w:rPr>
        <w:t xml:space="preserve"> regime (see Chapter 5C of </w:t>
      </w:r>
      <w:r w:rsidRPr="00B33566">
        <w:rPr>
          <w:rStyle w:val="References"/>
          <w:b w:val="0"/>
          <w:bCs w:val="0"/>
          <w:i w:val="0"/>
          <w:iCs w:val="0"/>
        </w:rPr>
        <w:t xml:space="preserve">the </w:t>
      </w:r>
      <w:r w:rsidRPr="00F145F2">
        <w:rPr>
          <w:rStyle w:val="References"/>
          <w:b w:val="0"/>
          <w:bCs w:val="0"/>
        </w:rPr>
        <w:t>Corporations Act 2001</w:t>
      </w:r>
      <w:r w:rsidRPr="00B33566">
        <w:rPr>
          <w:rStyle w:val="References"/>
          <w:b w:val="0"/>
          <w:bCs w:val="0"/>
          <w:i w:val="0"/>
          <w:iCs w:val="0"/>
        </w:rPr>
        <w:t xml:space="preserve">). </w:t>
      </w:r>
    </w:p>
    <w:p w14:paraId="642D8B1D" w14:textId="7DE1D1BF" w:rsidR="00900E49" w:rsidRDefault="00900E49" w:rsidP="00A40C21">
      <w:pPr>
        <w:pStyle w:val="Normalparatextwithnumbers"/>
        <w:numPr>
          <w:ilvl w:val="1"/>
          <w:numId w:val="3"/>
        </w:numPr>
        <w:rPr>
          <w:rStyle w:val="References"/>
          <w:b w:val="0"/>
          <w:bCs w:val="0"/>
          <w:i w:val="0"/>
          <w:iCs w:val="0"/>
        </w:rPr>
      </w:pPr>
      <w:r>
        <w:rPr>
          <w:rStyle w:val="References"/>
          <w:b w:val="0"/>
          <w:bCs w:val="0"/>
          <w:i w:val="0"/>
          <w:iCs w:val="0"/>
        </w:rPr>
        <w:t xml:space="preserve">A </w:t>
      </w:r>
      <w:r w:rsidR="00173784">
        <w:rPr>
          <w:rStyle w:val="References"/>
          <w:b w:val="0"/>
          <w:bCs w:val="0"/>
          <w:i w:val="0"/>
          <w:iCs w:val="0"/>
        </w:rPr>
        <w:t>CCIV</w:t>
      </w:r>
      <w:r>
        <w:rPr>
          <w:rStyle w:val="References"/>
          <w:b w:val="0"/>
          <w:bCs w:val="0"/>
          <w:i w:val="0"/>
          <w:iCs w:val="0"/>
        </w:rPr>
        <w:t xml:space="preserve"> is a new type of company limited by shares. </w:t>
      </w:r>
      <w:r w:rsidR="00300E12">
        <w:rPr>
          <w:rStyle w:val="References"/>
          <w:b w:val="0"/>
          <w:bCs w:val="0"/>
          <w:i w:val="0"/>
          <w:iCs w:val="0"/>
        </w:rPr>
        <w:t>It</w:t>
      </w:r>
      <w:r>
        <w:rPr>
          <w:rStyle w:val="References"/>
          <w:b w:val="0"/>
          <w:bCs w:val="0"/>
          <w:i w:val="0"/>
          <w:iCs w:val="0"/>
        </w:rPr>
        <w:t xml:space="preserve"> is an umbrella vehicle that is comprised of one or more sub-funds. Different sub-funds within a </w:t>
      </w:r>
      <w:r w:rsidR="00173784">
        <w:rPr>
          <w:rStyle w:val="References"/>
          <w:b w:val="0"/>
          <w:bCs w:val="0"/>
          <w:i w:val="0"/>
          <w:iCs w:val="0"/>
        </w:rPr>
        <w:t>CCIV</w:t>
      </w:r>
      <w:r>
        <w:rPr>
          <w:rStyle w:val="References"/>
          <w:b w:val="0"/>
          <w:bCs w:val="0"/>
          <w:i w:val="0"/>
          <w:iCs w:val="0"/>
        </w:rPr>
        <w:t xml:space="preserve"> may offer investors a different investment strategy. The</w:t>
      </w:r>
      <w:r w:rsidR="000F004A">
        <w:rPr>
          <w:rStyle w:val="References"/>
          <w:b w:val="0"/>
          <w:bCs w:val="0"/>
          <w:i w:val="0"/>
          <w:iCs w:val="0"/>
        </w:rPr>
        <w:t xml:space="preserve"> </w:t>
      </w:r>
      <w:r w:rsidR="00173784">
        <w:rPr>
          <w:rStyle w:val="References"/>
          <w:b w:val="0"/>
          <w:bCs w:val="0"/>
          <w:i w:val="0"/>
          <w:iCs w:val="0"/>
        </w:rPr>
        <w:t>CCIV</w:t>
      </w:r>
      <w:r>
        <w:rPr>
          <w:rStyle w:val="References"/>
          <w:b w:val="0"/>
          <w:bCs w:val="0"/>
          <w:i w:val="0"/>
          <w:iCs w:val="0"/>
        </w:rPr>
        <w:t xml:space="preserve"> is a legal entity; its sub-funds are not separate legal entities. </w:t>
      </w:r>
    </w:p>
    <w:p w14:paraId="423ECC59" w14:textId="20FC24E5" w:rsidR="00900E49" w:rsidRPr="003616DC" w:rsidRDefault="00900E49" w:rsidP="00A40C21">
      <w:pPr>
        <w:pStyle w:val="Normalparatextwithnumbers"/>
        <w:numPr>
          <w:ilvl w:val="1"/>
          <w:numId w:val="3"/>
        </w:numPr>
        <w:rPr>
          <w:rStyle w:val="References"/>
          <w:b w:val="0"/>
          <w:bCs w:val="0"/>
          <w:i w:val="0"/>
          <w:iCs w:val="0"/>
        </w:rPr>
      </w:pPr>
      <w:r>
        <w:rPr>
          <w:rStyle w:val="References"/>
          <w:b w:val="0"/>
          <w:bCs w:val="0"/>
          <w:i w:val="0"/>
          <w:iCs w:val="0"/>
        </w:rPr>
        <w:t xml:space="preserve">The </w:t>
      </w:r>
      <w:r w:rsidR="00173784">
        <w:rPr>
          <w:rStyle w:val="References"/>
          <w:b w:val="0"/>
          <w:bCs w:val="0"/>
          <w:i w:val="0"/>
          <w:iCs w:val="0"/>
        </w:rPr>
        <w:t xml:space="preserve">CCIV </w:t>
      </w:r>
      <w:r>
        <w:rPr>
          <w:rStyle w:val="References"/>
          <w:b w:val="0"/>
          <w:bCs w:val="0"/>
          <w:i w:val="0"/>
          <w:iCs w:val="0"/>
        </w:rPr>
        <w:t xml:space="preserve">regime allows a retail </w:t>
      </w:r>
      <w:r w:rsidR="00173784">
        <w:rPr>
          <w:rStyle w:val="References"/>
          <w:b w:val="0"/>
          <w:bCs w:val="0"/>
          <w:i w:val="0"/>
          <w:iCs w:val="0"/>
        </w:rPr>
        <w:t>CCIV</w:t>
      </w:r>
      <w:r>
        <w:rPr>
          <w:rStyle w:val="References"/>
          <w:b w:val="0"/>
          <w:bCs w:val="0"/>
          <w:i w:val="0"/>
          <w:iCs w:val="0"/>
        </w:rPr>
        <w:t xml:space="preserve"> with only one sub-fund to be listed on a prescribed </w:t>
      </w:r>
      <w:r w:rsidR="00BD35D0">
        <w:rPr>
          <w:rStyle w:val="References"/>
          <w:b w:val="0"/>
          <w:bCs w:val="0"/>
          <w:i w:val="0"/>
          <w:iCs w:val="0"/>
        </w:rPr>
        <w:t>market and</w:t>
      </w:r>
      <w:r>
        <w:rPr>
          <w:rStyle w:val="References"/>
          <w:b w:val="0"/>
          <w:bCs w:val="0"/>
          <w:i w:val="0"/>
          <w:iCs w:val="0"/>
        </w:rPr>
        <w:t xml:space="preserve"> allows individual</w:t>
      </w:r>
      <w:r w:rsidR="00173784">
        <w:rPr>
          <w:rStyle w:val="References"/>
          <w:b w:val="0"/>
          <w:bCs w:val="0"/>
          <w:i w:val="0"/>
          <w:iCs w:val="0"/>
        </w:rPr>
        <w:t xml:space="preserve"> CCIVs</w:t>
      </w:r>
      <w:r w:rsidDel="00173784">
        <w:rPr>
          <w:rStyle w:val="References"/>
          <w:b w:val="0"/>
          <w:bCs w:val="0"/>
          <w:i w:val="0"/>
          <w:iCs w:val="0"/>
        </w:rPr>
        <w:t xml:space="preserve"> </w:t>
      </w:r>
      <w:r>
        <w:rPr>
          <w:rStyle w:val="References"/>
          <w:b w:val="0"/>
          <w:bCs w:val="0"/>
          <w:i w:val="0"/>
          <w:iCs w:val="0"/>
        </w:rPr>
        <w:t xml:space="preserve">to choose whether to </w:t>
      </w:r>
      <w:r w:rsidRPr="00192574">
        <w:rPr>
          <w:rStyle w:val="References"/>
          <w:b w:val="0"/>
          <w:bCs w:val="0"/>
        </w:rPr>
        <w:t xml:space="preserve">list the </w:t>
      </w:r>
      <w:r w:rsidR="00173784">
        <w:rPr>
          <w:rStyle w:val="References"/>
          <w:b w:val="0"/>
          <w:bCs w:val="0"/>
        </w:rPr>
        <w:t>CCIV</w:t>
      </w:r>
      <w:r w:rsidRPr="00192574">
        <w:rPr>
          <w:rStyle w:val="References"/>
          <w:b w:val="0"/>
          <w:bCs w:val="0"/>
        </w:rPr>
        <w:t xml:space="preserve"> itself</w:t>
      </w:r>
      <w:r>
        <w:rPr>
          <w:rStyle w:val="References"/>
          <w:b w:val="0"/>
          <w:bCs w:val="0"/>
          <w:i w:val="0"/>
          <w:iCs w:val="0"/>
        </w:rPr>
        <w:t xml:space="preserve">, or to </w:t>
      </w:r>
      <w:r w:rsidRPr="00192574">
        <w:rPr>
          <w:rStyle w:val="References"/>
          <w:b w:val="0"/>
          <w:bCs w:val="0"/>
        </w:rPr>
        <w:t>list the sub-fund</w:t>
      </w:r>
      <w:r>
        <w:rPr>
          <w:rStyle w:val="References"/>
          <w:b w:val="0"/>
          <w:bCs w:val="0"/>
          <w:i w:val="0"/>
          <w:iCs w:val="0"/>
        </w:rPr>
        <w:t xml:space="preserve"> on that market. If a retail </w:t>
      </w:r>
      <w:r w:rsidR="00173784">
        <w:rPr>
          <w:rStyle w:val="References"/>
          <w:b w:val="0"/>
          <w:bCs w:val="0"/>
          <w:i w:val="0"/>
          <w:iCs w:val="0"/>
        </w:rPr>
        <w:t>CCIV</w:t>
      </w:r>
      <w:r>
        <w:rPr>
          <w:rStyle w:val="References"/>
          <w:b w:val="0"/>
          <w:bCs w:val="0"/>
          <w:i w:val="0"/>
          <w:iCs w:val="0"/>
        </w:rPr>
        <w:t xml:space="preserve"> has multiple sub-funds, neither the </w:t>
      </w:r>
      <w:r w:rsidR="00173784">
        <w:rPr>
          <w:rStyle w:val="References"/>
          <w:b w:val="0"/>
          <w:bCs w:val="0"/>
          <w:i w:val="0"/>
          <w:iCs w:val="0"/>
        </w:rPr>
        <w:t>CCIV</w:t>
      </w:r>
      <w:r w:rsidR="000F004A">
        <w:rPr>
          <w:rStyle w:val="References"/>
          <w:b w:val="0"/>
          <w:bCs w:val="0"/>
          <w:i w:val="0"/>
          <w:iCs w:val="0"/>
        </w:rPr>
        <w:t xml:space="preserve"> </w:t>
      </w:r>
      <w:r>
        <w:rPr>
          <w:rStyle w:val="References"/>
          <w:b w:val="0"/>
          <w:bCs w:val="0"/>
          <w:i w:val="0"/>
          <w:iCs w:val="0"/>
        </w:rPr>
        <w:t xml:space="preserve">itself nor any of its sub-funds may be listed on a prescribed market (see section 1222N of </w:t>
      </w:r>
      <w:r w:rsidRPr="003616DC">
        <w:rPr>
          <w:rStyle w:val="References"/>
          <w:b w:val="0"/>
          <w:bCs w:val="0"/>
          <w:i w:val="0"/>
          <w:iCs w:val="0"/>
        </w:rPr>
        <w:t xml:space="preserve">the </w:t>
      </w:r>
      <w:r w:rsidRPr="003616DC">
        <w:rPr>
          <w:rStyle w:val="References"/>
          <w:b w:val="0"/>
          <w:bCs w:val="0"/>
        </w:rPr>
        <w:t>Corporations Act 2001</w:t>
      </w:r>
      <w:r w:rsidRPr="003616DC">
        <w:rPr>
          <w:rStyle w:val="References"/>
          <w:b w:val="0"/>
          <w:bCs w:val="0"/>
          <w:i w:val="0"/>
          <w:iCs w:val="0"/>
        </w:rPr>
        <w:t xml:space="preserve">). </w:t>
      </w:r>
    </w:p>
    <w:p w14:paraId="7E3252FC" w14:textId="0B08F306" w:rsidR="00900E49" w:rsidRDefault="00900E49" w:rsidP="00A40C21">
      <w:pPr>
        <w:pStyle w:val="Normalparatextwithnumbers"/>
        <w:numPr>
          <w:ilvl w:val="1"/>
          <w:numId w:val="3"/>
        </w:numPr>
        <w:rPr>
          <w:rStyle w:val="References"/>
          <w:b w:val="0"/>
          <w:bCs w:val="0"/>
          <w:i w:val="0"/>
          <w:iCs w:val="0"/>
        </w:rPr>
      </w:pPr>
      <w:r>
        <w:rPr>
          <w:rStyle w:val="References"/>
          <w:b w:val="0"/>
          <w:bCs w:val="0"/>
          <w:i w:val="0"/>
          <w:iCs w:val="0"/>
        </w:rPr>
        <w:t xml:space="preserve">The </w:t>
      </w:r>
      <w:r w:rsidRPr="003616DC">
        <w:rPr>
          <w:rStyle w:val="References"/>
          <w:b w:val="0"/>
          <w:bCs w:val="0"/>
        </w:rPr>
        <w:t>Corporations Act 2001</w:t>
      </w:r>
      <w:r>
        <w:rPr>
          <w:rStyle w:val="References"/>
          <w:b w:val="0"/>
          <w:bCs w:val="0"/>
          <w:i w:val="0"/>
          <w:iCs w:val="0"/>
        </w:rPr>
        <w:t xml:space="preserve"> imposes enhanced disclosure obligations on listed entities, to support market integrity and protect investors – and therefore boost consumer confidence. The existing listing-related obligations also apply to the new </w:t>
      </w:r>
      <w:r w:rsidR="00173784">
        <w:rPr>
          <w:rStyle w:val="References"/>
          <w:b w:val="0"/>
          <w:bCs w:val="0"/>
          <w:i w:val="0"/>
          <w:iCs w:val="0"/>
        </w:rPr>
        <w:t>CCIV</w:t>
      </w:r>
      <w:r w:rsidDel="00173784">
        <w:rPr>
          <w:rStyle w:val="References"/>
          <w:b w:val="0"/>
          <w:bCs w:val="0"/>
          <w:i w:val="0"/>
          <w:iCs w:val="0"/>
        </w:rPr>
        <w:t xml:space="preserve"> </w:t>
      </w:r>
      <w:r>
        <w:rPr>
          <w:rStyle w:val="References"/>
          <w:b w:val="0"/>
          <w:bCs w:val="0"/>
          <w:i w:val="0"/>
          <w:iCs w:val="0"/>
        </w:rPr>
        <w:t xml:space="preserve">regime, consistent with those obligations currently applying to listed companies and listed </w:t>
      </w:r>
      <w:r w:rsidR="000F004A">
        <w:rPr>
          <w:rStyle w:val="References"/>
          <w:b w:val="0"/>
          <w:bCs w:val="0"/>
          <w:i w:val="0"/>
          <w:iCs w:val="0"/>
        </w:rPr>
        <w:t>management investment schemes</w:t>
      </w:r>
      <w:r>
        <w:rPr>
          <w:rStyle w:val="References"/>
          <w:b w:val="0"/>
          <w:bCs w:val="0"/>
          <w:i w:val="0"/>
          <w:iCs w:val="0"/>
        </w:rPr>
        <w:t xml:space="preserve">. This includes the continuous disclosure requirements under Chapter 6CA of the </w:t>
      </w:r>
      <w:r w:rsidRPr="003616DC">
        <w:rPr>
          <w:rStyle w:val="References"/>
          <w:b w:val="0"/>
          <w:bCs w:val="0"/>
        </w:rPr>
        <w:t>Corporations Act 2001</w:t>
      </w:r>
      <w:r>
        <w:rPr>
          <w:rStyle w:val="References"/>
          <w:b w:val="0"/>
          <w:bCs w:val="0"/>
          <w:i w:val="0"/>
          <w:iCs w:val="0"/>
        </w:rPr>
        <w:t xml:space="preserve">. </w:t>
      </w:r>
    </w:p>
    <w:p w14:paraId="6BA699E3" w14:textId="672C014D" w:rsidR="00900E49" w:rsidRPr="0050751D" w:rsidRDefault="00694413" w:rsidP="00A40C21">
      <w:pPr>
        <w:pStyle w:val="Normalparatextwithnumbers"/>
        <w:numPr>
          <w:ilvl w:val="1"/>
          <w:numId w:val="3"/>
        </w:numPr>
        <w:rPr>
          <w:rStyle w:val="References"/>
          <w:b w:val="0"/>
          <w:bCs w:val="0"/>
          <w:i w:val="0"/>
          <w:iCs w:val="0"/>
        </w:rPr>
      </w:pPr>
      <w:r>
        <w:rPr>
          <w:rStyle w:val="References"/>
          <w:b w:val="0"/>
          <w:bCs w:val="0"/>
          <w:i w:val="0"/>
          <w:iCs w:val="0"/>
        </w:rPr>
        <w:t>A</w:t>
      </w:r>
      <w:r w:rsidR="00900E49">
        <w:rPr>
          <w:rStyle w:val="References"/>
          <w:b w:val="0"/>
          <w:bCs w:val="0"/>
          <w:i w:val="0"/>
          <w:iCs w:val="0"/>
        </w:rPr>
        <w:t xml:space="preserve">mendments ensure that the current listing-related obligations apply appropriately to the new </w:t>
      </w:r>
      <w:r w:rsidR="00173784">
        <w:rPr>
          <w:rStyle w:val="References"/>
          <w:b w:val="0"/>
          <w:bCs w:val="0"/>
          <w:i w:val="0"/>
          <w:iCs w:val="0"/>
        </w:rPr>
        <w:t>CCIV</w:t>
      </w:r>
      <w:r w:rsidR="00900E49">
        <w:rPr>
          <w:rStyle w:val="References"/>
          <w:b w:val="0"/>
          <w:bCs w:val="0"/>
          <w:i w:val="0"/>
          <w:iCs w:val="0"/>
        </w:rPr>
        <w:t xml:space="preserve"> regime. This ensures that the same disclosure obligations apply, irrespective of whether the </w:t>
      </w:r>
      <w:r w:rsidR="00173784">
        <w:rPr>
          <w:rStyle w:val="References"/>
          <w:b w:val="0"/>
          <w:bCs w:val="0"/>
          <w:i w:val="0"/>
          <w:iCs w:val="0"/>
        </w:rPr>
        <w:t>CCIV</w:t>
      </w:r>
      <w:r w:rsidR="00900E49">
        <w:rPr>
          <w:rStyle w:val="References"/>
          <w:b w:val="0"/>
          <w:bCs w:val="0"/>
          <w:i w:val="0"/>
          <w:iCs w:val="0"/>
        </w:rPr>
        <w:t xml:space="preserve"> itself or the sub-fund is listed. The </w:t>
      </w:r>
      <w:r w:rsidR="00173784">
        <w:rPr>
          <w:rStyle w:val="References"/>
          <w:b w:val="0"/>
          <w:bCs w:val="0"/>
          <w:i w:val="0"/>
          <w:iCs w:val="0"/>
        </w:rPr>
        <w:t>CCIV</w:t>
      </w:r>
      <w:r w:rsidR="00900E49">
        <w:rPr>
          <w:rStyle w:val="References"/>
          <w:b w:val="0"/>
          <w:bCs w:val="0"/>
          <w:i w:val="0"/>
          <w:iCs w:val="0"/>
        </w:rPr>
        <w:t xml:space="preserve"> (as the legal entity) remains responsible for complying with </w:t>
      </w:r>
      <w:r w:rsidR="00900E49">
        <w:rPr>
          <w:rStyle w:val="References"/>
          <w:b w:val="0"/>
          <w:bCs w:val="0"/>
          <w:i w:val="0"/>
          <w:iCs w:val="0"/>
        </w:rPr>
        <w:lastRenderedPageBreak/>
        <w:t xml:space="preserve">all legislative requirements, including the continuous disclosure requirements, irrespective of whether the </w:t>
      </w:r>
      <w:r w:rsidR="00173784">
        <w:rPr>
          <w:rStyle w:val="References"/>
          <w:b w:val="0"/>
          <w:bCs w:val="0"/>
          <w:i w:val="0"/>
          <w:iCs w:val="0"/>
        </w:rPr>
        <w:t>CCIV</w:t>
      </w:r>
      <w:r w:rsidR="00900E49">
        <w:rPr>
          <w:rStyle w:val="References"/>
          <w:b w:val="0"/>
          <w:bCs w:val="0"/>
          <w:i w:val="0"/>
          <w:iCs w:val="0"/>
        </w:rPr>
        <w:t xml:space="preserve"> itself or the sub-fund is listed. </w:t>
      </w:r>
      <w:r w:rsidR="00407F7D">
        <w:rPr>
          <w:rStyle w:val="References"/>
          <w:b w:val="0"/>
          <w:bCs w:val="0"/>
          <w:i w:val="0"/>
          <w:iCs w:val="0"/>
        </w:rPr>
        <w:br/>
      </w:r>
      <w:r w:rsidR="00900E49" w:rsidRPr="0050751D">
        <w:rPr>
          <w:rStyle w:val="References"/>
        </w:rPr>
        <w:t xml:space="preserve">[Schedule </w:t>
      </w:r>
      <w:r w:rsidR="00614E33">
        <w:rPr>
          <w:rStyle w:val="References"/>
        </w:rPr>
        <w:t xml:space="preserve">1, items </w:t>
      </w:r>
      <w:r w:rsidR="00A50FF1">
        <w:rPr>
          <w:rStyle w:val="References"/>
        </w:rPr>
        <w:t>71 to 73</w:t>
      </w:r>
      <w:r w:rsidR="00E91CB3">
        <w:rPr>
          <w:rStyle w:val="References"/>
        </w:rPr>
        <w:t>, section</w:t>
      </w:r>
      <w:r w:rsidR="00BD35D0">
        <w:rPr>
          <w:rStyle w:val="References"/>
        </w:rPr>
        <w:t>s</w:t>
      </w:r>
      <w:r w:rsidR="00E91CB3">
        <w:rPr>
          <w:rStyle w:val="References"/>
        </w:rPr>
        <w:t xml:space="preserve"> 9</w:t>
      </w:r>
      <w:r w:rsidR="00BD35D0">
        <w:rPr>
          <w:rStyle w:val="References"/>
        </w:rPr>
        <w:t>,</w:t>
      </w:r>
      <w:r w:rsidR="00E91CB3">
        <w:rPr>
          <w:rStyle w:val="References"/>
        </w:rPr>
        <w:t xml:space="preserve"> 111AE and 793C of the Corporations Act 2001</w:t>
      </w:r>
      <w:r w:rsidR="00900E49" w:rsidRPr="0050751D">
        <w:rPr>
          <w:rStyle w:val="References"/>
        </w:rPr>
        <w:t xml:space="preserve">] </w:t>
      </w:r>
    </w:p>
    <w:p w14:paraId="716A7B8B" w14:textId="79D0062A" w:rsidR="00900E49" w:rsidRPr="00395F92" w:rsidRDefault="00900E49" w:rsidP="00A40C21">
      <w:pPr>
        <w:pStyle w:val="Normalparatextwithnumbers"/>
        <w:numPr>
          <w:ilvl w:val="1"/>
          <w:numId w:val="3"/>
        </w:numPr>
        <w:rPr>
          <w:rStyle w:val="References"/>
          <w:b w:val="0"/>
          <w:bCs w:val="0"/>
          <w:i w:val="0"/>
          <w:iCs w:val="0"/>
        </w:rPr>
      </w:pPr>
      <w:r>
        <w:rPr>
          <w:rStyle w:val="References"/>
          <w:b w:val="0"/>
          <w:bCs w:val="0"/>
          <w:i w:val="0"/>
          <w:iCs w:val="0"/>
        </w:rPr>
        <w:t xml:space="preserve">The amendments commence the day after Royal Assent. They apply to all listed sub-funds, irrespective of whether the sub-fund was listed before, on or after that commencement. </w:t>
      </w:r>
      <w:r w:rsidR="00407F7D">
        <w:rPr>
          <w:rStyle w:val="References"/>
          <w:b w:val="0"/>
          <w:bCs w:val="0"/>
          <w:i w:val="0"/>
          <w:iCs w:val="0"/>
        </w:rPr>
        <w:br/>
      </w:r>
      <w:r w:rsidRPr="0050751D">
        <w:rPr>
          <w:rStyle w:val="References"/>
        </w:rPr>
        <w:t>[Schedule</w:t>
      </w:r>
      <w:r w:rsidR="00B86A11">
        <w:rPr>
          <w:rStyle w:val="References"/>
        </w:rPr>
        <w:t xml:space="preserve"> 1, item </w:t>
      </w:r>
      <w:r w:rsidR="00A50FF1">
        <w:rPr>
          <w:rStyle w:val="References"/>
        </w:rPr>
        <w:t>74</w:t>
      </w:r>
      <w:r w:rsidR="00B86A11">
        <w:rPr>
          <w:rStyle w:val="References"/>
        </w:rPr>
        <w:t>, section 1694 of the Corporations Act 2001</w:t>
      </w:r>
      <w:r w:rsidRPr="0050751D">
        <w:rPr>
          <w:rStyle w:val="References"/>
        </w:rPr>
        <w:t xml:space="preserve">] </w:t>
      </w:r>
    </w:p>
    <w:p w14:paraId="505D22FA" w14:textId="1634CA9F" w:rsidR="00395F92" w:rsidRDefault="00395F92" w:rsidP="00A40C21">
      <w:pPr>
        <w:pStyle w:val="Heading6"/>
      </w:pPr>
      <w:r>
        <w:t>Division 17 – Recognised tax advisers</w:t>
      </w:r>
    </w:p>
    <w:p w14:paraId="314EB1C8" w14:textId="3442A38B" w:rsidR="00A312C3" w:rsidRDefault="0051078A" w:rsidP="00A40C21">
      <w:pPr>
        <w:pStyle w:val="Normalparatextwithnumbers"/>
      </w:pPr>
      <w:r w:rsidRPr="00A86C80">
        <w:t xml:space="preserve">The </w:t>
      </w:r>
      <w:r w:rsidRPr="00A86C80">
        <w:rPr>
          <w:i/>
          <w:iCs/>
        </w:rPr>
        <w:t>Financial Sector Reform (Hayne Royal Commission Response – Better Advice) Act 2021</w:t>
      </w:r>
      <w:r w:rsidRPr="00A86C80">
        <w:t xml:space="preserve"> repealed the definition of ‘a registered tax agent, BAS agent or tax (financial) adviser’ in subsection 90-1(1) of the </w:t>
      </w:r>
      <w:r w:rsidRPr="00A86C80">
        <w:rPr>
          <w:i/>
          <w:iCs/>
        </w:rPr>
        <w:t xml:space="preserve">Tax Agent Services Act 2009, </w:t>
      </w:r>
      <w:r w:rsidRPr="00A86C80">
        <w:t xml:space="preserve">effective from 1 January 2022. This term is also defined in section 995-1 of the </w:t>
      </w:r>
      <w:r w:rsidRPr="00A86C80">
        <w:rPr>
          <w:i/>
          <w:iCs/>
        </w:rPr>
        <w:t xml:space="preserve">Income Tax Assessment Act 1997 </w:t>
      </w:r>
      <w:r w:rsidRPr="00A86C80">
        <w:t xml:space="preserve">(as having the meaning given by subsection 90-1(1) of the </w:t>
      </w:r>
      <w:r w:rsidRPr="00A86C80">
        <w:rPr>
          <w:i/>
          <w:iCs/>
        </w:rPr>
        <w:t>Tax Agent Services Act 2009</w:t>
      </w:r>
      <w:r w:rsidRPr="00A86C80">
        <w:t>)</w:t>
      </w:r>
      <w:r w:rsidR="009C55B7">
        <w:t xml:space="preserve">. </w:t>
      </w:r>
    </w:p>
    <w:p w14:paraId="70184C14" w14:textId="41CF8B61" w:rsidR="007C6826" w:rsidRDefault="0051078A" w:rsidP="00A40C21">
      <w:pPr>
        <w:pStyle w:val="Normalparatextwithnumbers"/>
      </w:pPr>
      <w:r w:rsidRPr="00A86C80">
        <w:t>‘A registered tax agent, BAS agent or tax (financial) adviser’ currently forms</w:t>
      </w:r>
      <w:r>
        <w:t xml:space="preserve"> </w:t>
      </w:r>
      <w:r w:rsidRPr="00A86C80">
        <w:t xml:space="preserve">part of the broader term ‘recognised tax adviser’ in section 995-1 of the </w:t>
      </w:r>
      <w:r w:rsidRPr="00A86C80">
        <w:rPr>
          <w:i/>
          <w:iCs/>
        </w:rPr>
        <w:t>Income Tax Assessment Act 1997</w:t>
      </w:r>
      <w:r w:rsidRPr="00A86C80">
        <w:t xml:space="preserve">.  ‘Recognised tax adviser’ is also referenced in both paragraph 25-5(2)(e) and subsection 110-35(2) of the </w:t>
      </w:r>
      <w:r w:rsidRPr="00A86C80">
        <w:rPr>
          <w:i/>
          <w:iCs/>
        </w:rPr>
        <w:t>Income Tax Assessment Act 1997</w:t>
      </w:r>
      <w:r w:rsidR="007C6826">
        <w:t xml:space="preserve">. </w:t>
      </w:r>
    </w:p>
    <w:p w14:paraId="75E934EF" w14:textId="5D9A1D98" w:rsidR="0051078A" w:rsidRDefault="0051078A" w:rsidP="00A40C21">
      <w:pPr>
        <w:pStyle w:val="Normalparatextwithnumbers"/>
      </w:pPr>
      <w:r w:rsidRPr="00A86C80">
        <w:t>Paragraph 25-5</w:t>
      </w:r>
      <w:r w:rsidRPr="00510FFD">
        <w:t>(2)</w:t>
      </w:r>
      <w:r w:rsidRPr="00A86C80">
        <w:t xml:space="preserve">(e) denies a deduction for fees or commission paid for advice about the operation of a Commonwealth law relating to </w:t>
      </w:r>
      <w:proofErr w:type="gramStart"/>
      <w:r w:rsidRPr="00A86C80">
        <w:t>taxation</w:t>
      </w:r>
      <w:r>
        <w:t xml:space="preserve">, </w:t>
      </w:r>
      <w:r w:rsidRPr="00A86C80">
        <w:t>unless</w:t>
      </w:r>
      <w:proofErr w:type="gramEnd"/>
      <w:r w:rsidRPr="00A86C80">
        <w:t xml:space="preserve"> that advice is provided by a </w:t>
      </w:r>
      <w:r>
        <w:t>‘</w:t>
      </w:r>
      <w:r w:rsidRPr="00A86C80">
        <w:t>recognised tax adviser</w:t>
      </w:r>
      <w:r>
        <w:t>’</w:t>
      </w:r>
      <w:r w:rsidRPr="00A86C80">
        <w:t>. Subsection 110</w:t>
      </w:r>
      <w:r>
        <w:noBreakHyphen/>
      </w:r>
      <w:r w:rsidRPr="00A86C80">
        <w:t xml:space="preserve">35(2) excludes from CGT cost base calculations remuneration paid for </w:t>
      </w:r>
      <w:proofErr w:type="gramStart"/>
      <w:r w:rsidRPr="00A86C80">
        <w:t>particular services</w:t>
      </w:r>
      <w:proofErr w:type="gramEnd"/>
      <w:r w:rsidRPr="00A86C80">
        <w:t>, other than professional advice about</w:t>
      </w:r>
      <w:r w:rsidRPr="00ED416A">
        <w:t xml:space="preserve"> t</w:t>
      </w:r>
      <w:r w:rsidRPr="00A86C80">
        <w:t xml:space="preserve">he operation of a taxation law that is provided by a </w:t>
      </w:r>
      <w:r>
        <w:t>‘</w:t>
      </w:r>
      <w:r w:rsidRPr="00A86C80">
        <w:t>recognised tax adviser</w:t>
      </w:r>
      <w:r>
        <w:t>’</w:t>
      </w:r>
      <w:r w:rsidR="00CC1399">
        <w:t>.</w:t>
      </w:r>
    </w:p>
    <w:p w14:paraId="42A3BFB5" w14:textId="77777777" w:rsidR="0051078A" w:rsidRPr="0051078A" w:rsidRDefault="0051078A" w:rsidP="00A40C21">
      <w:pPr>
        <w:pStyle w:val="Normalparatextwithnumbers"/>
      </w:pPr>
      <w:r w:rsidRPr="00A86C80">
        <w:t>As a result of the definition in subsection 90</w:t>
      </w:r>
      <w:r>
        <w:noBreakHyphen/>
      </w:r>
      <w:r w:rsidRPr="00A86C80">
        <w:t xml:space="preserve">1(1) of the </w:t>
      </w:r>
      <w:r w:rsidRPr="00A86C80">
        <w:rPr>
          <w:i/>
          <w:iCs/>
        </w:rPr>
        <w:t xml:space="preserve">Tax Agent Services Act 2009 </w:t>
      </w:r>
      <w:r w:rsidRPr="00A86C80">
        <w:t>being repealed, amounts incurred by taxpayers from 1 January 2022 for the purposes of obtaining certain taxation advice may not be deductible under paragraph 25</w:t>
      </w:r>
      <w:r>
        <w:noBreakHyphen/>
      </w:r>
      <w:r w:rsidRPr="00A86C80">
        <w:t xml:space="preserve">5(2)(e) </w:t>
      </w:r>
      <w:r w:rsidRPr="00F17E6C">
        <w:t xml:space="preserve">or </w:t>
      </w:r>
      <w:r w:rsidRPr="00A86C80">
        <w:t xml:space="preserve">included in cost base calculations under 110-35(2) of the </w:t>
      </w:r>
      <w:r w:rsidRPr="00A86C80">
        <w:rPr>
          <w:i/>
          <w:iCs/>
        </w:rPr>
        <w:t>Income Tax Assessment Act 1997</w:t>
      </w:r>
    </w:p>
    <w:p w14:paraId="4C5CEE70" w14:textId="5BA6BDC1" w:rsidR="00F97307" w:rsidRDefault="0051078A" w:rsidP="00A40C21">
      <w:pPr>
        <w:pStyle w:val="Normalparatextwithnumbers"/>
      </w:pPr>
      <w:r w:rsidRPr="00A86C80">
        <w:t xml:space="preserve">The Bill amends relevant definitions in section 995-1 of the </w:t>
      </w:r>
      <w:r w:rsidRPr="00A86C80">
        <w:rPr>
          <w:i/>
          <w:iCs/>
        </w:rPr>
        <w:t>Income Tax Assessment Act 1997</w:t>
      </w:r>
      <w:r w:rsidRPr="00A86C80">
        <w:t xml:space="preserve"> to address the referencing issues and ensure the deductions and cost base calculations operate as intended</w:t>
      </w:r>
      <w:r w:rsidR="00FD19A9">
        <w:br/>
      </w:r>
      <w:r w:rsidR="00FD19A9" w:rsidRPr="00FD19A9">
        <w:rPr>
          <w:rStyle w:val="References"/>
        </w:rPr>
        <w:t xml:space="preserve">[Schedule </w:t>
      </w:r>
      <w:r w:rsidR="00FD19A9">
        <w:rPr>
          <w:rStyle w:val="References"/>
        </w:rPr>
        <w:t>1</w:t>
      </w:r>
      <w:r w:rsidR="00FD19A9" w:rsidRPr="00FD19A9">
        <w:rPr>
          <w:rStyle w:val="References"/>
        </w:rPr>
        <w:t>, item</w:t>
      </w:r>
      <w:r w:rsidR="00FD19A9">
        <w:rPr>
          <w:rStyle w:val="References"/>
        </w:rPr>
        <w:t>s</w:t>
      </w:r>
      <w:r w:rsidR="00FD19A9" w:rsidRPr="00FD19A9">
        <w:rPr>
          <w:rStyle w:val="References"/>
        </w:rPr>
        <w:t xml:space="preserve"> </w:t>
      </w:r>
      <w:r w:rsidR="00FD19A9">
        <w:rPr>
          <w:rStyle w:val="References"/>
        </w:rPr>
        <w:t>75 and 76</w:t>
      </w:r>
      <w:r w:rsidR="00FD19A9" w:rsidRPr="00FD19A9">
        <w:rPr>
          <w:rStyle w:val="References"/>
        </w:rPr>
        <w:t xml:space="preserve">, </w:t>
      </w:r>
      <w:r w:rsidR="00FD19A9">
        <w:rPr>
          <w:rStyle w:val="References"/>
        </w:rPr>
        <w:t>section 995-1</w:t>
      </w:r>
      <w:r w:rsidR="00FD19A9" w:rsidRPr="00FD19A9">
        <w:rPr>
          <w:rStyle w:val="References"/>
        </w:rPr>
        <w:t xml:space="preserve"> of </w:t>
      </w:r>
      <w:r w:rsidR="00FD19A9">
        <w:rPr>
          <w:rStyle w:val="References"/>
        </w:rPr>
        <w:t>the I</w:t>
      </w:r>
      <w:r w:rsidR="00FD19A9" w:rsidRPr="00FD19A9">
        <w:rPr>
          <w:rStyle w:val="References"/>
        </w:rPr>
        <w:t xml:space="preserve">ncome Tax Assessment Act 1997] </w:t>
      </w:r>
    </w:p>
    <w:p w14:paraId="5169A726" w14:textId="53D72735" w:rsidR="00A312C3" w:rsidRDefault="0051078A" w:rsidP="00A40C21">
      <w:pPr>
        <w:pStyle w:val="Normalparatextwithnumbers"/>
      </w:pPr>
      <w:r w:rsidRPr="00A86C80">
        <w:t>To ensure continuity in the operation of paragraph 25-5(2)(e) and subsection 110</w:t>
      </w:r>
      <w:r>
        <w:noBreakHyphen/>
      </w:r>
      <w:r w:rsidRPr="00A86C80">
        <w:t xml:space="preserve">35(2) of the </w:t>
      </w:r>
      <w:r w:rsidRPr="00A86C80">
        <w:rPr>
          <w:i/>
          <w:iCs/>
        </w:rPr>
        <w:t xml:space="preserve">Income Tax Assessment Act 1997, </w:t>
      </w:r>
      <w:r w:rsidRPr="00A86C80">
        <w:t>the amendments apply in relation to advice provided on or after 1 January 2022</w:t>
      </w:r>
      <w:r w:rsidR="00FD19A9">
        <w:t>.</w:t>
      </w:r>
      <w:r w:rsidR="00FD0860">
        <w:br/>
      </w:r>
      <w:r w:rsidR="00FD0860" w:rsidRPr="00FD0860">
        <w:rPr>
          <w:rStyle w:val="References"/>
        </w:rPr>
        <w:t xml:space="preserve">[Schedule </w:t>
      </w:r>
      <w:r w:rsidR="00FD0860">
        <w:rPr>
          <w:rStyle w:val="References"/>
        </w:rPr>
        <w:t>1</w:t>
      </w:r>
      <w:r w:rsidR="00FD0860" w:rsidRPr="00FD0860">
        <w:rPr>
          <w:rStyle w:val="References"/>
        </w:rPr>
        <w:t xml:space="preserve">, item </w:t>
      </w:r>
      <w:r w:rsidR="00FD0860">
        <w:rPr>
          <w:rStyle w:val="References"/>
        </w:rPr>
        <w:t>77</w:t>
      </w:r>
      <w:r w:rsidR="00FD0860" w:rsidRPr="00FD0860">
        <w:rPr>
          <w:rStyle w:val="References"/>
        </w:rPr>
        <w:t xml:space="preserve">] </w:t>
      </w:r>
    </w:p>
    <w:p w14:paraId="5156EE9F" w14:textId="76BAD736" w:rsidR="005376B6" w:rsidRDefault="005376B6" w:rsidP="00A40C21">
      <w:pPr>
        <w:pStyle w:val="Heading6"/>
      </w:pPr>
      <w:r>
        <w:lastRenderedPageBreak/>
        <w:t>Division 1</w:t>
      </w:r>
      <w:r w:rsidR="00557F95">
        <w:t>8</w:t>
      </w:r>
      <w:r>
        <w:t xml:space="preserve"> – </w:t>
      </w:r>
      <w:r w:rsidRPr="005376B6">
        <w:t xml:space="preserve">Reference Checking and Information Sharing Protocol </w:t>
      </w:r>
    </w:p>
    <w:p w14:paraId="2A71D5C1" w14:textId="532CD9C8" w:rsidR="00AA7611" w:rsidRDefault="00BF24D6" w:rsidP="00A40C21">
      <w:pPr>
        <w:pStyle w:val="Normalparatextwithnumbers"/>
      </w:pPr>
      <w:r>
        <w:t xml:space="preserve">Division 18 </w:t>
      </w:r>
      <w:r w:rsidR="00AA7611">
        <w:t xml:space="preserve">amends the </w:t>
      </w:r>
      <w:r w:rsidR="00AA7611" w:rsidRPr="00BF24D6">
        <w:rPr>
          <w:i/>
          <w:iCs/>
        </w:rPr>
        <w:t>National Consumer Credit Protection Act 2009</w:t>
      </w:r>
      <w:r w:rsidR="00AA7611">
        <w:t xml:space="preserve"> and the </w:t>
      </w:r>
      <w:r w:rsidR="00AA7611" w:rsidRPr="00BF24D6">
        <w:rPr>
          <w:i/>
          <w:iCs/>
        </w:rPr>
        <w:t>Corporations Act 2001</w:t>
      </w:r>
      <w:r w:rsidR="00AA7611">
        <w:t xml:space="preserve"> to ensure the Reference Checking and Information Sharing Protocol operates as intended.</w:t>
      </w:r>
    </w:p>
    <w:p w14:paraId="7476D93C" w14:textId="189B3681" w:rsidR="00AA7611" w:rsidRDefault="00AA7611" w:rsidP="00A40C21">
      <w:pPr>
        <w:pStyle w:val="Normalparatextwithnumbers"/>
      </w:pPr>
      <w:r>
        <w:t xml:space="preserve">Australian financial services licensees and Australian credit licensees are required to comply with a Reference Checking and Information Sharing Protocol made by ASIC in the form of a legislative instrument. Australian financial services licensees and Australian credit licensees are required to conduct reference checking and information sharing in relation to individuals to whom the protocol applies, that is a licensee, or former or current authorised representative – either by requesting information about the individual or providing information about the </w:t>
      </w:r>
      <w:proofErr w:type="gramStart"/>
      <w:r>
        <w:t>individual, as the case may be</w:t>
      </w:r>
      <w:proofErr w:type="gramEnd"/>
      <w:r>
        <w:t>.</w:t>
      </w:r>
    </w:p>
    <w:p w14:paraId="03518535" w14:textId="1F73E9E8" w:rsidR="00AA7611" w:rsidRDefault="00AA7611" w:rsidP="00A40C21">
      <w:pPr>
        <w:pStyle w:val="Normalparatextwithnumbers"/>
      </w:pPr>
      <w:r>
        <w:t xml:space="preserve">Contrary to the policy intention, mortgage intermediaries such as aggregators, who are also Australian credit licensees, may not have been required to comply with the Reference Checking and Information Sharing Protocol in certain circumstances under the previous legislative framework. In practice, aggregators often work closely with other Australian credit licensees under service agreements. Accordingly, aggregators often hold information about </w:t>
      </w:r>
      <w:r w:rsidR="00B45403">
        <w:t xml:space="preserve">activities of </w:t>
      </w:r>
      <w:r>
        <w:t>other Australian credit licensees and their authorised credit representatives that would be relevant for information sharing under the Protocol.</w:t>
      </w:r>
    </w:p>
    <w:p w14:paraId="1082DAE3" w14:textId="0BE046B7" w:rsidR="00A40C21" w:rsidRDefault="00AA7611" w:rsidP="00A40C21">
      <w:pPr>
        <w:pStyle w:val="Normalparatextwithnumbers"/>
      </w:pPr>
      <w:r>
        <w:t>The amendments ensure aggregators are appropriately subject to the Reference Checking and Information Sharing Protocol, in the same way Australian credit licensees and Australian financial service licensees will continue to be subject to the Protocol. The amendments also ensure there is consistent practice throughout the mortgage brokering industry, and that employment information will be available about financial advisers and mortgage brokers where appropriate and in line with the policy intention. As part of the ongoing stewardship of Treasury portfolio legislation, the amendments ensure the relevant legislation is well structured and achieves its policy intention.</w:t>
      </w:r>
      <w:r w:rsidR="00D90CA9">
        <w:br/>
      </w:r>
      <w:r w:rsidR="00D90CA9" w:rsidRPr="00D90CA9">
        <w:rPr>
          <w:rStyle w:val="References"/>
        </w:rPr>
        <w:t xml:space="preserve">[Schedule </w:t>
      </w:r>
      <w:r w:rsidR="00D90CA9">
        <w:rPr>
          <w:rStyle w:val="References"/>
        </w:rPr>
        <w:t>1</w:t>
      </w:r>
      <w:r w:rsidR="00D90CA9" w:rsidRPr="00D90CA9">
        <w:rPr>
          <w:rStyle w:val="References"/>
        </w:rPr>
        <w:t>, item</w:t>
      </w:r>
      <w:r w:rsidR="00F622A9">
        <w:rPr>
          <w:rStyle w:val="References"/>
        </w:rPr>
        <w:t>s</w:t>
      </w:r>
      <w:r w:rsidR="00D90CA9">
        <w:rPr>
          <w:rStyle w:val="References"/>
        </w:rPr>
        <w:t xml:space="preserve"> </w:t>
      </w:r>
      <w:r w:rsidR="00D90CA9" w:rsidRPr="00D74293">
        <w:rPr>
          <w:rStyle w:val="References"/>
        </w:rPr>
        <w:t>78 to 9</w:t>
      </w:r>
      <w:r w:rsidR="000F2F95" w:rsidRPr="00D74293">
        <w:rPr>
          <w:rStyle w:val="References"/>
        </w:rPr>
        <w:t>4</w:t>
      </w:r>
      <w:r w:rsidR="00D90CA9" w:rsidRPr="00D74293">
        <w:rPr>
          <w:rStyle w:val="References"/>
        </w:rPr>
        <w:t xml:space="preserve">, </w:t>
      </w:r>
      <w:r w:rsidR="002233D1" w:rsidRPr="00D74293">
        <w:rPr>
          <w:rStyle w:val="References"/>
        </w:rPr>
        <w:t>sections</w:t>
      </w:r>
      <w:r w:rsidR="002233D1">
        <w:rPr>
          <w:rStyle w:val="References"/>
        </w:rPr>
        <w:t xml:space="preserve"> 910A, 912A and 1695 of the Corporations Act 2001, sections 5</w:t>
      </w:r>
      <w:r w:rsidR="009104AD">
        <w:rPr>
          <w:rStyle w:val="References"/>
        </w:rPr>
        <w:t xml:space="preserve"> and</w:t>
      </w:r>
      <w:r w:rsidR="002233D1">
        <w:rPr>
          <w:rStyle w:val="References"/>
        </w:rPr>
        <w:t xml:space="preserve"> 47 of the N</w:t>
      </w:r>
      <w:r w:rsidR="002233D1" w:rsidRPr="002233D1">
        <w:rPr>
          <w:rStyle w:val="References"/>
        </w:rPr>
        <w:t>ational Consumer Credit Protection Act 2009</w:t>
      </w:r>
      <w:r w:rsidR="000B3A6A">
        <w:rPr>
          <w:rStyle w:val="References"/>
        </w:rPr>
        <w:t>,</w:t>
      </w:r>
      <w:r w:rsidR="002233D1">
        <w:rPr>
          <w:rStyle w:val="References"/>
        </w:rPr>
        <w:t xml:space="preserve"> and the </w:t>
      </w:r>
      <w:r w:rsidR="002233D1" w:rsidRPr="002233D1">
        <w:rPr>
          <w:rStyle w:val="References"/>
        </w:rPr>
        <w:t>National Consumer Credit Protection (Transitional and Consequential Provisions) Act 2009</w:t>
      </w:r>
      <w:r w:rsidR="00D90CA9" w:rsidRPr="00D90CA9">
        <w:rPr>
          <w:rStyle w:val="References"/>
        </w:rPr>
        <w:t xml:space="preserve">] </w:t>
      </w:r>
    </w:p>
    <w:p w14:paraId="67574436" w14:textId="42F6C8D1" w:rsidR="005376B6" w:rsidRPr="00A40C21" w:rsidRDefault="00AA7611" w:rsidP="00A40C21">
      <w:pPr>
        <w:pStyle w:val="Normalparatextwithnumbers"/>
      </w:pPr>
      <w:r>
        <w:t xml:space="preserve">The Reference Checking and Information Sharing Protocol currently made under the </w:t>
      </w:r>
      <w:r w:rsidRPr="00A40C21">
        <w:rPr>
          <w:i/>
          <w:iCs/>
        </w:rPr>
        <w:t>National Consumer Credit Protection Act 2009</w:t>
      </w:r>
      <w:r>
        <w:t xml:space="preserve"> and the </w:t>
      </w:r>
      <w:r w:rsidRPr="00A40C21">
        <w:rPr>
          <w:i/>
          <w:iCs/>
        </w:rPr>
        <w:t>Corporations Act 2001</w:t>
      </w:r>
      <w:r>
        <w:t xml:space="preserve"> continues to be in force.</w:t>
      </w:r>
    </w:p>
    <w:p w14:paraId="2B1D2392" w14:textId="75B74B80" w:rsidR="009429DA" w:rsidRDefault="009429DA" w:rsidP="00A40C21">
      <w:pPr>
        <w:pStyle w:val="Heading6"/>
      </w:pPr>
      <w:r>
        <w:t xml:space="preserve">Division 19 – </w:t>
      </w:r>
      <w:r w:rsidRPr="009429DA">
        <w:t xml:space="preserve">Disclosure documents for offers in a </w:t>
      </w:r>
      <w:r>
        <w:t xml:space="preserve">MIS </w:t>
      </w:r>
    </w:p>
    <w:p w14:paraId="5890DAD6" w14:textId="06F93783" w:rsidR="00826CF0" w:rsidRDefault="00826CF0" w:rsidP="00A40C21">
      <w:pPr>
        <w:pStyle w:val="Normalparatextwithnumbers"/>
      </w:pPr>
      <w:r>
        <w:t xml:space="preserve">Following the </w:t>
      </w:r>
      <w:r w:rsidRPr="005349BB">
        <w:rPr>
          <w:i/>
          <w:iCs/>
        </w:rPr>
        <w:t>Financial Services Reform Act 2001</w:t>
      </w:r>
      <w:r w:rsidR="00D24D22">
        <w:t>,</w:t>
      </w:r>
      <w:r>
        <w:t xml:space="preserve"> disclosures of interests in certain kinds of </w:t>
      </w:r>
      <w:r w:rsidR="00772A28">
        <w:t>MIS</w:t>
      </w:r>
      <w:r>
        <w:t xml:space="preserve"> are now made under Product Disclosure Statements in accordance with Chapter 7 (rather than a disclosure document under Chapter 6) of the</w:t>
      </w:r>
      <w:r w:rsidR="005349BB">
        <w:t xml:space="preserve"> </w:t>
      </w:r>
      <w:r w:rsidR="005349BB" w:rsidRPr="00826CF0">
        <w:rPr>
          <w:i/>
          <w:iCs/>
        </w:rPr>
        <w:t>Corporations Act 2001</w:t>
      </w:r>
      <w:r>
        <w:t xml:space="preserve">. </w:t>
      </w:r>
      <w:r w:rsidR="00BC047B">
        <w:t xml:space="preserve">Where appropriate, </w:t>
      </w:r>
      <w:r>
        <w:t xml:space="preserve">Chapter 7 also provides exemptions from Product Disclosure Statements requirements </w:t>
      </w:r>
      <w:r w:rsidR="00D24D22">
        <w:t xml:space="preserve">in relation to </w:t>
      </w:r>
      <w:r w:rsidR="00772A28">
        <w:t>MIS</w:t>
      </w:r>
      <w:r>
        <w:t>.</w:t>
      </w:r>
    </w:p>
    <w:p w14:paraId="4F7A5FE8" w14:textId="48822841" w:rsidR="009429DA" w:rsidRPr="00B510B3" w:rsidRDefault="00DF29F0" w:rsidP="00A40C21">
      <w:pPr>
        <w:pStyle w:val="Normalparatextwithnumbers"/>
      </w:pPr>
      <w:r>
        <w:lastRenderedPageBreak/>
        <w:t>The a</w:t>
      </w:r>
      <w:r w:rsidR="00D24D22">
        <w:t xml:space="preserve">mendments remove several </w:t>
      </w:r>
      <w:r w:rsidR="00425AD1">
        <w:t>redundant</w:t>
      </w:r>
      <w:r w:rsidR="00D24D22">
        <w:t xml:space="preserve"> references to </w:t>
      </w:r>
      <w:r w:rsidR="00772A28">
        <w:t>MIS</w:t>
      </w:r>
      <w:r w:rsidR="00D24D22">
        <w:t xml:space="preserve"> in Chapter 6D to the </w:t>
      </w:r>
      <w:r w:rsidR="00D24D22" w:rsidRPr="00D24D22">
        <w:rPr>
          <w:i/>
          <w:iCs/>
        </w:rPr>
        <w:t>Corporations Act 2001</w:t>
      </w:r>
      <w:r w:rsidR="00D24D22">
        <w:t xml:space="preserve">. </w:t>
      </w:r>
      <w:r w:rsidR="005B515A">
        <w:br/>
      </w:r>
      <w:r w:rsidR="005B515A" w:rsidRPr="00437EC9">
        <w:rPr>
          <w:rStyle w:val="References"/>
        </w:rPr>
        <w:t xml:space="preserve">[Schedule </w:t>
      </w:r>
      <w:r w:rsidR="005B515A">
        <w:rPr>
          <w:rStyle w:val="References"/>
        </w:rPr>
        <w:t>1</w:t>
      </w:r>
      <w:r w:rsidR="005B515A" w:rsidRPr="00437EC9">
        <w:rPr>
          <w:rStyle w:val="References"/>
        </w:rPr>
        <w:t>, item</w:t>
      </w:r>
      <w:r w:rsidR="005B515A">
        <w:rPr>
          <w:rStyle w:val="References"/>
        </w:rPr>
        <w:t>s 9</w:t>
      </w:r>
      <w:r w:rsidR="000F2F95">
        <w:rPr>
          <w:rStyle w:val="References"/>
        </w:rPr>
        <w:t>5</w:t>
      </w:r>
      <w:r w:rsidR="004E294D">
        <w:rPr>
          <w:rStyle w:val="References"/>
        </w:rPr>
        <w:t xml:space="preserve"> to </w:t>
      </w:r>
      <w:r w:rsidR="005B515A">
        <w:rPr>
          <w:rStyle w:val="References"/>
        </w:rPr>
        <w:t>10</w:t>
      </w:r>
      <w:r w:rsidR="000F2F95">
        <w:rPr>
          <w:rStyle w:val="References"/>
        </w:rPr>
        <w:t>2</w:t>
      </w:r>
      <w:r w:rsidR="005B515A" w:rsidRPr="00437EC9">
        <w:rPr>
          <w:rStyle w:val="References"/>
        </w:rPr>
        <w:t xml:space="preserve">, </w:t>
      </w:r>
      <w:r w:rsidR="005B515A">
        <w:rPr>
          <w:rStyle w:val="References"/>
        </w:rPr>
        <w:t>sections 708, 710, 711 and 720 of the Corporations Act</w:t>
      </w:r>
      <w:r w:rsidR="005B515A" w:rsidRPr="00437EC9">
        <w:rPr>
          <w:rStyle w:val="References"/>
        </w:rPr>
        <w:t xml:space="preserve"> </w:t>
      </w:r>
      <w:r w:rsidR="005B515A">
        <w:rPr>
          <w:rStyle w:val="References"/>
        </w:rPr>
        <w:t>2001</w:t>
      </w:r>
      <w:r w:rsidR="005B515A" w:rsidRPr="00437EC9">
        <w:rPr>
          <w:rStyle w:val="References"/>
        </w:rPr>
        <w:t xml:space="preserve">] </w:t>
      </w:r>
      <w:r w:rsidR="00D24D22">
        <w:t xml:space="preserve"> </w:t>
      </w:r>
    </w:p>
    <w:p w14:paraId="59E49F78" w14:textId="6E19A5AE" w:rsidR="006E42EB" w:rsidRDefault="006E42EB" w:rsidP="00A40C21">
      <w:pPr>
        <w:pStyle w:val="Heading4"/>
      </w:pPr>
      <w:r>
        <w:t>Part 2 – Amendments commencing first day of next quarter</w:t>
      </w:r>
    </w:p>
    <w:p w14:paraId="74C4BC7E" w14:textId="494B0EBB" w:rsidR="006E42EB" w:rsidRDefault="006E42EB" w:rsidP="00A40C21">
      <w:pPr>
        <w:pStyle w:val="Heading6"/>
      </w:pPr>
      <w:r>
        <w:t xml:space="preserve">Division 1 – Asterisking </w:t>
      </w:r>
    </w:p>
    <w:p w14:paraId="32252830" w14:textId="46B61A86" w:rsidR="0083211B" w:rsidRDefault="0083211B" w:rsidP="00A40C21">
      <w:pPr>
        <w:pStyle w:val="Normalparatextwithnumbers"/>
        <w:numPr>
          <w:ilvl w:val="1"/>
          <w:numId w:val="3"/>
        </w:numPr>
      </w:pPr>
      <w:r>
        <w:t xml:space="preserve">In common with other Acts, the </w:t>
      </w:r>
      <w:r w:rsidRPr="001F597E">
        <w:rPr>
          <w:i/>
          <w:iCs/>
        </w:rPr>
        <w:t>A New Tax System (Goods and Services Tax) Act 1999</w:t>
      </w:r>
      <w:r>
        <w:t xml:space="preserve"> uses asterisking to identify defined terms. Division 3 in Part 1-2 of that Act explains that most defined </w:t>
      </w:r>
      <w:r w:rsidR="00DF6EC7">
        <w:t xml:space="preserve">terms </w:t>
      </w:r>
      <w:r w:rsidR="005A3B59">
        <w:t>in that Act</w:t>
      </w:r>
      <w:r>
        <w:t xml:space="preserve"> are identified by an asterisk appearing at the start of the term</w:t>
      </w:r>
      <w:r w:rsidR="00BD4993">
        <w:t xml:space="preserve"> (e.g.,</w:t>
      </w:r>
      <w:r>
        <w:t xml:space="preserve"> ‘*enterprise’</w:t>
      </w:r>
      <w:r w:rsidR="00BD4993">
        <w:t>)</w:t>
      </w:r>
      <w:r>
        <w:t>.</w:t>
      </w:r>
    </w:p>
    <w:p w14:paraId="56839825" w14:textId="097F1335" w:rsidR="0083211B" w:rsidRPr="00BB5A4F" w:rsidRDefault="0083211B" w:rsidP="00A40C21">
      <w:pPr>
        <w:pStyle w:val="Normalparatextwithnumbers"/>
        <w:numPr>
          <w:ilvl w:val="1"/>
          <w:numId w:val="3"/>
        </w:numPr>
        <w:rPr>
          <w:rStyle w:val="References"/>
          <w:b w:val="0"/>
          <w:bCs w:val="0"/>
          <w:i w:val="0"/>
          <w:iCs w:val="0"/>
        </w:rPr>
      </w:pPr>
      <w:r>
        <w:t>The amendment</w:t>
      </w:r>
      <w:r w:rsidR="00CE4CDB">
        <w:t>s</w:t>
      </w:r>
      <w:r>
        <w:t xml:space="preserve"> insert an asterisk before three instances of the word ‘registration’ and one instance of the word ‘register’ that had been missing an asterisk. </w:t>
      </w:r>
      <w:r w:rsidRPr="00BB5A4F">
        <w:rPr>
          <w:rStyle w:val="References"/>
          <w:b w:val="0"/>
          <w:bCs w:val="0"/>
          <w:i w:val="0"/>
          <w:iCs w:val="0"/>
        </w:rPr>
        <w:t>This change is consistent with the following rules in the Office of Parliamentary Counsel’s drafting directions, in this case applied to the defined term ‘registered’:</w:t>
      </w:r>
    </w:p>
    <w:p w14:paraId="1170B410" w14:textId="77777777" w:rsidR="0083211B" w:rsidRDefault="0083211B" w:rsidP="00A40C21">
      <w:pPr>
        <w:pStyle w:val="Normalparatextwithnumbers"/>
        <w:numPr>
          <w:ilvl w:val="0"/>
          <w:numId w:val="28"/>
        </w:numPr>
        <w:rPr>
          <w:rStyle w:val="References"/>
          <w:b w:val="0"/>
          <w:bCs w:val="0"/>
          <w:i w:val="0"/>
          <w:iCs w:val="0"/>
        </w:rPr>
      </w:pPr>
      <w:r>
        <w:rPr>
          <w:rStyle w:val="References"/>
          <w:b w:val="0"/>
          <w:bCs w:val="0"/>
          <w:i w:val="0"/>
          <w:iCs w:val="0"/>
        </w:rPr>
        <w:t xml:space="preserve">the first occurrence of each defined term in each subsection should be asterisked; and </w:t>
      </w:r>
    </w:p>
    <w:p w14:paraId="2BB87D84" w14:textId="77777777" w:rsidR="0083211B" w:rsidRDefault="0083211B" w:rsidP="00A40C21">
      <w:pPr>
        <w:pStyle w:val="Normalparatextwithnumbers"/>
        <w:numPr>
          <w:ilvl w:val="0"/>
          <w:numId w:val="28"/>
        </w:numPr>
        <w:rPr>
          <w:rStyle w:val="References"/>
          <w:b w:val="0"/>
          <w:bCs w:val="0"/>
          <w:i w:val="0"/>
          <w:iCs w:val="0"/>
        </w:rPr>
      </w:pPr>
      <w:r>
        <w:rPr>
          <w:rStyle w:val="References"/>
          <w:b w:val="0"/>
          <w:bCs w:val="0"/>
          <w:i w:val="0"/>
          <w:iCs w:val="0"/>
        </w:rPr>
        <w:t xml:space="preserve">different grammatical forms of a defined term have a corresponding meaning to the defined term (see section 18A of the </w:t>
      </w:r>
      <w:r w:rsidRPr="00FE4DF8">
        <w:rPr>
          <w:rStyle w:val="References"/>
          <w:b w:val="0"/>
          <w:bCs w:val="0"/>
        </w:rPr>
        <w:t>Acts Interpretation Act 1901</w:t>
      </w:r>
      <w:r>
        <w:rPr>
          <w:rStyle w:val="References"/>
          <w:b w:val="0"/>
          <w:bCs w:val="0"/>
          <w:i w:val="0"/>
          <w:iCs w:val="0"/>
        </w:rPr>
        <w:t xml:space="preserve">) and should be asterisked accordingly. </w:t>
      </w:r>
    </w:p>
    <w:p w14:paraId="5FB3F12A" w14:textId="5382B751" w:rsidR="0083211B" w:rsidRPr="00BB5A4F" w:rsidRDefault="0083211B" w:rsidP="00A40C21">
      <w:pPr>
        <w:pStyle w:val="Normalparatextwithnumbers"/>
        <w:numPr>
          <w:ilvl w:val="0"/>
          <w:numId w:val="0"/>
        </w:numPr>
        <w:ind w:left="1429"/>
        <w:rPr>
          <w:rStyle w:val="References"/>
          <w:b w:val="0"/>
          <w:bCs w:val="0"/>
          <w:i w:val="0"/>
          <w:iCs w:val="0"/>
        </w:rPr>
      </w:pPr>
      <w:r w:rsidRPr="00B72A6F">
        <w:rPr>
          <w:rStyle w:val="References"/>
        </w:rPr>
        <w:t>[Schedule</w:t>
      </w:r>
      <w:r w:rsidR="00FA3AB0">
        <w:rPr>
          <w:rStyle w:val="References"/>
        </w:rPr>
        <w:t>1</w:t>
      </w:r>
      <w:r w:rsidRPr="00B72A6F">
        <w:rPr>
          <w:rStyle w:val="References"/>
        </w:rPr>
        <w:t>, item</w:t>
      </w:r>
      <w:r w:rsidR="00FA3AB0">
        <w:rPr>
          <w:rStyle w:val="References"/>
        </w:rPr>
        <w:t>s 10</w:t>
      </w:r>
      <w:r w:rsidR="000F2F95">
        <w:rPr>
          <w:rStyle w:val="References"/>
        </w:rPr>
        <w:t>3</w:t>
      </w:r>
      <w:r w:rsidR="00FA3AB0">
        <w:rPr>
          <w:rStyle w:val="References"/>
        </w:rPr>
        <w:t xml:space="preserve"> to 10</w:t>
      </w:r>
      <w:r w:rsidR="000F2F95">
        <w:rPr>
          <w:rStyle w:val="References"/>
        </w:rPr>
        <w:t>6</w:t>
      </w:r>
      <w:r w:rsidRPr="00B72A6F">
        <w:rPr>
          <w:rStyle w:val="References"/>
        </w:rPr>
        <w:t xml:space="preserve">, </w:t>
      </w:r>
      <w:r w:rsidR="00FA3AB0">
        <w:rPr>
          <w:rStyle w:val="References"/>
        </w:rPr>
        <w:t xml:space="preserve">sections 25-5, 25-55, 25-57 and 63-35 of the </w:t>
      </w:r>
      <w:r w:rsidR="00FA3AB0" w:rsidRPr="00FA3AB0">
        <w:rPr>
          <w:rStyle w:val="References"/>
        </w:rPr>
        <w:t>A New Tax System (Goods and Services Tax) Act 1999</w:t>
      </w:r>
      <w:r w:rsidRPr="00B72A6F">
        <w:rPr>
          <w:rStyle w:val="References"/>
        </w:rPr>
        <w:t>]</w:t>
      </w:r>
      <w:r w:rsidRPr="00BB5A4F">
        <w:rPr>
          <w:rStyle w:val="References"/>
        </w:rPr>
        <w:t xml:space="preserve"> </w:t>
      </w:r>
    </w:p>
    <w:p w14:paraId="1537CBA6" w14:textId="43C00E61" w:rsidR="0083211B" w:rsidRPr="0083211B" w:rsidRDefault="0083211B" w:rsidP="00A40C21">
      <w:pPr>
        <w:pStyle w:val="Normalparatextwithnumbers"/>
        <w:numPr>
          <w:ilvl w:val="1"/>
          <w:numId w:val="3"/>
        </w:numPr>
        <w:rPr>
          <w:rStyle w:val="References"/>
          <w:b w:val="0"/>
          <w:bCs w:val="0"/>
          <w:i w:val="0"/>
          <w:iCs w:val="0"/>
        </w:rPr>
      </w:pPr>
      <w:r>
        <w:t>The amendment</w:t>
      </w:r>
      <w:r w:rsidR="002C7B5D">
        <w:t>s</w:t>
      </w:r>
      <w:r>
        <w:t xml:space="preserve"> also remove asterisks from </w:t>
      </w:r>
      <w:r w:rsidR="001404C8">
        <w:t xml:space="preserve">the definitions of ‘decreasing adjustment’ and ‘increasing adjustment’ in the </w:t>
      </w:r>
      <w:r>
        <w:t xml:space="preserve">guide material in the </w:t>
      </w:r>
      <w:r w:rsidR="002C7B5D" w:rsidRPr="00437EC9">
        <w:rPr>
          <w:i/>
          <w:iCs/>
        </w:rPr>
        <w:t>A New Tax System (Goods and Services Tax) Act 1999</w:t>
      </w:r>
      <w:r>
        <w:t xml:space="preserve">. </w:t>
      </w:r>
      <w:r w:rsidRPr="00BB5A4F">
        <w:rPr>
          <w:rStyle w:val="References"/>
          <w:b w:val="0"/>
          <w:bCs w:val="0"/>
          <w:i w:val="0"/>
          <w:iCs w:val="0"/>
        </w:rPr>
        <w:t xml:space="preserve">This change is consistent with the rule in the Office of Parliamentary Counsel’s drafting directions that asterisks are not used in non-operative or guide material. The third column in the table within the definitions of decreasing and increasing adjustment is a guide in helping the reader know the subject matter of the listed provision. The listing of the provision in the second column of the table is the operative part within each definition. </w:t>
      </w:r>
      <w:r w:rsidR="00390A6A">
        <w:rPr>
          <w:rStyle w:val="References"/>
          <w:b w:val="0"/>
          <w:bCs w:val="0"/>
          <w:i w:val="0"/>
          <w:iCs w:val="0"/>
        </w:rPr>
        <w:br/>
      </w:r>
      <w:r w:rsidRPr="00B72A6F">
        <w:rPr>
          <w:rStyle w:val="References"/>
        </w:rPr>
        <w:t xml:space="preserve">[Schedule </w:t>
      </w:r>
      <w:r w:rsidR="002C7B5D">
        <w:rPr>
          <w:rStyle w:val="References"/>
        </w:rPr>
        <w:t>1</w:t>
      </w:r>
      <w:r w:rsidRPr="00B72A6F">
        <w:rPr>
          <w:rStyle w:val="References"/>
        </w:rPr>
        <w:t>, item</w:t>
      </w:r>
      <w:r w:rsidR="002C7B5D">
        <w:rPr>
          <w:rStyle w:val="References"/>
        </w:rPr>
        <w:t>s 10</w:t>
      </w:r>
      <w:r w:rsidR="000F2F95">
        <w:rPr>
          <w:rStyle w:val="References"/>
        </w:rPr>
        <w:t>7</w:t>
      </w:r>
      <w:r w:rsidR="002C7B5D">
        <w:rPr>
          <w:rStyle w:val="References"/>
        </w:rPr>
        <w:t xml:space="preserve"> and 10</w:t>
      </w:r>
      <w:r w:rsidR="000F2F95">
        <w:rPr>
          <w:rStyle w:val="References"/>
        </w:rPr>
        <w:t>8</w:t>
      </w:r>
      <w:r w:rsidR="002C7B5D">
        <w:rPr>
          <w:rStyle w:val="References"/>
        </w:rPr>
        <w:t xml:space="preserve">, section 195-1 of the </w:t>
      </w:r>
      <w:r w:rsidR="002C7B5D" w:rsidRPr="002C7B5D">
        <w:rPr>
          <w:rStyle w:val="References"/>
        </w:rPr>
        <w:t>A New Tax System (Goods and Services Tax) Act 1999</w:t>
      </w:r>
      <w:r w:rsidRPr="00B72A6F">
        <w:rPr>
          <w:rStyle w:val="References"/>
        </w:rPr>
        <w:t xml:space="preserve">] </w:t>
      </w:r>
    </w:p>
    <w:p w14:paraId="09FF272C" w14:textId="6324543F" w:rsidR="0083211B" w:rsidRPr="0083211B" w:rsidRDefault="0083211B" w:rsidP="00A40C21">
      <w:pPr>
        <w:pStyle w:val="Heading6"/>
        <w:rPr>
          <w:rStyle w:val="References"/>
          <w:rFonts w:ascii="Helvitica" w:hAnsi="Helvitica"/>
          <w:b w:val="0"/>
          <w:bCs w:val="0"/>
          <w:i/>
          <w:iCs w:val="0"/>
        </w:rPr>
      </w:pPr>
      <w:r>
        <w:t xml:space="preserve">Division 2 – Equal representation rules </w:t>
      </w:r>
    </w:p>
    <w:p w14:paraId="68B9B58A" w14:textId="19828BD9" w:rsidR="007A5110" w:rsidRDefault="00DF17EC" w:rsidP="00A40C21">
      <w:pPr>
        <w:pStyle w:val="Normalparatextwithnumbers"/>
        <w:numPr>
          <w:ilvl w:val="1"/>
          <w:numId w:val="3"/>
        </w:numPr>
      </w:pPr>
      <w:r>
        <w:t xml:space="preserve">Section 117 of the </w:t>
      </w:r>
      <w:r w:rsidR="003B686F" w:rsidRPr="00347A8C">
        <w:rPr>
          <w:i/>
          <w:iCs/>
        </w:rPr>
        <w:t>Superannuation Industry (Supervision) Act 1993</w:t>
      </w:r>
      <w:r w:rsidR="003B686F">
        <w:t xml:space="preserve"> </w:t>
      </w:r>
      <w:r w:rsidR="007A5110">
        <w:t xml:space="preserve">sets out the circumstances in which </w:t>
      </w:r>
      <w:r>
        <w:t xml:space="preserve">a trustee of a standard employer-sponsored fund </w:t>
      </w:r>
      <w:r w:rsidR="007A5110">
        <w:t xml:space="preserve">may </w:t>
      </w:r>
      <w:r>
        <w:t>pay an</w:t>
      </w:r>
      <w:r w:rsidR="007A5110">
        <w:t xml:space="preserve"> </w:t>
      </w:r>
      <w:r>
        <w:t xml:space="preserve">amount to a standard employer-sponsor. </w:t>
      </w:r>
      <w:r w:rsidR="00C121D3">
        <w:t>Prior to the amendments</w:t>
      </w:r>
      <w:r>
        <w:t xml:space="preserve">, </w:t>
      </w:r>
      <w:r w:rsidR="00C121D3">
        <w:t xml:space="preserve">this </w:t>
      </w:r>
      <w:r w:rsidR="003B686F">
        <w:t xml:space="preserve">generally involved </w:t>
      </w:r>
      <w:r>
        <w:t>the trustee</w:t>
      </w:r>
      <w:r w:rsidR="007A5110">
        <w:t xml:space="preserve"> </w:t>
      </w:r>
      <w:r>
        <w:t>pass</w:t>
      </w:r>
      <w:r w:rsidR="003B686F">
        <w:t>ing</w:t>
      </w:r>
      <w:r>
        <w:t xml:space="preserve"> a resolution </w:t>
      </w:r>
      <w:r w:rsidR="003B686F">
        <w:t>and</w:t>
      </w:r>
      <w:r>
        <w:t xml:space="preserve"> the group</w:t>
      </w:r>
      <w:r w:rsidR="007A5110">
        <w:t xml:space="preserve"> </w:t>
      </w:r>
      <w:r>
        <w:t>of trustees or board of directors</w:t>
      </w:r>
      <w:r w:rsidR="004A5E98">
        <w:t xml:space="preserve"> (as the case may be)</w:t>
      </w:r>
      <w:r>
        <w:t xml:space="preserve"> </w:t>
      </w:r>
      <w:r w:rsidR="003B686F">
        <w:t>had to</w:t>
      </w:r>
      <w:r>
        <w:t xml:space="preserve"> consist of an equal split between employer representatives</w:t>
      </w:r>
      <w:r w:rsidR="007A5110">
        <w:t xml:space="preserve"> </w:t>
      </w:r>
      <w:r>
        <w:t>and member representatives.</w:t>
      </w:r>
      <w:r w:rsidR="007A5110">
        <w:t xml:space="preserve"> </w:t>
      </w:r>
    </w:p>
    <w:p w14:paraId="083CB8ED" w14:textId="69DA5FFB" w:rsidR="00DF17EC" w:rsidRDefault="003B686F" w:rsidP="00A40C21">
      <w:pPr>
        <w:pStyle w:val="Normalparatextwithnumbers"/>
        <w:numPr>
          <w:ilvl w:val="1"/>
          <w:numId w:val="3"/>
        </w:numPr>
      </w:pPr>
      <w:r>
        <w:lastRenderedPageBreak/>
        <w:t>T</w:t>
      </w:r>
      <w:r w:rsidR="00C121D3">
        <w:t xml:space="preserve">he </w:t>
      </w:r>
      <w:r>
        <w:t xml:space="preserve">former prescriptive drafting </w:t>
      </w:r>
      <w:r w:rsidR="004A5E98">
        <w:t>in</w:t>
      </w:r>
      <w:r>
        <w:t xml:space="preserve"> section</w:t>
      </w:r>
      <w:r w:rsidR="00DF17EC">
        <w:t xml:space="preserve"> 117</w:t>
      </w:r>
      <w:r>
        <w:t xml:space="preserve"> </w:t>
      </w:r>
      <w:r w:rsidRPr="003B686F">
        <w:rPr>
          <w:i/>
          <w:iCs/>
        </w:rPr>
        <w:t>Superannuation Industry (Supervision) Act 1993</w:t>
      </w:r>
      <w:r>
        <w:t xml:space="preserve"> </w:t>
      </w:r>
      <w:r w:rsidR="00B52B16">
        <w:t xml:space="preserve">inadvertently </w:t>
      </w:r>
      <w:r>
        <w:t>did</w:t>
      </w:r>
      <w:r w:rsidR="00DF17EC">
        <w:t xml:space="preserve"> not account for </w:t>
      </w:r>
      <w:r w:rsidR="002C1A05">
        <w:t xml:space="preserve">all </w:t>
      </w:r>
      <w:r>
        <w:t xml:space="preserve">governance </w:t>
      </w:r>
      <w:r w:rsidR="00DF17EC">
        <w:t>structures permitted under Part 9 of</w:t>
      </w:r>
      <w:r w:rsidR="007A5110">
        <w:t xml:space="preserve"> </w:t>
      </w:r>
      <w:r w:rsidR="00DF17EC">
        <w:t>t</w:t>
      </w:r>
      <w:r>
        <w:t>hat Act (Part 9 sets out the equal representation rules)</w:t>
      </w:r>
      <w:r w:rsidR="00DF17EC">
        <w:t>.</w:t>
      </w:r>
    </w:p>
    <w:p w14:paraId="0E0C3DC0" w14:textId="66127F76" w:rsidR="00C121D3" w:rsidRDefault="003B686F" w:rsidP="00A40C21">
      <w:pPr>
        <w:pStyle w:val="Normalparatextwithnumbers"/>
        <w:numPr>
          <w:ilvl w:val="1"/>
          <w:numId w:val="3"/>
        </w:numPr>
      </w:pPr>
      <w:r>
        <w:t xml:space="preserve">Section 117 of </w:t>
      </w:r>
      <w:r w:rsidRPr="003B686F">
        <w:rPr>
          <w:i/>
          <w:iCs/>
        </w:rPr>
        <w:t>Superannuation Industry (Supervision) Act 1993</w:t>
      </w:r>
      <w:r>
        <w:t xml:space="preserve"> is amended to ensure i</w:t>
      </w:r>
      <w:r w:rsidR="0093461F">
        <w:t>t</w:t>
      </w:r>
      <w:r>
        <w:t xml:space="preserve"> captures all governance structures permitted under Part </w:t>
      </w:r>
      <w:r w:rsidR="002C1A05">
        <w:t xml:space="preserve">9 </w:t>
      </w:r>
      <w:r>
        <w:t xml:space="preserve">of that Act. </w:t>
      </w:r>
      <w:r w:rsidR="00437EC9">
        <w:br/>
      </w:r>
      <w:r w:rsidR="00437EC9" w:rsidRPr="00437EC9">
        <w:rPr>
          <w:rStyle w:val="References"/>
        </w:rPr>
        <w:t xml:space="preserve">[Schedule </w:t>
      </w:r>
      <w:r w:rsidR="00E6288B">
        <w:rPr>
          <w:rStyle w:val="References"/>
        </w:rPr>
        <w:t>1</w:t>
      </w:r>
      <w:r w:rsidR="00437EC9" w:rsidRPr="00437EC9">
        <w:rPr>
          <w:rStyle w:val="References"/>
        </w:rPr>
        <w:t>, item</w:t>
      </w:r>
      <w:r w:rsidR="00A17C60">
        <w:rPr>
          <w:rStyle w:val="References"/>
        </w:rPr>
        <w:t>s 1</w:t>
      </w:r>
      <w:r w:rsidR="000F2F95">
        <w:rPr>
          <w:rStyle w:val="References"/>
        </w:rPr>
        <w:t>09</w:t>
      </w:r>
      <w:r w:rsidR="00A17C60">
        <w:rPr>
          <w:rStyle w:val="References"/>
        </w:rPr>
        <w:t>-11</w:t>
      </w:r>
      <w:r w:rsidR="000F2F95">
        <w:rPr>
          <w:rStyle w:val="References"/>
        </w:rPr>
        <w:t>1</w:t>
      </w:r>
      <w:r w:rsidR="00437EC9" w:rsidRPr="00437EC9">
        <w:rPr>
          <w:rStyle w:val="References"/>
        </w:rPr>
        <w:t xml:space="preserve">, </w:t>
      </w:r>
      <w:r w:rsidR="00A17C60">
        <w:rPr>
          <w:rStyle w:val="References"/>
        </w:rPr>
        <w:t xml:space="preserve">section 117 of the </w:t>
      </w:r>
      <w:r w:rsidR="00A17C60" w:rsidRPr="00A17C60">
        <w:rPr>
          <w:rStyle w:val="References"/>
        </w:rPr>
        <w:t>Superannuation Industry (Supervision) Act 1993</w:t>
      </w:r>
      <w:r w:rsidR="00437EC9" w:rsidRPr="00437EC9">
        <w:rPr>
          <w:rStyle w:val="References"/>
        </w:rPr>
        <w:t xml:space="preserve">] </w:t>
      </w:r>
    </w:p>
    <w:p w14:paraId="27A449E1" w14:textId="4768E576" w:rsidR="006E42EB" w:rsidRDefault="00DE2ACE" w:rsidP="00A40C21">
      <w:pPr>
        <w:pStyle w:val="Heading6"/>
      </w:pPr>
      <w:r>
        <w:t xml:space="preserve">Division 3 – Registration requirements for GST </w:t>
      </w:r>
    </w:p>
    <w:p w14:paraId="60056D11" w14:textId="5993A22E" w:rsidR="00DE2ACE" w:rsidRDefault="00DE2ACE" w:rsidP="00A40C21">
      <w:pPr>
        <w:pStyle w:val="Normalparatextwithnumbers"/>
        <w:numPr>
          <w:ilvl w:val="1"/>
          <w:numId w:val="3"/>
        </w:numPr>
      </w:pPr>
      <w:r>
        <w:t xml:space="preserve">Under the </w:t>
      </w:r>
      <w:r w:rsidR="00364103" w:rsidRPr="00437EC9">
        <w:rPr>
          <w:i/>
          <w:iCs/>
        </w:rPr>
        <w:t>A New Tax System (Goods and Services Tax) Act 1999</w:t>
      </w:r>
      <w:r>
        <w:t xml:space="preserve">, the supplier of goods or services is ordinarily liable to pay the relevant GST on that supply. There are some exceptions to this general rule. </w:t>
      </w:r>
    </w:p>
    <w:p w14:paraId="4B3617BE" w14:textId="3581D1B5" w:rsidR="00DE2ACE" w:rsidRDefault="00DE2ACE" w:rsidP="00A40C21">
      <w:pPr>
        <w:pStyle w:val="Normalparatextwithnumbers"/>
        <w:numPr>
          <w:ilvl w:val="1"/>
          <w:numId w:val="3"/>
        </w:numPr>
      </w:pPr>
      <w:r>
        <w:t>For certain supplies made through an electronic distribution platform, the operator of that platform (rather than the supplier) is liable to pay GST on that supply (see section 84-55 of t</w:t>
      </w:r>
      <w:r w:rsidR="00D11988">
        <w:t xml:space="preserve">he </w:t>
      </w:r>
      <w:r w:rsidR="00062E8D" w:rsidRPr="0014666E">
        <w:rPr>
          <w:i/>
          <w:iCs/>
        </w:rPr>
        <w:t>A New Tax Sy</w:t>
      </w:r>
      <w:r w:rsidR="0014666E" w:rsidRPr="0014666E">
        <w:rPr>
          <w:i/>
          <w:iCs/>
        </w:rPr>
        <w:t>stem</w:t>
      </w:r>
      <w:r w:rsidR="0014666E">
        <w:t xml:space="preserve"> (</w:t>
      </w:r>
      <w:r w:rsidR="00D11988" w:rsidRPr="00437EC9">
        <w:rPr>
          <w:i/>
          <w:iCs/>
        </w:rPr>
        <w:t>Goods and Services Tax</w:t>
      </w:r>
      <w:r w:rsidR="0014666E">
        <w:rPr>
          <w:i/>
          <w:iCs/>
        </w:rPr>
        <w:t>)</w:t>
      </w:r>
      <w:r w:rsidR="00D11988" w:rsidRPr="00437EC9">
        <w:rPr>
          <w:i/>
          <w:iCs/>
        </w:rPr>
        <w:t xml:space="preserve"> Act 1999</w:t>
      </w:r>
      <w:r w:rsidR="007D3EA3">
        <w:t>)</w:t>
      </w:r>
      <w:r>
        <w:t xml:space="preserve">. This rule applies to electronic supplies referred to as ‘inbound intangible consumer supply’ (see 84-65 of the </w:t>
      </w:r>
      <w:r w:rsidR="0014666E" w:rsidRPr="0014666E">
        <w:rPr>
          <w:i/>
          <w:iCs/>
        </w:rPr>
        <w:t>A New Tax System (</w:t>
      </w:r>
      <w:r w:rsidRPr="00437EC9">
        <w:rPr>
          <w:i/>
          <w:iCs/>
        </w:rPr>
        <w:t>G</w:t>
      </w:r>
      <w:r w:rsidR="00D11988" w:rsidRPr="00437EC9">
        <w:rPr>
          <w:i/>
          <w:iCs/>
        </w:rPr>
        <w:t>oods and Services Tax</w:t>
      </w:r>
      <w:r w:rsidR="0014666E" w:rsidRPr="0014666E">
        <w:rPr>
          <w:i/>
          <w:iCs/>
        </w:rPr>
        <w:t>)</w:t>
      </w:r>
      <w:r w:rsidR="00D11988" w:rsidRPr="00437EC9">
        <w:rPr>
          <w:i/>
          <w:iCs/>
        </w:rPr>
        <w:t xml:space="preserve"> Act 1999</w:t>
      </w:r>
      <w:r w:rsidR="007D3EA3">
        <w:t>)</w:t>
      </w:r>
      <w:r w:rsidR="00574E4F" w:rsidRPr="00574E4F">
        <w:t xml:space="preserve"> </w:t>
      </w:r>
      <w:r w:rsidR="00574E4F">
        <w:t>and other supplies referred to as ‘</w:t>
      </w:r>
      <w:r w:rsidR="00574E4F" w:rsidRPr="003D7B9E">
        <w:t>offshore supply of low value goods</w:t>
      </w:r>
      <w:r w:rsidR="00574E4F">
        <w:t>’ (see sections 84-77 and 84</w:t>
      </w:r>
      <w:r w:rsidR="00574E4F">
        <w:noBreakHyphen/>
        <w:t>81 of the GST Act)</w:t>
      </w:r>
      <w:r>
        <w:t>.</w:t>
      </w:r>
    </w:p>
    <w:p w14:paraId="7539A372" w14:textId="5E8E5696" w:rsidR="00DE2ACE" w:rsidRDefault="00DE2ACE" w:rsidP="00A40C21">
      <w:pPr>
        <w:pStyle w:val="Normalparatextwithnumbers"/>
        <w:numPr>
          <w:ilvl w:val="1"/>
          <w:numId w:val="3"/>
        </w:numPr>
      </w:pPr>
      <w:r>
        <w:t xml:space="preserve">Where such supplies are made through multiple platforms, the operators of those platforms can enter a written agreement to specify which operator is to be treated as the supplier and hence liable to pay the GST on that supply (see paragraph 84-55(2)(a) of the </w:t>
      </w:r>
      <w:r w:rsidR="0014666E" w:rsidRPr="0014666E">
        <w:rPr>
          <w:i/>
          <w:iCs/>
        </w:rPr>
        <w:t>A New Tax System (</w:t>
      </w:r>
      <w:r w:rsidRPr="00437EC9">
        <w:rPr>
          <w:i/>
          <w:iCs/>
        </w:rPr>
        <w:t>G</w:t>
      </w:r>
      <w:r w:rsidR="00D11988" w:rsidRPr="00437EC9">
        <w:rPr>
          <w:i/>
          <w:iCs/>
        </w:rPr>
        <w:t>oods and Services Tax</w:t>
      </w:r>
      <w:r w:rsidR="0014666E" w:rsidRPr="0014666E">
        <w:rPr>
          <w:i/>
          <w:iCs/>
        </w:rPr>
        <w:t>)</w:t>
      </w:r>
      <w:r w:rsidR="00D11988" w:rsidRPr="00437EC9">
        <w:rPr>
          <w:i/>
          <w:iCs/>
        </w:rPr>
        <w:t xml:space="preserve"> Act</w:t>
      </w:r>
      <w:r w:rsidR="00AC0307">
        <w:rPr>
          <w:i/>
          <w:iCs/>
        </w:rPr>
        <w:t> </w:t>
      </w:r>
      <w:r w:rsidR="00D11988" w:rsidRPr="00437EC9">
        <w:rPr>
          <w:i/>
          <w:iCs/>
        </w:rPr>
        <w:t>1999</w:t>
      </w:r>
      <w:r w:rsidR="007D3EA3">
        <w:t>)</w:t>
      </w:r>
      <w:r>
        <w:t>.</w:t>
      </w:r>
    </w:p>
    <w:p w14:paraId="3F403AEF" w14:textId="112828F3" w:rsidR="00DE2ACE" w:rsidRPr="0057318C" w:rsidRDefault="00574E4F" w:rsidP="00A40C21">
      <w:pPr>
        <w:pStyle w:val="Normalparatextwithnumbers"/>
        <w:numPr>
          <w:ilvl w:val="1"/>
          <w:numId w:val="3"/>
        </w:numPr>
        <w:rPr>
          <w:rStyle w:val="References"/>
          <w:b w:val="0"/>
          <w:bCs w:val="0"/>
          <w:i w:val="0"/>
          <w:iCs w:val="0"/>
        </w:rPr>
      </w:pPr>
      <w:r w:rsidRPr="006F26EA">
        <w:t xml:space="preserve">These items amend the GST Act to ensure that the platform operator chosen to be treated as the supplier under these circumstances must be registered for GST purposes. </w:t>
      </w:r>
      <w:r>
        <w:t>That is, platform operators which are not registered, but are required to be registered, cannot enter an agreement to be treated as the supplier under 84</w:t>
      </w:r>
      <w:r>
        <w:noBreakHyphen/>
        <w:t xml:space="preserve">55(2)(a). </w:t>
      </w:r>
      <w:r w:rsidRPr="006F26EA">
        <w:t>This amendment supports the integrity of the GST system, ensuring that platform operators cannot avoid paying GST by shifting the GST liability to an entity that is not registered for GST purposes</w:t>
      </w:r>
      <w:r w:rsidR="00DE2ACE">
        <w:t>.</w:t>
      </w:r>
      <w:r w:rsidR="00DE2ACE">
        <w:br/>
      </w:r>
      <w:r w:rsidR="00DE2ACE" w:rsidRPr="0057318C">
        <w:rPr>
          <w:rStyle w:val="References"/>
        </w:rPr>
        <w:t xml:space="preserve">[Schedule </w:t>
      </w:r>
      <w:r w:rsidR="00D11988">
        <w:rPr>
          <w:rStyle w:val="References"/>
        </w:rPr>
        <w:t>1</w:t>
      </w:r>
      <w:r w:rsidR="00DE2ACE" w:rsidRPr="0057318C">
        <w:rPr>
          <w:rStyle w:val="References"/>
        </w:rPr>
        <w:t>, item</w:t>
      </w:r>
      <w:r w:rsidR="00D11988">
        <w:rPr>
          <w:rStyle w:val="References"/>
        </w:rPr>
        <w:t>s 11</w:t>
      </w:r>
      <w:r w:rsidR="00E87AAB">
        <w:rPr>
          <w:rStyle w:val="References"/>
        </w:rPr>
        <w:t>2</w:t>
      </w:r>
      <w:r w:rsidR="00D11988">
        <w:rPr>
          <w:rStyle w:val="References"/>
        </w:rPr>
        <w:t xml:space="preserve"> and 11</w:t>
      </w:r>
      <w:r w:rsidR="00E87AAB">
        <w:rPr>
          <w:rStyle w:val="References"/>
        </w:rPr>
        <w:t>3</w:t>
      </w:r>
      <w:r w:rsidR="00DE2ACE" w:rsidRPr="0057318C">
        <w:rPr>
          <w:rStyle w:val="References"/>
        </w:rPr>
        <w:t xml:space="preserve">, </w:t>
      </w:r>
      <w:r w:rsidR="00C673AA">
        <w:rPr>
          <w:rStyle w:val="References"/>
        </w:rPr>
        <w:t>section</w:t>
      </w:r>
      <w:r w:rsidR="00D11988">
        <w:rPr>
          <w:rStyle w:val="References"/>
        </w:rPr>
        <w:t xml:space="preserve"> 84-55 of the </w:t>
      </w:r>
      <w:r w:rsidR="0014666E">
        <w:rPr>
          <w:rStyle w:val="References"/>
        </w:rPr>
        <w:t>A New Tax System (</w:t>
      </w:r>
      <w:r w:rsidR="00D11988">
        <w:rPr>
          <w:rStyle w:val="References"/>
        </w:rPr>
        <w:t>Goods and Services Tax</w:t>
      </w:r>
      <w:r w:rsidR="0014666E">
        <w:rPr>
          <w:rStyle w:val="References"/>
        </w:rPr>
        <w:t>)</w:t>
      </w:r>
      <w:r w:rsidR="00D11988">
        <w:rPr>
          <w:rStyle w:val="References"/>
        </w:rPr>
        <w:t xml:space="preserve"> Act 1999</w:t>
      </w:r>
      <w:r w:rsidR="00DE2ACE" w:rsidRPr="0057318C">
        <w:rPr>
          <w:rStyle w:val="References"/>
        </w:rPr>
        <w:t xml:space="preserve">] </w:t>
      </w:r>
    </w:p>
    <w:p w14:paraId="0EDC9C9B" w14:textId="2C72FE65" w:rsidR="00DE2ACE" w:rsidRDefault="00DE2ACE" w:rsidP="00A40C21">
      <w:pPr>
        <w:pStyle w:val="Normalparatextwithnumbers"/>
        <w:numPr>
          <w:ilvl w:val="1"/>
          <w:numId w:val="3"/>
        </w:numPr>
      </w:pPr>
      <w:r>
        <w:t>The amendment</w:t>
      </w:r>
      <w:r w:rsidR="00217D51">
        <w:t>s</w:t>
      </w:r>
      <w:r>
        <w:t xml:space="preserve"> </w:t>
      </w:r>
      <w:r w:rsidR="00217D51">
        <w:t>are</w:t>
      </w:r>
      <w:r>
        <w:t xml:space="preserve"> consistent with an existing (separate) rule, which allows a platform operator and a supplier to enter a written agreement specifying that the platform operator is to be treated as the supplier and hence liable to pay the GST on other </w:t>
      </w:r>
      <w:r w:rsidR="007D3EA3">
        <w:t xml:space="preserve">certain </w:t>
      </w:r>
      <w:r>
        <w:t xml:space="preserve">supplies made through the platform. Under that rule, such arrangements are only permitted where the platform operator is registered for GST purposes (see section 84-60 of the </w:t>
      </w:r>
      <w:r w:rsidR="00423AC2" w:rsidRPr="00423AC2">
        <w:rPr>
          <w:i/>
          <w:iCs/>
        </w:rPr>
        <w:t>A New Tax System (</w:t>
      </w:r>
      <w:r w:rsidRPr="00437EC9">
        <w:rPr>
          <w:i/>
          <w:iCs/>
        </w:rPr>
        <w:t>G</w:t>
      </w:r>
      <w:r w:rsidR="00D11988" w:rsidRPr="00437EC9">
        <w:rPr>
          <w:i/>
          <w:iCs/>
        </w:rPr>
        <w:t>oods and Services Tax</w:t>
      </w:r>
      <w:r w:rsidR="00423AC2">
        <w:rPr>
          <w:i/>
          <w:iCs/>
        </w:rPr>
        <w:t>)</w:t>
      </w:r>
      <w:r w:rsidR="00D11988" w:rsidRPr="00437EC9">
        <w:rPr>
          <w:i/>
          <w:iCs/>
        </w:rPr>
        <w:t xml:space="preserve"> Act 1999</w:t>
      </w:r>
      <w:r>
        <w:t>).</w:t>
      </w:r>
    </w:p>
    <w:p w14:paraId="4070A4B9" w14:textId="599A8E28" w:rsidR="00DE2ACE" w:rsidRPr="0057318C" w:rsidRDefault="00DE2ACE" w:rsidP="00A40C21">
      <w:pPr>
        <w:pStyle w:val="Normalparatextwithnumbers"/>
        <w:numPr>
          <w:ilvl w:val="1"/>
          <w:numId w:val="3"/>
        </w:numPr>
        <w:rPr>
          <w:rStyle w:val="References"/>
          <w:b w:val="0"/>
          <w:bCs w:val="0"/>
          <w:i w:val="0"/>
          <w:iCs w:val="0"/>
        </w:rPr>
      </w:pPr>
      <w:r>
        <w:t xml:space="preserve">The amendments commence on the first 1 January, 1 April, 1 July or 1 October to occur after Royal Assent. They apply to </w:t>
      </w:r>
      <w:r w:rsidR="00574E4F">
        <w:t>supplies</w:t>
      </w:r>
      <w:r>
        <w:t xml:space="preserve"> made through an electronic distribution platform </w:t>
      </w:r>
      <w:r w:rsidR="00574E4F">
        <w:t xml:space="preserve">on or </w:t>
      </w:r>
      <w:r>
        <w:t xml:space="preserve">after the commencement of these amendments. </w:t>
      </w:r>
      <w:r w:rsidR="008740F3">
        <w:br/>
      </w:r>
      <w:r w:rsidRPr="0057318C">
        <w:rPr>
          <w:rStyle w:val="References"/>
        </w:rPr>
        <w:t>[Schedule</w:t>
      </w:r>
      <w:r w:rsidR="00D11988">
        <w:rPr>
          <w:rStyle w:val="References"/>
        </w:rPr>
        <w:t xml:space="preserve"> 1, item 11</w:t>
      </w:r>
      <w:r w:rsidR="00E87AAB">
        <w:rPr>
          <w:rStyle w:val="References"/>
        </w:rPr>
        <w:t>4</w:t>
      </w:r>
      <w:r w:rsidRPr="0057318C">
        <w:rPr>
          <w:rStyle w:val="References"/>
        </w:rPr>
        <w:t xml:space="preserve">] </w:t>
      </w:r>
    </w:p>
    <w:p w14:paraId="7A40F8BA" w14:textId="65A4A580" w:rsidR="00DE2ACE" w:rsidRDefault="00653DAA" w:rsidP="00A40C21">
      <w:pPr>
        <w:pStyle w:val="Heading4"/>
      </w:pPr>
      <w:r>
        <w:lastRenderedPageBreak/>
        <w:t>Part 3 – Amendments with other commencements</w:t>
      </w:r>
    </w:p>
    <w:p w14:paraId="754F3C9A" w14:textId="0B2F83F0" w:rsidR="00653DAA" w:rsidRPr="00336535" w:rsidRDefault="00653DAA" w:rsidP="00A40C21">
      <w:pPr>
        <w:pStyle w:val="Heading6"/>
        <w:rPr>
          <w:rFonts w:ascii="Helvetica" w:hAnsi="Helvetica" w:cs="Helvetica"/>
        </w:rPr>
      </w:pPr>
      <w:r w:rsidRPr="00336535">
        <w:rPr>
          <w:rFonts w:ascii="Helvetica" w:hAnsi="Helvetica" w:cs="Helvetica"/>
        </w:rPr>
        <w:t xml:space="preserve">First home super saver scheme </w:t>
      </w:r>
      <w:r w:rsidR="00E41DDA" w:rsidRPr="00336535">
        <w:rPr>
          <w:rFonts w:ascii="Helvetica" w:hAnsi="Helvetica" w:cs="Helvetica"/>
        </w:rPr>
        <w:t>technical changes</w:t>
      </w:r>
    </w:p>
    <w:p w14:paraId="24A765C7" w14:textId="5912D949" w:rsidR="00DD173C" w:rsidRDefault="00DD173C" w:rsidP="00A40C21">
      <w:pPr>
        <w:pStyle w:val="Normalparatextwithnumbers"/>
      </w:pPr>
      <w:r>
        <w:t>The f</w:t>
      </w:r>
      <w:r w:rsidRPr="00DD173C">
        <w:t xml:space="preserve">irst home super saver scheme </w:t>
      </w:r>
      <w:r w:rsidR="00061815">
        <w:t xml:space="preserve">or FHSSS </w:t>
      </w:r>
      <w:r>
        <w:t xml:space="preserve">was introduced as part of the 2017-18 Budget to help reduce pressure on housing affordability. The </w:t>
      </w:r>
      <w:r w:rsidR="007302E5">
        <w:t>scheme</w:t>
      </w:r>
      <w:r>
        <w:t xml:space="preserve"> allows individuals to make voluntary contributions into the superannuation system and to later withdraw those contributions</w:t>
      </w:r>
      <w:r w:rsidR="00745595">
        <w:t xml:space="preserve"> and an amount of associated earnings</w:t>
      </w:r>
      <w:r>
        <w:t xml:space="preserve"> for the purposes of purchasing or constructing their first home.</w:t>
      </w:r>
    </w:p>
    <w:p w14:paraId="44F849BA" w14:textId="67B02BEC" w:rsidR="00DD173C" w:rsidRDefault="00DD173C" w:rsidP="00A40C21">
      <w:pPr>
        <w:pStyle w:val="Normalparatextwithnumbers"/>
      </w:pPr>
      <w:r>
        <w:t xml:space="preserve">Prior to the amendments, the legislation underpinning the </w:t>
      </w:r>
      <w:r w:rsidR="00E87B28">
        <w:t xml:space="preserve">FHSSS </w:t>
      </w:r>
      <w:r>
        <w:t xml:space="preserve">operated in an inflexible manner. </w:t>
      </w:r>
      <w:r w:rsidR="0039140A">
        <w:t>This would occasionally result</w:t>
      </w:r>
      <w:r>
        <w:t xml:space="preserve"> in</w:t>
      </w:r>
      <w:r w:rsidR="00AB7358">
        <w:t xml:space="preserve"> some</w:t>
      </w:r>
      <w:r>
        <w:t xml:space="preserve"> individuals hav</w:t>
      </w:r>
      <w:r w:rsidR="00AB7358">
        <w:t>ing a</w:t>
      </w:r>
      <w:r>
        <w:t xml:space="preserve"> poor user experience with the scheme.</w:t>
      </w:r>
    </w:p>
    <w:p w14:paraId="0614C9AD" w14:textId="7E19C01B" w:rsidR="00653DAA" w:rsidRDefault="00DD173C" w:rsidP="00A40C21">
      <w:pPr>
        <w:pStyle w:val="Normalparatextwithnumbers"/>
      </w:pPr>
      <w:r>
        <w:t xml:space="preserve">In the 2021-22 Budget, the </w:t>
      </w:r>
      <w:r w:rsidR="003B06D8">
        <w:t xml:space="preserve">former </w:t>
      </w:r>
      <w:r>
        <w:t>Government announced four technical changes to the legislation underpinning the FHSSS to improve its operation and user</w:t>
      </w:r>
      <w:r w:rsidR="000F1DF5">
        <w:t>s</w:t>
      </w:r>
      <w:r w:rsidR="00ED11C5">
        <w:t>’</w:t>
      </w:r>
      <w:r>
        <w:t xml:space="preserve"> experience </w:t>
      </w:r>
      <w:r w:rsidR="00546DE2">
        <w:t>with it</w:t>
      </w:r>
      <w:r>
        <w:t>.</w:t>
      </w:r>
      <w:r w:rsidR="007302E5">
        <w:t xml:space="preserve"> The technical changes involve:</w:t>
      </w:r>
    </w:p>
    <w:p w14:paraId="098D43AD" w14:textId="472B72CD" w:rsidR="007302E5" w:rsidRDefault="007302E5" w:rsidP="00A40C21">
      <w:pPr>
        <w:pStyle w:val="Dotpoint1"/>
      </w:pPr>
      <w:r>
        <w:t xml:space="preserve">increasing the discretion of the Commissioner of Taxation to amend and revoke </w:t>
      </w:r>
      <w:r w:rsidR="00E87B28">
        <w:t xml:space="preserve">FHSSS </w:t>
      </w:r>
      <w:r>
        <w:t>applications</w:t>
      </w:r>
      <w:r w:rsidR="004B69FD">
        <w:t xml:space="preserve"> (‘FHSSS applications’ refers to a </w:t>
      </w:r>
      <w:proofErr w:type="gramStart"/>
      <w:r w:rsidR="004B69FD">
        <w:t>requests</w:t>
      </w:r>
      <w:proofErr w:type="gramEnd"/>
      <w:r w:rsidR="004B69FD">
        <w:t xml:space="preserve"> for ‘</w:t>
      </w:r>
      <w:r w:rsidR="004B69FD" w:rsidRPr="004B69FD">
        <w:t>first home super saver determination</w:t>
      </w:r>
      <w:r w:rsidR="004B69FD">
        <w:t xml:space="preserve">s’ under Division 138 </w:t>
      </w:r>
      <w:r w:rsidR="004B69FD" w:rsidRPr="004B69FD">
        <w:t xml:space="preserve">of Schedule 1 to the </w:t>
      </w:r>
      <w:r w:rsidR="004B69FD" w:rsidRPr="004B69FD">
        <w:rPr>
          <w:i/>
          <w:iCs/>
        </w:rPr>
        <w:t>Taxation Administration Act 1953</w:t>
      </w:r>
      <w:r w:rsidR="004B69FD">
        <w:t xml:space="preserve"> </w:t>
      </w:r>
      <w:r w:rsidR="00BE6219">
        <w:t>or</w:t>
      </w:r>
      <w:r w:rsidR="004B69FD">
        <w:t xml:space="preserve"> requests for </w:t>
      </w:r>
      <w:r w:rsidR="00D106DA">
        <w:t>‘</w:t>
      </w:r>
      <w:r w:rsidR="004B69FD">
        <w:t>release authorities</w:t>
      </w:r>
      <w:r w:rsidR="00D106DA">
        <w:t>’</w:t>
      </w:r>
      <w:r w:rsidR="004B69FD">
        <w:t xml:space="preserve"> that relate to </w:t>
      </w:r>
      <w:r w:rsidR="004B69FD" w:rsidRPr="004B69FD">
        <w:t>first home super saver determination</w:t>
      </w:r>
      <w:r w:rsidR="004B69FD">
        <w:t>s under Division 131 of Schedule 1 to that Act</w:t>
      </w:r>
      <w:r w:rsidR="00BE6219">
        <w:t>, as the case may be</w:t>
      </w:r>
      <w:r w:rsidR="004B69FD">
        <w:t>)</w:t>
      </w:r>
      <w:r>
        <w:t>;</w:t>
      </w:r>
    </w:p>
    <w:p w14:paraId="0B69FB26" w14:textId="7B348274" w:rsidR="007302E5" w:rsidRDefault="007302E5" w:rsidP="00A40C21">
      <w:pPr>
        <w:pStyle w:val="Dotpoint1"/>
      </w:pPr>
      <w:r>
        <w:t xml:space="preserve">allowing individuals to withdraw or amend their </w:t>
      </w:r>
      <w:r w:rsidR="00E87B28">
        <w:t xml:space="preserve">FHSSS </w:t>
      </w:r>
      <w:r>
        <w:t xml:space="preserve">applications prior to them receiving a </w:t>
      </w:r>
      <w:r w:rsidR="009B5E0B">
        <w:t xml:space="preserve">FHSSS </w:t>
      </w:r>
      <w:r>
        <w:t xml:space="preserve">amount, and allow those who withdraw to re-apply for </w:t>
      </w:r>
      <w:r w:rsidR="00E87B28">
        <w:t>FHSSS</w:t>
      </w:r>
      <w:r>
        <w:t xml:space="preserve"> releases in the </w:t>
      </w:r>
      <w:proofErr w:type="gramStart"/>
      <w:r>
        <w:t>future;</w:t>
      </w:r>
      <w:proofErr w:type="gramEnd"/>
    </w:p>
    <w:p w14:paraId="7BD4963A" w14:textId="571B6116" w:rsidR="007302E5" w:rsidRDefault="007302E5" w:rsidP="00A40C21">
      <w:pPr>
        <w:pStyle w:val="Dotpoint1"/>
      </w:pPr>
      <w:r>
        <w:t xml:space="preserve">allowing the Commissioner of Taxation to return any </w:t>
      </w:r>
      <w:r w:rsidR="00E87B28">
        <w:t xml:space="preserve">FHSSS </w:t>
      </w:r>
      <w:r>
        <w:t>amounts to superannuation funds, provided the amount has not yet been released to the individual; and</w:t>
      </w:r>
    </w:p>
    <w:p w14:paraId="25941C78" w14:textId="49BD7114" w:rsidR="007302E5" w:rsidRDefault="007302E5" w:rsidP="00A40C21">
      <w:pPr>
        <w:pStyle w:val="Dotpoint1"/>
      </w:pPr>
      <w:r>
        <w:t xml:space="preserve">clarifying that FHSSS amounts returned by the Commissioner of Taxation to superannuation funds </w:t>
      </w:r>
      <w:r w:rsidR="00E87B28">
        <w:t>are</w:t>
      </w:r>
      <w:r>
        <w:t xml:space="preserve"> treated as funds’ non-assessable non-exempt income and does not count towards individuals’ contribution caps. </w:t>
      </w:r>
    </w:p>
    <w:p w14:paraId="27181FF7" w14:textId="03E55AFF" w:rsidR="007302E5" w:rsidRDefault="00E41578" w:rsidP="00A40C21">
      <w:pPr>
        <w:pStyle w:val="Normalparatextwithnumbers"/>
      </w:pPr>
      <w:r>
        <w:t xml:space="preserve">Part 3 of </w:t>
      </w:r>
      <w:r w:rsidR="00446D30">
        <w:t>Schedule 1 to the Bill</w:t>
      </w:r>
      <w:r w:rsidR="00E92760">
        <w:t xml:space="preserve"> makes various amendments to the </w:t>
      </w:r>
      <w:r w:rsidR="00E92760" w:rsidRPr="00E92760">
        <w:rPr>
          <w:i/>
          <w:iCs/>
        </w:rPr>
        <w:t xml:space="preserve">Taxation Administration Act 1953 </w:t>
      </w:r>
      <w:r w:rsidR="00E92760">
        <w:t>and</w:t>
      </w:r>
      <w:r w:rsidR="0043224B">
        <w:t xml:space="preserve"> the</w:t>
      </w:r>
      <w:r w:rsidR="00E92760">
        <w:t xml:space="preserve"> </w:t>
      </w:r>
      <w:r w:rsidR="00E92760" w:rsidRPr="00E92760">
        <w:rPr>
          <w:i/>
          <w:iCs/>
        </w:rPr>
        <w:t>Income Tax Assessment Act 1997</w:t>
      </w:r>
      <w:r w:rsidR="00E92760" w:rsidRPr="00E92760">
        <w:t xml:space="preserve"> </w:t>
      </w:r>
      <w:r w:rsidR="00E92760">
        <w:t xml:space="preserve">to give effect to </w:t>
      </w:r>
      <w:r w:rsidR="00C3459F">
        <w:t xml:space="preserve">the </w:t>
      </w:r>
      <w:r w:rsidR="00E92760">
        <w:t>technical changes.</w:t>
      </w:r>
      <w:r w:rsidR="000E097E">
        <w:t xml:space="preserve"> The amendments are explained below. </w:t>
      </w:r>
    </w:p>
    <w:p w14:paraId="230B10A5" w14:textId="14D9AFCC" w:rsidR="00546DE2" w:rsidRPr="00D57893" w:rsidRDefault="003375F3" w:rsidP="00A40C21">
      <w:pPr>
        <w:pStyle w:val="Normalparatextwithnumbers"/>
      </w:pPr>
      <w:r>
        <w:t>I</w:t>
      </w:r>
      <w:r w:rsidR="000E097E" w:rsidRPr="000E097E">
        <w:t xml:space="preserve">ndividuals and the Commissioner of Taxation </w:t>
      </w:r>
      <w:r w:rsidR="00E52A44">
        <w:t xml:space="preserve">are </w:t>
      </w:r>
      <w:r>
        <w:t xml:space="preserve">generally </w:t>
      </w:r>
      <w:r w:rsidR="00E52A44">
        <w:t xml:space="preserve">able to </w:t>
      </w:r>
      <w:r w:rsidR="000E097E" w:rsidRPr="000E097E">
        <w:t>amend or revoke FHSSS applications, provided a FHSSS amount has not already been paid to the individual</w:t>
      </w:r>
      <w:r w:rsidR="00BC5B55">
        <w:t xml:space="preserve"> (under </w:t>
      </w:r>
      <w:r w:rsidR="00145374">
        <w:t>the</w:t>
      </w:r>
      <w:r w:rsidR="00BC5B55">
        <w:t xml:space="preserve"> legislation, a FHSSS amount is effectively considered to be paid to </w:t>
      </w:r>
      <w:r w:rsidR="00145374">
        <w:t xml:space="preserve">a </w:t>
      </w:r>
      <w:r w:rsidR="00BC5B55">
        <w:t>person if the Commissioner of Taxation has begun the process of paying the amount to person, even though the person may not have received the amount</w:t>
      </w:r>
      <w:r w:rsidR="00145374">
        <w:t xml:space="preserve"> yet</w:t>
      </w:r>
      <w:r w:rsidR="00BC5B55">
        <w:t>)</w:t>
      </w:r>
      <w:r w:rsidR="000E097E" w:rsidRPr="000E097E">
        <w:t>.</w:t>
      </w:r>
      <w:r w:rsidR="00D77C20">
        <w:t xml:space="preserve"> A</w:t>
      </w:r>
      <w:r w:rsidR="000E097E" w:rsidRPr="000E097E">
        <w:t xml:space="preserve">ny amended FHSSS applications must still </w:t>
      </w:r>
      <w:r w:rsidR="00E52A44">
        <w:t>comply with</w:t>
      </w:r>
      <w:r w:rsidR="000E097E" w:rsidRPr="000E097E">
        <w:t xml:space="preserve"> </w:t>
      </w:r>
      <w:r w:rsidR="009E4008">
        <w:t xml:space="preserve">the </w:t>
      </w:r>
      <w:r w:rsidR="00E52A44">
        <w:t>underlying</w:t>
      </w:r>
      <w:r w:rsidR="000E097E" w:rsidRPr="000E097E">
        <w:t xml:space="preserve"> criteria </w:t>
      </w:r>
      <w:r w:rsidR="00D77C20">
        <w:t xml:space="preserve">and policy intention </w:t>
      </w:r>
      <w:r w:rsidR="000E097E" w:rsidRPr="000E097E">
        <w:t xml:space="preserve">of the scheme (e.g., persons who now own a home cannot continue progressing </w:t>
      </w:r>
      <w:r w:rsidR="00E52A44">
        <w:t>FHSSS applications</w:t>
      </w:r>
      <w:r w:rsidR="008F386E">
        <w:t xml:space="preserve"> and have a FHSSS amount paid to them</w:t>
      </w:r>
      <w:r w:rsidR="000E097E" w:rsidRPr="000E097E">
        <w:t>).</w:t>
      </w:r>
      <w:r w:rsidR="00B00017">
        <w:br/>
      </w:r>
      <w:r w:rsidR="00B00017" w:rsidRPr="00B00017">
        <w:rPr>
          <w:rStyle w:val="References"/>
        </w:rPr>
        <w:t xml:space="preserve">[Schedule </w:t>
      </w:r>
      <w:r w:rsidR="003671E1">
        <w:rPr>
          <w:rStyle w:val="References"/>
        </w:rPr>
        <w:t>1</w:t>
      </w:r>
      <w:r w:rsidR="00B00017" w:rsidRPr="00B00017">
        <w:rPr>
          <w:rStyle w:val="References"/>
        </w:rPr>
        <w:t>, item</w:t>
      </w:r>
      <w:r w:rsidR="00CC080E">
        <w:rPr>
          <w:rStyle w:val="References"/>
        </w:rPr>
        <w:t>s 12</w:t>
      </w:r>
      <w:r w:rsidR="00E87AAB">
        <w:rPr>
          <w:rStyle w:val="References"/>
        </w:rPr>
        <w:t>6</w:t>
      </w:r>
      <w:r w:rsidR="00CC080E">
        <w:rPr>
          <w:rStyle w:val="References"/>
        </w:rPr>
        <w:t xml:space="preserve"> to 12</w:t>
      </w:r>
      <w:r w:rsidR="00E87AAB">
        <w:rPr>
          <w:rStyle w:val="References"/>
        </w:rPr>
        <w:t>8</w:t>
      </w:r>
      <w:r w:rsidR="005E4ED2">
        <w:rPr>
          <w:rStyle w:val="References"/>
        </w:rPr>
        <w:t xml:space="preserve"> and 13</w:t>
      </w:r>
      <w:r w:rsidR="00E87AAB">
        <w:rPr>
          <w:rStyle w:val="References"/>
        </w:rPr>
        <w:t>0</w:t>
      </w:r>
      <w:r w:rsidR="005E4ED2">
        <w:rPr>
          <w:rStyle w:val="References"/>
        </w:rPr>
        <w:t xml:space="preserve"> to 13</w:t>
      </w:r>
      <w:r w:rsidR="00E87AAB">
        <w:rPr>
          <w:rStyle w:val="References"/>
        </w:rPr>
        <w:t>6</w:t>
      </w:r>
      <w:r w:rsidR="00B00017" w:rsidRPr="00B00017">
        <w:rPr>
          <w:rStyle w:val="References"/>
        </w:rPr>
        <w:t xml:space="preserve">, </w:t>
      </w:r>
      <w:r w:rsidR="001630F4">
        <w:rPr>
          <w:rStyle w:val="References"/>
        </w:rPr>
        <w:t xml:space="preserve">sections 131-5, 131-10, 131-12, </w:t>
      </w:r>
      <w:r w:rsidR="00466B8D">
        <w:rPr>
          <w:rStyle w:val="References"/>
        </w:rPr>
        <w:lastRenderedPageBreak/>
        <w:t xml:space="preserve">131-30, 138-10, 138-12, 138-13 and 138-15 </w:t>
      </w:r>
      <w:r w:rsidR="00B00017" w:rsidRPr="00B00017">
        <w:rPr>
          <w:rStyle w:val="References"/>
        </w:rPr>
        <w:t xml:space="preserve">of </w:t>
      </w:r>
      <w:r w:rsidR="00466B8D">
        <w:rPr>
          <w:rStyle w:val="References"/>
        </w:rPr>
        <w:t xml:space="preserve">Schedule 1 to the </w:t>
      </w:r>
      <w:r w:rsidR="00466B8D" w:rsidRPr="00466B8D">
        <w:rPr>
          <w:rStyle w:val="References"/>
        </w:rPr>
        <w:t xml:space="preserve">Taxation </w:t>
      </w:r>
      <w:r w:rsidR="00466B8D" w:rsidRPr="00D57893">
        <w:rPr>
          <w:rStyle w:val="References"/>
        </w:rPr>
        <w:t>Administration Act 1953</w:t>
      </w:r>
      <w:r w:rsidR="00B00017" w:rsidRPr="00D57893">
        <w:rPr>
          <w:rStyle w:val="References"/>
        </w:rPr>
        <w:t xml:space="preserve">] </w:t>
      </w:r>
    </w:p>
    <w:p w14:paraId="0281CBAC" w14:textId="02DAB3E4" w:rsidR="00F35B86" w:rsidRPr="00D57893" w:rsidRDefault="00ED59C3" w:rsidP="00A40C21">
      <w:pPr>
        <w:pStyle w:val="Normalparatextwithnumbers"/>
      </w:pPr>
      <w:r w:rsidRPr="00D57893">
        <w:t xml:space="preserve">In certain circumstances, </w:t>
      </w:r>
      <w:r w:rsidR="00FC371A" w:rsidRPr="00D57893">
        <w:t xml:space="preserve">FHSSS amounts </w:t>
      </w:r>
      <w:r w:rsidRPr="00D57893">
        <w:t xml:space="preserve">paid to the Commissioner </w:t>
      </w:r>
      <w:r w:rsidR="00EF2CF3" w:rsidRPr="00D57893">
        <w:t xml:space="preserve">of Taxation </w:t>
      </w:r>
      <w:r w:rsidRPr="00D57893">
        <w:t xml:space="preserve">can be </w:t>
      </w:r>
      <w:r w:rsidR="00BB7EBE" w:rsidRPr="00D57893">
        <w:t>repaid</w:t>
      </w:r>
      <w:r w:rsidR="00F35B86" w:rsidRPr="00D57893">
        <w:t xml:space="preserve"> to superannuation funds or the </w:t>
      </w:r>
      <w:r w:rsidR="001E0B18" w:rsidRPr="00D57893">
        <w:t xml:space="preserve">relevant </w:t>
      </w:r>
      <w:r w:rsidR="00F35B86" w:rsidRPr="00D57893">
        <w:t xml:space="preserve">person. </w:t>
      </w:r>
      <w:r w:rsidR="001E0B18" w:rsidRPr="00D57893">
        <w:t>This generally occurs where the person</w:t>
      </w:r>
      <w:r w:rsidR="007F153B" w:rsidRPr="00D57893">
        <w:t xml:space="preserve">’s </w:t>
      </w:r>
      <w:r w:rsidR="001E0B18" w:rsidRPr="00D57893">
        <w:t xml:space="preserve">FHSSS application </w:t>
      </w:r>
      <w:r w:rsidR="007F153B" w:rsidRPr="00D57893">
        <w:t xml:space="preserve">has been amended or revoked </w:t>
      </w:r>
      <w:r w:rsidR="001E0B18" w:rsidRPr="00D57893">
        <w:t xml:space="preserve">and their entitlement to a FHSSS amount has ceased. </w:t>
      </w:r>
      <w:r w:rsidR="001E0B18" w:rsidRPr="00D57893">
        <w:br/>
      </w:r>
      <w:r w:rsidR="001E0B18" w:rsidRPr="00D57893">
        <w:rPr>
          <w:rStyle w:val="References"/>
        </w:rPr>
        <w:t xml:space="preserve">[Schedule </w:t>
      </w:r>
      <w:r w:rsidR="005666E8" w:rsidRPr="00D57893">
        <w:rPr>
          <w:rStyle w:val="References"/>
        </w:rPr>
        <w:t>1</w:t>
      </w:r>
      <w:r w:rsidR="001E0B18" w:rsidRPr="00D57893">
        <w:rPr>
          <w:rStyle w:val="References"/>
        </w:rPr>
        <w:t xml:space="preserve">, </w:t>
      </w:r>
      <w:r w:rsidR="00AC09E1" w:rsidRPr="00D57893">
        <w:rPr>
          <w:rStyle w:val="References"/>
        </w:rPr>
        <w:t>item</w:t>
      </w:r>
      <w:r w:rsidR="005E4ED2" w:rsidRPr="00D57893">
        <w:rPr>
          <w:rStyle w:val="References"/>
        </w:rPr>
        <w:t>s</w:t>
      </w:r>
      <w:r w:rsidR="00AC09E1" w:rsidRPr="00D57893">
        <w:rPr>
          <w:rStyle w:val="References"/>
        </w:rPr>
        <w:t xml:space="preserve"> 1</w:t>
      </w:r>
      <w:r w:rsidR="00AF4A9E" w:rsidRPr="00D57893">
        <w:rPr>
          <w:rStyle w:val="References"/>
        </w:rPr>
        <w:t>2</w:t>
      </w:r>
      <w:r w:rsidR="00E87AAB" w:rsidRPr="00D57893">
        <w:rPr>
          <w:rStyle w:val="References"/>
        </w:rPr>
        <w:t>9</w:t>
      </w:r>
      <w:r w:rsidR="005E4ED2" w:rsidRPr="00D57893">
        <w:rPr>
          <w:rStyle w:val="References"/>
        </w:rPr>
        <w:t xml:space="preserve"> and 13</w:t>
      </w:r>
      <w:r w:rsidR="00E87AAB" w:rsidRPr="00D57893">
        <w:rPr>
          <w:rStyle w:val="References"/>
        </w:rPr>
        <w:t>7</w:t>
      </w:r>
      <w:r w:rsidR="001E0B18" w:rsidRPr="00D57893">
        <w:rPr>
          <w:rStyle w:val="References"/>
        </w:rPr>
        <w:t>,</w:t>
      </w:r>
      <w:r w:rsidR="005666E8" w:rsidRPr="00D57893">
        <w:rPr>
          <w:rStyle w:val="References"/>
        </w:rPr>
        <w:t xml:space="preserve"> sections</w:t>
      </w:r>
      <w:r w:rsidR="001E0B18" w:rsidRPr="00D57893">
        <w:rPr>
          <w:rStyle w:val="References"/>
        </w:rPr>
        <w:t xml:space="preserve"> </w:t>
      </w:r>
      <w:r w:rsidR="005666E8" w:rsidRPr="00D57893">
        <w:rPr>
          <w:rStyle w:val="References"/>
        </w:rPr>
        <w:t>131-80</w:t>
      </w:r>
      <w:r w:rsidR="00471D4B" w:rsidRPr="00D57893">
        <w:rPr>
          <w:rStyle w:val="References"/>
        </w:rPr>
        <w:t xml:space="preserve"> and</w:t>
      </w:r>
      <w:r w:rsidR="005666E8" w:rsidRPr="00D57893">
        <w:rPr>
          <w:rStyle w:val="References"/>
        </w:rPr>
        <w:t xml:space="preserve"> 355-65 </w:t>
      </w:r>
      <w:r w:rsidR="00466B8D" w:rsidRPr="00D57893">
        <w:rPr>
          <w:rStyle w:val="References"/>
        </w:rPr>
        <w:t>of Schedule 1 to the Taxation Administration Act 1953</w:t>
      </w:r>
      <w:r w:rsidR="001E0B18" w:rsidRPr="00D57893">
        <w:rPr>
          <w:rStyle w:val="References"/>
        </w:rPr>
        <w:t xml:space="preserve">] </w:t>
      </w:r>
    </w:p>
    <w:p w14:paraId="0A19A686" w14:textId="6E7571B2" w:rsidR="00FC371A" w:rsidRPr="00D57893" w:rsidRDefault="00FC371A" w:rsidP="00A40C21">
      <w:pPr>
        <w:pStyle w:val="Normalparatextwithnumbers"/>
      </w:pPr>
      <w:r w:rsidRPr="00D57893">
        <w:t xml:space="preserve">FHSSS amounts </w:t>
      </w:r>
      <w:r w:rsidR="004D7538" w:rsidRPr="00D57893">
        <w:t>repaid</w:t>
      </w:r>
      <w:r w:rsidRPr="00D57893">
        <w:t xml:space="preserve"> to superannuation funds are not included in funds or persons’ assessable income and do not count towards persons’ contribution caps.</w:t>
      </w:r>
      <w:r w:rsidR="000B3A6A" w:rsidRPr="00D57893">
        <w:br/>
      </w:r>
      <w:r w:rsidR="000B3A6A" w:rsidRPr="00D57893">
        <w:rPr>
          <w:rStyle w:val="References"/>
        </w:rPr>
        <w:t xml:space="preserve">[Schedule </w:t>
      </w:r>
      <w:r w:rsidR="007957AC" w:rsidRPr="00D57893">
        <w:rPr>
          <w:rStyle w:val="References"/>
        </w:rPr>
        <w:t>1</w:t>
      </w:r>
      <w:r w:rsidR="000B3A6A" w:rsidRPr="00D57893">
        <w:rPr>
          <w:rStyle w:val="References"/>
        </w:rPr>
        <w:t>, item</w:t>
      </w:r>
      <w:r w:rsidR="007957AC" w:rsidRPr="00D57893">
        <w:rPr>
          <w:rStyle w:val="References"/>
        </w:rPr>
        <w:t>s 11</w:t>
      </w:r>
      <w:r w:rsidR="00E87AAB" w:rsidRPr="00D57893">
        <w:rPr>
          <w:rStyle w:val="References"/>
        </w:rPr>
        <w:t>5</w:t>
      </w:r>
      <w:r w:rsidR="007957AC" w:rsidRPr="00D57893">
        <w:rPr>
          <w:rStyle w:val="References"/>
        </w:rPr>
        <w:t xml:space="preserve"> to </w:t>
      </w:r>
      <w:r w:rsidR="008B3DEE" w:rsidRPr="00D57893">
        <w:rPr>
          <w:rStyle w:val="References"/>
        </w:rPr>
        <w:t>12</w:t>
      </w:r>
      <w:r w:rsidR="00E87AAB" w:rsidRPr="00D57893">
        <w:rPr>
          <w:rStyle w:val="References"/>
        </w:rPr>
        <w:t>0</w:t>
      </w:r>
      <w:r w:rsidR="000B3A6A" w:rsidRPr="00D57893">
        <w:rPr>
          <w:rStyle w:val="References"/>
        </w:rPr>
        <w:t xml:space="preserve">, </w:t>
      </w:r>
      <w:r w:rsidR="008B3DEE" w:rsidRPr="00D57893">
        <w:rPr>
          <w:rStyle w:val="References"/>
        </w:rPr>
        <w:t>sections 306-10, 307-5 and 307-120 of the Income Tax Assessment Act 1997</w:t>
      </w:r>
      <w:r w:rsidR="000B3A6A" w:rsidRPr="00D57893">
        <w:rPr>
          <w:rStyle w:val="References"/>
        </w:rPr>
        <w:t xml:space="preserve">] </w:t>
      </w:r>
    </w:p>
    <w:p w14:paraId="42B48CB5" w14:textId="55D5A821" w:rsidR="00FC371A" w:rsidRPr="00D57893" w:rsidRDefault="00FC371A" w:rsidP="00A40C21">
      <w:pPr>
        <w:pStyle w:val="Normalparatextwithnumbers"/>
      </w:pPr>
      <w:r w:rsidRPr="00D57893">
        <w:t xml:space="preserve">In very limited circumstances, the Commissioner of Taxation may be able to repay FHSSS amounts directly to the </w:t>
      </w:r>
      <w:r w:rsidR="00D85B7E" w:rsidRPr="00D57893">
        <w:t>relevant</w:t>
      </w:r>
      <w:r w:rsidRPr="00D57893">
        <w:t xml:space="preserve"> person or their legal personal representative. These circumstances involve the person satisfying a condition of release with a nil cashing restriction</w:t>
      </w:r>
      <w:r w:rsidR="00576A04" w:rsidRPr="00D57893">
        <w:t xml:space="preserve"> (</w:t>
      </w:r>
      <w:proofErr w:type="gramStart"/>
      <w:r w:rsidR="00576A04" w:rsidRPr="00D57893">
        <w:t>e.g.</w:t>
      </w:r>
      <w:proofErr w:type="gramEnd"/>
      <w:r w:rsidR="00576A04" w:rsidRPr="00D57893">
        <w:t xml:space="preserve"> the person is at least 65 years old)</w:t>
      </w:r>
      <w:r w:rsidRPr="00D57893">
        <w:t xml:space="preserve">. </w:t>
      </w:r>
      <w:r w:rsidR="000B3A6A" w:rsidRPr="00D57893">
        <w:br/>
      </w:r>
      <w:r w:rsidR="007F1883" w:rsidRPr="00D57893">
        <w:rPr>
          <w:rStyle w:val="References"/>
        </w:rPr>
        <w:t>[Schedule 1, items 1</w:t>
      </w:r>
      <w:r w:rsidR="00E87AAB" w:rsidRPr="00D57893">
        <w:rPr>
          <w:rStyle w:val="References"/>
        </w:rPr>
        <w:t>29</w:t>
      </w:r>
      <w:r w:rsidR="007F1883" w:rsidRPr="00D57893">
        <w:rPr>
          <w:rStyle w:val="References"/>
        </w:rPr>
        <w:t xml:space="preserve"> and 13</w:t>
      </w:r>
      <w:r w:rsidR="00E87AAB" w:rsidRPr="00D57893">
        <w:rPr>
          <w:rStyle w:val="References"/>
        </w:rPr>
        <w:t>7</w:t>
      </w:r>
      <w:r w:rsidR="007F1883" w:rsidRPr="00D57893">
        <w:rPr>
          <w:rStyle w:val="References"/>
        </w:rPr>
        <w:t xml:space="preserve">, sections 131-80 and 355-65 </w:t>
      </w:r>
      <w:r w:rsidR="00466B8D" w:rsidRPr="00D57893">
        <w:rPr>
          <w:rStyle w:val="References"/>
        </w:rPr>
        <w:t>of Schedule 1 to the Taxation Administration Act 1953</w:t>
      </w:r>
      <w:r w:rsidR="000B3A6A" w:rsidRPr="00D57893">
        <w:rPr>
          <w:rStyle w:val="References"/>
        </w:rPr>
        <w:t xml:space="preserve">] </w:t>
      </w:r>
    </w:p>
    <w:p w14:paraId="16D167C3" w14:textId="492F6901" w:rsidR="004D1169" w:rsidRDefault="004D1169" w:rsidP="00A40C21">
      <w:pPr>
        <w:pStyle w:val="Normalparatextwithnumbers"/>
      </w:pPr>
      <w:r w:rsidRPr="00D57893">
        <w:t xml:space="preserve">Repaid FHSSS amounts are afforded the correct status in terms of their tax free and taxable components. This helps ensure that </w:t>
      </w:r>
      <w:r w:rsidR="003139E7" w:rsidRPr="00D57893">
        <w:t>repaid</w:t>
      </w:r>
      <w:r>
        <w:t xml:space="preserve"> </w:t>
      </w:r>
      <w:r w:rsidRPr="004D1169">
        <w:t xml:space="preserve">FHSSS amounts </w:t>
      </w:r>
      <w:r>
        <w:t xml:space="preserve">are </w:t>
      </w:r>
      <w:r w:rsidR="003139E7">
        <w:t xml:space="preserve">subject to the same taxation treatment </w:t>
      </w:r>
      <w:r>
        <w:t xml:space="preserve">as if they had never been </w:t>
      </w:r>
      <w:r w:rsidR="00192CC2">
        <w:t>released</w:t>
      </w:r>
      <w:r>
        <w:t xml:space="preserve"> to Commissioner of Taxation under the FHSSS</w:t>
      </w:r>
      <w:r w:rsidRPr="004D1169">
        <w:t>.</w:t>
      </w:r>
      <w:r w:rsidR="000B3A6A">
        <w:br/>
      </w:r>
      <w:r w:rsidR="000B3A6A" w:rsidRPr="000B3A6A">
        <w:rPr>
          <w:rStyle w:val="References"/>
        </w:rPr>
        <w:t>[Schedule</w:t>
      </w:r>
      <w:r w:rsidR="00632290">
        <w:rPr>
          <w:rStyle w:val="References"/>
        </w:rPr>
        <w:t xml:space="preserve"> 1</w:t>
      </w:r>
      <w:r w:rsidR="000B3A6A" w:rsidRPr="000B3A6A">
        <w:rPr>
          <w:rStyle w:val="References"/>
        </w:rPr>
        <w:t>, item</w:t>
      </w:r>
      <w:r w:rsidR="00632290">
        <w:rPr>
          <w:rStyle w:val="References"/>
        </w:rPr>
        <w:t xml:space="preserve"> 12</w:t>
      </w:r>
      <w:r w:rsidR="00E87AAB">
        <w:rPr>
          <w:rStyle w:val="References"/>
        </w:rPr>
        <w:t>1</w:t>
      </w:r>
      <w:r w:rsidR="000B3A6A" w:rsidRPr="000B3A6A">
        <w:rPr>
          <w:rStyle w:val="References"/>
        </w:rPr>
        <w:t xml:space="preserve">, </w:t>
      </w:r>
      <w:r w:rsidR="00632290">
        <w:rPr>
          <w:rStyle w:val="References"/>
        </w:rPr>
        <w:t>section 307-143 of</w:t>
      </w:r>
      <w:r>
        <w:rPr>
          <w:rStyle w:val="References"/>
        </w:rPr>
        <w:t xml:space="preserve"> the </w:t>
      </w:r>
      <w:r w:rsidR="00632290" w:rsidRPr="00632290">
        <w:rPr>
          <w:rStyle w:val="References"/>
        </w:rPr>
        <w:t>Income Tax Assessment Act 1997</w:t>
      </w:r>
      <w:r w:rsidR="000B3A6A" w:rsidRPr="000B3A6A">
        <w:rPr>
          <w:rStyle w:val="References"/>
        </w:rPr>
        <w:t xml:space="preserve">] </w:t>
      </w:r>
    </w:p>
    <w:p w14:paraId="3889CBD7" w14:textId="3E3AFE39" w:rsidR="007C217F" w:rsidRDefault="007C217F" w:rsidP="00A40C21">
      <w:pPr>
        <w:pStyle w:val="Normalparatextwithnumbers"/>
      </w:pPr>
      <w:r>
        <w:t>Consequential amendments are made to t</w:t>
      </w:r>
      <w:r w:rsidRPr="007C217F">
        <w:t xml:space="preserve">he taxation rules in relation to the FHSSS in Division 313 of the </w:t>
      </w:r>
      <w:r w:rsidRPr="00E92760">
        <w:rPr>
          <w:i/>
          <w:iCs/>
        </w:rPr>
        <w:t>Income Tax Assessment Act 1997</w:t>
      </w:r>
      <w:r w:rsidRPr="00E92760">
        <w:t xml:space="preserve"> </w:t>
      </w:r>
      <w:r>
        <w:t xml:space="preserve">to ensure they </w:t>
      </w:r>
      <w:r w:rsidRPr="007C217F">
        <w:t xml:space="preserve">account for the increased flexibility provided by the technical changes. </w:t>
      </w:r>
      <w:r w:rsidR="000B3A6A">
        <w:br/>
      </w:r>
      <w:r w:rsidR="000B3A6A" w:rsidRPr="000B3A6A">
        <w:rPr>
          <w:rStyle w:val="References"/>
        </w:rPr>
        <w:t xml:space="preserve">[Schedule </w:t>
      </w:r>
      <w:r w:rsidR="005666E8">
        <w:rPr>
          <w:rStyle w:val="References"/>
        </w:rPr>
        <w:t>1</w:t>
      </w:r>
      <w:r w:rsidR="000B3A6A" w:rsidRPr="000B3A6A">
        <w:rPr>
          <w:rStyle w:val="References"/>
        </w:rPr>
        <w:t>, item</w:t>
      </w:r>
      <w:r w:rsidR="001B5CDE">
        <w:rPr>
          <w:rStyle w:val="References"/>
        </w:rPr>
        <w:t>s 12</w:t>
      </w:r>
      <w:r w:rsidR="00E87AAB">
        <w:rPr>
          <w:rStyle w:val="References"/>
        </w:rPr>
        <w:t>2</w:t>
      </w:r>
      <w:r w:rsidR="001B5CDE">
        <w:rPr>
          <w:rStyle w:val="References"/>
        </w:rPr>
        <w:t xml:space="preserve"> to 12</w:t>
      </w:r>
      <w:r w:rsidR="00E87AAB">
        <w:rPr>
          <w:rStyle w:val="References"/>
        </w:rPr>
        <w:t>5</w:t>
      </w:r>
      <w:r w:rsidR="000B3A6A" w:rsidRPr="000B3A6A">
        <w:rPr>
          <w:rStyle w:val="References"/>
        </w:rPr>
        <w:t xml:space="preserve">, </w:t>
      </w:r>
      <w:r w:rsidR="001B5CDE">
        <w:rPr>
          <w:rStyle w:val="References"/>
        </w:rPr>
        <w:t xml:space="preserve">sections </w:t>
      </w:r>
      <w:r w:rsidR="005B1DC0">
        <w:rPr>
          <w:rStyle w:val="References"/>
        </w:rPr>
        <w:t xml:space="preserve">313-10, 313-15 and 313-35 of the </w:t>
      </w:r>
      <w:r w:rsidR="005B1DC0" w:rsidRPr="005B1DC0">
        <w:rPr>
          <w:rStyle w:val="References"/>
        </w:rPr>
        <w:t>Income Tax Assessment Act 1997</w:t>
      </w:r>
      <w:r w:rsidR="000B3A6A" w:rsidRPr="000B3A6A">
        <w:rPr>
          <w:rStyle w:val="References"/>
        </w:rPr>
        <w:t xml:space="preserve">] </w:t>
      </w:r>
    </w:p>
    <w:p w14:paraId="421C4287" w14:textId="7589FCB2" w:rsidR="003B5B0F" w:rsidRPr="003B5B0F" w:rsidRDefault="003B5B0F" w:rsidP="00A40C21">
      <w:pPr>
        <w:pStyle w:val="Normalparatextwithnumbers"/>
      </w:pPr>
      <w:r w:rsidRPr="003B5B0F">
        <w:t>The amendments commence</w:t>
      </w:r>
      <w:r>
        <w:t xml:space="preserve"> </w:t>
      </w:r>
      <w:r w:rsidR="007F3F6A">
        <w:t xml:space="preserve">on the first 1 January, 1 April, 1 July or 1 October to occur after the end of the period of 12 months beginning on the day the </w:t>
      </w:r>
      <w:r w:rsidR="00EF2CF3">
        <w:t xml:space="preserve">Bill </w:t>
      </w:r>
      <w:r w:rsidR="007F3F6A">
        <w:t>receives the Royal Assent.</w:t>
      </w:r>
      <w:r w:rsidRPr="003B5B0F">
        <w:t xml:space="preserve"> The delayed commencement ensures</w:t>
      </w:r>
      <w:r>
        <w:t xml:space="preserve"> that the A</w:t>
      </w:r>
      <w:r w:rsidR="00EF2CF3">
        <w:t xml:space="preserve">TO </w:t>
      </w:r>
      <w:r>
        <w:t xml:space="preserve">and other stakeholders have sufficient time </w:t>
      </w:r>
      <w:r w:rsidR="007F3F6A">
        <w:t xml:space="preserve">to </w:t>
      </w:r>
      <w:r w:rsidR="00741A85">
        <w:t>adjust</w:t>
      </w:r>
      <w:r w:rsidR="007F3F6A">
        <w:t xml:space="preserve"> systems to </w:t>
      </w:r>
      <w:r>
        <w:t>administer and comply with the technical changes</w:t>
      </w:r>
      <w:r w:rsidRPr="003B5B0F">
        <w:t xml:space="preserve">. </w:t>
      </w:r>
      <w:r w:rsidR="000B3A6A">
        <w:br/>
      </w:r>
      <w:r w:rsidR="000B3A6A" w:rsidRPr="000B3A6A">
        <w:rPr>
          <w:rStyle w:val="References"/>
        </w:rPr>
        <w:t>[</w:t>
      </w:r>
      <w:r w:rsidR="00A20BCD">
        <w:rPr>
          <w:rStyle w:val="References"/>
        </w:rPr>
        <w:t>table item 4 of the table in sub</w:t>
      </w:r>
      <w:r w:rsidR="00F422C4">
        <w:rPr>
          <w:rStyle w:val="References"/>
        </w:rPr>
        <w:t>section 2</w:t>
      </w:r>
      <w:r w:rsidR="00A20BCD">
        <w:rPr>
          <w:rStyle w:val="References"/>
        </w:rPr>
        <w:t xml:space="preserve">(1) of the </w:t>
      </w:r>
      <w:r w:rsidR="001630F4">
        <w:rPr>
          <w:rStyle w:val="References"/>
        </w:rPr>
        <w:t>Bill</w:t>
      </w:r>
      <w:r w:rsidR="000B3A6A" w:rsidRPr="000B3A6A">
        <w:rPr>
          <w:rStyle w:val="References"/>
        </w:rPr>
        <w:t xml:space="preserve">] </w:t>
      </w:r>
    </w:p>
    <w:p w14:paraId="063C4ECE" w14:textId="63522C06" w:rsidR="00F422C4" w:rsidRDefault="003B5B0F" w:rsidP="00A40C21">
      <w:pPr>
        <w:pStyle w:val="Normalparatextwithnumbers"/>
      </w:pPr>
      <w:r w:rsidRPr="003B5B0F">
        <w:t>Consistent with the 2021-22 Budget announcement, the technical changes apply retrospectively to FHSSS applications made from 1 July 2018. This ensures</w:t>
      </w:r>
      <w:r w:rsidR="009A6D80">
        <w:t xml:space="preserve"> the increased</w:t>
      </w:r>
      <w:r w:rsidRPr="003B5B0F">
        <w:t xml:space="preserve"> flexibility </w:t>
      </w:r>
      <w:r w:rsidR="009A6D80">
        <w:t xml:space="preserve">provided by the amendments </w:t>
      </w:r>
      <w:r w:rsidRPr="003B5B0F">
        <w:t>can be afforded to past cases.</w:t>
      </w:r>
      <w:r w:rsidR="00F422C4">
        <w:br/>
      </w:r>
      <w:r w:rsidR="00F422C4" w:rsidRPr="00F422C4">
        <w:rPr>
          <w:rStyle w:val="References"/>
        </w:rPr>
        <w:t xml:space="preserve">[Schedule </w:t>
      </w:r>
      <w:r w:rsidR="00F422C4">
        <w:rPr>
          <w:rStyle w:val="References"/>
        </w:rPr>
        <w:t>1</w:t>
      </w:r>
      <w:r w:rsidR="00F422C4" w:rsidRPr="00F422C4">
        <w:rPr>
          <w:rStyle w:val="References"/>
        </w:rPr>
        <w:t>, item</w:t>
      </w:r>
      <w:r w:rsidR="00F422C4">
        <w:rPr>
          <w:rStyle w:val="References"/>
        </w:rPr>
        <w:t xml:space="preserve"> 13</w:t>
      </w:r>
      <w:r w:rsidR="00AF4A9E">
        <w:rPr>
          <w:rStyle w:val="References"/>
        </w:rPr>
        <w:t>8</w:t>
      </w:r>
      <w:r w:rsidR="00F422C4" w:rsidRPr="00F422C4">
        <w:rPr>
          <w:rStyle w:val="References"/>
        </w:rPr>
        <w:t xml:space="preserve">] </w:t>
      </w:r>
    </w:p>
    <w:p w14:paraId="4EAE978A" w14:textId="12DD4961" w:rsidR="00B77D03" w:rsidRDefault="00F422C4" w:rsidP="00A40C21">
      <w:pPr>
        <w:pStyle w:val="Normalparatextwithnumbers"/>
      </w:pPr>
      <w:r>
        <w:t xml:space="preserve">A transitional provision ensures that variations or revocations of certain FHSSS applications that occurred before the commencement of the amendments continue to be in force. </w:t>
      </w:r>
      <w:r>
        <w:br/>
      </w:r>
      <w:r w:rsidRPr="00F422C4">
        <w:rPr>
          <w:rStyle w:val="References"/>
        </w:rPr>
        <w:t xml:space="preserve">[Schedule </w:t>
      </w:r>
      <w:r>
        <w:rPr>
          <w:rStyle w:val="References"/>
        </w:rPr>
        <w:t>1</w:t>
      </w:r>
      <w:r w:rsidRPr="00F422C4">
        <w:rPr>
          <w:rStyle w:val="References"/>
        </w:rPr>
        <w:t>, item</w:t>
      </w:r>
      <w:r>
        <w:rPr>
          <w:rStyle w:val="References"/>
        </w:rPr>
        <w:t xml:space="preserve"> 1</w:t>
      </w:r>
      <w:r w:rsidR="00AF4A9E">
        <w:rPr>
          <w:rStyle w:val="References"/>
        </w:rPr>
        <w:t>39</w:t>
      </w:r>
      <w:r w:rsidRPr="00F422C4">
        <w:rPr>
          <w:rStyle w:val="References"/>
        </w:rPr>
        <w:t xml:space="preserve">] </w:t>
      </w:r>
      <w:r w:rsidR="000B3A6A" w:rsidRPr="000B3A6A">
        <w:rPr>
          <w:rStyle w:val="References"/>
        </w:rPr>
        <w:t xml:space="preserve"> </w:t>
      </w:r>
      <w:bookmarkEnd w:id="5"/>
    </w:p>
    <w:sectPr w:rsidR="00B77D03" w:rsidSect="00000BFC">
      <w:headerReference w:type="even" r:id="rId18"/>
      <w:headerReference w:type="default" r:id="rId19"/>
      <w:headerReference w:type="first" r:id="rId20"/>
      <w:type w:val="oddPage"/>
      <w:pgSz w:w="9979" w:h="14175"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51BC5" w14:textId="77777777" w:rsidR="005B2768" w:rsidRDefault="005B2768">
      <w:pPr>
        <w:spacing w:before="0" w:after="0"/>
      </w:pPr>
      <w:r>
        <w:separator/>
      </w:r>
    </w:p>
  </w:endnote>
  <w:endnote w:type="continuationSeparator" w:id="0">
    <w:p w14:paraId="746545BE" w14:textId="77777777" w:rsidR="005B2768" w:rsidRDefault="005B2768">
      <w:pPr>
        <w:spacing w:before="0" w:after="0"/>
      </w:pPr>
      <w:r>
        <w:continuationSeparator/>
      </w:r>
    </w:p>
  </w:endnote>
  <w:endnote w:type="continuationNotice" w:id="1">
    <w:p w14:paraId="43CA223B" w14:textId="77777777" w:rsidR="005B2768" w:rsidRDefault="005B276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itica">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89862" w14:textId="77777777" w:rsidR="007A2DBD" w:rsidRDefault="007A2DBD" w:rsidP="002425D9">
    <w:pPr>
      <w:pStyle w:val="Footer"/>
      <w:ind w:right="360" w:firstLine="360"/>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5665B" w14:textId="77777777" w:rsidR="007A2DBD" w:rsidRPr="004D61CF" w:rsidRDefault="007A2DBD" w:rsidP="002425D9">
    <w:pPr>
      <w:pStyle w:val="right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6E96A" w14:textId="77777777" w:rsidR="007A2DBD" w:rsidRPr="00091474" w:rsidRDefault="007A2DBD" w:rsidP="00E0261D">
    <w:pPr>
      <w:pStyle w:val="rightfoo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4A1EF" w14:textId="77777777" w:rsidR="005B2768" w:rsidRDefault="005B2768">
      <w:pPr>
        <w:spacing w:before="0" w:after="0"/>
      </w:pPr>
      <w:r>
        <w:separator/>
      </w:r>
    </w:p>
  </w:footnote>
  <w:footnote w:type="continuationSeparator" w:id="0">
    <w:p w14:paraId="6D528622" w14:textId="77777777" w:rsidR="005B2768" w:rsidRDefault="005B2768">
      <w:pPr>
        <w:spacing w:before="0" w:after="0"/>
      </w:pPr>
      <w:r>
        <w:continuationSeparator/>
      </w:r>
    </w:p>
  </w:footnote>
  <w:footnote w:type="continuationNotice" w:id="1">
    <w:p w14:paraId="5CF567A5" w14:textId="77777777" w:rsidR="005B2768" w:rsidRDefault="005B2768">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1182601"/>
      <w:docPartObj>
        <w:docPartGallery w:val="Watermarks"/>
      </w:docPartObj>
    </w:sdtPr>
    <w:sdtEndPr/>
    <w:sdtContent>
      <w:p w14:paraId="3E9673C0" w14:textId="77777777" w:rsidR="007A2DBD" w:rsidRDefault="00B6074F">
        <w:pPr>
          <w:pStyle w:val="Header"/>
        </w:pPr>
        <w:r>
          <w:rPr>
            <w:noProof/>
          </w:rPr>
          <w:pict w14:anchorId="39B4C9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B2456" w14:textId="77777777" w:rsidR="007A2DBD" w:rsidRDefault="007A2DBD" w:rsidP="00622763">
    <w:pPr>
      <w:pStyle w:val="right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0F153" w14:textId="77777777" w:rsidR="007A2DBD" w:rsidRPr="009106AC" w:rsidRDefault="007A2DBD" w:rsidP="002425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549E7" w14:textId="679C0461" w:rsidR="007A2DBD" w:rsidRPr="0070093E" w:rsidRDefault="007A2DBD" w:rsidP="002425D9">
    <w:pPr>
      <w:pStyle w:val="rightheader"/>
      <w:ind w:firstLine="720"/>
      <w:rPr>
        <w:lang w:val="en-US"/>
      </w:rPr>
    </w:pPr>
    <w:r>
      <w:rPr>
        <w:lang w:val="en-US"/>
      </w:rPr>
      <w:t>(</w:t>
    </w:r>
    <w:r>
      <w:rPr>
        <w:lang w:val="en-US"/>
      </w:rPr>
      <w:fldChar w:fldCharType="begin"/>
    </w:r>
    <w:r>
      <w:rPr>
        <w:lang w:val="en-US"/>
      </w:rPr>
      <w:instrText xml:space="preserve"> STYLEREF  ChapterNameOnly  \* MERGEFORMAT </w:instrText>
    </w:r>
    <w:r>
      <w:rPr>
        <w:lang w:val="en-US"/>
      </w:rPr>
      <w:fldChar w:fldCharType="separate"/>
    </w:r>
    <w:r w:rsidR="006A7DE3">
      <w:rPr>
        <w:b/>
        <w:bCs/>
        <w:noProof/>
        <w:lang w:val="en-US"/>
      </w:rPr>
      <w:t>Error! Use the Home tab to apply ChapterNameOnly to the text that you want to appear here.</w:t>
    </w:r>
    <w:r>
      <w:rPr>
        <w:lang w:val="en-U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BBEF3" w14:textId="77777777" w:rsidR="007A2DBD" w:rsidRDefault="007A2DB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40F0A" w14:textId="57D313C2" w:rsidR="007A2DBD" w:rsidRPr="00816825" w:rsidRDefault="00B6074F" w:rsidP="002425D9">
    <w:pPr>
      <w:pStyle w:val="leftheader"/>
    </w:pPr>
    <w:r>
      <w:fldChar w:fldCharType="begin"/>
    </w:r>
    <w:r>
      <w:instrText xml:space="preserve"> STYLEREF  "Heading 1"  \* MERGEFORMAT </w:instrText>
    </w:r>
    <w:r>
      <w:fldChar w:fldCharType="separate"/>
    </w:r>
    <w:r>
      <w:rPr>
        <w:noProof/>
      </w:rPr>
      <w:t>Glossary</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5EE4D" w14:textId="77777777" w:rsidR="007A2DBD" w:rsidRPr="00091474" w:rsidRDefault="007A2DBD" w:rsidP="002425D9">
    <w:pPr>
      <w:pStyle w:val="right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59601" w14:textId="77777777" w:rsidR="007A2DBD" w:rsidRDefault="007A2DB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80E88" w14:textId="03D02854" w:rsidR="007A2DBD" w:rsidRPr="00E0261D" w:rsidRDefault="00B6074F" w:rsidP="00E0261D">
    <w:pPr>
      <w:pStyle w:val="leftheader"/>
    </w:pPr>
    <w:r>
      <w:fldChar w:fldCharType="begin"/>
    </w:r>
    <w:r>
      <w:instrText xml:space="preserve"> STYLEREF "Chapter heading" \* MERGEFORMAT </w:instrText>
    </w:r>
    <w:r>
      <w:fldChar w:fldCharType="separate"/>
    </w:r>
    <w:r>
      <w:rPr>
        <w:noProof/>
      </w:rPr>
      <w:t>Miscellaneous and technical amendments</w:t>
    </w:r>
    <w:r>
      <w:rPr>
        <w:noProof/>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2C75A" w14:textId="304ADDB7" w:rsidR="007A2DBD" w:rsidRPr="00A74B1A" w:rsidRDefault="00B6074F" w:rsidP="00A74B1A">
    <w:pPr>
      <w:pStyle w:val="rightheader"/>
    </w:pPr>
    <w:r>
      <w:fldChar w:fldCharType="begin"/>
    </w:r>
    <w:r>
      <w:instrText xml:space="preserve"> STYLEREF "Bill Name" \* MERGEFORMAT </w:instrText>
    </w:r>
    <w:r>
      <w:fldChar w:fldCharType="separate"/>
    </w:r>
    <w:r>
      <w:rPr>
        <w:noProof/>
      </w:rPr>
      <w:t>Treasury Laws Amendment (Miscellaneous and Technical Amendments) Bill 2022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543A0"/>
    <w:multiLevelType w:val="multilevel"/>
    <w:tmpl w:val="4F888F1E"/>
    <w:lvl w:ilvl="0">
      <w:start w:val="1"/>
      <w:numFmt w:val="decimal"/>
      <w:pStyle w:val="AttachmentHeading"/>
      <w:lvlText w:val="Attachmen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0676E74"/>
    <w:multiLevelType w:val="hybridMultilevel"/>
    <w:tmpl w:val="5A7CC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5A91E88"/>
    <w:multiLevelType w:val="hybridMultilevel"/>
    <w:tmpl w:val="1DE8CBA4"/>
    <w:lvl w:ilvl="0" w:tplc="D84EA11C">
      <w:start w:val="1"/>
      <w:numFmt w:val="bullet"/>
      <w:pStyle w:val="RISbullet2"/>
      <w:lvlText w:val="‒"/>
      <w:lvlJc w:val="left"/>
      <w:pPr>
        <w:ind w:left="1571" w:hanging="360"/>
      </w:pPr>
      <w:rPr>
        <w:rFonts w:ascii="Times New Roman" w:hAnsi="Times New Roman" w:cs="Times New Roman" w:hint="default"/>
        <w:b w:val="0"/>
        <w:i w:val="0"/>
        <w:sz w:val="22"/>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3" w15:restartNumberingAfterBreak="0">
    <w:nsid w:val="1F220F57"/>
    <w:multiLevelType w:val="hybridMultilevel"/>
    <w:tmpl w:val="58564F8C"/>
    <w:lvl w:ilvl="0" w:tplc="0C090001">
      <w:start w:val="1"/>
      <w:numFmt w:val="bullet"/>
      <w:lvlText w:val=""/>
      <w:lvlJc w:val="left"/>
      <w:pPr>
        <w:ind w:left="1480" w:hanging="360"/>
      </w:pPr>
      <w:rPr>
        <w:rFonts w:ascii="Symbol" w:hAnsi="Symbol" w:hint="default"/>
      </w:rPr>
    </w:lvl>
    <w:lvl w:ilvl="1" w:tplc="0C090003" w:tentative="1">
      <w:start w:val="1"/>
      <w:numFmt w:val="bullet"/>
      <w:lvlText w:val="o"/>
      <w:lvlJc w:val="left"/>
      <w:pPr>
        <w:ind w:left="2200" w:hanging="360"/>
      </w:pPr>
      <w:rPr>
        <w:rFonts w:ascii="Courier New" w:hAnsi="Courier New" w:cs="Courier New" w:hint="default"/>
      </w:rPr>
    </w:lvl>
    <w:lvl w:ilvl="2" w:tplc="0C090005" w:tentative="1">
      <w:start w:val="1"/>
      <w:numFmt w:val="bullet"/>
      <w:lvlText w:val=""/>
      <w:lvlJc w:val="left"/>
      <w:pPr>
        <w:ind w:left="2920" w:hanging="360"/>
      </w:pPr>
      <w:rPr>
        <w:rFonts w:ascii="Wingdings" w:hAnsi="Wingdings" w:hint="default"/>
      </w:rPr>
    </w:lvl>
    <w:lvl w:ilvl="3" w:tplc="0C090001" w:tentative="1">
      <w:start w:val="1"/>
      <w:numFmt w:val="bullet"/>
      <w:lvlText w:val=""/>
      <w:lvlJc w:val="left"/>
      <w:pPr>
        <w:ind w:left="3640" w:hanging="360"/>
      </w:pPr>
      <w:rPr>
        <w:rFonts w:ascii="Symbol" w:hAnsi="Symbol" w:hint="default"/>
      </w:rPr>
    </w:lvl>
    <w:lvl w:ilvl="4" w:tplc="0C090003" w:tentative="1">
      <w:start w:val="1"/>
      <w:numFmt w:val="bullet"/>
      <w:lvlText w:val="o"/>
      <w:lvlJc w:val="left"/>
      <w:pPr>
        <w:ind w:left="4360" w:hanging="360"/>
      </w:pPr>
      <w:rPr>
        <w:rFonts w:ascii="Courier New" w:hAnsi="Courier New" w:cs="Courier New" w:hint="default"/>
      </w:rPr>
    </w:lvl>
    <w:lvl w:ilvl="5" w:tplc="0C090005" w:tentative="1">
      <w:start w:val="1"/>
      <w:numFmt w:val="bullet"/>
      <w:lvlText w:val=""/>
      <w:lvlJc w:val="left"/>
      <w:pPr>
        <w:ind w:left="5080" w:hanging="360"/>
      </w:pPr>
      <w:rPr>
        <w:rFonts w:ascii="Wingdings" w:hAnsi="Wingdings" w:hint="default"/>
      </w:rPr>
    </w:lvl>
    <w:lvl w:ilvl="6" w:tplc="0C090001" w:tentative="1">
      <w:start w:val="1"/>
      <w:numFmt w:val="bullet"/>
      <w:lvlText w:val=""/>
      <w:lvlJc w:val="left"/>
      <w:pPr>
        <w:ind w:left="5800" w:hanging="360"/>
      </w:pPr>
      <w:rPr>
        <w:rFonts w:ascii="Symbol" w:hAnsi="Symbol" w:hint="default"/>
      </w:rPr>
    </w:lvl>
    <w:lvl w:ilvl="7" w:tplc="0C090003" w:tentative="1">
      <w:start w:val="1"/>
      <w:numFmt w:val="bullet"/>
      <w:lvlText w:val="o"/>
      <w:lvlJc w:val="left"/>
      <w:pPr>
        <w:ind w:left="6520" w:hanging="360"/>
      </w:pPr>
      <w:rPr>
        <w:rFonts w:ascii="Courier New" w:hAnsi="Courier New" w:cs="Courier New" w:hint="default"/>
      </w:rPr>
    </w:lvl>
    <w:lvl w:ilvl="8" w:tplc="0C090005" w:tentative="1">
      <w:start w:val="1"/>
      <w:numFmt w:val="bullet"/>
      <w:lvlText w:val=""/>
      <w:lvlJc w:val="left"/>
      <w:pPr>
        <w:ind w:left="7240" w:hanging="360"/>
      </w:pPr>
      <w:rPr>
        <w:rFonts w:ascii="Wingdings" w:hAnsi="Wingdings" w:hint="default"/>
      </w:rPr>
    </w:lvl>
  </w:abstractNum>
  <w:abstractNum w:abstractNumId="4" w15:restartNumberingAfterBreak="0">
    <w:nsid w:val="29170CA0"/>
    <w:multiLevelType w:val="multilevel"/>
    <w:tmpl w:val="049421C8"/>
    <w:styleLink w:val="Chapternumbering"/>
    <w:lvl w:ilvl="0">
      <w:start w:val="1"/>
      <w:numFmt w:val="decimal"/>
      <w:pStyle w:val="Chapterheading"/>
      <w:lvlText w:val="Chapter %1:"/>
      <w:lvlJc w:val="left"/>
      <w:pPr>
        <w:tabs>
          <w:tab w:val="num" w:pos="2977"/>
        </w:tabs>
        <w:ind w:left="0" w:firstLine="0"/>
      </w:pPr>
      <w:rPr>
        <w:rFonts w:ascii="Helvitica" w:hAnsi="Helvitica" w:hint="default"/>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ormalparatextwithnumbers"/>
      <w:lvlText w:val="%1.%2"/>
      <w:lvlJc w:val="left"/>
      <w:pPr>
        <w:tabs>
          <w:tab w:val="num" w:pos="709"/>
        </w:tabs>
        <w:ind w:left="709" w:hanging="709"/>
      </w:pPr>
      <w:rPr>
        <w:rFonts w:hint="default"/>
      </w:rPr>
    </w:lvl>
    <w:lvl w:ilvl="2">
      <w:start w:val="1"/>
      <w:numFmt w:val="decimal"/>
      <w:lvlRestart w:val="1"/>
      <w:pStyle w:val="DiagramHeading"/>
      <w:suff w:val="space"/>
      <w:lvlText w:val="Diagram %1.%3"/>
      <w:lvlJc w:val="left"/>
      <w:pPr>
        <w:ind w:left="1701" w:hanging="1701"/>
      </w:pPr>
      <w:rPr>
        <w:rFonts w:hint="default"/>
      </w:rPr>
    </w:lvl>
    <w:lvl w:ilvl="3">
      <w:start w:val="1"/>
      <w:numFmt w:val="decimal"/>
      <w:lvlRestart w:val="1"/>
      <w:pStyle w:val="ExampleHeading"/>
      <w:suff w:val="space"/>
      <w:lvlText w:val="Example %1.%4"/>
      <w:lvlJc w:val="left"/>
      <w:pPr>
        <w:ind w:left="1701" w:hanging="1701"/>
      </w:pPr>
      <w:rPr>
        <w:rFonts w:hint="default"/>
      </w:rPr>
    </w:lvl>
    <w:lvl w:ilvl="4">
      <w:start w:val="1"/>
      <w:numFmt w:val="decimal"/>
      <w:lvlRestart w:val="1"/>
      <w:pStyle w:val="TableHeading"/>
      <w:suff w:val="space"/>
      <w:lvlText w:val="Table %1.%5"/>
      <w:lvlJc w:val="left"/>
      <w:pPr>
        <w:ind w:left="1701" w:hanging="1701"/>
      </w:pPr>
      <w:rPr>
        <w:rFonts w:hint="default"/>
      </w:rPr>
    </w:lvl>
    <w:lvl w:ilvl="5">
      <w:start w:val="1"/>
      <w:numFmt w:val="none"/>
      <w:lvlRestart w:val="0"/>
      <w:suff w:val="nothing"/>
      <w:lvlText w:val=""/>
      <w:lvlJc w:val="left"/>
      <w:pPr>
        <w:ind w:left="0" w:firstLine="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CA3333A"/>
    <w:multiLevelType w:val="hybridMultilevel"/>
    <w:tmpl w:val="E3A8523C"/>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6" w15:restartNumberingAfterBreak="0">
    <w:nsid w:val="2D2B7E2A"/>
    <w:multiLevelType w:val="hybridMultilevel"/>
    <w:tmpl w:val="BBD8CBD2"/>
    <w:lvl w:ilvl="0" w:tplc="F154CDD8">
      <w:start w:val="1"/>
      <w:numFmt w:val="bullet"/>
      <w:pStyle w:val="Dotpoin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15A0D00"/>
    <w:multiLevelType w:val="hybridMultilevel"/>
    <w:tmpl w:val="EFEE3910"/>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8" w15:restartNumberingAfterBreak="0">
    <w:nsid w:val="317E75C1"/>
    <w:multiLevelType w:val="hybridMultilevel"/>
    <w:tmpl w:val="80001A6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9" w15:restartNumberingAfterBreak="0">
    <w:nsid w:val="36AC1B8C"/>
    <w:multiLevelType w:val="hybridMultilevel"/>
    <w:tmpl w:val="1D9E888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0" w15:restartNumberingAfterBreak="0">
    <w:nsid w:val="3B9F0639"/>
    <w:multiLevelType w:val="hybridMultilevel"/>
    <w:tmpl w:val="DD50EDC8"/>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1" w15:restartNumberingAfterBreak="0">
    <w:nsid w:val="43832D47"/>
    <w:multiLevelType w:val="hybridMultilevel"/>
    <w:tmpl w:val="6F7A201E"/>
    <w:lvl w:ilvl="0" w:tplc="6440602C">
      <w:start w:val="1"/>
      <w:numFmt w:val="bullet"/>
      <w:pStyle w:val="Exampledotpoint2"/>
      <w:lvlText w:val="‒"/>
      <w:lvlJc w:val="left"/>
      <w:pPr>
        <w:ind w:left="1928" w:hanging="360"/>
      </w:pPr>
      <w:rPr>
        <w:rFonts w:ascii="Times New Roman" w:hAnsi="Times New Roman" w:cs="Times New Roman" w:hint="default"/>
        <w:b w:val="0"/>
        <w:i w:val="0"/>
        <w:sz w:val="22"/>
      </w:rPr>
    </w:lvl>
    <w:lvl w:ilvl="1" w:tplc="0C090003" w:tentative="1">
      <w:start w:val="1"/>
      <w:numFmt w:val="bullet"/>
      <w:lvlText w:val="o"/>
      <w:lvlJc w:val="left"/>
      <w:pPr>
        <w:ind w:left="2648" w:hanging="360"/>
      </w:pPr>
      <w:rPr>
        <w:rFonts w:ascii="Courier New" w:hAnsi="Courier New" w:cs="Courier New" w:hint="default"/>
      </w:rPr>
    </w:lvl>
    <w:lvl w:ilvl="2" w:tplc="0C090005" w:tentative="1">
      <w:start w:val="1"/>
      <w:numFmt w:val="bullet"/>
      <w:lvlText w:val=""/>
      <w:lvlJc w:val="left"/>
      <w:pPr>
        <w:ind w:left="3368" w:hanging="360"/>
      </w:pPr>
      <w:rPr>
        <w:rFonts w:ascii="Wingdings" w:hAnsi="Wingdings" w:hint="default"/>
      </w:rPr>
    </w:lvl>
    <w:lvl w:ilvl="3" w:tplc="0C090001" w:tentative="1">
      <w:start w:val="1"/>
      <w:numFmt w:val="bullet"/>
      <w:lvlText w:val=""/>
      <w:lvlJc w:val="left"/>
      <w:pPr>
        <w:ind w:left="4088" w:hanging="360"/>
      </w:pPr>
      <w:rPr>
        <w:rFonts w:ascii="Symbol" w:hAnsi="Symbol" w:hint="default"/>
      </w:rPr>
    </w:lvl>
    <w:lvl w:ilvl="4" w:tplc="0C090003" w:tentative="1">
      <w:start w:val="1"/>
      <w:numFmt w:val="bullet"/>
      <w:lvlText w:val="o"/>
      <w:lvlJc w:val="left"/>
      <w:pPr>
        <w:ind w:left="4808" w:hanging="360"/>
      </w:pPr>
      <w:rPr>
        <w:rFonts w:ascii="Courier New" w:hAnsi="Courier New" w:cs="Courier New" w:hint="default"/>
      </w:rPr>
    </w:lvl>
    <w:lvl w:ilvl="5" w:tplc="0C090005" w:tentative="1">
      <w:start w:val="1"/>
      <w:numFmt w:val="bullet"/>
      <w:lvlText w:val=""/>
      <w:lvlJc w:val="left"/>
      <w:pPr>
        <w:ind w:left="5528" w:hanging="360"/>
      </w:pPr>
      <w:rPr>
        <w:rFonts w:ascii="Wingdings" w:hAnsi="Wingdings" w:hint="default"/>
      </w:rPr>
    </w:lvl>
    <w:lvl w:ilvl="6" w:tplc="0C090001" w:tentative="1">
      <w:start w:val="1"/>
      <w:numFmt w:val="bullet"/>
      <w:lvlText w:val=""/>
      <w:lvlJc w:val="left"/>
      <w:pPr>
        <w:ind w:left="6248" w:hanging="360"/>
      </w:pPr>
      <w:rPr>
        <w:rFonts w:ascii="Symbol" w:hAnsi="Symbol" w:hint="default"/>
      </w:rPr>
    </w:lvl>
    <w:lvl w:ilvl="7" w:tplc="0C090003" w:tentative="1">
      <w:start w:val="1"/>
      <w:numFmt w:val="bullet"/>
      <w:lvlText w:val="o"/>
      <w:lvlJc w:val="left"/>
      <w:pPr>
        <w:ind w:left="6968" w:hanging="360"/>
      </w:pPr>
      <w:rPr>
        <w:rFonts w:ascii="Courier New" w:hAnsi="Courier New" w:cs="Courier New" w:hint="default"/>
      </w:rPr>
    </w:lvl>
    <w:lvl w:ilvl="8" w:tplc="0C090005" w:tentative="1">
      <w:start w:val="1"/>
      <w:numFmt w:val="bullet"/>
      <w:lvlText w:val=""/>
      <w:lvlJc w:val="left"/>
      <w:pPr>
        <w:ind w:left="7688" w:hanging="360"/>
      </w:pPr>
      <w:rPr>
        <w:rFonts w:ascii="Wingdings" w:hAnsi="Wingdings" w:hint="default"/>
      </w:rPr>
    </w:lvl>
  </w:abstractNum>
  <w:abstractNum w:abstractNumId="12" w15:restartNumberingAfterBreak="0">
    <w:nsid w:val="4E48548F"/>
    <w:multiLevelType w:val="hybridMultilevel"/>
    <w:tmpl w:val="93C42F40"/>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3" w15:restartNumberingAfterBreak="0">
    <w:nsid w:val="5D393011"/>
    <w:multiLevelType w:val="hybridMultilevel"/>
    <w:tmpl w:val="11FA1D2A"/>
    <w:lvl w:ilvl="0" w:tplc="35E2AAE4">
      <w:start w:val="1"/>
      <w:numFmt w:val="bullet"/>
      <w:pStyle w:val="Exampledotpoin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DE3293"/>
    <w:multiLevelType w:val="hybridMultilevel"/>
    <w:tmpl w:val="DACEC83A"/>
    <w:lvl w:ilvl="0" w:tplc="055A8A32">
      <w:start w:val="1"/>
      <w:numFmt w:val="bullet"/>
      <w:pStyle w:val="Tabledotpoint1"/>
      <w:lvlText w:val=""/>
      <w:lvlJc w:val="left"/>
      <w:pPr>
        <w:ind w:left="1288" w:hanging="360"/>
      </w:pPr>
      <w:rPr>
        <w:rFonts w:ascii="Symbol" w:hAnsi="Symbol" w:hint="default"/>
      </w:rPr>
    </w:lvl>
    <w:lvl w:ilvl="1" w:tplc="0C090003" w:tentative="1">
      <w:start w:val="1"/>
      <w:numFmt w:val="bullet"/>
      <w:lvlText w:val="o"/>
      <w:lvlJc w:val="left"/>
      <w:pPr>
        <w:ind w:left="2008" w:hanging="360"/>
      </w:pPr>
      <w:rPr>
        <w:rFonts w:ascii="Courier New" w:hAnsi="Courier New" w:cs="Courier New"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15" w15:restartNumberingAfterBreak="0">
    <w:nsid w:val="60490B74"/>
    <w:multiLevelType w:val="hybridMultilevel"/>
    <w:tmpl w:val="EC7866F8"/>
    <w:lvl w:ilvl="0" w:tplc="A588DE40">
      <w:start w:val="1"/>
      <w:numFmt w:val="bullet"/>
      <w:pStyle w:val="Instructionalguidancedotpoin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2F6F56"/>
    <w:multiLevelType w:val="hybridMultilevel"/>
    <w:tmpl w:val="30EC41EC"/>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7" w15:restartNumberingAfterBreak="0">
    <w:nsid w:val="6CE97FDF"/>
    <w:multiLevelType w:val="hybridMultilevel"/>
    <w:tmpl w:val="543E5738"/>
    <w:lvl w:ilvl="0" w:tplc="0AFCCC26">
      <w:start w:val="1"/>
      <w:numFmt w:val="decimal"/>
      <w:pStyle w:val="Instructionalguidancenumbered"/>
      <w:lvlText w:val="%1."/>
      <w:lvlJc w:val="left"/>
      <w:pPr>
        <w:ind w:left="108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5AD447B"/>
    <w:multiLevelType w:val="hybridMultilevel"/>
    <w:tmpl w:val="D18C99DE"/>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9" w15:restartNumberingAfterBreak="0">
    <w:nsid w:val="7A80645C"/>
    <w:multiLevelType w:val="multilevel"/>
    <w:tmpl w:val="51D49B14"/>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0" w15:restartNumberingAfterBreak="0">
    <w:nsid w:val="7AF255FB"/>
    <w:multiLevelType w:val="hybridMultilevel"/>
    <w:tmpl w:val="954AB974"/>
    <w:lvl w:ilvl="0" w:tplc="088E8732">
      <w:start w:val="1"/>
      <w:numFmt w:val="bullet"/>
      <w:pStyle w:val="Tabledotpoint2"/>
      <w:lvlText w:val="‒"/>
      <w:lvlJc w:val="left"/>
      <w:pPr>
        <w:ind w:left="786" w:hanging="360"/>
      </w:pPr>
      <w:rPr>
        <w:rFonts w:ascii="Times New Roman" w:hAnsi="Times New Roman" w:cs="Times New Roman" w:hint="default"/>
        <w:b w:val="0"/>
        <w:i w:val="0"/>
        <w:sz w:val="22"/>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21" w15:restartNumberingAfterBreak="0">
    <w:nsid w:val="7B891783"/>
    <w:multiLevelType w:val="hybridMultilevel"/>
    <w:tmpl w:val="0CCE9FEC"/>
    <w:lvl w:ilvl="0" w:tplc="0B52848A">
      <w:start w:val="1"/>
      <w:numFmt w:val="bullet"/>
      <w:pStyle w:val="Dotpoint2"/>
      <w:lvlText w:val="‒"/>
      <w:lvlJc w:val="left"/>
      <w:pPr>
        <w:ind w:left="720" w:hanging="360"/>
      </w:pPr>
      <w:rPr>
        <w:rFonts w:ascii="Times New Roman" w:hAnsi="Times New Roman" w:cs="Times New Roman" w:hint="default"/>
        <w:b w:val="0"/>
        <w:i w:val="0"/>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9"/>
  </w:num>
  <w:num w:numId="3">
    <w:abstractNumId w:val="4"/>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
    <w:abstractNumId w:val="4"/>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5">
    <w:abstractNumId w:val="4"/>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6">
    <w:abstractNumId w:val="4"/>
  </w:num>
  <w:num w:numId="7">
    <w:abstractNumId w:val="4"/>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8">
    <w:abstractNumId w:val="6"/>
  </w:num>
  <w:num w:numId="9">
    <w:abstractNumId w:val="21"/>
  </w:num>
  <w:num w:numId="10">
    <w:abstractNumId w:val="13"/>
  </w:num>
  <w:num w:numId="11">
    <w:abstractNumId w:val="11"/>
  </w:num>
  <w:num w:numId="12">
    <w:abstractNumId w:val="4"/>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3">
    <w:abstractNumId w:val="19"/>
  </w:num>
  <w:num w:numId="14">
    <w:abstractNumId w:val="15"/>
  </w:num>
  <w:num w:numId="15">
    <w:abstractNumId w:val="17"/>
  </w:num>
  <w:num w:numId="16">
    <w:abstractNumId w:val="4"/>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7">
    <w:abstractNumId w:val="6"/>
  </w:num>
  <w:num w:numId="18">
    <w:abstractNumId w:val="2"/>
  </w:num>
  <w:num w:numId="19">
    <w:abstractNumId w:val="14"/>
  </w:num>
  <w:num w:numId="20">
    <w:abstractNumId w:val="20"/>
  </w:num>
  <w:num w:numId="21">
    <w:abstractNumId w:val="19"/>
  </w:num>
  <w:num w:numId="22">
    <w:abstractNumId w:val="1"/>
  </w:num>
  <w:num w:numId="23">
    <w:abstractNumId w:val="7"/>
  </w:num>
  <w:num w:numId="24">
    <w:abstractNumId w:val="3"/>
  </w:num>
  <w:num w:numId="25">
    <w:abstractNumId w:val="12"/>
  </w:num>
  <w:num w:numId="26">
    <w:abstractNumId w:val="16"/>
  </w:num>
  <w:num w:numId="27">
    <w:abstractNumId w:val="18"/>
  </w:num>
  <w:num w:numId="28">
    <w:abstractNumId w:val="5"/>
  </w:num>
  <w:num w:numId="29">
    <w:abstractNumId w:val="10"/>
  </w:num>
  <w:num w:numId="30">
    <w:abstractNumId w:val="8"/>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720"/>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477"/>
    <w:rsid w:val="000005B2"/>
    <w:rsid w:val="00000BFC"/>
    <w:rsid w:val="000013E5"/>
    <w:rsid w:val="000035BD"/>
    <w:rsid w:val="00003FFB"/>
    <w:rsid w:val="00004637"/>
    <w:rsid w:val="000114B5"/>
    <w:rsid w:val="00017B8A"/>
    <w:rsid w:val="00021DAA"/>
    <w:rsid w:val="00023F48"/>
    <w:rsid w:val="0003032A"/>
    <w:rsid w:val="000320D4"/>
    <w:rsid w:val="000336CE"/>
    <w:rsid w:val="000344BD"/>
    <w:rsid w:val="000366EB"/>
    <w:rsid w:val="00040058"/>
    <w:rsid w:val="000406F5"/>
    <w:rsid w:val="00040BC9"/>
    <w:rsid w:val="00041570"/>
    <w:rsid w:val="00044892"/>
    <w:rsid w:val="00047FF2"/>
    <w:rsid w:val="00050B5E"/>
    <w:rsid w:val="0005384B"/>
    <w:rsid w:val="0006163C"/>
    <w:rsid w:val="00061815"/>
    <w:rsid w:val="0006257D"/>
    <w:rsid w:val="00062E8D"/>
    <w:rsid w:val="00065128"/>
    <w:rsid w:val="000719BF"/>
    <w:rsid w:val="00071ACB"/>
    <w:rsid w:val="0007235E"/>
    <w:rsid w:val="00073032"/>
    <w:rsid w:val="00073452"/>
    <w:rsid w:val="0007545F"/>
    <w:rsid w:val="0008579A"/>
    <w:rsid w:val="00087F47"/>
    <w:rsid w:val="00087FE9"/>
    <w:rsid w:val="00090A2C"/>
    <w:rsid w:val="000917F6"/>
    <w:rsid w:val="000924D1"/>
    <w:rsid w:val="000927D0"/>
    <w:rsid w:val="00096021"/>
    <w:rsid w:val="000962C2"/>
    <w:rsid w:val="000A1496"/>
    <w:rsid w:val="000A3230"/>
    <w:rsid w:val="000A5647"/>
    <w:rsid w:val="000A7B95"/>
    <w:rsid w:val="000B3A6A"/>
    <w:rsid w:val="000B6B3E"/>
    <w:rsid w:val="000B7897"/>
    <w:rsid w:val="000B7D6E"/>
    <w:rsid w:val="000C253B"/>
    <w:rsid w:val="000C4DEE"/>
    <w:rsid w:val="000D4CC3"/>
    <w:rsid w:val="000E097E"/>
    <w:rsid w:val="000E13AD"/>
    <w:rsid w:val="000E4D39"/>
    <w:rsid w:val="000E521B"/>
    <w:rsid w:val="000F004A"/>
    <w:rsid w:val="000F1940"/>
    <w:rsid w:val="000F1DF5"/>
    <w:rsid w:val="000F2F95"/>
    <w:rsid w:val="000F3E26"/>
    <w:rsid w:val="00105E85"/>
    <w:rsid w:val="00106FD4"/>
    <w:rsid w:val="00106FDC"/>
    <w:rsid w:val="00113C22"/>
    <w:rsid w:val="001142E2"/>
    <w:rsid w:val="00115509"/>
    <w:rsid w:val="001227A2"/>
    <w:rsid w:val="00124168"/>
    <w:rsid w:val="001254FF"/>
    <w:rsid w:val="001303E0"/>
    <w:rsid w:val="001354DD"/>
    <w:rsid w:val="001404C8"/>
    <w:rsid w:val="001414AE"/>
    <w:rsid w:val="00141701"/>
    <w:rsid w:val="00142B8E"/>
    <w:rsid w:val="00143BF2"/>
    <w:rsid w:val="00145374"/>
    <w:rsid w:val="0014666E"/>
    <w:rsid w:val="001470B9"/>
    <w:rsid w:val="00157FCF"/>
    <w:rsid w:val="0016272A"/>
    <w:rsid w:val="001630F4"/>
    <w:rsid w:val="00163457"/>
    <w:rsid w:val="0016401E"/>
    <w:rsid w:val="00165624"/>
    <w:rsid w:val="00170C78"/>
    <w:rsid w:val="00170D58"/>
    <w:rsid w:val="00173784"/>
    <w:rsid w:val="001741A2"/>
    <w:rsid w:val="001751F3"/>
    <w:rsid w:val="001775D2"/>
    <w:rsid w:val="001807D6"/>
    <w:rsid w:val="00180CED"/>
    <w:rsid w:val="00181CED"/>
    <w:rsid w:val="00183C4C"/>
    <w:rsid w:val="00192CC2"/>
    <w:rsid w:val="00195D1C"/>
    <w:rsid w:val="00196B86"/>
    <w:rsid w:val="001A0CB5"/>
    <w:rsid w:val="001B07FA"/>
    <w:rsid w:val="001B1306"/>
    <w:rsid w:val="001B2BE5"/>
    <w:rsid w:val="001B5CDE"/>
    <w:rsid w:val="001C586C"/>
    <w:rsid w:val="001C58A7"/>
    <w:rsid w:val="001C5CBF"/>
    <w:rsid w:val="001D119C"/>
    <w:rsid w:val="001D2384"/>
    <w:rsid w:val="001E01BF"/>
    <w:rsid w:val="001E0B18"/>
    <w:rsid w:val="001E3C25"/>
    <w:rsid w:val="001E49F0"/>
    <w:rsid w:val="001E4AEC"/>
    <w:rsid w:val="00201CDF"/>
    <w:rsid w:val="0021082E"/>
    <w:rsid w:val="0021164B"/>
    <w:rsid w:val="00213D36"/>
    <w:rsid w:val="00217D51"/>
    <w:rsid w:val="002207CE"/>
    <w:rsid w:val="002233D1"/>
    <w:rsid w:val="0022469E"/>
    <w:rsid w:val="00230C17"/>
    <w:rsid w:val="0023409D"/>
    <w:rsid w:val="002425D9"/>
    <w:rsid w:val="00242782"/>
    <w:rsid w:val="00242B2A"/>
    <w:rsid w:val="00244CEE"/>
    <w:rsid w:val="0024784F"/>
    <w:rsid w:val="002503BF"/>
    <w:rsid w:val="00250844"/>
    <w:rsid w:val="00253AF9"/>
    <w:rsid w:val="00256172"/>
    <w:rsid w:val="00260B8B"/>
    <w:rsid w:val="0026160B"/>
    <w:rsid w:val="002704BC"/>
    <w:rsid w:val="00273CB0"/>
    <w:rsid w:val="00274D5C"/>
    <w:rsid w:val="0027594B"/>
    <w:rsid w:val="00276753"/>
    <w:rsid w:val="00280FA9"/>
    <w:rsid w:val="00282F35"/>
    <w:rsid w:val="002830DE"/>
    <w:rsid w:val="002857E3"/>
    <w:rsid w:val="002872AB"/>
    <w:rsid w:val="00287ED4"/>
    <w:rsid w:val="002935AC"/>
    <w:rsid w:val="00293A97"/>
    <w:rsid w:val="00295554"/>
    <w:rsid w:val="00297081"/>
    <w:rsid w:val="002A2137"/>
    <w:rsid w:val="002A52E5"/>
    <w:rsid w:val="002B0B67"/>
    <w:rsid w:val="002B0EA2"/>
    <w:rsid w:val="002B13DC"/>
    <w:rsid w:val="002B1D9E"/>
    <w:rsid w:val="002B4CBB"/>
    <w:rsid w:val="002B623C"/>
    <w:rsid w:val="002B6F60"/>
    <w:rsid w:val="002B7F02"/>
    <w:rsid w:val="002C1389"/>
    <w:rsid w:val="002C1A05"/>
    <w:rsid w:val="002C257A"/>
    <w:rsid w:val="002C78D6"/>
    <w:rsid w:val="002C7B5D"/>
    <w:rsid w:val="002D080A"/>
    <w:rsid w:val="002D2AEB"/>
    <w:rsid w:val="002D388A"/>
    <w:rsid w:val="002E2BFB"/>
    <w:rsid w:val="002E61D4"/>
    <w:rsid w:val="002E775E"/>
    <w:rsid w:val="002F092E"/>
    <w:rsid w:val="002F11F6"/>
    <w:rsid w:val="002F1CB0"/>
    <w:rsid w:val="002F3244"/>
    <w:rsid w:val="002F37DC"/>
    <w:rsid w:val="002F4B60"/>
    <w:rsid w:val="002F5710"/>
    <w:rsid w:val="002F6853"/>
    <w:rsid w:val="002F6F27"/>
    <w:rsid w:val="00300E12"/>
    <w:rsid w:val="00304EAF"/>
    <w:rsid w:val="00312657"/>
    <w:rsid w:val="003139E7"/>
    <w:rsid w:val="00315D81"/>
    <w:rsid w:val="00315FED"/>
    <w:rsid w:val="0031694F"/>
    <w:rsid w:val="00322887"/>
    <w:rsid w:val="00322B3A"/>
    <w:rsid w:val="003265E0"/>
    <w:rsid w:val="00330054"/>
    <w:rsid w:val="00330ED7"/>
    <w:rsid w:val="00334C60"/>
    <w:rsid w:val="00334FFB"/>
    <w:rsid w:val="0033637B"/>
    <w:rsid w:val="00336535"/>
    <w:rsid w:val="003375F3"/>
    <w:rsid w:val="003408E0"/>
    <w:rsid w:val="00345FF7"/>
    <w:rsid w:val="00346BD6"/>
    <w:rsid w:val="00347A8C"/>
    <w:rsid w:val="00351274"/>
    <w:rsid w:val="00351B81"/>
    <w:rsid w:val="00351D4D"/>
    <w:rsid w:val="00352FA3"/>
    <w:rsid w:val="003544AC"/>
    <w:rsid w:val="003556BF"/>
    <w:rsid w:val="00363795"/>
    <w:rsid w:val="00363AEE"/>
    <w:rsid w:val="00364103"/>
    <w:rsid w:val="003671E1"/>
    <w:rsid w:val="0036790F"/>
    <w:rsid w:val="00377B50"/>
    <w:rsid w:val="00382F2B"/>
    <w:rsid w:val="00383D78"/>
    <w:rsid w:val="00386531"/>
    <w:rsid w:val="00387402"/>
    <w:rsid w:val="00390A6A"/>
    <w:rsid w:val="00390DDA"/>
    <w:rsid w:val="0039140A"/>
    <w:rsid w:val="0039391C"/>
    <w:rsid w:val="003955BA"/>
    <w:rsid w:val="00395F92"/>
    <w:rsid w:val="003971ED"/>
    <w:rsid w:val="003A0372"/>
    <w:rsid w:val="003A1FF2"/>
    <w:rsid w:val="003A1FF5"/>
    <w:rsid w:val="003B0581"/>
    <w:rsid w:val="003B06D8"/>
    <w:rsid w:val="003B5B0F"/>
    <w:rsid w:val="003B686F"/>
    <w:rsid w:val="003C28BB"/>
    <w:rsid w:val="003C7CCA"/>
    <w:rsid w:val="003E3213"/>
    <w:rsid w:val="003F1AD7"/>
    <w:rsid w:val="003F489E"/>
    <w:rsid w:val="003F5AE7"/>
    <w:rsid w:val="00405307"/>
    <w:rsid w:val="0040549B"/>
    <w:rsid w:val="0040608F"/>
    <w:rsid w:val="00407F7D"/>
    <w:rsid w:val="00414017"/>
    <w:rsid w:val="00423AC2"/>
    <w:rsid w:val="00425AD1"/>
    <w:rsid w:val="00427EDF"/>
    <w:rsid w:val="00430A32"/>
    <w:rsid w:val="004320ED"/>
    <w:rsid w:val="0043224B"/>
    <w:rsid w:val="00435AF8"/>
    <w:rsid w:val="00437C49"/>
    <w:rsid w:val="00437EC9"/>
    <w:rsid w:val="00437FC3"/>
    <w:rsid w:val="00446D30"/>
    <w:rsid w:val="00447448"/>
    <w:rsid w:val="004526A2"/>
    <w:rsid w:val="004603EF"/>
    <w:rsid w:val="00465CB3"/>
    <w:rsid w:val="00466B8D"/>
    <w:rsid w:val="00471D4B"/>
    <w:rsid w:val="00472DEB"/>
    <w:rsid w:val="00473209"/>
    <w:rsid w:val="00473CF9"/>
    <w:rsid w:val="0047577C"/>
    <w:rsid w:val="0047593B"/>
    <w:rsid w:val="00476832"/>
    <w:rsid w:val="00477C04"/>
    <w:rsid w:val="00482365"/>
    <w:rsid w:val="00485FD0"/>
    <w:rsid w:val="004873BD"/>
    <w:rsid w:val="00492729"/>
    <w:rsid w:val="00493F3A"/>
    <w:rsid w:val="00496642"/>
    <w:rsid w:val="00496907"/>
    <w:rsid w:val="00496C21"/>
    <w:rsid w:val="00496E0D"/>
    <w:rsid w:val="004971E2"/>
    <w:rsid w:val="00497E7D"/>
    <w:rsid w:val="004A0430"/>
    <w:rsid w:val="004A15AF"/>
    <w:rsid w:val="004A1E76"/>
    <w:rsid w:val="004A5E98"/>
    <w:rsid w:val="004B0B71"/>
    <w:rsid w:val="004B167B"/>
    <w:rsid w:val="004B1BF2"/>
    <w:rsid w:val="004B1C70"/>
    <w:rsid w:val="004B1F33"/>
    <w:rsid w:val="004B2CEA"/>
    <w:rsid w:val="004B69FD"/>
    <w:rsid w:val="004C1A67"/>
    <w:rsid w:val="004C1DB9"/>
    <w:rsid w:val="004D1169"/>
    <w:rsid w:val="004D37E6"/>
    <w:rsid w:val="004D511B"/>
    <w:rsid w:val="004D5F24"/>
    <w:rsid w:val="004D7538"/>
    <w:rsid w:val="004D79C2"/>
    <w:rsid w:val="004E294D"/>
    <w:rsid w:val="004E41D4"/>
    <w:rsid w:val="004E5F44"/>
    <w:rsid w:val="004E7C13"/>
    <w:rsid w:val="004F23C3"/>
    <w:rsid w:val="004F3A07"/>
    <w:rsid w:val="004F60C4"/>
    <w:rsid w:val="004F6132"/>
    <w:rsid w:val="004F7931"/>
    <w:rsid w:val="004F7C15"/>
    <w:rsid w:val="00505347"/>
    <w:rsid w:val="00505AA0"/>
    <w:rsid w:val="005066F5"/>
    <w:rsid w:val="00506929"/>
    <w:rsid w:val="0051078A"/>
    <w:rsid w:val="005119F1"/>
    <w:rsid w:val="0051247C"/>
    <w:rsid w:val="00513FB6"/>
    <w:rsid w:val="00516177"/>
    <w:rsid w:val="00517D6E"/>
    <w:rsid w:val="00520EB4"/>
    <w:rsid w:val="00523F12"/>
    <w:rsid w:val="00524852"/>
    <w:rsid w:val="005278F1"/>
    <w:rsid w:val="00527ADB"/>
    <w:rsid w:val="00531C67"/>
    <w:rsid w:val="005349BB"/>
    <w:rsid w:val="005356CB"/>
    <w:rsid w:val="005376B6"/>
    <w:rsid w:val="005444CB"/>
    <w:rsid w:val="00546DE2"/>
    <w:rsid w:val="005515C0"/>
    <w:rsid w:val="00552B88"/>
    <w:rsid w:val="00553B49"/>
    <w:rsid w:val="005547F1"/>
    <w:rsid w:val="005559C5"/>
    <w:rsid w:val="00557F95"/>
    <w:rsid w:val="0056571D"/>
    <w:rsid w:val="005666E8"/>
    <w:rsid w:val="0056675C"/>
    <w:rsid w:val="00574941"/>
    <w:rsid w:val="00574E4F"/>
    <w:rsid w:val="00576A04"/>
    <w:rsid w:val="005774E4"/>
    <w:rsid w:val="00582AE7"/>
    <w:rsid w:val="00586793"/>
    <w:rsid w:val="0059200B"/>
    <w:rsid w:val="00592FA3"/>
    <w:rsid w:val="00595328"/>
    <w:rsid w:val="00596560"/>
    <w:rsid w:val="00596629"/>
    <w:rsid w:val="005A2766"/>
    <w:rsid w:val="005A3AA3"/>
    <w:rsid w:val="005A3B59"/>
    <w:rsid w:val="005B1DC0"/>
    <w:rsid w:val="005B2768"/>
    <w:rsid w:val="005B515A"/>
    <w:rsid w:val="005B6545"/>
    <w:rsid w:val="005C0281"/>
    <w:rsid w:val="005C1C33"/>
    <w:rsid w:val="005C1F04"/>
    <w:rsid w:val="005C2BD1"/>
    <w:rsid w:val="005C38FC"/>
    <w:rsid w:val="005C6F5D"/>
    <w:rsid w:val="005D0844"/>
    <w:rsid w:val="005D169F"/>
    <w:rsid w:val="005D4919"/>
    <w:rsid w:val="005D5F12"/>
    <w:rsid w:val="005D635E"/>
    <w:rsid w:val="005E1542"/>
    <w:rsid w:val="005E17D5"/>
    <w:rsid w:val="005E3168"/>
    <w:rsid w:val="005E4633"/>
    <w:rsid w:val="005E4ED2"/>
    <w:rsid w:val="005F222C"/>
    <w:rsid w:val="005F24D2"/>
    <w:rsid w:val="006042C2"/>
    <w:rsid w:val="00604AC0"/>
    <w:rsid w:val="00611905"/>
    <w:rsid w:val="006120A8"/>
    <w:rsid w:val="00614E33"/>
    <w:rsid w:val="00620321"/>
    <w:rsid w:val="00622763"/>
    <w:rsid w:val="006235C8"/>
    <w:rsid w:val="0062431D"/>
    <w:rsid w:val="00624905"/>
    <w:rsid w:val="00626807"/>
    <w:rsid w:val="00630725"/>
    <w:rsid w:val="00632290"/>
    <w:rsid w:val="00634BD9"/>
    <w:rsid w:val="00636F76"/>
    <w:rsid w:val="00641748"/>
    <w:rsid w:val="00642420"/>
    <w:rsid w:val="00645031"/>
    <w:rsid w:val="006479AC"/>
    <w:rsid w:val="00653DAA"/>
    <w:rsid w:val="006579AB"/>
    <w:rsid w:val="00662130"/>
    <w:rsid w:val="00662A85"/>
    <w:rsid w:val="00662EAC"/>
    <w:rsid w:val="00665B77"/>
    <w:rsid w:val="00665F40"/>
    <w:rsid w:val="0066679B"/>
    <w:rsid w:val="00670F38"/>
    <w:rsid w:val="006726AD"/>
    <w:rsid w:val="00672B25"/>
    <w:rsid w:val="006730DD"/>
    <w:rsid w:val="00673996"/>
    <w:rsid w:val="006748F1"/>
    <w:rsid w:val="0067514E"/>
    <w:rsid w:val="00683847"/>
    <w:rsid w:val="006850E2"/>
    <w:rsid w:val="006867A1"/>
    <w:rsid w:val="00693C77"/>
    <w:rsid w:val="00694413"/>
    <w:rsid w:val="00694442"/>
    <w:rsid w:val="00695861"/>
    <w:rsid w:val="00697CD8"/>
    <w:rsid w:val="006A2BC6"/>
    <w:rsid w:val="006A4E5B"/>
    <w:rsid w:val="006A6555"/>
    <w:rsid w:val="006A7DE3"/>
    <w:rsid w:val="006B5054"/>
    <w:rsid w:val="006B5B75"/>
    <w:rsid w:val="006C192F"/>
    <w:rsid w:val="006C40A4"/>
    <w:rsid w:val="006D10C8"/>
    <w:rsid w:val="006D214E"/>
    <w:rsid w:val="006D2808"/>
    <w:rsid w:val="006D4306"/>
    <w:rsid w:val="006D7B9F"/>
    <w:rsid w:val="006E0237"/>
    <w:rsid w:val="006E42EB"/>
    <w:rsid w:val="006E51AC"/>
    <w:rsid w:val="006E51D9"/>
    <w:rsid w:val="006E699E"/>
    <w:rsid w:val="006E7211"/>
    <w:rsid w:val="006E7D30"/>
    <w:rsid w:val="006F4DC0"/>
    <w:rsid w:val="006F717F"/>
    <w:rsid w:val="0070223F"/>
    <w:rsid w:val="00702443"/>
    <w:rsid w:val="00711849"/>
    <w:rsid w:val="007145E8"/>
    <w:rsid w:val="007171D1"/>
    <w:rsid w:val="00717B67"/>
    <w:rsid w:val="007221B8"/>
    <w:rsid w:val="00724385"/>
    <w:rsid w:val="007302E5"/>
    <w:rsid w:val="007316F6"/>
    <w:rsid w:val="00731BE4"/>
    <w:rsid w:val="0073326A"/>
    <w:rsid w:val="00734238"/>
    <w:rsid w:val="00734C25"/>
    <w:rsid w:val="00741A85"/>
    <w:rsid w:val="007426A8"/>
    <w:rsid w:val="00742B5A"/>
    <w:rsid w:val="00745595"/>
    <w:rsid w:val="007479A1"/>
    <w:rsid w:val="00752137"/>
    <w:rsid w:val="00752190"/>
    <w:rsid w:val="00752E7F"/>
    <w:rsid w:val="00753A9F"/>
    <w:rsid w:val="00754AA6"/>
    <w:rsid w:val="00754E48"/>
    <w:rsid w:val="007603A5"/>
    <w:rsid w:val="0076247B"/>
    <w:rsid w:val="00763484"/>
    <w:rsid w:val="00766AE2"/>
    <w:rsid w:val="00766B37"/>
    <w:rsid w:val="00772A28"/>
    <w:rsid w:val="007737A8"/>
    <w:rsid w:val="00777A92"/>
    <w:rsid w:val="007850A3"/>
    <w:rsid w:val="007873F0"/>
    <w:rsid w:val="0078772E"/>
    <w:rsid w:val="00792819"/>
    <w:rsid w:val="00794021"/>
    <w:rsid w:val="007957AC"/>
    <w:rsid w:val="00796861"/>
    <w:rsid w:val="007A0916"/>
    <w:rsid w:val="007A2DBD"/>
    <w:rsid w:val="007A5110"/>
    <w:rsid w:val="007A56FE"/>
    <w:rsid w:val="007A59C6"/>
    <w:rsid w:val="007B0990"/>
    <w:rsid w:val="007B1509"/>
    <w:rsid w:val="007B56A9"/>
    <w:rsid w:val="007B6304"/>
    <w:rsid w:val="007C1F94"/>
    <w:rsid w:val="007C217F"/>
    <w:rsid w:val="007C6371"/>
    <w:rsid w:val="007C6826"/>
    <w:rsid w:val="007D0737"/>
    <w:rsid w:val="007D3EA3"/>
    <w:rsid w:val="007E08A0"/>
    <w:rsid w:val="007E1ED8"/>
    <w:rsid w:val="007E62B0"/>
    <w:rsid w:val="007E7BE2"/>
    <w:rsid w:val="007E7ECA"/>
    <w:rsid w:val="007F153B"/>
    <w:rsid w:val="007F1883"/>
    <w:rsid w:val="007F3B53"/>
    <w:rsid w:val="007F3F6A"/>
    <w:rsid w:val="007F4748"/>
    <w:rsid w:val="007F5A12"/>
    <w:rsid w:val="00806DC6"/>
    <w:rsid w:val="008111C7"/>
    <w:rsid w:val="008111CC"/>
    <w:rsid w:val="008132B7"/>
    <w:rsid w:val="0082284C"/>
    <w:rsid w:val="00826CF0"/>
    <w:rsid w:val="00827166"/>
    <w:rsid w:val="0083211B"/>
    <w:rsid w:val="0083566E"/>
    <w:rsid w:val="00840882"/>
    <w:rsid w:val="00846F67"/>
    <w:rsid w:val="008519D9"/>
    <w:rsid w:val="008527BE"/>
    <w:rsid w:val="00852A9B"/>
    <w:rsid w:val="008611BF"/>
    <w:rsid w:val="0086438D"/>
    <w:rsid w:val="008652C2"/>
    <w:rsid w:val="00865657"/>
    <w:rsid w:val="00870071"/>
    <w:rsid w:val="008720BC"/>
    <w:rsid w:val="00873094"/>
    <w:rsid w:val="008740F3"/>
    <w:rsid w:val="008774ED"/>
    <w:rsid w:val="00882571"/>
    <w:rsid w:val="00883A1C"/>
    <w:rsid w:val="00885341"/>
    <w:rsid w:val="0088697D"/>
    <w:rsid w:val="00887E0B"/>
    <w:rsid w:val="008961A5"/>
    <w:rsid w:val="008A2C1B"/>
    <w:rsid w:val="008A5A27"/>
    <w:rsid w:val="008A6BAC"/>
    <w:rsid w:val="008B3DEE"/>
    <w:rsid w:val="008C5717"/>
    <w:rsid w:val="008D0FC9"/>
    <w:rsid w:val="008D7006"/>
    <w:rsid w:val="008E3DC9"/>
    <w:rsid w:val="008F1D1E"/>
    <w:rsid w:val="008F386E"/>
    <w:rsid w:val="008F5656"/>
    <w:rsid w:val="008F65AF"/>
    <w:rsid w:val="00900E49"/>
    <w:rsid w:val="00901585"/>
    <w:rsid w:val="009025DC"/>
    <w:rsid w:val="009042AD"/>
    <w:rsid w:val="00907D3D"/>
    <w:rsid w:val="00907EB9"/>
    <w:rsid w:val="0091001B"/>
    <w:rsid w:val="009104AD"/>
    <w:rsid w:val="009178A3"/>
    <w:rsid w:val="00924BCC"/>
    <w:rsid w:val="009275EE"/>
    <w:rsid w:val="0093461F"/>
    <w:rsid w:val="00934E39"/>
    <w:rsid w:val="00935A1C"/>
    <w:rsid w:val="00940850"/>
    <w:rsid w:val="00941A37"/>
    <w:rsid w:val="009429DA"/>
    <w:rsid w:val="00945DEC"/>
    <w:rsid w:val="00954731"/>
    <w:rsid w:val="00964116"/>
    <w:rsid w:val="00964364"/>
    <w:rsid w:val="00966650"/>
    <w:rsid w:val="00966DFE"/>
    <w:rsid w:val="009673E0"/>
    <w:rsid w:val="00972713"/>
    <w:rsid w:val="00972A07"/>
    <w:rsid w:val="009732E4"/>
    <w:rsid w:val="0097448B"/>
    <w:rsid w:val="009747C3"/>
    <w:rsid w:val="00983C06"/>
    <w:rsid w:val="009879B3"/>
    <w:rsid w:val="009959C6"/>
    <w:rsid w:val="009965BB"/>
    <w:rsid w:val="0099691A"/>
    <w:rsid w:val="009A1A0F"/>
    <w:rsid w:val="009A3DC2"/>
    <w:rsid w:val="009A6D80"/>
    <w:rsid w:val="009B229D"/>
    <w:rsid w:val="009B5E0B"/>
    <w:rsid w:val="009B6352"/>
    <w:rsid w:val="009B78AA"/>
    <w:rsid w:val="009C3F25"/>
    <w:rsid w:val="009C55B7"/>
    <w:rsid w:val="009D095E"/>
    <w:rsid w:val="009D7E07"/>
    <w:rsid w:val="009E2EF0"/>
    <w:rsid w:val="009E4008"/>
    <w:rsid w:val="009E4717"/>
    <w:rsid w:val="009F3FA5"/>
    <w:rsid w:val="00A04BF2"/>
    <w:rsid w:val="00A07C8D"/>
    <w:rsid w:val="00A07F84"/>
    <w:rsid w:val="00A13BEA"/>
    <w:rsid w:val="00A16770"/>
    <w:rsid w:val="00A17C60"/>
    <w:rsid w:val="00A20BCD"/>
    <w:rsid w:val="00A26C75"/>
    <w:rsid w:val="00A278CB"/>
    <w:rsid w:val="00A312C3"/>
    <w:rsid w:val="00A33BC4"/>
    <w:rsid w:val="00A36591"/>
    <w:rsid w:val="00A40C21"/>
    <w:rsid w:val="00A444AF"/>
    <w:rsid w:val="00A44F16"/>
    <w:rsid w:val="00A50270"/>
    <w:rsid w:val="00A505CB"/>
    <w:rsid w:val="00A50FF1"/>
    <w:rsid w:val="00A538E6"/>
    <w:rsid w:val="00A55EF4"/>
    <w:rsid w:val="00A574A1"/>
    <w:rsid w:val="00A615A3"/>
    <w:rsid w:val="00A63A51"/>
    <w:rsid w:val="00A6528A"/>
    <w:rsid w:val="00A70F09"/>
    <w:rsid w:val="00A7111A"/>
    <w:rsid w:val="00A74B1A"/>
    <w:rsid w:val="00A76FEC"/>
    <w:rsid w:val="00A82713"/>
    <w:rsid w:val="00A82B42"/>
    <w:rsid w:val="00A855B9"/>
    <w:rsid w:val="00A85CDE"/>
    <w:rsid w:val="00A8783D"/>
    <w:rsid w:val="00A945B7"/>
    <w:rsid w:val="00A95840"/>
    <w:rsid w:val="00A9588A"/>
    <w:rsid w:val="00AA0CC7"/>
    <w:rsid w:val="00AA2654"/>
    <w:rsid w:val="00AA5A1B"/>
    <w:rsid w:val="00AA624F"/>
    <w:rsid w:val="00AA7611"/>
    <w:rsid w:val="00AB0E39"/>
    <w:rsid w:val="00AB4399"/>
    <w:rsid w:val="00AB7240"/>
    <w:rsid w:val="00AB7358"/>
    <w:rsid w:val="00AC0307"/>
    <w:rsid w:val="00AC09E1"/>
    <w:rsid w:val="00AC1D1E"/>
    <w:rsid w:val="00AC3AD8"/>
    <w:rsid w:val="00AC46C9"/>
    <w:rsid w:val="00AD34C1"/>
    <w:rsid w:val="00AD5988"/>
    <w:rsid w:val="00AD6CC4"/>
    <w:rsid w:val="00AE548C"/>
    <w:rsid w:val="00AF4A9E"/>
    <w:rsid w:val="00AF50CE"/>
    <w:rsid w:val="00AF59AB"/>
    <w:rsid w:val="00AF7CC4"/>
    <w:rsid w:val="00B00017"/>
    <w:rsid w:val="00B05381"/>
    <w:rsid w:val="00B06C7A"/>
    <w:rsid w:val="00B07271"/>
    <w:rsid w:val="00B24502"/>
    <w:rsid w:val="00B24B93"/>
    <w:rsid w:val="00B255C5"/>
    <w:rsid w:val="00B2698B"/>
    <w:rsid w:val="00B3044F"/>
    <w:rsid w:val="00B320BF"/>
    <w:rsid w:val="00B36649"/>
    <w:rsid w:val="00B42E8E"/>
    <w:rsid w:val="00B44A67"/>
    <w:rsid w:val="00B45403"/>
    <w:rsid w:val="00B45ABD"/>
    <w:rsid w:val="00B510B3"/>
    <w:rsid w:val="00B528B4"/>
    <w:rsid w:val="00B52B16"/>
    <w:rsid w:val="00B55668"/>
    <w:rsid w:val="00B6074F"/>
    <w:rsid w:val="00B611F8"/>
    <w:rsid w:val="00B61EF2"/>
    <w:rsid w:val="00B65CF9"/>
    <w:rsid w:val="00B7393A"/>
    <w:rsid w:val="00B7712D"/>
    <w:rsid w:val="00B77475"/>
    <w:rsid w:val="00B77D03"/>
    <w:rsid w:val="00B815B6"/>
    <w:rsid w:val="00B8187E"/>
    <w:rsid w:val="00B84172"/>
    <w:rsid w:val="00B86A11"/>
    <w:rsid w:val="00B96479"/>
    <w:rsid w:val="00BA1CBA"/>
    <w:rsid w:val="00BA54C2"/>
    <w:rsid w:val="00BA64BD"/>
    <w:rsid w:val="00BB478B"/>
    <w:rsid w:val="00BB7EBE"/>
    <w:rsid w:val="00BC047B"/>
    <w:rsid w:val="00BC2E4A"/>
    <w:rsid w:val="00BC3C51"/>
    <w:rsid w:val="00BC3F1E"/>
    <w:rsid w:val="00BC582B"/>
    <w:rsid w:val="00BC5B55"/>
    <w:rsid w:val="00BC6828"/>
    <w:rsid w:val="00BD0751"/>
    <w:rsid w:val="00BD35D0"/>
    <w:rsid w:val="00BD38FF"/>
    <w:rsid w:val="00BD4993"/>
    <w:rsid w:val="00BE12B0"/>
    <w:rsid w:val="00BE1AF2"/>
    <w:rsid w:val="00BE5BC9"/>
    <w:rsid w:val="00BE6219"/>
    <w:rsid w:val="00BE6675"/>
    <w:rsid w:val="00BF24D6"/>
    <w:rsid w:val="00BF2B6B"/>
    <w:rsid w:val="00BF2D68"/>
    <w:rsid w:val="00BF6B5D"/>
    <w:rsid w:val="00C025E3"/>
    <w:rsid w:val="00C0303B"/>
    <w:rsid w:val="00C121D3"/>
    <w:rsid w:val="00C2087B"/>
    <w:rsid w:val="00C244A7"/>
    <w:rsid w:val="00C2649F"/>
    <w:rsid w:val="00C27EEE"/>
    <w:rsid w:val="00C33991"/>
    <w:rsid w:val="00C3459F"/>
    <w:rsid w:val="00C36B75"/>
    <w:rsid w:val="00C408BF"/>
    <w:rsid w:val="00C43C31"/>
    <w:rsid w:val="00C4479E"/>
    <w:rsid w:val="00C52B68"/>
    <w:rsid w:val="00C53C64"/>
    <w:rsid w:val="00C57052"/>
    <w:rsid w:val="00C57711"/>
    <w:rsid w:val="00C63065"/>
    <w:rsid w:val="00C673AA"/>
    <w:rsid w:val="00C70712"/>
    <w:rsid w:val="00C759DC"/>
    <w:rsid w:val="00C800FC"/>
    <w:rsid w:val="00C81DE0"/>
    <w:rsid w:val="00C909ED"/>
    <w:rsid w:val="00C933FE"/>
    <w:rsid w:val="00C93E28"/>
    <w:rsid w:val="00CB3CB6"/>
    <w:rsid w:val="00CB4F57"/>
    <w:rsid w:val="00CC0025"/>
    <w:rsid w:val="00CC080E"/>
    <w:rsid w:val="00CC1399"/>
    <w:rsid w:val="00CD2175"/>
    <w:rsid w:val="00CE1BDA"/>
    <w:rsid w:val="00CE2639"/>
    <w:rsid w:val="00CE4CDB"/>
    <w:rsid w:val="00CE5B6B"/>
    <w:rsid w:val="00CE663D"/>
    <w:rsid w:val="00CF04CD"/>
    <w:rsid w:val="00CF16E1"/>
    <w:rsid w:val="00CF4B72"/>
    <w:rsid w:val="00CF6524"/>
    <w:rsid w:val="00D00CF5"/>
    <w:rsid w:val="00D010BB"/>
    <w:rsid w:val="00D02601"/>
    <w:rsid w:val="00D04320"/>
    <w:rsid w:val="00D04933"/>
    <w:rsid w:val="00D0546C"/>
    <w:rsid w:val="00D07589"/>
    <w:rsid w:val="00D106DA"/>
    <w:rsid w:val="00D11988"/>
    <w:rsid w:val="00D11D69"/>
    <w:rsid w:val="00D152A3"/>
    <w:rsid w:val="00D17F8F"/>
    <w:rsid w:val="00D21B7A"/>
    <w:rsid w:val="00D21E66"/>
    <w:rsid w:val="00D23062"/>
    <w:rsid w:val="00D24D22"/>
    <w:rsid w:val="00D31A25"/>
    <w:rsid w:val="00D33AF3"/>
    <w:rsid w:val="00D34E72"/>
    <w:rsid w:val="00D366DF"/>
    <w:rsid w:val="00D3674C"/>
    <w:rsid w:val="00D36F49"/>
    <w:rsid w:val="00D3776E"/>
    <w:rsid w:val="00D4083B"/>
    <w:rsid w:val="00D46420"/>
    <w:rsid w:val="00D5123F"/>
    <w:rsid w:val="00D53FFA"/>
    <w:rsid w:val="00D542DC"/>
    <w:rsid w:val="00D57893"/>
    <w:rsid w:val="00D61F58"/>
    <w:rsid w:val="00D62D5A"/>
    <w:rsid w:val="00D67444"/>
    <w:rsid w:val="00D67DDC"/>
    <w:rsid w:val="00D71002"/>
    <w:rsid w:val="00D71244"/>
    <w:rsid w:val="00D7166A"/>
    <w:rsid w:val="00D71A86"/>
    <w:rsid w:val="00D74293"/>
    <w:rsid w:val="00D750C3"/>
    <w:rsid w:val="00D76AF3"/>
    <w:rsid w:val="00D77C20"/>
    <w:rsid w:val="00D83DE5"/>
    <w:rsid w:val="00D85918"/>
    <w:rsid w:val="00D85956"/>
    <w:rsid w:val="00D85B7E"/>
    <w:rsid w:val="00D85D04"/>
    <w:rsid w:val="00D86A40"/>
    <w:rsid w:val="00D87532"/>
    <w:rsid w:val="00D90CA9"/>
    <w:rsid w:val="00D928A7"/>
    <w:rsid w:val="00D92D54"/>
    <w:rsid w:val="00DA3496"/>
    <w:rsid w:val="00DA45F1"/>
    <w:rsid w:val="00DA63EF"/>
    <w:rsid w:val="00DB0A95"/>
    <w:rsid w:val="00DC20E2"/>
    <w:rsid w:val="00DD173C"/>
    <w:rsid w:val="00DD5B5C"/>
    <w:rsid w:val="00DD6655"/>
    <w:rsid w:val="00DD6B1D"/>
    <w:rsid w:val="00DD6CB7"/>
    <w:rsid w:val="00DE2ACE"/>
    <w:rsid w:val="00DE471C"/>
    <w:rsid w:val="00DE56A5"/>
    <w:rsid w:val="00DE6EBD"/>
    <w:rsid w:val="00DF17EC"/>
    <w:rsid w:val="00DF29F0"/>
    <w:rsid w:val="00DF55CB"/>
    <w:rsid w:val="00DF5D0C"/>
    <w:rsid w:val="00DF647C"/>
    <w:rsid w:val="00DF6EC7"/>
    <w:rsid w:val="00E00A83"/>
    <w:rsid w:val="00E020D6"/>
    <w:rsid w:val="00E0261D"/>
    <w:rsid w:val="00E02CA4"/>
    <w:rsid w:val="00E0797E"/>
    <w:rsid w:val="00E1142A"/>
    <w:rsid w:val="00E13D4B"/>
    <w:rsid w:val="00E14D82"/>
    <w:rsid w:val="00E15D1D"/>
    <w:rsid w:val="00E17D90"/>
    <w:rsid w:val="00E22071"/>
    <w:rsid w:val="00E2336E"/>
    <w:rsid w:val="00E23E65"/>
    <w:rsid w:val="00E24AA1"/>
    <w:rsid w:val="00E26B56"/>
    <w:rsid w:val="00E27D54"/>
    <w:rsid w:val="00E326A8"/>
    <w:rsid w:val="00E35E50"/>
    <w:rsid w:val="00E40542"/>
    <w:rsid w:val="00E41578"/>
    <w:rsid w:val="00E41DDA"/>
    <w:rsid w:val="00E4356D"/>
    <w:rsid w:val="00E50554"/>
    <w:rsid w:val="00E50BC4"/>
    <w:rsid w:val="00E5200F"/>
    <w:rsid w:val="00E52A44"/>
    <w:rsid w:val="00E5397C"/>
    <w:rsid w:val="00E57971"/>
    <w:rsid w:val="00E61EB5"/>
    <w:rsid w:val="00E62811"/>
    <w:rsid w:val="00E6288B"/>
    <w:rsid w:val="00E64C65"/>
    <w:rsid w:val="00E72862"/>
    <w:rsid w:val="00E7751B"/>
    <w:rsid w:val="00E806F4"/>
    <w:rsid w:val="00E87AAB"/>
    <w:rsid w:val="00E87B28"/>
    <w:rsid w:val="00E90DB3"/>
    <w:rsid w:val="00E9135E"/>
    <w:rsid w:val="00E91CB3"/>
    <w:rsid w:val="00E92760"/>
    <w:rsid w:val="00E92CAA"/>
    <w:rsid w:val="00E92E7C"/>
    <w:rsid w:val="00E93DEB"/>
    <w:rsid w:val="00E95CC4"/>
    <w:rsid w:val="00E95EB2"/>
    <w:rsid w:val="00EA1688"/>
    <w:rsid w:val="00EA5477"/>
    <w:rsid w:val="00EB349B"/>
    <w:rsid w:val="00EB5C30"/>
    <w:rsid w:val="00ED11C5"/>
    <w:rsid w:val="00ED1CAC"/>
    <w:rsid w:val="00ED45F3"/>
    <w:rsid w:val="00ED57F2"/>
    <w:rsid w:val="00ED59C3"/>
    <w:rsid w:val="00ED5E39"/>
    <w:rsid w:val="00EE3513"/>
    <w:rsid w:val="00EF112E"/>
    <w:rsid w:val="00EF2AB5"/>
    <w:rsid w:val="00EF2CF3"/>
    <w:rsid w:val="00EF40B7"/>
    <w:rsid w:val="00EF6113"/>
    <w:rsid w:val="00EF6DB8"/>
    <w:rsid w:val="00F04C67"/>
    <w:rsid w:val="00F0628B"/>
    <w:rsid w:val="00F11C9E"/>
    <w:rsid w:val="00F132F7"/>
    <w:rsid w:val="00F16C15"/>
    <w:rsid w:val="00F17863"/>
    <w:rsid w:val="00F20007"/>
    <w:rsid w:val="00F2080B"/>
    <w:rsid w:val="00F209F8"/>
    <w:rsid w:val="00F22F58"/>
    <w:rsid w:val="00F236F5"/>
    <w:rsid w:val="00F254C2"/>
    <w:rsid w:val="00F2781F"/>
    <w:rsid w:val="00F35B86"/>
    <w:rsid w:val="00F375AC"/>
    <w:rsid w:val="00F422C4"/>
    <w:rsid w:val="00F426D8"/>
    <w:rsid w:val="00F43B4B"/>
    <w:rsid w:val="00F4436A"/>
    <w:rsid w:val="00F46C2C"/>
    <w:rsid w:val="00F53C05"/>
    <w:rsid w:val="00F554CF"/>
    <w:rsid w:val="00F55A52"/>
    <w:rsid w:val="00F55B10"/>
    <w:rsid w:val="00F56F36"/>
    <w:rsid w:val="00F61911"/>
    <w:rsid w:val="00F622A9"/>
    <w:rsid w:val="00F62519"/>
    <w:rsid w:val="00F71310"/>
    <w:rsid w:val="00F72AEE"/>
    <w:rsid w:val="00F73C6D"/>
    <w:rsid w:val="00F7401E"/>
    <w:rsid w:val="00F744D2"/>
    <w:rsid w:val="00F76029"/>
    <w:rsid w:val="00F77E46"/>
    <w:rsid w:val="00F8224B"/>
    <w:rsid w:val="00F82DE3"/>
    <w:rsid w:val="00F92F38"/>
    <w:rsid w:val="00F93FD4"/>
    <w:rsid w:val="00F96FA6"/>
    <w:rsid w:val="00F97307"/>
    <w:rsid w:val="00FA3AB0"/>
    <w:rsid w:val="00FB4CF4"/>
    <w:rsid w:val="00FC0AC7"/>
    <w:rsid w:val="00FC2658"/>
    <w:rsid w:val="00FC371A"/>
    <w:rsid w:val="00FD0860"/>
    <w:rsid w:val="00FD11EE"/>
    <w:rsid w:val="00FD19A9"/>
    <w:rsid w:val="00FD35A3"/>
    <w:rsid w:val="00FE2322"/>
    <w:rsid w:val="00FE59A3"/>
    <w:rsid w:val="00FF3318"/>
    <w:rsid w:val="00FF3708"/>
    <w:rsid w:val="00FF5324"/>
    <w:rsid w:val="00FF7C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9CFD9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3"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21B7A"/>
    <w:pPr>
      <w:spacing w:before="120" w:after="120" w:line="240" w:lineRule="auto"/>
    </w:pPr>
    <w:rPr>
      <w:rFonts w:ascii="Times New Roman" w:hAnsi="Times New Roman"/>
    </w:rPr>
  </w:style>
  <w:style w:type="paragraph" w:styleId="Heading1">
    <w:name w:val="heading 1"/>
    <w:basedOn w:val="Normal"/>
    <w:next w:val="Normalparatextnonumbers"/>
    <w:link w:val="Heading1Char"/>
    <w:qFormat/>
    <w:rsid w:val="00E24AA1"/>
    <w:pPr>
      <w:keepNext/>
      <w:keepLines/>
      <w:pBdr>
        <w:bottom w:val="single" w:sz="4" w:space="1" w:color="auto"/>
      </w:pBdr>
      <w:spacing w:after="480"/>
      <w:outlineLvl w:val="0"/>
    </w:pPr>
    <w:rPr>
      <w:rFonts w:ascii="Helvitica" w:eastAsiaTheme="majorEastAsia" w:hAnsi="Helvitica" w:cstheme="majorBidi"/>
      <w:b/>
      <w:i/>
      <w:sz w:val="40"/>
      <w:szCs w:val="32"/>
    </w:rPr>
  </w:style>
  <w:style w:type="paragraph" w:styleId="Heading2">
    <w:name w:val="heading 2"/>
    <w:basedOn w:val="Heading1"/>
    <w:next w:val="Normalparatextnonumbers"/>
    <w:link w:val="Heading2Char"/>
    <w:qFormat/>
    <w:rsid w:val="003F1AD7"/>
    <w:pPr>
      <w:pBdr>
        <w:bottom w:val="none" w:sz="0" w:space="0" w:color="auto"/>
      </w:pBdr>
      <w:spacing w:before="360" w:after="360"/>
      <w:outlineLvl w:val="1"/>
    </w:pPr>
    <w:rPr>
      <w:b w:val="0"/>
      <w:i w:val="0"/>
      <w:sz w:val="36"/>
      <w:szCs w:val="26"/>
    </w:rPr>
  </w:style>
  <w:style w:type="paragraph" w:styleId="Heading3">
    <w:name w:val="heading 3"/>
    <w:basedOn w:val="Normal"/>
    <w:next w:val="Normalparatextnonumbers"/>
    <w:link w:val="Heading3Char"/>
    <w:qFormat/>
    <w:rsid w:val="003F1AD7"/>
    <w:pPr>
      <w:keepNext/>
      <w:keepLines/>
      <w:spacing w:before="240" w:after="360"/>
      <w:outlineLvl w:val="2"/>
    </w:pPr>
    <w:rPr>
      <w:rFonts w:ascii="Helvitica" w:eastAsiaTheme="majorEastAsia" w:hAnsi="Helvitica" w:cstheme="majorBidi"/>
      <w:sz w:val="32"/>
      <w:szCs w:val="24"/>
    </w:rPr>
  </w:style>
  <w:style w:type="paragraph" w:styleId="Heading4">
    <w:name w:val="heading 4"/>
    <w:basedOn w:val="Normal"/>
    <w:next w:val="Normalparatextnonumbers"/>
    <w:link w:val="Heading4Char"/>
    <w:uiPriority w:val="9"/>
    <w:unhideWhenUsed/>
    <w:qFormat/>
    <w:rsid w:val="003F1AD7"/>
    <w:pPr>
      <w:keepNext/>
      <w:keepLines/>
      <w:numPr>
        <w:ilvl w:val="3"/>
        <w:numId w:val="21"/>
      </w:numPr>
      <w:spacing w:before="280" w:after="240"/>
      <w:outlineLvl w:val="3"/>
    </w:pPr>
    <w:rPr>
      <w:rFonts w:ascii="Helvetica" w:eastAsiaTheme="majorEastAsia" w:hAnsi="Helvetica" w:cstheme="majorBidi"/>
      <w:iCs/>
      <w:sz w:val="28"/>
    </w:rPr>
  </w:style>
  <w:style w:type="paragraph" w:styleId="Heading5">
    <w:name w:val="heading 5"/>
    <w:basedOn w:val="Normal"/>
    <w:next w:val="Normalparatextnonumbers"/>
    <w:link w:val="Heading5Char"/>
    <w:uiPriority w:val="9"/>
    <w:unhideWhenUsed/>
    <w:qFormat/>
    <w:rsid w:val="00F22F58"/>
    <w:pPr>
      <w:keepNext/>
      <w:keepLines/>
      <w:numPr>
        <w:ilvl w:val="4"/>
        <w:numId w:val="21"/>
      </w:numPr>
      <w:spacing w:before="240" w:after="240"/>
      <w:contextualSpacing/>
      <w:outlineLvl w:val="4"/>
    </w:pPr>
    <w:rPr>
      <w:rFonts w:ascii="Helvetica" w:eastAsiaTheme="majorEastAsia" w:hAnsi="Helvetica" w:cstheme="majorBidi"/>
      <w:b/>
      <w:spacing w:val="-10"/>
      <w:kern w:val="28"/>
      <w:sz w:val="24"/>
      <w:szCs w:val="56"/>
    </w:rPr>
  </w:style>
  <w:style w:type="paragraph" w:styleId="Heading6">
    <w:name w:val="heading 6"/>
    <w:basedOn w:val="Normal"/>
    <w:next w:val="Normal"/>
    <w:link w:val="Heading6Char"/>
    <w:uiPriority w:val="9"/>
    <w:unhideWhenUsed/>
    <w:qFormat/>
    <w:rsid w:val="002A2137"/>
    <w:pPr>
      <w:keepNext/>
      <w:keepLines/>
      <w:spacing w:before="240"/>
      <w:outlineLvl w:val="5"/>
    </w:pPr>
    <w:rPr>
      <w:rFonts w:ascii="Helvitica" w:eastAsiaTheme="majorEastAsia" w:hAnsi="Helvitic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4AA1"/>
    <w:rPr>
      <w:rFonts w:ascii="Helvitica" w:eastAsiaTheme="majorEastAsia" w:hAnsi="Helvitica" w:cstheme="majorBidi"/>
      <w:b/>
      <w:i/>
      <w:sz w:val="40"/>
      <w:szCs w:val="32"/>
    </w:rPr>
  </w:style>
  <w:style w:type="paragraph" w:customStyle="1" w:styleId="AttachmentHeading">
    <w:name w:val="AttachmentHeading"/>
    <w:basedOn w:val="Heading1"/>
    <w:next w:val="Normalparatextnonumbers"/>
    <w:uiPriority w:val="1"/>
    <w:rsid w:val="00777A92"/>
    <w:pPr>
      <w:numPr>
        <w:numId w:val="1"/>
      </w:numPr>
      <w:pBdr>
        <w:bottom w:val="single" w:sz="4" w:space="8" w:color="auto"/>
      </w:pBdr>
      <w:ind w:left="0" w:firstLine="0"/>
    </w:pPr>
  </w:style>
  <w:style w:type="paragraph" w:customStyle="1" w:styleId="Normalparatextnonumbers">
    <w:name w:val="Normal para text (no numbers)"/>
    <w:basedOn w:val="Normal"/>
    <w:qFormat/>
    <w:rsid w:val="00F22F58"/>
  </w:style>
  <w:style w:type="paragraph" w:customStyle="1" w:styleId="BillName">
    <w:name w:val="Bill Name"/>
    <w:basedOn w:val="Normalparatextnonumbers"/>
    <w:next w:val="Normalparatextnonumbers"/>
    <w:qFormat/>
    <w:rsid w:val="00DB0A95"/>
    <w:pPr>
      <w:spacing w:before="200" w:after="200"/>
      <w:jc w:val="center"/>
    </w:pPr>
    <w:rPr>
      <w:rFonts w:cs="Times New Roman"/>
      <w:caps/>
    </w:rPr>
  </w:style>
  <w:style w:type="character" w:customStyle="1" w:styleId="Heading4Char">
    <w:name w:val="Heading 4 Char"/>
    <w:basedOn w:val="DefaultParagraphFont"/>
    <w:link w:val="Heading4"/>
    <w:uiPriority w:val="9"/>
    <w:rsid w:val="003F1AD7"/>
    <w:rPr>
      <w:rFonts w:ascii="Helvetica" w:eastAsiaTheme="majorEastAsia" w:hAnsi="Helvetica" w:cstheme="majorBidi"/>
      <w:iCs/>
      <w:sz w:val="28"/>
    </w:rPr>
  </w:style>
  <w:style w:type="paragraph" w:customStyle="1" w:styleId="TableHeading">
    <w:name w:val="Table Heading"/>
    <w:basedOn w:val="Heading4"/>
    <w:next w:val="Normalparatextnonumbers"/>
    <w:uiPriority w:val="1"/>
    <w:rsid w:val="00492729"/>
    <w:pPr>
      <w:keepLines w:val="0"/>
      <w:numPr>
        <w:ilvl w:val="4"/>
        <w:numId w:val="6"/>
      </w:numPr>
      <w:spacing w:before="240" w:after="200"/>
      <w:ind w:left="0" w:firstLine="0"/>
    </w:pPr>
    <w:rPr>
      <w:rFonts w:eastAsia="Times New Roman" w:cs="Helvetica"/>
      <w:b/>
      <w:i/>
      <w:sz w:val="22"/>
    </w:rPr>
  </w:style>
  <w:style w:type="paragraph" w:styleId="Caption">
    <w:name w:val="caption"/>
    <w:basedOn w:val="TableHeading"/>
    <w:next w:val="Normal"/>
    <w:uiPriority w:val="35"/>
    <w:unhideWhenUsed/>
    <w:qFormat/>
    <w:rsid w:val="00BD0751"/>
    <w:pPr>
      <w:numPr>
        <w:ilvl w:val="0"/>
        <w:numId w:val="0"/>
      </w:numPr>
    </w:pPr>
    <w:rPr>
      <w:iCs w:val="0"/>
      <w:color w:val="44546A" w:themeColor="text2"/>
      <w:szCs w:val="18"/>
    </w:rPr>
  </w:style>
  <w:style w:type="paragraph" w:customStyle="1" w:styleId="Chapterheading">
    <w:name w:val="Chapter heading"/>
    <w:basedOn w:val="Heading1"/>
    <w:next w:val="Normalparatextnonumbers"/>
    <w:rsid w:val="00777A92"/>
    <w:pPr>
      <w:numPr>
        <w:numId w:val="6"/>
      </w:numPr>
      <w:pBdr>
        <w:bottom w:val="single" w:sz="4" w:space="8" w:color="auto"/>
      </w:pBdr>
      <w:spacing w:before="0"/>
    </w:pPr>
  </w:style>
  <w:style w:type="numbering" w:customStyle="1" w:styleId="Chapternumbering">
    <w:name w:val="Chapter numbering"/>
    <w:uiPriority w:val="99"/>
    <w:rsid w:val="005D0844"/>
    <w:pPr>
      <w:numPr>
        <w:numId w:val="6"/>
      </w:numPr>
    </w:pPr>
  </w:style>
  <w:style w:type="paragraph" w:customStyle="1" w:styleId="ChartandTableFootnoteAlpha">
    <w:name w:val="Chart and Table Footnote Alpha"/>
    <w:uiPriority w:val="1"/>
    <w:rsid w:val="00F22F58"/>
    <w:pPr>
      <w:tabs>
        <w:tab w:val="num" w:pos="284"/>
      </w:tabs>
      <w:spacing w:after="0" w:line="240" w:lineRule="auto"/>
      <w:ind w:left="284" w:hanging="284"/>
      <w:jc w:val="both"/>
    </w:pPr>
    <w:rPr>
      <w:rFonts w:ascii="Times New Roman" w:eastAsia="Times New Roman" w:hAnsi="Times New Roman" w:cs="Times New Roman"/>
      <w:color w:val="000000"/>
      <w:sz w:val="20"/>
      <w:szCs w:val="16"/>
      <w:lang w:eastAsia="en-AU"/>
    </w:rPr>
  </w:style>
  <w:style w:type="paragraph" w:customStyle="1" w:styleId="Dash">
    <w:name w:val="Dash"/>
    <w:basedOn w:val="Normal"/>
    <w:semiHidden/>
    <w:rsid w:val="00F22F58"/>
    <w:pPr>
      <w:tabs>
        <w:tab w:val="num" w:pos="532"/>
      </w:tabs>
      <w:spacing w:before="0" w:after="240" w:line="260" w:lineRule="exact"/>
      <w:ind w:left="532" w:hanging="284"/>
    </w:pPr>
  </w:style>
  <w:style w:type="paragraph" w:customStyle="1" w:styleId="DiagramHeading">
    <w:name w:val="Diagram Heading"/>
    <w:basedOn w:val="TableHeading"/>
    <w:next w:val="Normalparatextnonumbers"/>
    <w:uiPriority w:val="1"/>
    <w:rsid w:val="00CB4F57"/>
    <w:pPr>
      <w:numPr>
        <w:ilvl w:val="2"/>
      </w:numPr>
      <w:ind w:left="0" w:firstLine="0"/>
    </w:pPr>
  </w:style>
  <w:style w:type="paragraph" w:customStyle="1" w:styleId="Dotpoint1">
    <w:name w:val="Dot point 1"/>
    <w:basedOn w:val="Normal"/>
    <w:link w:val="Dotpoint1Char"/>
    <w:uiPriority w:val="1"/>
    <w:qFormat/>
    <w:rsid w:val="000E521B"/>
    <w:pPr>
      <w:numPr>
        <w:numId w:val="17"/>
      </w:numPr>
      <w:ind w:left="1418" w:hanging="709"/>
    </w:pPr>
  </w:style>
  <w:style w:type="character" w:customStyle="1" w:styleId="Dotpoint1Char">
    <w:name w:val="Dot point 1 Char"/>
    <w:basedOn w:val="DefaultParagraphFont"/>
    <w:link w:val="Dotpoint1"/>
    <w:uiPriority w:val="1"/>
    <w:rsid w:val="000E521B"/>
    <w:rPr>
      <w:rFonts w:ascii="Times New Roman" w:hAnsi="Times New Roman"/>
    </w:rPr>
  </w:style>
  <w:style w:type="paragraph" w:customStyle="1" w:styleId="Dotpoint2">
    <w:name w:val="Dot point 2"/>
    <w:basedOn w:val="Dotpoint1"/>
    <w:uiPriority w:val="1"/>
    <w:rsid w:val="000E521B"/>
    <w:pPr>
      <w:numPr>
        <w:numId w:val="9"/>
      </w:numPr>
      <w:ind w:left="2127" w:hanging="709"/>
    </w:pPr>
  </w:style>
  <w:style w:type="paragraph" w:customStyle="1" w:styleId="Exampletext">
    <w:name w:val="Example text"/>
    <w:basedOn w:val="Normal"/>
    <w:uiPriority w:val="1"/>
    <w:qFormat/>
    <w:rsid w:val="00F22F58"/>
    <w:pPr>
      <w:spacing w:before="200" w:after="160"/>
      <w:ind w:left="1134" w:right="864"/>
    </w:pPr>
    <w:rPr>
      <w:iCs/>
      <w:color w:val="000000" w:themeColor="text1"/>
      <w:sz w:val="21"/>
    </w:rPr>
  </w:style>
  <w:style w:type="paragraph" w:customStyle="1" w:styleId="Exampledotpoint1">
    <w:name w:val="Example dot point 1"/>
    <w:basedOn w:val="Exampletext"/>
    <w:uiPriority w:val="1"/>
    <w:qFormat/>
    <w:rsid w:val="000E521B"/>
    <w:pPr>
      <w:numPr>
        <w:numId w:val="10"/>
      </w:numPr>
      <w:spacing w:before="120" w:after="120"/>
      <w:ind w:left="1843" w:right="862" w:hanging="709"/>
    </w:pPr>
  </w:style>
  <w:style w:type="paragraph" w:customStyle="1" w:styleId="Exampledotpoint2">
    <w:name w:val="Example dot point 2"/>
    <w:basedOn w:val="Exampledotpoint1"/>
    <w:uiPriority w:val="1"/>
    <w:rsid w:val="000E521B"/>
    <w:pPr>
      <w:numPr>
        <w:numId w:val="11"/>
      </w:numPr>
      <w:ind w:left="2552" w:hanging="709"/>
    </w:pPr>
  </w:style>
  <w:style w:type="paragraph" w:customStyle="1" w:styleId="ExampleHeading">
    <w:name w:val="Example Heading"/>
    <w:basedOn w:val="TableHeading"/>
    <w:next w:val="Exampletext"/>
    <w:uiPriority w:val="1"/>
    <w:rsid w:val="00492729"/>
    <w:pPr>
      <w:numPr>
        <w:ilvl w:val="3"/>
      </w:numPr>
      <w:ind w:left="0" w:firstLine="0"/>
    </w:pPr>
  </w:style>
  <w:style w:type="paragraph" w:customStyle="1" w:styleId="Exampleindent">
    <w:name w:val="Example indent"/>
    <w:basedOn w:val="Exampletext"/>
    <w:uiPriority w:val="1"/>
    <w:rsid w:val="00F22F58"/>
    <w:pPr>
      <w:ind w:left="1560"/>
    </w:pPr>
  </w:style>
  <w:style w:type="paragraph" w:customStyle="1" w:styleId="Baseparagraphcentred">
    <w:name w:val="Base paragraph centred"/>
    <w:basedOn w:val="Normal"/>
    <w:rsid w:val="00E24AA1"/>
    <w:pPr>
      <w:spacing w:before="200" w:after="200"/>
      <w:jc w:val="center"/>
    </w:pPr>
    <w:rPr>
      <w:rFonts w:eastAsia="Times New Roman" w:cs="Times New Roman"/>
      <w:szCs w:val="20"/>
      <w:lang w:eastAsia="en-AU"/>
    </w:rPr>
  </w:style>
  <w:style w:type="paragraph" w:styleId="Footer">
    <w:name w:val="footer"/>
    <w:basedOn w:val="Normal"/>
    <w:link w:val="FooterChar"/>
    <w:semiHidden/>
    <w:rsid w:val="00F22F58"/>
    <w:pPr>
      <w:tabs>
        <w:tab w:val="center" w:pos="4153"/>
        <w:tab w:val="right" w:pos="8306"/>
      </w:tabs>
    </w:pPr>
  </w:style>
  <w:style w:type="character" w:customStyle="1" w:styleId="FooterChar">
    <w:name w:val="Footer Char"/>
    <w:basedOn w:val="DefaultParagraphFont"/>
    <w:link w:val="Footer"/>
    <w:semiHidden/>
    <w:rsid w:val="00F22F58"/>
    <w:rPr>
      <w:rFonts w:ascii="Times New Roman" w:hAnsi="Times New Roman"/>
    </w:rPr>
  </w:style>
  <w:style w:type="character" w:styleId="FootnoteReference">
    <w:name w:val="footnote reference"/>
    <w:basedOn w:val="DefaultParagraphFont"/>
    <w:uiPriority w:val="3"/>
    <w:rsid w:val="00F22F58"/>
    <w:rPr>
      <w:vertAlign w:val="superscript"/>
    </w:rPr>
  </w:style>
  <w:style w:type="paragraph" w:styleId="FootnoteText">
    <w:name w:val="footnote text"/>
    <w:basedOn w:val="Normal"/>
    <w:link w:val="FootnoteTextChar"/>
    <w:uiPriority w:val="3"/>
    <w:rsid w:val="00F22F58"/>
    <w:pPr>
      <w:spacing w:before="0" w:after="0"/>
    </w:pPr>
    <w:rPr>
      <w:sz w:val="20"/>
      <w:szCs w:val="20"/>
    </w:rPr>
  </w:style>
  <w:style w:type="character" w:customStyle="1" w:styleId="FootnoteTextChar">
    <w:name w:val="Footnote Text Char"/>
    <w:basedOn w:val="DefaultParagraphFont"/>
    <w:link w:val="FootnoteText"/>
    <w:uiPriority w:val="3"/>
    <w:rsid w:val="00F22F58"/>
    <w:rPr>
      <w:rFonts w:ascii="Times New Roman" w:hAnsi="Times New Roman"/>
      <w:sz w:val="20"/>
      <w:szCs w:val="20"/>
    </w:rPr>
  </w:style>
  <w:style w:type="paragraph" w:customStyle="1" w:styleId="Glossarytabletext">
    <w:name w:val="Glossary table text"/>
    <w:basedOn w:val="Normal"/>
    <w:uiPriority w:val="2"/>
    <w:rsid w:val="002D080A"/>
    <w:pPr>
      <w:spacing w:before="60" w:after="60"/>
    </w:pPr>
    <w:rPr>
      <w:sz w:val="20"/>
    </w:rPr>
  </w:style>
  <w:style w:type="paragraph" w:styleId="Header">
    <w:name w:val="header"/>
    <w:basedOn w:val="Normal"/>
    <w:link w:val="HeaderChar"/>
    <w:semiHidden/>
    <w:rsid w:val="00F22F58"/>
    <w:pPr>
      <w:tabs>
        <w:tab w:val="center" w:pos="4153"/>
        <w:tab w:val="right" w:pos="8306"/>
      </w:tabs>
    </w:pPr>
  </w:style>
  <w:style w:type="character" w:customStyle="1" w:styleId="HeaderChar">
    <w:name w:val="Header Char"/>
    <w:basedOn w:val="DefaultParagraphFont"/>
    <w:link w:val="Header"/>
    <w:semiHidden/>
    <w:rsid w:val="00F22F58"/>
    <w:rPr>
      <w:rFonts w:ascii="Times New Roman" w:hAnsi="Times New Roman"/>
    </w:rPr>
  </w:style>
  <w:style w:type="character" w:customStyle="1" w:styleId="Heading2Char">
    <w:name w:val="Heading 2 Char"/>
    <w:basedOn w:val="DefaultParagraphFont"/>
    <w:link w:val="Heading2"/>
    <w:rsid w:val="003F1AD7"/>
    <w:rPr>
      <w:rFonts w:ascii="Helvitica" w:eastAsiaTheme="majorEastAsia" w:hAnsi="Helvitica" w:cstheme="majorBidi"/>
      <w:sz w:val="36"/>
      <w:szCs w:val="26"/>
    </w:rPr>
  </w:style>
  <w:style w:type="character" w:customStyle="1" w:styleId="Heading3Char">
    <w:name w:val="Heading 3 Char"/>
    <w:basedOn w:val="DefaultParagraphFont"/>
    <w:link w:val="Heading3"/>
    <w:rsid w:val="003F1AD7"/>
    <w:rPr>
      <w:rFonts w:ascii="Helvitica" w:eastAsiaTheme="majorEastAsia" w:hAnsi="Helvitica" w:cstheme="majorBidi"/>
      <w:sz w:val="32"/>
      <w:szCs w:val="24"/>
    </w:rPr>
  </w:style>
  <w:style w:type="character" w:customStyle="1" w:styleId="Heading5Char">
    <w:name w:val="Heading 5 Char"/>
    <w:basedOn w:val="DefaultParagraphFont"/>
    <w:link w:val="Heading5"/>
    <w:uiPriority w:val="9"/>
    <w:rsid w:val="00F22F58"/>
    <w:rPr>
      <w:rFonts w:ascii="Helvetica" w:eastAsiaTheme="majorEastAsia" w:hAnsi="Helvetica" w:cstheme="majorBidi"/>
      <w:b/>
      <w:spacing w:val="-10"/>
      <w:kern w:val="28"/>
      <w:sz w:val="24"/>
      <w:szCs w:val="56"/>
    </w:rPr>
  </w:style>
  <w:style w:type="table" w:customStyle="1" w:styleId="InstructionTable">
    <w:name w:val="Instruction Table"/>
    <w:basedOn w:val="TableNormal"/>
    <w:uiPriority w:val="99"/>
    <w:rsid w:val="00F22F58"/>
    <w:pPr>
      <w:spacing w:after="0" w:line="240" w:lineRule="auto"/>
    </w:pPr>
    <w:tblPr>
      <w:tblBorders>
        <w:top w:val="single" w:sz="12" w:space="0" w:color="2F528F"/>
        <w:left w:val="single" w:sz="12" w:space="0" w:color="2F528F"/>
        <w:bottom w:val="single" w:sz="12" w:space="0" w:color="2F528F"/>
        <w:right w:val="single" w:sz="12" w:space="0" w:color="2F528F"/>
      </w:tblBorders>
    </w:tblPr>
    <w:tcPr>
      <w:shd w:val="clear" w:color="auto" w:fill="E7E6E6"/>
    </w:tcPr>
  </w:style>
  <w:style w:type="paragraph" w:customStyle="1" w:styleId="Instructionalguidance">
    <w:name w:val="Instructional guidance"/>
    <w:basedOn w:val="Normal"/>
    <w:link w:val="InstructionalguidanceChar"/>
    <w:uiPriority w:val="99"/>
    <w:rsid w:val="00090A2C"/>
    <w:rPr>
      <w:rFonts w:ascii="Calibri" w:hAnsi="Calibri"/>
      <w:color w:val="2F5496" w:themeColor="accent1" w:themeShade="BF"/>
    </w:rPr>
  </w:style>
  <w:style w:type="character" w:customStyle="1" w:styleId="InstructionalguidanceChar">
    <w:name w:val="Instructional guidance Char"/>
    <w:basedOn w:val="DefaultParagraphFont"/>
    <w:link w:val="Instructionalguidance"/>
    <w:uiPriority w:val="99"/>
    <w:rsid w:val="005515C0"/>
    <w:rPr>
      <w:rFonts w:ascii="Calibri" w:hAnsi="Calibri"/>
      <w:color w:val="2F5496" w:themeColor="accent1" w:themeShade="BF"/>
    </w:rPr>
  </w:style>
  <w:style w:type="paragraph" w:customStyle="1" w:styleId="Instructionalguidancebold">
    <w:name w:val="Instructional guidance bold"/>
    <w:basedOn w:val="Instructionalguidance"/>
    <w:next w:val="Instructionalguidance"/>
    <w:link w:val="InstructionalguidanceboldChar"/>
    <w:uiPriority w:val="99"/>
    <w:rsid w:val="00F22F58"/>
    <w:pPr>
      <w:keepNext/>
    </w:pPr>
    <w:rPr>
      <w:b/>
      <w:bCs/>
    </w:rPr>
  </w:style>
  <w:style w:type="character" w:customStyle="1" w:styleId="InstructionalguidanceboldChar">
    <w:name w:val="Instructional guidance bold Char"/>
    <w:basedOn w:val="InstructionalguidanceChar"/>
    <w:link w:val="Instructionalguidancebold"/>
    <w:uiPriority w:val="99"/>
    <w:rsid w:val="00F22F58"/>
    <w:rPr>
      <w:rFonts w:ascii="Calibri" w:hAnsi="Calibri"/>
      <w:b/>
      <w:bCs/>
      <w:color w:val="2F5496" w:themeColor="accent1" w:themeShade="BF"/>
    </w:rPr>
  </w:style>
  <w:style w:type="paragraph" w:customStyle="1" w:styleId="Instructionalguidancedotpoint">
    <w:name w:val="Instructional guidance dot point"/>
    <w:basedOn w:val="Instructionalguidance"/>
    <w:uiPriority w:val="99"/>
    <w:qFormat/>
    <w:rsid w:val="00F22F58"/>
    <w:pPr>
      <w:numPr>
        <w:numId w:val="14"/>
      </w:numPr>
    </w:pPr>
    <w:rPr>
      <w:rFonts w:eastAsia="Calibri"/>
      <w:lang w:eastAsia="en-GB"/>
    </w:rPr>
  </w:style>
  <w:style w:type="paragraph" w:customStyle="1" w:styleId="Instructionalguidancenumbered">
    <w:name w:val="Instructional guidance numbered"/>
    <w:basedOn w:val="Normal"/>
    <w:uiPriority w:val="99"/>
    <w:semiHidden/>
    <w:rsid w:val="00F22F58"/>
    <w:pPr>
      <w:numPr>
        <w:numId w:val="15"/>
      </w:numPr>
    </w:pPr>
    <w:rPr>
      <w:rFonts w:eastAsia="Calibri"/>
      <w:color w:val="2F5496" w:themeColor="accent1" w:themeShade="BF"/>
      <w:lang w:val="en-US" w:eastAsia="en-GB"/>
    </w:rPr>
  </w:style>
  <w:style w:type="character" w:customStyle="1" w:styleId="Instructuralguidancebold">
    <w:name w:val="Instructural guidance bold"/>
    <w:basedOn w:val="DefaultParagraphFont"/>
    <w:uiPriority w:val="99"/>
    <w:semiHidden/>
    <w:rsid w:val="00F22F58"/>
    <w:rPr>
      <w:rFonts w:ascii="Calibri" w:hAnsi="Calibri"/>
      <w:b/>
      <w:color w:val="2F528F"/>
      <w:sz w:val="22"/>
      <w:u w:color="2F528F"/>
    </w:rPr>
  </w:style>
  <w:style w:type="paragraph" w:customStyle="1" w:styleId="leftfooter">
    <w:name w:val="left footer"/>
    <w:basedOn w:val="Normal"/>
    <w:uiPriority w:val="1"/>
    <w:rsid w:val="00F22F58"/>
    <w:pPr>
      <w:pBdr>
        <w:top w:val="single" w:sz="4" w:space="1" w:color="auto"/>
      </w:pBdr>
      <w:spacing w:before="240" w:after="0"/>
    </w:pPr>
    <w:rPr>
      <w:i/>
      <w:sz w:val="20"/>
    </w:rPr>
  </w:style>
  <w:style w:type="paragraph" w:customStyle="1" w:styleId="leftheader">
    <w:name w:val="left header"/>
    <w:basedOn w:val="Normal"/>
    <w:uiPriority w:val="1"/>
    <w:rsid w:val="00D04933"/>
    <w:pPr>
      <w:pBdr>
        <w:bottom w:val="single" w:sz="4" w:space="1" w:color="auto"/>
      </w:pBdr>
    </w:pPr>
    <w:rPr>
      <w:i/>
      <w:sz w:val="20"/>
    </w:rPr>
  </w:style>
  <w:style w:type="paragraph" w:customStyle="1" w:styleId="Normalparatextwithnumbers">
    <w:name w:val="Normal para text (with numbers)"/>
    <w:basedOn w:val="Normalparatextnonumbers"/>
    <w:qFormat/>
    <w:rsid w:val="005D0844"/>
    <w:pPr>
      <w:numPr>
        <w:ilvl w:val="1"/>
        <w:numId w:val="6"/>
      </w:numPr>
    </w:pPr>
  </w:style>
  <w:style w:type="paragraph" w:customStyle="1" w:styleId="PurposeheadingnoTOC">
    <w:name w:val="Purpose heading (no TOC)"/>
    <w:basedOn w:val="Normal"/>
    <w:next w:val="Normalparatextnonumbers"/>
    <w:rsid w:val="00F22F58"/>
    <w:pPr>
      <w:spacing w:before="480" w:after="480"/>
    </w:pPr>
    <w:rPr>
      <w:rFonts w:ascii="Helvitica" w:hAnsi="Helvitica"/>
      <w:sz w:val="48"/>
    </w:rPr>
  </w:style>
  <w:style w:type="paragraph" w:styleId="Quote">
    <w:name w:val="Quote"/>
    <w:basedOn w:val="Normal"/>
    <w:next w:val="Normal"/>
    <w:link w:val="QuoteChar"/>
    <w:uiPriority w:val="29"/>
    <w:semiHidden/>
    <w:rsid w:val="00F22F5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21B7A"/>
    <w:rPr>
      <w:rFonts w:ascii="Times New Roman" w:hAnsi="Times New Roman"/>
      <w:i/>
      <w:iCs/>
      <w:color w:val="404040" w:themeColor="text1" w:themeTint="BF"/>
    </w:rPr>
  </w:style>
  <w:style w:type="paragraph" w:styleId="EndnoteText">
    <w:name w:val="endnote text"/>
    <w:basedOn w:val="Normal"/>
    <w:link w:val="EndnoteTextChar"/>
    <w:uiPriority w:val="3"/>
    <w:rsid w:val="002D080A"/>
    <w:pPr>
      <w:spacing w:before="0" w:after="0"/>
    </w:pPr>
    <w:rPr>
      <w:sz w:val="20"/>
      <w:szCs w:val="20"/>
    </w:rPr>
  </w:style>
  <w:style w:type="character" w:customStyle="1" w:styleId="References">
    <w:name w:val="References"/>
    <w:basedOn w:val="DefaultParagraphFont"/>
    <w:uiPriority w:val="1"/>
    <w:rsid w:val="00F22F58"/>
    <w:rPr>
      <w:rFonts w:ascii="Times New Roman" w:hAnsi="Times New Roman"/>
      <w:b/>
      <w:bCs/>
      <w:i/>
      <w:iCs/>
      <w:sz w:val="22"/>
    </w:rPr>
  </w:style>
  <w:style w:type="paragraph" w:customStyle="1" w:styleId="rightfooter">
    <w:name w:val="right footer"/>
    <w:basedOn w:val="Normal"/>
    <w:uiPriority w:val="1"/>
    <w:rsid w:val="00F22F58"/>
    <w:pPr>
      <w:pBdr>
        <w:top w:val="single" w:sz="4" w:space="1" w:color="auto"/>
      </w:pBdr>
      <w:spacing w:before="60" w:after="60"/>
      <w:ind w:left="34"/>
      <w:jc w:val="right"/>
    </w:pPr>
    <w:rPr>
      <w:rFonts w:eastAsia="Times New Roman" w:cs="Times New Roman"/>
      <w:i/>
      <w:sz w:val="20"/>
      <w:szCs w:val="20"/>
      <w:lang w:eastAsia="en-AU"/>
    </w:rPr>
  </w:style>
  <w:style w:type="paragraph" w:customStyle="1" w:styleId="rightheader">
    <w:name w:val="right header"/>
    <w:basedOn w:val="Normal"/>
    <w:uiPriority w:val="1"/>
    <w:rsid w:val="00D04933"/>
    <w:pPr>
      <w:pBdr>
        <w:bottom w:val="single" w:sz="4" w:space="1" w:color="auto"/>
      </w:pBdr>
      <w:jc w:val="right"/>
    </w:pPr>
    <w:rPr>
      <w:i/>
      <w:sz w:val="20"/>
    </w:rPr>
  </w:style>
  <w:style w:type="paragraph" w:customStyle="1" w:styleId="RISbullet">
    <w:name w:val="RIS bullet"/>
    <w:basedOn w:val="Dotpoint1"/>
    <w:uiPriority w:val="2"/>
    <w:rsid w:val="00F22F58"/>
    <w:pPr>
      <w:tabs>
        <w:tab w:val="left" w:pos="567"/>
      </w:tabs>
      <w:ind w:left="851" w:hanging="284"/>
    </w:pPr>
  </w:style>
  <w:style w:type="paragraph" w:customStyle="1" w:styleId="RISbullet2">
    <w:name w:val="RIS bullet 2"/>
    <w:basedOn w:val="RISbullet"/>
    <w:uiPriority w:val="2"/>
    <w:rsid w:val="00F22F58"/>
    <w:pPr>
      <w:numPr>
        <w:numId w:val="18"/>
      </w:numPr>
      <w:tabs>
        <w:tab w:val="clear" w:pos="567"/>
      </w:tabs>
    </w:pPr>
  </w:style>
  <w:style w:type="paragraph" w:customStyle="1" w:styleId="Tabledotpoint1">
    <w:name w:val="Table dot point 1"/>
    <w:basedOn w:val="Normalparatextnonumbers"/>
    <w:uiPriority w:val="1"/>
    <w:rsid w:val="000E521B"/>
    <w:pPr>
      <w:numPr>
        <w:numId w:val="19"/>
      </w:numPr>
      <w:ind w:left="425" w:hanging="425"/>
    </w:pPr>
    <w:rPr>
      <w:sz w:val="20"/>
    </w:rPr>
  </w:style>
  <w:style w:type="paragraph" w:customStyle="1" w:styleId="Tabledotpoint2">
    <w:name w:val="Table dot point 2"/>
    <w:basedOn w:val="Tabledotpoint1"/>
    <w:uiPriority w:val="1"/>
    <w:rsid w:val="000E521B"/>
    <w:pPr>
      <w:numPr>
        <w:numId w:val="20"/>
      </w:numPr>
      <w:ind w:left="850" w:hanging="425"/>
    </w:pPr>
  </w:style>
  <w:style w:type="paragraph" w:customStyle="1" w:styleId="Tableheaderrowtext">
    <w:name w:val="Table header row text"/>
    <w:basedOn w:val="Heading4"/>
    <w:uiPriority w:val="1"/>
    <w:rsid w:val="005D0844"/>
    <w:pPr>
      <w:keepLines w:val="0"/>
      <w:spacing w:before="120" w:after="120"/>
    </w:pPr>
    <w:rPr>
      <w:rFonts w:eastAsia="Times New Roman" w:cs="Helvetica"/>
      <w:b/>
      <w:i/>
      <w:sz w:val="22"/>
    </w:rPr>
  </w:style>
  <w:style w:type="paragraph" w:styleId="TOC1">
    <w:name w:val="toc 1"/>
    <w:basedOn w:val="Normal"/>
    <w:next w:val="TOC2"/>
    <w:uiPriority w:val="39"/>
    <w:rsid w:val="00170C78"/>
    <w:pPr>
      <w:tabs>
        <w:tab w:val="right" w:leader="dot" w:pos="7655"/>
      </w:tabs>
      <w:ind w:left="1758" w:hanging="1758"/>
    </w:pPr>
    <w:rPr>
      <w:rFonts w:ascii="Helvitica" w:hAnsi="Helvitica" w:cstheme="minorHAnsi"/>
      <w:bCs/>
      <w:sz w:val="24"/>
      <w:szCs w:val="20"/>
    </w:rPr>
  </w:style>
  <w:style w:type="paragraph" w:styleId="TOC2">
    <w:name w:val="toc 2"/>
    <w:basedOn w:val="Normal"/>
    <w:next w:val="Normal"/>
    <w:uiPriority w:val="39"/>
    <w:rsid w:val="00683847"/>
    <w:pPr>
      <w:tabs>
        <w:tab w:val="right" w:leader="dot" w:pos="7655"/>
      </w:tabs>
    </w:pPr>
    <w:rPr>
      <w:rFonts w:ascii="Helvetica" w:hAnsi="Helvetica"/>
      <w:noProof/>
      <w:sz w:val="24"/>
    </w:rPr>
  </w:style>
  <w:style w:type="paragraph" w:styleId="TOC3">
    <w:name w:val="toc 3"/>
    <w:basedOn w:val="Normal"/>
    <w:next w:val="Normal"/>
    <w:uiPriority w:val="39"/>
    <w:unhideWhenUsed/>
    <w:rsid w:val="00414017"/>
    <w:pPr>
      <w:tabs>
        <w:tab w:val="right" w:leader="dot" w:pos="7655"/>
      </w:tabs>
      <w:ind w:left="442"/>
    </w:pPr>
    <w:rPr>
      <w:rFonts w:ascii="Helvitica" w:hAnsi="Helvitica" w:cstheme="minorHAnsi"/>
      <w:iCs/>
      <w:sz w:val="24"/>
      <w:szCs w:val="20"/>
    </w:rPr>
  </w:style>
  <w:style w:type="paragraph" w:customStyle="1" w:styleId="Tabletext">
    <w:name w:val="Table text"/>
    <w:basedOn w:val="Normal"/>
    <w:link w:val="TabletextChar"/>
    <w:uiPriority w:val="1"/>
    <w:rsid w:val="00F22F58"/>
    <w:pPr>
      <w:spacing w:before="60" w:after="60"/>
      <w:ind w:left="34"/>
    </w:pPr>
    <w:rPr>
      <w:rFonts w:eastAsia="Times New Roman" w:cs="Times New Roman"/>
      <w:sz w:val="20"/>
      <w:szCs w:val="20"/>
      <w:lang w:eastAsia="en-AU"/>
    </w:rPr>
  </w:style>
  <w:style w:type="paragraph" w:customStyle="1" w:styleId="TOCHeading">
    <w:name w:val="TOCHeading"/>
    <w:basedOn w:val="Normal"/>
    <w:next w:val="Normalparatextnonumbers"/>
    <w:qFormat/>
    <w:rsid w:val="00F22F58"/>
    <w:pPr>
      <w:spacing w:before="360" w:after="360"/>
    </w:pPr>
    <w:rPr>
      <w:rFonts w:ascii="Helvitica" w:hAnsi="Helvitica"/>
      <w:sz w:val="40"/>
    </w:rPr>
  </w:style>
  <w:style w:type="character" w:customStyle="1" w:styleId="EndnoteTextChar">
    <w:name w:val="Endnote Text Char"/>
    <w:basedOn w:val="DefaultParagraphFont"/>
    <w:link w:val="EndnoteText"/>
    <w:uiPriority w:val="3"/>
    <w:rsid w:val="002D080A"/>
    <w:rPr>
      <w:rFonts w:ascii="Times New Roman" w:hAnsi="Times New Roman"/>
      <w:sz w:val="20"/>
      <w:szCs w:val="20"/>
    </w:rPr>
  </w:style>
  <w:style w:type="paragraph" w:customStyle="1" w:styleId="Coverpageheading">
    <w:name w:val="Cover page heading"/>
    <w:basedOn w:val="Normalparatextnonumbers"/>
    <w:next w:val="Normalparatextnonumbers"/>
    <w:uiPriority w:val="1"/>
    <w:qFormat/>
    <w:rsid w:val="002D080A"/>
    <w:pPr>
      <w:spacing w:after="480"/>
      <w:jc w:val="center"/>
    </w:pPr>
    <w:rPr>
      <w:rFonts w:ascii="Helvitica" w:hAnsi="Helvitica"/>
      <w:sz w:val="36"/>
    </w:rPr>
  </w:style>
  <w:style w:type="paragraph" w:styleId="NoSpacing">
    <w:name w:val="No Spacing"/>
    <w:uiPriority w:val="3"/>
    <w:rsid w:val="002D080A"/>
    <w:pPr>
      <w:spacing w:after="0" w:line="240" w:lineRule="auto"/>
    </w:pPr>
  </w:style>
  <w:style w:type="character" w:styleId="Hyperlink">
    <w:name w:val="Hyperlink"/>
    <w:basedOn w:val="DefaultParagraphFont"/>
    <w:uiPriority w:val="99"/>
    <w:rsid w:val="00873094"/>
    <w:rPr>
      <w:color w:val="0563C1" w:themeColor="hyperlink"/>
      <w:u w:val="single"/>
    </w:rPr>
  </w:style>
  <w:style w:type="table" w:styleId="TableGrid">
    <w:name w:val="Table Grid"/>
    <w:basedOn w:val="TableNormal"/>
    <w:rsid w:val="00873094"/>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easurytable">
    <w:name w:val="Treasury table"/>
    <w:basedOn w:val="TableNormal"/>
    <w:uiPriority w:val="99"/>
    <w:rsid w:val="00873094"/>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280" w:beforeAutospacing="0" w:afterLines="0" w:after="240" w:afterAutospacing="0" w:line="240" w:lineRule="auto"/>
      </w:pPr>
      <w:rPr>
        <w:rFonts w:ascii="Helvetica" w:hAnsi="Helvetica"/>
        <w:sz w:val="28"/>
      </w:rPr>
      <w:tblPr/>
      <w:trPr>
        <w:cantSplit/>
        <w:tblHeader/>
      </w:trPr>
    </w:tblStylePr>
  </w:style>
  <w:style w:type="paragraph" w:customStyle="1" w:styleId="ParaCentredNoSpacing">
    <w:name w:val="ParaCentredNoSpacing"/>
    <w:basedOn w:val="Baseparagraphcentred"/>
    <w:qFormat/>
    <w:rsid w:val="00E24AA1"/>
    <w:pPr>
      <w:spacing w:before="0" w:after="0"/>
    </w:pPr>
  </w:style>
  <w:style w:type="paragraph" w:customStyle="1" w:styleId="Referenceafterdotpoint">
    <w:name w:val="Reference after dot point"/>
    <w:basedOn w:val="Normalparatextnonumbers"/>
    <w:next w:val="Dotpoint1"/>
    <w:rsid w:val="00DF5D0C"/>
    <w:pPr>
      <w:spacing w:before="0" w:after="0"/>
      <w:ind w:left="709"/>
    </w:pPr>
    <w:rPr>
      <w:b/>
      <w:i/>
      <w:noProof/>
    </w:rPr>
  </w:style>
  <w:style w:type="character" w:customStyle="1" w:styleId="Heading6Char">
    <w:name w:val="Heading 6 Char"/>
    <w:basedOn w:val="DefaultParagraphFont"/>
    <w:link w:val="Heading6"/>
    <w:uiPriority w:val="9"/>
    <w:rsid w:val="002A2137"/>
    <w:rPr>
      <w:rFonts w:ascii="Helvitica" w:eastAsiaTheme="majorEastAsia" w:hAnsi="Helvitica" w:cstheme="majorBidi"/>
      <w:i/>
    </w:rPr>
  </w:style>
  <w:style w:type="paragraph" w:customStyle="1" w:styleId="Scheduleheading">
    <w:name w:val="Schedule heading"/>
    <w:basedOn w:val="Heading2"/>
    <w:next w:val="Normalparatextnonumbers"/>
    <w:link w:val="ScheduleheadingChar"/>
    <w:rsid w:val="003556BF"/>
  </w:style>
  <w:style w:type="character" w:customStyle="1" w:styleId="ScheduleheadingChar">
    <w:name w:val="Schedule heading Char"/>
    <w:basedOn w:val="Heading2Char"/>
    <w:link w:val="Scheduleheading"/>
    <w:rsid w:val="003556BF"/>
    <w:rPr>
      <w:rFonts w:ascii="Helvitica" w:eastAsiaTheme="majorEastAsia" w:hAnsi="Helvitica" w:cstheme="majorBidi"/>
      <w:sz w:val="36"/>
      <w:szCs w:val="26"/>
    </w:rPr>
  </w:style>
  <w:style w:type="character" w:styleId="UnresolvedMention">
    <w:name w:val="Unresolved Mention"/>
    <w:basedOn w:val="DefaultParagraphFont"/>
    <w:uiPriority w:val="99"/>
    <w:semiHidden/>
    <w:unhideWhenUsed/>
    <w:rsid w:val="007A2DBD"/>
    <w:rPr>
      <w:color w:val="605E5C"/>
      <w:shd w:val="clear" w:color="auto" w:fill="E1DFDD"/>
    </w:rPr>
  </w:style>
  <w:style w:type="paragraph" w:styleId="Revision">
    <w:name w:val="Revision"/>
    <w:hidden/>
    <w:uiPriority w:val="99"/>
    <w:semiHidden/>
    <w:rsid w:val="009732E4"/>
    <w:pPr>
      <w:spacing w:after="0" w:line="240" w:lineRule="auto"/>
    </w:pPr>
    <w:rPr>
      <w:rFonts w:ascii="Times New Roman" w:hAnsi="Times New Roman"/>
    </w:rPr>
  </w:style>
  <w:style w:type="character" w:styleId="CommentReference">
    <w:name w:val="annotation reference"/>
    <w:basedOn w:val="DefaultParagraphFont"/>
    <w:uiPriority w:val="99"/>
    <w:semiHidden/>
    <w:unhideWhenUsed/>
    <w:rsid w:val="00124168"/>
    <w:rPr>
      <w:sz w:val="16"/>
      <w:szCs w:val="16"/>
    </w:rPr>
  </w:style>
  <w:style w:type="paragraph" w:styleId="CommentText">
    <w:name w:val="annotation text"/>
    <w:basedOn w:val="Normal"/>
    <w:link w:val="CommentTextChar"/>
    <w:uiPriority w:val="99"/>
    <w:unhideWhenUsed/>
    <w:rsid w:val="00124168"/>
    <w:rPr>
      <w:sz w:val="20"/>
      <w:szCs w:val="20"/>
    </w:rPr>
  </w:style>
  <w:style w:type="character" w:customStyle="1" w:styleId="CommentTextChar">
    <w:name w:val="Comment Text Char"/>
    <w:basedOn w:val="DefaultParagraphFont"/>
    <w:link w:val="CommentText"/>
    <w:uiPriority w:val="99"/>
    <w:rsid w:val="00124168"/>
    <w:rPr>
      <w:rFonts w:ascii="Times New Roman" w:hAnsi="Times New Roman"/>
      <w:sz w:val="20"/>
      <w:szCs w:val="20"/>
    </w:rPr>
  </w:style>
  <w:style w:type="character" w:customStyle="1" w:styleId="TabletextChar">
    <w:name w:val="Table text Char"/>
    <w:basedOn w:val="DefaultParagraphFont"/>
    <w:link w:val="Tabletext"/>
    <w:uiPriority w:val="1"/>
    <w:rsid w:val="000962C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A8783D"/>
    <w:rPr>
      <w:b/>
      <w:bCs/>
    </w:rPr>
  </w:style>
  <w:style w:type="character" w:customStyle="1" w:styleId="CommentSubjectChar">
    <w:name w:val="Comment Subject Char"/>
    <w:basedOn w:val="CommentTextChar"/>
    <w:link w:val="CommentSubject"/>
    <w:uiPriority w:val="99"/>
    <w:semiHidden/>
    <w:rsid w:val="00A8783D"/>
    <w:rPr>
      <w:rFonts w:ascii="Times New Roman" w:hAnsi="Times New Roman"/>
      <w:b/>
      <w:bCs/>
      <w:sz w:val="20"/>
      <w:szCs w:val="20"/>
    </w:rPr>
  </w:style>
  <w:style w:type="paragraph" w:customStyle="1" w:styleId="Item">
    <w:name w:val="Item"/>
    <w:aliases w:val="i"/>
    <w:basedOn w:val="Normal"/>
    <w:next w:val="Normal"/>
    <w:rsid w:val="00A33BC4"/>
    <w:pPr>
      <w:keepLines/>
      <w:spacing w:before="80" w:after="0"/>
      <w:ind w:left="709"/>
    </w:pPr>
    <w:rPr>
      <w:rFonts w:eastAsia="Times New Roman"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194521">
      <w:bodyDiv w:val="1"/>
      <w:marLeft w:val="0"/>
      <w:marRight w:val="0"/>
      <w:marTop w:val="0"/>
      <w:marBottom w:val="0"/>
      <w:divBdr>
        <w:top w:val="none" w:sz="0" w:space="0" w:color="auto"/>
        <w:left w:val="none" w:sz="0" w:space="0" w:color="auto"/>
        <w:bottom w:val="none" w:sz="0" w:space="0" w:color="auto"/>
        <w:right w:val="none" w:sz="0" w:space="0" w:color="auto"/>
      </w:divBdr>
    </w:div>
    <w:div w:id="873469127">
      <w:bodyDiv w:val="1"/>
      <w:marLeft w:val="0"/>
      <w:marRight w:val="0"/>
      <w:marTop w:val="0"/>
      <w:marBottom w:val="0"/>
      <w:divBdr>
        <w:top w:val="none" w:sz="0" w:space="0" w:color="auto"/>
        <w:left w:val="none" w:sz="0" w:space="0" w:color="auto"/>
        <w:bottom w:val="none" w:sz="0" w:space="0" w:color="auto"/>
        <w:right w:val="none" w:sz="0" w:space="0" w:color="auto"/>
      </w:divBdr>
    </w:div>
    <w:div w:id="1165439882">
      <w:bodyDiv w:val="1"/>
      <w:marLeft w:val="0"/>
      <w:marRight w:val="0"/>
      <w:marTop w:val="0"/>
      <w:marBottom w:val="0"/>
      <w:divBdr>
        <w:top w:val="none" w:sz="0" w:space="0" w:color="auto"/>
        <w:left w:val="none" w:sz="0" w:space="0" w:color="auto"/>
        <w:bottom w:val="none" w:sz="0" w:space="0" w:color="auto"/>
        <w:right w:val="none" w:sz="0" w:space="0" w:color="auto"/>
      </w:divBdr>
    </w:div>
    <w:div w:id="1530802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2.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4B7E0D-E4BB-4C42-AF48-BF023295B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6136</Words>
  <Characters>34977</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explanatory materials - Treasury Laws Amendment (Miscellaneous and Technical Amendments) Bill 2022</dc:title>
  <dc:subject/>
  <dc:creator/>
  <cp:keywords/>
  <dc:description/>
  <cp:lastModifiedBy/>
  <cp:revision>1</cp:revision>
  <dcterms:created xsi:type="dcterms:W3CDTF">2022-09-01T06:53:00Z</dcterms:created>
  <dcterms:modified xsi:type="dcterms:W3CDTF">2022-09-01T06:53:00Z</dcterms:modified>
</cp:coreProperties>
</file>