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27089397"/>
        <w:docPartObj>
          <w:docPartGallery w:val="Cover Pages"/>
          <w:docPartUnique/>
        </w:docPartObj>
      </w:sdtPr>
      <w:sdtEndPr/>
      <w:sdtContent>
        <w:p w14:paraId="477D1DB9" w14:textId="72A46393" w:rsidR="000E69A5" w:rsidRPr="006D0240" w:rsidRDefault="000E69A5" w:rsidP="008E6292">
          <w:r>
            <w:rPr>
              <w:noProof/>
              <w:lang w:eastAsia="zh-CN"/>
            </w:rPr>
            <w:drawing>
              <wp:anchor distT="0" distB="0" distL="114300" distR="114300" simplePos="0" relativeHeight="251658240" behindDoc="1" locked="0" layoutInCell="1" allowOverlap="1" wp14:anchorId="1AE0435E" wp14:editId="1090E9D5">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25EA0B0A" w14:textId="77777777" w:rsidR="000E69A5" w:rsidRPr="006D0240" w:rsidRDefault="000E69A5" w:rsidP="001D4EAA">
          <w:pPr>
            <w:pStyle w:val="Crest"/>
            <w:spacing w:after="1320"/>
            <w:jc w:val="left"/>
          </w:pPr>
        </w:p>
        <w:p w14:paraId="1EB64764" w14:textId="28B0C16A" w:rsidR="000E69A5" w:rsidRPr="001D4EAA" w:rsidRDefault="000E69A5" w:rsidP="001D4EAA">
          <w:pPr>
            <w:pStyle w:val="Title"/>
          </w:pPr>
          <w:r>
            <w:t>Your Future, Your Super Review</w:t>
          </w:r>
        </w:p>
        <w:p w14:paraId="51DD891D" w14:textId="77777777" w:rsidR="000E69A5" w:rsidRPr="001D4EAA" w:rsidRDefault="000E69A5" w:rsidP="00082FC2">
          <w:pPr>
            <w:pStyle w:val="Subtitle"/>
            <w:spacing w:after="240"/>
          </w:pPr>
          <w:r>
            <w:t>Consultation paper</w:t>
          </w:r>
        </w:p>
        <w:p w14:paraId="3AE209CF" w14:textId="4F99135A" w:rsidR="000E69A5" w:rsidRPr="002604F1" w:rsidRDefault="00421D2D" w:rsidP="001D4EAA">
          <w:pPr>
            <w:pStyle w:val="ReportDate"/>
            <w:rPr>
              <w:rFonts w:ascii="Rockwell" w:hAnsi="Rockwell"/>
              <w:color w:val="auto"/>
              <w:sz w:val="24"/>
            </w:rPr>
          </w:pPr>
          <w:r>
            <w:rPr>
              <w:rStyle w:val="ReportDateChar"/>
              <w:color w:val="auto"/>
            </w:rPr>
            <w:t>7</w:t>
          </w:r>
          <w:r w:rsidR="000E69A5" w:rsidRPr="002604F1">
            <w:rPr>
              <w:rStyle w:val="ReportDateChar"/>
              <w:color w:val="auto"/>
            </w:rPr>
            <w:t xml:space="preserve"> September 2022</w:t>
          </w:r>
        </w:p>
        <w:p w14:paraId="67BCC3DD" w14:textId="77777777" w:rsidR="000E69A5" w:rsidRDefault="000E69A5" w:rsidP="00775702">
          <w:pPr>
            <w:spacing w:after="1640"/>
          </w:pPr>
        </w:p>
        <w:p w14:paraId="4FB2D69E" w14:textId="77777777" w:rsidR="000E69A5" w:rsidRDefault="000E69A5" w:rsidP="00775702">
          <w:pPr>
            <w:spacing w:after="1640"/>
          </w:pPr>
        </w:p>
        <w:p w14:paraId="1F44CBFB" w14:textId="23A456D8" w:rsidR="000E69A5" w:rsidRDefault="000E69A5">
          <w:pPr>
            <w:spacing w:before="0" w:after="160" w:line="259" w:lineRule="auto"/>
          </w:pPr>
          <w:r>
            <w:br w:type="page"/>
          </w:r>
        </w:p>
      </w:sdtContent>
    </w:sdt>
    <w:p w14:paraId="2C580323" w14:textId="77777777" w:rsidR="000E0B74" w:rsidRDefault="000E0B74" w:rsidP="000E0B74">
      <w:pPr>
        <w:sectPr w:rsidR="000E0B74" w:rsidSect="00555D14">
          <w:headerReference w:type="even" r:id="rId9"/>
          <w:headerReference w:type="default" r:id="rId10"/>
          <w:footerReference w:type="even" r:id="rId11"/>
          <w:footerReference w:type="default" r:id="rId12"/>
          <w:footerReference w:type="first" r:id="rId13"/>
          <w:pgSz w:w="11906" w:h="16838" w:code="9"/>
          <w:pgMar w:top="1843" w:right="1418" w:bottom="1418" w:left="1418" w:header="709" w:footer="709" w:gutter="0"/>
          <w:pgNumType w:fmt="lowerRoman" w:start="0"/>
          <w:cols w:space="720"/>
          <w:titlePg/>
          <w:docGrid w:linePitch="299"/>
        </w:sectPr>
      </w:pPr>
    </w:p>
    <w:p w14:paraId="54B70E8E" w14:textId="2C997C87" w:rsidR="000E0B74" w:rsidRDefault="000E0B74" w:rsidP="000E0B74">
      <w:pPr>
        <w:spacing w:before="240"/>
      </w:pPr>
      <w:r w:rsidRPr="00661BF0">
        <w:lastRenderedPageBreak/>
        <w:t xml:space="preserve">© Commonwealth of Australia </w:t>
      </w:r>
      <w:r w:rsidRPr="003C1678">
        <w:t>20</w:t>
      </w:r>
      <w:r w:rsidR="00EF2FBF" w:rsidRPr="003C1678">
        <w:t>2</w:t>
      </w:r>
      <w:r w:rsidR="003C1678">
        <w:t>2</w:t>
      </w:r>
    </w:p>
    <w:p w14:paraId="0DB64C1C" w14:textId="2FFA7B8F"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3C1678">
        <w:t xml:space="preserve">. </w:t>
      </w:r>
      <w:r w:rsidRPr="002F1BC2">
        <w:t>The full licence terms are available from</w:t>
      </w:r>
      <w:r w:rsidRPr="00476F09">
        <w:rPr>
          <w:rFonts w:cstheme="minorHAnsi"/>
          <w:sz w:val="24"/>
          <w:szCs w:val="24"/>
        </w:rPr>
        <w:t xml:space="preserve"> </w:t>
      </w:r>
      <w:hyperlink r:id="rId15"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25927E94" w14:textId="77777777" w:rsidR="000E0B74" w:rsidRDefault="000E0B74" w:rsidP="000E0B74">
      <w:pPr>
        <w:pStyle w:val="ChartGraphic"/>
        <w:jc w:val="left"/>
      </w:pPr>
      <w:r w:rsidRPr="00E56DFB">
        <w:rPr>
          <w:noProof/>
          <w:lang w:eastAsia="zh-CN"/>
        </w:rPr>
        <w:drawing>
          <wp:inline distT="0" distB="0" distL="0" distR="0" wp14:anchorId="2529942E" wp14:editId="47266E3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00EB448"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F26F0B1" w14:textId="77777777" w:rsidR="000E0B74" w:rsidRPr="0031276E" w:rsidRDefault="000E0B74" w:rsidP="0031276E">
      <w:pPr>
        <w:spacing w:before="240"/>
        <w:rPr>
          <w:b/>
        </w:rPr>
      </w:pPr>
      <w:r w:rsidRPr="0031276E">
        <w:rPr>
          <w:b/>
        </w:rPr>
        <w:t>Treasury material used ‘as supplied’.</w:t>
      </w:r>
    </w:p>
    <w:p w14:paraId="23EC9B88"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71780BB" w14:textId="5AB888BD" w:rsidR="000E0B74" w:rsidRPr="00A13A11" w:rsidRDefault="000E0B74" w:rsidP="000E0B74">
      <w:pPr>
        <w:ind w:firstLine="720"/>
      </w:pPr>
      <w:r w:rsidRPr="002F1BC2">
        <w:rPr>
          <w:i/>
        </w:rPr>
        <w:t xml:space="preserve">Source: The </w:t>
      </w:r>
      <w:r w:rsidRPr="002F1BC2">
        <w:rPr>
          <w:i/>
          <w:iCs/>
        </w:rPr>
        <w:t>Australian Government the Treasury</w:t>
      </w:r>
      <w:r w:rsidR="003C1678">
        <w:t>.</w:t>
      </w:r>
    </w:p>
    <w:p w14:paraId="6BB254F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373133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0B55D3A" w14:textId="5C1C6B9F" w:rsidR="000E0B74" w:rsidRPr="006627B4" w:rsidRDefault="000E0B74" w:rsidP="000E0B74">
      <w:pPr>
        <w:ind w:firstLine="720"/>
      </w:pPr>
      <w:r w:rsidRPr="002F1BC2">
        <w:rPr>
          <w:i/>
        </w:rPr>
        <w:t>Based on The Australian Government the Treasury data</w:t>
      </w:r>
      <w:r w:rsidR="003C1678">
        <w:t>.</w:t>
      </w:r>
    </w:p>
    <w:p w14:paraId="28C66D03" w14:textId="77777777" w:rsidR="000E0B74" w:rsidRPr="006627B4" w:rsidRDefault="000E0B74" w:rsidP="000E0B74">
      <w:pPr>
        <w:spacing w:before="240"/>
        <w:rPr>
          <w:b/>
        </w:rPr>
      </w:pPr>
      <w:r w:rsidRPr="006627B4">
        <w:rPr>
          <w:b/>
        </w:rPr>
        <w:t>Use of the Coat of Arms</w:t>
      </w:r>
    </w:p>
    <w:p w14:paraId="5F50D7FE"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8" w:history="1">
        <w:r w:rsidRPr="005A283B">
          <w:rPr>
            <w:rStyle w:val="Hyperlink"/>
          </w:rPr>
          <w:t>www.pmc.gov.au/government/commonwealth-coat-arm</w:t>
        </w:r>
      </w:hyperlink>
      <w:r w:rsidRPr="004A7BC2">
        <w:t>s).</w:t>
      </w:r>
    </w:p>
    <w:p w14:paraId="3B7B0530" w14:textId="77777777" w:rsidR="000E0B74" w:rsidRPr="006627B4" w:rsidRDefault="000E0B74" w:rsidP="000E0B74">
      <w:pPr>
        <w:spacing w:before="240"/>
        <w:rPr>
          <w:b/>
        </w:rPr>
      </w:pPr>
      <w:r>
        <w:rPr>
          <w:b/>
        </w:rPr>
        <w:t>Other u</w:t>
      </w:r>
      <w:r w:rsidRPr="006627B4">
        <w:rPr>
          <w:b/>
        </w:rPr>
        <w:t>ses</w:t>
      </w:r>
    </w:p>
    <w:p w14:paraId="7982DB13" w14:textId="77777777" w:rsidR="000E0B74" w:rsidRPr="006627B4" w:rsidRDefault="000E0B74" w:rsidP="000E0B74">
      <w:r>
        <w:t>E</w:t>
      </w:r>
      <w:r w:rsidRPr="006627B4">
        <w:t>nquiries regarding this licence and any other use of this document are welcome at:</w:t>
      </w:r>
    </w:p>
    <w:p w14:paraId="2C1B6389"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9" w:history="1">
        <w:r w:rsidR="004A077D" w:rsidRPr="000951A5">
          <w:rPr>
            <w:rStyle w:val="Hyperlink"/>
          </w:rPr>
          <w:t>media@treasury.gov.au</w:t>
        </w:r>
      </w:hyperlink>
      <w:r w:rsidR="004A077D">
        <w:t xml:space="preserve"> </w:t>
      </w:r>
    </w:p>
    <w:p w14:paraId="31C64D85" w14:textId="77777777" w:rsidR="000E0B74" w:rsidRDefault="000E0B74" w:rsidP="000E0B74">
      <w:pPr>
        <w:pStyle w:val="SingleParagraph"/>
        <w:sectPr w:rsidR="000E0B74" w:rsidSect="008043EA">
          <w:headerReference w:type="even" r:id="rId20"/>
          <w:headerReference w:type="default" r:id="rId21"/>
          <w:footerReference w:type="even" r:id="rId22"/>
          <w:pgSz w:w="11906" w:h="16838" w:code="9"/>
          <w:pgMar w:top="1843" w:right="1418" w:bottom="1418" w:left="1418" w:header="709" w:footer="709" w:gutter="0"/>
          <w:pgNumType w:fmt="lowerRoman"/>
          <w:cols w:space="708"/>
          <w:titlePg/>
          <w:docGrid w:linePitch="360"/>
        </w:sectPr>
      </w:pPr>
    </w:p>
    <w:p w14:paraId="1F98BD7C" w14:textId="77777777" w:rsidR="000E0B74" w:rsidRPr="00354FBB" w:rsidRDefault="000E0B74" w:rsidP="00354FBB">
      <w:pPr>
        <w:pStyle w:val="Heading1"/>
      </w:pPr>
      <w:bookmarkStart w:id="0" w:name="_Toc113279191"/>
      <w:r w:rsidRPr="00354FBB">
        <w:lastRenderedPageBreak/>
        <w:t>Contents</w:t>
      </w:r>
      <w:bookmarkEnd w:id="0"/>
    </w:p>
    <w:p w14:paraId="33AFB357" w14:textId="5A4CE4E0" w:rsidR="0043549D"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13279191" w:history="1">
        <w:r w:rsidR="0043549D" w:rsidRPr="00B357C3">
          <w:rPr>
            <w:rStyle w:val="Hyperlink"/>
          </w:rPr>
          <w:t>Contents</w:t>
        </w:r>
        <w:r w:rsidR="0043549D">
          <w:rPr>
            <w:webHidden/>
          </w:rPr>
          <w:tab/>
        </w:r>
        <w:r w:rsidR="0043549D">
          <w:rPr>
            <w:webHidden/>
          </w:rPr>
          <w:fldChar w:fldCharType="begin"/>
        </w:r>
        <w:r w:rsidR="0043549D">
          <w:rPr>
            <w:webHidden/>
          </w:rPr>
          <w:instrText xml:space="preserve"> PAGEREF _Toc113279191 \h </w:instrText>
        </w:r>
        <w:r w:rsidR="0043549D">
          <w:rPr>
            <w:webHidden/>
          </w:rPr>
        </w:r>
        <w:r w:rsidR="0043549D">
          <w:rPr>
            <w:webHidden/>
          </w:rPr>
          <w:fldChar w:fldCharType="separate"/>
        </w:r>
        <w:r w:rsidR="0043549D">
          <w:rPr>
            <w:webHidden/>
          </w:rPr>
          <w:t>ii</w:t>
        </w:r>
        <w:r w:rsidR="0043549D">
          <w:rPr>
            <w:webHidden/>
          </w:rPr>
          <w:fldChar w:fldCharType="end"/>
        </w:r>
      </w:hyperlink>
    </w:p>
    <w:p w14:paraId="767FDB28" w14:textId="4E842D7C" w:rsidR="0043549D" w:rsidRDefault="007A545D">
      <w:pPr>
        <w:pStyle w:val="TOC1"/>
        <w:rPr>
          <w:rFonts w:asciiTheme="minorHAnsi" w:eastAsiaTheme="minorEastAsia" w:hAnsiTheme="minorHAnsi" w:cstheme="minorBidi"/>
          <w:b w:val="0"/>
          <w:color w:val="auto"/>
        </w:rPr>
      </w:pPr>
      <w:hyperlink w:anchor="_Toc113279192" w:history="1">
        <w:r w:rsidR="0043549D" w:rsidRPr="00B357C3">
          <w:rPr>
            <w:rStyle w:val="Hyperlink"/>
          </w:rPr>
          <w:t>Consultation process</w:t>
        </w:r>
        <w:r w:rsidR="0043549D">
          <w:rPr>
            <w:webHidden/>
          </w:rPr>
          <w:tab/>
        </w:r>
        <w:r w:rsidR="0043549D">
          <w:rPr>
            <w:webHidden/>
          </w:rPr>
          <w:fldChar w:fldCharType="begin"/>
        </w:r>
        <w:r w:rsidR="0043549D">
          <w:rPr>
            <w:webHidden/>
          </w:rPr>
          <w:instrText xml:space="preserve"> PAGEREF _Toc113279192 \h </w:instrText>
        </w:r>
        <w:r w:rsidR="0043549D">
          <w:rPr>
            <w:webHidden/>
          </w:rPr>
        </w:r>
        <w:r w:rsidR="0043549D">
          <w:rPr>
            <w:webHidden/>
          </w:rPr>
          <w:fldChar w:fldCharType="separate"/>
        </w:r>
        <w:r w:rsidR="0043549D">
          <w:rPr>
            <w:webHidden/>
          </w:rPr>
          <w:t>3</w:t>
        </w:r>
        <w:r w:rsidR="0043549D">
          <w:rPr>
            <w:webHidden/>
          </w:rPr>
          <w:fldChar w:fldCharType="end"/>
        </w:r>
      </w:hyperlink>
    </w:p>
    <w:p w14:paraId="22078378" w14:textId="7B3D01F3" w:rsidR="0043549D" w:rsidRDefault="007A545D">
      <w:pPr>
        <w:pStyle w:val="TOC2"/>
        <w:rPr>
          <w:rFonts w:asciiTheme="minorHAnsi" w:eastAsiaTheme="minorEastAsia" w:hAnsiTheme="minorHAnsi" w:cstheme="minorBidi"/>
          <w:color w:val="auto"/>
          <w:szCs w:val="22"/>
        </w:rPr>
      </w:pPr>
      <w:hyperlink w:anchor="_Toc113279193" w:history="1">
        <w:r w:rsidR="0043549D" w:rsidRPr="00B357C3">
          <w:rPr>
            <w:rStyle w:val="Hyperlink"/>
          </w:rPr>
          <w:t>Request for feedback and comments</w:t>
        </w:r>
        <w:r w:rsidR="0043549D">
          <w:rPr>
            <w:webHidden/>
          </w:rPr>
          <w:tab/>
        </w:r>
        <w:r w:rsidR="0043549D">
          <w:rPr>
            <w:webHidden/>
          </w:rPr>
          <w:fldChar w:fldCharType="begin"/>
        </w:r>
        <w:r w:rsidR="0043549D">
          <w:rPr>
            <w:webHidden/>
          </w:rPr>
          <w:instrText xml:space="preserve"> PAGEREF _Toc113279193 \h </w:instrText>
        </w:r>
        <w:r w:rsidR="0043549D">
          <w:rPr>
            <w:webHidden/>
          </w:rPr>
        </w:r>
        <w:r w:rsidR="0043549D">
          <w:rPr>
            <w:webHidden/>
          </w:rPr>
          <w:fldChar w:fldCharType="separate"/>
        </w:r>
        <w:r w:rsidR="0043549D">
          <w:rPr>
            <w:webHidden/>
          </w:rPr>
          <w:t>3</w:t>
        </w:r>
        <w:r w:rsidR="0043549D">
          <w:rPr>
            <w:webHidden/>
          </w:rPr>
          <w:fldChar w:fldCharType="end"/>
        </w:r>
      </w:hyperlink>
    </w:p>
    <w:p w14:paraId="154B68D7" w14:textId="01CAA3F8" w:rsidR="0043549D" w:rsidRDefault="007A545D">
      <w:pPr>
        <w:pStyle w:val="TOC1"/>
        <w:rPr>
          <w:rFonts w:asciiTheme="minorHAnsi" w:eastAsiaTheme="minorEastAsia" w:hAnsiTheme="minorHAnsi" w:cstheme="minorBidi"/>
          <w:b w:val="0"/>
          <w:color w:val="auto"/>
        </w:rPr>
      </w:pPr>
      <w:hyperlink w:anchor="_Toc113279194" w:history="1">
        <w:r w:rsidR="0043549D" w:rsidRPr="00B357C3">
          <w:rPr>
            <w:rStyle w:val="Hyperlink"/>
          </w:rPr>
          <w:t>Your Future, Your Super review</w:t>
        </w:r>
        <w:r w:rsidR="0043549D">
          <w:rPr>
            <w:webHidden/>
          </w:rPr>
          <w:tab/>
        </w:r>
        <w:r w:rsidR="0043549D">
          <w:rPr>
            <w:webHidden/>
          </w:rPr>
          <w:fldChar w:fldCharType="begin"/>
        </w:r>
        <w:r w:rsidR="0043549D">
          <w:rPr>
            <w:webHidden/>
          </w:rPr>
          <w:instrText xml:space="preserve"> PAGEREF _Toc113279194 \h </w:instrText>
        </w:r>
        <w:r w:rsidR="0043549D">
          <w:rPr>
            <w:webHidden/>
          </w:rPr>
        </w:r>
        <w:r w:rsidR="0043549D">
          <w:rPr>
            <w:webHidden/>
          </w:rPr>
          <w:fldChar w:fldCharType="separate"/>
        </w:r>
        <w:r w:rsidR="0043549D">
          <w:rPr>
            <w:webHidden/>
          </w:rPr>
          <w:t>4</w:t>
        </w:r>
        <w:r w:rsidR="0043549D">
          <w:rPr>
            <w:webHidden/>
          </w:rPr>
          <w:fldChar w:fldCharType="end"/>
        </w:r>
      </w:hyperlink>
    </w:p>
    <w:p w14:paraId="0901B635" w14:textId="27CA2409" w:rsidR="0043549D" w:rsidRDefault="007A545D">
      <w:pPr>
        <w:pStyle w:val="TOC2"/>
        <w:rPr>
          <w:rFonts w:asciiTheme="minorHAnsi" w:eastAsiaTheme="minorEastAsia" w:hAnsiTheme="minorHAnsi" w:cstheme="minorBidi"/>
          <w:color w:val="auto"/>
          <w:szCs w:val="22"/>
        </w:rPr>
      </w:pPr>
      <w:hyperlink w:anchor="_Toc113279195" w:history="1">
        <w:r w:rsidR="0043549D" w:rsidRPr="00B357C3">
          <w:rPr>
            <w:rStyle w:val="Hyperlink"/>
          </w:rPr>
          <w:t>Background</w:t>
        </w:r>
        <w:r w:rsidR="0043549D">
          <w:rPr>
            <w:webHidden/>
          </w:rPr>
          <w:tab/>
        </w:r>
        <w:r w:rsidR="0043549D">
          <w:rPr>
            <w:webHidden/>
          </w:rPr>
          <w:fldChar w:fldCharType="begin"/>
        </w:r>
        <w:r w:rsidR="0043549D">
          <w:rPr>
            <w:webHidden/>
          </w:rPr>
          <w:instrText xml:space="preserve"> PAGEREF _Toc113279195 \h </w:instrText>
        </w:r>
        <w:r w:rsidR="0043549D">
          <w:rPr>
            <w:webHidden/>
          </w:rPr>
        </w:r>
        <w:r w:rsidR="0043549D">
          <w:rPr>
            <w:webHidden/>
          </w:rPr>
          <w:fldChar w:fldCharType="separate"/>
        </w:r>
        <w:r w:rsidR="0043549D">
          <w:rPr>
            <w:webHidden/>
          </w:rPr>
          <w:t>4</w:t>
        </w:r>
        <w:r w:rsidR="0043549D">
          <w:rPr>
            <w:webHidden/>
          </w:rPr>
          <w:fldChar w:fldCharType="end"/>
        </w:r>
      </w:hyperlink>
    </w:p>
    <w:p w14:paraId="21B7C847" w14:textId="51FBCF70" w:rsidR="0043549D" w:rsidRDefault="007A545D">
      <w:pPr>
        <w:pStyle w:val="TOC2"/>
        <w:rPr>
          <w:rFonts w:asciiTheme="minorHAnsi" w:eastAsiaTheme="minorEastAsia" w:hAnsiTheme="minorHAnsi" w:cstheme="minorBidi"/>
          <w:color w:val="auto"/>
          <w:szCs w:val="22"/>
        </w:rPr>
      </w:pPr>
      <w:hyperlink w:anchor="_Toc113279196" w:history="1">
        <w:r w:rsidR="0043549D" w:rsidRPr="00B357C3">
          <w:rPr>
            <w:rStyle w:val="Hyperlink"/>
          </w:rPr>
          <w:t>Purpose</w:t>
        </w:r>
        <w:r w:rsidR="0043549D">
          <w:rPr>
            <w:webHidden/>
          </w:rPr>
          <w:tab/>
        </w:r>
        <w:r w:rsidR="0043549D">
          <w:rPr>
            <w:webHidden/>
          </w:rPr>
          <w:fldChar w:fldCharType="begin"/>
        </w:r>
        <w:r w:rsidR="0043549D">
          <w:rPr>
            <w:webHidden/>
          </w:rPr>
          <w:instrText xml:space="preserve"> PAGEREF _Toc113279196 \h </w:instrText>
        </w:r>
        <w:r w:rsidR="0043549D">
          <w:rPr>
            <w:webHidden/>
          </w:rPr>
        </w:r>
        <w:r w:rsidR="0043549D">
          <w:rPr>
            <w:webHidden/>
          </w:rPr>
          <w:fldChar w:fldCharType="separate"/>
        </w:r>
        <w:r w:rsidR="0043549D">
          <w:rPr>
            <w:webHidden/>
          </w:rPr>
          <w:t>4</w:t>
        </w:r>
        <w:r w:rsidR="0043549D">
          <w:rPr>
            <w:webHidden/>
          </w:rPr>
          <w:fldChar w:fldCharType="end"/>
        </w:r>
      </w:hyperlink>
    </w:p>
    <w:p w14:paraId="228B080A" w14:textId="6B8F4926" w:rsidR="0043549D" w:rsidRDefault="007A545D">
      <w:pPr>
        <w:pStyle w:val="TOC2"/>
        <w:rPr>
          <w:rFonts w:asciiTheme="minorHAnsi" w:eastAsiaTheme="minorEastAsia" w:hAnsiTheme="minorHAnsi" w:cstheme="minorBidi"/>
          <w:color w:val="auto"/>
          <w:szCs w:val="22"/>
        </w:rPr>
      </w:pPr>
      <w:hyperlink w:anchor="_Toc113279197" w:history="1">
        <w:r w:rsidR="0043549D" w:rsidRPr="00B357C3">
          <w:rPr>
            <w:rStyle w:val="Hyperlink"/>
          </w:rPr>
          <w:t>Issues for discussion</w:t>
        </w:r>
        <w:r w:rsidR="0043549D">
          <w:rPr>
            <w:webHidden/>
          </w:rPr>
          <w:tab/>
        </w:r>
        <w:r w:rsidR="0043549D">
          <w:rPr>
            <w:webHidden/>
          </w:rPr>
          <w:fldChar w:fldCharType="begin"/>
        </w:r>
        <w:r w:rsidR="0043549D">
          <w:rPr>
            <w:webHidden/>
          </w:rPr>
          <w:instrText xml:space="preserve"> PAGEREF _Toc113279197 \h </w:instrText>
        </w:r>
        <w:r w:rsidR="0043549D">
          <w:rPr>
            <w:webHidden/>
          </w:rPr>
        </w:r>
        <w:r w:rsidR="0043549D">
          <w:rPr>
            <w:webHidden/>
          </w:rPr>
          <w:fldChar w:fldCharType="separate"/>
        </w:r>
        <w:r w:rsidR="0043549D">
          <w:rPr>
            <w:webHidden/>
          </w:rPr>
          <w:t>5</w:t>
        </w:r>
        <w:r w:rsidR="0043549D">
          <w:rPr>
            <w:webHidden/>
          </w:rPr>
          <w:fldChar w:fldCharType="end"/>
        </w:r>
      </w:hyperlink>
    </w:p>
    <w:p w14:paraId="4AC01C9B" w14:textId="4ED0FB82" w:rsidR="0043549D" w:rsidRDefault="007A545D">
      <w:pPr>
        <w:pStyle w:val="TOC3"/>
        <w:rPr>
          <w:rFonts w:asciiTheme="minorHAnsi" w:eastAsiaTheme="minorEastAsia" w:hAnsiTheme="minorHAnsi" w:cstheme="minorBidi"/>
          <w:szCs w:val="22"/>
        </w:rPr>
      </w:pPr>
      <w:hyperlink w:anchor="_Toc113279198" w:history="1">
        <w:r w:rsidR="0043549D" w:rsidRPr="00B357C3">
          <w:rPr>
            <w:rStyle w:val="Hyperlink"/>
          </w:rPr>
          <w:t>Performance test</w:t>
        </w:r>
        <w:r w:rsidR="0043549D">
          <w:rPr>
            <w:webHidden/>
          </w:rPr>
          <w:tab/>
        </w:r>
        <w:r w:rsidR="0043549D">
          <w:rPr>
            <w:webHidden/>
          </w:rPr>
          <w:fldChar w:fldCharType="begin"/>
        </w:r>
        <w:r w:rsidR="0043549D">
          <w:rPr>
            <w:webHidden/>
          </w:rPr>
          <w:instrText xml:space="preserve"> PAGEREF _Toc113279198 \h </w:instrText>
        </w:r>
        <w:r w:rsidR="0043549D">
          <w:rPr>
            <w:webHidden/>
          </w:rPr>
        </w:r>
        <w:r w:rsidR="0043549D">
          <w:rPr>
            <w:webHidden/>
          </w:rPr>
          <w:fldChar w:fldCharType="separate"/>
        </w:r>
        <w:r w:rsidR="0043549D">
          <w:rPr>
            <w:webHidden/>
          </w:rPr>
          <w:t>5</w:t>
        </w:r>
        <w:r w:rsidR="0043549D">
          <w:rPr>
            <w:webHidden/>
          </w:rPr>
          <w:fldChar w:fldCharType="end"/>
        </w:r>
      </w:hyperlink>
    </w:p>
    <w:p w14:paraId="47165042" w14:textId="63087933" w:rsidR="0043549D" w:rsidRDefault="007A545D">
      <w:pPr>
        <w:pStyle w:val="TOC3"/>
        <w:rPr>
          <w:rFonts w:asciiTheme="minorHAnsi" w:eastAsiaTheme="minorEastAsia" w:hAnsiTheme="minorHAnsi" w:cstheme="minorBidi"/>
          <w:szCs w:val="22"/>
        </w:rPr>
      </w:pPr>
      <w:hyperlink w:anchor="_Toc113279199" w:history="1">
        <w:r w:rsidR="0043549D" w:rsidRPr="00B357C3">
          <w:rPr>
            <w:rStyle w:val="Hyperlink"/>
          </w:rPr>
          <w:t>YourSuper comparison tool</w:t>
        </w:r>
        <w:r w:rsidR="0043549D">
          <w:rPr>
            <w:webHidden/>
          </w:rPr>
          <w:tab/>
        </w:r>
        <w:r w:rsidR="0043549D">
          <w:rPr>
            <w:webHidden/>
          </w:rPr>
          <w:fldChar w:fldCharType="begin"/>
        </w:r>
        <w:r w:rsidR="0043549D">
          <w:rPr>
            <w:webHidden/>
          </w:rPr>
          <w:instrText xml:space="preserve"> PAGEREF _Toc113279199 \h </w:instrText>
        </w:r>
        <w:r w:rsidR="0043549D">
          <w:rPr>
            <w:webHidden/>
          </w:rPr>
        </w:r>
        <w:r w:rsidR="0043549D">
          <w:rPr>
            <w:webHidden/>
          </w:rPr>
          <w:fldChar w:fldCharType="separate"/>
        </w:r>
        <w:r w:rsidR="0043549D">
          <w:rPr>
            <w:webHidden/>
          </w:rPr>
          <w:t>9</w:t>
        </w:r>
        <w:r w:rsidR="0043549D">
          <w:rPr>
            <w:webHidden/>
          </w:rPr>
          <w:fldChar w:fldCharType="end"/>
        </w:r>
      </w:hyperlink>
    </w:p>
    <w:p w14:paraId="3E11C7AC" w14:textId="0C32AEE8" w:rsidR="0043549D" w:rsidRDefault="007A545D">
      <w:pPr>
        <w:pStyle w:val="TOC3"/>
        <w:rPr>
          <w:rFonts w:asciiTheme="minorHAnsi" w:eastAsiaTheme="minorEastAsia" w:hAnsiTheme="minorHAnsi" w:cstheme="minorBidi"/>
          <w:szCs w:val="22"/>
        </w:rPr>
      </w:pPr>
      <w:hyperlink w:anchor="_Toc113279200" w:history="1">
        <w:r w:rsidR="0043549D" w:rsidRPr="00B357C3">
          <w:rPr>
            <w:rStyle w:val="Hyperlink"/>
          </w:rPr>
          <w:t>Stapling</w:t>
        </w:r>
        <w:r w:rsidR="0043549D">
          <w:rPr>
            <w:webHidden/>
          </w:rPr>
          <w:tab/>
        </w:r>
        <w:r w:rsidR="0043549D">
          <w:rPr>
            <w:webHidden/>
          </w:rPr>
          <w:fldChar w:fldCharType="begin"/>
        </w:r>
        <w:r w:rsidR="0043549D">
          <w:rPr>
            <w:webHidden/>
          </w:rPr>
          <w:instrText xml:space="preserve"> PAGEREF _Toc113279200 \h </w:instrText>
        </w:r>
        <w:r w:rsidR="0043549D">
          <w:rPr>
            <w:webHidden/>
          </w:rPr>
        </w:r>
        <w:r w:rsidR="0043549D">
          <w:rPr>
            <w:webHidden/>
          </w:rPr>
          <w:fldChar w:fldCharType="separate"/>
        </w:r>
        <w:r w:rsidR="0043549D">
          <w:rPr>
            <w:webHidden/>
          </w:rPr>
          <w:t>11</w:t>
        </w:r>
        <w:r w:rsidR="0043549D">
          <w:rPr>
            <w:webHidden/>
          </w:rPr>
          <w:fldChar w:fldCharType="end"/>
        </w:r>
      </w:hyperlink>
    </w:p>
    <w:p w14:paraId="4B25E734" w14:textId="11D2F348" w:rsidR="0043549D" w:rsidRDefault="007A545D">
      <w:pPr>
        <w:pStyle w:val="TOC3"/>
        <w:rPr>
          <w:rFonts w:asciiTheme="minorHAnsi" w:eastAsiaTheme="minorEastAsia" w:hAnsiTheme="minorHAnsi" w:cstheme="minorBidi"/>
          <w:szCs w:val="22"/>
        </w:rPr>
      </w:pPr>
      <w:hyperlink w:anchor="_Toc113279201" w:history="1">
        <w:r w:rsidR="0043549D" w:rsidRPr="00B357C3">
          <w:rPr>
            <w:rStyle w:val="Hyperlink"/>
          </w:rPr>
          <w:t>Best financial interests duty</w:t>
        </w:r>
        <w:r w:rsidR="0043549D">
          <w:rPr>
            <w:webHidden/>
          </w:rPr>
          <w:tab/>
        </w:r>
        <w:r w:rsidR="0043549D">
          <w:rPr>
            <w:webHidden/>
          </w:rPr>
          <w:fldChar w:fldCharType="begin"/>
        </w:r>
        <w:r w:rsidR="0043549D">
          <w:rPr>
            <w:webHidden/>
          </w:rPr>
          <w:instrText xml:space="preserve"> PAGEREF _Toc113279201 \h </w:instrText>
        </w:r>
        <w:r w:rsidR="0043549D">
          <w:rPr>
            <w:webHidden/>
          </w:rPr>
        </w:r>
        <w:r w:rsidR="0043549D">
          <w:rPr>
            <w:webHidden/>
          </w:rPr>
          <w:fldChar w:fldCharType="separate"/>
        </w:r>
        <w:r w:rsidR="0043549D">
          <w:rPr>
            <w:webHidden/>
          </w:rPr>
          <w:t>12</w:t>
        </w:r>
        <w:r w:rsidR="0043549D">
          <w:rPr>
            <w:webHidden/>
          </w:rPr>
          <w:fldChar w:fldCharType="end"/>
        </w:r>
      </w:hyperlink>
    </w:p>
    <w:p w14:paraId="0536027E" w14:textId="082387F1" w:rsidR="000E0B74" w:rsidRDefault="00257AEE" w:rsidP="00656356">
      <w:pPr>
        <w:pStyle w:val="SingleParagraph"/>
        <w:tabs>
          <w:tab w:val="right" w:leader="dot" w:pos="9072"/>
        </w:tabs>
        <w:ind w:right="-2"/>
        <w:sectPr w:rsidR="000E0B74" w:rsidSect="008043EA">
          <w:footerReference w:type="default" r:id="rId23"/>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40A41EA" w14:textId="7221D0C7" w:rsidR="000E0B74" w:rsidRDefault="000E0B74" w:rsidP="00354FBB">
      <w:pPr>
        <w:pStyle w:val="Heading1"/>
      </w:pPr>
      <w:bookmarkStart w:id="1" w:name="_Toc113279192"/>
      <w:bookmarkStart w:id="2" w:name="_Toc432067103"/>
      <w:r>
        <w:lastRenderedPageBreak/>
        <w:t xml:space="preserve">Consultation </w:t>
      </w:r>
      <w:r w:rsidR="00257E3F">
        <w:t>p</w:t>
      </w:r>
      <w:r>
        <w:t>rocess</w:t>
      </w:r>
      <w:bookmarkEnd w:id="1"/>
    </w:p>
    <w:p w14:paraId="188F72F2" w14:textId="77777777" w:rsidR="000E0B74" w:rsidRDefault="000E0B74" w:rsidP="000E0B74">
      <w:pPr>
        <w:pStyle w:val="Heading2"/>
      </w:pPr>
      <w:bookmarkStart w:id="3" w:name="_Toc113279193"/>
      <w:r>
        <w:t>Request for feedback and comments</w:t>
      </w:r>
      <w:bookmarkEnd w:id="3"/>
    </w:p>
    <w:p w14:paraId="52396596" w14:textId="2DDB7024" w:rsidR="000E0B74" w:rsidRDefault="003554D5" w:rsidP="000E0B74">
      <w:r>
        <w:t xml:space="preserve">The purpose of this paper is to seek feedback </w:t>
      </w:r>
      <w:r w:rsidR="00584D6A">
        <w:t xml:space="preserve">on </w:t>
      </w:r>
      <w:r w:rsidR="007B5A32">
        <w:t xml:space="preserve">any </w:t>
      </w:r>
      <w:r w:rsidR="00584D6A">
        <w:t xml:space="preserve">unintended consequences and implementation issues from the Your Future, Your Super </w:t>
      </w:r>
      <w:r w:rsidR="00144C84">
        <w:t>measures</w:t>
      </w:r>
      <w:r w:rsidR="00584D6A">
        <w:t xml:space="preserve">. </w:t>
      </w:r>
    </w:p>
    <w:p w14:paraId="1CD53EE8" w14:textId="3330749B" w:rsidR="00584D6A" w:rsidRDefault="00584D6A" w:rsidP="000E0B74">
      <w:r>
        <w:t xml:space="preserve">Submissions in response to this paper should be provided </w:t>
      </w:r>
      <w:r w:rsidR="00E72E25">
        <w:t xml:space="preserve">electronically </w:t>
      </w:r>
      <w:r>
        <w:t xml:space="preserve">by close of business </w:t>
      </w:r>
      <w:r w:rsidR="007B5A32">
        <w:t xml:space="preserve">on </w:t>
      </w:r>
      <w:r w:rsidR="00257E3F" w:rsidRPr="002604F1">
        <w:t>14</w:t>
      </w:r>
      <w:r w:rsidR="00AB06C8" w:rsidRPr="002604F1">
        <w:t> </w:t>
      </w:r>
      <w:r w:rsidRPr="002604F1">
        <w:t>October 2022</w:t>
      </w:r>
      <w:r>
        <w:t>. For accessibility reasons, please submit responses by email in Word or PDF format.</w:t>
      </w:r>
    </w:p>
    <w:p w14:paraId="17843FC9" w14:textId="7FE7E1A5" w:rsidR="00584D6A" w:rsidRDefault="00584D6A" w:rsidP="000E0B74">
      <w:r>
        <w:t>All information (including name and address details) contained in submissions may be made available to the public on the Treasury website unless you indicate that you would like all or part of your submission</w:t>
      </w:r>
      <w:r w:rsidR="00E96DD6">
        <w:t xml:space="preserve">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7DC86DC6" w14:textId="2C7A68A9" w:rsidR="00E96DD6" w:rsidRDefault="00E96DD6" w:rsidP="000E0B74">
      <w:r>
        <w:t xml:space="preserve">Legal requirements, such as those imposed by the </w:t>
      </w:r>
      <w:r w:rsidRPr="00E96DD6">
        <w:rPr>
          <w:i/>
          <w:iCs/>
        </w:rPr>
        <w:t>Freedom of Information Act 1982</w:t>
      </w:r>
      <w:r>
        <w:t>, may affect the confidentiality of your submission.</w:t>
      </w:r>
    </w:p>
    <w:p w14:paraId="7EFB03C1" w14:textId="575134C8" w:rsidR="000E0B74" w:rsidRDefault="000E0B74" w:rsidP="00257AEE">
      <w:pPr>
        <w:pStyle w:val="Heading3noTOC"/>
      </w:pPr>
      <w:r>
        <w:t xml:space="preserve">Closing date for submissions: </w:t>
      </w:r>
      <w:sdt>
        <w:sdtPr>
          <w:rPr>
            <w:rStyle w:val="Heading3Char"/>
            <w:color w:val="auto"/>
          </w:rPr>
          <w:id w:val="1454836312"/>
          <w:placeholder>
            <w:docPart w:val="B1B0DA7D87A240E2981156C326608D75"/>
          </w:placeholder>
          <w:date w:fullDate="2022-10-14T00:00:00Z">
            <w:dateFormat w:val="dd MMMM yyyy"/>
            <w:lid w:val="en-AU"/>
            <w:storeMappedDataAs w:val="dateTime"/>
            <w:calendar w:val="gregorian"/>
          </w:date>
        </w:sdtPr>
        <w:sdtEndPr>
          <w:rPr>
            <w:rStyle w:val="DefaultParagraphFont"/>
            <w:rFonts w:cs="Calibri"/>
            <w:b/>
          </w:rPr>
        </w:sdtEndPr>
        <w:sdtContent>
          <w:r w:rsidR="007B5A32" w:rsidRPr="002604F1">
            <w:rPr>
              <w:rStyle w:val="Heading3Char"/>
              <w:color w:val="auto"/>
            </w:rPr>
            <w:t>14 October 2022</w:t>
          </w:r>
        </w:sdtContent>
      </w:sdt>
    </w:p>
    <w:tbl>
      <w:tblPr>
        <w:tblStyle w:val="TableGrid"/>
        <w:tblW w:w="0" w:type="auto"/>
        <w:tblLook w:val="04A0" w:firstRow="1" w:lastRow="0" w:firstColumn="1" w:lastColumn="0" w:noHBand="0" w:noVBand="1"/>
      </w:tblPr>
      <w:tblGrid>
        <w:gridCol w:w="1517"/>
        <w:gridCol w:w="7553"/>
      </w:tblGrid>
      <w:tr w:rsidR="000E0B74" w:rsidRPr="00B85F47" w14:paraId="090E09F4" w14:textId="77777777" w:rsidTr="00E72E25">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auto"/>
          </w:tcPr>
          <w:p w14:paraId="7ECC0243" w14:textId="77777777" w:rsidR="000E0B74" w:rsidRPr="00B85F47" w:rsidRDefault="000E0B74" w:rsidP="0017089D">
            <w:pPr>
              <w:spacing w:before="96" w:after="96"/>
              <w:rPr>
                <w:sz w:val="22"/>
                <w:szCs w:val="22"/>
              </w:rPr>
            </w:pPr>
            <w:r w:rsidRPr="00B85F47">
              <w:rPr>
                <w:sz w:val="22"/>
                <w:szCs w:val="22"/>
              </w:rPr>
              <w:t>Email</w:t>
            </w:r>
          </w:p>
        </w:tc>
        <w:tc>
          <w:tcPr>
            <w:tcW w:w="7553" w:type="dxa"/>
            <w:shd w:val="clear" w:color="auto" w:fill="auto"/>
          </w:tcPr>
          <w:p w14:paraId="737FCDFB" w14:textId="786A8684" w:rsidR="000E0B74" w:rsidRPr="00B85F47" w:rsidRDefault="00E9728E" w:rsidP="00516785">
            <w:pPr>
              <w:spacing w:before="96" w:after="96"/>
              <w:rPr>
                <w:sz w:val="22"/>
                <w:szCs w:val="22"/>
              </w:rPr>
            </w:pPr>
            <w:r>
              <w:rPr>
                <w:rFonts w:cs="Arial"/>
                <w:szCs w:val="22"/>
              </w:rPr>
              <w:t>YFYS@treasury.gov.au</w:t>
            </w:r>
          </w:p>
        </w:tc>
      </w:tr>
      <w:tr w:rsidR="000E0B74" w:rsidRPr="00B85F47" w14:paraId="04874F7A" w14:textId="77777777" w:rsidTr="00E72E25">
        <w:tc>
          <w:tcPr>
            <w:tcW w:w="1517" w:type="dxa"/>
          </w:tcPr>
          <w:p w14:paraId="3617480E" w14:textId="77777777" w:rsidR="000E0B74" w:rsidRPr="00BB5D49" w:rsidRDefault="000E0B74" w:rsidP="0017089D">
            <w:pPr>
              <w:rPr>
                <w:sz w:val="22"/>
                <w:szCs w:val="22"/>
              </w:rPr>
            </w:pPr>
            <w:r w:rsidRPr="008F75E1">
              <w:rPr>
                <w:sz w:val="22"/>
                <w:szCs w:val="22"/>
              </w:rPr>
              <w:t>Enquiries</w:t>
            </w:r>
          </w:p>
        </w:tc>
        <w:tc>
          <w:tcPr>
            <w:tcW w:w="7553" w:type="dxa"/>
          </w:tcPr>
          <w:p w14:paraId="363403EC" w14:textId="41BC972D" w:rsidR="000E0B74" w:rsidRPr="008F75E1" w:rsidRDefault="000E0B74" w:rsidP="0017089D">
            <w:pPr>
              <w:rPr>
                <w:sz w:val="22"/>
                <w:szCs w:val="22"/>
              </w:rPr>
            </w:pPr>
            <w:r w:rsidRPr="004D1172">
              <w:rPr>
                <w:rFonts w:cs="Arial"/>
                <w:szCs w:val="22"/>
              </w:rPr>
              <w:t xml:space="preserve">Enquiries can be initially directed to </w:t>
            </w:r>
            <w:r w:rsidR="008F7CB5" w:rsidRPr="004D1172">
              <w:rPr>
                <w:rFonts w:cs="Arial"/>
                <w:szCs w:val="22"/>
              </w:rPr>
              <w:t xml:space="preserve">the </w:t>
            </w:r>
            <w:r w:rsidR="00E72E25">
              <w:rPr>
                <w:rFonts w:cs="Arial"/>
                <w:szCs w:val="22"/>
              </w:rPr>
              <w:t xml:space="preserve">Director of the </w:t>
            </w:r>
            <w:r w:rsidR="008F7CB5" w:rsidRPr="004D1172">
              <w:rPr>
                <w:rFonts w:cs="Arial"/>
                <w:szCs w:val="22"/>
              </w:rPr>
              <w:t>Superannuation, Efficiency and Performance Unit.</w:t>
            </w:r>
          </w:p>
        </w:tc>
      </w:tr>
      <w:bookmarkEnd w:id="2"/>
    </w:tbl>
    <w:p w14:paraId="76D2B222" w14:textId="77777777" w:rsidR="00E10D39" w:rsidRDefault="00E10D39" w:rsidP="0007102C"/>
    <w:p w14:paraId="483C0666" w14:textId="77777777" w:rsidR="008D7F38" w:rsidRPr="008D7F38" w:rsidRDefault="008D7F38" w:rsidP="008D7F38"/>
    <w:p w14:paraId="41CE614E" w14:textId="77777777" w:rsidR="00E10D39" w:rsidRDefault="00E10D39">
      <w:pPr>
        <w:spacing w:before="0" w:after="160" w:line="259" w:lineRule="auto"/>
        <w:rPr>
          <w:rFonts w:cs="Arial"/>
          <w:color w:val="004A7F"/>
          <w:kern w:val="32"/>
          <w:sz w:val="48"/>
          <w:szCs w:val="36"/>
        </w:rPr>
      </w:pPr>
      <w:r>
        <w:br w:type="page"/>
      </w:r>
    </w:p>
    <w:p w14:paraId="2577B68B" w14:textId="4387815A" w:rsidR="000E0B74" w:rsidRDefault="00851630" w:rsidP="00354FBB">
      <w:pPr>
        <w:pStyle w:val="Heading1"/>
      </w:pPr>
      <w:bookmarkStart w:id="4" w:name="_Toc113279194"/>
      <w:r>
        <w:lastRenderedPageBreak/>
        <w:t>Your Future, Your Super review</w:t>
      </w:r>
      <w:bookmarkEnd w:id="4"/>
    </w:p>
    <w:p w14:paraId="7CA2B7BA" w14:textId="564E7774" w:rsidR="000E0B74" w:rsidRDefault="000E0B74" w:rsidP="008043EA">
      <w:pPr>
        <w:pStyle w:val="Heading2"/>
      </w:pPr>
      <w:bookmarkStart w:id="5" w:name="_Toc306887371"/>
      <w:bookmarkStart w:id="6" w:name="_Toc432064635"/>
      <w:bookmarkStart w:id="7" w:name="_Toc113279195"/>
      <w:r>
        <w:t>Background</w:t>
      </w:r>
      <w:bookmarkEnd w:id="5"/>
      <w:bookmarkEnd w:id="6"/>
      <w:bookmarkEnd w:id="7"/>
    </w:p>
    <w:p w14:paraId="3C583937" w14:textId="2AEA855E" w:rsidR="0077496F" w:rsidRDefault="0077496F" w:rsidP="0077496F">
      <w:r>
        <w:t xml:space="preserve">The </w:t>
      </w:r>
      <w:r w:rsidRPr="00A27A30">
        <w:rPr>
          <w:i/>
          <w:iCs/>
        </w:rPr>
        <w:t>Treasury Laws Amendment (Your Future, Your Super) Act 2021</w:t>
      </w:r>
      <w:r w:rsidRPr="00565917">
        <w:t xml:space="preserve"> </w:t>
      </w:r>
      <w:r>
        <w:t>received royal assent on 22</w:t>
      </w:r>
      <w:r w:rsidR="00A27A30">
        <w:t> </w:t>
      </w:r>
      <w:r>
        <w:t>June</w:t>
      </w:r>
      <w:r w:rsidR="00A27A30">
        <w:t> </w:t>
      </w:r>
      <w:r>
        <w:t>2021 with supporting regulations made in August 2021. The Your Future, Your Super (YFYS) measures, which are now law, are aimed at increasing member engagement, reducing fees, increasing performance, and holding trustees to account for the decisions they make.</w:t>
      </w:r>
    </w:p>
    <w:p w14:paraId="277D1541" w14:textId="7BF70122" w:rsidR="00C64F68" w:rsidRDefault="00CB5CC4" w:rsidP="00A8101A">
      <w:r>
        <w:t>The YFYS</w:t>
      </w:r>
      <w:r w:rsidR="00A27832">
        <w:t xml:space="preserve"> measures </w:t>
      </w:r>
      <w:r w:rsidR="00CF7259">
        <w:t>involve four key elements</w:t>
      </w:r>
      <w:r>
        <w:t xml:space="preserve"> to improve the superannuation system:</w:t>
      </w:r>
    </w:p>
    <w:p w14:paraId="00E132FC" w14:textId="504AE4C5" w:rsidR="004C3F32" w:rsidRDefault="00CF7259" w:rsidP="00292167">
      <w:pPr>
        <w:pStyle w:val="Bullet"/>
        <w:tabs>
          <w:tab w:val="clear" w:pos="1040"/>
          <w:tab w:val="num" w:pos="567"/>
        </w:tabs>
        <w:ind w:left="709" w:hanging="189"/>
      </w:pPr>
      <w:r w:rsidRPr="00463B28">
        <w:rPr>
          <w:b/>
        </w:rPr>
        <w:t>Performance test</w:t>
      </w:r>
      <w:r w:rsidRPr="00463B28">
        <w:t xml:space="preserve"> — Products are subject to an annual performance test with clear </w:t>
      </w:r>
      <w:r w:rsidRPr="00463B28">
        <w:rPr>
          <w:bCs/>
          <w:iCs/>
        </w:rPr>
        <w:t>consequences.</w:t>
      </w:r>
      <w:r w:rsidR="004C3F32" w:rsidRPr="00510CB3">
        <w:t xml:space="preserve"> </w:t>
      </w:r>
      <w:r w:rsidR="008F75E1">
        <w:t>The test applied</w:t>
      </w:r>
      <w:r w:rsidR="004C3F32">
        <w:t xml:space="preserve"> to </w:t>
      </w:r>
      <w:proofErr w:type="spellStart"/>
      <w:r w:rsidR="004C3F32">
        <w:t>MySuper</w:t>
      </w:r>
      <w:proofErr w:type="spellEnd"/>
      <w:r w:rsidR="004C3F32">
        <w:t xml:space="preserve"> products from 1 July 2021</w:t>
      </w:r>
      <w:r w:rsidR="008F75E1">
        <w:t>. The test was designed</w:t>
      </w:r>
      <w:r w:rsidR="004C3F32">
        <w:t xml:space="preserve"> to protect members from </w:t>
      </w:r>
      <w:r w:rsidR="00AB1AB8" w:rsidDel="008F75E1">
        <w:t>underperformance</w:t>
      </w:r>
      <w:r w:rsidR="008F75E1">
        <w:t xml:space="preserve"> by holding </w:t>
      </w:r>
      <w:r w:rsidR="003C780D">
        <w:t>trustees</w:t>
      </w:r>
      <w:r w:rsidR="008F75E1">
        <w:t xml:space="preserve"> accountable for the</w:t>
      </w:r>
      <w:r w:rsidR="003C780D">
        <w:t xml:space="preserve"> investment </w:t>
      </w:r>
      <w:r w:rsidR="008F75E1">
        <w:t>performance</w:t>
      </w:r>
      <w:r w:rsidR="00AB1AB8">
        <w:t xml:space="preserve"> </w:t>
      </w:r>
      <w:r w:rsidR="003C780D">
        <w:t xml:space="preserve">they deliver to members </w:t>
      </w:r>
      <w:r w:rsidR="00AB1AB8">
        <w:t>and encourag</w:t>
      </w:r>
      <w:r w:rsidR="008F75E1">
        <w:t>ing</w:t>
      </w:r>
      <w:r w:rsidR="00AB1AB8">
        <w:t xml:space="preserve"> </w:t>
      </w:r>
      <w:r w:rsidR="003C780D">
        <w:t>trustee</w:t>
      </w:r>
      <w:r w:rsidR="00AB1AB8">
        <w:t>s to reduce fees.</w:t>
      </w:r>
    </w:p>
    <w:p w14:paraId="68292853" w14:textId="3DF44445" w:rsidR="00456AB3" w:rsidRDefault="00456AB3" w:rsidP="00456AB3">
      <w:pPr>
        <w:pStyle w:val="Bullet"/>
        <w:tabs>
          <w:tab w:val="clear" w:pos="1040"/>
          <w:tab w:val="num" w:pos="567"/>
        </w:tabs>
        <w:ind w:left="709" w:hanging="189"/>
      </w:pPr>
      <w:proofErr w:type="spellStart"/>
      <w:r w:rsidRPr="00510CB3">
        <w:rPr>
          <w:b/>
        </w:rPr>
        <w:t>YourSuper</w:t>
      </w:r>
      <w:proofErr w:type="spellEnd"/>
      <w:r w:rsidRPr="00510CB3">
        <w:rPr>
          <w:b/>
        </w:rPr>
        <w:t xml:space="preserve"> </w:t>
      </w:r>
      <w:r w:rsidR="00A27A30">
        <w:rPr>
          <w:b/>
        </w:rPr>
        <w:t>c</w:t>
      </w:r>
      <w:r w:rsidRPr="00510CB3">
        <w:rPr>
          <w:b/>
        </w:rPr>
        <w:t>omparison tool</w:t>
      </w:r>
      <w:r>
        <w:t xml:space="preserve"> </w:t>
      </w:r>
      <w:r w:rsidR="00510CB3">
        <w:t xml:space="preserve">– </w:t>
      </w:r>
      <w:proofErr w:type="spellStart"/>
      <w:r w:rsidR="00510CB3">
        <w:t>MySuper</w:t>
      </w:r>
      <w:proofErr w:type="spellEnd"/>
      <w:r w:rsidR="00510CB3">
        <w:t xml:space="preserve"> products are displayed on a comparison tool which </w:t>
      </w:r>
      <w:r>
        <w:t xml:space="preserve">launched on 1 July 2021 and </w:t>
      </w:r>
      <w:r w:rsidR="00881558">
        <w:t xml:space="preserve">aims to </w:t>
      </w:r>
      <w:r>
        <w:t xml:space="preserve">assist members </w:t>
      </w:r>
      <w:r w:rsidR="00560FEB">
        <w:t>to choose</w:t>
      </w:r>
      <w:r>
        <w:t xml:space="preserve"> a well-performing </w:t>
      </w:r>
      <w:proofErr w:type="spellStart"/>
      <w:r>
        <w:t>MySuper</w:t>
      </w:r>
      <w:proofErr w:type="spellEnd"/>
      <w:r>
        <w:t xml:space="preserve"> product.</w:t>
      </w:r>
      <w:r w:rsidR="00510CB3">
        <w:t xml:space="preserve"> </w:t>
      </w:r>
      <w:r w:rsidR="00510CB3">
        <w:rPr>
          <w:bCs/>
          <w:iCs/>
        </w:rPr>
        <w:t xml:space="preserve">The </w:t>
      </w:r>
      <w:r w:rsidR="00881558">
        <w:rPr>
          <w:bCs/>
          <w:iCs/>
        </w:rPr>
        <w:t xml:space="preserve">objective of the </w:t>
      </w:r>
      <w:r w:rsidR="00510CB3">
        <w:rPr>
          <w:bCs/>
          <w:iCs/>
        </w:rPr>
        <w:t xml:space="preserve">tool is </w:t>
      </w:r>
      <w:r w:rsidR="00881558">
        <w:rPr>
          <w:bCs/>
          <w:iCs/>
        </w:rPr>
        <w:t xml:space="preserve">to </w:t>
      </w:r>
      <w:r w:rsidR="00510CB3">
        <w:rPr>
          <w:bCs/>
          <w:iCs/>
        </w:rPr>
        <w:t>e</w:t>
      </w:r>
      <w:r w:rsidR="00510CB3" w:rsidRPr="00510CB3">
        <w:rPr>
          <w:bCs/>
          <w:iCs/>
        </w:rPr>
        <w:t>mpower members to make informed decisions</w:t>
      </w:r>
      <w:r w:rsidR="00510CB3">
        <w:t xml:space="preserve"> about who manages their retirement savings.</w:t>
      </w:r>
    </w:p>
    <w:p w14:paraId="6A6F58AB" w14:textId="0391FF1A" w:rsidR="00456AB3" w:rsidRDefault="00510CB3" w:rsidP="00456AB3">
      <w:pPr>
        <w:pStyle w:val="Bullet"/>
        <w:tabs>
          <w:tab w:val="clear" w:pos="1040"/>
          <w:tab w:val="num" w:pos="567"/>
        </w:tabs>
        <w:ind w:left="709" w:hanging="189"/>
      </w:pPr>
      <w:r>
        <w:rPr>
          <w:b/>
          <w:iCs/>
        </w:rPr>
        <w:t xml:space="preserve">Stapling </w:t>
      </w:r>
      <w:r w:rsidR="00E82D9E" w:rsidRPr="005322F6">
        <w:rPr>
          <w:bCs/>
          <w:iCs/>
        </w:rPr>
        <w:t xml:space="preserve">– </w:t>
      </w:r>
      <w:r w:rsidR="005322F6" w:rsidRPr="005322F6">
        <w:rPr>
          <w:bCs/>
          <w:iCs/>
        </w:rPr>
        <w:t>If a new employee does not choose a fund, then e</w:t>
      </w:r>
      <w:r w:rsidR="00456AB3" w:rsidRPr="005322F6">
        <w:rPr>
          <w:bCs/>
        </w:rPr>
        <w:t>mployers</w:t>
      </w:r>
      <w:r w:rsidR="00456AB3" w:rsidRPr="00510CB3">
        <w:rPr>
          <w:bCs/>
        </w:rPr>
        <w:t xml:space="preserve"> </w:t>
      </w:r>
      <w:r w:rsidR="003C780D" w:rsidRPr="00510CB3">
        <w:rPr>
          <w:bCs/>
        </w:rPr>
        <w:t>must</w:t>
      </w:r>
      <w:r w:rsidR="00456AB3" w:rsidRPr="00510CB3">
        <w:rPr>
          <w:bCs/>
        </w:rPr>
        <w:t xml:space="preserve"> check </w:t>
      </w:r>
      <w:r w:rsidR="005322F6">
        <w:rPr>
          <w:bCs/>
        </w:rPr>
        <w:t>whether they have an</w:t>
      </w:r>
      <w:r w:rsidR="00456AB3" w:rsidRPr="00510CB3">
        <w:rPr>
          <w:bCs/>
        </w:rPr>
        <w:t xml:space="preserve"> </w:t>
      </w:r>
      <w:r w:rsidR="008B23DE" w:rsidRPr="00510CB3">
        <w:rPr>
          <w:bCs/>
        </w:rPr>
        <w:t xml:space="preserve">existing </w:t>
      </w:r>
      <w:r w:rsidR="00144C84">
        <w:rPr>
          <w:bCs/>
        </w:rPr>
        <w:t>‘stapled</w:t>
      </w:r>
      <w:r w:rsidR="00F000EC">
        <w:rPr>
          <w:bCs/>
        </w:rPr>
        <w:t>’</w:t>
      </w:r>
      <w:r w:rsidR="00456AB3" w:rsidRPr="00510CB3">
        <w:rPr>
          <w:bCs/>
        </w:rPr>
        <w:t xml:space="preserve"> superannuation fund before opening a</w:t>
      </w:r>
      <w:r w:rsidR="009D1D5C">
        <w:rPr>
          <w:bCs/>
        </w:rPr>
        <w:t xml:space="preserve"> new</w:t>
      </w:r>
      <w:r w:rsidR="008B23DE" w:rsidRPr="00510CB3">
        <w:rPr>
          <w:bCs/>
        </w:rPr>
        <w:t xml:space="preserve"> </w:t>
      </w:r>
      <w:r w:rsidR="00456AB3" w:rsidRPr="00510CB3">
        <w:rPr>
          <w:bCs/>
        </w:rPr>
        <w:t>default superannuation account</w:t>
      </w:r>
      <w:r w:rsidR="005322F6">
        <w:rPr>
          <w:bCs/>
        </w:rPr>
        <w:t xml:space="preserve">. </w:t>
      </w:r>
      <w:r w:rsidRPr="00510CB3">
        <w:rPr>
          <w:bCs/>
        </w:rPr>
        <w:t xml:space="preserve">Stapling </w:t>
      </w:r>
      <w:r w:rsidR="009D1D5C" w:rsidRPr="00510CB3">
        <w:rPr>
          <w:bCs/>
        </w:rPr>
        <w:t>started</w:t>
      </w:r>
      <w:r w:rsidR="009D1D5C">
        <w:rPr>
          <w:bCs/>
        </w:rPr>
        <w:t xml:space="preserve"> on </w:t>
      </w:r>
      <w:r w:rsidRPr="00510CB3">
        <w:rPr>
          <w:bCs/>
        </w:rPr>
        <w:t>1 November 2021 and</w:t>
      </w:r>
      <w:r w:rsidRPr="00510CB3">
        <w:rPr>
          <w:bCs/>
          <w:iCs/>
        </w:rPr>
        <w:t xml:space="preserve"> </w:t>
      </w:r>
      <w:r w:rsidR="003C780D">
        <w:rPr>
          <w:bCs/>
          <w:iCs/>
        </w:rPr>
        <w:t xml:space="preserve">seeks to </w:t>
      </w:r>
      <w:r w:rsidRPr="00510CB3">
        <w:rPr>
          <w:bCs/>
          <w:iCs/>
        </w:rPr>
        <w:t>prevent</w:t>
      </w:r>
      <w:r w:rsidR="00456AB3" w:rsidRPr="00510CB3">
        <w:t xml:space="preserve"> the creation of unintended multiple accounts</w:t>
      </w:r>
      <w:r w:rsidR="00456AB3">
        <w:t xml:space="preserve"> by ensuring superannuation follows individuals as they change jobs.</w:t>
      </w:r>
    </w:p>
    <w:p w14:paraId="12370960" w14:textId="597512DE" w:rsidR="003C780D" w:rsidRPr="005B5882" w:rsidRDefault="003C780D" w:rsidP="003C780D">
      <w:pPr>
        <w:pStyle w:val="Bullet"/>
        <w:tabs>
          <w:tab w:val="clear" w:pos="1040"/>
          <w:tab w:val="num" w:pos="567"/>
        </w:tabs>
        <w:ind w:left="709" w:hanging="189"/>
      </w:pPr>
      <w:r>
        <w:rPr>
          <w:b/>
          <w:iCs/>
        </w:rPr>
        <w:t xml:space="preserve">Best </w:t>
      </w:r>
      <w:r w:rsidR="00A27A30">
        <w:rPr>
          <w:b/>
          <w:iCs/>
        </w:rPr>
        <w:t>f</w:t>
      </w:r>
      <w:r>
        <w:rPr>
          <w:b/>
          <w:iCs/>
        </w:rPr>
        <w:t xml:space="preserve">inancial </w:t>
      </w:r>
      <w:proofErr w:type="gramStart"/>
      <w:r w:rsidR="00A27A30">
        <w:rPr>
          <w:b/>
          <w:iCs/>
        </w:rPr>
        <w:t>i</w:t>
      </w:r>
      <w:r>
        <w:rPr>
          <w:b/>
          <w:iCs/>
        </w:rPr>
        <w:t>nterests</w:t>
      </w:r>
      <w:proofErr w:type="gramEnd"/>
      <w:r>
        <w:rPr>
          <w:b/>
          <w:iCs/>
        </w:rPr>
        <w:t xml:space="preserve"> </w:t>
      </w:r>
      <w:r w:rsidR="00A27A30">
        <w:rPr>
          <w:b/>
          <w:iCs/>
        </w:rPr>
        <w:t>d</w:t>
      </w:r>
      <w:r>
        <w:rPr>
          <w:b/>
          <w:iCs/>
        </w:rPr>
        <w:t>uty</w:t>
      </w:r>
      <w:r w:rsidR="00A27A30">
        <w:rPr>
          <w:b/>
          <w:iCs/>
        </w:rPr>
        <w:t xml:space="preserve"> (BFID)</w:t>
      </w:r>
      <w:r>
        <w:rPr>
          <w:b/>
          <w:iCs/>
        </w:rPr>
        <w:t xml:space="preserve"> – </w:t>
      </w:r>
      <w:r>
        <w:t xml:space="preserve">Trustees need to assess whether their spending is in the best financial interest of their members and now must </w:t>
      </w:r>
      <w:r w:rsidR="00DC0175">
        <w:t xml:space="preserve">provide </w:t>
      </w:r>
      <w:r>
        <w:t xml:space="preserve">evidence to demonstrate this fact in </w:t>
      </w:r>
      <w:r w:rsidR="00DC0175">
        <w:t xml:space="preserve">the event of </w:t>
      </w:r>
      <w:r>
        <w:t>civil proceedings.</w:t>
      </w:r>
      <w:r w:rsidRPr="00510CB3">
        <w:rPr>
          <w:bCs/>
          <w:iCs/>
        </w:rPr>
        <w:t xml:space="preserve"> </w:t>
      </w:r>
      <w:r w:rsidRPr="00510CB3">
        <w:rPr>
          <w:bCs/>
        </w:rPr>
        <w:t xml:space="preserve">Commencing from 1 July 2021, the best financial </w:t>
      </w:r>
      <w:proofErr w:type="gramStart"/>
      <w:r w:rsidRPr="00510CB3">
        <w:rPr>
          <w:bCs/>
        </w:rPr>
        <w:t>interest</w:t>
      </w:r>
      <w:r w:rsidR="00811279">
        <w:rPr>
          <w:bCs/>
        </w:rPr>
        <w:t>s</w:t>
      </w:r>
      <w:proofErr w:type="gramEnd"/>
      <w:r w:rsidRPr="00510CB3">
        <w:rPr>
          <w:bCs/>
        </w:rPr>
        <w:t xml:space="preserve"> duty</w:t>
      </w:r>
      <w:r w:rsidRPr="00510CB3">
        <w:rPr>
          <w:bCs/>
          <w:iCs/>
        </w:rPr>
        <w:t xml:space="preserve"> </w:t>
      </w:r>
      <w:r>
        <w:rPr>
          <w:bCs/>
          <w:iCs/>
        </w:rPr>
        <w:t>seeks to i</w:t>
      </w:r>
      <w:r w:rsidRPr="00510CB3">
        <w:rPr>
          <w:bCs/>
          <w:iCs/>
        </w:rPr>
        <w:t>ncrease transparency and accountability</w:t>
      </w:r>
      <w:r w:rsidRPr="00510CB3">
        <w:rPr>
          <w:bCs/>
        </w:rPr>
        <w:t xml:space="preserve"> for the way trustees </w:t>
      </w:r>
      <w:r>
        <w:rPr>
          <w:bCs/>
        </w:rPr>
        <w:t>manage their business operations to the benefit of members</w:t>
      </w:r>
      <w:r w:rsidRPr="00510CB3">
        <w:rPr>
          <w:bCs/>
        </w:rPr>
        <w:t>.</w:t>
      </w:r>
    </w:p>
    <w:p w14:paraId="0F08BA8B" w14:textId="0AC81762" w:rsidR="000E0B74" w:rsidRDefault="000E0B74" w:rsidP="00847158">
      <w:pPr>
        <w:pStyle w:val="Heading2"/>
      </w:pPr>
      <w:bookmarkStart w:id="8" w:name="_Toc306887372"/>
      <w:bookmarkStart w:id="9" w:name="_Toc432064636"/>
      <w:bookmarkStart w:id="10" w:name="_Toc113279196"/>
      <w:r>
        <w:t>Purpose</w:t>
      </w:r>
      <w:bookmarkEnd w:id="8"/>
      <w:bookmarkEnd w:id="9"/>
      <w:bookmarkEnd w:id="10"/>
    </w:p>
    <w:p w14:paraId="1548FF27" w14:textId="7AAC532B" w:rsidR="009F7625" w:rsidRDefault="009F7625">
      <w:pPr>
        <w:spacing w:before="0" w:after="160" w:line="259" w:lineRule="auto"/>
      </w:pPr>
      <w:r>
        <w:t xml:space="preserve">The purpose of this review is to assess </w:t>
      </w:r>
      <w:r w:rsidR="003C4CEB">
        <w:t xml:space="preserve">any unintended consequences and </w:t>
      </w:r>
      <w:r>
        <w:t xml:space="preserve">implementation </w:t>
      </w:r>
      <w:r w:rsidR="003C4CEB">
        <w:t xml:space="preserve">issues </w:t>
      </w:r>
      <w:r>
        <w:t xml:space="preserve">of the YFYS </w:t>
      </w:r>
      <w:r w:rsidR="00E90B8C">
        <w:t>legislation</w:t>
      </w:r>
      <w:r w:rsidR="00F6634E">
        <w:t xml:space="preserve">. </w:t>
      </w:r>
      <w:r w:rsidR="002604F1">
        <w:t xml:space="preserve">The review will cover all four elements of the YFYS measures. It will not address other issues unless they are directly related to the implementation or </w:t>
      </w:r>
      <w:r w:rsidR="00AE277D">
        <w:t xml:space="preserve">associated outcomes of the YFYS legislation. </w:t>
      </w:r>
      <w:bookmarkStart w:id="11" w:name="_Hlk113377352"/>
      <w:r w:rsidR="00AE277D">
        <w:t>The focus of this review is on ensuring that Australian superannuation funds perform better, delivering dignity in retirement, and avoid</w:t>
      </w:r>
      <w:r w:rsidR="00D06DE7">
        <w:t>ing</w:t>
      </w:r>
      <w:r w:rsidR="00AE277D">
        <w:t xml:space="preserve"> perverse outcomes for members.</w:t>
      </w:r>
      <w:bookmarkEnd w:id="11"/>
    </w:p>
    <w:p w14:paraId="7892C3D0" w14:textId="77777777" w:rsidR="00AE277D" w:rsidRDefault="00AE277D">
      <w:pPr>
        <w:spacing w:before="0" w:after="160" w:line="259" w:lineRule="auto"/>
        <w:rPr>
          <w:rFonts w:ascii="Calibri" w:hAnsi="Calibri" w:cs="Arial"/>
          <w:iCs/>
          <w:color w:val="2C384A"/>
          <w:kern w:val="32"/>
          <w:sz w:val="36"/>
          <w:szCs w:val="28"/>
        </w:rPr>
      </w:pPr>
      <w:bookmarkStart w:id="12" w:name="_Toc306887373"/>
      <w:bookmarkStart w:id="13" w:name="_Toc432064637"/>
      <w:r>
        <w:br w:type="page"/>
      </w:r>
    </w:p>
    <w:p w14:paraId="76B2CA53" w14:textId="546317BE" w:rsidR="000E0B74" w:rsidRDefault="000E0B74" w:rsidP="000E0B74">
      <w:pPr>
        <w:pStyle w:val="Heading2"/>
      </w:pPr>
      <w:bookmarkStart w:id="14" w:name="_Toc113279197"/>
      <w:r>
        <w:lastRenderedPageBreak/>
        <w:t>Issues for discussion</w:t>
      </w:r>
      <w:bookmarkEnd w:id="12"/>
      <w:bookmarkEnd w:id="13"/>
      <w:bookmarkEnd w:id="14"/>
    </w:p>
    <w:p w14:paraId="4408B98E" w14:textId="2BC8FA47" w:rsidR="008361B4" w:rsidRDefault="003C0FE1" w:rsidP="00167ABF">
      <w:pPr>
        <w:pStyle w:val="Heading3"/>
      </w:pPr>
      <w:bookmarkStart w:id="15" w:name="_Toc113279198"/>
      <w:r w:rsidRPr="00D37B6B">
        <w:t xml:space="preserve">Performance </w:t>
      </w:r>
      <w:r w:rsidR="008D2B78">
        <w:t>t</w:t>
      </w:r>
      <w:r w:rsidRPr="00D37B6B">
        <w:t>est</w:t>
      </w:r>
      <w:bookmarkEnd w:id="15"/>
    </w:p>
    <w:p w14:paraId="149E2EFA" w14:textId="48C59F95" w:rsidR="00CB4E38" w:rsidRDefault="00CB4E38" w:rsidP="00CB4E38">
      <w:bookmarkStart w:id="16" w:name="_Hlk109981500"/>
      <w:r>
        <w:t xml:space="preserve">The YFYS performance test (the test) </w:t>
      </w:r>
      <w:r w:rsidR="00CE6216">
        <w:t xml:space="preserve">for </w:t>
      </w:r>
      <w:proofErr w:type="spellStart"/>
      <w:r w:rsidR="00CE6216">
        <w:t>MySuper</w:t>
      </w:r>
      <w:proofErr w:type="spellEnd"/>
      <w:r w:rsidR="00CE6216">
        <w:t xml:space="preserve"> products </w:t>
      </w:r>
      <w:r>
        <w:t xml:space="preserve">came into effect on 1 July 2021. </w:t>
      </w:r>
      <w:r w:rsidR="00D21DA4">
        <w:t>It</w:t>
      </w:r>
      <w:r>
        <w:t xml:space="preserve"> was introduced to protect Australians’ retirement savings by holding trustees </w:t>
      </w:r>
      <w:r w:rsidR="00747D8A">
        <w:t xml:space="preserve">to </w:t>
      </w:r>
      <w:r>
        <w:t>account for the investment performance they deliver and the fees they charge to members.</w:t>
      </w:r>
    </w:p>
    <w:p w14:paraId="5FF0C108" w14:textId="77777777" w:rsidR="004E0803" w:rsidRDefault="00CB4E38" w:rsidP="00CB4E38">
      <w:r>
        <w:t xml:space="preserve">The </w:t>
      </w:r>
      <w:r w:rsidR="005D3EAD">
        <w:t>PC</w:t>
      </w:r>
      <w:r w:rsidR="00914564">
        <w:t xml:space="preserve"> </w:t>
      </w:r>
      <w:r w:rsidR="00272320">
        <w:t>review</w:t>
      </w:r>
      <w:r w:rsidR="00847746">
        <w:t xml:space="preserve"> </w:t>
      </w:r>
      <w:bookmarkEnd w:id="16"/>
      <w:r w:rsidR="00DC0175">
        <w:t xml:space="preserve">recommended </w:t>
      </w:r>
      <w:r>
        <w:t>that</w:t>
      </w:r>
      <w:r w:rsidR="00DC0175">
        <w:t xml:space="preserve">, </w:t>
      </w:r>
      <w:proofErr w:type="gramStart"/>
      <w:r w:rsidR="00DC0175">
        <w:t>in light of</w:t>
      </w:r>
      <w:proofErr w:type="gramEnd"/>
      <w:r w:rsidR="00DC0175">
        <w:t xml:space="preserve"> muted demand-side pressure in the superannuation market,</w:t>
      </w:r>
      <w:r>
        <w:t xml:space="preserve"> measures </w:t>
      </w:r>
      <w:r w:rsidR="00F20264">
        <w:t>are needed to remove persistently underperforming products</w:t>
      </w:r>
      <w:r w:rsidR="003F0C0C">
        <w:t xml:space="preserve"> in order to improve outcomes for members</w:t>
      </w:r>
      <w:r w:rsidR="00AD07EA">
        <w:t xml:space="preserve"> of those products</w:t>
      </w:r>
      <w:r w:rsidR="003F0C0C">
        <w:t>.</w:t>
      </w:r>
      <w:r w:rsidR="00317A96">
        <w:t xml:space="preserve"> </w:t>
      </w:r>
      <w:r w:rsidR="001636E5">
        <w:t xml:space="preserve">To achieve this, </w:t>
      </w:r>
      <w:r w:rsidR="004E0803">
        <w:t xml:space="preserve">the review recommended a clear and objective test for the ‘right to remain’ in the super system. </w:t>
      </w:r>
    </w:p>
    <w:p w14:paraId="2FC6979A" w14:textId="1A987561" w:rsidR="004E0803" w:rsidRDefault="004E0803" w:rsidP="00CB4E38">
      <w:r>
        <w:t xml:space="preserve">A clear and objective performance test would improve performance and accountability of funds by using clear and objective benchmarks and consequences of not meeting those benchmarks. </w:t>
      </w:r>
      <w:r w:rsidR="00317A96">
        <w:t xml:space="preserve">This </w:t>
      </w:r>
      <w:r>
        <w:t xml:space="preserve">would </w:t>
      </w:r>
      <w:r w:rsidR="00AD07EA">
        <w:t>ensure that</w:t>
      </w:r>
      <w:r w:rsidR="00317A96">
        <w:t xml:space="preserve"> trustees </w:t>
      </w:r>
      <w:r w:rsidR="00AD07EA">
        <w:t>are assessed on an objective basis, beyond how they</w:t>
      </w:r>
      <w:r w:rsidR="00317A96">
        <w:t xml:space="preserve"> choose their own methods of performance comparison and provides greater clarity and certainty about when regulator action can be expected.</w:t>
      </w:r>
    </w:p>
    <w:p w14:paraId="62F52DAB" w14:textId="5BF3BCED" w:rsidR="00064C78" w:rsidRDefault="00132271" w:rsidP="00064C78">
      <w:r>
        <w:t xml:space="preserve">The Australian Prudential Regulation Authority (APRA) conducts the test each year. </w:t>
      </w:r>
      <w:r w:rsidR="00CB4E38">
        <w:t xml:space="preserve">The test assesses a product’s net investment returns against an objective benchmark portfolio tailored to its investment strategy and assesses its administration fees against its peers. Trustees of products that fail the test must notify affected members. </w:t>
      </w:r>
      <w:r w:rsidR="00064C78">
        <w:t>Products that fail the test two years in a row are closed to new members until they pass a future test.</w:t>
      </w:r>
    </w:p>
    <w:p w14:paraId="5EFA6EBE" w14:textId="4A2A69B4" w:rsidR="00CB4E38" w:rsidRDefault="00CB4E38" w:rsidP="00CB4E38">
      <w:r>
        <w:t xml:space="preserve">The test was applied to </w:t>
      </w:r>
      <w:proofErr w:type="spellStart"/>
      <w:r>
        <w:t>MySuper</w:t>
      </w:r>
      <w:proofErr w:type="spellEnd"/>
      <w:r>
        <w:t xml:space="preserve"> products from 1 July 2021. </w:t>
      </w:r>
      <w:proofErr w:type="spellStart"/>
      <w:r>
        <w:t>MySuper</w:t>
      </w:r>
      <w:proofErr w:type="spellEnd"/>
      <w:r>
        <w:t xml:space="preserve"> products are </w:t>
      </w:r>
      <w:r w:rsidR="00AD07EA">
        <w:t xml:space="preserve">intended to be </w:t>
      </w:r>
      <w:r>
        <w:t>simple, cost</w:t>
      </w:r>
      <w:r>
        <w:noBreakHyphen/>
        <w:t xml:space="preserve">effective and balanced investment options eligible to receive default contributions. The test is scheduled to be </w:t>
      </w:r>
      <w:r w:rsidR="0020063F">
        <w:t xml:space="preserve">extended </w:t>
      </w:r>
      <w:r>
        <w:t xml:space="preserve">to </w:t>
      </w:r>
      <w:r w:rsidR="0020063F">
        <w:t>a subset of Choice (non</w:t>
      </w:r>
      <w:r w:rsidR="0020063F">
        <w:noBreakHyphen/>
      </w:r>
      <w:proofErr w:type="spellStart"/>
      <w:r w:rsidR="0020063F">
        <w:t>MySuper</w:t>
      </w:r>
      <w:proofErr w:type="spellEnd"/>
      <w:r w:rsidR="0020063F">
        <w:t xml:space="preserve">) products — defined as </w:t>
      </w:r>
      <w:r>
        <w:t>trustee</w:t>
      </w:r>
      <w:r>
        <w:noBreakHyphen/>
        <w:t xml:space="preserve">directed products (TDPs) </w:t>
      </w:r>
      <w:r w:rsidR="0020063F">
        <w:t xml:space="preserve">— </w:t>
      </w:r>
      <w:r>
        <w:t>from 1 July 2023.</w:t>
      </w:r>
    </w:p>
    <w:p w14:paraId="05B919E0" w14:textId="7F73AE81" w:rsidR="00A324AE" w:rsidRDefault="00CB4E38" w:rsidP="00CB4E38">
      <w:r>
        <w:t xml:space="preserve">The test is </w:t>
      </w:r>
      <w:r w:rsidR="00157D6F">
        <w:t>intended</w:t>
      </w:r>
      <w:r w:rsidR="009C5587">
        <w:t xml:space="preserve"> to improve outcomes </w:t>
      </w:r>
      <w:r w:rsidR="00AD07EA">
        <w:t>for members</w:t>
      </w:r>
      <w:r w:rsidR="00BA093B">
        <w:t xml:space="preserve"> by</w:t>
      </w:r>
      <w:r w:rsidR="00A324AE">
        <w:t>:</w:t>
      </w:r>
    </w:p>
    <w:p w14:paraId="74F34E96" w14:textId="071F146F" w:rsidR="00A324AE" w:rsidRDefault="007C10C6" w:rsidP="00BA093B">
      <w:pPr>
        <w:pStyle w:val="Bullet"/>
        <w:ind w:left="709" w:hanging="284"/>
      </w:pPr>
      <w:r>
        <w:t xml:space="preserve">ensuring that members do not join </w:t>
      </w:r>
      <w:r w:rsidR="00A324AE">
        <w:t xml:space="preserve">persistently </w:t>
      </w:r>
      <w:r>
        <w:t>underperforming products</w:t>
      </w:r>
    </w:p>
    <w:p w14:paraId="7CB1FD22" w14:textId="4C1259A0" w:rsidR="00A324AE" w:rsidRDefault="00A324AE" w:rsidP="00BA093B">
      <w:pPr>
        <w:pStyle w:val="Bullet"/>
        <w:ind w:left="709" w:hanging="284"/>
      </w:pPr>
      <w:r>
        <w:t xml:space="preserve">providing </w:t>
      </w:r>
      <w:r w:rsidR="00CB4E38">
        <w:t xml:space="preserve">members </w:t>
      </w:r>
      <w:r w:rsidR="007C10C6">
        <w:t>with information to choose better performing</w:t>
      </w:r>
      <w:r w:rsidR="00CB4E38">
        <w:t xml:space="preserve"> products</w:t>
      </w:r>
    </w:p>
    <w:p w14:paraId="619B8EFA" w14:textId="6E7EB116" w:rsidR="00CB4E38" w:rsidRPr="00CB4E38" w:rsidRDefault="00A324AE" w:rsidP="00BA093B">
      <w:pPr>
        <w:pStyle w:val="Bullet"/>
        <w:ind w:left="709" w:hanging="284"/>
      </w:pPr>
      <w:r>
        <w:t>encouraging</w:t>
      </w:r>
      <w:r w:rsidR="00CB4E38" w:rsidRPr="00CB4E38">
        <w:t xml:space="preserve"> underperforming products </w:t>
      </w:r>
      <w:r>
        <w:t xml:space="preserve">to </w:t>
      </w:r>
      <w:r w:rsidR="00CB4E38" w:rsidRPr="00CB4E38">
        <w:t>improve their performance</w:t>
      </w:r>
      <w:r w:rsidR="00A85AE0">
        <w:t>,</w:t>
      </w:r>
      <w:r w:rsidR="00CB4E38" w:rsidRPr="00CB4E38">
        <w:t xml:space="preserve"> </w:t>
      </w:r>
      <w:r>
        <w:t>including through</w:t>
      </w:r>
      <w:r w:rsidR="00CB4E38" w:rsidRPr="00CB4E38">
        <w:t xml:space="preserve"> </w:t>
      </w:r>
      <w:r>
        <w:t xml:space="preserve">potential </w:t>
      </w:r>
      <w:r w:rsidR="00CB4E38" w:rsidRPr="00CB4E38">
        <w:t>merge</w:t>
      </w:r>
      <w:r>
        <w:t>rs</w:t>
      </w:r>
      <w:r w:rsidR="00CB4E38" w:rsidRPr="00CB4E38">
        <w:t xml:space="preserve"> with higher</w:t>
      </w:r>
      <w:r>
        <w:noBreakHyphen/>
      </w:r>
      <w:r w:rsidR="00CB4E38" w:rsidRPr="00CB4E38">
        <w:t>performing funds.</w:t>
      </w:r>
    </w:p>
    <w:p w14:paraId="734F8143" w14:textId="634643C6" w:rsidR="006C1ABB" w:rsidRDefault="009E30B0" w:rsidP="00167ABF">
      <w:pPr>
        <w:pStyle w:val="Heading4"/>
      </w:pPr>
      <w:r>
        <w:t>How it is going</w:t>
      </w:r>
    </w:p>
    <w:p w14:paraId="45C187DA" w14:textId="7BB9F6D5" w:rsidR="007549E9" w:rsidRDefault="000B3188" w:rsidP="007549E9">
      <w:proofErr w:type="spellStart"/>
      <w:r>
        <w:t>MySuper</w:t>
      </w:r>
      <w:proofErr w:type="spellEnd"/>
      <w:r>
        <w:t xml:space="preserve"> products have been tested twice since the test was introduced.</w:t>
      </w:r>
    </w:p>
    <w:p w14:paraId="1F38526E" w14:textId="3B250258" w:rsidR="000B3188" w:rsidRDefault="000B3188" w:rsidP="007549E9">
      <w:r>
        <w:t>On 31 August 2021, the first test was run on 80 </w:t>
      </w:r>
      <w:proofErr w:type="spellStart"/>
      <w:r>
        <w:t>MySuper</w:t>
      </w:r>
      <w:proofErr w:type="spellEnd"/>
      <w:r>
        <w:t xml:space="preserve"> products covering about </w:t>
      </w:r>
      <w:proofErr w:type="gramStart"/>
      <w:r>
        <w:t>14 million member</w:t>
      </w:r>
      <w:proofErr w:type="gramEnd"/>
      <w:r>
        <w:t xml:space="preserve"> accounts worth </w:t>
      </w:r>
      <w:r w:rsidR="007D034F">
        <w:t xml:space="preserve">around </w:t>
      </w:r>
      <w:r>
        <w:t>$900 billion.</w:t>
      </w:r>
      <w:r>
        <w:rPr>
          <w:rStyle w:val="FootnoteReference"/>
        </w:rPr>
        <w:footnoteReference w:id="2"/>
      </w:r>
      <w:r>
        <w:t xml:space="preserve"> There were 13 </w:t>
      </w:r>
      <w:proofErr w:type="spellStart"/>
      <w:r>
        <w:t>MySuper</w:t>
      </w:r>
      <w:proofErr w:type="spellEnd"/>
      <w:r>
        <w:t xml:space="preserve"> products that failed the test, covering about 1 million member accounts worth </w:t>
      </w:r>
      <w:r w:rsidR="00914564">
        <w:t xml:space="preserve">around </w:t>
      </w:r>
      <w:r>
        <w:t xml:space="preserve">$56 billion. Trustees of these products were required to notify their members by 28 September 2021 and disclose the </w:t>
      </w:r>
      <w:r w:rsidR="00A85AE0">
        <w:t xml:space="preserve">test </w:t>
      </w:r>
      <w:r>
        <w:t>result on their website.</w:t>
      </w:r>
    </w:p>
    <w:p w14:paraId="0475A3BE" w14:textId="061C4CCA" w:rsidR="000B3188" w:rsidRDefault="000B3188" w:rsidP="007549E9">
      <w:r>
        <w:t>The first test had a significant impact on the 13 </w:t>
      </w:r>
      <w:proofErr w:type="spellStart"/>
      <w:r>
        <w:t>MySuper</w:t>
      </w:r>
      <w:proofErr w:type="spellEnd"/>
      <w:r>
        <w:t xml:space="preserve"> products that failed.</w:t>
      </w:r>
    </w:p>
    <w:p w14:paraId="6162A030" w14:textId="4B9F6DCF" w:rsidR="000B3188" w:rsidRDefault="000B3188" w:rsidP="007549E9">
      <w:r>
        <w:t xml:space="preserve">Some members left these underperforming products. As </w:t>
      </w:r>
      <w:proofErr w:type="gramStart"/>
      <w:r>
        <w:t>at</w:t>
      </w:r>
      <w:proofErr w:type="gramEnd"/>
      <w:r>
        <w:t xml:space="preserve"> 31 </w:t>
      </w:r>
      <w:r w:rsidR="00476C07">
        <w:t>January 2022</w:t>
      </w:r>
      <w:r>
        <w:t xml:space="preserve">, </w:t>
      </w:r>
      <w:r w:rsidR="000C3392">
        <w:t>about 100</w:t>
      </w:r>
      <w:r w:rsidR="002A3B8F">
        <w:t>,</w:t>
      </w:r>
      <w:r w:rsidR="000C3392">
        <w:t>000</w:t>
      </w:r>
      <w:r>
        <w:t xml:space="preserve"> member accounts </w:t>
      </w:r>
      <w:r w:rsidR="00CE6216">
        <w:t xml:space="preserve">in these underperforming products </w:t>
      </w:r>
      <w:r w:rsidR="00476C07">
        <w:t xml:space="preserve">worth </w:t>
      </w:r>
      <w:r w:rsidR="007D034F">
        <w:t xml:space="preserve">around </w:t>
      </w:r>
      <w:r w:rsidR="00476C07">
        <w:t xml:space="preserve">$4 billion </w:t>
      </w:r>
      <w:r>
        <w:t xml:space="preserve">had been closed — a </w:t>
      </w:r>
      <w:r w:rsidR="00476C07">
        <w:t>10</w:t>
      </w:r>
      <w:r>
        <w:t xml:space="preserve"> per cent </w:t>
      </w:r>
      <w:r>
        <w:lastRenderedPageBreak/>
        <w:t xml:space="preserve">decrease </w:t>
      </w:r>
      <w:r w:rsidR="00476C07">
        <w:t xml:space="preserve">in accounts </w:t>
      </w:r>
      <w:r>
        <w:t xml:space="preserve">from 30 August 2021. Member outflows were highest during the period in which </w:t>
      </w:r>
      <w:r w:rsidR="000C3392">
        <w:t>notification letters</w:t>
      </w:r>
      <w:r>
        <w:t xml:space="preserve"> were being received by members.</w:t>
      </w:r>
    </w:p>
    <w:p w14:paraId="7DEC6984" w14:textId="372167DE" w:rsidR="00327EBB" w:rsidRDefault="00475E9C" w:rsidP="007549E9">
      <w:r>
        <w:t xml:space="preserve">Further, </w:t>
      </w:r>
      <w:r w:rsidR="00327EBB">
        <w:t xml:space="preserve">ten of these products have merged or are </w:t>
      </w:r>
      <w:r w:rsidR="00EB7D50">
        <w:t xml:space="preserve">in the process of </w:t>
      </w:r>
      <w:r w:rsidR="00877292">
        <w:t xml:space="preserve">being </w:t>
      </w:r>
      <w:r w:rsidR="00327EBB">
        <w:t>merg</w:t>
      </w:r>
      <w:r w:rsidR="00877292">
        <w:t>ed into</w:t>
      </w:r>
      <w:r w:rsidR="00327EBB">
        <w:t xml:space="preserve"> better performing funds, representing about 70 per cent of member accounts and assets in underperforming products. </w:t>
      </w:r>
      <w:r w:rsidR="004F679B">
        <w:t xml:space="preserve">The three remaining products are subject to increased supervision by APRA, and two of these products </w:t>
      </w:r>
      <w:r w:rsidR="00327EBB">
        <w:t>have temporarily or permanently decreased fees for members.</w:t>
      </w:r>
    </w:p>
    <w:p w14:paraId="66E53073" w14:textId="00754D3B" w:rsidR="00F85C70" w:rsidRPr="00F6634E" w:rsidRDefault="00F85C70" w:rsidP="007549E9">
      <w:r w:rsidRPr="00780C2B">
        <w:t xml:space="preserve">On 31 August 2022, the second test was run. There </w:t>
      </w:r>
      <w:r w:rsidR="00D65211" w:rsidRPr="00D65211">
        <w:t>w</w:t>
      </w:r>
      <w:r w:rsidR="00D65211">
        <w:t>ere</w:t>
      </w:r>
      <w:r w:rsidRPr="00780C2B">
        <w:t xml:space="preserve"> </w:t>
      </w:r>
      <w:r w:rsidR="0017157F" w:rsidRPr="00FF4DDA">
        <w:t>5</w:t>
      </w:r>
      <w:r w:rsidRPr="00780C2B">
        <w:t> </w:t>
      </w:r>
      <w:proofErr w:type="spellStart"/>
      <w:r w:rsidRPr="00780C2B">
        <w:t>MySuper</w:t>
      </w:r>
      <w:proofErr w:type="spellEnd"/>
      <w:r w:rsidRPr="00780C2B">
        <w:t xml:space="preserve"> products that failed the test, covering about </w:t>
      </w:r>
      <w:r w:rsidR="0017157F" w:rsidRPr="00FF4DDA">
        <w:t>600,000</w:t>
      </w:r>
      <w:r w:rsidRPr="00780C2B">
        <w:t xml:space="preserve"> member accounts wor</w:t>
      </w:r>
      <w:r w:rsidRPr="00F6634E">
        <w:t xml:space="preserve">th </w:t>
      </w:r>
      <w:r w:rsidR="009E30B0" w:rsidRPr="00F6634E">
        <w:t xml:space="preserve">around </w:t>
      </w:r>
      <w:r w:rsidRPr="00F6634E">
        <w:t>$</w:t>
      </w:r>
      <w:r w:rsidR="0017157F" w:rsidRPr="00FF4DDA">
        <w:t>28</w:t>
      </w:r>
      <w:r w:rsidRPr="00780C2B">
        <w:t xml:space="preserve"> billion. Trustees of these products </w:t>
      </w:r>
      <w:r w:rsidR="000C3392" w:rsidRPr="00F6634E">
        <w:t>are</w:t>
      </w:r>
      <w:r w:rsidRPr="00F6634E">
        <w:t xml:space="preserve"> required to notify their members by 28 September 2022 and disclose the result on their website.</w:t>
      </w:r>
    </w:p>
    <w:p w14:paraId="399EB1E8" w14:textId="73A8FAA0" w:rsidR="00F85C70" w:rsidRPr="00780C2B" w:rsidRDefault="00F85C70" w:rsidP="007549E9">
      <w:r w:rsidRPr="00D65211">
        <w:t xml:space="preserve">There were </w:t>
      </w:r>
      <w:r w:rsidR="0017157F" w:rsidRPr="00FF4DDA">
        <w:t>4</w:t>
      </w:r>
      <w:r w:rsidRPr="00780C2B">
        <w:t xml:space="preserve"> products that failed the test for two years in a row, covering about </w:t>
      </w:r>
      <w:r w:rsidR="0017157F" w:rsidRPr="00FF4DDA">
        <w:t>560,000</w:t>
      </w:r>
      <w:r w:rsidRPr="00780C2B">
        <w:t xml:space="preserve"> accounts worth </w:t>
      </w:r>
      <w:r w:rsidR="009E30B0" w:rsidRPr="00F6634E">
        <w:t xml:space="preserve">around </w:t>
      </w:r>
      <w:r w:rsidRPr="00F6634E">
        <w:t>$</w:t>
      </w:r>
      <w:r w:rsidR="0017157F" w:rsidRPr="00FF4DDA">
        <w:t>25</w:t>
      </w:r>
      <w:r w:rsidRPr="00780C2B">
        <w:t xml:space="preserve"> billion. These products </w:t>
      </w:r>
      <w:r w:rsidR="000B26C7">
        <w:t>are</w:t>
      </w:r>
      <w:r w:rsidRPr="00780C2B">
        <w:t xml:space="preserve"> no longer able to accept new members from 31 August 2022.</w:t>
      </w:r>
      <w:r w:rsidR="00FA3196" w:rsidRPr="00F6634E">
        <w:t xml:space="preserve"> </w:t>
      </w:r>
      <w:r w:rsidR="00335CF0" w:rsidRPr="00F6634E">
        <w:t xml:space="preserve">There was </w:t>
      </w:r>
      <w:r w:rsidR="00335CF0" w:rsidRPr="00FF4DDA">
        <w:t>one</w:t>
      </w:r>
      <w:r w:rsidR="0017157F" w:rsidRPr="00FF4DDA">
        <w:t xml:space="preserve"> product that passed the 2021 performance test </w:t>
      </w:r>
      <w:r w:rsidR="00335CF0" w:rsidRPr="00FF4DDA">
        <w:t xml:space="preserve">but </w:t>
      </w:r>
      <w:r w:rsidR="0017157F" w:rsidRPr="00FF4DDA">
        <w:t>failed for the first time in 2022</w:t>
      </w:r>
      <w:r w:rsidR="00E27429">
        <w:rPr>
          <w:rStyle w:val="FootnoteReference"/>
        </w:rPr>
        <w:footnoteReference w:id="3"/>
      </w:r>
      <w:r w:rsidR="0017157F" w:rsidRPr="00FF4DDA">
        <w:t>.</w:t>
      </w:r>
    </w:p>
    <w:p w14:paraId="46D9FCF0" w14:textId="00DBBA0C" w:rsidR="00F76C5E" w:rsidRDefault="00243889" w:rsidP="00167ABF">
      <w:pPr>
        <w:pStyle w:val="Heading4"/>
      </w:pPr>
      <w:r>
        <w:t>Issues for consultation</w:t>
      </w:r>
    </w:p>
    <w:p w14:paraId="5CB96822" w14:textId="0FE77EF2" w:rsidR="00B57172" w:rsidRDefault="00B57172" w:rsidP="00B57172">
      <w:r>
        <w:t xml:space="preserve">This review provides an opportunity to assess the extent to which there </w:t>
      </w:r>
      <w:r w:rsidR="00B155D2">
        <w:t>have been</w:t>
      </w:r>
      <w:r>
        <w:t xml:space="preserve"> implementation issues or unintended consequences of the test</w:t>
      </w:r>
      <w:r w:rsidR="00B155D2">
        <w:t xml:space="preserve"> for </w:t>
      </w:r>
      <w:proofErr w:type="spellStart"/>
      <w:r w:rsidR="00B155D2">
        <w:t>MySuper</w:t>
      </w:r>
      <w:proofErr w:type="spellEnd"/>
      <w:r w:rsidR="00B155D2">
        <w:t xml:space="preserve"> products, and whether there are likely to be issues </w:t>
      </w:r>
      <w:r w:rsidR="00B06238">
        <w:t>as the test is extended to other products</w:t>
      </w:r>
      <w:r>
        <w:t xml:space="preserve">. </w:t>
      </w:r>
    </w:p>
    <w:p w14:paraId="4B8D9D3E" w14:textId="44365BAE" w:rsidR="00B57172" w:rsidRDefault="00B57172" w:rsidP="00B57172">
      <w:r>
        <w:t xml:space="preserve">Treasury is interested in stakeholder views about solutions which can build on and improve the operation of the test </w:t>
      </w:r>
      <w:proofErr w:type="gramStart"/>
      <w:r>
        <w:t>in order to</w:t>
      </w:r>
      <w:proofErr w:type="gramEnd"/>
      <w:r>
        <w:t xml:space="preserve"> further improve outcomes for members.</w:t>
      </w:r>
    </w:p>
    <w:p w14:paraId="6BC57051" w14:textId="45A8BC2A" w:rsidR="00B57172" w:rsidRDefault="008C1488" w:rsidP="00B57172">
      <w:r>
        <w:t>Given the substantial benefits to members, i</w:t>
      </w:r>
      <w:r w:rsidR="00B57172">
        <w:t xml:space="preserve">t will be important that ideas to address issues </w:t>
      </w:r>
      <w:r w:rsidR="008946EB">
        <w:t>maintain</w:t>
      </w:r>
      <w:r w:rsidR="00B57172">
        <w:t xml:space="preserve"> the integrity of the test</w:t>
      </w:r>
      <w:r w:rsidR="000C3392">
        <w:t xml:space="preserve"> and its objectives</w:t>
      </w:r>
      <w:r w:rsidR="00B57172">
        <w:t xml:space="preserve">: to increase accountability and transparency of product performance through an objective </w:t>
      </w:r>
      <w:r>
        <w:t xml:space="preserve">benchmarking </w:t>
      </w:r>
      <w:r w:rsidR="00B57172">
        <w:t>test with clear consequences.</w:t>
      </w:r>
    </w:p>
    <w:p w14:paraId="6834A161" w14:textId="7C9D7F00" w:rsidR="00B57172" w:rsidRDefault="00B57172" w:rsidP="00B57172">
      <w:r>
        <w:t>For the purposes of this paper, Treasury is seeking stakeholder input on the test methodology, the consequences of failure and product coverage.</w:t>
      </w:r>
    </w:p>
    <w:p w14:paraId="096BC850" w14:textId="49FB4755" w:rsidR="00864DE9" w:rsidRDefault="00B57172" w:rsidP="00167ABF">
      <w:pPr>
        <w:pStyle w:val="Heading5"/>
      </w:pPr>
      <w:r>
        <w:t>Test m</w:t>
      </w:r>
      <w:r w:rsidR="00F117E2">
        <w:t>ethodology</w:t>
      </w:r>
    </w:p>
    <w:p w14:paraId="149A1906" w14:textId="5B671A19" w:rsidR="00A232C3" w:rsidRDefault="00A232C3" w:rsidP="00A232C3">
      <w:r>
        <w:t>The test is based on the methodology adopted by the Productivity Commission (after consultation with industry) and further refined by APRA in its Heatmap analysis.</w:t>
      </w:r>
      <w:r>
        <w:rPr>
          <w:rStyle w:val="FootnoteReference"/>
        </w:rPr>
        <w:footnoteReference w:id="4"/>
      </w:r>
      <w:r>
        <w:t xml:space="preserve"> </w:t>
      </w:r>
    </w:p>
    <w:p w14:paraId="050E47CA" w14:textId="10D59E88" w:rsidR="00160C86" w:rsidRDefault="00160C86" w:rsidP="00160C86">
      <w:r>
        <w:t xml:space="preserve">The </w:t>
      </w:r>
      <w:r w:rsidR="00A232C3">
        <w:t xml:space="preserve">test </w:t>
      </w:r>
      <w:r>
        <w:t xml:space="preserve">methodology is detailed in the </w:t>
      </w:r>
      <w:r w:rsidRPr="006C6A50">
        <w:rPr>
          <w:i/>
          <w:iCs/>
        </w:rPr>
        <w:t>Superannuation</w:t>
      </w:r>
      <w:r w:rsidR="007B05D2" w:rsidRPr="006C6A50">
        <w:rPr>
          <w:i/>
          <w:iCs/>
        </w:rPr>
        <w:t xml:space="preserve"> Industry (Supervision</w:t>
      </w:r>
      <w:r w:rsidRPr="006C6A50">
        <w:rPr>
          <w:i/>
          <w:iCs/>
        </w:rPr>
        <w:t xml:space="preserve">) Regulations </w:t>
      </w:r>
      <w:r w:rsidR="007B05D2" w:rsidRPr="006C6A50">
        <w:rPr>
          <w:i/>
          <w:iCs/>
        </w:rPr>
        <w:t>1994</w:t>
      </w:r>
      <w:r>
        <w:t>.</w:t>
      </w:r>
      <w:r w:rsidR="008D0732">
        <w:t xml:space="preserve"> </w:t>
      </w:r>
      <w:r>
        <w:t xml:space="preserve">The </w:t>
      </w:r>
      <w:r w:rsidR="00A232C3">
        <w:t xml:space="preserve">methodology </w:t>
      </w:r>
      <w:r>
        <w:t xml:space="preserve">involves calculating a </w:t>
      </w:r>
      <w:r w:rsidRPr="00160C86">
        <w:rPr>
          <w:i/>
          <w:iCs/>
        </w:rPr>
        <w:t>performance measure</w:t>
      </w:r>
      <w:r>
        <w:t xml:space="preserve"> for each product tested:</w:t>
      </w:r>
    </w:p>
    <w:p w14:paraId="1C0AAEA2" w14:textId="5A80D90D" w:rsidR="00FA2563" w:rsidRDefault="00FA2563" w:rsidP="00FA2563">
      <m:oMathPara>
        <m:oMath>
          <m:r>
            <w:rPr>
              <w:rFonts w:ascii="Cambria Math" w:hAnsi="Cambria Math"/>
              <w:sz w:val="20"/>
              <w:szCs w:val="18"/>
            </w:rPr>
            <m:t>Performance measure=</m:t>
          </m:r>
          <m:d>
            <m:dPr>
              <m:ctrlPr>
                <w:rPr>
                  <w:rFonts w:ascii="Cambria Math" w:hAnsi="Cambria Math"/>
                  <w:i/>
                  <w:sz w:val="20"/>
                  <w:szCs w:val="18"/>
                </w:rPr>
              </m:ctrlPr>
            </m:dPr>
            <m:e>
              <m:r>
                <w:rPr>
                  <w:rFonts w:ascii="Cambria Math" w:hAnsi="Cambria Math"/>
                  <w:sz w:val="20"/>
                  <w:szCs w:val="18"/>
                </w:rPr>
                <m:t>Actual return-Benchmark return</m:t>
              </m:r>
            </m:e>
          </m:d>
          <m:r>
            <w:rPr>
              <w:rFonts w:ascii="Cambria Math" w:hAnsi="Cambria Math"/>
              <w:sz w:val="20"/>
              <w:szCs w:val="18"/>
            </w:rPr>
            <m:t>+(Benchmark RAFE-Actual RAFE)</m:t>
          </m:r>
        </m:oMath>
      </m:oMathPara>
    </w:p>
    <w:p w14:paraId="437556AD" w14:textId="64B0505C" w:rsidR="00160C86" w:rsidRDefault="00160C86" w:rsidP="00160C86">
      <w:r>
        <w:t>There are two components to calculating the performance measure.</w:t>
      </w:r>
    </w:p>
    <w:p w14:paraId="5B07D4AD" w14:textId="29824BDF" w:rsidR="00160C86" w:rsidRDefault="00160C86" w:rsidP="00160C86">
      <w:r>
        <w:t>First, the net investment return of a product over the past eight years (</w:t>
      </w:r>
      <w:r w:rsidRPr="00160C86">
        <w:rPr>
          <w:i/>
          <w:iCs/>
        </w:rPr>
        <w:t>actual return</w:t>
      </w:r>
      <w:r>
        <w:t xml:space="preserve">) is compared to a </w:t>
      </w:r>
      <w:r w:rsidRPr="00160C86">
        <w:rPr>
          <w:i/>
          <w:iCs/>
        </w:rPr>
        <w:t>benchmark return</w:t>
      </w:r>
      <w:r>
        <w:t xml:space="preserve">. The benchmark return is a passive investment portfolio of indices tailored to the product’s reported </w:t>
      </w:r>
      <w:r w:rsidR="00A232C3">
        <w:t xml:space="preserve">strategic </w:t>
      </w:r>
      <w:r>
        <w:t>asset allocation.</w:t>
      </w:r>
      <w:r w:rsidR="00A232C3">
        <w:t xml:space="preserve"> As noted in the PC </w:t>
      </w:r>
      <w:r w:rsidR="00B751E5">
        <w:t>r</w:t>
      </w:r>
      <w:r w:rsidR="00A232C3">
        <w:t xml:space="preserve">eview, using a benchmark portfolio to assess investment performance aims to account for </w:t>
      </w:r>
      <w:r w:rsidR="008D0732">
        <w:t xml:space="preserve">the </w:t>
      </w:r>
      <w:r w:rsidR="00A232C3">
        <w:t>many influences on investment markets which are beyond funds’ control, while providing insights into the value added by funds.</w:t>
      </w:r>
    </w:p>
    <w:p w14:paraId="3C665CAF" w14:textId="4433CE17" w:rsidR="00160C86" w:rsidRDefault="00160C86" w:rsidP="00160C86">
      <w:r>
        <w:lastRenderedPageBreak/>
        <w:t>Second, the product’s representative administration fees and expenses (</w:t>
      </w:r>
      <w:r w:rsidRPr="00160C86">
        <w:rPr>
          <w:i/>
          <w:iCs/>
        </w:rPr>
        <w:t>actual RAFE</w:t>
      </w:r>
      <w:r>
        <w:t>) for the most recent financial year is compared to the median RAFE (</w:t>
      </w:r>
      <w:r w:rsidRPr="00160C86">
        <w:rPr>
          <w:i/>
          <w:iCs/>
        </w:rPr>
        <w:t>benchmark RAFE</w:t>
      </w:r>
      <w:r>
        <w:t xml:space="preserve">). RAFE is calculated to represent a member who has an account balance of $50,000. The benchmark RAFE </w:t>
      </w:r>
      <w:r w:rsidR="009E30B0">
        <w:t>will be</w:t>
      </w:r>
      <w:r>
        <w:t xml:space="preserve"> calculated separately for </w:t>
      </w:r>
      <w:proofErr w:type="spellStart"/>
      <w:r>
        <w:t>MySuper</w:t>
      </w:r>
      <w:proofErr w:type="spellEnd"/>
      <w:r>
        <w:t xml:space="preserve"> products and TDPs.</w:t>
      </w:r>
    </w:p>
    <w:p w14:paraId="74546165" w14:textId="4AE4E85D" w:rsidR="00160C86" w:rsidRDefault="00160C86" w:rsidP="00160C86">
      <w:r>
        <w:t xml:space="preserve">A product </w:t>
      </w:r>
      <w:r w:rsidR="00A94E58">
        <w:t>fails</w:t>
      </w:r>
      <w:r>
        <w:t xml:space="preserve"> the test if the performance measure is lower than </w:t>
      </w:r>
      <w:r>
        <w:noBreakHyphen/>
        <w:t>0.005 (or -0.5%).</w:t>
      </w:r>
      <w:r w:rsidR="000000ED">
        <w:t xml:space="preserve"> </w:t>
      </w:r>
      <w:r w:rsidR="00245F1D">
        <w:t>T</w:t>
      </w:r>
      <w:r>
        <w:t>he performance measure is used to identify persistent underperformers so that consequences can be applied that hold trustees to account for underperformance and increase transparency for members.</w:t>
      </w:r>
    </w:p>
    <w:p w14:paraId="2F4DC1CA" w14:textId="3850C07C" w:rsidR="000000ED" w:rsidRDefault="00245F1D" w:rsidP="00160C86">
      <w:r>
        <w:t xml:space="preserve">Treasury is interested in feedback from stakeholders about whether the test methodology is achieving its objectives, whether there have been any issues resulting from its implementation, </w:t>
      </w:r>
      <w:r w:rsidR="00507507">
        <w:t>and</w:t>
      </w:r>
      <w:r>
        <w:t xml:space="preserve"> any unintended outcomes.</w:t>
      </w:r>
    </w:p>
    <w:p w14:paraId="38A55B9D" w14:textId="7ED51C56" w:rsidR="0021067D" w:rsidRPr="00CC7E64" w:rsidRDefault="008C75DE" w:rsidP="008C75DE">
      <w:pPr>
        <w:rPr>
          <w:rFonts w:cs="Arial"/>
          <w:color w:val="4D7861" w:themeColor="accent2"/>
          <w:kern w:val="32"/>
          <w:sz w:val="24"/>
          <w:szCs w:val="26"/>
        </w:rPr>
      </w:pPr>
      <w:r w:rsidRPr="00CC7E64">
        <w:rPr>
          <w:rFonts w:cs="Arial"/>
          <w:color w:val="4D7861" w:themeColor="accent2"/>
          <w:kern w:val="32"/>
          <w:sz w:val="24"/>
          <w:szCs w:val="26"/>
        </w:rPr>
        <w:t>Consultation questions</w:t>
      </w:r>
    </w:p>
    <w:p w14:paraId="149F353B" w14:textId="79DF5D26" w:rsidR="0088190B" w:rsidRDefault="00B43233" w:rsidP="007F1905">
      <w:pPr>
        <w:pStyle w:val="OutlineNumbered1"/>
        <w:numPr>
          <w:ilvl w:val="0"/>
          <w:numId w:val="11"/>
        </w:numPr>
      </w:pPr>
      <w:r>
        <w:t xml:space="preserve">Does the measurement of </w:t>
      </w:r>
      <w:r w:rsidRPr="005859FF">
        <w:rPr>
          <w:i/>
          <w:iCs/>
        </w:rPr>
        <w:t>actual return</w:t>
      </w:r>
      <w:r>
        <w:t xml:space="preserve"> </w:t>
      </w:r>
      <w:r w:rsidR="00C76516">
        <w:t>using strategic asset allocation affect risk</w:t>
      </w:r>
      <w:r w:rsidR="00C76516">
        <w:noBreakHyphen/>
        <w:t>taking behaviour</w:t>
      </w:r>
      <w:r w:rsidR="009E30B0">
        <w:t xml:space="preserve"> by superannuation trustees</w:t>
      </w:r>
      <w:r w:rsidR="00C76516">
        <w:t>?</w:t>
      </w:r>
    </w:p>
    <w:p w14:paraId="68024DE7" w14:textId="4314245A" w:rsidR="0088190B" w:rsidRDefault="00FA2563" w:rsidP="007F1905">
      <w:pPr>
        <w:pStyle w:val="OutlineNumbered1"/>
        <w:numPr>
          <w:ilvl w:val="0"/>
          <w:numId w:val="11"/>
        </w:numPr>
      </w:pPr>
      <w:r>
        <w:t>Do</w:t>
      </w:r>
      <w:r w:rsidR="00877292">
        <w:t>es</w:t>
      </w:r>
      <w:r>
        <w:t xml:space="preserve"> the current set of indices used to calculate </w:t>
      </w:r>
      <w:r w:rsidRPr="005859FF">
        <w:rPr>
          <w:i/>
          <w:iCs/>
        </w:rPr>
        <w:t>benchmark returns</w:t>
      </w:r>
      <w:r>
        <w:t xml:space="preserve"> </w:t>
      </w:r>
      <w:r w:rsidR="00245781">
        <w:t xml:space="preserve">unintentionally </w:t>
      </w:r>
      <w:r w:rsidR="00915862">
        <w:t>distort investment decisions</w:t>
      </w:r>
      <w:r w:rsidR="00E5046B">
        <w:t xml:space="preserve"> or reduce choice for members</w:t>
      </w:r>
      <w:r w:rsidR="00915862">
        <w:t>?</w:t>
      </w:r>
      <w:r w:rsidR="00FC6297">
        <w:t xml:space="preserve"> If so, is there a way to adjust the benchmark indices </w:t>
      </w:r>
      <w:r w:rsidR="00575CA8">
        <w:t xml:space="preserve">while maintaining a clear </w:t>
      </w:r>
      <w:r w:rsidR="00DF1249">
        <w:t xml:space="preserve">and </w:t>
      </w:r>
      <w:r w:rsidR="00575CA8">
        <w:t xml:space="preserve">objective </w:t>
      </w:r>
      <w:r w:rsidR="00607E99">
        <w:t xml:space="preserve">performance </w:t>
      </w:r>
      <w:r w:rsidR="00575CA8">
        <w:t>test</w:t>
      </w:r>
      <w:r w:rsidR="00FC6297">
        <w:t>?</w:t>
      </w:r>
    </w:p>
    <w:p w14:paraId="48827979" w14:textId="666017E0" w:rsidR="00915862" w:rsidRDefault="003879B5" w:rsidP="007F1905">
      <w:pPr>
        <w:pStyle w:val="OutlineNumbered1"/>
        <w:numPr>
          <w:ilvl w:val="0"/>
          <w:numId w:val="11"/>
        </w:numPr>
      </w:pPr>
      <w:r>
        <w:t xml:space="preserve">Does the </w:t>
      </w:r>
      <w:r w:rsidR="007675FB">
        <w:t xml:space="preserve">calculation of </w:t>
      </w:r>
      <w:r w:rsidR="00132271" w:rsidRPr="005859FF">
        <w:rPr>
          <w:i/>
          <w:iCs/>
        </w:rPr>
        <w:t xml:space="preserve">actual </w:t>
      </w:r>
      <w:r w:rsidR="007675FB" w:rsidRPr="005859FF">
        <w:rPr>
          <w:i/>
          <w:iCs/>
        </w:rPr>
        <w:t>RAFE</w:t>
      </w:r>
      <w:r w:rsidR="007675FB">
        <w:t xml:space="preserve"> and </w:t>
      </w:r>
      <w:r w:rsidR="007675FB" w:rsidRPr="005859FF">
        <w:rPr>
          <w:i/>
          <w:iCs/>
        </w:rPr>
        <w:t>benchmark RAFE</w:t>
      </w:r>
      <w:r>
        <w:t xml:space="preserve"> </w:t>
      </w:r>
      <w:r w:rsidR="00C76516">
        <w:t>discourage non</w:t>
      </w:r>
      <w:r w:rsidR="00C76516">
        <w:noBreakHyphen/>
        <w:t xml:space="preserve">performance related product features that members may value (such as </w:t>
      </w:r>
      <w:r w:rsidR="0028454F">
        <w:t xml:space="preserve">customer </w:t>
      </w:r>
      <w:r w:rsidR="00C76516">
        <w:t>service or platform products)?</w:t>
      </w:r>
      <w:r w:rsidR="00E5046B">
        <w:t xml:space="preserve"> If so, can this be addressed without diminishing the test’s foc</w:t>
      </w:r>
      <w:r w:rsidR="00961EA5">
        <w:t>us on performance?</w:t>
      </w:r>
    </w:p>
    <w:p w14:paraId="0F80E337" w14:textId="20EA6777" w:rsidR="00414794" w:rsidRDefault="00414794" w:rsidP="007F1905">
      <w:pPr>
        <w:pStyle w:val="OutlineNumbered1"/>
        <w:numPr>
          <w:ilvl w:val="0"/>
          <w:numId w:val="11"/>
        </w:numPr>
      </w:pPr>
      <w:r>
        <w:t>What are the longer-term impacts of the performance test on market dynamics and composition? How will these factors impact on long-term member outcomes?</w:t>
      </w:r>
    </w:p>
    <w:p w14:paraId="1A665ECD" w14:textId="51004C4E" w:rsidR="00256973" w:rsidRDefault="00256973" w:rsidP="00167ABF">
      <w:pPr>
        <w:pStyle w:val="Heading5"/>
      </w:pPr>
      <w:r>
        <w:t>Consequences of failure</w:t>
      </w:r>
    </w:p>
    <w:p w14:paraId="44C9A3C8" w14:textId="66147545" w:rsidR="00A94E58" w:rsidRDefault="00A94E58" w:rsidP="00A94E58">
      <w:r>
        <w:t>All products that fail the test</w:t>
      </w:r>
      <w:r w:rsidR="00F51F16">
        <w:t xml:space="preserve"> face a clear set of consequences.</w:t>
      </w:r>
    </w:p>
    <w:p w14:paraId="2C8EFE07" w14:textId="28A35F6A" w:rsidR="00F51F16" w:rsidRDefault="00F60F84" w:rsidP="00A94E58">
      <w:r>
        <w:t>T</w:t>
      </w:r>
      <w:r w:rsidR="00F51F16">
        <w:t xml:space="preserve">rustees of products that fail the test have 28 days to notify affected </w:t>
      </w:r>
      <w:r w:rsidR="00877292">
        <w:t>product holders by letter and email (where available)</w:t>
      </w:r>
      <w:r w:rsidR="00F51F16">
        <w:t xml:space="preserve"> using standard </w:t>
      </w:r>
      <w:r w:rsidR="00877292">
        <w:t>information prescribed</w:t>
      </w:r>
      <w:r w:rsidR="00F51F16">
        <w:t xml:space="preserve"> in regulations. As part of this notification, members are prompted to consider switching to a different superannuation product and informed that the </w:t>
      </w:r>
      <w:proofErr w:type="spellStart"/>
      <w:r w:rsidR="00F51F16">
        <w:t>YourSuper</w:t>
      </w:r>
      <w:proofErr w:type="spellEnd"/>
      <w:r w:rsidR="00F51F16">
        <w:t xml:space="preserve"> comparison tool is available to help them </w:t>
      </w:r>
      <w:r w:rsidR="008D0732">
        <w:t xml:space="preserve">to </w:t>
      </w:r>
      <w:r w:rsidR="00F51F16">
        <w:t>compare products.</w:t>
      </w:r>
      <w:r w:rsidR="00064C78">
        <w:t xml:space="preserve"> Trustees must also publish information about a test failure on the fund’s website.</w:t>
      </w:r>
    </w:p>
    <w:p w14:paraId="75A0EAD9" w14:textId="75B8DD94" w:rsidR="00F60F84" w:rsidRDefault="00F60F84" w:rsidP="00F60F84">
      <w:r>
        <w:t>APRA must also publish a list of the underperforming products on its website each year.</w:t>
      </w:r>
    </w:p>
    <w:p w14:paraId="46C2D4F2" w14:textId="0B57C6CC" w:rsidR="00064C78" w:rsidRDefault="00064C78" w:rsidP="00A94E58">
      <w:r>
        <w:t>Products that fail the test two years in a row are closed to new members until they pass a future test. This is intended to stem the flow of contributions into underperforming products, protecting members from poor outcomes. As part of APRA’s supervision, trustees of these products will need to justify how they are meeting their obligations to existing members if they do not merge or improve their performance.</w:t>
      </w:r>
    </w:p>
    <w:p w14:paraId="6D4EA727" w14:textId="77777777" w:rsidR="005075AD" w:rsidRPr="00CC7E64" w:rsidRDefault="005075AD" w:rsidP="005075AD">
      <w:pPr>
        <w:rPr>
          <w:rFonts w:cs="Arial"/>
          <w:color w:val="4D7861" w:themeColor="accent2"/>
          <w:kern w:val="32"/>
          <w:sz w:val="24"/>
          <w:szCs w:val="26"/>
        </w:rPr>
      </w:pPr>
      <w:r w:rsidRPr="00CC7E64">
        <w:rPr>
          <w:rFonts w:cs="Arial"/>
          <w:color w:val="4D7861" w:themeColor="accent2"/>
          <w:kern w:val="32"/>
          <w:sz w:val="24"/>
          <w:szCs w:val="26"/>
        </w:rPr>
        <w:t>Consultation questions</w:t>
      </w:r>
    </w:p>
    <w:p w14:paraId="6070C06A" w14:textId="037FDFB0" w:rsidR="004B6A86" w:rsidRDefault="00877292" w:rsidP="005075AD">
      <w:pPr>
        <w:pStyle w:val="OutlineNumbered1"/>
        <w:numPr>
          <w:ilvl w:val="0"/>
          <w:numId w:val="18"/>
        </w:numPr>
      </w:pPr>
      <w:r>
        <w:t>Is there evidence to indicate that</w:t>
      </w:r>
      <w:r w:rsidR="004B6A86">
        <w:t xml:space="preserve"> the notification </w:t>
      </w:r>
      <w:r w:rsidR="007148BB">
        <w:t>and website publication</w:t>
      </w:r>
      <w:r>
        <w:t xml:space="preserve"> requirement</w:t>
      </w:r>
      <w:r w:rsidR="00A3123A">
        <w:t>s</w:t>
      </w:r>
      <w:r>
        <w:t xml:space="preserve"> have</w:t>
      </w:r>
      <w:r w:rsidR="007148BB">
        <w:t xml:space="preserve"> </w:t>
      </w:r>
      <w:r w:rsidR="004B6A86">
        <w:t>been effective at encouraging members to consider</w:t>
      </w:r>
      <w:r w:rsidR="002A3B8F">
        <w:t>,</w:t>
      </w:r>
      <w:r w:rsidR="004B6A86">
        <w:t xml:space="preserve"> </w:t>
      </w:r>
      <w:r w:rsidR="007F3DBD">
        <w:t>and switch to</w:t>
      </w:r>
      <w:r w:rsidR="002A3B8F">
        <w:t>,</w:t>
      </w:r>
      <w:r w:rsidR="007F3DBD">
        <w:t xml:space="preserve"> </w:t>
      </w:r>
      <w:r w:rsidR="004B6A86">
        <w:t>alternative products? Are there ways this could be improved?</w:t>
      </w:r>
    </w:p>
    <w:p w14:paraId="22DE753A" w14:textId="133B8494" w:rsidR="00600921" w:rsidRDefault="00600921" w:rsidP="005075AD">
      <w:pPr>
        <w:pStyle w:val="OutlineNumbered1"/>
        <w:numPr>
          <w:ilvl w:val="0"/>
          <w:numId w:val="18"/>
        </w:numPr>
      </w:pPr>
      <w:r>
        <w:t>Have the consequences been effective at encouraging trustees to improve their performance or merge with better performing funds?</w:t>
      </w:r>
      <w:r w:rsidR="00607E99">
        <w:t xml:space="preserve"> Are there ways this could be improved?</w:t>
      </w:r>
    </w:p>
    <w:p w14:paraId="6D59CBDF" w14:textId="0D1607BF" w:rsidR="00414794" w:rsidRDefault="00414794" w:rsidP="005075AD">
      <w:pPr>
        <w:pStyle w:val="OutlineNumbered1"/>
        <w:numPr>
          <w:ilvl w:val="0"/>
          <w:numId w:val="18"/>
        </w:numPr>
      </w:pPr>
      <w:r>
        <w:lastRenderedPageBreak/>
        <w:t>Are the measures in place to resolve underperformance sufficient</w:t>
      </w:r>
      <w:r w:rsidR="00664DA2">
        <w:t xml:space="preserve"> given the potential for members to be stapled to these products</w:t>
      </w:r>
      <w:r>
        <w:t>? How can the system best support members in underperforming products?</w:t>
      </w:r>
    </w:p>
    <w:p w14:paraId="21EB229F" w14:textId="0DDCBAB2" w:rsidR="00256973" w:rsidRDefault="00256973" w:rsidP="00414794">
      <w:pPr>
        <w:pStyle w:val="Heading5"/>
      </w:pPr>
      <w:r>
        <w:t>Product coverage</w:t>
      </w:r>
    </w:p>
    <w:p w14:paraId="748E309C" w14:textId="073D8BC5" w:rsidR="008F58BD" w:rsidRDefault="008F58BD" w:rsidP="008F58BD">
      <w:r>
        <w:t xml:space="preserve">The test has applied to </w:t>
      </w:r>
      <w:proofErr w:type="spellStart"/>
      <w:r>
        <w:t>MySuper</w:t>
      </w:r>
      <w:proofErr w:type="spellEnd"/>
      <w:r>
        <w:t xml:space="preserve"> products over the past two years.</w:t>
      </w:r>
    </w:p>
    <w:p w14:paraId="7E7E708C" w14:textId="65BAD256" w:rsidR="008F58BD" w:rsidRDefault="008F58BD" w:rsidP="008F58BD">
      <w:r>
        <w:t>It is scheduled to be extended to TDPs from 1 July 2023. TDPs are multi</w:t>
      </w:r>
      <w:r>
        <w:noBreakHyphen/>
        <w:t xml:space="preserve">sector </w:t>
      </w:r>
      <w:r w:rsidR="00A3123A">
        <w:t xml:space="preserve">Choice </w:t>
      </w:r>
      <w:r w:rsidR="00DE1762">
        <w:t xml:space="preserve">accumulation </w:t>
      </w:r>
      <w:r>
        <w:t>products where the trustee or a connected entity controls the design or implementation of the investment strategy.</w:t>
      </w:r>
    </w:p>
    <w:p w14:paraId="1C2FEF71" w14:textId="2E57D5D5" w:rsidR="008F58BD" w:rsidRDefault="008F58BD" w:rsidP="008F58BD">
      <w:r>
        <w:t xml:space="preserve">TDPs have been scheduled to be included in the test because these products are most comparable to </w:t>
      </w:r>
      <w:proofErr w:type="spellStart"/>
      <w:r>
        <w:t>MySuper</w:t>
      </w:r>
      <w:proofErr w:type="spellEnd"/>
      <w:r>
        <w:t xml:space="preserve"> products </w:t>
      </w:r>
      <w:r w:rsidR="007C10C6">
        <w:t>(in terms of product design</w:t>
      </w:r>
      <w:r w:rsidR="002444BD">
        <w:t>),</w:t>
      </w:r>
      <w:r w:rsidR="007C10C6">
        <w:t xml:space="preserve"> </w:t>
      </w:r>
      <w:r>
        <w:t xml:space="preserve">and APRA is </w:t>
      </w:r>
      <w:r w:rsidR="00B35CA0">
        <w:t>now</w:t>
      </w:r>
      <w:r>
        <w:t xml:space="preserve"> collecting data about them. Further, </w:t>
      </w:r>
      <w:proofErr w:type="spellStart"/>
      <w:r>
        <w:t>MySuper</w:t>
      </w:r>
      <w:proofErr w:type="spellEnd"/>
      <w:r>
        <w:t xml:space="preserve"> products and TDPs together </w:t>
      </w:r>
      <w:r w:rsidR="00580DC4">
        <w:t xml:space="preserve">are expected to </w:t>
      </w:r>
      <w:r>
        <w:t xml:space="preserve">cover </w:t>
      </w:r>
      <w:proofErr w:type="gramStart"/>
      <w:r w:rsidR="00580DC4">
        <w:t>the majority</w:t>
      </w:r>
      <w:r>
        <w:t xml:space="preserve"> of</w:t>
      </w:r>
      <w:proofErr w:type="gramEnd"/>
      <w:r>
        <w:t xml:space="preserve"> accumulation assets regulated by APRA (excluding defined benefit interests).</w:t>
      </w:r>
    </w:p>
    <w:p w14:paraId="11D5830D" w14:textId="216AA147" w:rsidR="008F58BD" w:rsidRDefault="008F58BD" w:rsidP="008F58BD">
      <w:r>
        <w:t xml:space="preserve">Nevertheless, TDPs tend to be more varied and complex than </w:t>
      </w:r>
      <w:proofErr w:type="spellStart"/>
      <w:r>
        <w:t>MySuper</w:t>
      </w:r>
      <w:proofErr w:type="spellEnd"/>
      <w:r>
        <w:t xml:space="preserve"> products</w:t>
      </w:r>
      <w:r w:rsidR="00186913">
        <w:t xml:space="preserve"> and reflect an active choice made by members</w:t>
      </w:r>
      <w:r>
        <w:t>. As such, Treasury is interested in stakeholder feedback about whether there are likely to be any</w:t>
      </w:r>
      <w:r w:rsidR="00472937">
        <w:t xml:space="preserve"> </w:t>
      </w:r>
      <w:r w:rsidR="000E3E82">
        <w:t xml:space="preserve">technical </w:t>
      </w:r>
      <w:r w:rsidR="00472937">
        <w:t>implementation issues or</w:t>
      </w:r>
      <w:r>
        <w:t xml:space="preserve"> unintended consequences from </w:t>
      </w:r>
      <w:r w:rsidR="00661BDF">
        <w:t xml:space="preserve">extending </w:t>
      </w:r>
      <w:r>
        <w:t xml:space="preserve">the existing test to TDPs and </w:t>
      </w:r>
      <w:r w:rsidR="00472937">
        <w:t xml:space="preserve">how </w:t>
      </w:r>
      <w:r>
        <w:t>the</w:t>
      </w:r>
      <w:r w:rsidR="000E3E82">
        <w:t>se could be addressed</w:t>
      </w:r>
      <w:r>
        <w:t xml:space="preserve"> </w:t>
      </w:r>
      <w:r w:rsidR="00575CA8">
        <w:t>while maintaining</w:t>
      </w:r>
      <w:r w:rsidR="00FA5831">
        <w:t xml:space="preserve"> </w:t>
      </w:r>
      <w:r w:rsidR="000E3E82">
        <w:t xml:space="preserve">the </w:t>
      </w:r>
      <w:r w:rsidR="00FA5831">
        <w:t>integrity</w:t>
      </w:r>
      <w:r w:rsidR="000E3E82">
        <w:t xml:space="preserve"> of </w:t>
      </w:r>
      <w:r w:rsidR="00186913">
        <w:t xml:space="preserve">a clear and objective </w:t>
      </w:r>
      <w:r w:rsidR="000E3E82">
        <w:t>test</w:t>
      </w:r>
      <w:r>
        <w:t>.</w:t>
      </w:r>
    </w:p>
    <w:p w14:paraId="152D6530" w14:textId="26CE4DE2" w:rsidR="008F58BD" w:rsidRDefault="00641199" w:rsidP="00C00E50">
      <w:r>
        <w:t>Other products could also be considered for inclusion in the test</w:t>
      </w:r>
      <w:r w:rsidR="00C81843">
        <w:t>:</w:t>
      </w:r>
    </w:p>
    <w:p w14:paraId="5C28A3CD" w14:textId="316A14E6" w:rsidR="00C81843" w:rsidRDefault="00C81843" w:rsidP="00DE1762">
      <w:pPr>
        <w:pStyle w:val="Bullet"/>
        <w:tabs>
          <w:tab w:val="clear" w:pos="1040"/>
          <w:tab w:val="num" w:pos="851"/>
        </w:tabs>
        <w:ind w:left="709" w:hanging="283"/>
      </w:pPr>
      <w:r>
        <w:t>Single</w:t>
      </w:r>
      <w:r w:rsidR="5893BC9E">
        <w:t xml:space="preserve"> </w:t>
      </w:r>
      <w:r>
        <w:t>sector products — products that invest in a single asset class (or two asset classes where one is 90 per cent or more).</w:t>
      </w:r>
    </w:p>
    <w:p w14:paraId="2288EFAA" w14:textId="37582925" w:rsidR="00641199" w:rsidRDefault="00C81843" w:rsidP="004E728E">
      <w:pPr>
        <w:pStyle w:val="Bullet"/>
        <w:tabs>
          <w:tab w:val="clear" w:pos="1040"/>
          <w:tab w:val="num" w:pos="851"/>
        </w:tabs>
        <w:ind w:left="709" w:hanging="283"/>
      </w:pPr>
      <w:r>
        <w:t>Externally</w:t>
      </w:r>
      <w:r w:rsidR="37B6962E">
        <w:t xml:space="preserve"> </w:t>
      </w:r>
      <w:r>
        <w:t xml:space="preserve">directed products (EDPs) — products where the trustee or connected entity has no control or influence over the design and </w:t>
      </w:r>
      <w:r w:rsidR="00DE1762">
        <w:t>implementation</w:t>
      </w:r>
      <w:r>
        <w:t xml:space="preserve"> of the investment strategy (unlike TDPs).</w:t>
      </w:r>
    </w:p>
    <w:p w14:paraId="6140D7C8" w14:textId="137013C1" w:rsidR="00C81843" w:rsidRDefault="00C81843" w:rsidP="004E728E">
      <w:pPr>
        <w:pStyle w:val="Bullet"/>
        <w:tabs>
          <w:tab w:val="clear" w:pos="1040"/>
          <w:tab w:val="num" w:pos="851"/>
        </w:tabs>
        <w:ind w:left="709" w:hanging="283"/>
      </w:pPr>
      <w:r>
        <w:t>Retirement products — products designed for members who have left the workforce and are drawing from their superannuation</w:t>
      </w:r>
      <w:r w:rsidR="00DE1762">
        <w:t xml:space="preserve"> in the pension phase</w:t>
      </w:r>
      <w:r>
        <w:t>.</w:t>
      </w:r>
    </w:p>
    <w:p w14:paraId="56349D50" w14:textId="75885101" w:rsidR="00CD3989" w:rsidRDefault="00CB09C4" w:rsidP="00CD3989">
      <w:r>
        <w:t xml:space="preserve">It will be important to consider whether the test methodology is applicable to these </w:t>
      </w:r>
      <w:r w:rsidR="000D4D30">
        <w:t xml:space="preserve">other </w:t>
      </w:r>
      <w:r>
        <w:t>product</w:t>
      </w:r>
      <w:r w:rsidR="000D4D30">
        <w:t>s</w:t>
      </w:r>
      <w:r>
        <w:t xml:space="preserve"> and whether </w:t>
      </w:r>
      <w:r w:rsidR="000D4D30">
        <w:t>they</w:t>
      </w:r>
      <w:r>
        <w:t xml:space="preserve"> have broader policy goals beyond investment performance. For example, for some retirement products (such as annuities)</w:t>
      </w:r>
      <w:r w:rsidR="00B71059">
        <w:t>,</w:t>
      </w:r>
      <w:r>
        <w:t xml:space="preserve"> the member does not bear the investment risk, meaning it is not necessarily possible to test investment performance. Further, the Retirement Income Covenant requires trustees to </w:t>
      </w:r>
      <w:r w:rsidR="0030035D">
        <w:t xml:space="preserve">formulate a strategy to balance </w:t>
      </w:r>
      <w:r>
        <w:t xml:space="preserve">additional objectives for </w:t>
      </w:r>
      <w:r w:rsidR="0030035D">
        <w:t>beneficiaries who are approaching or are in retirement</w:t>
      </w:r>
      <w:r>
        <w:t>, such as managing risks to the sustainability and stability of retirement income.</w:t>
      </w:r>
    </w:p>
    <w:p w14:paraId="34527A38" w14:textId="77777777" w:rsidR="005075AD" w:rsidRPr="008C75DE" w:rsidRDefault="005075AD" w:rsidP="00CC7E64">
      <w:pPr>
        <w:pStyle w:val="Heading4"/>
      </w:pPr>
      <w:r w:rsidRPr="008C75DE">
        <w:t>Consultation questions</w:t>
      </w:r>
    </w:p>
    <w:p w14:paraId="5B27973A" w14:textId="3420BD7B" w:rsidR="005075AD" w:rsidRDefault="00245781" w:rsidP="001B4C2B">
      <w:pPr>
        <w:pStyle w:val="OutlineNumbered1"/>
        <w:numPr>
          <w:ilvl w:val="0"/>
          <w:numId w:val="18"/>
        </w:numPr>
      </w:pPr>
      <w:r>
        <w:t xml:space="preserve">Are there any </w:t>
      </w:r>
      <w:r w:rsidR="00A3123A">
        <w:t xml:space="preserve">significant </w:t>
      </w:r>
      <w:r>
        <w:t>issues to be expected when the test is extended to TDPs?</w:t>
      </w:r>
      <w:r w:rsidR="00A3123A">
        <w:t xml:space="preserve"> If so, how could </w:t>
      </w:r>
      <w:r w:rsidR="003C7BA7">
        <w:t xml:space="preserve">these issues </w:t>
      </w:r>
      <w:r w:rsidR="00A3123A">
        <w:t>be addressed?</w:t>
      </w:r>
    </w:p>
    <w:p w14:paraId="001578E7" w14:textId="0C69DCAF" w:rsidR="00245781" w:rsidRDefault="00E837DE" w:rsidP="005075AD">
      <w:pPr>
        <w:pStyle w:val="OutlineNumbered1"/>
        <w:numPr>
          <w:ilvl w:val="0"/>
          <w:numId w:val="18"/>
        </w:numPr>
      </w:pPr>
      <w:r>
        <w:t xml:space="preserve">What would be the impact of extending the current </w:t>
      </w:r>
      <w:r w:rsidR="00245781">
        <w:t>performance test to other Choice products (such as single</w:t>
      </w:r>
      <w:r w:rsidR="0A050697">
        <w:t xml:space="preserve"> </w:t>
      </w:r>
      <w:r w:rsidR="00245781">
        <w:t>sector or retirement products)?</w:t>
      </w:r>
      <w:r w:rsidR="00DF70AA">
        <w:t xml:space="preserve"> </w:t>
      </w:r>
      <w:r>
        <w:t>H</w:t>
      </w:r>
      <w:r w:rsidR="00DF70AA">
        <w:t xml:space="preserve">ow could </w:t>
      </w:r>
      <w:r>
        <w:t xml:space="preserve">any issues </w:t>
      </w:r>
      <w:r w:rsidR="00DF70AA">
        <w:t>be addressed?</w:t>
      </w:r>
    </w:p>
    <w:p w14:paraId="78A79670" w14:textId="60FAFEF4" w:rsidR="00D37B6B" w:rsidRDefault="00D37B6B">
      <w:pPr>
        <w:spacing w:before="0" w:after="160" w:line="259" w:lineRule="auto"/>
      </w:pPr>
      <w:r>
        <w:br w:type="page"/>
      </w:r>
    </w:p>
    <w:p w14:paraId="7FF1C54C" w14:textId="3CD33A16" w:rsidR="009B7528" w:rsidRPr="00DA14D5" w:rsidRDefault="008D2B78" w:rsidP="00E20B8F">
      <w:pPr>
        <w:pStyle w:val="Heading3"/>
      </w:pPr>
      <w:bookmarkStart w:id="17" w:name="_Toc113279199"/>
      <w:proofErr w:type="spellStart"/>
      <w:r>
        <w:lastRenderedPageBreak/>
        <w:t>YourSuper</w:t>
      </w:r>
      <w:proofErr w:type="spellEnd"/>
      <w:r>
        <w:t xml:space="preserve"> c</w:t>
      </w:r>
      <w:r w:rsidR="003C0FE1" w:rsidRPr="00D37B6B">
        <w:t xml:space="preserve">omparison </w:t>
      </w:r>
      <w:r>
        <w:t>t</w:t>
      </w:r>
      <w:r w:rsidR="003C0FE1" w:rsidRPr="00D37B6B">
        <w:t>ool</w:t>
      </w:r>
      <w:bookmarkEnd w:id="17"/>
    </w:p>
    <w:p w14:paraId="7417D318" w14:textId="5A16C9B2" w:rsidR="00272320" w:rsidRDefault="001C522B" w:rsidP="001C522B">
      <w:r>
        <w:t xml:space="preserve">The </w:t>
      </w:r>
      <w:proofErr w:type="spellStart"/>
      <w:r>
        <w:t>YourSuper</w:t>
      </w:r>
      <w:proofErr w:type="spellEnd"/>
      <w:r>
        <w:t xml:space="preserve"> Comparison Tool </w:t>
      </w:r>
      <w:r w:rsidR="00BF4B7B">
        <w:t>(comparison tool)</w:t>
      </w:r>
      <w:r w:rsidR="00311A78">
        <w:rPr>
          <w:rStyle w:val="FootnoteReference"/>
        </w:rPr>
        <w:footnoteReference w:id="5"/>
      </w:r>
      <w:r w:rsidR="00BF4B7B">
        <w:t xml:space="preserve"> </w:t>
      </w:r>
      <w:r>
        <w:t xml:space="preserve">was </w:t>
      </w:r>
      <w:r w:rsidR="001F3C54">
        <w:t xml:space="preserve">launched </w:t>
      </w:r>
      <w:r>
        <w:t xml:space="preserve">on 1 July 2021 as </w:t>
      </w:r>
      <w:r w:rsidR="00690CFB">
        <w:t>an</w:t>
      </w:r>
      <w:r>
        <w:t xml:space="preserve"> interactive </w:t>
      </w:r>
      <w:r w:rsidR="00272320">
        <w:t>tool</w:t>
      </w:r>
      <w:r w:rsidDel="00272320">
        <w:t xml:space="preserve"> </w:t>
      </w:r>
      <w:r w:rsidR="00272320">
        <w:t xml:space="preserve">to help </w:t>
      </w:r>
      <w:r>
        <w:t xml:space="preserve">members make better decisions about who manages their retirement savings. </w:t>
      </w:r>
    </w:p>
    <w:p w14:paraId="4B9A1733" w14:textId="713523D7" w:rsidR="0025060A" w:rsidRDefault="0025060A" w:rsidP="001C522B">
      <w:r>
        <w:t xml:space="preserve">The </w:t>
      </w:r>
      <w:r w:rsidR="0034794C">
        <w:t>PC</w:t>
      </w:r>
      <w:r w:rsidR="00BF4B7B">
        <w:t xml:space="preserve"> </w:t>
      </w:r>
      <w:r w:rsidR="00272320">
        <w:t xml:space="preserve">review </w:t>
      </w:r>
      <w:r w:rsidR="001112B2">
        <w:t xml:space="preserve">highlighted weak </w:t>
      </w:r>
      <w:r w:rsidR="00E64AFE">
        <w:t xml:space="preserve">member engagement and </w:t>
      </w:r>
      <w:r w:rsidR="001112B2">
        <w:t>demand-side pressure in the superannuation system and the need for a centralised online service t</w:t>
      </w:r>
      <w:r w:rsidR="008E307D">
        <w:t>hat</w:t>
      </w:r>
      <w:r w:rsidR="001112B2">
        <w:t xml:space="preserve"> allows </w:t>
      </w:r>
      <w:r w:rsidR="008E307D">
        <w:t xml:space="preserve">members to compare </w:t>
      </w:r>
      <w:r w:rsidR="00272320">
        <w:t xml:space="preserve">products </w:t>
      </w:r>
      <w:r w:rsidR="008E307D">
        <w:t>and consolidate accounts</w:t>
      </w:r>
      <w:r w:rsidR="001112B2">
        <w:t xml:space="preserve">. </w:t>
      </w:r>
    </w:p>
    <w:p w14:paraId="4DA66CC5" w14:textId="66D39001" w:rsidR="001E08CD" w:rsidRDefault="00403DB3" w:rsidP="001C522B">
      <w:r>
        <w:t xml:space="preserve">The </w:t>
      </w:r>
      <w:r w:rsidR="00BF4B7B">
        <w:t xml:space="preserve">comparison </w:t>
      </w:r>
      <w:r>
        <w:t xml:space="preserve">tool </w:t>
      </w:r>
      <w:r w:rsidR="00414794">
        <w:t>should</w:t>
      </w:r>
      <w:r w:rsidR="00E64AFE">
        <w:t xml:space="preserve"> achieve </w:t>
      </w:r>
      <w:r>
        <w:t xml:space="preserve">two key </w:t>
      </w:r>
      <w:r w:rsidR="00E64AFE">
        <w:t>objectives</w:t>
      </w:r>
      <w:r>
        <w:t xml:space="preserve">. </w:t>
      </w:r>
      <w:r w:rsidR="00F951D3">
        <w:t>F</w:t>
      </w:r>
      <w:r>
        <w:t xml:space="preserve">irst, to </w:t>
      </w:r>
      <w:r w:rsidR="00E64AFE">
        <w:t xml:space="preserve">improve member engagement by </w:t>
      </w:r>
      <w:r>
        <w:t>provid</w:t>
      </w:r>
      <w:r w:rsidR="00E64AFE">
        <w:t>ing</w:t>
      </w:r>
      <w:r>
        <w:t xml:space="preserve"> members with simple, clear and trusted information </w:t>
      </w:r>
      <w:r w:rsidR="00324A5F">
        <w:t xml:space="preserve">to help them </w:t>
      </w:r>
      <w:r w:rsidR="00E64AFE">
        <w:t xml:space="preserve">to compare </w:t>
      </w:r>
      <w:r w:rsidR="00324A5F">
        <w:t xml:space="preserve">and choose a well-performing </w:t>
      </w:r>
      <w:proofErr w:type="spellStart"/>
      <w:r w:rsidR="00324A5F">
        <w:t>MySuper</w:t>
      </w:r>
      <w:proofErr w:type="spellEnd"/>
      <w:r w:rsidR="00324A5F">
        <w:t xml:space="preserve"> product</w:t>
      </w:r>
      <w:r>
        <w:t xml:space="preserve">. </w:t>
      </w:r>
      <w:r w:rsidR="00F951D3">
        <w:t>S</w:t>
      </w:r>
      <w:r>
        <w:t xml:space="preserve">econd, to encourage </w:t>
      </w:r>
      <w:r w:rsidR="00F951D3">
        <w:t xml:space="preserve">funds to </w:t>
      </w:r>
      <w:r>
        <w:t>compet</w:t>
      </w:r>
      <w:r w:rsidR="00F951D3">
        <w:t>e</w:t>
      </w:r>
      <w:r>
        <w:t xml:space="preserve"> </w:t>
      </w:r>
      <w:r w:rsidR="00F951D3">
        <w:t>by</w:t>
      </w:r>
      <w:r>
        <w:t xml:space="preserve"> lower</w:t>
      </w:r>
      <w:r w:rsidR="00F951D3">
        <w:t>ing</w:t>
      </w:r>
      <w:r>
        <w:t xml:space="preserve"> fees and increas</w:t>
      </w:r>
      <w:r w:rsidR="00F951D3">
        <w:t>ing</w:t>
      </w:r>
      <w:r>
        <w:t xml:space="preserve"> returns for members.</w:t>
      </w:r>
    </w:p>
    <w:p w14:paraId="758542A1" w14:textId="6AC0AF77" w:rsidR="001C522B" w:rsidRPr="0091444F" w:rsidRDefault="00C2704A" w:rsidP="0091444F">
      <w:pPr>
        <w:pStyle w:val="Heading4"/>
      </w:pPr>
      <w:r>
        <w:t>How it works</w:t>
      </w:r>
    </w:p>
    <w:p w14:paraId="3AE877B4" w14:textId="4C82568B" w:rsidR="00651657" w:rsidRDefault="00651657" w:rsidP="001C522B">
      <w:r>
        <w:t xml:space="preserve">The </w:t>
      </w:r>
      <w:r w:rsidR="00BF4B7B">
        <w:t>comparison tool</w:t>
      </w:r>
      <w:r>
        <w:t xml:space="preserve"> was </w:t>
      </w:r>
      <w:r w:rsidR="007869B4">
        <w:t xml:space="preserve">co-designed </w:t>
      </w:r>
      <w:r>
        <w:t xml:space="preserve">by the Australian Tax Office </w:t>
      </w:r>
      <w:r w:rsidR="00B860F2">
        <w:t>(ATO)</w:t>
      </w:r>
      <w:r w:rsidR="007869B4">
        <w:t>, APRA and the Australian Securities and Investment Commission (ASIC) and is hosted by the ATO. The information displayed</w:t>
      </w:r>
      <w:r>
        <w:t xml:space="preserve"> is based on data </w:t>
      </w:r>
      <w:r w:rsidR="00E64AFE">
        <w:t xml:space="preserve">that </w:t>
      </w:r>
      <w:r w:rsidR="00BF4B7B">
        <w:t>super</w:t>
      </w:r>
      <w:r w:rsidR="001F3C54">
        <w:t>annuation</w:t>
      </w:r>
      <w:r w:rsidR="00BF4B7B">
        <w:t xml:space="preserve"> </w:t>
      </w:r>
      <w:r>
        <w:t xml:space="preserve">funds report to </w:t>
      </w:r>
      <w:r w:rsidR="00F951D3">
        <w:t>APRA</w:t>
      </w:r>
      <w:r>
        <w:t xml:space="preserve">. </w:t>
      </w:r>
    </w:p>
    <w:p w14:paraId="1C24D3DC" w14:textId="21678069" w:rsidR="007269B2" w:rsidRDefault="00690CFB" w:rsidP="001C522B">
      <w:r>
        <w:t>The</w:t>
      </w:r>
      <w:r w:rsidR="00BF4B7B">
        <w:t xml:space="preserve"> comparison</w:t>
      </w:r>
      <w:r>
        <w:t xml:space="preserve"> </w:t>
      </w:r>
      <w:r w:rsidR="00651657">
        <w:t>t</w:t>
      </w:r>
      <w:r w:rsidR="00755BAF">
        <w:t>ool</w:t>
      </w:r>
      <w:r>
        <w:t xml:space="preserve"> </w:t>
      </w:r>
      <w:r w:rsidR="00D13CE2">
        <w:t xml:space="preserve">displays three core metrics for </w:t>
      </w:r>
      <w:r>
        <w:t xml:space="preserve">all </w:t>
      </w:r>
      <w:proofErr w:type="spellStart"/>
      <w:r>
        <w:t>MySuper</w:t>
      </w:r>
      <w:proofErr w:type="spellEnd"/>
      <w:r>
        <w:t xml:space="preserve"> products: </w:t>
      </w:r>
    </w:p>
    <w:p w14:paraId="17C71539" w14:textId="2B213573" w:rsidR="007269B2" w:rsidRDefault="007269B2" w:rsidP="001C67E2">
      <w:pPr>
        <w:pStyle w:val="Bullet"/>
        <w:tabs>
          <w:tab w:val="clear" w:pos="1040"/>
          <w:tab w:val="num" w:pos="851"/>
        </w:tabs>
        <w:ind w:left="709" w:hanging="283"/>
      </w:pPr>
      <w:r>
        <w:t>Fe</w:t>
      </w:r>
      <w:r w:rsidR="00690CFB">
        <w:t>es</w:t>
      </w:r>
      <w:r>
        <w:t xml:space="preserve"> – calculated as the total of all investment, administration and advice fees charged to an account based on a $50,000</w:t>
      </w:r>
      <w:r w:rsidR="00A23BA6" w:rsidRPr="00A23BA6">
        <w:t xml:space="preserve"> </w:t>
      </w:r>
      <w:r w:rsidR="00A23BA6">
        <w:t>balance</w:t>
      </w:r>
      <w:r>
        <w:t>.</w:t>
      </w:r>
      <w:r w:rsidR="00690CFB">
        <w:t xml:space="preserve"> </w:t>
      </w:r>
    </w:p>
    <w:p w14:paraId="41E588F1" w14:textId="552EE307" w:rsidR="007269B2" w:rsidRDefault="007269B2" w:rsidP="001C67E2">
      <w:pPr>
        <w:pStyle w:val="Bullet"/>
        <w:tabs>
          <w:tab w:val="clear" w:pos="1040"/>
          <w:tab w:val="num" w:pos="851"/>
        </w:tabs>
        <w:ind w:left="709" w:hanging="283"/>
      </w:pPr>
      <w:r>
        <w:t xml:space="preserve">Net Returns – calculated </w:t>
      </w:r>
      <w:r w:rsidR="00A23BA6">
        <w:t>as</w:t>
      </w:r>
      <w:r>
        <w:t xml:space="preserve"> the eight-year annualised average rate of return received from the investments after </w:t>
      </w:r>
      <w:r w:rsidR="006C0283">
        <w:t xml:space="preserve">all </w:t>
      </w:r>
      <w:r>
        <w:t>administration and investment fees, costs, taxes and advice fees</w:t>
      </w:r>
      <w:r w:rsidR="00324A5F">
        <w:rPr>
          <w:rStyle w:val="FootnoteReference"/>
        </w:rPr>
        <w:footnoteReference w:id="6"/>
      </w:r>
      <w:r>
        <w:t xml:space="preserve">. </w:t>
      </w:r>
    </w:p>
    <w:p w14:paraId="5AFE6665" w14:textId="22DB652E" w:rsidR="00651657" w:rsidRDefault="00174402" w:rsidP="001C67E2">
      <w:pPr>
        <w:pStyle w:val="Bullet"/>
        <w:tabs>
          <w:tab w:val="clear" w:pos="1040"/>
          <w:tab w:val="num" w:pos="851"/>
        </w:tabs>
        <w:ind w:left="709" w:hanging="283"/>
      </w:pPr>
      <w:r>
        <w:t>Investment</w:t>
      </w:r>
      <w:r w:rsidR="00651657">
        <w:t xml:space="preserve"> performance</w:t>
      </w:r>
      <w:r w:rsidR="007269B2">
        <w:t xml:space="preserve"> </w:t>
      </w:r>
      <w:r w:rsidR="00A23BA6">
        <w:t>–</w:t>
      </w:r>
      <w:r w:rsidR="00651657">
        <w:t xml:space="preserve"> categorised as either ‘Performing’, ‘Underperforming’ or ‘Not assessed’ based on the results of the annual performance test. </w:t>
      </w:r>
      <w:r w:rsidR="006C0283">
        <w:t>This metric is updated after 31</w:t>
      </w:r>
      <w:r w:rsidR="00A23BA6">
        <w:t> </w:t>
      </w:r>
      <w:r w:rsidR="006C0283">
        <w:t>August each year to reflect the most recent performance test results.</w:t>
      </w:r>
    </w:p>
    <w:p w14:paraId="4BDABEAC" w14:textId="1A789393" w:rsidR="00D13CE2" w:rsidRDefault="00D13CE2" w:rsidP="001C522B">
      <w:proofErr w:type="spellStart"/>
      <w:r>
        <w:t>MySuper</w:t>
      </w:r>
      <w:proofErr w:type="spellEnd"/>
      <w:r>
        <w:t xml:space="preserve"> products are </w:t>
      </w:r>
      <w:r w:rsidR="005A332F">
        <w:t>sorted</w:t>
      </w:r>
      <w:r>
        <w:t xml:space="preserve"> from lowest to highest fees by default. Although users </w:t>
      </w:r>
      <w:proofErr w:type="gramStart"/>
      <w:r>
        <w:t>are able to</w:t>
      </w:r>
      <w:proofErr w:type="gramEnd"/>
      <w:r>
        <w:t xml:space="preserve"> sort products by </w:t>
      </w:r>
      <w:r w:rsidR="00AA0156">
        <w:t>other characteristics</w:t>
      </w:r>
      <w:r>
        <w:t>.</w:t>
      </w:r>
      <w:r w:rsidR="007869B4">
        <w:t xml:space="preserve"> Under-performing products will always default to the bottom of the list. </w:t>
      </w:r>
    </w:p>
    <w:p w14:paraId="4CFEF6DE" w14:textId="0E497BC1" w:rsidR="008E307D" w:rsidDel="00AA0156" w:rsidRDefault="00724A40" w:rsidP="001C522B">
      <w:r w:rsidDel="00AA0156">
        <w:t>Users can</w:t>
      </w:r>
      <w:r w:rsidR="008E307D" w:rsidDel="00AA0156">
        <w:t xml:space="preserve"> </w:t>
      </w:r>
      <w:r w:rsidDel="00AA0156">
        <w:t xml:space="preserve">access additional metrics for </w:t>
      </w:r>
      <w:r w:rsidR="008E307D" w:rsidDel="00AA0156">
        <w:t xml:space="preserve">up to four </w:t>
      </w:r>
      <w:r w:rsidR="00A23BA6" w:rsidDel="00AA0156">
        <w:t>products</w:t>
      </w:r>
      <w:r w:rsidDel="00AA0156">
        <w:t xml:space="preserve"> at a time using a shortlist</w:t>
      </w:r>
      <w:r w:rsidR="008E307D" w:rsidDel="00AA0156">
        <w:t xml:space="preserve">. </w:t>
      </w:r>
      <w:r w:rsidDel="00AA0156">
        <w:t>This includes:</w:t>
      </w:r>
      <w:r w:rsidR="008E307D" w:rsidDel="00AA0156">
        <w:t xml:space="preserve"> </w:t>
      </w:r>
      <w:r w:rsidDel="00AA0156">
        <w:t>three</w:t>
      </w:r>
      <w:r w:rsidDel="00AA0156">
        <w:noBreakHyphen/>
        <w:t>, five</w:t>
      </w:r>
      <w:r w:rsidDel="00AA0156">
        <w:noBreakHyphen/>
        <w:t xml:space="preserve"> and seven</w:t>
      </w:r>
      <w:r w:rsidDel="00AA0156">
        <w:noBreakHyphen/>
        <w:t>year</w:t>
      </w:r>
      <w:r w:rsidR="008E307D" w:rsidDel="00AA0156">
        <w:t xml:space="preserve"> net returns</w:t>
      </w:r>
      <w:r w:rsidDel="00AA0156">
        <w:t>;</w:t>
      </w:r>
      <w:r w:rsidR="008E307D" w:rsidDel="00AA0156">
        <w:t xml:space="preserve"> </w:t>
      </w:r>
      <w:r w:rsidR="00380FAB" w:rsidDel="00AA0156">
        <w:t xml:space="preserve">whether </w:t>
      </w:r>
      <w:r w:rsidDel="00AA0156">
        <w:t xml:space="preserve">the product </w:t>
      </w:r>
      <w:r w:rsidR="00380FAB" w:rsidDel="00AA0156">
        <w:t>has a lifecycle investment approach</w:t>
      </w:r>
      <w:r w:rsidR="00810AC9" w:rsidDel="00AA0156">
        <w:t>;</w:t>
      </w:r>
      <w:r w:rsidR="008E307D" w:rsidDel="00AA0156">
        <w:t xml:space="preserve"> and </w:t>
      </w:r>
      <w:r w:rsidR="00380FAB" w:rsidDel="00AA0156">
        <w:t>whether the fund is restricted to certain employers</w:t>
      </w:r>
      <w:r w:rsidR="008E307D" w:rsidDel="00AA0156">
        <w:t>.</w:t>
      </w:r>
    </w:p>
    <w:p w14:paraId="4F7F3F6B" w14:textId="1D41AC0B" w:rsidR="0025060A" w:rsidRDefault="007F3DBD" w:rsidP="001C522B">
      <w:r>
        <w:t xml:space="preserve">The comparison tool </w:t>
      </w:r>
      <w:r w:rsidR="00D00EB0">
        <w:t xml:space="preserve">can be accessed through a non-authenticated version or an authenticated version. The authenticated version has added functionality of allowing </w:t>
      </w:r>
      <w:r w:rsidR="008E307D">
        <w:t xml:space="preserve">members to compare their current superannuation accounts to those available </w:t>
      </w:r>
      <w:r w:rsidR="00380FAB">
        <w:t>on the comparison tool. Members can also</w:t>
      </w:r>
      <w:r w:rsidR="00CB0BB1">
        <w:t xml:space="preserve"> view annual fees based on their current superannuation balance</w:t>
      </w:r>
      <w:r w:rsidR="008E307D">
        <w:t xml:space="preserve"> </w:t>
      </w:r>
      <w:r w:rsidR="000C6625">
        <w:t>and will be</w:t>
      </w:r>
      <w:r w:rsidR="008E307D">
        <w:t xml:space="preserve"> prompt</w:t>
      </w:r>
      <w:r w:rsidR="000C6625">
        <w:t>ed</w:t>
      </w:r>
      <w:r w:rsidR="008E307D">
        <w:t xml:space="preserve"> to consider consolidating accounts if they </w:t>
      </w:r>
      <w:r w:rsidR="000C6625">
        <w:t>have</w:t>
      </w:r>
      <w:r w:rsidR="008E307D">
        <w:t xml:space="preserve"> more than one.</w:t>
      </w:r>
    </w:p>
    <w:p w14:paraId="0BBC1B12" w14:textId="4A588158" w:rsidR="00651657" w:rsidRDefault="00651657" w:rsidP="001C522B">
      <w:r>
        <w:t>For members seeking further detail</w:t>
      </w:r>
      <w:r w:rsidR="000C6625">
        <w:t>,</w:t>
      </w:r>
      <w:r>
        <w:t xml:space="preserve"> </w:t>
      </w:r>
      <w:r w:rsidR="008E307D">
        <w:t xml:space="preserve">the </w:t>
      </w:r>
      <w:r w:rsidR="00AC3227">
        <w:t xml:space="preserve">comparison </w:t>
      </w:r>
      <w:r w:rsidR="008E307D">
        <w:t>tool provides a link to the products</w:t>
      </w:r>
      <w:r w:rsidR="00AC3227">
        <w:t>’</w:t>
      </w:r>
      <w:r w:rsidR="008E307D">
        <w:t xml:space="preserve"> </w:t>
      </w:r>
      <w:proofErr w:type="spellStart"/>
      <w:r w:rsidR="008E307D">
        <w:t>MySuper</w:t>
      </w:r>
      <w:proofErr w:type="spellEnd"/>
      <w:r w:rsidR="008E307D">
        <w:t xml:space="preserve"> Product Dashboard. </w:t>
      </w:r>
      <w:r>
        <w:t xml:space="preserve">These dashboards are </w:t>
      </w:r>
      <w:r w:rsidR="00FE3EF5">
        <w:t>made publicly available on</w:t>
      </w:r>
      <w:r>
        <w:t xml:space="preserve"> fund</w:t>
      </w:r>
      <w:r w:rsidR="00FE3EF5">
        <w:t xml:space="preserve"> websites</w:t>
      </w:r>
      <w:r>
        <w:t xml:space="preserve"> and </w:t>
      </w:r>
      <w:r w:rsidR="007F3DBD">
        <w:t>provide additional information on</w:t>
      </w:r>
      <w:r>
        <w:t xml:space="preserve"> performance, risk and fee</w:t>
      </w:r>
      <w:r w:rsidR="007F3DBD">
        <w:t>s</w:t>
      </w:r>
      <w:r>
        <w:t xml:space="preserve">. </w:t>
      </w:r>
      <w:r w:rsidR="00FE3EF5">
        <w:t>However</w:t>
      </w:r>
      <w:r>
        <w:t>, these metrics are not always consistent with the metric</w:t>
      </w:r>
      <w:r w:rsidR="007F3DBD">
        <w:t>s</w:t>
      </w:r>
      <w:r>
        <w:t xml:space="preserve"> reported in the </w:t>
      </w:r>
      <w:r w:rsidR="00AC3227">
        <w:t>comparison tool</w:t>
      </w:r>
      <w:r>
        <w:t>.</w:t>
      </w:r>
    </w:p>
    <w:p w14:paraId="0004219E" w14:textId="289C66F5" w:rsidR="00690CFB" w:rsidRDefault="00EB610D" w:rsidP="0091444F">
      <w:pPr>
        <w:pStyle w:val="Heading4"/>
      </w:pPr>
      <w:r>
        <w:lastRenderedPageBreak/>
        <w:t>How it</w:t>
      </w:r>
      <w:r w:rsidR="00854C5B">
        <w:t xml:space="preserve"> is</w:t>
      </w:r>
      <w:r>
        <w:t xml:space="preserve"> going </w:t>
      </w:r>
    </w:p>
    <w:p w14:paraId="4836901A" w14:textId="50CBC876" w:rsidR="00AC32DA" w:rsidRDefault="000C6625" w:rsidP="003A3903">
      <w:r w:rsidRPr="005138DD">
        <w:t>T</w:t>
      </w:r>
      <w:r w:rsidR="00EB610D" w:rsidRPr="005138DD">
        <w:t xml:space="preserve">he </w:t>
      </w:r>
      <w:r w:rsidR="007B4B5D" w:rsidRPr="005138DD">
        <w:t>comparison tool</w:t>
      </w:r>
      <w:r w:rsidR="00EB610D" w:rsidRPr="005138DD">
        <w:t xml:space="preserve"> </w:t>
      </w:r>
      <w:r w:rsidR="00AA0156" w:rsidRPr="005138DD">
        <w:t>has</w:t>
      </w:r>
      <w:r w:rsidR="009970EF">
        <w:t xml:space="preserve"> demonstrated high levels of member usage </w:t>
      </w:r>
      <w:r w:rsidR="0041341E">
        <w:t xml:space="preserve">receiving </w:t>
      </w:r>
      <w:r w:rsidR="00EB610D" w:rsidRPr="005138DD">
        <w:t>over 1</w:t>
      </w:r>
      <w:r w:rsidR="00872271" w:rsidRPr="005138DD">
        <w:t>.5</w:t>
      </w:r>
      <w:r w:rsidR="00EB610D" w:rsidRPr="005138DD">
        <w:t xml:space="preserve"> million views since </w:t>
      </w:r>
      <w:r w:rsidRPr="005138DD">
        <w:t xml:space="preserve">it went live </w:t>
      </w:r>
      <w:r w:rsidR="00EB610D" w:rsidRPr="005138DD">
        <w:t xml:space="preserve">on 1 July 2021. </w:t>
      </w:r>
      <w:r w:rsidR="00997F17">
        <w:t xml:space="preserve">During the period 1 July 2021 to 30 June 2022, around </w:t>
      </w:r>
      <w:r w:rsidR="00872271" w:rsidRPr="005138DD">
        <w:t>430</w:t>
      </w:r>
      <w:r w:rsidR="00CB31F1" w:rsidRPr="005138DD">
        <w:t>,000</w:t>
      </w:r>
      <w:r w:rsidR="00C417E2" w:rsidRPr="005138DD">
        <w:t> </w:t>
      </w:r>
      <w:r w:rsidR="00CB31F1" w:rsidRPr="005138DD">
        <w:t>members</w:t>
      </w:r>
      <w:r w:rsidR="009970EF">
        <w:t xml:space="preserve"> </w:t>
      </w:r>
      <w:r w:rsidR="00CB31F1" w:rsidRPr="005138DD">
        <w:t xml:space="preserve">used the authenticated version of the </w:t>
      </w:r>
      <w:r w:rsidR="009970EF">
        <w:t xml:space="preserve">comparison </w:t>
      </w:r>
      <w:r w:rsidR="00CB31F1" w:rsidRPr="005138DD">
        <w:t>tool</w:t>
      </w:r>
      <w:r w:rsidR="009970EF">
        <w:t xml:space="preserve">, </w:t>
      </w:r>
      <w:r w:rsidR="00997F17">
        <w:t xml:space="preserve">which correlated with </w:t>
      </w:r>
      <w:r w:rsidR="009970EF">
        <w:t xml:space="preserve">around </w:t>
      </w:r>
      <w:r w:rsidR="00CB31F1" w:rsidRPr="005138DD">
        <w:t>1</w:t>
      </w:r>
      <w:r w:rsidR="00872271" w:rsidRPr="005138DD">
        <w:t>5</w:t>
      </w:r>
      <w:r w:rsidR="00CB31F1" w:rsidRPr="005138DD">
        <w:t>8,000</w:t>
      </w:r>
      <w:r w:rsidR="00C417E2" w:rsidRPr="005138DD">
        <w:t> </w:t>
      </w:r>
      <w:r w:rsidR="00997F17">
        <w:t xml:space="preserve">of these </w:t>
      </w:r>
      <w:r w:rsidR="00C417E2" w:rsidRPr="005138DD">
        <w:t>members</w:t>
      </w:r>
      <w:r w:rsidR="00997F17">
        <w:t xml:space="preserve"> </w:t>
      </w:r>
      <w:r w:rsidR="00CB31F1" w:rsidRPr="005138DD">
        <w:t>chang</w:t>
      </w:r>
      <w:r w:rsidR="00997F17">
        <w:t>ing</w:t>
      </w:r>
      <w:r w:rsidR="00CB31F1" w:rsidRPr="005138DD">
        <w:t xml:space="preserve"> their superannuation accounts</w:t>
      </w:r>
      <w:r w:rsidR="00997F17">
        <w:t xml:space="preserve"> in the same period</w:t>
      </w:r>
      <w:r w:rsidR="003B4FA7">
        <w:rPr>
          <w:rStyle w:val="FootnoteReference"/>
        </w:rPr>
        <w:footnoteReference w:id="7"/>
      </w:r>
      <w:r w:rsidR="00CB31F1" w:rsidRPr="005138DD">
        <w:t>.</w:t>
      </w:r>
      <w:r w:rsidR="00CB31F1">
        <w:t xml:space="preserve"> </w:t>
      </w:r>
    </w:p>
    <w:p w14:paraId="770FFFB0" w14:textId="1C40D58D" w:rsidR="008678F3" w:rsidRDefault="008678F3" w:rsidP="00EB610D">
      <w:r>
        <w:t>Treasury is interested in stakeholder feedback about whether the tool is having its intended effect to empower members and encourage competition, and how best this can be measured. This includes feedback about whether the existing metrics used in the tool are sufficient or whether additional metrics may be useful to avoid unintended consequences. For example, anecdotal evidence suggests that without an appropriate risk metric, members may unintentionally be moving to products that are subject to more investment risk.</w:t>
      </w:r>
    </w:p>
    <w:p w14:paraId="3693A750" w14:textId="77777777" w:rsidR="007D0F2E" w:rsidRPr="00CC7E64" w:rsidRDefault="007D0F2E" w:rsidP="007D0F2E">
      <w:pPr>
        <w:rPr>
          <w:rFonts w:cs="Arial"/>
          <w:color w:val="4D7861" w:themeColor="accent2"/>
          <w:kern w:val="32"/>
          <w:sz w:val="24"/>
          <w:szCs w:val="26"/>
        </w:rPr>
      </w:pPr>
      <w:r w:rsidRPr="00CC7E64">
        <w:rPr>
          <w:rFonts w:cs="Arial"/>
          <w:color w:val="4D7861" w:themeColor="accent2"/>
          <w:kern w:val="32"/>
          <w:sz w:val="24"/>
          <w:szCs w:val="26"/>
        </w:rPr>
        <w:t xml:space="preserve">Consultation questions </w:t>
      </w:r>
    </w:p>
    <w:p w14:paraId="5986887E" w14:textId="2FF34EA4" w:rsidR="007D0F2E" w:rsidRDefault="007D0F2E" w:rsidP="007D0F2E">
      <w:pPr>
        <w:pStyle w:val="OutlineNumbered1"/>
        <w:numPr>
          <w:ilvl w:val="0"/>
          <w:numId w:val="18"/>
        </w:numPr>
      </w:pPr>
      <w:r w:rsidRPr="0091444F">
        <w:t xml:space="preserve">Does the </w:t>
      </w:r>
      <w:r>
        <w:t xml:space="preserve">comparison tool </w:t>
      </w:r>
      <w:r w:rsidRPr="0091444F">
        <w:t xml:space="preserve">adequately </w:t>
      </w:r>
      <w:r>
        <w:t xml:space="preserve">inform </w:t>
      </w:r>
      <w:r w:rsidRPr="0091444F">
        <w:t>members</w:t>
      </w:r>
      <w:r>
        <w:t xml:space="preserve"> and prompt a behavioural response</w:t>
      </w:r>
      <w:r w:rsidRPr="0091444F">
        <w:t xml:space="preserve">? </w:t>
      </w:r>
      <w:r>
        <w:t>Is the tool effective at informing new employees</w:t>
      </w:r>
      <w:r w:rsidR="006F30AE">
        <w:t xml:space="preserve"> of their options</w:t>
      </w:r>
      <w:r w:rsidR="00897E86">
        <w:t xml:space="preserve"> when entering the workforce</w:t>
      </w:r>
      <w:r>
        <w:t xml:space="preserve">, </w:t>
      </w:r>
      <w:r w:rsidR="003D073E">
        <w:t>including those who do not have an</w:t>
      </w:r>
      <w:r>
        <w:t xml:space="preserve"> existing superannuation account</w:t>
      </w:r>
      <w:r w:rsidR="003D073E">
        <w:t>?</w:t>
      </w:r>
      <w:r>
        <w:t xml:space="preserve"> </w:t>
      </w:r>
    </w:p>
    <w:p w14:paraId="44E57CA0" w14:textId="4DA8A5FF" w:rsidR="007D0F2E" w:rsidRDefault="003D073E" w:rsidP="007D0F2E">
      <w:pPr>
        <w:pStyle w:val="OutlineNumbered1"/>
        <w:numPr>
          <w:ilvl w:val="0"/>
          <w:numId w:val="18"/>
        </w:numPr>
      </w:pPr>
      <w:r w:rsidRPr="0091444F">
        <w:t xml:space="preserve">To what extent would </w:t>
      </w:r>
      <w:proofErr w:type="gramStart"/>
      <w:r>
        <w:t>altered</w:t>
      </w:r>
      <w:proofErr w:type="gramEnd"/>
      <w:r>
        <w:t xml:space="preserve"> or </w:t>
      </w:r>
      <w:r w:rsidRPr="0091444F">
        <w:t>additional metrics</w:t>
      </w:r>
      <w:r>
        <w:t>, or improved functionality,</w:t>
      </w:r>
      <w:r w:rsidRPr="0091444F">
        <w:t xml:space="preserve"> </w:t>
      </w:r>
      <w:r>
        <w:t>make the tool more effective while ensuring it remains simple and clear</w:t>
      </w:r>
      <w:r w:rsidRPr="0091444F">
        <w:t>?</w:t>
      </w:r>
      <w:r>
        <w:t xml:space="preserve"> </w:t>
      </w:r>
      <w:r w:rsidR="007D0F2E">
        <w:t>What more can be done to ensure that new employees are able to choose high-performing superannuation product that are appropriate for their needs?</w:t>
      </w:r>
    </w:p>
    <w:p w14:paraId="2775253B" w14:textId="1AE4224B" w:rsidR="003D073E" w:rsidRPr="0091444F" w:rsidRDefault="003D073E" w:rsidP="00780C2B">
      <w:pPr>
        <w:pStyle w:val="OutlineNumbered1"/>
        <w:numPr>
          <w:ilvl w:val="0"/>
          <w:numId w:val="18"/>
        </w:numPr>
      </w:pPr>
      <w:r>
        <w:t>As the test is applied to more superannuation products, should the comparison tool also be extended</w:t>
      </w:r>
      <w:r w:rsidRPr="0091444F">
        <w:t xml:space="preserve">? Considering the volume </w:t>
      </w:r>
      <w:r>
        <w:t xml:space="preserve">and complexity </w:t>
      </w:r>
      <w:r w:rsidRPr="0091444F">
        <w:t>of Choice products</w:t>
      </w:r>
      <w:r>
        <w:t>,</w:t>
      </w:r>
      <w:r w:rsidRPr="0091444F">
        <w:t xml:space="preserve"> </w:t>
      </w:r>
      <w:r>
        <w:t>how could</w:t>
      </w:r>
      <w:r w:rsidRPr="0091444F">
        <w:t xml:space="preserve"> the tool</w:t>
      </w:r>
      <w:r>
        <w:t xml:space="preserve"> be extended</w:t>
      </w:r>
      <w:r w:rsidRPr="0091444F">
        <w:t xml:space="preserve"> in a way that is meaningful and digestible to members? </w:t>
      </w:r>
    </w:p>
    <w:p w14:paraId="5795123C" w14:textId="34D8E13F" w:rsidR="00D37B6B" w:rsidRDefault="00D37B6B" w:rsidP="00FF4DDA">
      <w:pPr>
        <w:pStyle w:val="OutlineNumbered1"/>
        <w:numPr>
          <w:ilvl w:val="0"/>
          <w:numId w:val="18"/>
        </w:numPr>
      </w:pPr>
      <w:r>
        <w:br w:type="page"/>
      </w:r>
    </w:p>
    <w:p w14:paraId="53EDC48A" w14:textId="64518BE2" w:rsidR="003C0FE1" w:rsidRPr="00D37B6B" w:rsidRDefault="00D37B6B" w:rsidP="00DB7049">
      <w:pPr>
        <w:pStyle w:val="Heading3"/>
      </w:pPr>
      <w:bookmarkStart w:id="18" w:name="_Toc113279200"/>
      <w:r w:rsidRPr="00D37B6B">
        <w:lastRenderedPageBreak/>
        <w:t>Stapling</w:t>
      </w:r>
      <w:bookmarkEnd w:id="18"/>
    </w:p>
    <w:p w14:paraId="4C9BAA1C" w14:textId="3CB5366A" w:rsidR="004A6068" w:rsidRDefault="004A6068" w:rsidP="00BA12E7">
      <w:r>
        <w:t>Stapling commenced on 1 November 2021 and</w:t>
      </w:r>
      <w:r w:rsidR="00BA12E7" w:rsidRPr="00BA12E7">
        <w:t xml:space="preserve"> seeks to prevent the creation of unintended multiple superannuation accounts when </w:t>
      </w:r>
      <w:r w:rsidR="00E00CA8">
        <w:t xml:space="preserve">disengaged </w:t>
      </w:r>
      <w:r w:rsidR="00BA12E7" w:rsidRPr="00BA12E7">
        <w:t>members change jobs</w:t>
      </w:r>
      <w:r w:rsidR="00E00CA8">
        <w:t xml:space="preserve"> and open a new account by default</w:t>
      </w:r>
      <w:r w:rsidR="00BA12E7" w:rsidRPr="00BA12E7">
        <w:t xml:space="preserve">. Unintended multiple accounts result in members being subject to multiple sets of account fees and potentially duplicate insurance arrangements which ultimately erode </w:t>
      </w:r>
      <w:r w:rsidR="00E00CA8">
        <w:t xml:space="preserve">retirement </w:t>
      </w:r>
      <w:r w:rsidR="00BA12E7" w:rsidRPr="00BA12E7">
        <w:t>savings.</w:t>
      </w:r>
      <w:r>
        <w:t xml:space="preserve"> </w:t>
      </w:r>
      <w:r w:rsidR="000C5E1F">
        <w:t xml:space="preserve">The </w:t>
      </w:r>
      <w:r w:rsidR="0074524F">
        <w:t>impact of unintended multiple accounts</w:t>
      </w:r>
      <w:r w:rsidR="000C5E1F">
        <w:t xml:space="preserve"> was a key area of focus in the PC </w:t>
      </w:r>
      <w:r w:rsidR="00B751E5">
        <w:t>r</w:t>
      </w:r>
      <w:r w:rsidR="000C5E1F">
        <w:t xml:space="preserve">eview. </w:t>
      </w:r>
    </w:p>
    <w:p w14:paraId="7CFBE11A" w14:textId="45975ED3" w:rsidR="00E671E7" w:rsidRDefault="00FF727C" w:rsidP="001B4C2B">
      <w:pPr>
        <w:pStyle w:val="Heading4"/>
      </w:pPr>
      <w:r w:rsidRPr="00DB7049">
        <w:t xml:space="preserve">How it </w:t>
      </w:r>
      <w:r w:rsidR="00C2704A">
        <w:t>works</w:t>
      </w:r>
    </w:p>
    <w:p w14:paraId="73F618CD" w14:textId="10C34F66" w:rsidR="00C2704A" w:rsidRDefault="00C2704A" w:rsidP="006C0283">
      <w:r>
        <w:t xml:space="preserve">Prior to stapling, when an individual </w:t>
      </w:r>
      <w:r w:rsidR="00941C65">
        <w:t xml:space="preserve">changed jobs and </w:t>
      </w:r>
      <w:r>
        <w:t xml:space="preserve">did not choose a preferred superannuation fund, </w:t>
      </w:r>
      <w:r w:rsidR="00B860F2">
        <w:t xml:space="preserve">the </w:t>
      </w:r>
      <w:r>
        <w:t xml:space="preserve">employer </w:t>
      </w:r>
      <w:r w:rsidR="00D23E02">
        <w:t>c</w:t>
      </w:r>
      <w:r>
        <w:t xml:space="preserve">ould open a </w:t>
      </w:r>
      <w:r w:rsidR="00941C65">
        <w:t xml:space="preserve">new </w:t>
      </w:r>
      <w:r>
        <w:t xml:space="preserve">superannuation account for the employee using the employer’s ‘default’ fund. </w:t>
      </w:r>
    </w:p>
    <w:p w14:paraId="2ED4B5B1" w14:textId="52682F23" w:rsidR="00BA12E7" w:rsidRDefault="004A6068" w:rsidP="00BA12E7">
      <w:r>
        <w:t xml:space="preserve">Stapling adds an additional step for employers who must </w:t>
      </w:r>
      <w:r w:rsidR="003C20CE">
        <w:t xml:space="preserve">now </w:t>
      </w:r>
      <w:r>
        <w:t xml:space="preserve">check </w:t>
      </w:r>
      <w:r w:rsidR="0074524F">
        <w:t xml:space="preserve">whether an </w:t>
      </w:r>
      <w:r>
        <w:t>employee</w:t>
      </w:r>
      <w:r w:rsidR="0074524F">
        <w:t xml:space="preserve"> ha</w:t>
      </w:r>
      <w:r w:rsidR="00E27A71">
        <w:t>s</w:t>
      </w:r>
      <w:r w:rsidR="0074524F">
        <w:t xml:space="preserve"> an existing (</w:t>
      </w:r>
      <w:r>
        <w:t>‘stapled’</w:t>
      </w:r>
      <w:r w:rsidR="0074524F">
        <w:t>)</w:t>
      </w:r>
      <w:r>
        <w:t xml:space="preserve"> super fund with the ATO before </w:t>
      </w:r>
      <w:r w:rsidR="00D23E02">
        <w:t xml:space="preserve">making super contributions. Employers may </w:t>
      </w:r>
      <w:r w:rsidR="00D23E02" w:rsidRPr="004E1190">
        <w:t xml:space="preserve">have to pay </w:t>
      </w:r>
      <w:r w:rsidR="00D23E02">
        <w:t>a</w:t>
      </w:r>
      <w:r w:rsidR="00D23E02" w:rsidRPr="004E1190">
        <w:t xml:space="preserve"> choice shortfall penalty, which is additional super guarantee charge, if </w:t>
      </w:r>
      <w:r w:rsidR="00D23E02">
        <w:t>they</w:t>
      </w:r>
      <w:r w:rsidR="00D23E02" w:rsidRPr="004E1190">
        <w:t xml:space="preserve"> contribute to </w:t>
      </w:r>
      <w:r w:rsidR="00D23E02">
        <w:t>a</w:t>
      </w:r>
      <w:r w:rsidR="00D23E02" w:rsidRPr="004E1190">
        <w:t xml:space="preserve"> </w:t>
      </w:r>
      <w:r>
        <w:t>default</w:t>
      </w:r>
      <w:r w:rsidR="00D23E02" w:rsidRPr="004E1190">
        <w:t xml:space="preserve"> fund without making a stapled super fund request.</w:t>
      </w:r>
      <w:r w:rsidR="00D23E02">
        <w:t xml:space="preserve"> </w:t>
      </w:r>
      <w:r>
        <w:t xml:space="preserve">This is designed to ensure that </w:t>
      </w:r>
      <w:r w:rsidR="00BA12E7">
        <w:t xml:space="preserve">where an employee </w:t>
      </w:r>
      <w:r>
        <w:t>does not choose a fund, their existing superannuation account follows them</w:t>
      </w:r>
      <w:r w:rsidR="00B860F2">
        <w:t xml:space="preserve"> to their new job,</w:t>
      </w:r>
      <w:r>
        <w:t xml:space="preserve"> rather than </w:t>
      </w:r>
      <w:r w:rsidR="00B860F2">
        <w:t xml:space="preserve">opening </w:t>
      </w:r>
      <w:r>
        <w:t>a new additional default account.</w:t>
      </w:r>
      <w:r w:rsidR="00BA12E7">
        <w:t xml:space="preserve"> Default accounts should only be created where a new employee does not provide a choice of fund and the ATO advises the employer that there is no stapled fund information on record for the employee</w:t>
      </w:r>
      <w:r w:rsidR="00D23E02">
        <w:t>, or the employee actively chooses the default fund of the employer</w:t>
      </w:r>
      <w:r w:rsidR="00BA12E7">
        <w:t>.</w:t>
      </w:r>
    </w:p>
    <w:p w14:paraId="7602C634" w14:textId="4E86F3DA" w:rsidR="002D324D" w:rsidRDefault="002D324D" w:rsidP="00BA12E7">
      <w:r>
        <w:t>This new step currently requires employers</w:t>
      </w:r>
      <w:r w:rsidR="0099527C">
        <w:t>, or their authorised representative,</w:t>
      </w:r>
      <w:r>
        <w:t xml:space="preserve"> to log in to ATO </w:t>
      </w:r>
      <w:r w:rsidR="0099527C">
        <w:t xml:space="preserve">Online Services </w:t>
      </w:r>
      <w:r>
        <w:t>and input employee details to generate details of the new employee</w:t>
      </w:r>
      <w:r w:rsidR="00B860F2">
        <w:t>’</w:t>
      </w:r>
      <w:r>
        <w:t xml:space="preserve">s stapled superannuation account. A wholesale solution is being developed by the ATO which will allow digital service providers to integrate </w:t>
      </w:r>
      <w:r w:rsidR="0099527C">
        <w:t>stapling request functionality into</w:t>
      </w:r>
      <w:r>
        <w:t xml:space="preserve"> their software </w:t>
      </w:r>
      <w:r w:rsidR="0099527C">
        <w:t xml:space="preserve">and </w:t>
      </w:r>
      <w:r>
        <w:t xml:space="preserve">allow </w:t>
      </w:r>
      <w:r w:rsidR="0099527C">
        <w:t>user</w:t>
      </w:r>
      <w:r w:rsidR="00F042B7">
        <w:t>s</w:t>
      </w:r>
      <w:r w:rsidR="0099527C">
        <w:t xml:space="preserve"> </w:t>
      </w:r>
      <w:r>
        <w:t xml:space="preserve">to automatically </w:t>
      </w:r>
      <w:r w:rsidR="0099527C">
        <w:t xml:space="preserve">request </w:t>
      </w:r>
      <w:r>
        <w:t xml:space="preserve">stapled fund information through their payroll system. This wholesale solution is due to roll out by the end of 2022. </w:t>
      </w:r>
    </w:p>
    <w:p w14:paraId="705B0EB1" w14:textId="73FBE28D" w:rsidR="00C2704A" w:rsidRDefault="00C2704A" w:rsidP="00DB7049">
      <w:pPr>
        <w:pStyle w:val="Heading4"/>
      </w:pPr>
      <w:r>
        <w:t>How it is going</w:t>
      </w:r>
    </w:p>
    <w:p w14:paraId="28BF9739" w14:textId="7E1F6934" w:rsidR="00667236" w:rsidRDefault="0099527C" w:rsidP="00DB7049">
      <w:r>
        <w:t xml:space="preserve">The ATO received </w:t>
      </w:r>
      <w:r w:rsidR="00346F7E">
        <w:t>nearly 290,000</w:t>
      </w:r>
      <w:r w:rsidRPr="004E1190">
        <w:t xml:space="preserve"> </w:t>
      </w:r>
      <w:r>
        <w:t xml:space="preserve">stapled fund requests </w:t>
      </w:r>
      <w:r w:rsidR="00F042B7">
        <w:t>from</w:t>
      </w:r>
      <w:r>
        <w:t xml:space="preserve"> the commencement of stapling on 1 November 2021 to 30 June 2022. </w:t>
      </w:r>
      <w:r w:rsidR="0074524F">
        <w:t xml:space="preserve">Data limitations inhibit the ability to </w:t>
      </w:r>
      <w:r w:rsidR="009327DD">
        <w:t xml:space="preserve">conclusively evaluate </w:t>
      </w:r>
      <w:r w:rsidR="00BE4AB1">
        <w:t xml:space="preserve">the efficacy </w:t>
      </w:r>
      <w:r w:rsidR="00666DED">
        <w:t>of</w:t>
      </w:r>
      <w:r w:rsidR="00BE4AB1">
        <w:t xml:space="preserve"> </w:t>
      </w:r>
      <w:r w:rsidR="0074524F">
        <w:t>the stapling initiative</w:t>
      </w:r>
      <w:r w:rsidR="00BE4AB1">
        <w:t xml:space="preserve">, given </w:t>
      </w:r>
      <w:r w:rsidR="0059319B">
        <w:t>the ATO does not receive data on</w:t>
      </w:r>
      <w:r w:rsidR="00BE4AB1">
        <w:t xml:space="preserve"> how many new employees have elected </w:t>
      </w:r>
      <w:r>
        <w:t xml:space="preserve">a </w:t>
      </w:r>
      <w:r w:rsidR="0074524F">
        <w:t>‘</w:t>
      </w:r>
      <w:r w:rsidR="00BE4AB1">
        <w:t>choice of fund</w:t>
      </w:r>
      <w:r w:rsidR="0074524F">
        <w:t>’</w:t>
      </w:r>
      <w:r w:rsidR="00BE4AB1">
        <w:t xml:space="preserve"> </w:t>
      </w:r>
      <w:r>
        <w:t>with their employer</w:t>
      </w:r>
      <w:r w:rsidR="00BE4AB1">
        <w:t xml:space="preserve"> over </w:t>
      </w:r>
      <w:r w:rsidR="00346F7E">
        <w:t>the</w:t>
      </w:r>
      <w:r w:rsidR="00BE4AB1">
        <w:t xml:space="preserve"> perio</w:t>
      </w:r>
      <w:r w:rsidR="00427566">
        <w:t xml:space="preserve">d. </w:t>
      </w:r>
      <w:r w:rsidR="0059319B">
        <w:t xml:space="preserve">Understanding the extent to which </w:t>
      </w:r>
      <w:r w:rsidR="0074524F">
        <w:t>‘</w:t>
      </w:r>
      <w:r w:rsidR="00427566">
        <w:t>choice of fund</w:t>
      </w:r>
      <w:r w:rsidR="0074524F">
        <w:t>’</w:t>
      </w:r>
      <w:r w:rsidR="00427566">
        <w:t xml:space="preserve"> elections and default account openings</w:t>
      </w:r>
      <w:r w:rsidR="00C21916">
        <w:t xml:space="preserve"> are occurring as well as</w:t>
      </w:r>
      <w:r w:rsidR="00427566">
        <w:t xml:space="preserve"> the number of successful stapled fund requests is imperative to determining the effectiveness of stapling</w:t>
      </w:r>
      <w:r w:rsidR="00BE4AB1">
        <w:t xml:space="preserve">. </w:t>
      </w:r>
      <w:r w:rsidR="00C21916">
        <w:t>A</w:t>
      </w:r>
      <w:r w:rsidR="00FF727C">
        <w:t xml:space="preserve">necdotal evidence suggests </w:t>
      </w:r>
      <w:r w:rsidR="00B860F2">
        <w:t xml:space="preserve">that </w:t>
      </w:r>
      <w:r w:rsidR="00FF727C">
        <w:t>some employers have encourage</w:t>
      </w:r>
      <w:r w:rsidR="00E7775E">
        <w:t>d</w:t>
      </w:r>
      <w:r w:rsidR="00FF727C">
        <w:t xml:space="preserve"> new employees to </w:t>
      </w:r>
      <w:r w:rsidR="0059319B">
        <w:t>choose</w:t>
      </w:r>
      <w:r w:rsidR="00346F7E">
        <w:t xml:space="preserve"> a fund</w:t>
      </w:r>
      <w:r w:rsidR="0059319B">
        <w:t xml:space="preserve"> </w:t>
      </w:r>
      <w:r w:rsidR="00346F7E">
        <w:t xml:space="preserve">(including </w:t>
      </w:r>
      <w:r w:rsidR="0059319B">
        <w:t>the default fund</w:t>
      </w:r>
      <w:r w:rsidR="00346F7E">
        <w:t>)</w:t>
      </w:r>
      <w:r w:rsidR="0059319B">
        <w:t xml:space="preserve"> </w:t>
      </w:r>
      <w:r w:rsidR="00FF727C">
        <w:t xml:space="preserve">to avoid the stapling requirements. </w:t>
      </w:r>
      <w:r w:rsidR="00247DFA">
        <w:t xml:space="preserve"> </w:t>
      </w:r>
    </w:p>
    <w:p w14:paraId="49A27344" w14:textId="7B8B4413" w:rsidR="00E170FD" w:rsidRPr="00CC7E64" w:rsidRDefault="00E170FD" w:rsidP="00CC7E64">
      <w:pPr>
        <w:rPr>
          <w:rFonts w:cs="Arial"/>
          <w:color w:val="4D7861" w:themeColor="accent2"/>
          <w:kern w:val="32"/>
          <w:sz w:val="24"/>
          <w:szCs w:val="26"/>
        </w:rPr>
      </w:pPr>
      <w:r w:rsidRPr="00CC7E64">
        <w:rPr>
          <w:rFonts w:cs="Arial"/>
          <w:color w:val="4D7861" w:themeColor="accent2"/>
          <w:kern w:val="32"/>
          <w:sz w:val="24"/>
          <w:szCs w:val="26"/>
        </w:rPr>
        <w:t>Consultation Questions</w:t>
      </w:r>
    </w:p>
    <w:p w14:paraId="4BC354F5" w14:textId="0F9A022E" w:rsidR="00F042B7" w:rsidRDefault="00F042B7" w:rsidP="00F042B7">
      <w:pPr>
        <w:pStyle w:val="OutlineNumbered1"/>
        <w:numPr>
          <w:ilvl w:val="0"/>
          <w:numId w:val="18"/>
        </w:numPr>
      </w:pPr>
      <w:r>
        <w:t>To what extent are employers putting into practice processes to seek stapled fund details from the ATO? How has the implementation of stapling changed onboarding</w:t>
      </w:r>
      <w:r w:rsidR="009327DD">
        <w:t>, software and payroll</w:t>
      </w:r>
      <w:r>
        <w:t xml:space="preserve"> processes for new employees? </w:t>
      </w:r>
    </w:p>
    <w:p w14:paraId="1DBFA593" w14:textId="095BA41D" w:rsidR="00F042B7" w:rsidRDefault="00F042B7" w:rsidP="00F042B7">
      <w:pPr>
        <w:pStyle w:val="OutlineNumbered1"/>
        <w:numPr>
          <w:ilvl w:val="0"/>
          <w:numId w:val="18"/>
        </w:numPr>
      </w:pPr>
      <w:r>
        <w:t>Are there any barriers in the current framework to achieve the intent of the stapling reform?</w:t>
      </w:r>
    </w:p>
    <w:p w14:paraId="1BB38F28" w14:textId="439D2712" w:rsidR="00B373FC" w:rsidRDefault="00B373FC" w:rsidP="00F042B7">
      <w:pPr>
        <w:pStyle w:val="OutlineNumbered1"/>
        <w:numPr>
          <w:ilvl w:val="0"/>
          <w:numId w:val="18"/>
        </w:numPr>
      </w:pPr>
      <w:r>
        <w:t>What is the actual, or likely, impact of stapling on insurance coverage?</w:t>
      </w:r>
    </w:p>
    <w:p w14:paraId="62EBBC5F" w14:textId="70540D66" w:rsidR="003C0FE1" w:rsidRPr="00D37B6B" w:rsidRDefault="00D37B6B" w:rsidP="00BF74C3">
      <w:pPr>
        <w:pStyle w:val="Heading3"/>
      </w:pPr>
      <w:bookmarkStart w:id="19" w:name="_Toc113279201"/>
      <w:r w:rsidRPr="00D37B6B">
        <w:lastRenderedPageBreak/>
        <w:t>B</w:t>
      </w:r>
      <w:r w:rsidR="00EF20CD">
        <w:t xml:space="preserve">est </w:t>
      </w:r>
      <w:r w:rsidR="008D2B78">
        <w:t>f</w:t>
      </w:r>
      <w:r w:rsidR="00EF20CD">
        <w:t xml:space="preserve">inancial </w:t>
      </w:r>
      <w:proofErr w:type="gramStart"/>
      <w:r w:rsidR="008D2B78">
        <w:t>i</w:t>
      </w:r>
      <w:r w:rsidR="00EF20CD">
        <w:t>nterests</w:t>
      </w:r>
      <w:proofErr w:type="gramEnd"/>
      <w:r w:rsidR="00EF20CD">
        <w:t xml:space="preserve"> </w:t>
      </w:r>
      <w:r w:rsidR="008D2B78">
        <w:t>d</w:t>
      </w:r>
      <w:r w:rsidR="00EF20CD">
        <w:t>uty</w:t>
      </w:r>
      <w:bookmarkEnd w:id="19"/>
    </w:p>
    <w:p w14:paraId="1A06A122" w14:textId="4EBBF908" w:rsidR="00790AF1" w:rsidRDefault="00790AF1" w:rsidP="00790AF1">
      <w:r>
        <w:t>The BFI</w:t>
      </w:r>
      <w:r w:rsidR="009849F1">
        <w:t>D</w:t>
      </w:r>
      <w:r>
        <w:t xml:space="preserve"> came into effect on 1 July 2021. The </w:t>
      </w:r>
      <w:r w:rsidR="00027CA7">
        <w:t>duty</w:t>
      </w:r>
      <w:r>
        <w:t xml:space="preserve"> was </w:t>
      </w:r>
      <w:r w:rsidR="00B373FC">
        <w:t>intended to clarify</w:t>
      </w:r>
      <w:r w:rsidR="00770D27" w:rsidRPr="00770D27">
        <w:t xml:space="preserve"> that it is the financial interests of members that trustees must be guided by when making decisions. </w:t>
      </w:r>
      <w:r w:rsidR="00770D27">
        <w:t xml:space="preserve">This is </w:t>
      </w:r>
      <w:r w:rsidR="009327DD">
        <w:t>particularly</w:t>
      </w:r>
      <w:r w:rsidR="00770D27">
        <w:t xml:space="preserve"> important given the </w:t>
      </w:r>
      <w:r w:rsidR="00B373FC">
        <w:t>universal coverage of</w:t>
      </w:r>
      <w:r w:rsidR="00770D27">
        <w:t xml:space="preserve"> </w:t>
      </w:r>
      <w:r w:rsidR="002D154C">
        <w:t>superannuation.</w:t>
      </w:r>
    </w:p>
    <w:p w14:paraId="09E13611" w14:textId="14AFD1FD" w:rsidR="00383A7F" w:rsidRPr="00A74ACE" w:rsidRDefault="00770D27" w:rsidP="00790AF1">
      <w:pPr>
        <w:rPr>
          <w:szCs w:val="22"/>
        </w:rPr>
      </w:pPr>
      <w:r>
        <w:t xml:space="preserve">The </w:t>
      </w:r>
      <w:r w:rsidR="0034794C">
        <w:t>PC</w:t>
      </w:r>
      <w:r>
        <w:t xml:space="preserve"> review </w:t>
      </w:r>
      <w:r w:rsidR="00B373FC">
        <w:t xml:space="preserve">recommended </w:t>
      </w:r>
      <w:r>
        <w:t xml:space="preserve">that the Government should pursue a clearer articulation of what it means for a trustee to act in members’ best interests under the </w:t>
      </w:r>
      <w:r w:rsidR="00234707" w:rsidRPr="00566A2A">
        <w:rPr>
          <w:i/>
          <w:iCs/>
        </w:rPr>
        <w:t>Superannuation Industry (Supervision) Act 1993</w:t>
      </w:r>
      <w:r>
        <w:t>.</w:t>
      </w:r>
      <w:r w:rsidR="0054774C" w:rsidDel="0054774C">
        <w:rPr>
          <w:rStyle w:val="CommentReference"/>
        </w:rPr>
        <w:t xml:space="preserve"> </w:t>
      </w:r>
    </w:p>
    <w:p w14:paraId="78173C90" w14:textId="552B7C37" w:rsidR="00A73BA1" w:rsidRPr="00BF74C3" w:rsidRDefault="00383A7F" w:rsidP="00BF74C3">
      <w:pPr>
        <w:pStyle w:val="Heading4"/>
      </w:pPr>
      <w:r w:rsidRPr="00BF74C3">
        <w:t>How it works</w:t>
      </w:r>
    </w:p>
    <w:p w14:paraId="2D0DEA30" w14:textId="4C3234C2" w:rsidR="00427566" w:rsidRDefault="00566A2A" w:rsidP="00EF20CD">
      <w:r>
        <w:t>T</w:t>
      </w:r>
      <w:r w:rsidR="00EF20CD">
        <w:t xml:space="preserve">he </w:t>
      </w:r>
      <w:r w:rsidR="00234707">
        <w:t>introduction of the BFID involved three key components</w:t>
      </w:r>
      <w:r w:rsidR="00427566">
        <w:t>:</w:t>
      </w:r>
      <w:r w:rsidR="00EF20CD">
        <w:t xml:space="preserve"> </w:t>
      </w:r>
    </w:p>
    <w:p w14:paraId="7EE07438" w14:textId="2EEEDAE4" w:rsidR="00427566" w:rsidRDefault="00646251" w:rsidP="00BF74C3">
      <w:pPr>
        <w:pStyle w:val="Bullet"/>
        <w:tabs>
          <w:tab w:val="clear" w:pos="1040"/>
          <w:tab w:val="num" w:pos="851"/>
        </w:tabs>
        <w:ind w:left="709" w:hanging="283"/>
      </w:pPr>
      <w:r>
        <w:t>Require</w:t>
      </w:r>
      <w:r w:rsidR="00EF20CD">
        <w:t xml:space="preserve"> each trustee of a registrable superannuation entity</w:t>
      </w:r>
      <w:r w:rsidR="00234707">
        <w:t xml:space="preserve"> (RSE)</w:t>
      </w:r>
      <w:r w:rsidR="00EF20CD">
        <w:t xml:space="preserve"> </w:t>
      </w:r>
      <w:r>
        <w:t>or</w:t>
      </w:r>
      <w:r w:rsidR="00EF20CD">
        <w:t xml:space="preserve"> </w:t>
      </w:r>
      <w:r w:rsidR="00C04F46">
        <w:t>self-managed superannuation fund</w:t>
      </w:r>
      <w:r w:rsidR="00EF20CD">
        <w:t xml:space="preserve"> to perform the trustee’s duties and exercise the trustee's powers in the best financial interests of the </w:t>
      </w:r>
      <w:r w:rsidR="00A34A0A">
        <w:t>member</w:t>
      </w:r>
      <w:r w:rsidR="007677CA">
        <w:t>s</w:t>
      </w:r>
      <w:r w:rsidR="00EF20CD">
        <w:t xml:space="preserve">. </w:t>
      </w:r>
    </w:p>
    <w:p w14:paraId="56DBE6FB" w14:textId="2A7A4ED8" w:rsidR="00646251" w:rsidRDefault="00234707" w:rsidP="00BF74C3">
      <w:pPr>
        <w:pStyle w:val="Bullet"/>
        <w:tabs>
          <w:tab w:val="clear" w:pos="1040"/>
          <w:tab w:val="num" w:pos="851"/>
        </w:tabs>
        <w:ind w:left="709" w:hanging="283"/>
      </w:pPr>
      <w:r>
        <w:t>Require e</w:t>
      </w:r>
      <w:r w:rsidR="00EF20CD">
        <w:t>ach director of the corporate trustee of a</w:t>
      </w:r>
      <w:r>
        <w:t>n</w:t>
      </w:r>
      <w:r w:rsidR="00EF20CD">
        <w:t xml:space="preserve"> </w:t>
      </w:r>
      <w:r>
        <w:t>RSE</w:t>
      </w:r>
      <w:r w:rsidR="00EF20CD">
        <w:t xml:space="preserve"> to perform the director’s duties and exercise the director’s powers in the best financial interests of the </w:t>
      </w:r>
      <w:r w:rsidR="00A34A0A">
        <w:t>member</w:t>
      </w:r>
      <w:r w:rsidR="007677CA">
        <w:t>s</w:t>
      </w:r>
      <w:r w:rsidR="00EF20CD">
        <w:t xml:space="preserve">.  </w:t>
      </w:r>
    </w:p>
    <w:p w14:paraId="2FFF6D2D" w14:textId="6C5C273B" w:rsidR="00EF20CD" w:rsidRDefault="00646251" w:rsidP="00BF74C3">
      <w:pPr>
        <w:pStyle w:val="Bullet"/>
        <w:tabs>
          <w:tab w:val="clear" w:pos="1040"/>
          <w:tab w:val="num" w:pos="851"/>
        </w:tabs>
        <w:ind w:left="709" w:hanging="283"/>
      </w:pPr>
      <w:r>
        <w:t>R</w:t>
      </w:r>
      <w:r w:rsidR="00EF20CD">
        <w:t>everse the evidential burden of proof so that the onus is on the trustee of a</w:t>
      </w:r>
      <w:r w:rsidR="00234707">
        <w:t>n</w:t>
      </w:r>
      <w:r w:rsidR="00EF20CD">
        <w:t xml:space="preserve"> </w:t>
      </w:r>
      <w:r w:rsidR="00234707">
        <w:t>RSE</w:t>
      </w:r>
      <w:r w:rsidR="009A7D3D">
        <w:t xml:space="preserve"> to</w:t>
      </w:r>
      <w:r w:rsidR="009C557B">
        <w:t xml:space="preserve"> point to evidence</w:t>
      </w:r>
      <w:r w:rsidR="009A7D3D">
        <w:t xml:space="preserve"> that their actions were consistent with the best financial </w:t>
      </w:r>
      <w:proofErr w:type="gramStart"/>
      <w:r w:rsidR="009A7D3D">
        <w:t>interests</w:t>
      </w:r>
      <w:proofErr w:type="gramEnd"/>
      <w:r w:rsidR="009A7D3D">
        <w:t xml:space="preserve"> duty</w:t>
      </w:r>
      <w:r w:rsidR="00FE2C05">
        <w:t xml:space="preserve"> in </w:t>
      </w:r>
      <w:r w:rsidR="009C557B">
        <w:t xml:space="preserve">a </w:t>
      </w:r>
      <w:r w:rsidR="00FE2C05">
        <w:t xml:space="preserve">civil </w:t>
      </w:r>
      <w:r w:rsidR="009C557B">
        <w:t xml:space="preserve">penalty </w:t>
      </w:r>
      <w:r w:rsidR="00FE2C05">
        <w:t>proceeding</w:t>
      </w:r>
      <w:r w:rsidR="00EF20CD">
        <w:t xml:space="preserve">. </w:t>
      </w:r>
    </w:p>
    <w:p w14:paraId="0266468F" w14:textId="25B04EEA" w:rsidR="002D154C" w:rsidRPr="00BF74C3" w:rsidRDefault="00383A7F" w:rsidP="00BF74C3">
      <w:pPr>
        <w:pStyle w:val="Heading4"/>
      </w:pPr>
      <w:r w:rsidRPr="00BF74C3">
        <w:t>How it is going</w:t>
      </w:r>
    </w:p>
    <w:p w14:paraId="1ABA459D" w14:textId="1250F93F" w:rsidR="00FE2C05" w:rsidRDefault="0073207D" w:rsidP="00FE2C05">
      <w:pPr>
        <w:rPr>
          <w:szCs w:val="22"/>
        </w:rPr>
      </w:pPr>
      <w:r>
        <w:rPr>
          <w:szCs w:val="22"/>
        </w:rPr>
        <w:t>APRA</w:t>
      </w:r>
      <w:r w:rsidR="00FE2C05">
        <w:rPr>
          <w:szCs w:val="22"/>
        </w:rPr>
        <w:t xml:space="preserve"> continue</w:t>
      </w:r>
      <w:r>
        <w:rPr>
          <w:szCs w:val="22"/>
        </w:rPr>
        <w:t>s</w:t>
      </w:r>
      <w:r w:rsidR="00FE2C05">
        <w:rPr>
          <w:szCs w:val="22"/>
        </w:rPr>
        <w:t xml:space="preserve"> to seek information about how trustees have </w:t>
      </w:r>
      <w:r w:rsidR="0031585B">
        <w:rPr>
          <w:szCs w:val="22"/>
        </w:rPr>
        <w:t>updated</w:t>
      </w:r>
      <w:r w:rsidR="00FE2C05">
        <w:rPr>
          <w:szCs w:val="22"/>
        </w:rPr>
        <w:t xml:space="preserve">, or are </w:t>
      </w:r>
      <w:r w:rsidR="0031585B">
        <w:rPr>
          <w:szCs w:val="22"/>
        </w:rPr>
        <w:t>updating</w:t>
      </w:r>
      <w:r w:rsidR="00FE2C05">
        <w:rPr>
          <w:szCs w:val="22"/>
        </w:rPr>
        <w:t xml:space="preserve">, their policies and procedures to respond to the amended duty. Anecdotal evidence suggests </w:t>
      </w:r>
      <w:r w:rsidR="00277D9D">
        <w:rPr>
          <w:szCs w:val="22"/>
        </w:rPr>
        <w:t xml:space="preserve">the duty has driven </w:t>
      </w:r>
      <w:r w:rsidR="009327DD">
        <w:rPr>
          <w:szCs w:val="22"/>
        </w:rPr>
        <w:t xml:space="preserve">some </w:t>
      </w:r>
      <w:r w:rsidR="00277D9D">
        <w:rPr>
          <w:szCs w:val="22"/>
        </w:rPr>
        <w:t xml:space="preserve">positive behaviours, with </w:t>
      </w:r>
      <w:r w:rsidR="00FE2C05">
        <w:rPr>
          <w:szCs w:val="22"/>
        </w:rPr>
        <w:t>trustees put</w:t>
      </w:r>
      <w:r w:rsidR="00277D9D">
        <w:rPr>
          <w:szCs w:val="22"/>
        </w:rPr>
        <w:t>ting</w:t>
      </w:r>
      <w:r w:rsidR="00FE2C05">
        <w:rPr>
          <w:szCs w:val="22"/>
        </w:rPr>
        <w:t xml:space="preserve"> in place a wide range of approaches to respond to the duty, especially in the context of recording compliance.</w:t>
      </w:r>
      <w:r w:rsidR="00DB6C07">
        <w:rPr>
          <w:szCs w:val="22"/>
        </w:rPr>
        <w:t xml:space="preserve"> Other experiences indicate trustees have a lack of clarity in how to record compliance.</w:t>
      </w:r>
    </w:p>
    <w:p w14:paraId="66EE12F5" w14:textId="3312C3D4" w:rsidR="00667242" w:rsidRDefault="00667242" w:rsidP="00667242">
      <w:pPr>
        <w:rPr>
          <w:szCs w:val="22"/>
        </w:rPr>
      </w:pPr>
      <w:r>
        <w:rPr>
          <w:szCs w:val="22"/>
        </w:rPr>
        <w:t>Trustees with sound governance and oversight arrangements tend to already document the basis on which they make decisions, including in the best financial interests of their members. This might i</w:t>
      </w:r>
      <w:r w:rsidRPr="00417D5C">
        <w:rPr>
          <w:szCs w:val="22"/>
        </w:rPr>
        <w:t>nclud</w:t>
      </w:r>
      <w:r>
        <w:rPr>
          <w:szCs w:val="22"/>
        </w:rPr>
        <w:t>e a</w:t>
      </w:r>
      <w:r w:rsidRPr="00417D5C">
        <w:rPr>
          <w:szCs w:val="22"/>
        </w:rPr>
        <w:t xml:space="preserve"> </w:t>
      </w:r>
      <w:r>
        <w:rPr>
          <w:szCs w:val="22"/>
        </w:rPr>
        <w:t xml:space="preserve">business case, including quantification of expected outcomes, </w:t>
      </w:r>
      <w:r w:rsidRPr="00417D5C">
        <w:rPr>
          <w:szCs w:val="22"/>
        </w:rPr>
        <w:t>cost</w:t>
      </w:r>
      <w:r>
        <w:rPr>
          <w:szCs w:val="22"/>
        </w:rPr>
        <w:t>–</w:t>
      </w:r>
      <w:r w:rsidRPr="00417D5C">
        <w:rPr>
          <w:szCs w:val="22"/>
        </w:rPr>
        <w:t xml:space="preserve">benefit analysis, </w:t>
      </w:r>
      <w:r>
        <w:rPr>
          <w:szCs w:val="22"/>
        </w:rPr>
        <w:t xml:space="preserve">statement </w:t>
      </w:r>
      <w:r w:rsidRPr="00417D5C">
        <w:rPr>
          <w:szCs w:val="22"/>
        </w:rPr>
        <w:t>of risks an</w:t>
      </w:r>
      <w:r>
        <w:rPr>
          <w:szCs w:val="22"/>
        </w:rPr>
        <w:t>d</w:t>
      </w:r>
      <w:r w:rsidRPr="00417D5C">
        <w:rPr>
          <w:szCs w:val="22"/>
        </w:rPr>
        <w:t xml:space="preserve"> mitigation strategy.</w:t>
      </w:r>
      <w:r>
        <w:rPr>
          <w:szCs w:val="22"/>
        </w:rPr>
        <w:t xml:space="preserve"> </w:t>
      </w:r>
    </w:p>
    <w:p w14:paraId="4708BFEC" w14:textId="6F22B93D" w:rsidR="0054774C" w:rsidRPr="00417D5C" w:rsidRDefault="0054774C" w:rsidP="00667242">
      <w:pPr>
        <w:rPr>
          <w:szCs w:val="22"/>
        </w:rPr>
      </w:pPr>
      <w:r>
        <w:rPr>
          <w:szCs w:val="22"/>
        </w:rPr>
        <w:t>There is an important need to clarify whether the BFID measures and particularly the related regulatory changes are improving compliance practices in the superannuation industry. Given the universal coverages of superannuation, there is a clear public interest in placing a high level of scrutiny of trustees and ensuring that their actions are in the best financial interest of members.</w:t>
      </w:r>
    </w:p>
    <w:p w14:paraId="6CC82292" w14:textId="0D80FD3B" w:rsidR="003C0FE1" w:rsidRPr="00CC7E64" w:rsidRDefault="002D154C" w:rsidP="00CC7E64">
      <w:pPr>
        <w:rPr>
          <w:rFonts w:cs="Arial"/>
          <w:color w:val="4D7861" w:themeColor="accent2"/>
          <w:kern w:val="32"/>
          <w:sz w:val="24"/>
          <w:szCs w:val="24"/>
        </w:rPr>
      </w:pPr>
      <w:r w:rsidRPr="00CC7E64">
        <w:rPr>
          <w:rFonts w:cs="Arial"/>
          <w:color w:val="4D7861" w:themeColor="accent2"/>
          <w:kern w:val="32"/>
          <w:sz w:val="24"/>
          <w:szCs w:val="24"/>
        </w:rPr>
        <w:t>C</w:t>
      </w:r>
      <w:r w:rsidR="003C0FE1" w:rsidRPr="00CC7E64">
        <w:rPr>
          <w:rFonts w:cs="Arial"/>
          <w:color w:val="4D7861" w:themeColor="accent2"/>
          <w:kern w:val="32"/>
          <w:sz w:val="24"/>
          <w:szCs w:val="24"/>
        </w:rPr>
        <w:t>onsultation questions</w:t>
      </w:r>
    </w:p>
    <w:p w14:paraId="05609014" w14:textId="287F65AD" w:rsidR="0078347D" w:rsidRDefault="00E83F4E" w:rsidP="00BF74C3">
      <w:pPr>
        <w:pStyle w:val="OutlineNumbered1"/>
        <w:numPr>
          <w:ilvl w:val="0"/>
          <w:numId w:val="18"/>
        </w:numPr>
      </w:pPr>
      <w:r>
        <w:t>To what extent has the BFID required trustees to change their processes and procedures</w:t>
      </w:r>
      <w:r w:rsidR="00B157A2">
        <w:t>? Has this caused any unintended consequences or impacted member outcomes in any way?</w:t>
      </w:r>
    </w:p>
    <w:p w14:paraId="67E8FB83" w14:textId="2002B4DE" w:rsidR="00082FC2" w:rsidRPr="00FF4DDA" w:rsidRDefault="0078347D" w:rsidP="3EE2375B">
      <w:pPr>
        <w:pStyle w:val="CommentText"/>
        <w:numPr>
          <w:ilvl w:val="0"/>
          <w:numId w:val="18"/>
        </w:numPr>
      </w:pPr>
      <w:r w:rsidRPr="3EE2375B">
        <w:rPr>
          <w:sz w:val="22"/>
          <w:szCs w:val="22"/>
        </w:rPr>
        <w:t xml:space="preserve">Are there </w:t>
      </w:r>
      <w:r w:rsidR="00B157A2" w:rsidRPr="3EE2375B">
        <w:rPr>
          <w:sz w:val="22"/>
          <w:szCs w:val="22"/>
        </w:rPr>
        <w:t xml:space="preserve">certain </w:t>
      </w:r>
      <w:r w:rsidRPr="3EE2375B">
        <w:rPr>
          <w:sz w:val="22"/>
          <w:szCs w:val="22"/>
        </w:rPr>
        <w:t>types of expenditure</w:t>
      </w:r>
      <w:r w:rsidR="006A6A89" w:rsidRPr="3EE2375B">
        <w:rPr>
          <w:sz w:val="22"/>
          <w:szCs w:val="22"/>
        </w:rPr>
        <w:t xml:space="preserve"> or activity</w:t>
      </w:r>
      <w:r w:rsidRPr="3EE2375B">
        <w:rPr>
          <w:sz w:val="22"/>
          <w:szCs w:val="22"/>
        </w:rPr>
        <w:t xml:space="preserve"> that trustees are </w:t>
      </w:r>
      <w:r w:rsidR="00B157A2" w:rsidRPr="3EE2375B">
        <w:rPr>
          <w:sz w:val="22"/>
          <w:szCs w:val="22"/>
        </w:rPr>
        <w:t xml:space="preserve">particularly </w:t>
      </w:r>
      <w:r w:rsidRPr="3EE2375B">
        <w:rPr>
          <w:sz w:val="22"/>
          <w:szCs w:val="22"/>
        </w:rPr>
        <w:t xml:space="preserve">concerned about being able to prove compliance with the BFID in respect of? Why is it difficult to demonstrate compliance? </w:t>
      </w:r>
      <w:r w:rsidR="00461FCB">
        <w:rPr>
          <w:sz w:val="22"/>
          <w:szCs w:val="22"/>
        </w:rPr>
        <w:t>Should there be a materiality threshold?</w:t>
      </w:r>
    </w:p>
    <w:p w14:paraId="59172369" w14:textId="2A443A70" w:rsidR="00DE258E" w:rsidRDefault="00DE258E" w:rsidP="3EE2375B">
      <w:pPr>
        <w:pStyle w:val="CommentText"/>
        <w:numPr>
          <w:ilvl w:val="0"/>
          <w:numId w:val="18"/>
        </w:numPr>
      </w:pPr>
      <w:r>
        <w:rPr>
          <w:sz w:val="22"/>
          <w:szCs w:val="22"/>
        </w:rPr>
        <w:t>Is the reverse onus of proof the most appropriate way to achieve the objective of improving member outcomes?</w:t>
      </w:r>
    </w:p>
    <w:p w14:paraId="6A8B56F2" w14:textId="29623C7B" w:rsidR="3EE2375B" w:rsidRDefault="3EE2375B" w:rsidP="3EE2375B">
      <w:pPr>
        <w:pStyle w:val="CommentText"/>
      </w:pPr>
    </w:p>
    <w:sectPr w:rsidR="3EE2375B" w:rsidSect="009927E5">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F0E1" w14:textId="77777777" w:rsidR="00DE12A9" w:rsidRDefault="00DE12A9">
      <w:pPr>
        <w:spacing w:before="0" w:after="0"/>
      </w:pPr>
      <w:r>
        <w:separator/>
      </w:r>
    </w:p>
  </w:endnote>
  <w:endnote w:type="continuationSeparator" w:id="0">
    <w:p w14:paraId="75FEB9DD" w14:textId="77777777" w:rsidR="00DE12A9" w:rsidRDefault="00DE12A9">
      <w:pPr>
        <w:spacing w:before="0" w:after="0"/>
      </w:pPr>
      <w:r>
        <w:continuationSeparator/>
      </w:r>
    </w:p>
  </w:endnote>
  <w:endnote w:type="continuationNotice" w:id="1">
    <w:p w14:paraId="0DFFB320" w14:textId="77777777" w:rsidR="00DE12A9" w:rsidRDefault="00DE12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C3FF" w14:textId="3C9AD932" w:rsidR="00B82612" w:rsidRDefault="00B82612">
    <w:pPr>
      <w:pStyle w:val="Footer"/>
    </w:pPr>
  </w:p>
  <w:p w14:paraId="31D56892" w14:textId="5A866B84" w:rsidR="008501C3" w:rsidRDefault="008501C3" w:rsidP="00A11A1F">
    <w:pPr>
      <w:pStyle w:val="SecurityClassification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39EE" w14:textId="56C1634A" w:rsidR="00B82612" w:rsidRDefault="00B82612">
    <w:pPr>
      <w:pStyle w:val="Footer"/>
    </w:pPr>
  </w:p>
  <w:p w14:paraId="5570DD13" w14:textId="7777C179" w:rsidR="008501C3" w:rsidRDefault="008501C3" w:rsidP="00A11A1F">
    <w:pPr>
      <w:pStyle w:val="SecurityClassification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E0CB" w14:textId="08B34805" w:rsidR="00B82612" w:rsidRDefault="00B82612">
    <w:pPr>
      <w:pStyle w:val="Footer"/>
    </w:pPr>
  </w:p>
  <w:p w14:paraId="241EB473" w14:textId="2877AB61" w:rsidR="00B82612" w:rsidRDefault="00B82612" w:rsidP="00B82612">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21FC" w14:textId="42CA9E3D" w:rsidR="002314D2" w:rsidRDefault="002314D2" w:rsidP="0017089D">
    <w:r>
      <w:fldChar w:fldCharType="begin"/>
    </w:r>
    <w:r>
      <w:instrText xml:space="preserve"> PAGE  \* Arabic  \* MERGEFORMAT </w:instrText>
    </w:r>
    <w:r>
      <w:fldChar w:fldCharType="separate"/>
    </w:r>
    <w:r>
      <w:t>6</w:t>
    </w:r>
    <w:r>
      <w:fldChar w:fldCharType="end"/>
    </w:r>
  </w:p>
  <w:p w14:paraId="3618752C" w14:textId="47B2D016" w:rsidR="008501C3" w:rsidRDefault="008501C3" w:rsidP="00A11A1F">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67EC" w14:textId="62D05A09" w:rsidR="009927E5" w:rsidRPr="008043EA" w:rsidRDefault="009927E5" w:rsidP="0009151A">
    <w:r w:rsidRPr="00742366">
      <w:rPr>
        <w:noProof/>
      </w:rPr>
      <w:drawing>
        <wp:anchor distT="0" distB="0" distL="114300" distR="114300" simplePos="0" relativeHeight="251658241" behindDoc="1" locked="1" layoutInCell="1" allowOverlap="1" wp14:anchorId="4B336817" wp14:editId="0E2D1446">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26F73B4" wp14:editId="38B6BC06">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F6634E">
        <w:rPr>
          <w:noProof/>
        </w:rPr>
        <w:t>Contents</w:t>
      </w:r>
    </w:fldSimple>
    <w:r>
      <w:t xml:space="preserve"> | </w:t>
    </w:r>
    <w:r>
      <w:fldChar w:fldCharType="begin"/>
    </w:r>
    <w:r>
      <w:instrText xml:space="preserve"> PAGE   \* MERGEFORMAT </w:instrText>
    </w:r>
    <w:r>
      <w:fldChar w:fldCharType="separate"/>
    </w:r>
    <w:r>
      <w:t>1</w:t>
    </w:r>
    <w:r>
      <w:fldChar w:fldCharType="end"/>
    </w:r>
  </w:p>
  <w:p w14:paraId="34DF86A0" w14:textId="38A87405" w:rsidR="009927E5" w:rsidRDefault="009927E5" w:rsidP="009927E5"/>
  <w:p w14:paraId="767AD6CD" w14:textId="71076200" w:rsidR="008501C3" w:rsidRDefault="008501C3" w:rsidP="00A11A1F">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8E2" w14:textId="7DB995FC" w:rsidR="00E81A40" w:rsidRDefault="00E81A40" w:rsidP="0017089D">
    <w:r>
      <w:fldChar w:fldCharType="begin"/>
    </w:r>
    <w:r>
      <w:instrText xml:space="preserve"> PAGE  \* Arabic  \* MERGEFORMAT </w:instrText>
    </w:r>
    <w:r>
      <w:fldChar w:fldCharType="separate"/>
    </w:r>
    <w:r>
      <w:t>6</w:t>
    </w:r>
    <w:r>
      <w:fldChar w:fldCharType="end"/>
    </w:r>
  </w:p>
  <w:p w14:paraId="2EF190BD" w14:textId="738ECBE9" w:rsidR="00B82612" w:rsidRDefault="00B82612" w:rsidP="00A11A1F">
    <w:pPr>
      <w:pStyle w:val="SecurityClassification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DBDE" w14:textId="5FD68646" w:rsidR="00E81A40" w:rsidRDefault="00E81A40" w:rsidP="00E13E90">
    <w:pPr>
      <w:pStyle w:val="Footer"/>
    </w:pPr>
    <w:r w:rsidRPr="00742366">
      <w:drawing>
        <wp:anchor distT="0" distB="0" distL="114300" distR="114300" simplePos="0" relativeHeight="251658242" behindDoc="1" locked="1" layoutInCell="1" allowOverlap="1" wp14:anchorId="28DB75FC" wp14:editId="064A01B1">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02F9F2B" wp14:editId="1DFA137C">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7A545D">
        <w:t>Your Future, Your Super review</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9B3F" w14:textId="649B9ABC" w:rsidR="00E81A40" w:rsidRDefault="00E81A40">
    <w:pPr>
      <w:pStyle w:val="Footer"/>
    </w:pPr>
  </w:p>
  <w:p w14:paraId="3B970301" w14:textId="49FB8A04" w:rsidR="008501C3" w:rsidRDefault="008501C3" w:rsidP="00A11A1F">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6278" w14:textId="77777777" w:rsidR="00DE12A9" w:rsidRDefault="00DE12A9">
      <w:pPr>
        <w:spacing w:before="0" w:after="0"/>
      </w:pPr>
      <w:r>
        <w:separator/>
      </w:r>
    </w:p>
  </w:footnote>
  <w:footnote w:type="continuationSeparator" w:id="0">
    <w:p w14:paraId="7D1CC6E1" w14:textId="77777777" w:rsidR="00DE12A9" w:rsidRDefault="00DE12A9">
      <w:pPr>
        <w:spacing w:before="0" w:after="0"/>
      </w:pPr>
      <w:r>
        <w:continuationSeparator/>
      </w:r>
    </w:p>
  </w:footnote>
  <w:footnote w:type="continuationNotice" w:id="1">
    <w:p w14:paraId="1E695CAE" w14:textId="77777777" w:rsidR="00DE12A9" w:rsidRDefault="00DE12A9">
      <w:pPr>
        <w:spacing w:before="0" w:after="0"/>
      </w:pPr>
    </w:p>
  </w:footnote>
  <w:footnote w:id="2">
    <w:p w14:paraId="4BB7F39D" w14:textId="4503510E" w:rsidR="000B3188" w:rsidRDefault="000B3188" w:rsidP="00CA41E5">
      <w:pPr>
        <w:pStyle w:val="FootnoteText"/>
        <w:ind w:left="142" w:hanging="142"/>
        <w:jc w:val="both"/>
      </w:pPr>
      <w:r>
        <w:rPr>
          <w:rStyle w:val="FootnoteReference"/>
        </w:rPr>
        <w:footnoteRef/>
      </w:r>
      <w:r>
        <w:t xml:space="preserve"> </w:t>
      </w:r>
      <w:r w:rsidR="00CA41E5">
        <w:t xml:space="preserve">Australian Prudential Regulation Authority (August 2021), </w:t>
      </w:r>
      <w:hyperlink r:id="rId1" w:history="1">
        <w:r w:rsidR="00CA41E5" w:rsidRPr="00CA41E5">
          <w:rPr>
            <w:rStyle w:val="Hyperlink"/>
          </w:rPr>
          <w:t>Your Future, Your Super Performance Test</w:t>
        </w:r>
      </w:hyperlink>
      <w:r w:rsidR="00CA41E5">
        <w:t xml:space="preserve"> [website], accessed 24 August 2022.</w:t>
      </w:r>
    </w:p>
  </w:footnote>
  <w:footnote w:id="3">
    <w:p w14:paraId="40134804" w14:textId="51AD8128" w:rsidR="00E27429" w:rsidRDefault="00E27429" w:rsidP="00A73BA4">
      <w:pPr>
        <w:pStyle w:val="FootnoteText"/>
        <w:ind w:left="142" w:hanging="142"/>
      </w:pPr>
      <w:r>
        <w:rPr>
          <w:rStyle w:val="FootnoteReference"/>
        </w:rPr>
        <w:footnoteRef/>
      </w:r>
      <w:r>
        <w:t xml:space="preserve"> Australian Prudential Regulation Authority (August 2021), </w:t>
      </w:r>
      <w:hyperlink r:id="rId2" w:history="1">
        <w:r w:rsidRPr="00A73BA4">
          <w:rPr>
            <w:rStyle w:val="Hyperlink"/>
          </w:rPr>
          <w:t>APRA releases 2022 MySuper performance test results</w:t>
        </w:r>
      </w:hyperlink>
      <w:r w:rsidR="00A73BA4">
        <w:t xml:space="preserve"> [website], accessed 24 August 2022.</w:t>
      </w:r>
    </w:p>
  </w:footnote>
  <w:footnote w:id="4">
    <w:p w14:paraId="76BEC3EF" w14:textId="24AAA72E" w:rsidR="00A232C3" w:rsidRDefault="00A232C3" w:rsidP="00C73436">
      <w:pPr>
        <w:pStyle w:val="FootnoteText"/>
        <w:ind w:left="142" w:hanging="142"/>
      </w:pPr>
      <w:r>
        <w:rPr>
          <w:rStyle w:val="FootnoteReference"/>
        </w:rPr>
        <w:footnoteRef/>
      </w:r>
      <w:r>
        <w:t xml:space="preserve"> </w:t>
      </w:r>
      <w:r w:rsidR="00C73436">
        <w:t xml:space="preserve">Australian Prudential Regulation Authority (December 2021), </w:t>
      </w:r>
      <w:hyperlink r:id="rId3" w:history="1">
        <w:r w:rsidR="00C73436" w:rsidRPr="00C73436">
          <w:rPr>
            <w:rStyle w:val="Hyperlink"/>
          </w:rPr>
          <w:t>Superannuation Heatmaps</w:t>
        </w:r>
      </w:hyperlink>
      <w:r w:rsidR="00C73436">
        <w:t xml:space="preserve"> [website], accessed 24 August 2022.</w:t>
      </w:r>
    </w:p>
  </w:footnote>
  <w:footnote w:id="5">
    <w:p w14:paraId="56EF5AE5" w14:textId="43CEED89" w:rsidR="00311A78" w:rsidRDefault="00311A78">
      <w:pPr>
        <w:pStyle w:val="FootnoteText"/>
      </w:pPr>
      <w:r>
        <w:rPr>
          <w:rStyle w:val="FootnoteReference"/>
        </w:rPr>
        <w:footnoteRef/>
      </w:r>
      <w:r>
        <w:t xml:space="preserve"> </w:t>
      </w:r>
      <w:r w:rsidR="00C73436">
        <w:t xml:space="preserve">Australian Taxation Office (March 2022), </w:t>
      </w:r>
      <w:hyperlink r:id="rId4" w:history="1">
        <w:r w:rsidR="00C73436" w:rsidRPr="00C73436">
          <w:rPr>
            <w:rStyle w:val="Hyperlink"/>
          </w:rPr>
          <w:t>YourSuper comparison tool</w:t>
        </w:r>
      </w:hyperlink>
      <w:r w:rsidR="00C73436">
        <w:t xml:space="preserve"> [website], accessed 24 August 2022.</w:t>
      </w:r>
    </w:p>
  </w:footnote>
  <w:footnote w:id="6">
    <w:p w14:paraId="79A773C7" w14:textId="3C01342F" w:rsidR="00324A5F" w:rsidRDefault="00324A5F">
      <w:pPr>
        <w:pStyle w:val="FootnoteText"/>
      </w:pPr>
      <w:r>
        <w:rPr>
          <w:rStyle w:val="FootnoteReference"/>
        </w:rPr>
        <w:footnoteRef/>
      </w:r>
      <w:r>
        <w:t xml:space="preserve"> For the first year, this metric was based on seven-year returns due to constraints on available historical data.</w:t>
      </w:r>
    </w:p>
  </w:footnote>
  <w:footnote w:id="7">
    <w:p w14:paraId="74CE75B2" w14:textId="6A4058C7" w:rsidR="003B4FA7" w:rsidRDefault="003B4FA7" w:rsidP="00150A8E">
      <w:pPr>
        <w:pStyle w:val="FootnoteText"/>
        <w:ind w:left="142" w:hanging="142"/>
      </w:pPr>
      <w:r w:rsidRPr="00FF5EBA">
        <w:rPr>
          <w:rStyle w:val="FootnoteReference"/>
        </w:rPr>
        <w:footnoteRef/>
      </w:r>
      <w:r w:rsidRPr="00FF5EBA">
        <w:t xml:space="preserve"> </w:t>
      </w:r>
      <w:r w:rsidRPr="005138DD">
        <w:t>Data relating to member activity is available only for the authenticated version of the tool</w:t>
      </w:r>
      <w:r>
        <w:t>. T</w:t>
      </w:r>
      <w:r w:rsidRPr="005138DD">
        <w:t xml:space="preserve">he non-authenticated version does not require member data and therefore these </w:t>
      </w:r>
      <w:r w:rsidR="003A3903">
        <w:t>events</w:t>
      </w:r>
      <w:r w:rsidRPr="005138DD">
        <w:t xml:space="preserve"> are not tracked.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B762" w14:textId="77777777" w:rsidR="001B3C7F" w:rsidRDefault="00632AC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06F" w14:textId="77777777" w:rsidR="001B3C7F" w:rsidRDefault="00632AC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A009" w14:textId="5C06D01F" w:rsidR="002314D2" w:rsidRPr="001F3912" w:rsidRDefault="002314D2"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67DE" w14:textId="77777777" w:rsidR="001B3C7F" w:rsidRDefault="00632AC5">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7012" w14:textId="36EFD49A" w:rsidR="00E81A40" w:rsidRPr="001F3912" w:rsidRDefault="00E81A40" w:rsidP="0017089D">
    <w:r>
      <w:fldChar w:fldCharType="begin"/>
    </w:r>
    <w:r>
      <w:instrText xml:space="preserve"> macrobutton nomacro [Click and add Publication Title]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B561" w14:textId="50BC0955" w:rsidR="00DE7234" w:rsidRPr="00D4154A" w:rsidRDefault="00DE7234" w:rsidP="00D415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8199" w14:textId="77777777" w:rsidR="001B3C7F" w:rsidRDefault="00632AC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9CA"/>
    <w:multiLevelType w:val="multilevel"/>
    <w:tmpl w:val="9A80C9FC"/>
    <w:lvl w:ilvl="0">
      <w:start w:val="1"/>
      <w:numFmt w:val="bullet"/>
      <w:lvlText w:val="•"/>
      <w:lvlJc w:val="left"/>
      <w:pPr>
        <w:tabs>
          <w:tab w:val="num" w:pos="567"/>
        </w:tabs>
        <w:ind w:left="567" w:hanging="567"/>
      </w:pPr>
      <w:rPr>
        <w:rFonts w:ascii="Times New Roman" w:hAnsi="Times New Roman" w:cs="Times New Roman"/>
      </w:rPr>
    </w:lvl>
    <w:lvl w:ilvl="1">
      <w:start w:val="4"/>
      <w:numFmt w:val="bullet"/>
      <w:lvlText w:val="-"/>
      <w:lvlJc w:val="left"/>
      <w:pPr>
        <w:tabs>
          <w:tab w:val="num" w:pos="1134"/>
        </w:tabs>
        <w:ind w:left="1134" w:hanging="567"/>
      </w:pPr>
      <w:rPr>
        <w:rFonts w:ascii="Calibri" w:eastAsiaTheme="minorHAnsi" w:hAnsi="Calibri" w:cs="Calibri"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82E891B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F176E2C"/>
    <w:multiLevelType w:val="multilevel"/>
    <w:tmpl w:val="1DB2BEE0"/>
    <w:name w:val="StandardBulletedList"/>
    <w:lvl w:ilvl="0">
      <w:start w:val="1"/>
      <w:numFmt w:val="bullet"/>
      <w:lvlText w:val="•"/>
      <w:lvlJc w:val="left"/>
      <w:pPr>
        <w:tabs>
          <w:tab w:val="num" w:pos="567"/>
        </w:tabs>
        <w:ind w:left="567" w:hanging="567"/>
      </w:pPr>
      <w:rPr>
        <w:rFonts w:ascii="Times New Roman" w:hAnsi="Times New Roman" w:cs="Times New Roman"/>
        <w:color w:val="auto"/>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813DBA"/>
    <w:multiLevelType w:val="hybridMultilevel"/>
    <w:tmpl w:val="C76872BE"/>
    <w:lvl w:ilvl="0" w:tplc="6A408820">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020AFB"/>
    <w:multiLevelType w:val="hybridMultilevel"/>
    <w:tmpl w:val="9B209AA6"/>
    <w:lvl w:ilvl="0" w:tplc="DB2EF28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31454B"/>
    <w:multiLevelType w:val="multilevel"/>
    <w:tmpl w:val="F4C256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C0703"/>
    <w:multiLevelType w:val="hybridMultilevel"/>
    <w:tmpl w:val="27DA451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15:restartNumberingAfterBreak="0">
    <w:nsid w:val="401823F5"/>
    <w:multiLevelType w:val="multilevel"/>
    <w:tmpl w:val="FC8ACAF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F1791A"/>
    <w:multiLevelType w:val="hybridMultilevel"/>
    <w:tmpl w:val="034CB48E"/>
    <w:lvl w:ilvl="0" w:tplc="76DC682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6C62DD"/>
    <w:multiLevelType w:val="hybridMultilevel"/>
    <w:tmpl w:val="E31402CA"/>
    <w:lvl w:ilvl="0" w:tplc="0C160B8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AA103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0F4519"/>
    <w:multiLevelType w:val="multilevel"/>
    <w:tmpl w:val="DBE8014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D110A1"/>
    <w:multiLevelType w:val="hybridMultilevel"/>
    <w:tmpl w:val="6FD006F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6B5224"/>
    <w:multiLevelType w:val="multilevel"/>
    <w:tmpl w:val="57000EF8"/>
    <w:lvl w:ilvl="0">
      <w:start w:val="1"/>
      <w:numFmt w:val="bullet"/>
      <w:pStyle w:val="Bullet"/>
      <w:lvlText w:val="•"/>
      <w:lvlJc w:val="left"/>
      <w:pPr>
        <w:tabs>
          <w:tab w:val="num" w:pos="1040"/>
        </w:tabs>
        <w:ind w:left="1040" w:hanging="520"/>
      </w:pPr>
      <w:rPr>
        <w:rFonts w:ascii="Times New Roman" w:hAnsi="Times New Roman" w:cs="Times New Roman"/>
        <w:color w:val="auto"/>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num w:numId="1">
    <w:abstractNumId w:val="8"/>
  </w:num>
  <w:num w:numId="2">
    <w:abstractNumId w:val="1"/>
  </w:num>
  <w:num w:numId="3">
    <w:abstractNumId w:val="10"/>
  </w:num>
  <w:num w:numId="4">
    <w:abstractNumId w:val="2"/>
  </w:num>
  <w:num w:numId="5">
    <w:abstractNumId w:val="9"/>
  </w:num>
  <w:num w:numId="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4"/>
  </w:num>
  <w:num w:numId="10">
    <w:abstractNumId w:val="10"/>
  </w:num>
  <w:num w:numId="11">
    <w:abstractNumId w:val="2"/>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1"/>
  </w:num>
  <w:num w:numId="17">
    <w:abstractNumId w:val="3"/>
  </w:num>
  <w:num w:numId="18">
    <w:abstractNumId w:val="2"/>
    <w:lvlOverride w:ilvl="0">
      <w:lvl w:ilvl="0">
        <w:start w:val="1"/>
        <w:numFmt w:val="decimal"/>
        <w:lvlText w:val="%1."/>
        <w:lvlJc w:val="left"/>
        <w:pPr>
          <w:tabs>
            <w:tab w:val="num" w:pos="851"/>
          </w:tabs>
          <w:ind w:left="851" w:hanging="851"/>
        </w:pPr>
        <w:rPr>
          <w:rFonts w:hint="default"/>
          <w:b w:val="0"/>
          <w:bCs w:val="0"/>
        </w:rPr>
      </w:lvl>
    </w:lvlOverride>
  </w:num>
  <w:num w:numId="19">
    <w:abstractNumId w:val="18"/>
  </w:num>
  <w:num w:numId="20">
    <w:abstractNumId w:val="14"/>
  </w:num>
  <w:num w:numId="21">
    <w:abstractNumId w:val="6"/>
  </w:num>
  <w:num w:numId="2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 w:ilvl="0">
        <w:start w:val="1"/>
        <w:numFmt w:val="decimal"/>
        <w:lvlText w:val="%1."/>
        <w:lvlJc w:val="left"/>
        <w:pPr>
          <w:tabs>
            <w:tab w:val="num" w:pos="851"/>
          </w:tabs>
          <w:ind w:left="851" w:hanging="851"/>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13"/>
  </w:num>
  <w:num w:numId="3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10F82"/>
    <w:rsid w:val="000000ED"/>
    <w:rsid w:val="00011111"/>
    <w:rsid w:val="00011725"/>
    <w:rsid w:val="00012C62"/>
    <w:rsid w:val="00015583"/>
    <w:rsid w:val="0001603F"/>
    <w:rsid w:val="00021536"/>
    <w:rsid w:val="00022962"/>
    <w:rsid w:val="00022D7E"/>
    <w:rsid w:val="00024281"/>
    <w:rsid w:val="0002544D"/>
    <w:rsid w:val="00027CA7"/>
    <w:rsid w:val="000321DA"/>
    <w:rsid w:val="00035701"/>
    <w:rsid w:val="000374B8"/>
    <w:rsid w:val="000405F7"/>
    <w:rsid w:val="0004072A"/>
    <w:rsid w:val="00041A8B"/>
    <w:rsid w:val="0004274D"/>
    <w:rsid w:val="00042E8F"/>
    <w:rsid w:val="00044C0A"/>
    <w:rsid w:val="0004530A"/>
    <w:rsid w:val="000470E4"/>
    <w:rsid w:val="000512AC"/>
    <w:rsid w:val="00051956"/>
    <w:rsid w:val="00051D60"/>
    <w:rsid w:val="00056880"/>
    <w:rsid w:val="00057822"/>
    <w:rsid w:val="00061799"/>
    <w:rsid w:val="00064A33"/>
    <w:rsid w:val="00064C78"/>
    <w:rsid w:val="00065E5B"/>
    <w:rsid w:val="000675D1"/>
    <w:rsid w:val="0007102C"/>
    <w:rsid w:val="00071F31"/>
    <w:rsid w:val="00072352"/>
    <w:rsid w:val="00073521"/>
    <w:rsid w:val="00074208"/>
    <w:rsid w:val="000757D9"/>
    <w:rsid w:val="00076FD1"/>
    <w:rsid w:val="00077500"/>
    <w:rsid w:val="000775DE"/>
    <w:rsid w:val="00077E2A"/>
    <w:rsid w:val="00082FC2"/>
    <w:rsid w:val="000838D3"/>
    <w:rsid w:val="00083EA1"/>
    <w:rsid w:val="000858F2"/>
    <w:rsid w:val="00087FAF"/>
    <w:rsid w:val="0009151A"/>
    <w:rsid w:val="00092434"/>
    <w:rsid w:val="000951DF"/>
    <w:rsid w:val="000968D3"/>
    <w:rsid w:val="000A14BB"/>
    <w:rsid w:val="000A7027"/>
    <w:rsid w:val="000A77FC"/>
    <w:rsid w:val="000B0AE1"/>
    <w:rsid w:val="000B26C7"/>
    <w:rsid w:val="000B3188"/>
    <w:rsid w:val="000B69D2"/>
    <w:rsid w:val="000B69F8"/>
    <w:rsid w:val="000C03B4"/>
    <w:rsid w:val="000C1356"/>
    <w:rsid w:val="000C28DE"/>
    <w:rsid w:val="000C3392"/>
    <w:rsid w:val="000C3C9C"/>
    <w:rsid w:val="000C4DF7"/>
    <w:rsid w:val="000C5E1F"/>
    <w:rsid w:val="000C5F40"/>
    <w:rsid w:val="000C63DB"/>
    <w:rsid w:val="000C6625"/>
    <w:rsid w:val="000C6668"/>
    <w:rsid w:val="000C7248"/>
    <w:rsid w:val="000D0421"/>
    <w:rsid w:val="000D1284"/>
    <w:rsid w:val="000D13B6"/>
    <w:rsid w:val="000D4D30"/>
    <w:rsid w:val="000D55BD"/>
    <w:rsid w:val="000D5B1D"/>
    <w:rsid w:val="000D7868"/>
    <w:rsid w:val="000D7E7B"/>
    <w:rsid w:val="000E0549"/>
    <w:rsid w:val="000E0B74"/>
    <w:rsid w:val="000E1AAD"/>
    <w:rsid w:val="000E3E82"/>
    <w:rsid w:val="000E51CD"/>
    <w:rsid w:val="000E58F2"/>
    <w:rsid w:val="000E69A5"/>
    <w:rsid w:val="000E7EE1"/>
    <w:rsid w:val="000F0BF8"/>
    <w:rsid w:val="000F1670"/>
    <w:rsid w:val="000F237F"/>
    <w:rsid w:val="000F281F"/>
    <w:rsid w:val="000F3A7F"/>
    <w:rsid w:val="000F6242"/>
    <w:rsid w:val="000F650B"/>
    <w:rsid w:val="000F7389"/>
    <w:rsid w:val="000F7517"/>
    <w:rsid w:val="00100957"/>
    <w:rsid w:val="001013C7"/>
    <w:rsid w:val="00105149"/>
    <w:rsid w:val="00105639"/>
    <w:rsid w:val="0010612E"/>
    <w:rsid w:val="001112B2"/>
    <w:rsid w:val="00113F69"/>
    <w:rsid w:val="00114189"/>
    <w:rsid w:val="0011418E"/>
    <w:rsid w:val="001203C6"/>
    <w:rsid w:val="001249C1"/>
    <w:rsid w:val="00125AF3"/>
    <w:rsid w:val="00127062"/>
    <w:rsid w:val="0013136F"/>
    <w:rsid w:val="00132271"/>
    <w:rsid w:val="00132B32"/>
    <w:rsid w:val="00137F28"/>
    <w:rsid w:val="0014091C"/>
    <w:rsid w:val="00141552"/>
    <w:rsid w:val="001419FC"/>
    <w:rsid w:val="00142B39"/>
    <w:rsid w:val="00144C84"/>
    <w:rsid w:val="001504FF"/>
    <w:rsid w:val="0015077D"/>
    <w:rsid w:val="00150A8E"/>
    <w:rsid w:val="00150D9E"/>
    <w:rsid w:val="0015463C"/>
    <w:rsid w:val="00157D6F"/>
    <w:rsid w:val="001606CF"/>
    <w:rsid w:val="00160C86"/>
    <w:rsid w:val="001610CE"/>
    <w:rsid w:val="0016128D"/>
    <w:rsid w:val="001636E5"/>
    <w:rsid w:val="00165A74"/>
    <w:rsid w:val="00167ABF"/>
    <w:rsid w:val="0017085A"/>
    <w:rsid w:val="0017089D"/>
    <w:rsid w:val="0017157F"/>
    <w:rsid w:val="00174402"/>
    <w:rsid w:val="00175D3D"/>
    <w:rsid w:val="00175F85"/>
    <w:rsid w:val="00186913"/>
    <w:rsid w:val="0019101A"/>
    <w:rsid w:val="0019214B"/>
    <w:rsid w:val="001923DD"/>
    <w:rsid w:val="001939ED"/>
    <w:rsid w:val="00195E50"/>
    <w:rsid w:val="001A314E"/>
    <w:rsid w:val="001A3E8F"/>
    <w:rsid w:val="001A590F"/>
    <w:rsid w:val="001B0528"/>
    <w:rsid w:val="001B3391"/>
    <w:rsid w:val="001B3C7F"/>
    <w:rsid w:val="001B4C2B"/>
    <w:rsid w:val="001B5904"/>
    <w:rsid w:val="001B5D10"/>
    <w:rsid w:val="001C1163"/>
    <w:rsid w:val="001C1173"/>
    <w:rsid w:val="001C358D"/>
    <w:rsid w:val="001C522B"/>
    <w:rsid w:val="001C645C"/>
    <w:rsid w:val="001C67E2"/>
    <w:rsid w:val="001D040C"/>
    <w:rsid w:val="001D2EF4"/>
    <w:rsid w:val="001D318D"/>
    <w:rsid w:val="001D4EAA"/>
    <w:rsid w:val="001D57AA"/>
    <w:rsid w:val="001D6AFB"/>
    <w:rsid w:val="001E08CD"/>
    <w:rsid w:val="001E3904"/>
    <w:rsid w:val="001E64F3"/>
    <w:rsid w:val="001E747A"/>
    <w:rsid w:val="001F3C54"/>
    <w:rsid w:val="001F43F1"/>
    <w:rsid w:val="001F4CC8"/>
    <w:rsid w:val="001F5ED5"/>
    <w:rsid w:val="0020063F"/>
    <w:rsid w:val="00200703"/>
    <w:rsid w:val="00202971"/>
    <w:rsid w:val="00207187"/>
    <w:rsid w:val="0021067D"/>
    <w:rsid w:val="00216490"/>
    <w:rsid w:val="002210F2"/>
    <w:rsid w:val="0022190E"/>
    <w:rsid w:val="0022384F"/>
    <w:rsid w:val="0022494B"/>
    <w:rsid w:val="002307A9"/>
    <w:rsid w:val="00231049"/>
    <w:rsid w:val="002314D2"/>
    <w:rsid w:val="002320CC"/>
    <w:rsid w:val="00233515"/>
    <w:rsid w:val="00234707"/>
    <w:rsid w:val="002372A6"/>
    <w:rsid w:val="00242BD5"/>
    <w:rsid w:val="00243889"/>
    <w:rsid w:val="002444BD"/>
    <w:rsid w:val="00245781"/>
    <w:rsid w:val="00245E34"/>
    <w:rsid w:val="00245F1D"/>
    <w:rsid w:val="00247DFA"/>
    <w:rsid w:val="0025060A"/>
    <w:rsid w:val="00253E84"/>
    <w:rsid w:val="00256921"/>
    <w:rsid w:val="00256973"/>
    <w:rsid w:val="00257AEE"/>
    <w:rsid w:val="00257E3F"/>
    <w:rsid w:val="002604F1"/>
    <w:rsid w:val="002635CA"/>
    <w:rsid w:val="00263B6C"/>
    <w:rsid w:val="0026480C"/>
    <w:rsid w:val="002658A2"/>
    <w:rsid w:val="002658B5"/>
    <w:rsid w:val="00267EC5"/>
    <w:rsid w:val="00272320"/>
    <w:rsid w:val="0027259D"/>
    <w:rsid w:val="0027263D"/>
    <w:rsid w:val="0027590B"/>
    <w:rsid w:val="002760C3"/>
    <w:rsid w:val="00277D9D"/>
    <w:rsid w:val="00283001"/>
    <w:rsid w:val="0028454F"/>
    <w:rsid w:val="00284DC0"/>
    <w:rsid w:val="00285969"/>
    <w:rsid w:val="00287926"/>
    <w:rsid w:val="00287EEB"/>
    <w:rsid w:val="00292167"/>
    <w:rsid w:val="0029287E"/>
    <w:rsid w:val="002940EC"/>
    <w:rsid w:val="002A3B8F"/>
    <w:rsid w:val="002B0B7A"/>
    <w:rsid w:val="002B3829"/>
    <w:rsid w:val="002B4ABB"/>
    <w:rsid w:val="002B4C92"/>
    <w:rsid w:val="002B4D4D"/>
    <w:rsid w:val="002B5665"/>
    <w:rsid w:val="002B5C39"/>
    <w:rsid w:val="002B6105"/>
    <w:rsid w:val="002C37C8"/>
    <w:rsid w:val="002C3DDC"/>
    <w:rsid w:val="002C4D56"/>
    <w:rsid w:val="002C7B28"/>
    <w:rsid w:val="002D154C"/>
    <w:rsid w:val="002D1F90"/>
    <w:rsid w:val="002D324D"/>
    <w:rsid w:val="002D4381"/>
    <w:rsid w:val="002D488F"/>
    <w:rsid w:val="002E00B6"/>
    <w:rsid w:val="002E0A20"/>
    <w:rsid w:val="002E37F7"/>
    <w:rsid w:val="002E6A63"/>
    <w:rsid w:val="002F212E"/>
    <w:rsid w:val="002F41B2"/>
    <w:rsid w:val="002F617F"/>
    <w:rsid w:val="0030035D"/>
    <w:rsid w:val="003023C4"/>
    <w:rsid w:val="0030522F"/>
    <w:rsid w:val="00305D61"/>
    <w:rsid w:val="00307B61"/>
    <w:rsid w:val="00311321"/>
    <w:rsid w:val="00311A78"/>
    <w:rsid w:val="00311CD5"/>
    <w:rsid w:val="003122F4"/>
    <w:rsid w:val="0031276E"/>
    <w:rsid w:val="0031392E"/>
    <w:rsid w:val="00313D74"/>
    <w:rsid w:val="00313F5C"/>
    <w:rsid w:val="0031585B"/>
    <w:rsid w:val="00317A96"/>
    <w:rsid w:val="00324A5F"/>
    <w:rsid w:val="003268D5"/>
    <w:rsid w:val="00327EBB"/>
    <w:rsid w:val="00330789"/>
    <w:rsid w:val="00332CF2"/>
    <w:rsid w:val="00334592"/>
    <w:rsid w:val="00334E2A"/>
    <w:rsid w:val="00335BD9"/>
    <w:rsid w:val="00335CF0"/>
    <w:rsid w:val="003379B4"/>
    <w:rsid w:val="00343092"/>
    <w:rsid w:val="00343D31"/>
    <w:rsid w:val="00344779"/>
    <w:rsid w:val="003459E6"/>
    <w:rsid w:val="003467A7"/>
    <w:rsid w:val="00346AA4"/>
    <w:rsid w:val="00346F7E"/>
    <w:rsid w:val="003470DC"/>
    <w:rsid w:val="0034794C"/>
    <w:rsid w:val="003479CF"/>
    <w:rsid w:val="00347C53"/>
    <w:rsid w:val="00354D27"/>
    <w:rsid w:val="00354FBB"/>
    <w:rsid w:val="003554D5"/>
    <w:rsid w:val="003563A2"/>
    <w:rsid w:val="00360F6F"/>
    <w:rsid w:val="003619B2"/>
    <w:rsid w:val="003649C0"/>
    <w:rsid w:val="0036572A"/>
    <w:rsid w:val="0036603F"/>
    <w:rsid w:val="00372ACC"/>
    <w:rsid w:val="00375782"/>
    <w:rsid w:val="00377607"/>
    <w:rsid w:val="00380FAB"/>
    <w:rsid w:val="003839F0"/>
    <w:rsid w:val="00383A7F"/>
    <w:rsid w:val="00383BE8"/>
    <w:rsid w:val="003858A6"/>
    <w:rsid w:val="0038616D"/>
    <w:rsid w:val="00387841"/>
    <w:rsid w:val="003879B5"/>
    <w:rsid w:val="00392238"/>
    <w:rsid w:val="00392DCC"/>
    <w:rsid w:val="0039440A"/>
    <w:rsid w:val="00397986"/>
    <w:rsid w:val="003A199F"/>
    <w:rsid w:val="003A3903"/>
    <w:rsid w:val="003A3B93"/>
    <w:rsid w:val="003A5EEB"/>
    <w:rsid w:val="003A70C2"/>
    <w:rsid w:val="003A7D83"/>
    <w:rsid w:val="003B36CD"/>
    <w:rsid w:val="003B4FA7"/>
    <w:rsid w:val="003B729B"/>
    <w:rsid w:val="003B7926"/>
    <w:rsid w:val="003B7FE9"/>
    <w:rsid w:val="003C0FE1"/>
    <w:rsid w:val="003C1678"/>
    <w:rsid w:val="003C20CE"/>
    <w:rsid w:val="003C2F2F"/>
    <w:rsid w:val="003C435F"/>
    <w:rsid w:val="003C4CEB"/>
    <w:rsid w:val="003C5430"/>
    <w:rsid w:val="003C7587"/>
    <w:rsid w:val="003C780D"/>
    <w:rsid w:val="003C7BA7"/>
    <w:rsid w:val="003D073E"/>
    <w:rsid w:val="003E38B0"/>
    <w:rsid w:val="003E4D87"/>
    <w:rsid w:val="003E5309"/>
    <w:rsid w:val="003F09D0"/>
    <w:rsid w:val="003F0C0C"/>
    <w:rsid w:val="003F22EE"/>
    <w:rsid w:val="003F265B"/>
    <w:rsid w:val="003F2D1B"/>
    <w:rsid w:val="003F475C"/>
    <w:rsid w:val="003F67AF"/>
    <w:rsid w:val="003F71F2"/>
    <w:rsid w:val="0040338F"/>
    <w:rsid w:val="00403505"/>
    <w:rsid w:val="00403C4E"/>
    <w:rsid w:val="00403DB3"/>
    <w:rsid w:val="004078C8"/>
    <w:rsid w:val="0041341E"/>
    <w:rsid w:val="00414794"/>
    <w:rsid w:val="00416762"/>
    <w:rsid w:val="00421351"/>
    <w:rsid w:val="00421D2D"/>
    <w:rsid w:val="00421E24"/>
    <w:rsid w:val="00427566"/>
    <w:rsid w:val="00434241"/>
    <w:rsid w:val="0043549D"/>
    <w:rsid w:val="004408D9"/>
    <w:rsid w:val="00445265"/>
    <w:rsid w:val="004454B8"/>
    <w:rsid w:val="0045375F"/>
    <w:rsid w:val="00455362"/>
    <w:rsid w:val="004559CE"/>
    <w:rsid w:val="004563F0"/>
    <w:rsid w:val="0045643C"/>
    <w:rsid w:val="00456AB3"/>
    <w:rsid w:val="00461FCB"/>
    <w:rsid w:val="004627D3"/>
    <w:rsid w:val="00463B28"/>
    <w:rsid w:val="00465436"/>
    <w:rsid w:val="00472937"/>
    <w:rsid w:val="00475B7B"/>
    <w:rsid w:val="00475E9C"/>
    <w:rsid w:val="00475F4D"/>
    <w:rsid w:val="00476C07"/>
    <w:rsid w:val="00480722"/>
    <w:rsid w:val="00480ECE"/>
    <w:rsid w:val="0048168E"/>
    <w:rsid w:val="00482AD1"/>
    <w:rsid w:val="00483049"/>
    <w:rsid w:val="00484E6A"/>
    <w:rsid w:val="00485CCF"/>
    <w:rsid w:val="00487305"/>
    <w:rsid w:val="00492FCB"/>
    <w:rsid w:val="004938D1"/>
    <w:rsid w:val="00494A47"/>
    <w:rsid w:val="004951A8"/>
    <w:rsid w:val="00495F9E"/>
    <w:rsid w:val="004A00EE"/>
    <w:rsid w:val="004A077D"/>
    <w:rsid w:val="004A338C"/>
    <w:rsid w:val="004A34A2"/>
    <w:rsid w:val="004A46B7"/>
    <w:rsid w:val="004A6068"/>
    <w:rsid w:val="004A7970"/>
    <w:rsid w:val="004A7BC2"/>
    <w:rsid w:val="004B1C4A"/>
    <w:rsid w:val="004B323A"/>
    <w:rsid w:val="004B5281"/>
    <w:rsid w:val="004B6A86"/>
    <w:rsid w:val="004B773A"/>
    <w:rsid w:val="004C1942"/>
    <w:rsid w:val="004C35D3"/>
    <w:rsid w:val="004C3F32"/>
    <w:rsid w:val="004D0CD5"/>
    <w:rsid w:val="004D1172"/>
    <w:rsid w:val="004D5CE0"/>
    <w:rsid w:val="004D6851"/>
    <w:rsid w:val="004D753A"/>
    <w:rsid w:val="004D7D34"/>
    <w:rsid w:val="004E0803"/>
    <w:rsid w:val="004E46A8"/>
    <w:rsid w:val="004E4F60"/>
    <w:rsid w:val="004E728E"/>
    <w:rsid w:val="004F0CB8"/>
    <w:rsid w:val="004F1164"/>
    <w:rsid w:val="004F324B"/>
    <w:rsid w:val="004F39C5"/>
    <w:rsid w:val="004F3B9B"/>
    <w:rsid w:val="004F51E9"/>
    <w:rsid w:val="004F679B"/>
    <w:rsid w:val="004F7F33"/>
    <w:rsid w:val="00507507"/>
    <w:rsid w:val="005075AD"/>
    <w:rsid w:val="005108F2"/>
    <w:rsid w:val="00510CB3"/>
    <w:rsid w:val="00512B42"/>
    <w:rsid w:val="005138DD"/>
    <w:rsid w:val="00514C7D"/>
    <w:rsid w:val="00516785"/>
    <w:rsid w:val="0052063F"/>
    <w:rsid w:val="005225D0"/>
    <w:rsid w:val="0052419D"/>
    <w:rsid w:val="00524A26"/>
    <w:rsid w:val="005260A8"/>
    <w:rsid w:val="005301F8"/>
    <w:rsid w:val="005312FC"/>
    <w:rsid w:val="005322F6"/>
    <w:rsid w:val="005337D7"/>
    <w:rsid w:val="00534A40"/>
    <w:rsid w:val="0053603D"/>
    <w:rsid w:val="00536F39"/>
    <w:rsid w:val="0054006C"/>
    <w:rsid w:val="00540235"/>
    <w:rsid w:val="005409B6"/>
    <w:rsid w:val="005415D9"/>
    <w:rsid w:val="00541DB8"/>
    <w:rsid w:val="00542501"/>
    <w:rsid w:val="00544E4F"/>
    <w:rsid w:val="005456F5"/>
    <w:rsid w:val="0054774C"/>
    <w:rsid w:val="00552BEA"/>
    <w:rsid w:val="00554745"/>
    <w:rsid w:val="00554957"/>
    <w:rsid w:val="005559BB"/>
    <w:rsid w:val="00555D14"/>
    <w:rsid w:val="00557C9E"/>
    <w:rsid w:val="00560FEB"/>
    <w:rsid w:val="00561FD6"/>
    <w:rsid w:val="00563F37"/>
    <w:rsid w:val="0056495D"/>
    <w:rsid w:val="00565F75"/>
    <w:rsid w:val="00566A2A"/>
    <w:rsid w:val="0056743F"/>
    <w:rsid w:val="00570606"/>
    <w:rsid w:val="005712AE"/>
    <w:rsid w:val="00571369"/>
    <w:rsid w:val="0057290B"/>
    <w:rsid w:val="00575CA8"/>
    <w:rsid w:val="005763FE"/>
    <w:rsid w:val="00580DC4"/>
    <w:rsid w:val="00584D6A"/>
    <w:rsid w:val="005859FF"/>
    <w:rsid w:val="005867A4"/>
    <w:rsid w:val="005868DE"/>
    <w:rsid w:val="00586CA0"/>
    <w:rsid w:val="0058712A"/>
    <w:rsid w:val="0059319B"/>
    <w:rsid w:val="005A0B36"/>
    <w:rsid w:val="005A332F"/>
    <w:rsid w:val="005A4DD3"/>
    <w:rsid w:val="005A4E1A"/>
    <w:rsid w:val="005A68CC"/>
    <w:rsid w:val="005A7C25"/>
    <w:rsid w:val="005B1B37"/>
    <w:rsid w:val="005B3924"/>
    <w:rsid w:val="005B53DB"/>
    <w:rsid w:val="005B5882"/>
    <w:rsid w:val="005B58AE"/>
    <w:rsid w:val="005B6DDE"/>
    <w:rsid w:val="005B7797"/>
    <w:rsid w:val="005C6908"/>
    <w:rsid w:val="005D0CCC"/>
    <w:rsid w:val="005D0F7A"/>
    <w:rsid w:val="005D1971"/>
    <w:rsid w:val="005D3EAD"/>
    <w:rsid w:val="005D425F"/>
    <w:rsid w:val="005D57C7"/>
    <w:rsid w:val="005D76E2"/>
    <w:rsid w:val="005E1484"/>
    <w:rsid w:val="005E366D"/>
    <w:rsid w:val="005E3936"/>
    <w:rsid w:val="005E6A61"/>
    <w:rsid w:val="005E7D80"/>
    <w:rsid w:val="005F1070"/>
    <w:rsid w:val="005F2FBE"/>
    <w:rsid w:val="005F46B4"/>
    <w:rsid w:val="00600921"/>
    <w:rsid w:val="006016A6"/>
    <w:rsid w:val="00604BEE"/>
    <w:rsid w:val="0060595B"/>
    <w:rsid w:val="00605AFD"/>
    <w:rsid w:val="006062DF"/>
    <w:rsid w:val="00607C7C"/>
    <w:rsid w:val="00607E99"/>
    <w:rsid w:val="00612250"/>
    <w:rsid w:val="006123D4"/>
    <w:rsid w:val="0061772A"/>
    <w:rsid w:val="00624CED"/>
    <w:rsid w:val="00625FDD"/>
    <w:rsid w:val="00627F45"/>
    <w:rsid w:val="00630F3D"/>
    <w:rsid w:val="006321F4"/>
    <w:rsid w:val="00632AC5"/>
    <w:rsid w:val="00636DDA"/>
    <w:rsid w:val="00637BAB"/>
    <w:rsid w:val="00637C14"/>
    <w:rsid w:val="00641199"/>
    <w:rsid w:val="006434D5"/>
    <w:rsid w:val="00644793"/>
    <w:rsid w:val="00646251"/>
    <w:rsid w:val="00651657"/>
    <w:rsid w:val="00654D89"/>
    <w:rsid w:val="006556B0"/>
    <w:rsid w:val="00656356"/>
    <w:rsid w:val="00661BDF"/>
    <w:rsid w:val="00664DA2"/>
    <w:rsid w:val="00664F81"/>
    <w:rsid w:val="00666CF6"/>
    <w:rsid w:val="00666DED"/>
    <w:rsid w:val="00667236"/>
    <w:rsid w:val="00667242"/>
    <w:rsid w:val="00670CD2"/>
    <w:rsid w:val="00674249"/>
    <w:rsid w:val="006755BF"/>
    <w:rsid w:val="00675EC2"/>
    <w:rsid w:val="0067752A"/>
    <w:rsid w:val="00677E26"/>
    <w:rsid w:val="00681574"/>
    <w:rsid w:val="00683F49"/>
    <w:rsid w:val="00686165"/>
    <w:rsid w:val="00686838"/>
    <w:rsid w:val="00690CFB"/>
    <w:rsid w:val="00691CB5"/>
    <w:rsid w:val="00693FC7"/>
    <w:rsid w:val="006943DF"/>
    <w:rsid w:val="006945EB"/>
    <w:rsid w:val="0069710B"/>
    <w:rsid w:val="00697373"/>
    <w:rsid w:val="00697432"/>
    <w:rsid w:val="00697597"/>
    <w:rsid w:val="0069798B"/>
    <w:rsid w:val="006A0D9A"/>
    <w:rsid w:val="006A2544"/>
    <w:rsid w:val="006A6A89"/>
    <w:rsid w:val="006A6EE1"/>
    <w:rsid w:val="006B044E"/>
    <w:rsid w:val="006B0F99"/>
    <w:rsid w:val="006B368E"/>
    <w:rsid w:val="006B3766"/>
    <w:rsid w:val="006B3AB7"/>
    <w:rsid w:val="006B5E7C"/>
    <w:rsid w:val="006B6169"/>
    <w:rsid w:val="006B698A"/>
    <w:rsid w:val="006C0283"/>
    <w:rsid w:val="006C028C"/>
    <w:rsid w:val="006C1ABB"/>
    <w:rsid w:val="006C1ADF"/>
    <w:rsid w:val="006C5046"/>
    <w:rsid w:val="006C645D"/>
    <w:rsid w:val="006C6A50"/>
    <w:rsid w:val="006D009C"/>
    <w:rsid w:val="006D42C7"/>
    <w:rsid w:val="006E018B"/>
    <w:rsid w:val="006E0E3C"/>
    <w:rsid w:val="006E1D0B"/>
    <w:rsid w:val="006E3285"/>
    <w:rsid w:val="006E3CC3"/>
    <w:rsid w:val="006E60FF"/>
    <w:rsid w:val="006E6EA6"/>
    <w:rsid w:val="006E70C0"/>
    <w:rsid w:val="006F0B5C"/>
    <w:rsid w:val="006F30AE"/>
    <w:rsid w:val="006F31AD"/>
    <w:rsid w:val="006F353E"/>
    <w:rsid w:val="006F4C62"/>
    <w:rsid w:val="006F556E"/>
    <w:rsid w:val="006F656C"/>
    <w:rsid w:val="006F69E3"/>
    <w:rsid w:val="006F76F0"/>
    <w:rsid w:val="00701025"/>
    <w:rsid w:val="00706484"/>
    <w:rsid w:val="00706528"/>
    <w:rsid w:val="007065D2"/>
    <w:rsid w:val="00707014"/>
    <w:rsid w:val="00707682"/>
    <w:rsid w:val="00710E13"/>
    <w:rsid w:val="00713252"/>
    <w:rsid w:val="00713726"/>
    <w:rsid w:val="007148BB"/>
    <w:rsid w:val="00714C55"/>
    <w:rsid w:val="00717DAC"/>
    <w:rsid w:val="00720BF2"/>
    <w:rsid w:val="00724A40"/>
    <w:rsid w:val="0072574B"/>
    <w:rsid w:val="007269B2"/>
    <w:rsid w:val="00730B7E"/>
    <w:rsid w:val="0073207D"/>
    <w:rsid w:val="00733F00"/>
    <w:rsid w:val="00737B4A"/>
    <w:rsid w:val="00737FE5"/>
    <w:rsid w:val="007401C2"/>
    <w:rsid w:val="00740A0B"/>
    <w:rsid w:val="00744BB1"/>
    <w:rsid w:val="0074524F"/>
    <w:rsid w:val="00745A87"/>
    <w:rsid w:val="00745CDC"/>
    <w:rsid w:val="00746149"/>
    <w:rsid w:val="00746232"/>
    <w:rsid w:val="007469BA"/>
    <w:rsid w:val="00747D8A"/>
    <w:rsid w:val="0075092E"/>
    <w:rsid w:val="00750F25"/>
    <w:rsid w:val="007524E0"/>
    <w:rsid w:val="007549E9"/>
    <w:rsid w:val="00755BAF"/>
    <w:rsid w:val="007563AF"/>
    <w:rsid w:val="00757816"/>
    <w:rsid w:val="00762D88"/>
    <w:rsid w:val="00762E01"/>
    <w:rsid w:val="007639CC"/>
    <w:rsid w:val="0076478F"/>
    <w:rsid w:val="00764E73"/>
    <w:rsid w:val="0076566A"/>
    <w:rsid w:val="00766880"/>
    <w:rsid w:val="007675FB"/>
    <w:rsid w:val="007677CA"/>
    <w:rsid w:val="00770D27"/>
    <w:rsid w:val="0077191E"/>
    <w:rsid w:val="007728F5"/>
    <w:rsid w:val="007739DC"/>
    <w:rsid w:val="0077496F"/>
    <w:rsid w:val="00774EB0"/>
    <w:rsid w:val="00775702"/>
    <w:rsid w:val="00777266"/>
    <w:rsid w:val="00780C2B"/>
    <w:rsid w:val="00782D25"/>
    <w:rsid w:val="0078347D"/>
    <w:rsid w:val="00784E17"/>
    <w:rsid w:val="0078509F"/>
    <w:rsid w:val="007869B4"/>
    <w:rsid w:val="00787B51"/>
    <w:rsid w:val="00790AF1"/>
    <w:rsid w:val="00790C20"/>
    <w:rsid w:val="00792889"/>
    <w:rsid w:val="00794499"/>
    <w:rsid w:val="007949CD"/>
    <w:rsid w:val="007A2B3D"/>
    <w:rsid w:val="007A4A52"/>
    <w:rsid w:val="007A545D"/>
    <w:rsid w:val="007A7038"/>
    <w:rsid w:val="007B05D2"/>
    <w:rsid w:val="007B4B5D"/>
    <w:rsid w:val="007B5A32"/>
    <w:rsid w:val="007B68BB"/>
    <w:rsid w:val="007C044C"/>
    <w:rsid w:val="007C10C6"/>
    <w:rsid w:val="007C2DAB"/>
    <w:rsid w:val="007C3E8F"/>
    <w:rsid w:val="007C5600"/>
    <w:rsid w:val="007C6AF4"/>
    <w:rsid w:val="007D034F"/>
    <w:rsid w:val="007D09EA"/>
    <w:rsid w:val="007D0F2E"/>
    <w:rsid w:val="007D1230"/>
    <w:rsid w:val="007D31F7"/>
    <w:rsid w:val="007D5AA6"/>
    <w:rsid w:val="007E1511"/>
    <w:rsid w:val="007E2AB9"/>
    <w:rsid w:val="007E2B62"/>
    <w:rsid w:val="007E6456"/>
    <w:rsid w:val="007F1905"/>
    <w:rsid w:val="007F3DBD"/>
    <w:rsid w:val="007F5C9E"/>
    <w:rsid w:val="007F7644"/>
    <w:rsid w:val="00801C34"/>
    <w:rsid w:val="008043EA"/>
    <w:rsid w:val="008052B9"/>
    <w:rsid w:val="008060AF"/>
    <w:rsid w:val="008076EE"/>
    <w:rsid w:val="00810AC9"/>
    <w:rsid w:val="00811279"/>
    <w:rsid w:val="00812DFD"/>
    <w:rsid w:val="00820EFA"/>
    <w:rsid w:val="00821E5E"/>
    <w:rsid w:val="00823A66"/>
    <w:rsid w:val="00825D73"/>
    <w:rsid w:val="00826447"/>
    <w:rsid w:val="008316FD"/>
    <w:rsid w:val="00834243"/>
    <w:rsid w:val="008361B4"/>
    <w:rsid w:val="00837F45"/>
    <w:rsid w:val="00843DD4"/>
    <w:rsid w:val="008443A9"/>
    <w:rsid w:val="00847158"/>
    <w:rsid w:val="00847746"/>
    <w:rsid w:val="00847FEB"/>
    <w:rsid w:val="008501C3"/>
    <w:rsid w:val="00850223"/>
    <w:rsid w:val="00851630"/>
    <w:rsid w:val="008516F9"/>
    <w:rsid w:val="008536FF"/>
    <w:rsid w:val="00854C5B"/>
    <w:rsid w:val="00855618"/>
    <w:rsid w:val="00857969"/>
    <w:rsid w:val="00860EE6"/>
    <w:rsid w:val="00864DE9"/>
    <w:rsid w:val="00865926"/>
    <w:rsid w:val="00865D74"/>
    <w:rsid w:val="00866595"/>
    <w:rsid w:val="008678F3"/>
    <w:rsid w:val="00871617"/>
    <w:rsid w:val="00872271"/>
    <w:rsid w:val="008722C3"/>
    <w:rsid w:val="008730C0"/>
    <w:rsid w:val="00873DEA"/>
    <w:rsid w:val="00875088"/>
    <w:rsid w:val="00877292"/>
    <w:rsid w:val="0088106C"/>
    <w:rsid w:val="00881558"/>
    <w:rsid w:val="0088190B"/>
    <w:rsid w:val="00883042"/>
    <w:rsid w:val="00883577"/>
    <w:rsid w:val="008844AA"/>
    <w:rsid w:val="00884BDE"/>
    <w:rsid w:val="00892100"/>
    <w:rsid w:val="008946EB"/>
    <w:rsid w:val="008966DD"/>
    <w:rsid w:val="00897E86"/>
    <w:rsid w:val="008A1187"/>
    <w:rsid w:val="008A20EA"/>
    <w:rsid w:val="008A4A6C"/>
    <w:rsid w:val="008A5BFD"/>
    <w:rsid w:val="008A5D94"/>
    <w:rsid w:val="008A69F7"/>
    <w:rsid w:val="008A6F99"/>
    <w:rsid w:val="008B0FF6"/>
    <w:rsid w:val="008B1433"/>
    <w:rsid w:val="008B1499"/>
    <w:rsid w:val="008B20AF"/>
    <w:rsid w:val="008B23DE"/>
    <w:rsid w:val="008B29C8"/>
    <w:rsid w:val="008B3D23"/>
    <w:rsid w:val="008B6B10"/>
    <w:rsid w:val="008C0883"/>
    <w:rsid w:val="008C1488"/>
    <w:rsid w:val="008C24D9"/>
    <w:rsid w:val="008C3887"/>
    <w:rsid w:val="008C65D9"/>
    <w:rsid w:val="008C75DE"/>
    <w:rsid w:val="008D0732"/>
    <w:rsid w:val="008D1705"/>
    <w:rsid w:val="008D1A15"/>
    <w:rsid w:val="008D2B78"/>
    <w:rsid w:val="008D2B8B"/>
    <w:rsid w:val="008D2C4B"/>
    <w:rsid w:val="008D339F"/>
    <w:rsid w:val="008D5210"/>
    <w:rsid w:val="008D5B02"/>
    <w:rsid w:val="008D7F38"/>
    <w:rsid w:val="008E307D"/>
    <w:rsid w:val="008E4197"/>
    <w:rsid w:val="008E43AB"/>
    <w:rsid w:val="008E6292"/>
    <w:rsid w:val="008E6E53"/>
    <w:rsid w:val="008F31A3"/>
    <w:rsid w:val="008F43B4"/>
    <w:rsid w:val="008F574F"/>
    <w:rsid w:val="008F58BD"/>
    <w:rsid w:val="008F5F84"/>
    <w:rsid w:val="008F75E1"/>
    <w:rsid w:val="008F7CB5"/>
    <w:rsid w:val="009066D7"/>
    <w:rsid w:val="0091444F"/>
    <w:rsid w:val="00914564"/>
    <w:rsid w:val="00914ACF"/>
    <w:rsid w:val="00915862"/>
    <w:rsid w:val="00917A66"/>
    <w:rsid w:val="009211D3"/>
    <w:rsid w:val="00925379"/>
    <w:rsid w:val="00925AA5"/>
    <w:rsid w:val="00930116"/>
    <w:rsid w:val="009312E8"/>
    <w:rsid w:val="009327DD"/>
    <w:rsid w:val="0094019D"/>
    <w:rsid w:val="00941C65"/>
    <w:rsid w:val="00942C11"/>
    <w:rsid w:val="0094330E"/>
    <w:rsid w:val="00950555"/>
    <w:rsid w:val="009521CD"/>
    <w:rsid w:val="009549E4"/>
    <w:rsid w:val="00954AC4"/>
    <w:rsid w:val="00955F17"/>
    <w:rsid w:val="00955FB8"/>
    <w:rsid w:val="0095617F"/>
    <w:rsid w:val="009612A8"/>
    <w:rsid w:val="009619D1"/>
    <w:rsid w:val="00961EA5"/>
    <w:rsid w:val="009627F2"/>
    <w:rsid w:val="00963E8D"/>
    <w:rsid w:val="00966E77"/>
    <w:rsid w:val="009724E4"/>
    <w:rsid w:val="009732EC"/>
    <w:rsid w:val="00977EAF"/>
    <w:rsid w:val="00980F01"/>
    <w:rsid w:val="009821CE"/>
    <w:rsid w:val="009846FB"/>
    <w:rsid w:val="009849F1"/>
    <w:rsid w:val="009852CF"/>
    <w:rsid w:val="00991C1C"/>
    <w:rsid w:val="009927E5"/>
    <w:rsid w:val="00992A40"/>
    <w:rsid w:val="009931AA"/>
    <w:rsid w:val="0099527C"/>
    <w:rsid w:val="009959A9"/>
    <w:rsid w:val="009970EF"/>
    <w:rsid w:val="00997CE2"/>
    <w:rsid w:val="00997F17"/>
    <w:rsid w:val="009A3B8D"/>
    <w:rsid w:val="009A49FF"/>
    <w:rsid w:val="009A561F"/>
    <w:rsid w:val="009A5CDB"/>
    <w:rsid w:val="009A658F"/>
    <w:rsid w:val="009A668A"/>
    <w:rsid w:val="009A7203"/>
    <w:rsid w:val="009A7D3D"/>
    <w:rsid w:val="009B136E"/>
    <w:rsid w:val="009B1A65"/>
    <w:rsid w:val="009B3014"/>
    <w:rsid w:val="009B6C61"/>
    <w:rsid w:val="009B7528"/>
    <w:rsid w:val="009C1A65"/>
    <w:rsid w:val="009C44DD"/>
    <w:rsid w:val="009C5006"/>
    <w:rsid w:val="009C557B"/>
    <w:rsid w:val="009C5587"/>
    <w:rsid w:val="009D11C8"/>
    <w:rsid w:val="009D1D5C"/>
    <w:rsid w:val="009D22B7"/>
    <w:rsid w:val="009D28F4"/>
    <w:rsid w:val="009D3C9F"/>
    <w:rsid w:val="009D6543"/>
    <w:rsid w:val="009D750E"/>
    <w:rsid w:val="009E30B0"/>
    <w:rsid w:val="009E5C62"/>
    <w:rsid w:val="009E746C"/>
    <w:rsid w:val="009E7E12"/>
    <w:rsid w:val="009F013C"/>
    <w:rsid w:val="009F09BD"/>
    <w:rsid w:val="009F1491"/>
    <w:rsid w:val="009F3FC1"/>
    <w:rsid w:val="009F7625"/>
    <w:rsid w:val="00A01763"/>
    <w:rsid w:val="00A02FB6"/>
    <w:rsid w:val="00A04891"/>
    <w:rsid w:val="00A04E36"/>
    <w:rsid w:val="00A05859"/>
    <w:rsid w:val="00A05F5E"/>
    <w:rsid w:val="00A065FC"/>
    <w:rsid w:val="00A06F72"/>
    <w:rsid w:val="00A10F82"/>
    <w:rsid w:val="00A110F3"/>
    <w:rsid w:val="00A11A1F"/>
    <w:rsid w:val="00A14907"/>
    <w:rsid w:val="00A15194"/>
    <w:rsid w:val="00A16E03"/>
    <w:rsid w:val="00A22C70"/>
    <w:rsid w:val="00A22F86"/>
    <w:rsid w:val="00A232C3"/>
    <w:rsid w:val="00A235ED"/>
    <w:rsid w:val="00A23BA6"/>
    <w:rsid w:val="00A260CD"/>
    <w:rsid w:val="00A27163"/>
    <w:rsid w:val="00A27832"/>
    <w:rsid w:val="00A27A30"/>
    <w:rsid w:val="00A3123A"/>
    <w:rsid w:val="00A324AE"/>
    <w:rsid w:val="00A34A0A"/>
    <w:rsid w:val="00A3557E"/>
    <w:rsid w:val="00A3749B"/>
    <w:rsid w:val="00A41209"/>
    <w:rsid w:val="00A42BB1"/>
    <w:rsid w:val="00A437FA"/>
    <w:rsid w:val="00A43E01"/>
    <w:rsid w:val="00A44987"/>
    <w:rsid w:val="00A5099C"/>
    <w:rsid w:val="00A534F2"/>
    <w:rsid w:val="00A57971"/>
    <w:rsid w:val="00A61D0F"/>
    <w:rsid w:val="00A61F8F"/>
    <w:rsid w:val="00A62E42"/>
    <w:rsid w:val="00A64A71"/>
    <w:rsid w:val="00A652B8"/>
    <w:rsid w:val="00A65644"/>
    <w:rsid w:val="00A73A2D"/>
    <w:rsid w:val="00A73BA1"/>
    <w:rsid w:val="00A73BA4"/>
    <w:rsid w:val="00A745E9"/>
    <w:rsid w:val="00A74ACE"/>
    <w:rsid w:val="00A760F4"/>
    <w:rsid w:val="00A76D4D"/>
    <w:rsid w:val="00A77170"/>
    <w:rsid w:val="00A77F8D"/>
    <w:rsid w:val="00A8101A"/>
    <w:rsid w:val="00A82FF8"/>
    <w:rsid w:val="00A833AA"/>
    <w:rsid w:val="00A84BF4"/>
    <w:rsid w:val="00A84DEE"/>
    <w:rsid w:val="00A84F59"/>
    <w:rsid w:val="00A85AE0"/>
    <w:rsid w:val="00A87EC2"/>
    <w:rsid w:val="00A922FE"/>
    <w:rsid w:val="00A93F92"/>
    <w:rsid w:val="00A945E1"/>
    <w:rsid w:val="00A94E58"/>
    <w:rsid w:val="00A95430"/>
    <w:rsid w:val="00AA0156"/>
    <w:rsid w:val="00AA1833"/>
    <w:rsid w:val="00AA4310"/>
    <w:rsid w:val="00AA6C1C"/>
    <w:rsid w:val="00AB06C8"/>
    <w:rsid w:val="00AB074D"/>
    <w:rsid w:val="00AB1AB8"/>
    <w:rsid w:val="00AB2BB7"/>
    <w:rsid w:val="00AB6791"/>
    <w:rsid w:val="00AB7720"/>
    <w:rsid w:val="00AC2181"/>
    <w:rsid w:val="00AC3227"/>
    <w:rsid w:val="00AC32DA"/>
    <w:rsid w:val="00AC33EB"/>
    <w:rsid w:val="00AC4DAE"/>
    <w:rsid w:val="00AC5183"/>
    <w:rsid w:val="00AC72D3"/>
    <w:rsid w:val="00AD07EA"/>
    <w:rsid w:val="00AD3591"/>
    <w:rsid w:val="00AD434E"/>
    <w:rsid w:val="00AD6E8D"/>
    <w:rsid w:val="00AD7B8F"/>
    <w:rsid w:val="00AE277D"/>
    <w:rsid w:val="00AE2CAD"/>
    <w:rsid w:val="00AE2EE0"/>
    <w:rsid w:val="00AE2F90"/>
    <w:rsid w:val="00AE53F0"/>
    <w:rsid w:val="00AE5A3B"/>
    <w:rsid w:val="00AE67B2"/>
    <w:rsid w:val="00AE718C"/>
    <w:rsid w:val="00AF32DC"/>
    <w:rsid w:val="00AF5307"/>
    <w:rsid w:val="00B02491"/>
    <w:rsid w:val="00B05C23"/>
    <w:rsid w:val="00B06238"/>
    <w:rsid w:val="00B14704"/>
    <w:rsid w:val="00B14E3E"/>
    <w:rsid w:val="00B155D2"/>
    <w:rsid w:val="00B157A2"/>
    <w:rsid w:val="00B20397"/>
    <w:rsid w:val="00B20A95"/>
    <w:rsid w:val="00B213E6"/>
    <w:rsid w:val="00B22F73"/>
    <w:rsid w:val="00B23C18"/>
    <w:rsid w:val="00B3117A"/>
    <w:rsid w:val="00B3149D"/>
    <w:rsid w:val="00B34DAD"/>
    <w:rsid w:val="00B35B28"/>
    <w:rsid w:val="00B35CA0"/>
    <w:rsid w:val="00B36DC0"/>
    <w:rsid w:val="00B373FC"/>
    <w:rsid w:val="00B40B02"/>
    <w:rsid w:val="00B43233"/>
    <w:rsid w:val="00B43AFC"/>
    <w:rsid w:val="00B47692"/>
    <w:rsid w:val="00B50AA2"/>
    <w:rsid w:val="00B50B6F"/>
    <w:rsid w:val="00B5458F"/>
    <w:rsid w:val="00B54F80"/>
    <w:rsid w:val="00B57172"/>
    <w:rsid w:val="00B62375"/>
    <w:rsid w:val="00B6358D"/>
    <w:rsid w:val="00B70248"/>
    <w:rsid w:val="00B71059"/>
    <w:rsid w:val="00B715E6"/>
    <w:rsid w:val="00B73820"/>
    <w:rsid w:val="00B751E5"/>
    <w:rsid w:val="00B754F4"/>
    <w:rsid w:val="00B76D24"/>
    <w:rsid w:val="00B770FF"/>
    <w:rsid w:val="00B81F3C"/>
    <w:rsid w:val="00B82612"/>
    <w:rsid w:val="00B82BD6"/>
    <w:rsid w:val="00B82EF9"/>
    <w:rsid w:val="00B83440"/>
    <w:rsid w:val="00B84C44"/>
    <w:rsid w:val="00B85E72"/>
    <w:rsid w:val="00B85F47"/>
    <w:rsid w:val="00B860F2"/>
    <w:rsid w:val="00B86968"/>
    <w:rsid w:val="00B87927"/>
    <w:rsid w:val="00B87B8A"/>
    <w:rsid w:val="00B87C91"/>
    <w:rsid w:val="00B92619"/>
    <w:rsid w:val="00B93592"/>
    <w:rsid w:val="00B94E33"/>
    <w:rsid w:val="00B9547D"/>
    <w:rsid w:val="00B95D73"/>
    <w:rsid w:val="00B969B0"/>
    <w:rsid w:val="00BA093B"/>
    <w:rsid w:val="00BA0AAE"/>
    <w:rsid w:val="00BA12E7"/>
    <w:rsid w:val="00BA7EEE"/>
    <w:rsid w:val="00BB1D61"/>
    <w:rsid w:val="00BB4D03"/>
    <w:rsid w:val="00BB5D49"/>
    <w:rsid w:val="00BB6CC1"/>
    <w:rsid w:val="00BC11D8"/>
    <w:rsid w:val="00BC3FE6"/>
    <w:rsid w:val="00BC5420"/>
    <w:rsid w:val="00BC72FF"/>
    <w:rsid w:val="00BD11D3"/>
    <w:rsid w:val="00BD5650"/>
    <w:rsid w:val="00BD58B8"/>
    <w:rsid w:val="00BE04CB"/>
    <w:rsid w:val="00BE0C5E"/>
    <w:rsid w:val="00BE2500"/>
    <w:rsid w:val="00BE4AB1"/>
    <w:rsid w:val="00BE5255"/>
    <w:rsid w:val="00BE545C"/>
    <w:rsid w:val="00BF3AC8"/>
    <w:rsid w:val="00BF3EA1"/>
    <w:rsid w:val="00BF49AA"/>
    <w:rsid w:val="00BF4B7B"/>
    <w:rsid w:val="00BF74C3"/>
    <w:rsid w:val="00BF7C7E"/>
    <w:rsid w:val="00BF7CAA"/>
    <w:rsid w:val="00C00E50"/>
    <w:rsid w:val="00C012CB"/>
    <w:rsid w:val="00C02A94"/>
    <w:rsid w:val="00C03C44"/>
    <w:rsid w:val="00C04F46"/>
    <w:rsid w:val="00C051A1"/>
    <w:rsid w:val="00C068EB"/>
    <w:rsid w:val="00C12B80"/>
    <w:rsid w:val="00C159A3"/>
    <w:rsid w:val="00C16D15"/>
    <w:rsid w:val="00C21916"/>
    <w:rsid w:val="00C259C1"/>
    <w:rsid w:val="00C2704A"/>
    <w:rsid w:val="00C27A78"/>
    <w:rsid w:val="00C30297"/>
    <w:rsid w:val="00C34436"/>
    <w:rsid w:val="00C3539F"/>
    <w:rsid w:val="00C3552C"/>
    <w:rsid w:val="00C35E84"/>
    <w:rsid w:val="00C37507"/>
    <w:rsid w:val="00C417E2"/>
    <w:rsid w:val="00C46EE3"/>
    <w:rsid w:val="00C47764"/>
    <w:rsid w:val="00C51719"/>
    <w:rsid w:val="00C518BB"/>
    <w:rsid w:val="00C522FE"/>
    <w:rsid w:val="00C54DC8"/>
    <w:rsid w:val="00C54E4E"/>
    <w:rsid w:val="00C61DAE"/>
    <w:rsid w:val="00C62A85"/>
    <w:rsid w:val="00C63256"/>
    <w:rsid w:val="00C64F68"/>
    <w:rsid w:val="00C663AB"/>
    <w:rsid w:val="00C73436"/>
    <w:rsid w:val="00C7387A"/>
    <w:rsid w:val="00C746AE"/>
    <w:rsid w:val="00C76516"/>
    <w:rsid w:val="00C81843"/>
    <w:rsid w:val="00C839FC"/>
    <w:rsid w:val="00C85314"/>
    <w:rsid w:val="00C93CFA"/>
    <w:rsid w:val="00CA0B39"/>
    <w:rsid w:val="00CA41E5"/>
    <w:rsid w:val="00CA46D6"/>
    <w:rsid w:val="00CA4BC0"/>
    <w:rsid w:val="00CA5398"/>
    <w:rsid w:val="00CA639A"/>
    <w:rsid w:val="00CA740E"/>
    <w:rsid w:val="00CB09C4"/>
    <w:rsid w:val="00CB0BB1"/>
    <w:rsid w:val="00CB2B00"/>
    <w:rsid w:val="00CB31F1"/>
    <w:rsid w:val="00CB4E38"/>
    <w:rsid w:val="00CB5CC4"/>
    <w:rsid w:val="00CC00A0"/>
    <w:rsid w:val="00CC559D"/>
    <w:rsid w:val="00CC7E64"/>
    <w:rsid w:val="00CD052F"/>
    <w:rsid w:val="00CD3989"/>
    <w:rsid w:val="00CD52CC"/>
    <w:rsid w:val="00CD630E"/>
    <w:rsid w:val="00CD654B"/>
    <w:rsid w:val="00CD6BD4"/>
    <w:rsid w:val="00CE0627"/>
    <w:rsid w:val="00CE1ADF"/>
    <w:rsid w:val="00CE2234"/>
    <w:rsid w:val="00CE223E"/>
    <w:rsid w:val="00CE430A"/>
    <w:rsid w:val="00CE432A"/>
    <w:rsid w:val="00CE5B0C"/>
    <w:rsid w:val="00CE60F1"/>
    <w:rsid w:val="00CE6216"/>
    <w:rsid w:val="00CE74EA"/>
    <w:rsid w:val="00CF41BF"/>
    <w:rsid w:val="00CF5EAC"/>
    <w:rsid w:val="00CF70DF"/>
    <w:rsid w:val="00CF7259"/>
    <w:rsid w:val="00CF7DA9"/>
    <w:rsid w:val="00D00EB0"/>
    <w:rsid w:val="00D01C0B"/>
    <w:rsid w:val="00D04C88"/>
    <w:rsid w:val="00D04D77"/>
    <w:rsid w:val="00D065AF"/>
    <w:rsid w:val="00D06DE7"/>
    <w:rsid w:val="00D07F4A"/>
    <w:rsid w:val="00D116EC"/>
    <w:rsid w:val="00D1298F"/>
    <w:rsid w:val="00D13CE2"/>
    <w:rsid w:val="00D145F5"/>
    <w:rsid w:val="00D2086C"/>
    <w:rsid w:val="00D21DA4"/>
    <w:rsid w:val="00D235B7"/>
    <w:rsid w:val="00D23DEE"/>
    <w:rsid w:val="00D23E02"/>
    <w:rsid w:val="00D24123"/>
    <w:rsid w:val="00D355F0"/>
    <w:rsid w:val="00D37B6B"/>
    <w:rsid w:val="00D4154A"/>
    <w:rsid w:val="00D45A76"/>
    <w:rsid w:val="00D45AF8"/>
    <w:rsid w:val="00D45E86"/>
    <w:rsid w:val="00D5159D"/>
    <w:rsid w:val="00D51C05"/>
    <w:rsid w:val="00D53C4B"/>
    <w:rsid w:val="00D566BB"/>
    <w:rsid w:val="00D575DB"/>
    <w:rsid w:val="00D57A32"/>
    <w:rsid w:val="00D60206"/>
    <w:rsid w:val="00D60CEA"/>
    <w:rsid w:val="00D65211"/>
    <w:rsid w:val="00D657AC"/>
    <w:rsid w:val="00D72DF4"/>
    <w:rsid w:val="00D7348F"/>
    <w:rsid w:val="00D74E9A"/>
    <w:rsid w:val="00D7641E"/>
    <w:rsid w:val="00D76DB3"/>
    <w:rsid w:val="00D819B4"/>
    <w:rsid w:val="00D819E3"/>
    <w:rsid w:val="00D83BD9"/>
    <w:rsid w:val="00D83F3F"/>
    <w:rsid w:val="00D95FB9"/>
    <w:rsid w:val="00DA14D5"/>
    <w:rsid w:val="00DA2789"/>
    <w:rsid w:val="00DA37D1"/>
    <w:rsid w:val="00DA686B"/>
    <w:rsid w:val="00DB3F56"/>
    <w:rsid w:val="00DB42E7"/>
    <w:rsid w:val="00DB6096"/>
    <w:rsid w:val="00DB656A"/>
    <w:rsid w:val="00DB6C07"/>
    <w:rsid w:val="00DB7049"/>
    <w:rsid w:val="00DB7498"/>
    <w:rsid w:val="00DB7F09"/>
    <w:rsid w:val="00DC00E8"/>
    <w:rsid w:val="00DC0175"/>
    <w:rsid w:val="00DC034B"/>
    <w:rsid w:val="00DC3B91"/>
    <w:rsid w:val="00DD1032"/>
    <w:rsid w:val="00DD32A7"/>
    <w:rsid w:val="00DD7FAE"/>
    <w:rsid w:val="00DE12A9"/>
    <w:rsid w:val="00DE1762"/>
    <w:rsid w:val="00DE258E"/>
    <w:rsid w:val="00DE7234"/>
    <w:rsid w:val="00DF01E8"/>
    <w:rsid w:val="00DF1249"/>
    <w:rsid w:val="00DF135C"/>
    <w:rsid w:val="00DF2C8E"/>
    <w:rsid w:val="00DF4A94"/>
    <w:rsid w:val="00DF58DA"/>
    <w:rsid w:val="00DF70AA"/>
    <w:rsid w:val="00DF7E8B"/>
    <w:rsid w:val="00E00CA8"/>
    <w:rsid w:val="00E02538"/>
    <w:rsid w:val="00E025D5"/>
    <w:rsid w:val="00E03FDC"/>
    <w:rsid w:val="00E0639E"/>
    <w:rsid w:val="00E10D39"/>
    <w:rsid w:val="00E111B4"/>
    <w:rsid w:val="00E1136B"/>
    <w:rsid w:val="00E13E90"/>
    <w:rsid w:val="00E1513C"/>
    <w:rsid w:val="00E170FD"/>
    <w:rsid w:val="00E173F3"/>
    <w:rsid w:val="00E20B8F"/>
    <w:rsid w:val="00E22D51"/>
    <w:rsid w:val="00E232C6"/>
    <w:rsid w:val="00E232EF"/>
    <w:rsid w:val="00E23941"/>
    <w:rsid w:val="00E256A3"/>
    <w:rsid w:val="00E27429"/>
    <w:rsid w:val="00E27A71"/>
    <w:rsid w:val="00E30C72"/>
    <w:rsid w:val="00E32421"/>
    <w:rsid w:val="00E343FC"/>
    <w:rsid w:val="00E35FA1"/>
    <w:rsid w:val="00E46ED4"/>
    <w:rsid w:val="00E5046B"/>
    <w:rsid w:val="00E508FA"/>
    <w:rsid w:val="00E50E7C"/>
    <w:rsid w:val="00E51545"/>
    <w:rsid w:val="00E51AA8"/>
    <w:rsid w:val="00E55326"/>
    <w:rsid w:val="00E55E9D"/>
    <w:rsid w:val="00E57770"/>
    <w:rsid w:val="00E61C15"/>
    <w:rsid w:val="00E64AFE"/>
    <w:rsid w:val="00E66480"/>
    <w:rsid w:val="00E671E7"/>
    <w:rsid w:val="00E67463"/>
    <w:rsid w:val="00E711D7"/>
    <w:rsid w:val="00E72E25"/>
    <w:rsid w:val="00E73A78"/>
    <w:rsid w:val="00E75BFD"/>
    <w:rsid w:val="00E7711A"/>
    <w:rsid w:val="00E7775E"/>
    <w:rsid w:val="00E80856"/>
    <w:rsid w:val="00E81A40"/>
    <w:rsid w:val="00E8202B"/>
    <w:rsid w:val="00E82D9E"/>
    <w:rsid w:val="00E837DE"/>
    <w:rsid w:val="00E83F4E"/>
    <w:rsid w:val="00E84968"/>
    <w:rsid w:val="00E87954"/>
    <w:rsid w:val="00E87A23"/>
    <w:rsid w:val="00E902B0"/>
    <w:rsid w:val="00E902E8"/>
    <w:rsid w:val="00E90B8C"/>
    <w:rsid w:val="00E918E6"/>
    <w:rsid w:val="00E95507"/>
    <w:rsid w:val="00E96DD6"/>
    <w:rsid w:val="00E9728E"/>
    <w:rsid w:val="00EA08C9"/>
    <w:rsid w:val="00EA0A7A"/>
    <w:rsid w:val="00EB030F"/>
    <w:rsid w:val="00EB0905"/>
    <w:rsid w:val="00EB610D"/>
    <w:rsid w:val="00EB7D50"/>
    <w:rsid w:val="00EC3558"/>
    <w:rsid w:val="00EC6B16"/>
    <w:rsid w:val="00EC78AB"/>
    <w:rsid w:val="00ED011A"/>
    <w:rsid w:val="00ED14FB"/>
    <w:rsid w:val="00ED21AE"/>
    <w:rsid w:val="00ED31FA"/>
    <w:rsid w:val="00ED43FE"/>
    <w:rsid w:val="00EE03AF"/>
    <w:rsid w:val="00EE12A5"/>
    <w:rsid w:val="00EE323D"/>
    <w:rsid w:val="00EE6532"/>
    <w:rsid w:val="00EE677F"/>
    <w:rsid w:val="00EF0C25"/>
    <w:rsid w:val="00EF20CD"/>
    <w:rsid w:val="00EF2FBF"/>
    <w:rsid w:val="00EF4AA5"/>
    <w:rsid w:val="00EF5265"/>
    <w:rsid w:val="00F000EC"/>
    <w:rsid w:val="00F0082D"/>
    <w:rsid w:val="00F02277"/>
    <w:rsid w:val="00F02B92"/>
    <w:rsid w:val="00F03462"/>
    <w:rsid w:val="00F042B7"/>
    <w:rsid w:val="00F0527C"/>
    <w:rsid w:val="00F07C90"/>
    <w:rsid w:val="00F117E2"/>
    <w:rsid w:val="00F11898"/>
    <w:rsid w:val="00F119C5"/>
    <w:rsid w:val="00F12256"/>
    <w:rsid w:val="00F12DA2"/>
    <w:rsid w:val="00F14652"/>
    <w:rsid w:val="00F17AEC"/>
    <w:rsid w:val="00F20264"/>
    <w:rsid w:val="00F20469"/>
    <w:rsid w:val="00F24F39"/>
    <w:rsid w:val="00F26968"/>
    <w:rsid w:val="00F30C07"/>
    <w:rsid w:val="00F347A4"/>
    <w:rsid w:val="00F40C72"/>
    <w:rsid w:val="00F41D7E"/>
    <w:rsid w:val="00F42CAA"/>
    <w:rsid w:val="00F43C18"/>
    <w:rsid w:val="00F51F16"/>
    <w:rsid w:val="00F55D80"/>
    <w:rsid w:val="00F60F84"/>
    <w:rsid w:val="00F65012"/>
    <w:rsid w:val="00F6524C"/>
    <w:rsid w:val="00F6634E"/>
    <w:rsid w:val="00F66B9F"/>
    <w:rsid w:val="00F66BE7"/>
    <w:rsid w:val="00F71A0E"/>
    <w:rsid w:val="00F751E1"/>
    <w:rsid w:val="00F76C5E"/>
    <w:rsid w:val="00F85C70"/>
    <w:rsid w:val="00F90BD3"/>
    <w:rsid w:val="00F90E37"/>
    <w:rsid w:val="00F91A91"/>
    <w:rsid w:val="00F92279"/>
    <w:rsid w:val="00F92AC4"/>
    <w:rsid w:val="00F93BE9"/>
    <w:rsid w:val="00F951D3"/>
    <w:rsid w:val="00F95879"/>
    <w:rsid w:val="00F96573"/>
    <w:rsid w:val="00F9682C"/>
    <w:rsid w:val="00FA0BF6"/>
    <w:rsid w:val="00FA0C27"/>
    <w:rsid w:val="00FA2563"/>
    <w:rsid w:val="00FA3196"/>
    <w:rsid w:val="00FA4A3E"/>
    <w:rsid w:val="00FA53F3"/>
    <w:rsid w:val="00FA5831"/>
    <w:rsid w:val="00FB3C2A"/>
    <w:rsid w:val="00FB64AA"/>
    <w:rsid w:val="00FB66A9"/>
    <w:rsid w:val="00FB6E9A"/>
    <w:rsid w:val="00FB7308"/>
    <w:rsid w:val="00FC5743"/>
    <w:rsid w:val="00FC5961"/>
    <w:rsid w:val="00FC5E7D"/>
    <w:rsid w:val="00FC6297"/>
    <w:rsid w:val="00FC6ADA"/>
    <w:rsid w:val="00FD4A4D"/>
    <w:rsid w:val="00FD4BCD"/>
    <w:rsid w:val="00FD5896"/>
    <w:rsid w:val="00FD796D"/>
    <w:rsid w:val="00FE2C05"/>
    <w:rsid w:val="00FE3AB0"/>
    <w:rsid w:val="00FE3EF5"/>
    <w:rsid w:val="00FE62F0"/>
    <w:rsid w:val="00FE6BD8"/>
    <w:rsid w:val="00FF4DDA"/>
    <w:rsid w:val="00FF5D86"/>
    <w:rsid w:val="00FF5EBA"/>
    <w:rsid w:val="00FF727C"/>
    <w:rsid w:val="00FF75D8"/>
    <w:rsid w:val="01DF49B8"/>
    <w:rsid w:val="0A050697"/>
    <w:rsid w:val="22BD5C45"/>
    <w:rsid w:val="37B6962E"/>
    <w:rsid w:val="395A5659"/>
    <w:rsid w:val="39F128F0"/>
    <w:rsid w:val="3EE2375B"/>
    <w:rsid w:val="47BB8165"/>
    <w:rsid w:val="55392931"/>
    <w:rsid w:val="5893BC9E"/>
    <w:rsid w:val="67B5793A"/>
    <w:rsid w:val="7F442F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uiPriority w:val="9"/>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uiPriority w:val="9"/>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spacing w:before="0"/>
      <w:ind w:left="720" w:hanging="36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level 1,Bullet + line"/>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5"/>
      </w:numPr>
      <w:spacing w:before="0"/>
    </w:pPr>
  </w:style>
  <w:style w:type="paragraph" w:customStyle="1" w:styleId="OneLevelNumberedParagraph">
    <w:name w:val="One Level Numbered Paragraph"/>
    <w:basedOn w:val="Normal"/>
    <w:rsid w:val="008043EA"/>
    <w:pPr>
      <w:numPr>
        <w:numId w:val="3"/>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5"/>
      </w:numPr>
      <w:spacing w:before="0"/>
    </w:pPr>
  </w:style>
  <w:style w:type="paragraph" w:customStyle="1" w:styleId="OutlineNumbered3">
    <w:name w:val="Outline Numbered 3"/>
    <w:basedOn w:val="Normal"/>
    <w:rsid w:val="008043EA"/>
    <w:pPr>
      <w:numPr>
        <w:ilvl w:val="2"/>
        <w:numId w:val="15"/>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 line Char Char,b Char,b Char Char,b1 Char,b + line Char,Body Char,level 1 Char,L Char,List Paragraph1 Char,List Paragraph11 Char,Number Char,Recommendation Char,Bullet + line Char,List Paragraph2 Char,Bullets Char,List Paragraph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Crest">
    <w:name w:val="Crest"/>
    <w:basedOn w:val="Header"/>
    <w:rsid w:val="00A10F82"/>
    <w:pPr>
      <w:spacing w:after="480"/>
      <w:jc w:val="center"/>
    </w:pPr>
    <w:rPr>
      <w:color w:val="000000" w:themeColor="text1"/>
    </w:rPr>
  </w:style>
  <w:style w:type="character" w:styleId="CommentReference">
    <w:name w:val="annotation reference"/>
    <w:basedOn w:val="DefaultParagraphFont"/>
    <w:uiPriority w:val="99"/>
    <w:semiHidden/>
    <w:unhideWhenUsed/>
    <w:rsid w:val="003C0FE1"/>
    <w:rPr>
      <w:sz w:val="16"/>
      <w:szCs w:val="16"/>
    </w:rPr>
  </w:style>
  <w:style w:type="paragraph" w:styleId="CommentText">
    <w:name w:val="annotation text"/>
    <w:basedOn w:val="Normal"/>
    <w:link w:val="CommentTextChar"/>
    <w:uiPriority w:val="99"/>
    <w:unhideWhenUsed/>
    <w:rsid w:val="003C0FE1"/>
    <w:rPr>
      <w:sz w:val="20"/>
    </w:rPr>
  </w:style>
  <w:style w:type="character" w:customStyle="1" w:styleId="CommentTextChar">
    <w:name w:val="Comment Text Char"/>
    <w:basedOn w:val="DefaultParagraphFont"/>
    <w:link w:val="CommentText"/>
    <w:uiPriority w:val="99"/>
    <w:rsid w:val="003C0FE1"/>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C0FE1"/>
    <w:rPr>
      <w:b/>
      <w:bCs/>
    </w:rPr>
  </w:style>
  <w:style w:type="character" w:customStyle="1" w:styleId="CommentSubjectChar">
    <w:name w:val="Comment Subject Char"/>
    <w:basedOn w:val="CommentTextChar"/>
    <w:link w:val="CommentSubject"/>
    <w:uiPriority w:val="99"/>
    <w:semiHidden/>
    <w:rsid w:val="003C0FE1"/>
    <w:rPr>
      <w:rFonts w:ascii="Calibri Light" w:eastAsia="Times New Roman" w:hAnsi="Calibri Light" w:cs="Times New Roman"/>
      <w:b/>
      <w:bCs/>
      <w:sz w:val="20"/>
      <w:szCs w:val="20"/>
      <w:lang w:eastAsia="en-AU"/>
    </w:rPr>
  </w:style>
  <w:style w:type="paragraph" w:styleId="ListParagraph">
    <w:name w:val="List Paragraph"/>
    <w:basedOn w:val="Normal"/>
    <w:uiPriority w:val="34"/>
    <w:rsid w:val="003C0FE1"/>
    <w:pPr>
      <w:ind w:left="720"/>
      <w:contextualSpacing/>
    </w:pPr>
  </w:style>
  <w:style w:type="character" w:styleId="FollowedHyperlink">
    <w:name w:val="FollowedHyperlink"/>
    <w:basedOn w:val="DefaultParagraphFont"/>
    <w:uiPriority w:val="99"/>
    <w:semiHidden/>
    <w:unhideWhenUsed/>
    <w:rsid w:val="00CB4E38"/>
    <w:rPr>
      <w:color w:val="844D9E" w:themeColor="followedHyperlink"/>
      <w:u w:val="single"/>
    </w:rPr>
  </w:style>
  <w:style w:type="paragraph" w:styleId="Revision">
    <w:name w:val="Revision"/>
    <w:hidden/>
    <w:uiPriority w:val="99"/>
    <w:semiHidden/>
    <w:rsid w:val="00B05C23"/>
    <w:pPr>
      <w:spacing w:after="0" w:line="240" w:lineRule="auto"/>
    </w:pPr>
    <w:rPr>
      <w:rFonts w:ascii="Calibri Light" w:eastAsia="Times New Roman" w:hAnsi="Calibri Light" w:cs="Times New Roman"/>
      <w:szCs w:val="20"/>
      <w:lang w:eastAsia="en-AU"/>
    </w:rPr>
  </w:style>
  <w:style w:type="paragraph" w:customStyle="1" w:styleId="SecurityClassificationHeader">
    <w:name w:val="Security Classification Header"/>
    <w:link w:val="SecurityClassificationHeaderChar"/>
    <w:rsid w:val="00B82612"/>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B82612"/>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B82612"/>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B82612"/>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B82612"/>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B82612"/>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B82612"/>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B82612"/>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DB749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763295">
      <w:bodyDiv w:val="1"/>
      <w:marLeft w:val="0"/>
      <w:marRight w:val="0"/>
      <w:marTop w:val="0"/>
      <w:marBottom w:val="0"/>
      <w:divBdr>
        <w:top w:val="none" w:sz="0" w:space="0" w:color="auto"/>
        <w:left w:val="none" w:sz="0" w:space="0" w:color="auto"/>
        <w:bottom w:val="none" w:sz="0" w:space="0" w:color="auto"/>
        <w:right w:val="none" w:sz="0" w:space="0" w:color="auto"/>
      </w:divBdr>
    </w:div>
    <w:div w:id="1328705799">
      <w:bodyDiv w:val="1"/>
      <w:marLeft w:val="0"/>
      <w:marRight w:val="0"/>
      <w:marTop w:val="0"/>
      <w:marBottom w:val="0"/>
      <w:divBdr>
        <w:top w:val="none" w:sz="0" w:space="0" w:color="auto"/>
        <w:left w:val="none" w:sz="0" w:space="0" w:color="auto"/>
        <w:bottom w:val="none" w:sz="0" w:space="0" w:color="auto"/>
        <w:right w:val="none" w:sz="0" w:space="0" w:color="auto"/>
      </w:divBdr>
    </w:div>
    <w:div w:id="14294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pmc.gov.au/government/commonwealth-coat-arm"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creativecommons.org/licenses/by/3.0/au/deed.en"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mailto:media@treasury.gov.a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creativecommons.org/licenses/by/3.0/au/deed.en"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your-future-your-super-performance-test" TargetMode="External"/><Relationship Id="rId2" Type="http://schemas.openxmlformats.org/officeDocument/2006/relationships/hyperlink" Target="https://www.apra.gov.au/news-and-publications/apra-releases-2022-mysuper-performance-test-results" TargetMode="External"/><Relationship Id="rId1" Type="http://schemas.openxmlformats.org/officeDocument/2006/relationships/hyperlink" Target="https://www.apra.gov.au/your-future-your-super-performance-test" TargetMode="External"/><Relationship Id="rId4" Type="http://schemas.openxmlformats.org/officeDocument/2006/relationships/hyperlink" Target="https://www.ato.gov.au/YourSuper-Comparison-Too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B0DA7D87A240E2981156C326608D75"/>
        <w:category>
          <w:name w:val="General"/>
          <w:gallery w:val="placeholder"/>
        </w:category>
        <w:types>
          <w:type w:val="bbPlcHdr"/>
        </w:types>
        <w:behaviors>
          <w:behavior w:val="content"/>
        </w:behaviors>
        <w:guid w:val="{367C0434-CD1C-418F-93FD-D379DE1D6373}"/>
      </w:docPartPr>
      <w:docPartBody>
        <w:p w:rsidR="00ED4822" w:rsidRDefault="00584675" w:rsidP="00584675">
          <w:pPr>
            <w:pStyle w:val="B1B0DA7D87A240E2981156C326608D75"/>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FF"/>
    <w:rsid w:val="0001746C"/>
    <w:rsid w:val="000C59FF"/>
    <w:rsid w:val="000E2057"/>
    <w:rsid w:val="000E406B"/>
    <w:rsid w:val="0034062F"/>
    <w:rsid w:val="003A10BC"/>
    <w:rsid w:val="004A019F"/>
    <w:rsid w:val="004C1A39"/>
    <w:rsid w:val="00584675"/>
    <w:rsid w:val="005E2BC0"/>
    <w:rsid w:val="00605A19"/>
    <w:rsid w:val="00607B2A"/>
    <w:rsid w:val="00645893"/>
    <w:rsid w:val="00647A6D"/>
    <w:rsid w:val="00647CA9"/>
    <w:rsid w:val="0069307C"/>
    <w:rsid w:val="00823E4E"/>
    <w:rsid w:val="00946DE1"/>
    <w:rsid w:val="00975198"/>
    <w:rsid w:val="009C33BE"/>
    <w:rsid w:val="009D4C58"/>
    <w:rsid w:val="00B132E3"/>
    <w:rsid w:val="00B25195"/>
    <w:rsid w:val="00B86F63"/>
    <w:rsid w:val="00C96C12"/>
    <w:rsid w:val="00D04130"/>
    <w:rsid w:val="00DC5CEB"/>
    <w:rsid w:val="00DD309F"/>
    <w:rsid w:val="00E300E8"/>
    <w:rsid w:val="00E45E48"/>
    <w:rsid w:val="00E626A8"/>
    <w:rsid w:val="00ED4822"/>
    <w:rsid w:val="00F44640"/>
    <w:rsid w:val="00F8685E"/>
    <w:rsid w:val="00FE3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73134A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675"/>
    <w:rPr>
      <w:color w:val="808080"/>
    </w:rPr>
  </w:style>
  <w:style w:type="paragraph" w:customStyle="1" w:styleId="B1B0DA7D87A240E2981156C326608D75">
    <w:name w:val="B1B0DA7D87A240E2981156C326608D75"/>
    <w:rsid w:val="00584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29186</CharactersWithSpaces>
  <SharedDoc>false</SharedDoc>
  <HLinks>
    <vt:vector size="120" baseType="variant">
      <vt:variant>
        <vt:i4>1441840</vt:i4>
      </vt:variant>
      <vt:variant>
        <vt:i4>77</vt:i4>
      </vt:variant>
      <vt:variant>
        <vt:i4>0</vt:i4>
      </vt:variant>
      <vt:variant>
        <vt:i4>5</vt:i4>
      </vt:variant>
      <vt:variant>
        <vt:lpwstr/>
      </vt:variant>
      <vt:variant>
        <vt:lpwstr>_Toc112401355</vt:lpwstr>
      </vt:variant>
      <vt:variant>
        <vt:i4>1441840</vt:i4>
      </vt:variant>
      <vt:variant>
        <vt:i4>71</vt:i4>
      </vt:variant>
      <vt:variant>
        <vt:i4>0</vt:i4>
      </vt:variant>
      <vt:variant>
        <vt:i4>5</vt:i4>
      </vt:variant>
      <vt:variant>
        <vt:lpwstr/>
      </vt:variant>
      <vt:variant>
        <vt:lpwstr>_Toc112401354</vt:lpwstr>
      </vt:variant>
      <vt:variant>
        <vt:i4>1441840</vt:i4>
      </vt:variant>
      <vt:variant>
        <vt:i4>65</vt:i4>
      </vt:variant>
      <vt:variant>
        <vt:i4>0</vt:i4>
      </vt:variant>
      <vt:variant>
        <vt:i4>5</vt:i4>
      </vt:variant>
      <vt:variant>
        <vt:lpwstr/>
      </vt:variant>
      <vt:variant>
        <vt:lpwstr>_Toc112401353</vt:lpwstr>
      </vt:variant>
      <vt:variant>
        <vt:i4>1441840</vt:i4>
      </vt:variant>
      <vt:variant>
        <vt:i4>59</vt:i4>
      </vt:variant>
      <vt:variant>
        <vt:i4>0</vt:i4>
      </vt:variant>
      <vt:variant>
        <vt:i4>5</vt:i4>
      </vt:variant>
      <vt:variant>
        <vt:lpwstr/>
      </vt:variant>
      <vt:variant>
        <vt:lpwstr>_Toc112401352</vt:lpwstr>
      </vt:variant>
      <vt:variant>
        <vt:i4>1441840</vt:i4>
      </vt:variant>
      <vt:variant>
        <vt:i4>53</vt:i4>
      </vt:variant>
      <vt:variant>
        <vt:i4>0</vt:i4>
      </vt:variant>
      <vt:variant>
        <vt:i4>5</vt:i4>
      </vt:variant>
      <vt:variant>
        <vt:lpwstr/>
      </vt:variant>
      <vt:variant>
        <vt:lpwstr>_Toc112401351</vt:lpwstr>
      </vt:variant>
      <vt:variant>
        <vt:i4>1441840</vt:i4>
      </vt:variant>
      <vt:variant>
        <vt:i4>47</vt:i4>
      </vt:variant>
      <vt:variant>
        <vt:i4>0</vt:i4>
      </vt:variant>
      <vt:variant>
        <vt:i4>5</vt:i4>
      </vt:variant>
      <vt:variant>
        <vt:lpwstr/>
      </vt:variant>
      <vt:variant>
        <vt:lpwstr>_Toc112401350</vt:lpwstr>
      </vt:variant>
      <vt:variant>
        <vt:i4>1507376</vt:i4>
      </vt:variant>
      <vt:variant>
        <vt:i4>41</vt:i4>
      </vt:variant>
      <vt:variant>
        <vt:i4>0</vt:i4>
      </vt:variant>
      <vt:variant>
        <vt:i4>5</vt:i4>
      </vt:variant>
      <vt:variant>
        <vt:lpwstr/>
      </vt:variant>
      <vt:variant>
        <vt:lpwstr>_Toc112401349</vt:lpwstr>
      </vt:variant>
      <vt:variant>
        <vt:i4>1507376</vt:i4>
      </vt:variant>
      <vt:variant>
        <vt:i4>35</vt:i4>
      </vt:variant>
      <vt:variant>
        <vt:i4>0</vt:i4>
      </vt:variant>
      <vt:variant>
        <vt:i4>5</vt:i4>
      </vt:variant>
      <vt:variant>
        <vt:lpwstr/>
      </vt:variant>
      <vt:variant>
        <vt:lpwstr>_Toc112401348</vt:lpwstr>
      </vt:variant>
      <vt:variant>
        <vt:i4>1507376</vt:i4>
      </vt:variant>
      <vt:variant>
        <vt:i4>29</vt:i4>
      </vt:variant>
      <vt:variant>
        <vt:i4>0</vt:i4>
      </vt:variant>
      <vt:variant>
        <vt:i4>5</vt:i4>
      </vt:variant>
      <vt:variant>
        <vt:lpwstr/>
      </vt:variant>
      <vt:variant>
        <vt:lpwstr>_Toc112401347</vt:lpwstr>
      </vt:variant>
      <vt:variant>
        <vt:i4>1507376</vt:i4>
      </vt:variant>
      <vt:variant>
        <vt:i4>23</vt:i4>
      </vt:variant>
      <vt:variant>
        <vt:i4>0</vt:i4>
      </vt:variant>
      <vt:variant>
        <vt:i4>5</vt:i4>
      </vt:variant>
      <vt:variant>
        <vt:lpwstr/>
      </vt:variant>
      <vt:variant>
        <vt:lpwstr>_Toc112401346</vt:lpwstr>
      </vt:variant>
      <vt:variant>
        <vt:i4>1507376</vt:i4>
      </vt:variant>
      <vt:variant>
        <vt:i4>17</vt:i4>
      </vt:variant>
      <vt:variant>
        <vt:i4>0</vt:i4>
      </vt:variant>
      <vt:variant>
        <vt:i4>5</vt:i4>
      </vt:variant>
      <vt:variant>
        <vt:lpwstr/>
      </vt:variant>
      <vt:variant>
        <vt:lpwstr>_Toc112401345</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1835098</vt:i4>
      </vt:variant>
      <vt:variant>
        <vt:i4>9</vt:i4>
      </vt:variant>
      <vt:variant>
        <vt:i4>0</vt:i4>
      </vt:variant>
      <vt:variant>
        <vt:i4>5</vt:i4>
      </vt:variant>
      <vt:variant>
        <vt:lpwstr>https://www.ato.gov.au/YourSuper-Comparison-Tool/</vt:lpwstr>
      </vt:variant>
      <vt:variant>
        <vt:lpwstr/>
      </vt:variant>
      <vt:variant>
        <vt:i4>3538986</vt:i4>
      </vt:variant>
      <vt:variant>
        <vt:i4>6</vt:i4>
      </vt:variant>
      <vt:variant>
        <vt:i4>0</vt:i4>
      </vt:variant>
      <vt:variant>
        <vt:i4>5</vt:i4>
      </vt:variant>
      <vt:variant>
        <vt:lpwstr>https://www.apra.gov.au/your-future-your-super-performance-test</vt:lpwstr>
      </vt:variant>
      <vt:variant>
        <vt:lpwstr/>
      </vt:variant>
      <vt:variant>
        <vt:i4>3538986</vt:i4>
      </vt:variant>
      <vt:variant>
        <vt:i4>3</vt:i4>
      </vt:variant>
      <vt:variant>
        <vt:i4>0</vt:i4>
      </vt:variant>
      <vt:variant>
        <vt:i4>5</vt:i4>
      </vt:variant>
      <vt:variant>
        <vt:lpwstr>https://www.apra.gov.au/your-future-your-super-performance-test</vt:lpwstr>
      </vt:variant>
      <vt:variant>
        <vt:lpwstr/>
      </vt:variant>
      <vt:variant>
        <vt:i4>5636122</vt:i4>
      </vt:variant>
      <vt:variant>
        <vt:i4>0</vt:i4>
      </vt:variant>
      <vt:variant>
        <vt:i4>0</vt:i4>
      </vt:variant>
      <vt:variant>
        <vt:i4>5</vt:i4>
      </vt:variant>
      <vt:variant>
        <vt:lpwstr>https://www.pc.gov.au/inquiries/completed/superannuation/assessment/report/superannuation-assessment-overview.pdf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Future, Your Super Measures Review</dc:title>
  <dc:subject/>
  <dc:creator/>
  <cp:keywords/>
  <dc:description/>
  <cp:lastModifiedBy/>
  <cp:revision>1</cp:revision>
  <dcterms:created xsi:type="dcterms:W3CDTF">2022-09-06T23:58:00Z</dcterms:created>
  <dcterms:modified xsi:type="dcterms:W3CDTF">2022-09-06T23:58:00Z</dcterms:modified>
  <cp:category/>
</cp:coreProperties>
</file>