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32209A" w14:paraId="1ABB7D07" w14:textId="77777777" w:rsidTr="0032209A">
        <w:tc>
          <w:tcPr>
            <w:tcW w:w="5000" w:type="pct"/>
            <w:shd w:val="clear" w:color="auto" w:fill="auto"/>
          </w:tcPr>
          <w:p w14:paraId="13731E5F" w14:textId="77777777" w:rsidR="0032209A" w:rsidRDefault="0032209A" w:rsidP="0032209A">
            <w:pPr>
              <w:jc w:val="center"/>
              <w:rPr>
                <w:b/>
                <w:sz w:val="26"/>
              </w:rPr>
            </w:pPr>
            <w:r>
              <w:rPr>
                <w:b/>
                <w:sz w:val="26"/>
              </w:rPr>
              <w:t>EXPOSURE DRAFT</w:t>
            </w:r>
          </w:p>
          <w:p w14:paraId="4260E845" w14:textId="77777777" w:rsidR="0032209A" w:rsidRPr="0032209A" w:rsidRDefault="0032209A" w:rsidP="0032209A">
            <w:pPr>
              <w:rPr>
                <w:b/>
                <w:sz w:val="20"/>
              </w:rPr>
            </w:pPr>
          </w:p>
        </w:tc>
      </w:tr>
    </w:tbl>
    <w:p w14:paraId="25B846D8" w14:textId="77777777" w:rsidR="0032209A" w:rsidRDefault="0032209A" w:rsidP="000435D6">
      <w:pPr>
        <w:rPr>
          <w:sz w:val="32"/>
          <w:szCs w:val="32"/>
        </w:rPr>
      </w:pPr>
    </w:p>
    <w:p w14:paraId="29828305" w14:textId="77777777" w:rsidR="00664C63" w:rsidRPr="00932FA3" w:rsidRDefault="00664C63" w:rsidP="000435D6">
      <w:pPr>
        <w:rPr>
          <w:sz w:val="32"/>
          <w:szCs w:val="32"/>
        </w:rPr>
      </w:pPr>
      <w:r w:rsidRPr="00932FA3">
        <w:rPr>
          <w:sz w:val="32"/>
          <w:szCs w:val="32"/>
        </w:rPr>
        <w:t>Inserts for</w:t>
      </w:r>
    </w:p>
    <w:p w14:paraId="0EE91349" w14:textId="77777777" w:rsidR="00664C63" w:rsidRDefault="00E0414B" w:rsidP="000435D6">
      <w:pPr>
        <w:pStyle w:val="ShortT"/>
      </w:pPr>
      <w:r>
        <w:t>Treasury</w:t>
      </w:r>
      <w:bookmarkStart w:id="0" w:name="BK_S1P1L2C9"/>
      <w:bookmarkEnd w:id="0"/>
      <w:r>
        <w:t xml:space="preserve"> Laws Amendment (Measures for consultation) Bill 2022</w:t>
      </w:r>
      <w:r w:rsidR="00664C63">
        <w:t xml:space="preserve">: </w:t>
      </w:r>
      <w:r>
        <w:t>Rationalisation of ending ASIC instruments</w:t>
      </w:r>
    </w:p>
    <w:p w14:paraId="1E95A167" w14:textId="77777777" w:rsidR="00664C63" w:rsidRDefault="00664C63" w:rsidP="000435D6">
      <w:pPr>
        <w:jc w:val="center"/>
      </w:pPr>
    </w:p>
    <w:p w14:paraId="6D5DA3A3" w14:textId="77777777" w:rsidR="00664C63" w:rsidRDefault="00664C63" w:rsidP="000435D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21FED736" w14:textId="77777777" w:rsidTr="002F08B3">
        <w:trPr>
          <w:tblHeader/>
        </w:trPr>
        <w:tc>
          <w:tcPr>
            <w:tcW w:w="7111" w:type="dxa"/>
            <w:gridSpan w:val="3"/>
            <w:tcBorders>
              <w:top w:val="single" w:sz="12" w:space="0" w:color="auto"/>
              <w:bottom w:val="single" w:sz="6" w:space="0" w:color="auto"/>
            </w:tcBorders>
            <w:shd w:val="clear" w:color="auto" w:fill="auto"/>
          </w:tcPr>
          <w:p w14:paraId="3C5B9F66" w14:textId="77777777" w:rsidR="00664C63" w:rsidRPr="00402376" w:rsidRDefault="00664C63" w:rsidP="000435D6">
            <w:pPr>
              <w:pStyle w:val="TableHeading"/>
            </w:pPr>
            <w:r w:rsidRPr="00402376">
              <w:t>Commencement information</w:t>
            </w:r>
          </w:p>
        </w:tc>
      </w:tr>
      <w:tr w:rsidR="00664C63" w:rsidRPr="00402376" w14:paraId="03E83D56" w14:textId="77777777" w:rsidTr="002F08B3">
        <w:trPr>
          <w:tblHeader/>
        </w:trPr>
        <w:tc>
          <w:tcPr>
            <w:tcW w:w="1701" w:type="dxa"/>
            <w:tcBorders>
              <w:top w:val="single" w:sz="6" w:space="0" w:color="auto"/>
              <w:bottom w:val="single" w:sz="6" w:space="0" w:color="auto"/>
            </w:tcBorders>
            <w:shd w:val="clear" w:color="auto" w:fill="auto"/>
          </w:tcPr>
          <w:p w14:paraId="4892ED36" w14:textId="77777777" w:rsidR="00664C63" w:rsidRPr="00402376" w:rsidRDefault="00664C63" w:rsidP="000435D6">
            <w:pPr>
              <w:pStyle w:val="TableHeading"/>
            </w:pPr>
            <w:r w:rsidRPr="00402376">
              <w:t>Column 1</w:t>
            </w:r>
          </w:p>
        </w:tc>
        <w:tc>
          <w:tcPr>
            <w:tcW w:w="3828" w:type="dxa"/>
            <w:tcBorders>
              <w:top w:val="single" w:sz="6" w:space="0" w:color="auto"/>
              <w:bottom w:val="single" w:sz="6" w:space="0" w:color="auto"/>
            </w:tcBorders>
            <w:shd w:val="clear" w:color="auto" w:fill="auto"/>
          </w:tcPr>
          <w:p w14:paraId="47A30C1B" w14:textId="77777777" w:rsidR="00664C63" w:rsidRPr="00402376" w:rsidRDefault="00664C63" w:rsidP="000435D6">
            <w:pPr>
              <w:pStyle w:val="TableHeading"/>
            </w:pPr>
            <w:r w:rsidRPr="00402376">
              <w:t>Column 2</w:t>
            </w:r>
          </w:p>
        </w:tc>
        <w:tc>
          <w:tcPr>
            <w:tcW w:w="1582" w:type="dxa"/>
            <w:tcBorders>
              <w:top w:val="single" w:sz="6" w:space="0" w:color="auto"/>
              <w:bottom w:val="single" w:sz="6" w:space="0" w:color="auto"/>
            </w:tcBorders>
            <w:shd w:val="clear" w:color="auto" w:fill="auto"/>
          </w:tcPr>
          <w:p w14:paraId="55143954" w14:textId="77777777" w:rsidR="00664C63" w:rsidRPr="00402376" w:rsidRDefault="00664C63" w:rsidP="000435D6">
            <w:pPr>
              <w:pStyle w:val="TableHeading"/>
            </w:pPr>
            <w:r w:rsidRPr="00402376">
              <w:t>Column 3</w:t>
            </w:r>
          </w:p>
        </w:tc>
      </w:tr>
      <w:tr w:rsidR="00664C63" w14:paraId="61D280F0" w14:textId="77777777" w:rsidTr="002F08B3">
        <w:trPr>
          <w:tblHeader/>
        </w:trPr>
        <w:tc>
          <w:tcPr>
            <w:tcW w:w="1701" w:type="dxa"/>
            <w:tcBorders>
              <w:top w:val="single" w:sz="6" w:space="0" w:color="auto"/>
              <w:bottom w:val="single" w:sz="12" w:space="0" w:color="auto"/>
            </w:tcBorders>
            <w:shd w:val="clear" w:color="auto" w:fill="auto"/>
          </w:tcPr>
          <w:p w14:paraId="7F85BC58" w14:textId="77777777" w:rsidR="00664C63" w:rsidRPr="00402376" w:rsidRDefault="00664C63" w:rsidP="000435D6">
            <w:pPr>
              <w:pStyle w:val="TableHeading"/>
            </w:pPr>
            <w:r w:rsidRPr="00402376">
              <w:t>Provisions</w:t>
            </w:r>
          </w:p>
        </w:tc>
        <w:tc>
          <w:tcPr>
            <w:tcW w:w="3828" w:type="dxa"/>
            <w:tcBorders>
              <w:top w:val="single" w:sz="6" w:space="0" w:color="auto"/>
              <w:bottom w:val="single" w:sz="12" w:space="0" w:color="auto"/>
            </w:tcBorders>
            <w:shd w:val="clear" w:color="auto" w:fill="auto"/>
          </w:tcPr>
          <w:p w14:paraId="48976D56" w14:textId="77777777" w:rsidR="00664C63" w:rsidRPr="00402376" w:rsidRDefault="00664C63" w:rsidP="000435D6">
            <w:pPr>
              <w:pStyle w:val="TableHeading"/>
            </w:pPr>
            <w:r w:rsidRPr="00402376">
              <w:t>Commencement</w:t>
            </w:r>
          </w:p>
        </w:tc>
        <w:tc>
          <w:tcPr>
            <w:tcW w:w="1582" w:type="dxa"/>
            <w:tcBorders>
              <w:top w:val="single" w:sz="6" w:space="0" w:color="auto"/>
              <w:bottom w:val="single" w:sz="12" w:space="0" w:color="auto"/>
            </w:tcBorders>
            <w:shd w:val="clear" w:color="auto" w:fill="auto"/>
          </w:tcPr>
          <w:p w14:paraId="744A4F56" w14:textId="77777777" w:rsidR="00664C63" w:rsidRPr="00402376" w:rsidRDefault="00664C63" w:rsidP="000435D6">
            <w:pPr>
              <w:pStyle w:val="TableHeading"/>
            </w:pPr>
            <w:r w:rsidRPr="00402376">
              <w:t>Date/Details</w:t>
            </w:r>
          </w:p>
        </w:tc>
      </w:tr>
      <w:tr w:rsidR="00664C63" w14:paraId="00B78CF2" w14:textId="77777777" w:rsidTr="002F08B3">
        <w:tc>
          <w:tcPr>
            <w:tcW w:w="1701" w:type="dxa"/>
            <w:tcBorders>
              <w:top w:val="single" w:sz="12" w:space="0" w:color="auto"/>
            </w:tcBorders>
            <w:shd w:val="clear" w:color="auto" w:fill="auto"/>
          </w:tcPr>
          <w:p w14:paraId="63A96A33" w14:textId="77777777" w:rsidR="00664C63" w:rsidRDefault="00664C63" w:rsidP="000435D6">
            <w:pPr>
              <w:pStyle w:val="Tabletext"/>
            </w:pPr>
            <w:r>
              <w:t xml:space="preserve">1.  </w:t>
            </w:r>
          </w:p>
        </w:tc>
        <w:tc>
          <w:tcPr>
            <w:tcW w:w="3828" w:type="dxa"/>
            <w:tcBorders>
              <w:top w:val="single" w:sz="12" w:space="0" w:color="auto"/>
            </w:tcBorders>
            <w:shd w:val="clear" w:color="auto" w:fill="auto"/>
          </w:tcPr>
          <w:p w14:paraId="755C1FC2" w14:textId="77777777" w:rsidR="00664C63" w:rsidRDefault="00664C63" w:rsidP="000435D6">
            <w:pPr>
              <w:pStyle w:val="Tabletext"/>
            </w:pPr>
          </w:p>
        </w:tc>
        <w:tc>
          <w:tcPr>
            <w:tcW w:w="1582" w:type="dxa"/>
            <w:tcBorders>
              <w:top w:val="single" w:sz="12" w:space="0" w:color="auto"/>
            </w:tcBorders>
            <w:shd w:val="clear" w:color="auto" w:fill="auto"/>
          </w:tcPr>
          <w:p w14:paraId="6A3B51A1" w14:textId="77777777" w:rsidR="00664C63" w:rsidRDefault="00664C63" w:rsidP="000435D6">
            <w:pPr>
              <w:pStyle w:val="Tabletext"/>
            </w:pPr>
          </w:p>
        </w:tc>
      </w:tr>
      <w:tr w:rsidR="00664C63" w14:paraId="7642059F" w14:textId="77777777" w:rsidTr="002F08B3">
        <w:tc>
          <w:tcPr>
            <w:tcW w:w="1701" w:type="dxa"/>
            <w:tcBorders>
              <w:bottom w:val="single" w:sz="4" w:space="0" w:color="auto"/>
            </w:tcBorders>
            <w:shd w:val="clear" w:color="auto" w:fill="auto"/>
          </w:tcPr>
          <w:p w14:paraId="1CA6D245" w14:textId="77777777" w:rsidR="00664C63" w:rsidRDefault="00664C63" w:rsidP="000435D6">
            <w:pPr>
              <w:pStyle w:val="Tabletext"/>
            </w:pPr>
            <w:r>
              <w:t xml:space="preserve">2.  </w:t>
            </w:r>
            <w:r w:rsidR="000435D6">
              <w:t>Schedules 1</w:t>
            </w:r>
            <w:r w:rsidR="00890485">
              <w:t xml:space="preserve"> to 5</w:t>
            </w:r>
          </w:p>
        </w:tc>
        <w:tc>
          <w:tcPr>
            <w:tcW w:w="3828" w:type="dxa"/>
            <w:tcBorders>
              <w:bottom w:val="single" w:sz="4" w:space="0" w:color="auto"/>
            </w:tcBorders>
            <w:shd w:val="clear" w:color="auto" w:fill="auto"/>
          </w:tcPr>
          <w:p w14:paraId="46DD56F1" w14:textId="77777777" w:rsidR="00664C63" w:rsidRDefault="009A6C1A" w:rsidP="000435D6">
            <w:pPr>
              <w:pStyle w:val="Tabletext"/>
            </w:pPr>
            <w:r>
              <w:t>The day after this Act receives the Royal Assent.</w:t>
            </w:r>
          </w:p>
        </w:tc>
        <w:tc>
          <w:tcPr>
            <w:tcW w:w="1582" w:type="dxa"/>
            <w:tcBorders>
              <w:bottom w:val="single" w:sz="4" w:space="0" w:color="auto"/>
            </w:tcBorders>
            <w:shd w:val="clear" w:color="auto" w:fill="auto"/>
          </w:tcPr>
          <w:p w14:paraId="345D3188" w14:textId="77777777" w:rsidR="00664C63" w:rsidRDefault="00664C63" w:rsidP="000435D6">
            <w:pPr>
              <w:pStyle w:val="Tabletext"/>
            </w:pPr>
          </w:p>
        </w:tc>
      </w:tr>
      <w:tr w:rsidR="00664C63" w14:paraId="53375B1B" w14:textId="77777777" w:rsidTr="002F08B3">
        <w:tc>
          <w:tcPr>
            <w:tcW w:w="1701" w:type="dxa"/>
            <w:tcBorders>
              <w:bottom w:val="single" w:sz="12" w:space="0" w:color="auto"/>
            </w:tcBorders>
            <w:shd w:val="clear" w:color="auto" w:fill="auto"/>
          </w:tcPr>
          <w:p w14:paraId="5DDE8F15" w14:textId="77777777" w:rsidR="00664C63" w:rsidRDefault="00664C63" w:rsidP="000435D6">
            <w:pPr>
              <w:pStyle w:val="Tabletext"/>
            </w:pPr>
            <w:r>
              <w:t xml:space="preserve">3.  </w:t>
            </w:r>
          </w:p>
        </w:tc>
        <w:tc>
          <w:tcPr>
            <w:tcW w:w="3828" w:type="dxa"/>
            <w:tcBorders>
              <w:bottom w:val="single" w:sz="12" w:space="0" w:color="auto"/>
            </w:tcBorders>
            <w:shd w:val="clear" w:color="auto" w:fill="auto"/>
          </w:tcPr>
          <w:p w14:paraId="3E240F3E" w14:textId="77777777" w:rsidR="00664C63" w:rsidRDefault="00664C63" w:rsidP="000435D6">
            <w:pPr>
              <w:pStyle w:val="Tabletext"/>
            </w:pPr>
          </w:p>
        </w:tc>
        <w:tc>
          <w:tcPr>
            <w:tcW w:w="1582" w:type="dxa"/>
            <w:tcBorders>
              <w:bottom w:val="single" w:sz="12" w:space="0" w:color="auto"/>
            </w:tcBorders>
            <w:shd w:val="clear" w:color="auto" w:fill="auto"/>
          </w:tcPr>
          <w:p w14:paraId="0869859C" w14:textId="77777777" w:rsidR="00664C63" w:rsidRDefault="00664C63" w:rsidP="000435D6">
            <w:pPr>
              <w:pStyle w:val="Tabletext"/>
            </w:pPr>
          </w:p>
        </w:tc>
      </w:tr>
    </w:tbl>
    <w:p w14:paraId="0DAF05CF" w14:textId="77777777" w:rsidR="00DC2238" w:rsidRDefault="000435D6" w:rsidP="000435D6">
      <w:pPr>
        <w:pStyle w:val="ActHead6"/>
        <w:pageBreakBefore/>
      </w:pPr>
      <w:bookmarkStart w:id="1" w:name="_Toc109652331"/>
      <w:bookmarkStart w:id="2" w:name="opcAmSched"/>
      <w:r w:rsidRPr="0032209A">
        <w:rPr>
          <w:rStyle w:val="CharAmSchNo"/>
        </w:rPr>
        <w:lastRenderedPageBreak/>
        <w:t>Schedule 1</w:t>
      </w:r>
      <w:r w:rsidR="00DC2238">
        <w:t>—</w:t>
      </w:r>
      <w:r w:rsidR="00DC2238" w:rsidRPr="0032209A">
        <w:rPr>
          <w:rStyle w:val="CharAmSchText"/>
        </w:rPr>
        <w:t>Voting control limits for proposed licensed trustee companies</w:t>
      </w:r>
      <w:bookmarkEnd w:id="1"/>
    </w:p>
    <w:p w14:paraId="0E7E985D" w14:textId="77777777" w:rsidR="00DC2238" w:rsidRDefault="000435D6" w:rsidP="000435D6">
      <w:pPr>
        <w:pStyle w:val="ActHead7"/>
      </w:pPr>
      <w:bookmarkStart w:id="3" w:name="_Toc109652332"/>
      <w:bookmarkEnd w:id="2"/>
      <w:r w:rsidRPr="0032209A">
        <w:rPr>
          <w:rStyle w:val="CharAmPartNo"/>
        </w:rPr>
        <w:t>Part 1</w:t>
      </w:r>
      <w:r w:rsidR="00DC2238">
        <w:t>—</w:t>
      </w:r>
      <w:r w:rsidR="00DC2238" w:rsidRPr="0032209A">
        <w:rPr>
          <w:rStyle w:val="CharAmPartText"/>
        </w:rPr>
        <w:t>Amendments</w:t>
      </w:r>
      <w:bookmarkEnd w:id="3"/>
    </w:p>
    <w:p w14:paraId="29A7EA2C" w14:textId="77777777" w:rsidR="00DC2238" w:rsidRPr="00EA1EAE" w:rsidRDefault="00DC2238" w:rsidP="000435D6">
      <w:pPr>
        <w:pStyle w:val="ActHead9"/>
        <w:rPr>
          <w:i w:val="0"/>
        </w:rPr>
      </w:pPr>
      <w:bookmarkStart w:id="4" w:name="_Toc109652333"/>
      <w:r>
        <w:t>Corporations</w:t>
      </w:r>
      <w:bookmarkStart w:id="5" w:name="BK_S1P2L4C13"/>
      <w:bookmarkEnd w:id="5"/>
      <w:r>
        <w:t xml:space="preserve"> Act </w:t>
      </w:r>
      <w:bookmarkStart w:id="6" w:name="BK_S1P2L4C18"/>
      <w:bookmarkEnd w:id="6"/>
      <w:r>
        <w:t>2001</w:t>
      </w:r>
      <w:bookmarkEnd w:id="4"/>
    </w:p>
    <w:p w14:paraId="29CF7147" w14:textId="77777777" w:rsidR="00DC2238" w:rsidRDefault="00DC2238" w:rsidP="000435D6">
      <w:pPr>
        <w:pStyle w:val="ItemHead"/>
      </w:pPr>
      <w:proofErr w:type="gramStart"/>
      <w:r>
        <w:t xml:space="preserve">1  </w:t>
      </w:r>
      <w:r w:rsidR="000435D6">
        <w:t>Part</w:t>
      </w:r>
      <w:proofErr w:type="gramEnd"/>
      <w:r w:rsidR="000435D6">
        <w:t> 5</w:t>
      </w:r>
      <w:r>
        <w:t>D.5 (heading)</w:t>
      </w:r>
    </w:p>
    <w:p w14:paraId="16397BB9" w14:textId="77777777" w:rsidR="00DC2238" w:rsidRDefault="00DC2238" w:rsidP="000435D6">
      <w:pPr>
        <w:pStyle w:val="Item"/>
      </w:pPr>
      <w:r>
        <w:t>After “</w:t>
      </w:r>
      <w:r w:rsidRPr="00B85ACB">
        <w:rPr>
          <w:b/>
        </w:rPr>
        <w:t>licensed trustee companies</w:t>
      </w:r>
      <w:r>
        <w:t>”, insert “</w:t>
      </w:r>
      <w:r>
        <w:rPr>
          <w:b/>
        </w:rPr>
        <w:t>and</w:t>
      </w:r>
      <w:r w:rsidRPr="00B85ACB">
        <w:rPr>
          <w:b/>
        </w:rPr>
        <w:t xml:space="preserve"> proposed licensed trustee companies</w:t>
      </w:r>
      <w:r>
        <w:t>”.</w:t>
      </w:r>
    </w:p>
    <w:p w14:paraId="364C3443" w14:textId="77777777" w:rsidR="00DC2238" w:rsidRDefault="00DC2238" w:rsidP="000435D6">
      <w:pPr>
        <w:pStyle w:val="ItemHead"/>
      </w:pPr>
      <w:proofErr w:type="gramStart"/>
      <w:r>
        <w:t xml:space="preserve">2  </w:t>
      </w:r>
      <w:r w:rsidR="000435D6">
        <w:t>Section</w:t>
      </w:r>
      <w:proofErr w:type="gramEnd"/>
      <w:r w:rsidR="000435D6">
        <w:t> 6</w:t>
      </w:r>
      <w:r>
        <w:t>01RAA</w:t>
      </w:r>
    </w:p>
    <w:p w14:paraId="247DAFD4" w14:textId="77777777" w:rsidR="00DC2238" w:rsidRDefault="00DC2238" w:rsidP="000435D6">
      <w:pPr>
        <w:pStyle w:val="Item"/>
      </w:pPr>
      <w:r>
        <w:t>Insert:</w:t>
      </w:r>
    </w:p>
    <w:p w14:paraId="04CF286B" w14:textId="77777777" w:rsidR="00DC2238" w:rsidRDefault="00DC2238" w:rsidP="000435D6">
      <w:pPr>
        <w:pStyle w:val="Definition"/>
      </w:pPr>
      <w:r w:rsidRPr="00390074">
        <w:rPr>
          <w:b/>
          <w:i/>
        </w:rPr>
        <w:t>proposed licensed trustee company </w:t>
      </w:r>
      <w:r w:rsidRPr="00390074">
        <w:t>means a company:</w:t>
      </w:r>
    </w:p>
    <w:p w14:paraId="1A4E4087" w14:textId="77777777" w:rsidR="00DC2238" w:rsidRDefault="00DC2238" w:rsidP="000435D6">
      <w:pPr>
        <w:pStyle w:val="paragraph"/>
      </w:pPr>
      <w:r>
        <w:tab/>
        <w:t>(a)</w:t>
      </w:r>
      <w:r>
        <w:tab/>
        <w:t>t</w:t>
      </w:r>
      <w:r w:rsidRPr="00390074">
        <w:t xml:space="preserve">hat is a trustee company, or </w:t>
      </w:r>
      <w:r>
        <w:t>a corporation</w:t>
      </w:r>
      <w:bookmarkStart w:id="7" w:name="BK_S1P2L11C49"/>
      <w:bookmarkEnd w:id="7"/>
      <w:r>
        <w:t xml:space="preserve"> to which </w:t>
      </w:r>
      <w:r w:rsidR="000435D6">
        <w:t>paragraph 5</w:t>
      </w:r>
      <w:r>
        <w:t>1(xx) of the Constitution applies that proposes</w:t>
      </w:r>
      <w:r w:rsidRPr="00390074">
        <w:t xml:space="preserve"> </w:t>
      </w:r>
      <w:r>
        <w:t xml:space="preserve">to become a </w:t>
      </w:r>
      <w:r w:rsidRPr="00390074">
        <w:t>trustee company; and</w:t>
      </w:r>
    </w:p>
    <w:p w14:paraId="470E4299" w14:textId="77777777" w:rsidR="00DC2238" w:rsidRDefault="00DC2238" w:rsidP="000435D6">
      <w:pPr>
        <w:pStyle w:val="paragraph"/>
      </w:pPr>
      <w:r>
        <w:tab/>
        <w:t>(b)</w:t>
      </w:r>
      <w:r>
        <w:tab/>
      </w:r>
      <w:r w:rsidRPr="00390074">
        <w:t>that proposes to apply for an Australian financial services licence covering the provision of one or more traditional trustee company services.</w:t>
      </w:r>
    </w:p>
    <w:p w14:paraId="091DD355" w14:textId="77777777" w:rsidR="00DC2238" w:rsidRDefault="00DC2238" w:rsidP="000435D6">
      <w:pPr>
        <w:pStyle w:val="ItemHead"/>
      </w:pPr>
      <w:proofErr w:type="gramStart"/>
      <w:r>
        <w:t xml:space="preserve">3  </w:t>
      </w:r>
      <w:r w:rsidR="000435D6">
        <w:t>Section</w:t>
      </w:r>
      <w:proofErr w:type="gramEnd"/>
      <w:r w:rsidR="000435D6">
        <w:t> 6</w:t>
      </w:r>
      <w:r>
        <w:t>01VAA</w:t>
      </w:r>
    </w:p>
    <w:p w14:paraId="58411EFF" w14:textId="77777777" w:rsidR="00DC2238" w:rsidRDefault="00DC2238" w:rsidP="000435D6">
      <w:pPr>
        <w:pStyle w:val="Item"/>
      </w:pPr>
      <w:r>
        <w:t>Repeal the section, substitute:</w:t>
      </w:r>
    </w:p>
    <w:p w14:paraId="554F028A" w14:textId="77777777" w:rsidR="00DC2238" w:rsidRDefault="00DC2238" w:rsidP="000435D6">
      <w:pPr>
        <w:pStyle w:val="ActHead5"/>
      </w:pPr>
      <w:bookmarkStart w:id="8" w:name="_Toc109652334"/>
      <w:r w:rsidRPr="0032209A">
        <w:rPr>
          <w:rStyle w:val="CharSectno"/>
        </w:rPr>
        <w:t>601</w:t>
      </w:r>
      <w:proofErr w:type="gramStart"/>
      <w:r w:rsidRPr="0032209A">
        <w:rPr>
          <w:rStyle w:val="CharSectno"/>
        </w:rPr>
        <w:t>VAA</w:t>
      </w:r>
      <w:r>
        <w:t xml:space="preserve">  </w:t>
      </w:r>
      <w:r w:rsidRPr="00390074">
        <w:t>Meaning</w:t>
      </w:r>
      <w:proofErr w:type="gramEnd"/>
      <w:r w:rsidRPr="00390074">
        <w:t xml:space="preserve"> of unacceptable control situation</w:t>
      </w:r>
      <w:bookmarkEnd w:id="8"/>
    </w:p>
    <w:p w14:paraId="5321432B" w14:textId="77777777" w:rsidR="00DC2238" w:rsidRDefault="00DC2238" w:rsidP="000435D6">
      <w:pPr>
        <w:pStyle w:val="subsection"/>
      </w:pPr>
      <w:r>
        <w:tab/>
      </w:r>
      <w:r>
        <w:tab/>
        <w:t xml:space="preserve">For the purposes of this Part, an </w:t>
      </w:r>
      <w:r w:rsidRPr="00591CB1">
        <w:rPr>
          <w:b/>
          <w:i/>
        </w:rPr>
        <w:t xml:space="preserve">unacceptable control situation </w:t>
      </w:r>
      <w:r>
        <w:t>exists in relation to:</w:t>
      </w:r>
    </w:p>
    <w:p w14:paraId="3E1ABD0F" w14:textId="77777777" w:rsidR="00DC2238" w:rsidRDefault="00DC2238" w:rsidP="000435D6">
      <w:pPr>
        <w:pStyle w:val="paragraph"/>
      </w:pPr>
      <w:r>
        <w:tab/>
        <w:t>(a)</w:t>
      </w:r>
      <w:r>
        <w:tab/>
        <w:t>a licensed trustee company and in relation to a particular person; or</w:t>
      </w:r>
    </w:p>
    <w:p w14:paraId="22D3CCA1" w14:textId="77777777" w:rsidR="00DC2238" w:rsidRDefault="00DC2238" w:rsidP="000435D6">
      <w:pPr>
        <w:pStyle w:val="paragraph"/>
      </w:pPr>
      <w:r>
        <w:tab/>
        <w:t>(b)</w:t>
      </w:r>
      <w:r>
        <w:tab/>
        <w:t xml:space="preserve">a proposed licensed trustee company and in relation to a particular </w:t>
      </w:r>
      <w:proofErr w:type="gramStart"/>
      <w:r>
        <w:t>person;</w:t>
      </w:r>
      <w:proofErr w:type="gramEnd"/>
    </w:p>
    <w:p w14:paraId="325E10B5" w14:textId="77777777" w:rsidR="00DC2238" w:rsidRDefault="00DC2238" w:rsidP="000435D6">
      <w:pPr>
        <w:pStyle w:val="subsection2"/>
      </w:pPr>
      <w:r>
        <w:t>if the person’s voting power in the company is more than:</w:t>
      </w:r>
    </w:p>
    <w:p w14:paraId="5DB3CFE3" w14:textId="77777777" w:rsidR="00DC2238" w:rsidRDefault="00DC2238" w:rsidP="000435D6">
      <w:pPr>
        <w:pStyle w:val="paragraph"/>
      </w:pPr>
      <w:r>
        <w:tab/>
        <w:t>(c)</w:t>
      </w:r>
      <w:r>
        <w:tab/>
        <w:t>15%; or</w:t>
      </w:r>
    </w:p>
    <w:p w14:paraId="563B1307" w14:textId="77777777" w:rsidR="00DC2238" w:rsidRPr="00480637" w:rsidRDefault="00DC2238" w:rsidP="000435D6">
      <w:pPr>
        <w:pStyle w:val="paragraph"/>
      </w:pPr>
      <w:r>
        <w:tab/>
        <w:t>(d)</w:t>
      </w:r>
      <w:r>
        <w:tab/>
        <w:t>if an approval of a higher percentage is in force under Division 2 in relation to the company and in relation to the person—that higher percentage.</w:t>
      </w:r>
    </w:p>
    <w:p w14:paraId="3355CC09" w14:textId="77777777" w:rsidR="00DC2238" w:rsidRDefault="00DC2238" w:rsidP="000435D6">
      <w:pPr>
        <w:pStyle w:val="ItemHead"/>
      </w:pPr>
      <w:proofErr w:type="gramStart"/>
      <w:r>
        <w:lastRenderedPageBreak/>
        <w:t xml:space="preserve">4  </w:t>
      </w:r>
      <w:r w:rsidR="000435D6">
        <w:t>Subsection</w:t>
      </w:r>
      <w:proofErr w:type="gramEnd"/>
      <w:r w:rsidR="000435D6">
        <w:t> 6</w:t>
      </w:r>
      <w:r>
        <w:t>01VBA(1)</w:t>
      </w:r>
    </w:p>
    <w:p w14:paraId="7D813C99" w14:textId="77777777" w:rsidR="00DC2238" w:rsidRDefault="00DC2238" w:rsidP="000435D6">
      <w:pPr>
        <w:pStyle w:val="Item"/>
      </w:pPr>
      <w:r>
        <w:t>After “licensed trustee company”, insert “or proposed licensed trustee company”.</w:t>
      </w:r>
    </w:p>
    <w:p w14:paraId="61FEB6C9" w14:textId="77777777" w:rsidR="00DC2238" w:rsidRDefault="00DC2238" w:rsidP="000435D6">
      <w:pPr>
        <w:pStyle w:val="ItemHead"/>
      </w:pPr>
      <w:proofErr w:type="gramStart"/>
      <w:r>
        <w:t>5  Paragraphs</w:t>
      </w:r>
      <w:proofErr w:type="gramEnd"/>
      <w:r>
        <w:t xml:space="preserve"> </w:t>
      </w:r>
      <w:r w:rsidRPr="001A0C54">
        <w:t>601VBA(1)</w:t>
      </w:r>
      <w:r>
        <w:t>(a) and (b)</w:t>
      </w:r>
    </w:p>
    <w:p w14:paraId="03B72AF1" w14:textId="77777777" w:rsidR="00DC2238" w:rsidRPr="001A0C54" w:rsidRDefault="00DC2238" w:rsidP="000435D6">
      <w:pPr>
        <w:pStyle w:val="Item"/>
      </w:pPr>
      <w:r>
        <w:t>Omit “trustee”.</w:t>
      </w:r>
    </w:p>
    <w:p w14:paraId="24F724F0" w14:textId="77777777" w:rsidR="00DC2238" w:rsidRDefault="00DC2238" w:rsidP="000435D6">
      <w:pPr>
        <w:pStyle w:val="ItemHead"/>
      </w:pPr>
      <w:proofErr w:type="gramStart"/>
      <w:r>
        <w:t xml:space="preserve">6  </w:t>
      </w:r>
      <w:r w:rsidR="000435D6">
        <w:t>Subsection</w:t>
      </w:r>
      <w:proofErr w:type="gramEnd"/>
      <w:r w:rsidR="000435D6">
        <w:t> 6</w:t>
      </w:r>
      <w:r>
        <w:t>01VBB(1)</w:t>
      </w:r>
    </w:p>
    <w:p w14:paraId="3850C64F" w14:textId="77777777" w:rsidR="00DC2238" w:rsidRDefault="00DC2238" w:rsidP="000435D6">
      <w:pPr>
        <w:pStyle w:val="Item"/>
      </w:pPr>
      <w:r>
        <w:t>Omit all the words after “the Minister is satisfied that”, substitute:</w:t>
      </w:r>
    </w:p>
    <w:p w14:paraId="0DD4843E" w14:textId="77777777" w:rsidR="00DC2238" w:rsidRDefault="00DC2238" w:rsidP="000435D6">
      <w:pPr>
        <w:pStyle w:val="paragraph"/>
      </w:pPr>
      <w:r>
        <w:tab/>
        <w:t>: (a)</w:t>
      </w:r>
      <w:r>
        <w:tab/>
      </w:r>
      <w:bookmarkStart w:id="9" w:name="_Hlk108079460"/>
      <w:r>
        <w:t>in the case of a licensed trustee company</w:t>
      </w:r>
      <w:r w:rsidRPr="00634BB0">
        <w:t>—</w:t>
      </w:r>
      <w:r w:rsidRPr="0057544C">
        <w:t>it would be in the interests of th</w:t>
      </w:r>
      <w:r>
        <w:t>at</w:t>
      </w:r>
      <w:r w:rsidRPr="0057544C">
        <w:t xml:space="preserve"> company and its clients for the application to be granted</w:t>
      </w:r>
      <w:bookmarkEnd w:id="9"/>
      <w:r>
        <w:t>; or</w:t>
      </w:r>
    </w:p>
    <w:p w14:paraId="2CE1F333" w14:textId="77777777" w:rsidR="00DC2238" w:rsidRDefault="00DC2238" w:rsidP="000435D6">
      <w:pPr>
        <w:pStyle w:val="paragraph"/>
      </w:pPr>
      <w:r>
        <w:tab/>
        <w:t>(b)</w:t>
      </w:r>
      <w:r>
        <w:tab/>
        <w:t xml:space="preserve">in the case of a </w:t>
      </w:r>
      <w:r w:rsidRPr="00634BB0">
        <w:t xml:space="preserve">proposed licensed trustee </w:t>
      </w:r>
      <w:r>
        <w:t>company</w:t>
      </w:r>
      <w:r w:rsidRPr="00634BB0">
        <w:t>—</w:t>
      </w:r>
      <w:r w:rsidRPr="0057544C">
        <w:t>it would be in the interests of th</w:t>
      </w:r>
      <w:r>
        <w:t>at</w:t>
      </w:r>
      <w:r w:rsidRPr="0057544C">
        <w:t xml:space="preserve"> company and its clients for the application to be granted</w:t>
      </w:r>
      <w:r>
        <w:t xml:space="preserve"> were that company a licensed trustee company.</w:t>
      </w:r>
    </w:p>
    <w:p w14:paraId="733BB99A" w14:textId="77777777" w:rsidR="00DC2238" w:rsidRDefault="00DC2238" w:rsidP="000435D6">
      <w:pPr>
        <w:pStyle w:val="ItemHead"/>
      </w:pPr>
      <w:proofErr w:type="gramStart"/>
      <w:r>
        <w:t>7  Paragraphs</w:t>
      </w:r>
      <w:proofErr w:type="gramEnd"/>
      <w:r>
        <w:t xml:space="preserve"> 601VBB(2)(b) and </w:t>
      </w:r>
      <w:r w:rsidRPr="001A0C54">
        <w:t>601VBB(</w:t>
      </w:r>
      <w:r>
        <w:t>4</w:t>
      </w:r>
      <w:r w:rsidRPr="001A0C54">
        <w:t>)(b)</w:t>
      </w:r>
    </w:p>
    <w:p w14:paraId="554C2D20" w14:textId="77777777" w:rsidR="00DC2238" w:rsidRDefault="00DC2238" w:rsidP="000435D6">
      <w:pPr>
        <w:pStyle w:val="Item"/>
      </w:pPr>
      <w:r>
        <w:t>Omit “licensed trustee”.</w:t>
      </w:r>
    </w:p>
    <w:p w14:paraId="666BF8EB" w14:textId="77777777" w:rsidR="00DC2238" w:rsidRDefault="00DC2238" w:rsidP="000435D6">
      <w:pPr>
        <w:pStyle w:val="ItemHead"/>
      </w:pPr>
      <w:proofErr w:type="gramStart"/>
      <w:r>
        <w:t xml:space="preserve">8  </w:t>
      </w:r>
      <w:r w:rsidR="000435D6">
        <w:t>Subsection</w:t>
      </w:r>
      <w:proofErr w:type="gramEnd"/>
      <w:r w:rsidR="000435D6">
        <w:t> 6</w:t>
      </w:r>
      <w:r>
        <w:t>01VBC(4)</w:t>
      </w:r>
    </w:p>
    <w:p w14:paraId="57393679" w14:textId="77777777" w:rsidR="00DC2238" w:rsidRDefault="00DC2238" w:rsidP="000435D6">
      <w:pPr>
        <w:pStyle w:val="Item"/>
      </w:pPr>
      <w:r>
        <w:t>Omit all the words after “the Minister is satisfied that”, substitute:</w:t>
      </w:r>
    </w:p>
    <w:p w14:paraId="48EB9766" w14:textId="77777777" w:rsidR="00DC2238" w:rsidRDefault="00DC2238" w:rsidP="000435D6">
      <w:pPr>
        <w:pStyle w:val="paragraph"/>
      </w:pPr>
      <w:r>
        <w:tab/>
        <w:t>: (a)</w:t>
      </w:r>
      <w:r>
        <w:tab/>
        <w:t>in the case of a licensed trustee company</w:t>
      </w:r>
      <w:r w:rsidRPr="00634BB0">
        <w:t>—</w:t>
      </w:r>
      <w:r w:rsidRPr="0057544C">
        <w:t>it would be in the interests of th</w:t>
      </w:r>
      <w:r>
        <w:t>at</w:t>
      </w:r>
      <w:r w:rsidRPr="0057544C">
        <w:t xml:space="preserve"> company and its clients for the application to be granted</w:t>
      </w:r>
      <w:r>
        <w:t>; or</w:t>
      </w:r>
    </w:p>
    <w:p w14:paraId="111BFCEC" w14:textId="77777777" w:rsidR="00DC2238" w:rsidRPr="00C70538" w:rsidRDefault="00DC2238" w:rsidP="000435D6">
      <w:pPr>
        <w:pStyle w:val="paragraph"/>
      </w:pPr>
      <w:r>
        <w:tab/>
        <w:t>(b)</w:t>
      </w:r>
      <w:r>
        <w:tab/>
        <w:t xml:space="preserve">in the case of a </w:t>
      </w:r>
      <w:r w:rsidRPr="00634BB0">
        <w:t xml:space="preserve">proposed licensed trustee </w:t>
      </w:r>
      <w:r>
        <w:t>company</w:t>
      </w:r>
      <w:r w:rsidRPr="00634BB0">
        <w:t>—</w:t>
      </w:r>
      <w:r w:rsidRPr="0057544C">
        <w:t>it would be in the interests of th</w:t>
      </w:r>
      <w:r>
        <w:t>at</w:t>
      </w:r>
      <w:r w:rsidRPr="0057544C">
        <w:t xml:space="preserve"> company and its clients for the application to be granted</w:t>
      </w:r>
      <w:r>
        <w:t xml:space="preserve"> were that company a licensed trustee company.</w:t>
      </w:r>
    </w:p>
    <w:p w14:paraId="79C2AD8B" w14:textId="77777777" w:rsidR="00DC2238" w:rsidRDefault="00DC2238" w:rsidP="000435D6">
      <w:pPr>
        <w:pStyle w:val="ItemHead"/>
      </w:pPr>
      <w:proofErr w:type="gramStart"/>
      <w:r>
        <w:t>9  Paragraphs</w:t>
      </w:r>
      <w:proofErr w:type="gramEnd"/>
      <w:r>
        <w:t xml:space="preserve"> 601VBC(7)(b) and 601VBD(7)(b)</w:t>
      </w:r>
    </w:p>
    <w:p w14:paraId="3C889619" w14:textId="77777777" w:rsidR="00DC2238" w:rsidRDefault="00DC2238" w:rsidP="000435D6">
      <w:pPr>
        <w:pStyle w:val="Item"/>
      </w:pPr>
      <w:r>
        <w:t>Omit “licensed trustee”.</w:t>
      </w:r>
    </w:p>
    <w:p w14:paraId="5EF3066F" w14:textId="77777777" w:rsidR="00DC2238" w:rsidRDefault="00DC2238" w:rsidP="000435D6">
      <w:pPr>
        <w:pStyle w:val="ItemHead"/>
      </w:pPr>
      <w:proofErr w:type="gramStart"/>
      <w:r>
        <w:t>10  Paragraphs</w:t>
      </w:r>
      <w:proofErr w:type="gramEnd"/>
      <w:r>
        <w:t xml:space="preserve"> 601VBE(1)(a)</w:t>
      </w:r>
    </w:p>
    <w:p w14:paraId="2C4AC9DC" w14:textId="77777777" w:rsidR="00DC2238" w:rsidRPr="00A708E4" w:rsidRDefault="00DC2238" w:rsidP="000435D6">
      <w:pPr>
        <w:pStyle w:val="Item"/>
      </w:pPr>
      <w:r w:rsidRPr="00E427AF">
        <w:t>After “</w:t>
      </w:r>
      <w:r>
        <w:t xml:space="preserve">licensed </w:t>
      </w:r>
      <w:r w:rsidRPr="00E427AF">
        <w:t xml:space="preserve">trustee company”, insert “or proposed </w:t>
      </w:r>
      <w:r>
        <w:t xml:space="preserve">licensed </w:t>
      </w:r>
      <w:r w:rsidRPr="00E427AF">
        <w:t>trustee company”</w:t>
      </w:r>
      <w:bookmarkStart w:id="10" w:name="BK_S1P3L30C9"/>
      <w:bookmarkEnd w:id="10"/>
      <w:r w:rsidR="00891412">
        <w:t>.</w:t>
      </w:r>
    </w:p>
    <w:p w14:paraId="4C2EC839" w14:textId="77777777" w:rsidR="00DC2238" w:rsidRPr="00E427AF" w:rsidRDefault="00DC2238" w:rsidP="000435D6">
      <w:pPr>
        <w:pStyle w:val="ItemHead"/>
      </w:pPr>
      <w:proofErr w:type="gramStart"/>
      <w:r>
        <w:t xml:space="preserve">11  </w:t>
      </w:r>
      <w:r w:rsidR="000435D6">
        <w:t>Paragraph</w:t>
      </w:r>
      <w:proofErr w:type="gramEnd"/>
      <w:r w:rsidR="000435D6">
        <w:t> 6</w:t>
      </w:r>
      <w:r>
        <w:t>01VBE(1)(b)</w:t>
      </w:r>
      <w:bookmarkStart w:id="11" w:name="BK_S1P3L31C28"/>
      <w:bookmarkEnd w:id="11"/>
    </w:p>
    <w:p w14:paraId="39C4219A" w14:textId="77777777" w:rsidR="00DC2238" w:rsidRDefault="00DC2238" w:rsidP="000435D6">
      <w:pPr>
        <w:pStyle w:val="Item"/>
      </w:pPr>
      <w:r>
        <w:t xml:space="preserve">Omit </w:t>
      </w:r>
      <w:r w:rsidRPr="00E427AF">
        <w:t>“trustee”.</w:t>
      </w:r>
    </w:p>
    <w:p w14:paraId="3449E431" w14:textId="77777777" w:rsidR="00DC2238" w:rsidRDefault="00DC2238" w:rsidP="000435D6">
      <w:pPr>
        <w:pStyle w:val="ItemHead"/>
        <w:rPr>
          <w:highlight w:val="yellow"/>
        </w:rPr>
      </w:pPr>
      <w:proofErr w:type="gramStart"/>
      <w:r>
        <w:lastRenderedPageBreak/>
        <w:t xml:space="preserve">12  </w:t>
      </w:r>
      <w:r w:rsidR="000435D6">
        <w:t>Subsection</w:t>
      </w:r>
      <w:proofErr w:type="gramEnd"/>
      <w:r w:rsidR="000435D6">
        <w:t> 6</w:t>
      </w:r>
      <w:r w:rsidRPr="00304C57">
        <w:t>01VBE(3)</w:t>
      </w:r>
    </w:p>
    <w:p w14:paraId="11C3FE13" w14:textId="77777777" w:rsidR="00DC2238" w:rsidRDefault="00DC2238" w:rsidP="000435D6">
      <w:pPr>
        <w:pStyle w:val="Item"/>
      </w:pPr>
      <w:r>
        <w:t>Omit all the words after “the Minister is satisfied that”, substitute:</w:t>
      </w:r>
    </w:p>
    <w:p w14:paraId="26F6E350" w14:textId="77777777" w:rsidR="00DC2238" w:rsidRDefault="00DC2238" w:rsidP="000435D6">
      <w:pPr>
        <w:pStyle w:val="paragraph"/>
      </w:pPr>
      <w:r>
        <w:tab/>
        <w:t>: (a)</w:t>
      </w:r>
      <w:r>
        <w:tab/>
        <w:t>in the case of a licensed trustee company</w:t>
      </w:r>
      <w:r w:rsidRPr="00634BB0">
        <w:t>—</w:t>
      </w:r>
      <w:r w:rsidRPr="0057544C">
        <w:t>it would be in the interests of th</w:t>
      </w:r>
      <w:r>
        <w:t>at</w:t>
      </w:r>
      <w:r w:rsidRPr="0057544C">
        <w:t xml:space="preserve"> company and its clients for the application to be granted</w:t>
      </w:r>
      <w:r>
        <w:t>; or</w:t>
      </w:r>
    </w:p>
    <w:p w14:paraId="687B47AE" w14:textId="77777777" w:rsidR="00DC2238" w:rsidRDefault="00DC2238" w:rsidP="000435D6">
      <w:pPr>
        <w:pStyle w:val="paragraph"/>
      </w:pPr>
      <w:r>
        <w:tab/>
        <w:t>(b)</w:t>
      </w:r>
      <w:r>
        <w:tab/>
        <w:t xml:space="preserve">in the case of a </w:t>
      </w:r>
      <w:r w:rsidRPr="00634BB0">
        <w:t xml:space="preserve">proposed licensed trustee </w:t>
      </w:r>
      <w:r>
        <w:t>company</w:t>
      </w:r>
      <w:r w:rsidRPr="00634BB0">
        <w:t>—</w:t>
      </w:r>
      <w:r w:rsidRPr="0057544C">
        <w:t>it would be in the interests of th</w:t>
      </w:r>
      <w:r>
        <w:t>at</w:t>
      </w:r>
      <w:r w:rsidRPr="0057544C">
        <w:t xml:space="preserve"> company and its clients for the application to be granted</w:t>
      </w:r>
      <w:r>
        <w:t xml:space="preserve"> were that company a licensed trustee company.</w:t>
      </w:r>
    </w:p>
    <w:p w14:paraId="5C79D353" w14:textId="77777777" w:rsidR="00DC2238" w:rsidRDefault="00DC2238" w:rsidP="000435D6">
      <w:pPr>
        <w:pStyle w:val="ItemHead"/>
      </w:pPr>
      <w:proofErr w:type="gramStart"/>
      <w:r w:rsidRPr="00304C57">
        <w:t>1</w:t>
      </w:r>
      <w:r>
        <w:t>3</w:t>
      </w:r>
      <w:r w:rsidRPr="00304C57">
        <w:t xml:space="preserve">  </w:t>
      </w:r>
      <w:r w:rsidR="000435D6">
        <w:t>Subsection</w:t>
      </w:r>
      <w:proofErr w:type="gramEnd"/>
      <w:r w:rsidR="000435D6">
        <w:t> 6</w:t>
      </w:r>
      <w:r w:rsidRPr="00304C57">
        <w:t>01VBE(6)</w:t>
      </w:r>
    </w:p>
    <w:p w14:paraId="48ACED52" w14:textId="77777777" w:rsidR="00DC2238" w:rsidRDefault="00DC2238" w:rsidP="000435D6">
      <w:pPr>
        <w:pStyle w:val="Item"/>
      </w:pPr>
      <w:r>
        <w:t>Omit all the words after “the Minister is satisfied that”, substitute:</w:t>
      </w:r>
    </w:p>
    <w:p w14:paraId="2D193849" w14:textId="77777777" w:rsidR="00DC2238" w:rsidRDefault="00DC2238" w:rsidP="000435D6">
      <w:pPr>
        <w:pStyle w:val="paragraph"/>
      </w:pPr>
      <w:r>
        <w:tab/>
        <w:t>: (a)</w:t>
      </w:r>
      <w:r>
        <w:tab/>
        <w:t>in the case of a licensed trustee company</w:t>
      </w:r>
      <w:r w:rsidRPr="00634BB0">
        <w:t>—</w:t>
      </w:r>
      <w:r>
        <w:t xml:space="preserve">the variation </w:t>
      </w:r>
      <w:r w:rsidRPr="0057544C">
        <w:t>would be in the interests of th</w:t>
      </w:r>
      <w:r>
        <w:t>at</w:t>
      </w:r>
      <w:r w:rsidRPr="0057544C">
        <w:t xml:space="preserve"> company and its clients</w:t>
      </w:r>
      <w:r>
        <w:t>; or</w:t>
      </w:r>
    </w:p>
    <w:p w14:paraId="3B9105A9" w14:textId="77777777" w:rsidR="00DC2238" w:rsidRPr="00304C57" w:rsidRDefault="00DC2238" w:rsidP="000435D6">
      <w:pPr>
        <w:pStyle w:val="paragraph"/>
      </w:pPr>
      <w:r>
        <w:tab/>
        <w:t>(b)</w:t>
      </w:r>
      <w:r>
        <w:tab/>
        <w:t xml:space="preserve">in the case of a </w:t>
      </w:r>
      <w:r w:rsidRPr="00634BB0">
        <w:t xml:space="preserve">proposed licensed trustee </w:t>
      </w:r>
      <w:r>
        <w:t>company</w:t>
      </w:r>
      <w:r w:rsidRPr="00634BB0">
        <w:t>—</w:t>
      </w:r>
      <w:r>
        <w:t xml:space="preserve">the variation </w:t>
      </w:r>
      <w:r w:rsidRPr="0057544C">
        <w:t>would be in the interests of th</w:t>
      </w:r>
      <w:r>
        <w:t>at</w:t>
      </w:r>
      <w:r w:rsidRPr="0057544C">
        <w:t xml:space="preserve"> company and its clients</w:t>
      </w:r>
      <w:r>
        <w:t xml:space="preserve"> were that company a licensed trustee company.</w:t>
      </w:r>
    </w:p>
    <w:p w14:paraId="459306A0" w14:textId="77777777" w:rsidR="00DC2238" w:rsidRDefault="00DC2238" w:rsidP="000435D6">
      <w:pPr>
        <w:pStyle w:val="ItemHead"/>
      </w:pPr>
      <w:proofErr w:type="gramStart"/>
      <w:r w:rsidRPr="00304C57">
        <w:t>1</w:t>
      </w:r>
      <w:r>
        <w:t>4</w:t>
      </w:r>
      <w:r w:rsidRPr="00304C57">
        <w:t xml:space="preserve">  </w:t>
      </w:r>
      <w:r w:rsidR="000435D6">
        <w:t>Paragraph</w:t>
      </w:r>
      <w:proofErr w:type="gramEnd"/>
      <w:r w:rsidR="000435D6">
        <w:t> 6</w:t>
      </w:r>
      <w:r w:rsidRPr="00304C57">
        <w:t>01VBE(9)</w:t>
      </w:r>
      <w:r>
        <w:t>(b)</w:t>
      </w:r>
    </w:p>
    <w:p w14:paraId="347206FC" w14:textId="77777777" w:rsidR="00DC2238" w:rsidRDefault="00DC2238" w:rsidP="000435D6">
      <w:pPr>
        <w:pStyle w:val="Item"/>
      </w:pPr>
      <w:r>
        <w:t>Omit “licensed trustee”.</w:t>
      </w:r>
    </w:p>
    <w:p w14:paraId="1582C9BE" w14:textId="77777777" w:rsidR="00DC2238" w:rsidRPr="00E427AF" w:rsidRDefault="00DC2238" w:rsidP="000435D6">
      <w:pPr>
        <w:pStyle w:val="ItemHead"/>
      </w:pPr>
      <w:proofErr w:type="gramStart"/>
      <w:r>
        <w:t xml:space="preserve">15  </w:t>
      </w:r>
      <w:r w:rsidR="000435D6">
        <w:t>Subsection</w:t>
      </w:r>
      <w:proofErr w:type="gramEnd"/>
      <w:r w:rsidR="000435D6">
        <w:t> 6</w:t>
      </w:r>
      <w:r w:rsidRPr="00E427AF">
        <w:t>01VBF(1)</w:t>
      </w:r>
    </w:p>
    <w:p w14:paraId="5582297B" w14:textId="77777777" w:rsidR="00DC2238" w:rsidRDefault="00DC2238" w:rsidP="000435D6">
      <w:pPr>
        <w:pStyle w:val="Item"/>
      </w:pPr>
      <w:r>
        <w:t>After “licensed trustee company”, insert “or proposed licensed trustee company”.</w:t>
      </w:r>
    </w:p>
    <w:p w14:paraId="7D7E3B02" w14:textId="77777777" w:rsidR="00DC2238" w:rsidRDefault="00DC2238" w:rsidP="000435D6">
      <w:pPr>
        <w:pStyle w:val="ItemHead"/>
      </w:pPr>
      <w:proofErr w:type="gramStart"/>
      <w:r>
        <w:t xml:space="preserve">16  </w:t>
      </w:r>
      <w:r w:rsidR="000435D6">
        <w:t>Paragraph</w:t>
      </w:r>
      <w:proofErr w:type="gramEnd"/>
      <w:r w:rsidR="000435D6">
        <w:t> 6</w:t>
      </w:r>
      <w:r>
        <w:t>01VBF(1)(a)</w:t>
      </w:r>
    </w:p>
    <w:p w14:paraId="6EAAA812" w14:textId="77777777" w:rsidR="00DC2238" w:rsidRDefault="00DC2238" w:rsidP="000435D6">
      <w:pPr>
        <w:pStyle w:val="Item"/>
      </w:pPr>
      <w:r>
        <w:t>Omit all the words after “the Minister is satisfied that”, substitute</w:t>
      </w:r>
      <w:bookmarkStart w:id="12" w:name="BK_S1P4L23C70"/>
      <w:bookmarkEnd w:id="12"/>
      <w:r w:rsidR="00382DA7">
        <w:t>:</w:t>
      </w:r>
    </w:p>
    <w:p w14:paraId="23FEAD8E" w14:textId="77777777" w:rsidR="00DC2238" w:rsidRDefault="00DC2238" w:rsidP="000435D6">
      <w:pPr>
        <w:pStyle w:val="paragraphsub"/>
      </w:pPr>
      <w:bookmarkStart w:id="13" w:name="BK_S1P4L24C1"/>
      <w:bookmarkEnd w:id="13"/>
      <w:r>
        <w:tab/>
        <w:t>: (</w:t>
      </w:r>
      <w:proofErr w:type="spellStart"/>
      <w:r>
        <w:t>i</w:t>
      </w:r>
      <w:proofErr w:type="spellEnd"/>
      <w:r>
        <w:t>)</w:t>
      </w:r>
      <w:r>
        <w:tab/>
        <w:t>in the case of a licensed trustee company</w:t>
      </w:r>
      <w:r w:rsidRPr="00634BB0">
        <w:t>—</w:t>
      </w:r>
      <w:r w:rsidRPr="0057544C">
        <w:t>it would be in the interests of th</w:t>
      </w:r>
      <w:r>
        <w:t>at</w:t>
      </w:r>
      <w:r w:rsidRPr="0057544C">
        <w:t xml:space="preserve"> company and its clients for the </w:t>
      </w:r>
      <w:r>
        <w:t>approval</w:t>
      </w:r>
      <w:r w:rsidRPr="0057544C">
        <w:t xml:space="preserve"> to be </w:t>
      </w:r>
      <w:r>
        <w:t>revoked; or</w:t>
      </w:r>
    </w:p>
    <w:p w14:paraId="7C54F387" w14:textId="77777777" w:rsidR="00DC2238" w:rsidRPr="00304C57" w:rsidRDefault="00DC2238" w:rsidP="000435D6">
      <w:pPr>
        <w:pStyle w:val="paragraphsub"/>
      </w:pPr>
      <w:r>
        <w:tab/>
        <w:t>(ii)</w:t>
      </w:r>
      <w:r>
        <w:tab/>
        <w:t xml:space="preserve">in the case of a </w:t>
      </w:r>
      <w:r w:rsidRPr="00634BB0">
        <w:t xml:space="preserve">proposed licensed trustee </w:t>
      </w:r>
      <w:r>
        <w:t>company</w:t>
      </w:r>
      <w:r w:rsidRPr="00634BB0">
        <w:t>—</w:t>
      </w:r>
      <w:r w:rsidRPr="0057544C">
        <w:t>it would be in the interests of th</w:t>
      </w:r>
      <w:r>
        <w:t>at</w:t>
      </w:r>
      <w:r w:rsidRPr="0057544C">
        <w:t xml:space="preserve"> company and its clients for the </w:t>
      </w:r>
      <w:r>
        <w:t>approval</w:t>
      </w:r>
      <w:r w:rsidRPr="0057544C">
        <w:t xml:space="preserve"> to be </w:t>
      </w:r>
      <w:r>
        <w:t>revoked were that company a licensed trustee company.</w:t>
      </w:r>
    </w:p>
    <w:p w14:paraId="620F852A" w14:textId="77777777" w:rsidR="00DC2238" w:rsidRDefault="00DC2238" w:rsidP="000435D6">
      <w:pPr>
        <w:pStyle w:val="ItemHead"/>
      </w:pPr>
      <w:proofErr w:type="gramStart"/>
      <w:r>
        <w:t xml:space="preserve">17  </w:t>
      </w:r>
      <w:r w:rsidR="000435D6">
        <w:t>Paragraph</w:t>
      </w:r>
      <w:proofErr w:type="gramEnd"/>
      <w:r w:rsidR="000435D6">
        <w:t> 6</w:t>
      </w:r>
      <w:r>
        <w:t>01VBF(1)(b)</w:t>
      </w:r>
    </w:p>
    <w:p w14:paraId="087497AB" w14:textId="77777777" w:rsidR="00DC2238" w:rsidRPr="00304C57" w:rsidRDefault="00DC2238" w:rsidP="000435D6">
      <w:pPr>
        <w:pStyle w:val="Item"/>
      </w:pPr>
      <w:r>
        <w:t>Omit</w:t>
      </w:r>
      <w:r w:rsidRPr="00E427AF">
        <w:t xml:space="preserve"> “trustee”.</w:t>
      </w:r>
    </w:p>
    <w:p w14:paraId="7BEB34D0" w14:textId="77777777" w:rsidR="00DC2238" w:rsidRPr="00E427AF" w:rsidRDefault="00DC2238" w:rsidP="000435D6">
      <w:pPr>
        <w:pStyle w:val="ItemHead"/>
      </w:pPr>
      <w:proofErr w:type="gramStart"/>
      <w:r>
        <w:t xml:space="preserve">18  </w:t>
      </w:r>
      <w:r w:rsidR="000435D6">
        <w:t>Paragraph</w:t>
      </w:r>
      <w:proofErr w:type="gramEnd"/>
      <w:r w:rsidR="000435D6">
        <w:t> 6</w:t>
      </w:r>
      <w:r w:rsidRPr="00E427AF">
        <w:t>01VBF(</w:t>
      </w:r>
      <w:r>
        <w:t>4</w:t>
      </w:r>
      <w:r w:rsidRPr="00E427AF">
        <w:t>)</w:t>
      </w:r>
      <w:r>
        <w:t>(b)</w:t>
      </w:r>
    </w:p>
    <w:p w14:paraId="09560A86" w14:textId="77777777" w:rsidR="00DC2238" w:rsidRDefault="00DC2238" w:rsidP="000435D6">
      <w:pPr>
        <w:pStyle w:val="Item"/>
      </w:pPr>
      <w:r>
        <w:t>Omit “licensed trustee”.</w:t>
      </w:r>
    </w:p>
    <w:p w14:paraId="44DE6D01" w14:textId="77777777" w:rsidR="00DC2238" w:rsidRDefault="00DC2238" w:rsidP="000435D6">
      <w:pPr>
        <w:pStyle w:val="ItemHead"/>
      </w:pPr>
      <w:proofErr w:type="gramStart"/>
      <w:r>
        <w:lastRenderedPageBreak/>
        <w:t xml:space="preserve">19  </w:t>
      </w:r>
      <w:r w:rsidR="000435D6">
        <w:t>Section</w:t>
      </w:r>
      <w:proofErr w:type="gramEnd"/>
      <w:r w:rsidR="000435D6">
        <w:t> 6</w:t>
      </w:r>
      <w:r>
        <w:t>01VBH (heading)</w:t>
      </w:r>
    </w:p>
    <w:p w14:paraId="24088D4A" w14:textId="77777777" w:rsidR="00DC2238" w:rsidRDefault="00DC2238" w:rsidP="000435D6">
      <w:pPr>
        <w:pStyle w:val="Item"/>
      </w:pPr>
      <w:r>
        <w:t>Omit “</w:t>
      </w:r>
      <w:r>
        <w:rPr>
          <w:b/>
        </w:rPr>
        <w:t>licensed trustee company and its clients</w:t>
      </w:r>
      <w:r>
        <w:t>”, substitute “</w:t>
      </w:r>
      <w:r>
        <w:rPr>
          <w:b/>
        </w:rPr>
        <w:t xml:space="preserve">the </w:t>
      </w:r>
      <w:r w:rsidRPr="00B25EE9">
        <w:rPr>
          <w:b/>
        </w:rPr>
        <w:t>company</w:t>
      </w:r>
      <w:r>
        <w:rPr>
          <w:b/>
        </w:rPr>
        <w:t xml:space="preserve"> concerned and its clients</w:t>
      </w:r>
      <w:r>
        <w:t>”.</w:t>
      </w:r>
    </w:p>
    <w:p w14:paraId="7721261F" w14:textId="77777777" w:rsidR="00DC2238" w:rsidRDefault="00DC2238" w:rsidP="000435D6">
      <w:pPr>
        <w:pStyle w:val="ItemHead"/>
      </w:pPr>
      <w:proofErr w:type="gramStart"/>
      <w:r>
        <w:t xml:space="preserve">20  </w:t>
      </w:r>
      <w:r w:rsidR="000435D6">
        <w:t>Section</w:t>
      </w:r>
      <w:proofErr w:type="gramEnd"/>
      <w:r w:rsidR="000435D6">
        <w:t> 6</w:t>
      </w:r>
      <w:r>
        <w:t>01VBH</w:t>
      </w:r>
    </w:p>
    <w:p w14:paraId="4DC07616" w14:textId="77777777" w:rsidR="00DC2238" w:rsidRPr="006C6743" w:rsidRDefault="00DC2238" w:rsidP="000435D6">
      <w:pPr>
        <w:pStyle w:val="Item"/>
      </w:pPr>
      <w:r>
        <w:t xml:space="preserve">Omit all the words after “in relation to,”, substitute “a company, </w:t>
      </w:r>
      <w:r w:rsidRPr="00BF03D5">
        <w:t xml:space="preserve">the Minister may seek the views of the company </w:t>
      </w:r>
      <w:r>
        <w:t xml:space="preserve">concerned </w:t>
      </w:r>
      <w:r w:rsidRPr="00BF03D5">
        <w:t>and its client</w:t>
      </w:r>
      <w:r>
        <w:t>s”.</w:t>
      </w:r>
    </w:p>
    <w:p w14:paraId="6B7F0986" w14:textId="77777777" w:rsidR="00DC2238" w:rsidRDefault="00DC2238" w:rsidP="000435D6">
      <w:pPr>
        <w:pStyle w:val="ItemHead"/>
      </w:pPr>
      <w:proofErr w:type="gramStart"/>
      <w:r>
        <w:t xml:space="preserve">21  </w:t>
      </w:r>
      <w:r w:rsidR="000435D6">
        <w:t>Paragraph</w:t>
      </w:r>
      <w:proofErr w:type="gramEnd"/>
      <w:r w:rsidR="000435D6">
        <w:t> 6</w:t>
      </w:r>
      <w:r>
        <w:t>01VBI(3)(b)</w:t>
      </w:r>
    </w:p>
    <w:p w14:paraId="039D4A3A" w14:textId="77777777" w:rsidR="00DC2238" w:rsidRDefault="00DC2238" w:rsidP="000435D6">
      <w:pPr>
        <w:pStyle w:val="Item"/>
      </w:pPr>
      <w:r>
        <w:t>Omit</w:t>
      </w:r>
      <w:r w:rsidRPr="00E427AF">
        <w:t xml:space="preserve"> “</w:t>
      </w:r>
      <w:r>
        <w:t xml:space="preserve">licensed </w:t>
      </w:r>
      <w:r w:rsidRPr="00E427AF">
        <w:t>trustee”.</w:t>
      </w:r>
    </w:p>
    <w:p w14:paraId="44353FF4" w14:textId="77777777" w:rsidR="00DC2238" w:rsidRDefault="00DC2238" w:rsidP="000435D6">
      <w:pPr>
        <w:pStyle w:val="ItemHead"/>
      </w:pPr>
      <w:proofErr w:type="gramStart"/>
      <w:r>
        <w:t xml:space="preserve">22  </w:t>
      </w:r>
      <w:r w:rsidR="000435D6">
        <w:t>Subsection</w:t>
      </w:r>
      <w:proofErr w:type="gramEnd"/>
      <w:r w:rsidR="000435D6">
        <w:t> 6</w:t>
      </w:r>
      <w:r>
        <w:t>01VBI(5)</w:t>
      </w:r>
    </w:p>
    <w:p w14:paraId="49E345E9" w14:textId="77777777" w:rsidR="00DC2238" w:rsidRDefault="00DC2238" w:rsidP="000435D6">
      <w:pPr>
        <w:pStyle w:val="Item"/>
      </w:pPr>
      <w:r>
        <w:t>Omit “licensed trustee”.</w:t>
      </w:r>
    </w:p>
    <w:p w14:paraId="2EFDE66B" w14:textId="77777777" w:rsidR="00DC2238" w:rsidRDefault="00DC2238" w:rsidP="000435D6">
      <w:pPr>
        <w:pStyle w:val="ItemHead"/>
      </w:pPr>
      <w:proofErr w:type="gramStart"/>
      <w:r>
        <w:t xml:space="preserve">23  </w:t>
      </w:r>
      <w:r w:rsidR="000435D6">
        <w:t>Section</w:t>
      </w:r>
      <w:proofErr w:type="gramEnd"/>
      <w:r w:rsidR="000435D6">
        <w:t> 6</w:t>
      </w:r>
      <w:r>
        <w:t>01VCB</w:t>
      </w:r>
    </w:p>
    <w:p w14:paraId="5D7D6A7D" w14:textId="77777777" w:rsidR="00DC2238" w:rsidRDefault="00DC2238" w:rsidP="000435D6">
      <w:pPr>
        <w:pStyle w:val="Item"/>
      </w:pPr>
      <w:r>
        <w:t>Omit “licensed trustee”.</w:t>
      </w:r>
    </w:p>
    <w:p w14:paraId="2F6B3286" w14:textId="77777777" w:rsidR="00D622C4" w:rsidRDefault="00D622C4" w:rsidP="00D622C4">
      <w:pPr>
        <w:pStyle w:val="ActHead7"/>
        <w:pageBreakBefore/>
      </w:pPr>
      <w:bookmarkStart w:id="14" w:name="_Toc109652335"/>
      <w:r w:rsidRPr="0032209A">
        <w:rPr>
          <w:rStyle w:val="CharAmPartNo"/>
        </w:rPr>
        <w:lastRenderedPageBreak/>
        <w:t>Part 2</w:t>
      </w:r>
      <w:r>
        <w:t>—</w:t>
      </w:r>
      <w:r w:rsidRPr="0032209A">
        <w:rPr>
          <w:rStyle w:val="CharAmPartText"/>
        </w:rPr>
        <w:t>Repeals</w:t>
      </w:r>
      <w:bookmarkEnd w:id="14"/>
    </w:p>
    <w:p w14:paraId="3E7E14D9" w14:textId="77777777" w:rsidR="00D622C4" w:rsidRPr="006B5D7B" w:rsidRDefault="00D622C4" w:rsidP="00E54004">
      <w:pPr>
        <w:pStyle w:val="ActHead9"/>
      </w:pPr>
      <w:bookmarkStart w:id="15" w:name="_Toc109652336"/>
      <w:r w:rsidRPr="00554280">
        <w:t>ASIC Class Order [CO 12/340]</w:t>
      </w:r>
      <w:bookmarkEnd w:id="15"/>
    </w:p>
    <w:p w14:paraId="05F29E54" w14:textId="77777777" w:rsidR="00D622C4" w:rsidRDefault="00D622C4" w:rsidP="00D622C4">
      <w:pPr>
        <w:pStyle w:val="ItemHead"/>
      </w:pPr>
      <w:proofErr w:type="gramStart"/>
      <w:r w:rsidRPr="001E7FC2">
        <w:t>2</w:t>
      </w:r>
      <w:r>
        <w:t>4  The</w:t>
      </w:r>
      <w:proofErr w:type="gramEnd"/>
      <w:r>
        <w:t xml:space="preserve"> whole of the instrument</w:t>
      </w:r>
    </w:p>
    <w:p w14:paraId="47B0B9A8" w14:textId="77777777" w:rsidR="00D622C4" w:rsidRDefault="00D622C4" w:rsidP="00D622C4">
      <w:pPr>
        <w:pStyle w:val="Item"/>
      </w:pPr>
      <w:r>
        <w:t>Repeal the instrument.</w:t>
      </w:r>
    </w:p>
    <w:p w14:paraId="61CF4443" w14:textId="77777777" w:rsidR="00DC2238" w:rsidRDefault="000435D6" w:rsidP="000435D6">
      <w:pPr>
        <w:pStyle w:val="ActHead6"/>
        <w:pageBreakBefore/>
      </w:pPr>
      <w:bookmarkStart w:id="16" w:name="_Toc109652337"/>
      <w:r w:rsidRPr="0032209A">
        <w:rPr>
          <w:rStyle w:val="CharAmSchNo"/>
        </w:rPr>
        <w:lastRenderedPageBreak/>
        <w:t>Schedule 2</w:t>
      </w:r>
      <w:r w:rsidR="00DC2238">
        <w:t>—</w:t>
      </w:r>
      <w:r w:rsidR="00DC2238" w:rsidRPr="0032209A">
        <w:rPr>
          <w:rStyle w:val="CharAmSchText"/>
        </w:rPr>
        <w:t>Information in a Financial Services Guide given in a time critical situation</w:t>
      </w:r>
      <w:bookmarkEnd w:id="16"/>
    </w:p>
    <w:p w14:paraId="677A9D32" w14:textId="77777777" w:rsidR="00DC2238" w:rsidRDefault="000435D6" w:rsidP="000435D6">
      <w:pPr>
        <w:pStyle w:val="ActHead7"/>
      </w:pPr>
      <w:bookmarkStart w:id="17" w:name="_Toc109652338"/>
      <w:r w:rsidRPr="0032209A">
        <w:rPr>
          <w:rStyle w:val="CharAmPartNo"/>
        </w:rPr>
        <w:t>Part 1</w:t>
      </w:r>
      <w:r w:rsidR="00DC2238">
        <w:t>—</w:t>
      </w:r>
      <w:r w:rsidR="00DC2238" w:rsidRPr="0032209A">
        <w:rPr>
          <w:rStyle w:val="CharAmPartText"/>
        </w:rPr>
        <w:t>Amendments</w:t>
      </w:r>
      <w:bookmarkEnd w:id="17"/>
    </w:p>
    <w:p w14:paraId="65ED85B7" w14:textId="77777777" w:rsidR="00DC2238" w:rsidRPr="00EA1EAE" w:rsidRDefault="00DC2238" w:rsidP="000435D6">
      <w:pPr>
        <w:pStyle w:val="ActHead9"/>
        <w:rPr>
          <w:i w:val="0"/>
        </w:rPr>
      </w:pPr>
      <w:bookmarkStart w:id="18" w:name="_Toc109652339"/>
      <w:r>
        <w:t>Corporations</w:t>
      </w:r>
      <w:bookmarkStart w:id="19" w:name="BK_S1P6L5C13"/>
      <w:bookmarkEnd w:id="19"/>
      <w:r>
        <w:t xml:space="preserve"> Act 2001</w:t>
      </w:r>
      <w:bookmarkEnd w:id="18"/>
    </w:p>
    <w:p w14:paraId="642FB5AA" w14:textId="77777777" w:rsidR="00DC2238" w:rsidRDefault="00DC2238" w:rsidP="000435D6">
      <w:pPr>
        <w:pStyle w:val="ItemHead"/>
      </w:pPr>
      <w:proofErr w:type="gramStart"/>
      <w:r>
        <w:t xml:space="preserve">1  </w:t>
      </w:r>
      <w:r w:rsidR="000435D6">
        <w:t>Section</w:t>
      </w:r>
      <w:proofErr w:type="gramEnd"/>
      <w:r w:rsidR="000435D6">
        <w:t> 9</w:t>
      </w:r>
      <w:r>
        <w:t>41E</w:t>
      </w:r>
    </w:p>
    <w:p w14:paraId="15592216" w14:textId="77777777" w:rsidR="00DC2238" w:rsidRDefault="00DC2238" w:rsidP="000435D6">
      <w:pPr>
        <w:pStyle w:val="Item"/>
      </w:pPr>
      <w:r>
        <w:t>Repeal the section, substitute:</w:t>
      </w:r>
    </w:p>
    <w:p w14:paraId="177D6BFA" w14:textId="77777777" w:rsidR="00DC2238" w:rsidRDefault="00DC2238" w:rsidP="000435D6">
      <w:pPr>
        <w:pStyle w:val="ActHead5"/>
      </w:pPr>
      <w:bookmarkStart w:id="20" w:name="_Toc109652340"/>
      <w:r w:rsidRPr="0032209A">
        <w:rPr>
          <w:rStyle w:val="CharSectno"/>
        </w:rPr>
        <w:t>941</w:t>
      </w:r>
      <w:proofErr w:type="gramStart"/>
      <w:r w:rsidRPr="0032209A">
        <w:rPr>
          <w:rStyle w:val="CharSectno"/>
        </w:rPr>
        <w:t>E</w:t>
      </w:r>
      <w:r>
        <w:t xml:space="preserve">  Information</w:t>
      </w:r>
      <w:proofErr w:type="gramEnd"/>
      <w:r>
        <w:t xml:space="preserve"> must be up to date</w:t>
      </w:r>
      <w:bookmarkEnd w:id="20"/>
    </w:p>
    <w:p w14:paraId="41A42253" w14:textId="77777777" w:rsidR="00DC2238" w:rsidRDefault="00DC2238" w:rsidP="000435D6">
      <w:pPr>
        <w:pStyle w:val="subsection"/>
      </w:pPr>
      <w:r>
        <w:tab/>
        <w:t>(1)</w:t>
      </w:r>
      <w:r>
        <w:tab/>
        <w:t>T</w:t>
      </w:r>
      <w:r w:rsidRPr="00C02D3D">
        <w:t xml:space="preserve">he information in </w:t>
      </w:r>
      <w:r>
        <w:t>the</w:t>
      </w:r>
      <w:r w:rsidRPr="00C02D3D">
        <w:t xml:space="preserve"> Financial Services Guide must be up to date as at the time when it is given to the client.</w:t>
      </w:r>
    </w:p>
    <w:p w14:paraId="50C58F16" w14:textId="77777777" w:rsidR="00DC2238" w:rsidRDefault="00DC2238" w:rsidP="000435D6">
      <w:pPr>
        <w:pStyle w:val="subsection"/>
      </w:pPr>
      <w:r>
        <w:tab/>
        <w:t>(2)</w:t>
      </w:r>
      <w:r>
        <w:tab/>
        <w:t>However, if t</w:t>
      </w:r>
      <w:r w:rsidRPr="00C02D3D">
        <w:t xml:space="preserve">he Financial Services Guide </w:t>
      </w:r>
      <w:r>
        <w:t xml:space="preserve">is </w:t>
      </w:r>
      <w:r w:rsidRPr="00C02D3D">
        <w:t xml:space="preserve">given to </w:t>
      </w:r>
      <w:r>
        <w:t>the</w:t>
      </w:r>
      <w:r w:rsidRPr="00C02D3D">
        <w:t xml:space="preserve"> client under </w:t>
      </w:r>
      <w:r w:rsidR="000435D6">
        <w:t>subsection 9</w:t>
      </w:r>
      <w:r w:rsidRPr="00C02D3D">
        <w:t>41</w:t>
      </w:r>
      <w:proofErr w:type="gramStart"/>
      <w:r w:rsidRPr="00C02D3D">
        <w:t>D(</w:t>
      </w:r>
      <w:proofErr w:type="gramEnd"/>
      <w:r w:rsidRPr="00C02D3D">
        <w:t>4)</w:t>
      </w:r>
      <w:r>
        <w:t>, the information in the Financial Services Guide</w:t>
      </w:r>
      <w:r w:rsidRPr="00C02D3D">
        <w:t xml:space="preserve"> may be up to date as at the time the statement referred to in that subsection is given to the client.</w:t>
      </w:r>
    </w:p>
    <w:p w14:paraId="460F1D07" w14:textId="77777777" w:rsidR="00DC2238" w:rsidRPr="00C02D3D" w:rsidRDefault="00DC2238" w:rsidP="000435D6">
      <w:pPr>
        <w:pStyle w:val="notetext"/>
      </w:pPr>
      <w:r w:rsidRPr="00C02D3D">
        <w:t>Note:</w:t>
      </w:r>
      <w:r w:rsidRPr="00C02D3D">
        <w:tab/>
        <w:t xml:space="preserve">A Supplementary Financial Services Guide containing updated information may be given with a Financial Services Guide that has become out of date. The updated information is taken to be included in the Financial Services Guide (see </w:t>
      </w:r>
      <w:r w:rsidR="000435D6">
        <w:t>section 9</w:t>
      </w:r>
      <w:r w:rsidRPr="00C02D3D">
        <w:t>43D</w:t>
      </w:r>
      <w:r>
        <w:t>).</w:t>
      </w:r>
    </w:p>
    <w:p w14:paraId="4CD96DCF" w14:textId="77777777" w:rsidR="00DC2238" w:rsidRDefault="000435D6" w:rsidP="000435D6">
      <w:pPr>
        <w:pStyle w:val="ActHead7"/>
        <w:pageBreakBefore/>
      </w:pPr>
      <w:bookmarkStart w:id="21" w:name="BK_S1P8L1C1"/>
      <w:bookmarkStart w:id="22" w:name="_Toc109652341"/>
      <w:bookmarkEnd w:id="21"/>
      <w:r w:rsidRPr="0032209A">
        <w:rPr>
          <w:rStyle w:val="CharAmPartNo"/>
        </w:rPr>
        <w:lastRenderedPageBreak/>
        <w:t>Part 2</w:t>
      </w:r>
      <w:r w:rsidR="00DC2238">
        <w:t>—</w:t>
      </w:r>
      <w:r w:rsidR="00DC2238" w:rsidRPr="0032209A">
        <w:rPr>
          <w:rStyle w:val="CharAmPartText"/>
        </w:rPr>
        <w:t>Repeals</w:t>
      </w:r>
      <w:bookmarkEnd w:id="22"/>
    </w:p>
    <w:p w14:paraId="4C5676FD" w14:textId="77777777" w:rsidR="00DC2238" w:rsidRPr="006B5D7B" w:rsidRDefault="00DC2238" w:rsidP="00EA1EAE">
      <w:pPr>
        <w:pStyle w:val="ActHead9"/>
      </w:pPr>
      <w:bookmarkStart w:id="23" w:name="BK_S1P7L2C1"/>
      <w:bookmarkStart w:id="24" w:name="_Toc109652342"/>
      <w:bookmarkEnd w:id="23"/>
      <w:r w:rsidRPr="00C27E3E">
        <w:t>ASIC Corporations</w:t>
      </w:r>
      <w:bookmarkStart w:id="25" w:name="BK_S1P7L2C18"/>
      <w:bookmarkEnd w:id="25"/>
      <w:r w:rsidRPr="00C27E3E">
        <w:t xml:space="preserve"> </w:t>
      </w:r>
      <w:r w:rsidRPr="00735A5D">
        <w:t>(Financial Services Guide Given in a Time Critical Situation) Instrument 2022/498</w:t>
      </w:r>
      <w:bookmarkEnd w:id="24"/>
    </w:p>
    <w:p w14:paraId="2C1FAB1E" w14:textId="77777777" w:rsidR="00DC2238" w:rsidRDefault="00DC2238" w:rsidP="000435D6">
      <w:pPr>
        <w:pStyle w:val="ItemHead"/>
      </w:pPr>
      <w:proofErr w:type="gramStart"/>
      <w:r>
        <w:t>2  The</w:t>
      </w:r>
      <w:proofErr w:type="gramEnd"/>
      <w:r>
        <w:t xml:space="preserve"> whole of the instrument</w:t>
      </w:r>
    </w:p>
    <w:p w14:paraId="55F46441" w14:textId="77777777" w:rsidR="00DC2238" w:rsidRDefault="00DC2238" w:rsidP="000435D6">
      <w:pPr>
        <w:pStyle w:val="Item"/>
      </w:pPr>
      <w:r>
        <w:t>Repeal the instrument.</w:t>
      </w:r>
    </w:p>
    <w:p w14:paraId="1BB700F6" w14:textId="77777777" w:rsidR="00DC2238" w:rsidRPr="00724E51" w:rsidRDefault="000435D6" w:rsidP="000435D6">
      <w:pPr>
        <w:pStyle w:val="ActHead6"/>
        <w:pageBreakBefore/>
      </w:pPr>
      <w:bookmarkStart w:id="26" w:name="_Toc109652343"/>
      <w:r w:rsidRPr="0032209A">
        <w:rPr>
          <w:rStyle w:val="CharAmSchNo"/>
        </w:rPr>
        <w:lastRenderedPageBreak/>
        <w:t>Schedule 3</w:t>
      </w:r>
      <w:r w:rsidR="00DC2238" w:rsidRPr="00724E51">
        <w:t>—</w:t>
      </w:r>
      <w:r w:rsidR="00DC2238" w:rsidRPr="0032209A">
        <w:rPr>
          <w:rStyle w:val="CharAmSchText"/>
        </w:rPr>
        <w:t>Product Disclosure Statement requirements for general insurance quotes</w:t>
      </w:r>
      <w:bookmarkEnd w:id="26"/>
    </w:p>
    <w:p w14:paraId="56AC8DB2" w14:textId="77777777" w:rsidR="00DC2238" w:rsidRPr="00724E51" w:rsidRDefault="000435D6" w:rsidP="000435D6">
      <w:pPr>
        <w:pStyle w:val="ActHead7"/>
      </w:pPr>
      <w:bookmarkStart w:id="27" w:name="_Toc109652344"/>
      <w:r w:rsidRPr="0032209A">
        <w:rPr>
          <w:rStyle w:val="CharAmPartNo"/>
        </w:rPr>
        <w:t>Part 1</w:t>
      </w:r>
      <w:r w:rsidR="00DC2238" w:rsidRPr="00724E51">
        <w:t>—</w:t>
      </w:r>
      <w:r w:rsidR="00DC2238" w:rsidRPr="0032209A">
        <w:rPr>
          <w:rStyle w:val="CharAmPartText"/>
        </w:rPr>
        <w:t>Amendments</w:t>
      </w:r>
      <w:bookmarkEnd w:id="27"/>
    </w:p>
    <w:p w14:paraId="34C4C593" w14:textId="77777777" w:rsidR="00DC2238" w:rsidRPr="00EA1EAE" w:rsidRDefault="00DC2238" w:rsidP="000435D6">
      <w:pPr>
        <w:pStyle w:val="ActHead9"/>
        <w:rPr>
          <w:i w:val="0"/>
        </w:rPr>
      </w:pPr>
      <w:bookmarkStart w:id="28" w:name="_Toc109652345"/>
      <w:r w:rsidRPr="00724E51">
        <w:t>Corporations</w:t>
      </w:r>
      <w:bookmarkStart w:id="29" w:name="BK_S1P8L5C13"/>
      <w:bookmarkEnd w:id="29"/>
      <w:r w:rsidRPr="00724E51">
        <w:t xml:space="preserve"> Act 2001</w:t>
      </w:r>
      <w:bookmarkEnd w:id="28"/>
    </w:p>
    <w:p w14:paraId="7BDC5F0E" w14:textId="77777777" w:rsidR="00DC2238" w:rsidRPr="00724E51" w:rsidRDefault="00DC2238" w:rsidP="000435D6">
      <w:pPr>
        <w:pStyle w:val="ItemHead"/>
      </w:pPr>
      <w:proofErr w:type="gramStart"/>
      <w:r w:rsidRPr="00724E51">
        <w:t>1  Subsection</w:t>
      </w:r>
      <w:proofErr w:type="gramEnd"/>
      <w:r w:rsidRPr="00724E51">
        <w:t> 1012A(4)</w:t>
      </w:r>
    </w:p>
    <w:p w14:paraId="5037A74D" w14:textId="77777777" w:rsidR="00DC2238" w:rsidRPr="00724E51" w:rsidRDefault="00DC2238" w:rsidP="000435D6">
      <w:pPr>
        <w:pStyle w:val="Item"/>
      </w:pPr>
      <w:r w:rsidRPr="00724E51">
        <w:t>Repeal the subsection, substitute:</w:t>
      </w:r>
    </w:p>
    <w:p w14:paraId="021A21B3" w14:textId="77777777" w:rsidR="00DC2238" w:rsidRPr="00724E51" w:rsidRDefault="00DC2238" w:rsidP="000435D6">
      <w:pPr>
        <w:pStyle w:val="SubsectionHead"/>
      </w:pPr>
      <w:r w:rsidRPr="00724E51">
        <w:t>This section has effect subject to other provisions</w:t>
      </w:r>
    </w:p>
    <w:p w14:paraId="3F8B72A5" w14:textId="77777777" w:rsidR="00DC2238" w:rsidRPr="00724E51" w:rsidRDefault="00DC2238" w:rsidP="000435D6">
      <w:pPr>
        <w:pStyle w:val="subsection"/>
      </w:pPr>
      <w:r w:rsidRPr="00724E51">
        <w:tab/>
        <w:t>(4)</w:t>
      </w:r>
      <w:r w:rsidRPr="00724E51">
        <w:tab/>
        <w:t>This section does not apply to a regulated person for a recommendation situation if:</w:t>
      </w:r>
    </w:p>
    <w:p w14:paraId="63B9FAA2" w14:textId="77777777" w:rsidR="00DC2238" w:rsidRPr="00724E51" w:rsidRDefault="00DC2238" w:rsidP="000435D6">
      <w:pPr>
        <w:pStyle w:val="paragraph"/>
      </w:pPr>
      <w:r w:rsidRPr="00724E51">
        <w:tab/>
        <w:t>(a)</w:t>
      </w:r>
      <w:r w:rsidRPr="00724E51">
        <w:tab/>
        <w:t>one or more of sections 1012D, 1012DA, 1012E, 1012F, 1012G or 1014E apply to a regulated person for that recommendation situation; and</w:t>
      </w:r>
    </w:p>
    <w:p w14:paraId="70D10FC3" w14:textId="77777777" w:rsidR="00DC2238" w:rsidRPr="00724E51" w:rsidRDefault="00DC2238" w:rsidP="000435D6">
      <w:pPr>
        <w:pStyle w:val="paragraph"/>
      </w:pPr>
      <w:r w:rsidRPr="00724E51">
        <w:tab/>
        <w:t>(b)</w:t>
      </w:r>
      <w:r w:rsidRPr="00724E51">
        <w:tab/>
        <w:t>for each of those sections that so applies—the regulated person complies with the requirements (if any) in that section for that recommendation situation.</w:t>
      </w:r>
    </w:p>
    <w:p w14:paraId="1F568FCC" w14:textId="77777777" w:rsidR="00DC2238" w:rsidRPr="00724E51" w:rsidRDefault="00DC2238" w:rsidP="000435D6">
      <w:pPr>
        <w:pStyle w:val="ItemHead"/>
      </w:pPr>
      <w:proofErr w:type="gramStart"/>
      <w:r w:rsidRPr="00724E51">
        <w:t>2  Subsection</w:t>
      </w:r>
      <w:proofErr w:type="gramEnd"/>
      <w:r w:rsidRPr="00724E51">
        <w:t> 1012B(5)</w:t>
      </w:r>
    </w:p>
    <w:p w14:paraId="56D74493" w14:textId="77777777" w:rsidR="00DC2238" w:rsidRPr="00724E51" w:rsidRDefault="00DC2238" w:rsidP="000435D6">
      <w:pPr>
        <w:pStyle w:val="Item"/>
      </w:pPr>
      <w:r w:rsidRPr="00724E51">
        <w:t>Repeal the subsection, substitute:</w:t>
      </w:r>
    </w:p>
    <w:p w14:paraId="1B6E8F79" w14:textId="77777777" w:rsidR="00DC2238" w:rsidRPr="00724E51" w:rsidRDefault="00DC2238" w:rsidP="000435D6">
      <w:pPr>
        <w:pStyle w:val="SubsectionHead"/>
      </w:pPr>
      <w:r w:rsidRPr="00724E51">
        <w:t>This section has effect subject to other provisions</w:t>
      </w:r>
    </w:p>
    <w:p w14:paraId="7B82E726" w14:textId="77777777" w:rsidR="00DC2238" w:rsidRPr="00724E51" w:rsidRDefault="00DC2238" w:rsidP="000435D6">
      <w:pPr>
        <w:pStyle w:val="subsection"/>
      </w:pPr>
      <w:r w:rsidRPr="00724E51">
        <w:tab/>
        <w:t>(5)</w:t>
      </w:r>
      <w:r w:rsidRPr="00724E51">
        <w:tab/>
        <w:t>This section does not apply to a regulated person for an issue situation if:</w:t>
      </w:r>
    </w:p>
    <w:p w14:paraId="67EAA6F8" w14:textId="77777777" w:rsidR="00DC2238" w:rsidRPr="00724E51" w:rsidRDefault="00DC2238" w:rsidP="000435D6">
      <w:pPr>
        <w:pStyle w:val="paragraph"/>
      </w:pPr>
      <w:r w:rsidRPr="00724E51">
        <w:tab/>
        <w:t>(a)</w:t>
      </w:r>
      <w:r w:rsidRPr="00724E51">
        <w:tab/>
        <w:t>one or more of sections 1012D, 1012DAA, 1012E, 1012F, 1012G, 1012GA or 1014E apply to a regulated person for that issue situation; and</w:t>
      </w:r>
    </w:p>
    <w:p w14:paraId="30147633" w14:textId="77777777" w:rsidR="00DC2238" w:rsidRPr="00724E51" w:rsidRDefault="00DC2238" w:rsidP="000435D6">
      <w:pPr>
        <w:pStyle w:val="paragraph"/>
      </w:pPr>
      <w:r w:rsidRPr="00724E51">
        <w:tab/>
        <w:t>(b)</w:t>
      </w:r>
      <w:r w:rsidRPr="00724E51">
        <w:tab/>
        <w:t>for each of those sections that so applies—the regulated person complies with the requirements (if any) in that section for that issue situation.</w:t>
      </w:r>
    </w:p>
    <w:p w14:paraId="1C0750E8" w14:textId="77777777" w:rsidR="00DC2238" w:rsidRPr="00724E51" w:rsidRDefault="00DC2238" w:rsidP="000435D6">
      <w:pPr>
        <w:pStyle w:val="ItemHead"/>
      </w:pPr>
      <w:proofErr w:type="gramStart"/>
      <w:r w:rsidRPr="00724E51">
        <w:t>3  Subsection</w:t>
      </w:r>
      <w:proofErr w:type="gramEnd"/>
      <w:r w:rsidRPr="00724E51">
        <w:t> 1012C(10)</w:t>
      </w:r>
    </w:p>
    <w:p w14:paraId="5FB7879B" w14:textId="77777777" w:rsidR="00DC2238" w:rsidRPr="00724E51" w:rsidRDefault="00DC2238" w:rsidP="000435D6">
      <w:pPr>
        <w:pStyle w:val="Item"/>
      </w:pPr>
      <w:r w:rsidRPr="00724E51">
        <w:t>Repeal the subsection, substitute:</w:t>
      </w:r>
    </w:p>
    <w:p w14:paraId="1EDA2F69" w14:textId="77777777" w:rsidR="00DC2238" w:rsidRPr="00724E51" w:rsidRDefault="00DC2238" w:rsidP="000435D6">
      <w:pPr>
        <w:pStyle w:val="SubsectionHead"/>
      </w:pPr>
      <w:r w:rsidRPr="00724E51">
        <w:lastRenderedPageBreak/>
        <w:t>This section has effect subject to other provisions</w:t>
      </w:r>
    </w:p>
    <w:p w14:paraId="33598A6A" w14:textId="77777777" w:rsidR="00DC2238" w:rsidRPr="00724E51" w:rsidRDefault="00DC2238" w:rsidP="000435D6">
      <w:pPr>
        <w:pStyle w:val="subsection"/>
      </w:pPr>
      <w:r w:rsidRPr="00724E51">
        <w:tab/>
        <w:t>(10)</w:t>
      </w:r>
      <w:r w:rsidRPr="00724E51">
        <w:tab/>
        <w:t>This section does not apply to a regulated person for a sale situation if:</w:t>
      </w:r>
    </w:p>
    <w:p w14:paraId="0D1FD1FD" w14:textId="77777777" w:rsidR="00DC2238" w:rsidRPr="00724E51" w:rsidRDefault="00DC2238" w:rsidP="000435D6">
      <w:pPr>
        <w:pStyle w:val="paragraph"/>
      </w:pPr>
      <w:r w:rsidRPr="00724E51">
        <w:tab/>
        <w:t>(a)</w:t>
      </w:r>
      <w:r w:rsidRPr="00724E51">
        <w:tab/>
        <w:t>one or more of sections 1012D, 1012DA, 1012E or 1014E apply to a regulated person for that sale situation; and</w:t>
      </w:r>
    </w:p>
    <w:p w14:paraId="18C78358" w14:textId="77777777" w:rsidR="00DC2238" w:rsidRPr="00724E51" w:rsidRDefault="00DC2238" w:rsidP="000435D6">
      <w:pPr>
        <w:pStyle w:val="paragraph"/>
      </w:pPr>
      <w:r w:rsidRPr="00724E51">
        <w:tab/>
        <w:t>(b)</w:t>
      </w:r>
      <w:r w:rsidRPr="00724E51">
        <w:tab/>
        <w:t>for each of those sections that so applies—the regulated person complies with the requirements (if any) in that section for that sale situation.</w:t>
      </w:r>
    </w:p>
    <w:p w14:paraId="390695CB" w14:textId="77777777" w:rsidR="00DC2238" w:rsidRPr="00724E51" w:rsidRDefault="00DC2238" w:rsidP="000435D6">
      <w:pPr>
        <w:pStyle w:val="ItemHead"/>
      </w:pPr>
      <w:proofErr w:type="gramStart"/>
      <w:r w:rsidRPr="00724E51">
        <w:t>4  After</w:t>
      </w:r>
      <w:proofErr w:type="gramEnd"/>
      <w:r w:rsidRPr="00724E51">
        <w:t xml:space="preserve"> section 1012G</w:t>
      </w:r>
    </w:p>
    <w:p w14:paraId="4CAD69E2" w14:textId="77777777" w:rsidR="00DC2238" w:rsidRPr="00724E51" w:rsidRDefault="00DC2238" w:rsidP="000435D6">
      <w:pPr>
        <w:pStyle w:val="Item"/>
      </w:pPr>
      <w:r w:rsidRPr="00724E51">
        <w:t>Insert:</w:t>
      </w:r>
    </w:p>
    <w:p w14:paraId="33C3D47A" w14:textId="77777777" w:rsidR="00DC2238" w:rsidRPr="00724E51" w:rsidRDefault="00DC2238" w:rsidP="000435D6">
      <w:pPr>
        <w:pStyle w:val="ActHead5"/>
      </w:pPr>
      <w:bookmarkStart w:id="30" w:name="_Toc109652346"/>
      <w:r w:rsidRPr="0032209A">
        <w:rPr>
          <w:rStyle w:val="CharSectno"/>
        </w:rPr>
        <w:t>1012</w:t>
      </w:r>
      <w:proofErr w:type="gramStart"/>
      <w:r w:rsidRPr="0032209A">
        <w:rPr>
          <w:rStyle w:val="CharSectno"/>
        </w:rPr>
        <w:t>GA</w:t>
      </w:r>
      <w:r w:rsidRPr="00724E51">
        <w:t xml:space="preserve">  Product</w:t>
      </w:r>
      <w:proofErr w:type="gramEnd"/>
      <w:r w:rsidRPr="00724E51">
        <w:t xml:space="preserve"> Disclosure Statement for certain general insurance product quotes may be provided later, or is not required</w:t>
      </w:r>
      <w:bookmarkEnd w:id="30"/>
    </w:p>
    <w:p w14:paraId="7ABB09D5" w14:textId="77777777" w:rsidR="00DC2238" w:rsidRPr="00724E51" w:rsidRDefault="00DC2238" w:rsidP="000435D6">
      <w:pPr>
        <w:pStyle w:val="subsection"/>
      </w:pPr>
      <w:r w:rsidRPr="00724E51">
        <w:tab/>
        <w:t>(1)</w:t>
      </w:r>
      <w:r w:rsidRPr="00724E51">
        <w:tab/>
        <w:t>A regulated person, in making an offer to issue, or an offer to arrange for the issue of, a general insurance product to a client, may deal with the product under this section only if:</w:t>
      </w:r>
    </w:p>
    <w:p w14:paraId="74753573" w14:textId="77777777" w:rsidR="00DC2238" w:rsidRPr="00724E51" w:rsidRDefault="00DC2238" w:rsidP="000435D6">
      <w:pPr>
        <w:pStyle w:val="paragraph"/>
      </w:pPr>
      <w:r w:rsidRPr="00724E51">
        <w:tab/>
        <w:t>(a)</w:t>
      </w:r>
      <w:r w:rsidRPr="00724E51">
        <w:tab/>
        <w:t xml:space="preserve">the offer is made by or at the same time as giving a quote to the client </w:t>
      </w:r>
      <w:proofErr w:type="gramStart"/>
      <w:r w:rsidRPr="00724E51">
        <w:t>in the course of</w:t>
      </w:r>
      <w:proofErr w:type="gramEnd"/>
      <w:r w:rsidRPr="00724E51">
        <w:t xml:space="preserve">, or because of, a telephone call with the client that is not unsolicited contact (within the meaning of </w:t>
      </w:r>
      <w:r w:rsidR="000435D6">
        <w:t>section 9</w:t>
      </w:r>
      <w:r w:rsidRPr="00724E51">
        <w:t>92A); and</w:t>
      </w:r>
    </w:p>
    <w:p w14:paraId="4F906D65" w14:textId="77777777" w:rsidR="00DC2238" w:rsidRPr="00724E51" w:rsidRDefault="00DC2238" w:rsidP="000435D6">
      <w:pPr>
        <w:pStyle w:val="paragraph"/>
      </w:pPr>
      <w:r w:rsidRPr="00724E51">
        <w:tab/>
        <w:t>(b)</w:t>
      </w:r>
      <w:r w:rsidRPr="00724E51">
        <w:tab/>
      </w:r>
      <w:proofErr w:type="gramStart"/>
      <w:r w:rsidRPr="00724E51">
        <w:t>in the course of</w:t>
      </w:r>
      <w:proofErr w:type="gramEnd"/>
      <w:r w:rsidRPr="00724E51">
        <w:t xml:space="preserve"> the phone call, but before the offer is made, the regulated person orally communicates the following information to the client in a clear, concise and effective manner:</w:t>
      </w:r>
    </w:p>
    <w:p w14:paraId="72C195D4" w14:textId="77777777" w:rsidR="00DC2238" w:rsidRPr="00724E51" w:rsidRDefault="00DC2238" w:rsidP="000435D6">
      <w:pPr>
        <w:pStyle w:val="paragraphsub"/>
      </w:pPr>
      <w:r w:rsidRPr="00724E51">
        <w:tab/>
        <w:t>(</w:t>
      </w:r>
      <w:proofErr w:type="spellStart"/>
      <w:r w:rsidRPr="00724E51">
        <w:t>i</w:t>
      </w:r>
      <w:proofErr w:type="spellEnd"/>
      <w:r w:rsidRPr="00724E51">
        <w:t>)</w:t>
      </w:r>
      <w:r w:rsidRPr="00724E51">
        <w:tab/>
        <w:t>if the insurance cover under the product is subject to exclusions or limitations—that fact, and the fact that information about those exclusions and limitations is contained in the Product</w:t>
      </w:r>
      <w:bookmarkStart w:id="31" w:name="BK_S1P9L27C25"/>
      <w:bookmarkEnd w:id="31"/>
      <w:r w:rsidRPr="00724E51">
        <w:t xml:space="preserve"> Disclosure Statement for the </w:t>
      </w:r>
      <w:proofErr w:type="gramStart"/>
      <w:r w:rsidRPr="00724E51">
        <w:t>product;</w:t>
      </w:r>
      <w:proofErr w:type="gramEnd"/>
    </w:p>
    <w:p w14:paraId="079DD391" w14:textId="77777777" w:rsidR="00DC2238" w:rsidRPr="00724E51" w:rsidRDefault="00DC2238" w:rsidP="000435D6">
      <w:pPr>
        <w:pStyle w:val="paragraphsub"/>
      </w:pPr>
      <w:r w:rsidRPr="00724E51">
        <w:tab/>
        <w:t>(ii)</w:t>
      </w:r>
      <w:r w:rsidRPr="00724E51">
        <w:tab/>
        <w:t xml:space="preserve">that the level of insurance cover under the product may be different </w:t>
      </w:r>
      <w:bookmarkStart w:id="32" w:name="BK_S1P9L30C16"/>
      <w:bookmarkEnd w:id="32"/>
      <w:r w:rsidR="00891412">
        <w:t>from</w:t>
      </w:r>
      <w:r w:rsidRPr="00724E51">
        <w:t xml:space="preserve"> the level of insurance cover under other general insurance products; and</w:t>
      </w:r>
    </w:p>
    <w:p w14:paraId="4CCA045E" w14:textId="77777777" w:rsidR="00DC2238" w:rsidRPr="00724E51" w:rsidRDefault="00DC2238" w:rsidP="000435D6">
      <w:pPr>
        <w:pStyle w:val="paragraph"/>
      </w:pPr>
      <w:r w:rsidRPr="00724E51">
        <w:tab/>
        <w:t>(c)</w:t>
      </w:r>
      <w:r w:rsidRPr="00724E51">
        <w:tab/>
        <w:t xml:space="preserve">the regulated person asks the client whether the client wants to be given a Product Disclosure Statement for the </w:t>
      </w:r>
      <w:proofErr w:type="gramStart"/>
      <w:r w:rsidRPr="00724E51">
        <w:t>product, but</w:t>
      </w:r>
      <w:proofErr w:type="gramEnd"/>
      <w:r w:rsidRPr="00724E51">
        <w:t xml:space="preserve"> does not influence the client’s decision to elect to be given the Product Disclosure Statement.</w:t>
      </w:r>
    </w:p>
    <w:p w14:paraId="7D1667CE" w14:textId="77777777" w:rsidR="00DC2238" w:rsidRPr="00724E51" w:rsidRDefault="00DC2238" w:rsidP="000435D6">
      <w:pPr>
        <w:pStyle w:val="subsection"/>
      </w:pPr>
      <w:r w:rsidRPr="00724E51">
        <w:tab/>
        <w:t>(2)</w:t>
      </w:r>
      <w:r w:rsidRPr="00724E51">
        <w:tab/>
        <w:t>In the course of the telephone call:</w:t>
      </w:r>
    </w:p>
    <w:p w14:paraId="5F994BFC" w14:textId="77777777" w:rsidR="00DC2238" w:rsidRPr="00724E51" w:rsidRDefault="00DC2238" w:rsidP="000435D6">
      <w:pPr>
        <w:pStyle w:val="paragraph"/>
      </w:pPr>
      <w:r w:rsidRPr="00724E51">
        <w:tab/>
        <w:t>(a)</w:t>
      </w:r>
      <w:r w:rsidRPr="00724E51">
        <w:tab/>
        <w:t xml:space="preserve">if the client informs the regulated person that the client wants to be given the Product Disclosure Statement—the regulated </w:t>
      </w:r>
      <w:r w:rsidRPr="00724E51">
        <w:lastRenderedPageBreak/>
        <w:t>person must give the Product Disclosure Statement to the client as soon as practicable after the time the offer is made; or</w:t>
      </w:r>
    </w:p>
    <w:p w14:paraId="1704F005" w14:textId="77777777" w:rsidR="00DC2238" w:rsidRPr="00724E51" w:rsidRDefault="00DC2238" w:rsidP="000435D6">
      <w:pPr>
        <w:pStyle w:val="paragraph"/>
      </w:pPr>
      <w:r w:rsidRPr="00724E51">
        <w:tab/>
        <w:t>(b)</w:t>
      </w:r>
      <w:r w:rsidRPr="00724E51">
        <w:tab/>
        <w:t>if the client informs the regulated person that the client does not want to be given the Product Disclosure Statement—the regulated person does not have to give the client the Product Disclosure Statement in relation to the making of the offer.</w:t>
      </w:r>
    </w:p>
    <w:p w14:paraId="3378B1C1" w14:textId="77777777" w:rsidR="00DC2238" w:rsidRPr="00724E51" w:rsidRDefault="00DC2238" w:rsidP="000435D6">
      <w:pPr>
        <w:pStyle w:val="notetext"/>
      </w:pPr>
      <w:r w:rsidRPr="00724E51">
        <w:t>Note:</w:t>
      </w:r>
      <w:r w:rsidRPr="00724E51">
        <w:tab/>
        <w:t xml:space="preserve">The regulated person may need to give a Product Disclosure Statement to the client at or before the time specified in section 1012B if, </w:t>
      </w:r>
      <w:proofErr w:type="gramStart"/>
      <w:r w:rsidRPr="00724E51">
        <w:t>in the course of</w:t>
      </w:r>
      <w:proofErr w:type="gramEnd"/>
      <w:r w:rsidRPr="00724E51">
        <w:t xml:space="preserve"> the telephone call or later, the client applies for, or otherwise offers to acquire, the product, or the product is issued to the client.</w:t>
      </w:r>
    </w:p>
    <w:p w14:paraId="38480CF5" w14:textId="77777777" w:rsidR="00DC2238" w:rsidRPr="00724E51" w:rsidRDefault="00DC2238" w:rsidP="000435D6">
      <w:pPr>
        <w:pStyle w:val="subsection"/>
      </w:pPr>
      <w:r w:rsidRPr="00724E51">
        <w:tab/>
        <w:t>(3)</w:t>
      </w:r>
      <w:r w:rsidRPr="00724E51">
        <w:tab/>
        <w:t>In this section:</w:t>
      </w:r>
    </w:p>
    <w:p w14:paraId="3F25F6A9" w14:textId="77777777" w:rsidR="00DC2238" w:rsidRPr="00724E51" w:rsidRDefault="00DC2238" w:rsidP="000435D6">
      <w:pPr>
        <w:pStyle w:val="subsection"/>
      </w:pPr>
      <w:r w:rsidRPr="00724E51">
        <w:tab/>
      </w:r>
      <w:r w:rsidRPr="00724E51">
        <w:tab/>
      </w:r>
      <w:r w:rsidRPr="00724E51">
        <w:rPr>
          <w:b/>
          <w:i/>
        </w:rPr>
        <w:t xml:space="preserve">quote </w:t>
      </w:r>
      <w:r w:rsidRPr="00724E51">
        <w:t>means, in relation to a general insurance product, a statement of the cost (and not merely an estimate of the likely cost) of the product if the cost is calculated by a regulated person having regard to information given to them by a client.</w:t>
      </w:r>
    </w:p>
    <w:p w14:paraId="2E747B33" w14:textId="77777777" w:rsidR="00DC2238" w:rsidRPr="00724E51" w:rsidRDefault="000435D6" w:rsidP="000435D6">
      <w:pPr>
        <w:pStyle w:val="ActHead7"/>
        <w:pageBreakBefore/>
      </w:pPr>
      <w:bookmarkStart w:id="33" w:name="BK_S1P12L1C1"/>
      <w:bookmarkStart w:id="34" w:name="_Toc109652347"/>
      <w:bookmarkEnd w:id="33"/>
      <w:r w:rsidRPr="0032209A">
        <w:rPr>
          <w:rStyle w:val="CharAmPartNo"/>
        </w:rPr>
        <w:lastRenderedPageBreak/>
        <w:t>Part 2</w:t>
      </w:r>
      <w:r w:rsidR="00DC2238" w:rsidRPr="00724E51">
        <w:t>—</w:t>
      </w:r>
      <w:r w:rsidR="00DC2238" w:rsidRPr="0032209A">
        <w:rPr>
          <w:rStyle w:val="CharAmPartText"/>
        </w:rPr>
        <w:t>Repeals</w:t>
      </w:r>
      <w:bookmarkEnd w:id="34"/>
    </w:p>
    <w:p w14:paraId="45A72A25" w14:textId="77777777" w:rsidR="00DC2238" w:rsidRPr="00724E51" w:rsidRDefault="00DC2238" w:rsidP="00EA1EAE">
      <w:pPr>
        <w:pStyle w:val="ActHead9"/>
      </w:pPr>
      <w:bookmarkStart w:id="35" w:name="BK_S1P11L2C1"/>
      <w:bookmarkStart w:id="36" w:name="_Toc109652348"/>
      <w:bookmarkEnd w:id="35"/>
      <w:r w:rsidRPr="00724E51">
        <w:t>ASIC Corporations</w:t>
      </w:r>
      <w:bookmarkStart w:id="37" w:name="BK_S1P11L2C18"/>
      <w:bookmarkEnd w:id="37"/>
      <w:r w:rsidRPr="00724E51">
        <w:t xml:space="preserve"> (PDS Requirements for General Insurance Quotes) Instrument 2022/66</w:t>
      </w:r>
      <w:bookmarkEnd w:id="36"/>
    </w:p>
    <w:p w14:paraId="3908A662" w14:textId="77777777" w:rsidR="00DC2238" w:rsidRPr="00724E51" w:rsidRDefault="00DC2238" w:rsidP="000435D6">
      <w:pPr>
        <w:pStyle w:val="ItemHead"/>
      </w:pPr>
      <w:proofErr w:type="gramStart"/>
      <w:r w:rsidRPr="00724E51">
        <w:t>5  The</w:t>
      </w:r>
      <w:proofErr w:type="gramEnd"/>
      <w:r w:rsidRPr="00724E51">
        <w:t xml:space="preserve"> whole of the instrument</w:t>
      </w:r>
    </w:p>
    <w:p w14:paraId="1BE3C862" w14:textId="77777777" w:rsidR="00DC2238" w:rsidRPr="00724E51" w:rsidRDefault="00DC2238" w:rsidP="000435D6">
      <w:pPr>
        <w:pStyle w:val="Item"/>
      </w:pPr>
      <w:r w:rsidRPr="00724E51">
        <w:t>Repeal the instrument.</w:t>
      </w:r>
    </w:p>
    <w:p w14:paraId="0C8B15B8" w14:textId="77777777" w:rsidR="00DC2238" w:rsidRPr="00F22743" w:rsidRDefault="000435D6" w:rsidP="000435D6">
      <w:pPr>
        <w:pStyle w:val="ActHead6"/>
        <w:pageBreakBefore/>
      </w:pPr>
      <w:bookmarkStart w:id="38" w:name="_Toc109652349"/>
      <w:r w:rsidRPr="0032209A">
        <w:rPr>
          <w:rStyle w:val="CharAmSchNo"/>
        </w:rPr>
        <w:lastRenderedPageBreak/>
        <w:t>Schedule 4</w:t>
      </w:r>
      <w:r w:rsidR="00DC2238" w:rsidRPr="00F22743">
        <w:t>—</w:t>
      </w:r>
      <w:r w:rsidR="00DC2238" w:rsidRPr="0032209A">
        <w:rPr>
          <w:rStyle w:val="CharAmSchText"/>
        </w:rPr>
        <w:t>Describing debentures as secured notes</w:t>
      </w:r>
      <w:bookmarkEnd w:id="38"/>
    </w:p>
    <w:p w14:paraId="4ECCFD93" w14:textId="77777777" w:rsidR="00DC2238" w:rsidRPr="00F22743" w:rsidRDefault="000435D6" w:rsidP="000435D6">
      <w:pPr>
        <w:pStyle w:val="ActHead7"/>
      </w:pPr>
      <w:bookmarkStart w:id="39" w:name="_Toc109652350"/>
      <w:r w:rsidRPr="0032209A">
        <w:rPr>
          <w:rStyle w:val="CharAmPartNo"/>
        </w:rPr>
        <w:t>Part 1</w:t>
      </w:r>
      <w:r w:rsidR="00DC2238" w:rsidRPr="00F22743">
        <w:t>—</w:t>
      </w:r>
      <w:r w:rsidR="00DC2238" w:rsidRPr="0032209A">
        <w:rPr>
          <w:rStyle w:val="CharAmPartText"/>
        </w:rPr>
        <w:t>Amendments</w:t>
      </w:r>
      <w:bookmarkEnd w:id="39"/>
    </w:p>
    <w:p w14:paraId="2928C00E" w14:textId="77777777" w:rsidR="00DC2238" w:rsidRPr="00EA1EAE" w:rsidRDefault="00DC2238" w:rsidP="000435D6">
      <w:pPr>
        <w:pStyle w:val="ActHead9"/>
        <w:rPr>
          <w:i w:val="0"/>
        </w:rPr>
      </w:pPr>
      <w:bookmarkStart w:id="40" w:name="_Toc109652351"/>
      <w:r w:rsidRPr="00F22743">
        <w:t>Corporations</w:t>
      </w:r>
      <w:bookmarkStart w:id="41" w:name="BK_S1P12L4C13"/>
      <w:bookmarkEnd w:id="41"/>
      <w:r w:rsidRPr="00F22743">
        <w:t xml:space="preserve"> Act 2001</w:t>
      </w:r>
      <w:bookmarkEnd w:id="40"/>
    </w:p>
    <w:p w14:paraId="1B5C8FC9" w14:textId="77777777" w:rsidR="00DC2238" w:rsidRPr="00F22743" w:rsidRDefault="00DC2238" w:rsidP="000435D6">
      <w:pPr>
        <w:pStyle w:val="ItemHead"/>
      </w:pPr>
      <w:proofErr w:type="gramStart"/>
      <w:r w:rsidRPr="00F22743">
        <w:t>1  Subsection</w:t>
      </w:r>
      <w:proofErr w:type="gramEnd"/>
      <w:r w:rsidRPr="00F22743">
        <w:t> 283BH(1) (after table item 2)</w:t>
      </w:r>
    </w:p>
    <w:p w14:paraId="4904DC6C" w14:textId="77777777" w:rsidR="00DC2238" w:rsidRPr="00F22743" w:rsidRDefault="00DC2238" w:rsidP="000435D6">
      <w:pPr>
        <w:pStyle w:val="Item"/>
      </w:pPr>
      <w:r w:rsidRPr="00F22743">
        <w:t>Insert:</w:t>
      </w:r>
    </w:p>
    <w:tbl>
      <w:tblPr>
        <w:tblW w:w="0" w:type="auto"/>
        <w:tblInd w:w="108" w:type="dxa"/>
        <w:tblLayout w:type="fixed"/>
        <w:tblLook w:val="0020" w:firstRow="1" w:lastRow="0" w:firstColumn="0" w:lastColumn="0" w:noHBand="0" w:noVBand="0"/>
      </w:tblPr>
      <w:tblGrid>
        <w:gridCol w:w="709"/>
        <w:gridCol w:w="3101"/>
        <w:gridCol w:w="3278"/>
      </w:tblGrid>
      <w:tr w:rsidR="00DC2238" w:rsidRPr="00F22743" w14:paraId="1B8A30EA" w14:textId="77777777" w:rsidTr="004606AF">
        <w:tc>
          <w:tcPr>
            <w:tcW w:w="709" w:type="dxa"/>
            <w:shd w:val="clear" w:color="auto" w:fill="auto"/>
          </w:tcPr>
          <w:p w14:paraId="5A89033C" w14:textId="77777777" w:rsidR="00DC2238" w:rsidRPr="00F22743" w:rsidRDefault="00DC2238" w:rsidP="000435D6">
            <w:pPr>
              <w:pStyle w:val="Tabletext"/>
            </w:pPr>
            <w:r w:rsidRPr="00F22743">
              <w:t>2A</w:t>
            </w:r>
          </w:p>
        </w:tc>
        <w:tc>
          <w:tcPr>
            <w:tcW w:w="3101" w:type="dxa"/>
            <w:shd w:val="clear" w:color="auto" w:fill="auto"/>
          </w:tcPr>
          <w:p w14:paraId="554DF321" w14:textId="77777777" w:rsidR="00DC2238" w:rsidRPr="00F22743" w:rsidRDefault="00DC2238" w:rsidP="000435D6">
            <w:pPr>
              <w:pStyle w:val="Tabletext"/>
            </w:pPr>
            <w:r w:rsidRPr="00F22743">
              <w:t>secured note</w:t>
            </w:r>
          </w:p>
        </w:tc>
        <w:tc>
          <w:tcPr>
            <w:tcW w:w="3278" w:type="dxa"/>
            <w:shd w:val="clear" w:color="auto" w:fill="auto"/>
          </w:tcPr>
          <w:p w14:paraId="2A752D21" w14:textId="77777777" w:rsidR="00DC2238" w:rsidRPr="00F22743" w:rsidRDefault="00DC2238" w:rsidP="000435D6">
            <w:pPr>
              <w:pStyle w:val="Tabletext"/>
            </w:pPr>
            <w:r w:rsidRPr="00F22743">
              <w:t>only if:</w:t>
            </w:r>
          </w:p>
          <w:p w14:paraId="6C51134B" w14:textId="77777777" w:rsidR="00DC2238" w:rsidRPr="00F22743" w:rsidRDefault="00DC2238" w:rsidP="000435D6">
            <w:pPr>
              <w:pStyle w:val="Tablea"/>
            </w:pPr>
            <w:r w:rsidRPr="00F22743">
              <w:t>(a) the circumstances set out in subsection (4) are satisfied; and</w:t>
            </w:r>
          </w:p>
          <w:p w14:paraId="7D5E08F2" w14:textId="77777777" w:rsidR="00DC2238" w:rsidRPr="00F22743" w:rsidRDefault="00DC2238" w:rsidP="000435D6">
            <w:pPr>
              <w:pStyle w:val="Tablea"/>
            </w:pPr>
            <w:r w:rsidRPr="00F22743">
              <w:t>(b) in a case described in subsection 283</w:t>
            </w:r>
            <w:proofErr w:type="gramStart"/>
            <w:r w:rsidRPr="00F22743">
              <w:t>BHA(</w:t>
            </w:r>
            <w:proofErr w:type="gramEnd"/>
            <w:r w:rsidRPr="00F22743">
              <w:t>1), (2) or (3)—the requirements set out in that subsection are satisfied</w:t>
            </w:r>
          </w:p>
        </w:tc>
      </w:tr>
    </w:tbl>
    <w:p w14:paraId="1F83445F" w14:textId="77777777" w:rsidR="00DC2238" w:rsidRPr="00F22743" w:rsidRDefault="00DC2238" w:rsidP="000435D6">
      <w:pPr>
        <w:pStyle w:val="ItemHead"/>
      </w:pPr>
      <w:proofErr w:type="gramStart"/>
      <w:r w:rsidRPr="00F22743">
        <w:t>2  At</w:t>
      </w:r>
      <w:proofErr w:type="gramEnd"/>
      <w:r w:rsidRPr="00F22743">
        <w:t xml:space="preserve"> the end of section 283BH</w:t>
      </w:r>
    </w:p>
    <w:p w14:paraId="09E2AF4E" w14:textId="77777777" w:rsidR="00DC2238" w:rsidRPr="00F22743" w:rsidRDefault="00DC2238" w:rsidP="000435D6">
      <w:pPr>
        <w:pStyle w:val="Item"/>
      </w:pPr>
      <w:r w:rsidRPr="00F22743">
        <w:t>Add:</w:t>
      </w:r>
    </w:p>
    <w:p w14:paraId="586BFF0D" w14:textId="77777777" w:rsidR="00DC2238" w:rsidRPr="00F22743" w:rsidRDefault="00DC2238" w:rsidP="000435D6">
      <w:pPr>
        <w:pStyle w:val="SubsectionHead"/>
      </w:pPr>
      <w:r w:rsidRPr="00F22743">
        <w:t>When debentures can be called secured notes</w:t>
      </w:r>
    </w:p>
    <w:p w14:paraId="42248D02" w14:textId="77777777" w:rsidR="00DC2238" w:rsidRPr="00F22743" w:rsidRDefault="00DC2238" w:rsidP="000435D6">
      <w:pPr>
        <w:pStyle w:val="subsection"/>
      </w:pPr>
      <w:r w:rsidRPr="00F22743">
        <w:tab/>
        <w:t>(4)</w:t>
      </w:r>
      <w:r w:rsidRPr="00F22743">
        <w:tab/>
        <w:t>The borrower may describe or refer to the debentures as secured notes if:</w:t>
      </w:r>
    </w:p>
    <w:p w14:paraId="0F42662A" w14:textId="77777777" w:rsidR="00DC2238" w:rsidRPr="00F22743" w:rsidRDefault="00DC2238" w:rsidP="000435D6">
      <w:pPr>
        <w:pStyle w:val="paragraph"/>
      </w:pPr>
      <w:r w:rsidRPr="00F22743">
        <w:tab/>
        <w:t>(a)</w:t>
      </w:r>
      <w:r w:rsidRPr="00F22743">
        <w:tab/>
        <w:t>the repayment of all money that has been, or may be, deposited or lent under the debentures has been secured by a first ranking security interest in favour of the trustee over the whole or any part of the property of the borrower or of any of the guarantors; and</w:t>
      </w:r>
    </w:p>
    <w:p w14:paraId="015603F9" w14:textId="77777777" w:rsidR="00DC2238" w:rsidRPr="00F22743" w:rsidRDefault="00DC2238" w:rsidP="000435D6">
      <w:pPr>
        <w:pStyle w:val="paragraph"/>
      </w:pPr>
      <w:r w:rsidRPr="00F22743">
        <w:tab/>
        <w:t>(b)</w:t>
      </w:r>
      <w:r w:rsidRPr="00F22743">
        <w:tab/>
        <w:t>the property that constitutes the security for the security interest is sufficient and is reasonably likely to be sufficient to meet the liability for the repayment of all such money and all other liabilities that:</w:t>
      </w:r>
    </w:p>
    <w:p w14:paraId="5BE30919" w14:textId="77777777" w:rsidR="00DC2238" w:rsidRPr="00F22743" w:rsidRDefault="00DC2238" w:rsidP="000435D6">
      <w:pPr>
        <w:pStyle w:val="paragraphsub"/>
      </w:pPr>
      <w:r w:rsidRPr="00F22743">
        <w:tab/>
        <w:t>(</w:t>
      </w:r>
      <w:proofErr w:type="spellStart"/>
      <w:r w:rsidRPr="00F22743">
        <w:t>i</w:t>
      </w:r>
      <w:proofErr w:type="spellEnd"/>
      <w:r w:rsidRPr="00F22743">
        <w:t>)</w:t>
      </w:r>
      <w:r w:rsidRPr="00F22743">
        <w:tab/>
        <w:t>have been or may be incurred; and</w:t>
      </w:r>
    </w:p>
    <w:p w14:paraId="2FE0F347" w14:textId="77777777" w:rsidR="00DC2238" w:rsidRPr="00F22743" w:rsidRDefault="00DC2238" w:rsidP="000435D6">
      <w:pPr>
        <w:pStyle w:val="paragraphsub"/>
      </w:pPr>
      <w:r w:rsidRPr="00F22743">
        <w:tab/>
        <w:t>(ii)</w:t>
      </w:r>
      <w:r w:rsidRPr="00F22743">
        <w:tab/>
        <w:t>rank in priority to, or equally with, that liability.</w:t>
      </w:r>
    </w:p>
    <w:p w14:paraId="63E1BF03" w14:textId="77777777" w:rsidR="00DC2238" w:rsidRPr="00F22743" w:rsidRDefault="00DC2238" w:rsidP="000435D6">
      <w:pPr>
        <w:pStyle w:val="ActHead5"/>
      </w:pPr>
      <w:bookmarkStart w:id="42" w:name="_Toc109652352"/>
      <w:r w:rsidRPr="0032209A">
        <w:rPr>
          <w:rStyle w:val="CharSectno"/>
        </w:rPr>
        <w:lastRenderedPageBreak/>
        <w:t>283</w:t>
      </w:r>
      <w:proofErr w:type="gramStart"/>
      <w:r w:rsidRPr="0032209A">
        <w:rPr>
          <w:rStyle w:val="CharSectno"/>
        </w:rPr>
        <w:t>BHA</w:t>
      </w:r>
      <w:r w:rsidRPr="00F22743">
        <w:t xml:space="preserve"> </w:t>
      </w:r>
      <w:r>
        <w:t xml:space="preserve"> </w:t>
      </w:r>
      <w:r w:rsidRPr="00F22743">
        <w:t>Additional</w:t>
      </w:r>
      <w:proofErr w:type="gramEnd"/>
      <w:r w:rsidRPr="00F22743">
        <w:t xml:space="preserve"> requirements for describing debentures as secured notes</w:t>
      </w:r>
      <w:bookmarkEnd w:id="42"/>
    </w:p>
    <w:p w14:paraId="6669B639" w14:textId="77777777" w:rsidR="00DC2238" w:rsidRPr="00F22743" w:rsidRDefault="00DC2238" w:rsidP="000435D6">
      <w:pPr>
        <w:pStyle w:val="SubsectionHead"/>
      </w:pPr>
      <w:r w:rsidRPr="00F22743">
        <w:t>Advertisements and publications</w:t>
      </w:r>
    </w:p>
    <w:p w14:paraId="00808446" w14:textId="77777777" w:rsidR="00DC2238" w:rsidRPr="00F22743" w:rsidRDefault="00DC2238" w:rsidP="000435D6">
      <w:pPr>
        <w:pStyle w:val="subsection"/>
      </w:pPr>
      <w:r w:rsidRPr="00F22743">
        <w:tab/>
        <w:t>(1)</w:t>
      </w:r>
      <w:r w:rsidRPr="00F22743">
        <w:tab/>
        <w:t>If the borrower proposes to describe or refer to the debentures as secured notes in an advertisement or publication in relation to the offer, or intended offer, of debentures that requires a disclosure document—the borrower must ensure that the advertisement or publication includes:</w:t>
      </w:r>
    </w:p>
    <w:p w14:paraId="5D5F238E" w14:textId="77777777" w:rsidR="00DC2238" w:rsidRPr="00F22743" w:rsidRDefault="00DC2238" w:rsidP="000435D6">
      <w:pPr>
        <w:pStyle w:val="paragraph"/>
      </w:pPr>
      <w:r w:rsidRPr="00F22743">
        <w:tab/>
        <w:t>(a)</w:t>
      </w:r>
      <w:r w:rsidRPr="00F22743">
        <w:tab/>
        <w:t>a statement that the secured notes are not bank</w:t>
      </w:r>
      <w:bookmarkStart w:id="43" w:name="BK_S1P13L9C53"/>
      <w:bookmarkEnd w:id="43"/>
      <w:r w:rsidRPr="00F22743">
        <w:t xml:space="preserve"> deposits; and</w:t>
      </w:r>
    </w:p>
    <w:p w14:paraId="25E3EC49" w14:textId="77777777" w:rsidR="00DC2238" w:rsidRPr="00F22743" w:rsidRDefault="00DC2238" w:rsidP="000435D6">
      <w:pPr>
        <w:pStyle w:val="paragraph"/>
      </w:pPr>
      <w:r w:rsidRPr="00F22743">
        <w:tab/>
        <w:t>(b)</w:t>
      </w:r>
      <w:r w:rsidRPr="00F22743">
        <w:tab/>
        <w:t xml:space="preserve">a statement that there is a risk that investors could lose some or </w:t>
      </w:r>
      <w:proofErr w:type="gramStart"/>
      <w:r w:rsidRPr="00F22743">
        <w:t>all of</w:t>
      </w:r>
      <w:proofErr w:type="gramEnd"/>
      <w:r w:rsidRPr="00F22743">
        <w:t xml:space="preserve"> their money.</w:t>
      </w:r>
    </w:p>
    <w:p w14:paraId="33EC6877" w14:textId="77777777" w:rsidR="00DC2238" w:rsidRPr="00F22743" w:rsidRDefault="00DC2238" w:rsidP="000435D6">
      <w:pPr>
        <w:pStyle w:val="SubsectionHead"/>
      </w:pPr>
      <w:r w:rsidRPr="00F22743">
        <w:t>Disclosure documents and quarterly reports</w:t>
      </w:r>
    </w:p>
    <w:p w14:paraId="0F705CB3" w14:textId="77777777" w:rsidR="00DC2238" w:rsidRPr="00F22743" w:rsidRDefault="00DC2238" w:rsidP="000435D6">
      <w:pPr>
        <w:pStyle w:val="subsection"/>
      </w:pPr>
      <w:r w:rsidRPr="00F22743">
        <w:tab/>
        <w:t>(2)</w:t>
      </w:r>
      <w:r w:rsidRPr="00F22743">
        <w:tab/>
        <w:t>If the borrower proposes to describe or refer to the debentures as secured notes in a disclosure document or in a quarterly report prepared under section 283BF—the borrower must ensure that the disclosure document or quarterly report includes statements of the following:</w:t>
      </w:r>
    </w:p>
    <w:p w14:paraId="64A0ECBB" w14:textId="77777777" w:rsidR="00DC2238" w:rsidRPr="00F22743" w:rsidRDefault="00DC2238" w:rsidP="000435D6">
      <w:pPr>
        <w:pStyle w:val="paragraph"/>
      </w:pPr>
      <w:r w:rsidRPr="00F22743">
        <w:tab/>
        <w:t>(a)</w:t>
      </w:r>
      <w:r w:rsidRPr="00F22743">
        <w:tab/>
        <w:t>key features of the security interest, including:</w:t>
      </w:r>
    </w:p>
    <w:p w14:paraId="0CA6BA7F" w14:textId="77777777" w:rsidR="00DC2238" w:rsidRPr="00F22743" w:rsidRDefault="00DC2238" w:rsidP="000435D6">
      <w:pPr>
        <w:pStyle w:val="paragraphsub"/>
      </w:pPr>
      <w:r w:rsidRPr="00F22743">
        <w:tab/>
        <w:t>(</w:t>
      </w:r>
      <w:proofErr w:type="spellStart"/>
      <w:r w:rsidRPr="00F22743">
        <w:t>i</w:t>
      </w:r>
      <w:proofErr w:type="spellEnd"/>
      <w:r w:rsidRPr="00F22743">
        <w:t>)</w:t>
      </w:r>
      <w:r w:rsidRPr="00F22743">
        <w:tab/>
        <w:t xml:space="preserve"> that the security interest is first ranking;</w:t>
      </w:r>
      <w:r>
        <w:t xml:space="preserve"> and</w:t>
      </w:r>
    </w:p>
    <w:p w14:paraId="734D5793" w14:textId="77777777" w:rsidR="00DC2238" w:rsidRPr="00F22743" w:rsidRDefault="00DC2238" w:rsidP="000435D6">
      <w:pPr>
        <w:pStyle w:val="paragraphsub"/>
      </w:pPr>
      <w:r w:rsidRPr="00F22743">
        <w:tab/>
        <w:t>(ii)</w:t>
      </w:r>
      <w:r w:rsidRPr="00F22743">
        <w:tab/>
        <w:t>the type of security interest;</w:t>
      </w:r>
      <w:r>
        <w:t xml:space="preserve"> and</w:t>
      </w:r>
    </w:p>
    <w:p w14:paraId="7925A081" w14:textId="77777777" w:rsidR="00DC2238" w:rsidRPr="00F22743" w:rsidRDefault="00DC2238" w:rsidP="000435D6">
      <w:pPr>
        <w:pStyle w:val="paragraphsub"/>
      </w:pPr>
      <w:r w:rsidRPr="00F22743">
        <w:tab/>
        <w:t>(iii)</w:t>
      </w:r>
      <w:r w:rsidRPr="00F22743">
        <w:tab/>
        <w:t>the identity of the person providing the security interest;</w:t>
      </w:r>
      <w:r>
        <w:t xml:space="preserve"> and</w:t>
      </w:r>
    </w:p>
    <w:p w14:paraId="338B69AD" w14:textId="77777777" w:rsidR="00DC2238" w:rsidRPr="00F22743" w:rsidRDefault="00DC2238" w:rsidP="000435D6">
      <w:pPr>
        <w:pStyle w:val="paragraphsub"/>
      </w:pPr>
      <w:r w:rsidRPr="00F22743">
        <w:tab/>
        <w:t>(iv)</w:t>
      </w:r>
      <w:r w:rsidRPr="00F22743">
        <w:tab/>
        <w:t xml:space="preserve">the property constituting the security for the security </w:t>
      </w:r>
      <w:proofErr w:type="gramStart"/>
      <w:r w:rsidRPr="00F22743">
        <w:t>interest;</w:t>
      </w:r>
      <w:proofErr w:type="gramEnd"/>
    </w:p>
    <w:p w14:paraId="0661F295" w14:textId="77777777" w:rsidR="00DC2238" w:rsidRPr="00F22743" w:rsidRDefault="00DC2238" w:rsidP="000435D6">
      <w:pPr>
        <w:pStyle w:val="paragraph"/>
      </w:pPr>
      <w:r w:rsidRPr="00F22743">
        <w:tab/>
        <w:t>(b)</w:t>
      </w:r>
      <w:r w:rsidRPr="00F22743">
        <w:tab/>
        <w:t>that, in the borrower’s assessment, the property that constitutes the security for the security interest is sufficient and is reasonably likely to be sufficient to meet the liabilities referred to in paragraph 283BH(4)(b</w:t>
      </w:r>
      <w:proofErr w:type="gramStart"/>
      <w:r w:rsidRPr="00F22743">
        <w:t>);</w:t>
      </w:r>
      <w:proofErr w:type="gramEnd"/>
    </w:p>
    <w:p w14:paraId="76A404B5" w14:textId="77777777" w:rsidR="00DC2238" w:rsidRPr="00F22743" w:rsidRDefault="00DC2238" w:rsidP="000435D6">
      <w:pPr>
        <w:pStyle w:val="paragraph"/>
      </w:pPr>
      <w:r w:rsidRPr="00F22743">
        <w:tab/>
        <w:t>(c)</w:t>
      </w:r>
      <w:r w:rsidRPr="00F22743">
        <w:tab/>
        <w:t>if the value of the property that constitutes the security for the security interest may be affected by the financial position or performance of a related body corporate or related party of the borrower—that fact.</w:t>
      </w:r>
    </w:p>
    <w:p w14:paraId="0D559801" w14:textId="77777777" w:rsidR="00DC2238" w:rsidRPr="00F22743" w:rsidRDefault="00DC2238" w:rsidP="000435D6">
      <w:pPr>
        <w:pStyle w:val="SubsectionHead"/>
      </w:pPr>
      <w:r w:rsidRPr="00F22743">
        <w:t>Borrower’s website</w:t>
      </w:r>
    </w:p>
    <w:p w14:paraId="27B528C5" w14:textId="77777777" w:rsidR="00DC2238" w:rsidRDefault="00DC2238" w:rsidP="000435D6">
      <w:pPr>
        <w:pStyle w:val="subsection"/>
      </w:pPr>
      <w:r w:rsidRPr="00F22743">
        <w:tab/>
        <w:t>(3)</w:t>
      </w:r>
      <w:r w:rsidRPr="00F22743">
        <w:tab/>
        <w:t xml:space="preserve">If the borrower describes or refers to the debentures as secured notes on its website—the borrower must ensure that the reports, </w:t>
      </w:r>
      <w:proofErr w:type="gramStart"/>
      <w:r w:rsidRPr="00F22743">
        <w:t>documents</w:t>
      </w:r>
      <w:proofErr w:type="gramEnd"/>
      <w:r w:rsidRPr="00F22743">
        <w:t xml:space="preserve"> and notices mentioned in an item of the following table </w:t>
      </w:r>
      <w:r w:rsidRPr="00F22743">
        <w:lastRenderedPageBreak/>
        <w:t>are published on the borrower’s website in the period specified in that item:</w:t>
      </w:r>
    </w:p>
    <w:p w14:paraId="6BE9CF34" w14:textId="77777777" w:rsidR="00DC2238" w:rsidRPr="00B05845" w:rsidRDefault="00DC2238" w:rsidP="000435D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DC2238" w:rsidRPr="00F22743" w14:paraId="4C136AEC" w14:textId="77777777" w:rsidTr="004606AF">
        <w:trPr>
          <w:tblHeader/>
        </w:trPr>
        <w:tc>
          <w:tcPr>
            <w:tcW w:w="7086" w:type="dxa"/>
            <w:gridSpan w:val="3"/>
            <w:tcBorders>
              <w:top w:val="single" w:sz="12" w:space="0" w:color="auto"/>
              <w:bottom w:val="single" w:sz="6" w:space="0" w:color="auto"/>
            </w:tcBorders>
            <w:shd w:val="clear" w:color="auto" w:fill="auto"/>
          </w:tcPr>
          <w:p w14:paraId="03BEDC3B" w14:textId="77777777" w:rsidR="00DC2238" w:rsidRPr="00F22743" w:rsidRDefault="00DC2238" w:rsidP="000435D6">
            <w:pPr>
              <w:pStyle w:val="TableHeading"/>
            </w:pPr>
            <w:r w:rsidRPr="00F22743">
              <w:t>P</w:t>
            </w:r>
            <w:bookmarkStart w:id="44" w:name="BK_S1P14L4C2"/>
            <w:bookmarkEnd w:id="44"/>
            <w:r w:rsidRPr="00F22743">
              <w:t>ublication requirements</w:t>
            </w:r>
          </w:p>
        </w:tc>
      </w:tr>
      <w:tr w:rsidR="00DC2238" w:rsidRPr="00F22743" w14:paraId="162986E2" w14:textId="77777777" w:rsidTr="004606AF">
        <w:trPr>
          <w:tblHeader/>
        </w:trPr>
        <w:tc>
          <w:tcPr>
            <w:tcW w:w="714" w:type="dxa"/>
            <w:tcBorders>
              <w:top w:val="single" w:sz="6" w:space="0" w:color="auto"/>
              <w:bottom w:val="single" w:sz="12" w:space="0" w:color="auto"/>
            </w:tcBorders>
            <w:shd w:val="clear" w:color="auto" w:fill="auto"/>
          </w:tcPr>
          <w:p w14:paraId="1FF9AF03" w14:textId="77777777" w:rsidR="00DC2238" w:rsidRPr="00F22743" w:rsidRDefault="00DC2238" w:rsidP="000435D6">
            <w:pPr>
              <w:pStyle w:val="TableHeading"/>
            </w:pPr>
            <w:r w:rsidRPr="00F22743">
              <w:t>Item</w:t>
            </w:r>
          </w:p>
        </w:tc>
        <w:tc>
          <w:tcPr>
            <w:tcW w:w="3186" w:type="dxa"/>
            <w:tcBorders>
              <w:top w:val="single" w:sz="6" w:space="0" w:color="auto"/>
              <w:bottom w:val="single" w:sz="12" w:space="0" w:color="auto"/>
            </w:tcBorders>
            <w:shd w:val="clear" w:color="auto" w:fill="auto"/>
          </w:tcPr>
          <w:p w14:paraId="48BBC04F" w14:textId="77777777" w:rsidR="00DC2238" w:rsidRPr="00F22743" w:rsidRDefault="00DC2238" w:rsidP="000435D6">
            <w:pPr>
              <w:pStyle w:val="TableHeading"/>
            </w:pPr>
            <w:r w:rsidRPr="00F22743">
              <w:t xml:space="preserve">Document, </w:t>
            </w:r>
            <w:proofErr w:type="gramStart"/>
            <w:r w:rsidRPr="00F22743">
              <w:t>report</w:t>
            </w:r>
            <w:proofErr w:type="gramEnd"/>
            <w:r w:rsidRPr="00F22743">
              <w:t xml:space="preserve"> or notice</w:t>
            </w:r>
          </w:p>
        </w:tc>
        <w:tc>
          <w:tcPr>
            <w:tcW w:w="3186" w:type="dxa"/>
            <w:tcBorders>
              <w:top w:val="single" w:sz="6" w:space="0" w:color="auto"/>
              <w:bottom w:val="single" w:sz="12" w:space="0" w:color="auto"/>
            </w:tcBorders>
            <w:shd w:val="clear" w:color="auto" w:fill="auto"/>
          </w:tcPr>
          <w:p w14:paraId="65CD75B5" w14:textId="77777777" w:rsidR="00DC2238" w:rsidRPr="00F22743" w:rsidRDefault="00DC2238" w:rsidP="000435D6">
            <w:pPr>
              <w:pStyle w:val="TableHeading"/>
            </w:pPr>
            <w:r w:rsidRPr="00F22743">
              <w:t>Period for publication</w:t>
            </w:r>
          </w:p>
        </w:tc>
      </w:tr>
      <w:tr w:rsidR="00DC2238" w:rsidRPr="00F22743" w14:paraId="068E8550" w14:textId="77777777" w:rsidTr="004606AF">
        <w:tc>
          <w:tcPr>
            <w:tcW w:w="714" w:type="dxa"/>
            <w:tcBorders>
              <w:top w:val="single" w:sz="12" w:space="0" w:color="auto"/>
            </w:tcBorders>
            <w:shd w:val="clear" w:color="auto" w:fill="auto"/>
          </w:tcPr>
          <w:p w14:paraId="522855AE" w14:textId="77777777" w:rsidR="00DC2238" w:rsidRPr="00F22743" w:rsidRDefault="00DC2238" w:rsidP="000435D6">
            <w:pPr>
              <w:pStyle w:val="Tabletext"/>
            </w:pPr>
            <w:r w:rsidRPr="00F22743">
              <w:t>1</w:t>
            </w:r>
          </w:p>
        </w:tc>
        <w:tc>
          <w:tcPr>
            <w:tcW w:w="3186" w:type="dxa"/>
            <w:tcBorders>
              <w:top w:val="single" w:sz="12" w:space="0" w:color="auto"/>
            </w:tcBorders>
            <w:shd w:val="clear" w:color="auto" w:fill="auto"/>
          </w:tcPr>
          <w:p w14:paraId="706BDC49" w14:textId="77777777" w:rsidR="00DC2238" w:rsidRPr="00F22743" w:rsidRDefault="00DC2238" w:rsidP="000435D6">
            <w:pPr>
              <w:pStyle w:val="Tabletext"/>
            </w:pPr>
            <w:r w:rsidRPr="00F22743">
              <w:t>The most recent quarterly report prepared in relation to the borrower under section 283BF</w:t>
            </w:r>
          </w:p>
        </w:tc>
        <w:tc>
          <w:tcPr>
            <w:tcW w:w="3186" w:type="dxa"/>
            <w:tcBorders>
              <w:top w:val="single" w:sz="12" w:space="0" w:color="auto"/>
            </w:tcBorders>
            <w:shd w:val="clear" w:color="auto" w:fill="auto"/>
          </w:tcPr>
          <w:p w14:paraId="74EEC1D2" w14:textId="77777777" w:rsidR="00DC2238" w:rsidRPr="00F22743" w:rsidRDefault="00DC2238" w:rsidP="000435D6">
            <w:pPr>
              <w:pStyle w:val="Tabletext"/>
            </w:pPr>
            <w:r w:rsidRPr="00F22743">
              <w:t>As soon as practicable after a copy of the report is required to be lodged with ASIC</w:t>
            </w:r>
          </w:p>
        </w:tc>
      </w:tr>
      <w:tr w:rsidR="00DC2238" w:rsidRPr="00F22743" w14:paraId="0338A512" w14:textId="77777777" w:rsidTr="004606AF">
        <w:tc>
          <w:tcPr>
            <w:tcW w:w="714" w:type="dxa"/>
            <w:tcBorders>
              <w:bottom w:val="single" w:sz="2" w:space="0" w:color="auto"/>
            </w:tcBorders>
            <w:shd w:val="clear" w:color="auto" w:fill="auto"/>
          </w:tcPr>
          <w:p w14:paraId="249CF075" w14:textId="77777777" w:rsidR="00DC2238" w:rsidRPr="00F22743" w:rsidRDefault="00DC2238" w:rsidP="000435D6">
            <w:pPr>
              <w:pStyle w:val="Tabletext"/>
            </w:pPr>
            <w:r w:rsidRPr="00F22743">
              <w:t>2</w:t>
            </w:r>
          </w:p>
        </w:tc>
        <w:tc>
          <w:tcPr>
            <w:tcW w:w="3186" w:type="dxa"/>
            <w:tcBorders>
              <w:bottom w:val="single" w:sz="2" w:space="0" w:color="auto"/>
            </w:tcBorders>
            <w:shd w:val="clear" w:color="auto" w:fill="auto"/>
          </w:tcPr>
          <w:p w14:paraId="33C17A4B" w14:textId="77777777" w:rsidR="00DC2238" w:rsidRPr="00F22743" w:rsidRDefault="00DC2238" w:rsidP="000435D6">
            <w:pPr>
              <w:pStyle w:val="Tabletext"/>
            </w:pPr>
            <w:r w:rsidRPr="00F22743">
              <w:t>Each disclosure document (including any replacement or supplementary document) lodged with ASIC in relation to the borrower in the previous 13 months</w:t>
            </w:r>
          </w:p>
        </w:tc>
        <w:tc>
          <w:tcPr>
            <w:tcW w:w="3186" w:type="dxa"/>
            <w:tcBorders>
              <w:bottom w:val="single" w:sz="2" w:space="0" w:color="auto"/>
            </w:tcBorders>
            <w:shd w:val="clear" w:color="auto" w:fill="auto"/>
          </w:tcPr>
          <w:p w14:paraId="207D5528" w14:textId="77777777" w:rsidR="00DC2238" w:rsidRPr="00F22743" w:rsidRDefault="00DC2238" w:rsidP="000435D6">
            <w:pPr>
              <w:pStyle w:val="Tabletext"/>
            </w:pPr>
            <w:r w:rsidRPr="00F22743">
              <w:t>As soon as practicable after a copy of the document is lodged with ASIC</w:t>
            </w:r>
          </w:p>
        </w:tc>
      </w:tr>
      <w:tr w:rsidR="00DC2238" w:rsidRPr="00F22743" w14:paraId="56C7598E" w14:textId="77777777" w:rsidTr="004606AF">
        <w:tc>
          <w:tcPr>
            <w:tcW w:w="714" w:type="dxa"/>
            <w:tcBorders>
              <w:top w:val="single" w:sz="2" w:space="0" w:color="auto"/>
              <w:bottom w:val="single" w:sz="12" w:space="0" w:color="auto"/>
            </w:tcBorders>
            <w:shd w:val="clear" w:color="auto" w:fill="auto"/>
          </w:tcPr>
          <w:p w14:paraId="2F21463B" w14:textId="77777777" w:rsidR="00DC2238" w:rsidRPr="00F22743" w:rsidRDefault="00DC2238" w:rsidP="000435D6">
            <w:pPr>
              <w:pStyle w:val="Tabletext"/>
            </w:pPr>
            <w:r w:rsidRPr="00F22743">
              <w:t>3</w:t>
            </w:r>
          </w:p>
        </w:tc>
        <w:tc>
          <w:tcPr>
            <w:tcW w:w="3186" w:type="dxa"/>
            <w:tcBorders>
              <w:top w:val="single" w:sz="2" w:space="0" w:color="auto"/>
              <w:bottom w:val="single" w:sz="12" w:space="0" w:color="auto"/>
            </w:tcBorders>
            <w:shd w:val="clear" w:color="auto" w:fill="auto"/>
          </w:tcPr>
          <w:p w14:paraId="2A902319" w14:textId="77777777" w:rsidR="00DC2238" w:rsidRPr="00F22743" w:rsidRDefault="00DC2238" w:rsidP="000435D6">
            <w:pPr>
              <w:pStyle w:val="Tabletext"/>
            </w:pPr>
            <w:r w:rsidRPr="00F22743">
              <w:t>Each continuous disclosure notice required to be lodged with ASIC under section 675 in relation to the borrower in the previous 12 months</w:t>
            </w:r>
          </w:p>
        </w:tc>
        <w:tc>
          <w:tcPr>
            <w:tcW w:w="3186" w:type="dxa"/>
            <w:tcBorders>
              <w:top w:val="single" w:sz="2" w:space="0" w:color="auto"/>
              <w:bottom w:val="single" w:sz="12" w:space="0" w:color="auto"/>
            </w:tcBorders>
            <w:shd w:val="clear" w:color="auto" w:fill="auto"/>
          </w:tcPr>
          <w:p w14:paraId="769F4282" w14:textId="77777777" w:rsidR="00DC2238" w:rsidRPr="00F22743" w:rsidRDefault="00DC2238" w:rsidP="000435D6">
            <w:pPr>
              <w:pStyle w:val="Tabletext"/>
            </w:pPr>
            <w:r w:rsidRPr="00F22743">
              <w:t>As soon as practicable after the notice is required to be lodged with ASIC</w:t>
            </w:r>
          </w:p>
        </w:tc>
      </w:tr>
    </w:tbl>
    <w:p w14:paraId="38C37ED1" w14:textId="77777777" w:rsidR="00DC2238" w:rsidRPr="00F22743" w:rsidRDefault="00DC2238" w:rsidP="000435D6">
      <w:pPr>
        <w:pStyle w:val="subsection"/>
      </w:pPr>
      <w:r w:rsidRPr="00F22743">
        <w:tab/>
        <w:t>(5)</w:t>
      </w:r>
      <w:r w:rsidRPr="00F22743">
        <w:tab/>
        <w:t>In this section:</w:t>
      </w:r>
    </w:p>
    <w:p w14:paraId="3EE4F6C9" w14:textId="77777777" w:rsidR="00DC2238" w:rsidRPr="00F22743" w:rsidRDefault="00DC2238" w:rsidP="000435D6">
      <w:pPr>
        <w:pStyle w:val="subsection"/>
      </w:pPr>
      <w:r w:rsidRPr="00F22743">
        <w:rPr>
          <w:b/>
          <w:bCs/>
          <w:i/>
          <w:iCs/>
        </w:rPr>
        <w:tab/>
      </w:r>
      <w:r w:rsidRPr="00F22743">
        <w:rPr>
          <w:b/>
          <w:bCs/>
          <w:i/>
          <w:iCs/>
        </w:rPr>
        <w:tab/>
        <w:t>advertisement or publication</w:t>
      </w:r>
      <w:r w:rsidRPr="00F22743">
        <w:t>, in relation to an offer, or intended offer, of debentures that requires a disclosure document, means:</w:t>
      </w:r>
    </w:p>
    <w:p w14:paraId="70DC5535" w14:textId="77777777" w:rsidR="00DC2238" w:rsidRPr="00F22743" w:rsidRDefault="00DC2238" w:rsidP="000435D6">
      <w:pPr>
        <w:pStyle w:val="paragraph"/>
      </w:pPr>
      <w:r w:rsidRPr="00F22743">
        <w:tab/>
        <w:t>(a)</w:t>
      </w:r>
      <w:r w:rsidRPr="00F22743">
        <w:tab/>
        <w:t>an advertisement for the offer or intended offer; or</w:t>
      </w:r>
    </w:p>
    <w:p w14:paraId="4FBDCA70" w14:textId="77777777" w:rsidR="00DC2238" w:rsidRPr="00F22743" w:rsidRDefault="00DC2238" w:rsidP="000435D6">
      <w:pPr>
        <w:pStyle w:val="paragraph"/>
      </w:pPr>
      <w:r w:rsidRPr="00F22743">
        <w:tab/>
        <w:t>(b)</w:t>
      </w:r>
      <w:r w:rsidRPr="00F22743">
        <w:tab/>
        <w:t>a publication of a statement that:</w:t>
      </w:r>
    </w:p>
    <w:p w14:paraId="3F0C1204" w14:textId="77777777" w:rsidR="00DC2238" w:rsidRPr="00F22743" w:rsidRDefault="00DC2238" w:rsidP="000435D6">
      <w:pPr>
        <w:pStyle w:val="paragraphsub"/>
      </w:pPr>
      <w:r w:rsidRPr="00F22743">
        <w:tab/>
        <w:t>(</w:t>
      </w:r>
      <w:proofErr w:type="spellStart"/>
      <w:r w:rsidRPr="00F22743">
        <w:t>i</w:t>
      </w:r>
      <w:proofErr w:type="spellEnd"/>
      <w:r w:rsidRPr="00F22743">
        <w:t>)</w:t>
      </w:r>
      <w:r w:rsidRPr="00F22743">
        <w:tab/>
        <w:t>directly or indirectly refers to the offer or intended offer; or</w:t>
      </w:r>
    </w:p>
    <w:p w14:paraId="4D1BE970" w14:textId="77777777" w:rsidR="00DC2238" w:rsidRPr="00F22743" w:rsidRDefault="00DC2238" w:rsidP="000435D6">
      <w:pPr>
        <w:pStyle w:val="paragraphsub"/>
      </w:pPr>
      <w:r w:rsidRPr="00F22743">
        <w:tab/>
        <w:t>(ii)</w:t>
      </w:r>
      <w:r w:rsidRPr="00F22743">
        <w:tab/>
        <w:t>is reasonably likely to induce people to apply for the debentures.</w:t>
      </w:r>
    </w:p>
    <w:p w14:paraId="42D73A30" w14:textId="77777777" w:rsidR="00DC2238" w:rsidRPr="00F22743" w:rsidRDefault="00DC2238" w:rsidP="000435D6">
      <w:pPr>
        <w:pStyle w:val="subsection"/>
      </w:pPr>
      <w:r w:rsidRPr="00F22743">
        <w:tab/>
      </w:r>
      <w:r w:rsidRPr="00F22743">
        <w:tab/>
      </w:r>
      <w:r w:rsidRPr="00F22743">
        <w:rPr>
          <w:b/>
          <w:i/>
        </w:rPr>
        <w:t xml:space="preserve">related party </w:t>
      </w:r>
      <w:r w:rsidRPr="00F22743">
        <w:t>has the meaning given by section 228.</w:t>
      </w:r>
    </w:p>
    <w:p w14:paraId="55E02EBC" w14:textId="77777777" w:rsidR="00DC2238" w:rsidRPr="00F22743" w:rsidRDefault="000435D6" w:rsidP="000435D6">
      <w:pPr>
        <w:pStyle w:val="ActHead7"/>
        <w:pageBreakBefore/>
      </w:pPr>
      <w:bookmarkStart w:id="45" w:name="_Toc109652353"/>
      <w:r w:rsidRPr="0032209A">
        <w:rPr>
          <w:rStyle w:val="CharAmPartNo"/>
        </w:rPr>
        <w:lastRenderedPageBreak/>
        <w:t>Part 2</w:t>
      </w:r>
      <w:r w:rsidR="00DC2238" w:rsidRPr="00F22743">
        <w:t>—</w:t>
      </w:r>
      <w:r w:rsidR="00DC2238" w:rsidRPr="0032209A">
        <w:rPr>
          <w:rStyle w:val="CharAmPartText"/>
        </w:rPr>
        <w:t>Repeals</w:t>
      </w:r>
      <w:bookmarkEnd w:id="45"/>
    </w:p>
    <w:p w14:paraId="146DC056" w14:textId="77777777" w:rsidR="00DC2238" w:rsidRPr="0076108E" w:rsidRDefault="00DC2238" w:rsidP="000435D6">
      <w:pPr>
        <w:pStyle w:val="ActHead9"/>
      </w:pPr>
      <w:bookmarkStart w:id="46" w:name="_Toc109652354"/>
      <w:r w:rsidRPr="0076108E">
        <w:t>ASIC Corporations</w:t>
      </w:r>
      <w:bookmarkStart w:id="47" w:name="BK_S1P15L2C18"/>
      <w:bookmarkEnd w:id="47"/>
      <w:r w:rsidRPr="0076108E">
        <w:t xml:space="preserve"> (Describing Debentures—Secured Notes) Instrument 2022/61</w:t>
      </w:r>
      <w:bookmarkEnd w:id="46"/>
    </w:p>
    <w:p w14:paraId="51785525" w14:textId="77777777" w:rsidR="00DC2238" w:rsidRPr="00F22743" w:rsidRDefault="00DC2238" w:rsidP="000435D6">
      <w:pPr>
        <w:pStyle w:val="ItemHead"/>
      </w:pPr>
      <w:proofErr w:type="gramStart"/>
      <w:r w:rsidRPr="00F22743">
        <w:t>3  The</w:t>
      </w:r>
      <w:proofErr w:type="gramEnd"/>
      <w:r w:rsidRPr="00F22743">
        <w:t xml:space="preserve"> whole of the instrument</w:t>
      </w:r>
    </w:p>
    <w:p w14:paraId="1067453C" w14:textId="77777777" w:rsidR="00DC2238" w:rsidRPr="00F22743" w:rsidRDefault="00DC2238" w:rsidP="000435D6">
      <w:pPr>
        <w:pStyle w:val="Item"/>
      </w:pPr>
      <w:r w:rsidRPr="00F22743">
        <w:t>Repeal the instrument.</w:t>
      </w:r>
    </w:p>
    <w:p w14:paraId="64D7CBA3" w14:textId="77777777" w:rsidR="00706E18" w:rsidRPr="0083611F" w:rsidRDefault="000435D6" w:rsidP="000435D6">
      <w:pPr>
        <w:pStyle w:val="ActHead6"/>
        <w:pageBreakBefore/>
      </w:pPr>
      <w:bookmarkStart w:id="48" w:name="_Toc109652355"/>
      <w:bookmarkStart w:id="49" w:name="opcCurrentFind"/>
      <w:r w:rsidRPr="0032209A">
        <w:rPr>
          <w:rStyle w:val="CharAmSchNo"/>
        </w:rPr>
        <w:lastRenderedPageBreak/>
        <w:t>Schedule 5</w:t>
      </w:r>
      <w:r w:rsidR="00706E18" w:rsidRPr="0083611F">
        <w:t>—</w:t>
      </w:r>
      <w:r w:rsidR="00706E18" w:rsidRPr="0032209A">
        <w:rPr>
          <w:rStyle w:val="CharAmSchText"/>
        </w:rPr>
        <w:t>Notice requirements in the hardship provisions of the National Credit Code</w:t>
      </w:r>
      <w:bookmarkEnd w:id="48"/>
    </w:p>
    <w:p w14:paraId="45AC18F0" w14:textId="77777777" w:rsidR="00706E18" w:rsidRPr="0083611F" w:rsidRDefault="000435D6" w:rsidP="000435D6">
      <w:pPr>
        <w:pStyle w:val="ActHead7"/>
      </w:pPr>
      <w:bookmarkStart w:id="50" w:name="_Toc109652356"/>
      <w:bookmarkEnd w:id="49"/>
      <w:r w:rsidRPr="0032209A">
        <w:rPr>
          <w:rStyle w:val="CharAmPartNo"/>
        </w:rPr>
        <w:t>Part 1</w:t>
      </w:r>
      <w:r w:rsidR="00706E18" w:rsidRPr="0083611F">
        <w:t>—</w:t>
      </w:r>
      <w:r w:rsidR="00706E18" w:rsidRPr="0032209A">
        <w:rPr>
          <w:rStyle w:val="CharAmPartText"/>
        </w:rPr>
        <w:t>Amendments</w:t>
      </w:r>
      <w:bookmarkEnd w:id="50"/>
    </w:p>
    <w:p w14:paraId="7645782A" w14:textId="77777777" w:rsidR="00706E18" w:rsidRPr="00EA1EAE" w:rsidRDefault="00706E18" w:rsidP="000435D6">
      <w:pPr>
        <w:pStyle w:val="ActHead9"/>
        <w:rPr>
          <w:i w:val="0"/>
        </w:rPr>
      </w:pPr>
      <w:bookmarkStart w:id="51" w:name="_Toc109652357"/>
      <w:r w:rsidRPr="0083611F">
        <w:t>National Consumer Credit Protection</w:t>
      </w:r>
      <w:bookmarkStart w:id="52" w:name="BK_S1P16L5C36"/>
      <w:bookmarkEnd w:id="52"/>
      <w:r w:rsidRPr="0083611F">
        <w:t xml:space="preserve"> Act 2009</w:t>
      </w:r>
      <w:bookmarkEnd w:id="51"/>
    </w:p>
    <w:p w14:paraId="621FE050" w14:textId="77777777" w:rsidR="00706E18" w:rsidRPr="0083611F" w:rsidRDefault="00706E18" w:rsidP="000435D6">
      <w:pPr>
        <w:pStyle w:val="ItemHead"/>
      </w:pPr>
      <w:proofErr w:type="gramStart"/>
      <w:r w:rsidRPr="0083611F">
        <w:t>1  After</w:t>
      </w:r>
      <w:proofErr w:type="gramEnd"/>
      <w:r w:rsidRPr="0083611F">
        <w:t xml:space="preserve"> subsection 72(4) of the </w:t>
      </w:r>
      <w:r w:rsidRPr="0083611F">
        <w:rPr>
          <w:i/>
        </w:rPr>
        <w:t>National Credit Code</w:t>
      </w:r>
    </w:p>
    <w:p w14:paraId="7BED3D0B" w14:textId="77777777" w:rsidR="00706E18" w:rsidRPr="0083611F" w:rsidRDefault="00706E18" w:rsidP="000435D6">
      <w:pPr>
        <w:pStyle w:val="Item"/>
      </w:pPr>
      <w:r w:rsidRPr="0083611F">
        <w:t>Insert:</w:t>
      </w:r>
    </w:p>
    <w:p w14:paraId="574BC2FC" w14:textId="77777777" w:rsidR="00706E18" w:rsidRPr="0083611F" w:rsidRDefault="00706E18" w:rsidP="000435D6">
      <w:pPr>
        <w:pStyle w:val="subsection"/>
      </w:pPr>
      <w:r w:rsidRPr="0083611F">
        <w:tab/>
        <w:t>(4A)</w:t>
      </w:r>
      <w:r w:rsidRPr="0083611F">
        <w:tab/>
        <w:t>Subsection (4) does not apply if the credit provider and the debtor agree to a change to the credit contract that defers or otherwise reduces the obligations of the debtor under that contract for a period not exceeding 90 days.</w:t>
      </w:r>
    </w:p>
    <w:p w14:paraId="10841E48" w14:textId="77777777" w:rsidR="00706E18" w:rsidRPr="0083611F" w:rsidRDefault="00706E18" w:rsidP="000435D6">
      <w:pPr>
        <w:pStyle w:val="ItemHead"/>
      </w:pPr>
      <w:proofErr w:type="gramStart"/>
      <w:r w:rsidRPr="0083611F">
        <w:t>2  After</w:t>
      </w:r>
      <w:proofErr w:type="gramEnd"/>
      <w:r w:rsidRPr="0083611F">
        <w:t xml:space="preserve"> subsection 73(1) of the </w:t>
      </w:r>
      <w:r w:rsidRPr="0083611F">
        <w:rPr>
          <w:i/>
        </w:rPr>
        <w:t>National Credit Code</w:t>
      </w:r>
    </w:p>
    <w:p w14:paraId="378A76BD" w14:textId="77777777" w:rsidR="00706E18" w:rsidRPr="0083611F" w:rsidRDefault="00706E18" w:rsidP="000435D6">
      <w:pPr>
        <w:pStyle w:val="Item"/>
      </w:pPr>
      <w:r w:rsidRPr="0083611F">
        <w:t>Insert:</w:t>
      </w:r>
    </w:p>
    <w:p w14:paraId="55FA0E8B" w14:textId="77777777" w:rsidR="00706E18" w:rsidRPr="0083611F" w:rsidRDefault="00706E18" w:rsidP="000435D6">
      <w:pPr>
        <w:pStyle w:val="subsection"/>
      </w:pPr>
      <w:r w:rsidRPr="0083611F">
        <w:tab/>
        <w:t>(1A)</w:t>
      </w:r>
      <w:r w:rsidRPr="0083611F">
        <w:tab/>
        <w:t>Subsection (1) does not apply if the credit provider and the debtor agree to a change to the credit contract that defers or otherwise reduces the obligations of the debtor under that contract for a period not exceeding 90 days.</w:t>
      </w:r>
    </w:p>
    <w:p w14:paraId="750CDB2F" w14:textId="77777777" w:rsidR="00706E18" w:rsidRPr="0083611F" w:rsidRDefault="00706E18" w:rsidP="000435D6">
      <w:pPr>
        <w:pStyle w:val="ItemHead"/>
      </w:pPr>
      <w:proofErr w:type="gramStart"/>
      <w:r w:rsidRPr="0083611F">
        <w:t>3  After</w:t>
      </w:r>
      <w:proofErr w:type="gramEnd"/>
      <w:r w:rsidRPr="0083611F">
        <w:t xml:space="preserve"> subsection 177B(4) of the </w:t>
      </w:r>
      <w:r w:rsidRPr="0083611F">
        <w:rPr>
          <w:i/>
        </w:rPr>
        <w:t>National Credit Code</w:t>
      </w:r>
    </w:p>
    <w:p w14:paraId="0941A179" w14:textId="77777777" w:rsidR="00706E18" w:rsidRPr="0083611F" w:rsidRDefault="00706E18" w:rsidP="000435D6">
      <w:pPr>
        <w:pStyle w:val="Item"/>
      </w:pPr>
      <w:r w:rsidRPr="0083611F">
        <w:t>Insert:</w:t>
      </w:r>
    </w:p>
    <w:p w14:paraId="35DC5B20" w14:textId="77777777" w:rsidR="00706E18" w:rsidRPr="0083611F" w:rsidRDefault="00706E18" w:rsidP="000435D6">
      <w:pPr>
        <w:pStyle w:val="subsection"/>
      </w:pPr>
      <w:r w:rsidRPr="0083611F">
        <w:tab/>
        <w:t>(4A)</w:t>
      </w:r>
      <w:r w:rsidRPr="0083611F">
        <w:tab/>
        <w:t>Subsection (4) does not apply if the lessor and the lessee agree to a change to the consumer lease that defers or otherwise reduces the obligations of the lessee under that lease for a period not exceeding 90 days.</w:t>
      </w:r>
    </w:p>
    <w:p w14:paraId="61A0AEFE" w14:textId="77777777" w:rsidR="00706E18" w:rsidRPr="0083611F" w:rsidRDefault="00706E18" w:rsidP="000435D6">
      <w:pPr>
        <w:pStyle w:val="ItemHead"/>
      </w:pPr>
      <w:proofErr w:type="gramStart"/>
      <w:r w:rsidRPr="0083611F">
        <w:t>4  After</w:t>
      </w:r>
      <w:proofErr w:type="gramEnd"/>
      <w:r w:rsidRPr="0083611F">
        <w:t xml:space="preserve"> subsection 177C(1) of the </w:t>
      </w:r>
      <w:r w:rsidRPr="0083611F">
        <w:rPr>
          <w:i/>
        </w:rPr>
        <w:t>National Credit Code</w:t>
      </w:r>
    </w:p>
    <w:p w14:paraId="6C663457" w14:textId="77777777" w:rsidR="00706E18" w:rsidRPr="0083611F" w:rsidRDefault="00706E18" w:rsidP="000435D6">
      <w:pPr>
        <w:pStyle w:val="Item"/>
      </w:pPr>
      <w:r w:rsidRPr="0083611F">
        <w:t>Insert:</w:t>
      </w:r>
    </w:p>
    <w:p w14:paraId="27F2E74A" w14:textId="77777777" w:rsidR="00706E18" w:rsidRPr="0083611F" w:rsidRDefault="00706E18" w:rsidP="000435D6">
      <w:pPr>
        <w:pStyle w:val="subsection"/>
      </w:pPr>
      <w:r w:rsidRPr="0083611F">
        <w:tab/>
        <w:t>(1A)</w:t>
      </w:r>
      <w:r w:rsidRPr="0083611F">
        <w:tab/>
        <w:t>Subsection (1) does not apply if the lessor and the lessee agree to a change to the consumer lease that defers or otherwise reduces the obligations of the lessee under that lease for a period not exceeding 90 days.</w:t>
      </w:r>
    </w:p>
    <w:p w14:paraId="2C9FDB20" w14:textId="77777777" w:rsidR="00706E18" w:rsidRPr="00EA1EAE" w:rsidRDefault="00706E18" w:rsidP="000435D6">
      <w:pPr>
        <w:pStyle w:val="ActHead9"/>
        <w:rPr>
          <w:i w:val="0"/>
        </w:rPr>
      </w:pPr>
      <w:bookmarkStart w:id="53" w:name="_Toc109652358"/>
      <w:r w:rsidRPr="0083611F">
        <w:lastRenderedPageBreak/>
        <w:t>National Consumer Credit Protection</w:t>
      </w:r>
      <w:bookmarkStart w:id="54" w:name="BK_S1P17L1C36"/>
      <w:bookmarkEnd w:id="54"/>
      <w:r w:rsidRPr="0083611F">
        <w:t xml:space="preserve"> (Transitional and Consequential Provisions) Act 2009</w:t>
      </w:r>
      <w:bookmarkEnd w:id="53"/>
    </w:p>
    <w:p w14:paraId="0BA61AEB" w14:textId="77777777" w:rsidR="00706E18" w:rsidRPr="0083611F" w:rsidRDefault="00706E18" w:rsidP="000435D6">
      <w:pPr>
        <w:pStyle w:val="ItemHead"/>
      </w:pPr>
      <w:proofErr w:type="gramStart"/>
      <w:r w:rsidRPr="0083611F">
        <w:t>5  After</w:t>
      </w:r>
      <w:proofErr w:type="gramEnd"/>
      <w:r w:rsidRPr="0083611F">
        <w:t xml:space="preserve"> item 5 of </w:t>
      </w:r>
      <w:r w:rsidR="000435D6">
        <w:t>Part 2</w:t>
      </w:r>
      <w:r w:rsidRPr="0083611F">
        <w:t xml:space="preserve"> of </w:t>
      </w:r>
      <w:r w:rsidR="000435D6">
        <w:t>Schedule 5</w:t>
      </w:r>
    </w:p>
    <w:p w14:paraId="7E635700" w14:textId="77777777" w:rsidR="00706E18" w:rsidRPr="0083611F" w:rsidRDefault="00706E18" w:rsidP="000435D6">
      <w:pPr>
        <w:pStyle w:val="Item"/>
      </w:pPr>
      <w:r w:rsidRPr="0083611F">
        <w:t>Insert:</w:t>
      </w:r>
    </w:p>
    <w:p w14:paraId="440D8C97" w14:textId="77777777" w:rsidR="00706E18" w:rsidRPr="0083611F" w:rsidRDefault="00706E18" w:rsidP="000435D6">
      <w:pPr>
        <w:pStyle w:val="Transitional"/>
      </w:pPr>
      <w:r w:rsidRPr="0083611F">
        <w:t>5</w:t>
      </w:r>
      <w:proofErr w:type="gramStart"/>
      <w:r w:rsidRPr="0083611F">
        <w:t>A  Sections</w:t>
      </w:r>
      <w:proofErr w:type="gramEnd"/>
      <w:r w:rsidRPr="0083611F">
        <w:t> 72 and 73 of the new Credit Code</w:t>
      </w:r>
    </w:p>
    <w:p w14:paraId="56D764C8" w14:textId="77777777" w:rsidR="00706E18" w:rsidRPr="0083611F" w:rsidRDefault="00706E18" w:rsidP="000435D6">
      <w:pPr>
        <w:pStyle w:val="SubitemHead"/>
      </w:pPr>
      <w:r w:rsidRPr="0083611F">
        <w:t xml:space="preserve">Item applies to credit contracts and consumer leases </w:t>
      </w:r>
      <w:proofErr w:type="gramStart"/>
      <w:r w:rsidRPr="0083611F">
        <w:t>entered into</w:t>
      </w:r>
      <w:proofErr w:type="gramEnd"/>
      <w:r w:rsidRPr="0083611F">
        <w:t xml:space="preserve"> before 1 March 2013</w:t>
      </w:r>
    </w:p>
    <w:p w14:paraId="20422406" w14:textId="77777777" w:rsidR="00706E18" w:rsidRPr="0083611F" w:rsidRDefault="00706E18" w:rsidP="000435D6">
      <w:pPr>
        <w:pStyle w:val="Subitem"/>
      </w:pPr>
      <w:r w:rsidRPr="0083611F">
        <w:t>(1)</w:t>
      </w:r>
      <w:r w:rsidRPr="0083611F">
        <w:tab/>
        <w:t>This item applies in relation to credit provider and a debtor under a credit contract (within the meaning of the new Credit Code):</w:t>
      </w:r>
    </w:p>
    <w:p w14:paraId="246CCC14" w14:textId="77777777" w:rsidR="00706E18" w:rsidRPr="0083611F" w:rsidRDefault="00706E18" w:rsidP="000435D6">
      <w:pPr>
        <w:pStyle w:val="paragraph"/>
      </w:pPr>
      <w:r w:rsidRPr="0083611F">
        <w:tab/>
        <w:t>(a)</w:t>
      </w:r>
      <w:r w:rsidRPr="0083611F">
        <w:tab/>
        <w:t xml:space="preserve">entered into before 1 March </w:t>
      </w:r>
      <w:proofErr w:type="gramStart"/>
      <w:r w:rsidRPr="0083611F">
        <w:t>2013;</w:t>
      </w:r>
      <w:proofErr w:type="gramEnd"/>
      <w:r w:rsidRPr="0083611F">
        <w:t xml:space="preserve"> and</w:t>
      </w:r>
    </w:p>
    <w:p w14:paraId="7CDDE332" w14:textId="77777777" w:rsidR="00706E18" w:rsidRPr="0083611F" w:rsidRDefault="00706E18" w:rsidP="000435D6">
      <w:pPr>
        <w:pStyle w:val="paragraph"/>
      </w:pPr>
      <w:r w:rsidRPr="0083611F">
        <w:tab/>
        <w:t>(b)</w:t>
      </w:r>
      <w:r w:rsidRPr="0083611F">
        <w:tab/>
        <w:t>for which the debtor applied to the credit provider in accordance with former subsections 72(1) and (2) of the new Credit Code (as in force before 1 March 2013).</w:t>
      </w:r>
    </w:p>
    <w:p w14:paraId="6761DD63" w14:textId="77777777" w:rsidR="00706E18" w:rsidRPr="0083611F" w:rsidRDefault="00706E18" w:rsidP="000435D6">
      <w:pPr>
        <w:pStyle w:val="Subitem"/>
      </w:pPr>
      <w:r w:rsidRPr="0083611F">
        <w:t>(2)</w:t>
      </w:r>
      <w:r w:rsidRPr="0083611F">
        <w:tab/>
        <w:t>This item also applies in relation to a lessor and a lessee under a consumer lease (within the meaning of the new Credit Code):</w:t>
      </w:r>
    </w:p>
    <w:p w14:paraId="30771248" w14:textId="77777777" w:rsidR="00706E18" w:rsidRPr="0083611F" w:rsidRDefault="00706E18" w:rsidP="000435D6">
      <w:pPr>
        <w:pStyle w:val="paragraph"/>
      </w:pPr>
      <w:r w:rsidRPr="0083611F">
        <w:tab/>
        <w:t>(a)</w:t>
      </w:r>
      <w:r w:rsidRPr="0083611F">
        <w:tab/>
        <w:t xml:space="preserve">entered into before 1 March </w:t>
      </w:r>
      <w:proofErr w:type="gramStart"/>
      <w:r w:rsidRPr="0083611F">
        <w:t>2013;</w:t>
      </w:r>
      <w:proofErr w:type="gramEnd"/>
      <w:r w:rsidRPr="0083611F">
        <w:t xml:space="preserve"> and</w:t>
      </w:r>
    </w:p>
    <w:p w14:paraId="63051C89" w14:textId="77777777" w:rsidR="00706E18" w:rsidRPr="0083611F" w:rsidRDefault="00706E18" w:rsidP="000435D6">
      <w:pPr>
        <w:pStyle w:val="paragraph"/>
      </w:pPr>
      <w:r w:rsidRPr="0083611F">
        <w:tab/>
        <w:t>(b)</w:t>
      </w:r>
      <w:r w:rsidRPr="0083611F">
        <w:tab/>
        <w:t>for which the lessee applied to the lessor in accordance with former subsections 72(1) and (2), and former section 177, of the new Credit Code (as in force before 1 March 2013</w:t>
      </w:r>
      <w:proofErr w:type="gramStart"/>
      <w:r w:rsidRPr="0083611F">
        <w:t>);</w:t>
      </w:r>
      <w:proofErr w:type="gramEnd"/>
    </w:p>
    <w:p w14:paraId="56249F71" w14:textId="77777777" w:rsidR="00706E18" w:rsidRPr="0083611F" w:rsidRDefault="00706E18" w:rsidP="000435D6">
      <w:pPr>
        <w:pStyle w:val="Item"/>
      </w:pPr>
      <w:r w:rsidRPr="0083611F">
        <w:t>in a corresponding way to the way this item applies to a credit provider and debtor under a credit contract.</w:t>
      </w:r>
    </w:p>
    <w:p w14:paraId="56058C90" w14:textId="77777777" w:rsidR="00706E18" w:rsidRPr="0083611F" w:rsidRDefault="00706E18" w:rsidP="000435D6">
      <w:pPr>
        <w:pStyle w:val="notemargin"/>
      </w:pPr>
      <w:r w:rsidRPr="0083611F">
        <w:t>Note:</w:t>
      </w:r>
      <w:r w:rsidRPr="0083611F">
        <w:tab/>
        <w:t>Former section 177 of the new Credit Code (as in force before 1 March 2013) has the effect that former sections 72 and 73 of that Code apply to consumer leases in the same way as they apply to credit contracts.</w:t>
      </w:r>
    </w:p>
    <w:p w14:paraId="2DEE5A56" w14:textId="77777777" w:rsidR="00706E18" w:rsidRPr="0083611F" w:rsidRDefault="00706E18" w:rsidP="000435D6">
      <w:pPr>
        <w:pStyle w:val="SubitemHead"/>
      </w:pPr>
      <w:r w:rsidRPr="0083611F">
        <w:t>Notice requirements for changes to a credit contract or a consumer lease on grounds of hardship do not apply in certain circumstances</w:t>
      </w:r>
    </w:p>
    <w:p w14:paraId="2C0C6FE8" w14:textId="77777777" w:rsidR="00706E18" w:rsidRPr="0083611F" w:rsidRDefault="00706E18" w:rsidP="000435D6">
      <w:pPr>
        <w:pStyle w:val="Subitem"/>
      </w:pPr>
      <w:bookmarkStart w:id="55" w:name="_Hlk106359737"/>
      <w:r w:rsidRPr="0083611F">
        <w:t>(4)</w:t>
      </w:r>
      <w:r w:rsidRPr="0083611F">
        <w:tab/>
        <w:t>Former subsection 72(3) of the new Credit Code (as in force before 1 March 2013) does not apply if the credit provider and the debtor agree to a change to the credit contract that defers or otherwise reduces the obligations of the debtor under that contract for a period not exceeding 90 days.</w:t>
      </w:r>
      <w:bookmarkEnd w:id="55"/>
    </w:p>
    <w:p w14:paraId="742DE8E0" w14:textId="77777777" w:rsidR="00706E18" w:rsidRPr="0083611F" w:rsidRDefault="00706E18" w:rsidP="000435D6">
      <w:pPr>
        <w:pStyle w:val="Subitem"/>
      </w:pPr>
      <w:r w:rsidRPr="0083611F">
        <w:t>(5)</w:t>
      </w:r>
      <w:r w:rsidRPr="0083611F">
        <w:tab/>
        <w:t xml:space="preserve">Former subsection 73(1) of the new Credit Code (as in force before 1 March 2013) does not apply if the credit provider and the debtor agree to a change to the credit contract that defers or otherwise reduces the </w:t>
      </w:r>
      <w:r w:rsidRPr="0083611F">
        <w:lastRenderedPageBreak/>
        <w:t>obligations of the debtor under that contract for a period not exceeding 90 days.</w:t>
      </w:r>
    </w:p>
    <w:p w14:paraId="204BD229" w14:textId="77777777" w:rsidR="00706E18" w:rsidRPr="0083611F" w:rsidRDefault="000435D6" w:rsidP="000435D6">
      <w:pPr>
        <w:pStyle w:val="ActHead7"/>
        <w:pageBreakBefore/>
      </w:pPr>
      <w:bookmarkStart w:id="56" w:name="_Toc109652359"/>
      <w:r w:rsidRPr="0032209A">
        <w:rPr>
          <w:rStyle w:val="CharAmPartNo"/>
        </w:rPr>
        <w:lastRenderedPageBreak/>
        <w:t>Part 2</w:t>
      </w:r>
      <w:r w:rsidR="00706E18" w:rsidRPr="0083611F">
        <w:t>—</w:t>
      </w:r>
      <w:r w:rsidR="00706E18" w:rsidRPr="0032209A">
        <w:rPr>
          <w:rStyle w:val="CharAmPartText"/>
        </w:rPr>
        <w:t>Repeals</w:t>
      </w:r>
      <w:bookmarkEnd w:id="56"/>
    </w:p>
    <w:p w14:paraId="17CA413E" w14:textId="77777777" w:rsidR="00706E18" w:rsidRPr="0083611F" w:rsidRDefault="00706E18" w:rsidP="000435D6">
      <w:pPr>
        <w:pStyle w:val="ActHead9"/>
      </w:pPr>
      <w:bookmarkStart w:id="57" w:name="_Toc109652360"/>
      <w:r w:rsidRPr="0083611F">
        <w:t>ASIC Class Order [CO 14/41]</w:t>
      </w:r>
      <w:bookmarkEnd w:id="57"/>
    </w:p>
    <w:p w14:paraId="4535B2E7" w14:textId="77777777" w:rsidR="00706E18" w:rsidRPr="0083611F" w:rsidRDefault="00706E18" w:rsidP="000435D6">
      <w:pPr>
        <w:pStyle w:val="ItemHead"/>
      </w:pPr>
      <w:proofErr w:type="gramStart"/>
      <w:r w:rsidRPr="0083611F">
        <w:t>6  The</w:t>
      </w:r>
      <w:proofErr w:type="gramEnd"/>
      <w:r w:rsidRPr="0083611F">
        <w:t xml:space="preserve"> whole of the instrument</w:t>
      </w:r>
    </w:p>
    <w:p w14:paraId="381D176B" w14:textId="77777777" w:rsidR="00706E18" w:rsidRPr="0083611F" w:rsidRDefault="00706E18" w:rsidP="000435D6">
      <w:pPr>
        <w:pStyle w:val="Item"/>
      </w:pPr>
      <w:r w:rsidRPr="0083611F">
        <w:t>Repeal the instrument.</w:t>
      </w:r>
    </w:p>
    <w:sectPr w:rsidR="00706E18" w:rsidRPr="0083611F" w:rsidSect="000435D6">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78C3" w14:textId="77777777" w:rsidR="00E91B49" w:rsidRDefault="00E91B49" w:rsidP="00664C63">
      <w:pPr>
        <w:spacing w:line="240" w:lineRule="auto"/>
      </w:pPr>
      <w:r>
        <w:separator/>
      </w:r>
    </w:p>
  </w:endnote>
  <w:endnote w:type="continuationSeparator" w:id="0">
    <w:p w14:paraId="1D25C0EC" w14:textId="77777777" w:rsidR="00E91B49" w:rsidRDefault="00E91B49"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1AF5" w14:textId="77777777" w:rsidR="00664C63" w:rsidRPr="00BB4623" w:rsidRDefault="00664C63" w:rsidP="000435D6">
    <w:pPr>
      <w:pBdr>
        <w:top w:val="single" w:sz="6" w:space="1" w:color="auto"/>
      </w:pBdr>
      <w:spacing w:before="120"/>
      <w:jc w:val="right"/>
      <w:rPr>
        <w:sz w:val="18"/>
      </w:rPr>
    </w:pPr>
  </w:p>
  <w:p w14:paraId="4090284F"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7567298D"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193D" w14:textId="77777777" w:rsidR="0095602D" w:rsidRDefault="0095602D" w:rsidP="000435D6">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767D8F7E" w14:textId="77777777" w:rsidTr="00A91C76">
      <w:trPr>
        <w:trHeight w:val="280"/>
      </w:trPr>
      <w:tc>
        <w:tcPr>
          <w:tcW w:w="7087" w:type="dxa"/>
        </w:tcPr>
        <w:p w14:paraId="43823D7C"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1A221181" w14:textId="77777777" w:rsidTr="00A91C76">
      <w:tc>
        <w:tcPr>
          <w:tcW w:w="7087" w:type="dxa"/>
        </w:tcPr>
        <w:p w14:paraId="49F6BF9F" w14:textId="77777777" w:rsidR="0095602D" w:rsidRPr="00B3608C" w:rsidRDefault="0095602D" w:rsidP="00A91C76">
          <w:pPr>
            <w:rPr>
              <w:i/>
              <w:sz w:val="18"/>
            </w:rPr>
          </w:pPr>
          <w:r w:rsidRPr="00BB4623">
            <w:rPr>
              <w:i/>
              <w:sz w:val="18"/>
            </w:rPr>
            <w:t xml:space="preserve">  </w:t>
          </w:r>
        </w:p>
      </w:tc>
    </w:tr>
  </w:tbl>
  <w:p w14:paraId="28063411"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323953F2" wp14:editId="5C56414E">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EFF21E" w14:textId="77777777"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209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435D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435D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209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209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209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209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3953F2"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28EFF21E" w14:textId="77777777" w:rsidR="00931D06" w:rsidRPr="00324EB0" w:rsidRDefault="00931D06"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209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435D6">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435D6">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209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209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209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209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8E73" w14:textId="77777777" w:rsidR="00664C63" w:rsidRPr="00BB4623" w:rsidRDefault="00664C63" w:rsidP="000435D6">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EF51" w14:textId="77777777" w:rsidR="00E91B49" w:rsidRDefault="00E91B49" w:rsidP="00664C63">
      <w:pPr>
        <w:spacing w:line="240" w:lineRule="auto"/>
      </w:pPr>
      <w:r>
        <w:separator/>
      </w:r>
    </w:p>
  </w:footnote>
  <w:footnote w:type="continuationSeparator" w:id="0">
    <w:p w14:paraId="141F5BC0" w14:textId="77777777" w:rsidR="00E91B49" w:rsidRDefault="00E91B49"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4CB0" w14:textId="77777777" w:rsidR="00664C63" w:rsidRPr="00BB4623" w:rsidRDefault="00664C63" w:rsidP="00664C63">
    <w:pPr>
      <w:rPr>
        <w:sz w:val="24"/>
      </w:rPr>
    </w:pPr>
  </w:p>
  <w:p w14:paraId="154FAED1"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39F9"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2B5DEADA" wp14:editId="4D0775A7">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1437BB" w14:textId="6F85C23B" w:rsidR="00931D06" w:rsidRPr="00324EB0" w:rsidRDefault="00BE6E53"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5DEADA"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41437BB" w14:textId="6F85C23B" w:rsidR="00931D06" w:rsidRPr="00324EB0" w:rsidRDefault="00BE6E53"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73C1F70C"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A10C"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414B"/>
    <w:rsid w:val="000136AF"/>
    <w:rsid w:val="00014B9A"/>
    <w:rsid w:val="000435D6"/>
    <w:rsid w:val="00055D20"/>
    <w:rsid w:val="000614BF"/>
    <w:rsid w:val="00073C5A"/>
    <w:rsid w:val="00087033"/>
    <w:rsid w:val="000C74F9"/>
    <w:rsid w:val="000D05EF"/>
    <w:rsid w:val="000D3899"/>
    <w:rsid w:val="000F21C1"/>
    <w:rsid w:val="000F4126"/>
    <w:rsid w:val="001016D1"/>
    <w:rsid w:val="0010240E"/>
    <w:rsid w:val="0010745C"/>
    <w:rsid w:val="0011206D"/>
    <w:rsid w:val="00166C2F"/>
    <w:rsid w:val="00182C9A"/>
    <w:rsid w:val="0018435F"/>
    <w:rsid w:val="001939E1"/>
    <w:rsid w:val="00195382"/>
    <w:rsid w:val="001B0F61"/>
    <w:rsid w:val="001C69C4"/>
    <w:rsid w:val="001E1ACB"/>
    <w:rsid w:val="001E3590"/>
    <w:rsid w:val="001E7407"/>
    <w:rsid w:val="0021250A"/>
    <w:rsid w:val="002277A0"/>
    <w:rsid w:val="00240749"/>
    <w:rsid w:val="00296415"/>
    <w:rsid w:val="00297ECB"/>
    <w:rsid w:val="002B1D6F"/>
    <w:rsid w:val="002C085A"/>
    <w:rsid w:val="002D043A"/>
    <w:rsid w:val="002F08B3"/>
    <w:rsid w:val="00313C6F"/>
    <w:rsid w:val="0032209A"/>
    <w:rsid w:val="0033411C"/>
    <w:rsid w:val="00334771"/>
    <w:rsid w:val="003415D3"/>
    <w:rsid w:val="00352B0F"/>
    <w:rsid w:val="00382DA7"/>
    <w:rsid w:val="003B0F1E"/>
    <w:rsid w:val="003D0317"/>
    <w:rsid w:val="003D0BFE"/>
    <w:rsid w:val="003D2D96"/>
    <w:rsid w:val="003D5700"/>
    <w:rsid w:val="003F60D2"/>
    <w:rsid w:val="00402376"/>
    <w:rsid w:val="004043EE"/>
    <w:rsid w:val="0040616D"/>
    <w:rsid w:val="004116CD"/>
    <w:rsid w:val="004168B4"/>
    <w:rsid w:val="00424CA9"/>
    <w:rsid w:val="00427D10"/>
    <w:rsid w:val="0044291A"/>
    <w:rsid w:val="00496F97"/>
    <w:rsid w:val="004E3680"/>
    <w:rsid w:val="005104CE"/>
    <w:rsid w:val="00516B8D"/>
    <w:rsid w:val="00537FBC"/>
    <w:rsid w:val="00543850"/>
    <w:rsid w:val="00584052"/>
    <w:rsid w:val="00584811"/>
    <w:rsid w:val="00593AA6"/>
    <w:rsid w:val="00594161"/>
    <w:rsid w:val="00594749"/>
    <w:rsid w:val="005A6F34"/>
    <w:rsid w:val="005B4067"/>
    <w:rsid w:val="005C3F41"/>
    <w:rsid w:val="005C5800"/>
    <w:rsid w:val="005D4DEA"/>
    <w:rsid w:val="00600219"/>
    <w:rsid w:val="00611C2E"/>
    <w:rsid w:val="006444FB"/>
    <w:rsid w:val="0065106B"/>
    <w:rsid w:val="006527A6"/>
    <w:rsid w:val="00664C63"/>
    <w:rsid w:val="00677CC2"/>
    <w:rsid w:val="00681A4A"/>
    <w:rsid w:val="0069207B"/>
    <w:rsid w:val="006B51F1"/>
    <w:rsid w:val="006C7F8C"/>
    <w:rsid w:val="006D3764"/>
    <w:rsid w:val="006E4AB2"/>
    <w:rsid w:val="00700B2C"/>
    <w:rsid w:val="00706E18"/>
    <w:rsid w:val="00713084"/>
    <w:rsid w:val="007173B8"/>
    <w:rsid w:val="00731E00"/>
    <w:rsid w:val="00732A85"/>
    <w:rsid w:val="007440B7"/>
    <w:rsid w:val="0075226A"/>
    <w:rsid w:val="007627F4"/>
    <w:rsid w:val="007715C9"/>
    <w:rsid w:val="00774EDD"/>
    <w:rsid w:val="007757EC"/>
    <w:rsid w:val="007845BF"/>
    <w:rsid w:val="00795FCE"/>
    <w:rsid w:val="007A659A"/>
    <w:rsid w:val="007B081F"/>
    <w:rsid w:val="007E4CC8"/>
    <w:rsid w:val="00830815"/>
    <w:rsid w:val="00856A31"/>
    <w:rsid w:val="00873D08"/>
    <w:rsid w:val="008754D0"/>
    <w:rsid w:val="00883892"/>
    <w:rsid w:val="00890485"/>
    <w:rsid w:val="00891412"/>
    <w:rsid w:val="008A6470"/>
    <w:rsid w:val="008D0EE0"/>
    <w:rsid w:val="008E05CA"/>
    <w:rsid w:val="00931D06"/>
    <w:rsid w:val="00932377"/>
    <w:rsid w:val="00932FA3"/>
    <w:rsid w:val="0095602D"/>
    <w:rsid w:val="009620C2"/>
    <w:rsid w:val="009A6C1A"/>
    <w:rsid w:val="00A120DD"/>
    <w:rsid w:val="00A231E2"/>
    <w:rsid w:val="00A25627"/>
    <w:rsid w:val="00A415B9"/>
    <w:rsid w:val="00A64912"/>
    <w:rsid w:val="00A70A74"/>
    <w:rsid w:val="00AA5445"/>
    <w:rsid w:val="00AB5A90"/>
    <w:rsid w:val="00AD27B3"/>
    <w:rsid w:val="00AD5641"/>
    <w:rsid w:val="00AE59F7"/>
    <w:rsid w:val="00AE7BD7"/>
    <w:rsid w:val="00B05DED"/>
    <w:rsid w:val="00B26413"/>
    <w:rsid w:val="00B30BBF"/>
    <w:rsid w:val="00B33B3C"/>
    <w:rsid w:val="00B340B6"/>
    <w:rsid w:val="00B3608C"/>
    <w:rsid w:val="00B372A6"/>
    <w:rsid w:val="00B429C2"/>
    <w:rsid w:val="00B61C25"/>
    <w:rsid w:val="00B70E56"/>
    <w:rsid w:val="00B91134"/>
    <w:rsid w:val="00BC30F2"/>
    <w:rsid w:val="00BD1655"/>
    <w:rsid w:val="00BE6E53"/>
    <w:rsid w:val="00BE719A"/>
    <w:rsid w:val="00BE720A"/>
    <w:rsid w:val="00C42BF8"/>
    <w:rsid w:val="00C50043"/>
    <w:rsid w:val="00C53114"/>
    <w:rsid w:val="00C723B9"/>
    <w:rsid w:val="00C7573B"/>
    <w:rsid w:val="00C77D10"/>
    <w:rsid w:val="00CB0EA8"/>
    <w:rsid w:val="00CC7A09"/>
    <w:rsid w:val="00CE05D4"/>
    <w:rsid w:val="00CF0BB2"/>
    <w:rsid w:val="00CF4975"/>
    <w:rsid w:val="00D13441"/>
    <w:rsid w:val="00D3213F"/>
    <w:rsid w:val="00D374CE"/>
    <w:rsid w:val="00D40252"/>
    <w:rsid w:val="00D467B9"/>
    <w:rsid w:val="00D622C4"/>
    <w:rsid w:val="00D67311"/>
    <w:rsid w:val="00D70DFB"/>
    <w:rsid w:val="00D7186F"/>
    <w:rsid w:val="00D766DF"/>
    <w:rsid w:val="00D9284D"/>
    <w:rsid w:val="00D971A1"/>
    <w:rsid w:val="00DC2238"/>
    <w:rsid w:val="00DD314D"/>
    <w:rsid w:val="00E0414B"/>
    <w:rsid w:val="00E05704"/>
    <w:rsid w:val="00E1363F"/>
    <w:rsid w:val="00E3405F"/>
    <w:rsid w:val="00E54004"/>
    <w:rsid w:val="00E54CAB"/>
    <w:rsid w:val="00E74DC7"/>
    <w:rsid w:val="00E85CB9"/>
    <w:rsid w:val="00E91B49"/>
    <w:rsid w:val="00E94998"/>
    <w:rsid w:val="00EA1EAE"/>
    <w:rsid w:val="00ED1A6C"/>
    <w:rsid w:val="00ED28EF"/>
    <w:rsid w:val="00EE08D8"/>
    <w:rsid w:val="00EE25A8"/>
    <w:rsid w:val="00EE6DCC"/>
    <w:rsid w:val="00EF2E3A"/>
    <w:rsid w:val="00F0132A"/>
    <w:rsid w:val="00F078DC"/>
    <w:rsid w:val="00F5076A"/>
    <w:rsid w:val="00F71234"/>
    <w:rsid w:val="00F8103A"/>
    <w:rsid w:val="00FA3991"/>
    <w:rsid w:val="00FC104F"/>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2DA7"/>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82DA7"/>
  </w:style>
  <w:style w:type="paragraph" w:customStyle="1" w:styleId="OPCParaBase">
    <w:name w:val="OPCParaBase"/>
    <w:qFormat/>
    <w:rsid w:val="00382DA7"/>
    <w:pPr>
      <w:spacing w:line="260" w:lineRule="atLeast"/>
    </w:pPr>
    <w:rPr>
      <w:rFonts w:eastAsia="Times New Roman" w:cs="Times New Roman"/>
      <w:sz w:val="22"/>
      <w:lang w:eastAsia="en-AU"/>
    </w:rPr>
  </w:style>
  <w:style w:type="paragraph" w:customStyle="1" w:styleId="ShortT">
    <w:name w:val="ShortT"/>
    <w:basedOn w:val="OPCParaBase"/>
    <w:next w:val="Normal"/>
    <w:qFormat/>
    <w:rsid w:val="00382DA7"/>
    <w:pPr>
      <w:spacing w:line="240" w:lineRule="auto"/>
    </w:pPr>
    <w:rPr>
      <w:b/>
      <w:sz w:val="40"/>
    </w:rPr>
  </w:style>
  <w:style w:type="paragraph" w:customStyle="1" w:styleId="ActHead1">
    <w:name w:val="ActHead 1"/>
    <w:aliases w:val="c"/>
    <w:basedOn w:val="OPCParaBase"/>
    <w:next w:val="Normal"/>
    <w:qFormat/>
    <w:rsid w:val="00382D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82D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82D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82D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82D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82D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82D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82D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82D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82DA7"/>
  </w:style>
  <w:style w:type="paragraph" w:customStyle="1" w:styleId="Blocks">
    <w:name w:val="Blocks"/>
    <w:aliases w:val="bb"/>
    <w:basedOn w:val="OPCParaBase"/>
    <w:qFormat/>
    <w:rsid w:val="00382DA7"/>
    <w:pPr>
      <w:spacing w:line="240" w:lineRule="auto"/>
    </w:pPr>
    <w:rPr>
      <w:sz w:val="24"/>
    </w:rPr>
  </w:style>
  <w:style w:type="paragraph" w:customStyle="1" w:styleId="BoxText">
    <w:name w:val="BoxText"/>
    <w:aliases w:val="bt"/>
    <w:basedOn w:val="OPCParaBase"/>
    <w:qFormat/>
    <w:rsid w:val="00382D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82DA7"/>
    <w:rPr>
      <w:b/>
    </w:rPr>
  </w:style>
  <w:style w:type="paragraph" w:customStyle="1" w:styleId="BoxHeadItalic">
    <w:name w:val="BoxHeadItalic"/>
    <w:aliases w:val="bhi"/>
    <w:basedOn w:val="BoxText"/>
    <w:next w:val="BoxStep"/>
    <w:qFormat/>
    <w:rsid w:val="00382DA7"/>
    <w:rPr>
      <w:i/>
    </w:rPr>
  </w:style>
  <w:style w:type="paragraph" w:customStyle="1" w:styleId="BoxList">
    <w:name w:val="BoxList"/>
    <w:aliases w:val="bl"/>
    <w:basedOn w:val="BoxText"/>
    <w:qFormat/>
    <w:rsid w:val="00382DA7"/>
    <w:pPr>
      <w:ind w:left="1559" w:hanging="425"/>
    </w:pPr>
  </w:style>
  <w:style w:type="paragraph" w:customStyle="1" w:styleId="BoxNote">
    <w:name w:val="BoxNote"/>
    <w:aliases w:val="bn"/>
    <w:basedOn w:val="BoxText"/>
    <w:qFormat/>
    <w:rsid w:val="00382DA7"/>
    <w:pPr>
      <w:tabs>
        <w:tab w:val="left" w:pos="1985"/>
      </w:tabs>
      <w:spacing w:before="122" w:line="198" w:lineRule="exact"/>
      <w:ind w:left="2948" w:hanging="1814"/>
    </w:pPr>
    <w:rPr>
      <w:sz w:val="18"/>
    </w:rPr>
  </w:style>
  <w:style w:type="paragraph" w:customStyle="1" w:styleId="BoxPara">
    <w:name w:val="BoxPara"/>
    <w:aliases w:val="bp"/>
    <w:basedOn w:val="BoxText"/>
    <w:qFormat/>
    <w:rsid w:val="00382DA7"/>
    <w:pPr>
      <w:tabs>
        <w:tab w:val="right" w:pos="2268"/>
      </w:tabs>
      <w:ind w:left="2552" w:hanging="1418"/>
    </w:pPr>
  </w:style>
  <w:style w:type="paragraph" w:customStyle="1" w:styleId="BoxStep">
    <w:name w:val="BoxStep"/>
    <w:aliases w:val="bs"/>
    <w:basedOn w:val="BoxText"/>
    <w:qFormat/>
    <w:rsid w:val="00382DA7"/>
    <w:pPr>
      <w:ind w:left="1985" w:hanging="851"/>
    </w:pPr>
  </w:style>
  <w:style w:type="character" w:customStyle="1" w:styleId="CharAmPartNo">
    <w:name w:val="CharAmPartNo"/>
    <w:basedOn w:val="OPCCharBase"/>
    <w:qFormat/>
    <w:rsid w:val="00382DA7"/>
  </w:style>
  <w:style w:type="character" w:customStyle="1" w:styleId="CharAmPartText">
    <w:name w:val="CharAmPartText"/>
    <w:basedOn w:val="OPCCharBase"/>
    <w:qFormat/>
    <w:rsid w:val="00382DA7"/>
  </w:style>
  <w:style w:type="character" w:customStyle="1" w:styleId="CharAmSchNo">
    <w:name w:val="CharAmSchNo"/>
    <w:basedOn w:val="OPCCharBase"/>
    <w:qFormat/>
    <w:rsid w:val="00382DA7"/>
  </w:style>
  <w:style w:type="character" w:customStyle="1" w:styleId="CharAmSchText">
    <w:name w:val="CharAmSchText"/>
    <w:basedOn w:val="OPCCharBase"/>
    <w:qFormat/>
    <w:rsid w:val="00382DA7"/>
  </w:style>
  <w:style w:type="character" w:customStyle="1" w:styleId="CharBoldItalic">
    <w:name w:val="CharBoldItalic"/>
    <w:basedOn w:val="OPCCharBase"/>
    <w:uiPriority w:val="1"/>
    <w:qFormat/>
    <w:rsid w:val="00382DA7"/>
    <w:rPr>
      <w:b/>
      <w:i/>
    </w:rPr>
  </w:style>
  <w:style w:type="character" w:customStyle="1" w:styleId="CharChapNo">
    <w:name w:val="CharChapNo"/>
    <w:basedOn w:val="OPCCharBase"/>
    <w:uiPriority w:val="1"/>
    <w:qFormat/>
    <w:rsid w:val="00382DA7"/>
  </w:style>
  <w:style w:type="character" w:customStyle="1" w:styleId="CharChapText">
    <w:name w:val="CharChapText"/>
    <w:basedOn w:val="OPCCharBase"/>
    <w:uiPriority w:val="1"/>
    <w:qFormat/>
    <w:rsid w:val="00382DA7"/>
  </w:style>
  <w:style w:type="character" w:customStyle="1" w:styleId="CharDivNo">
    <w:name w:val="CharDivNo"/>
    <w:basedOn w:val="OPCCharBase"/>
    <w:uiPriority w:val="1"/>
    <w:qFormat/>
    <w:rsid w:val="00382DA7"/>
  </w:style>
  <w:style w:type="character" w:customStyle="1" w:styleId="CharDivText">
    <w:name w:val="CharDivText"/>
    <w:basedOn w:val="OPCCharBase"/>
    <w:uiPriority w:val="1"/>
    <w:qFormat/>
    <w:rsid w:val="00382DA7"/>
  </w:style>
  <w:style w:type="character" w:customStyle="1" w:styleId="CharItalic">
    <w:name w:val="CharItalic"/>
    <w:basedOn w:val="OPCCharBase"/>
    <w:uiPriority w:val="1"/>
    <w:qFormat/>
    <w:rsid w:val="00382DA7"/>
    <w:rPr>
      <w:i/>
    </w:rPr>
  </w:style>
  <w:style w:type="character" w:customStyle="1" w:styleId="CharPartNo">
    <w:name w:val="CharPartNo"/>
    <w:basedOn w:val="OPCCharBase"/>
    <w:uiPriority w:val="1"/>
    <w:qFormat/>
    <w:rsid w:val="00382DA7"/>
  </w:style>
  <w:style w:type="character" w:customStyle="1" w:styleId="CharPartText">
    <w:name w:val="CharPartText"/>
    <w:basedOn w:val="OPCCharBase"/>
    <w:uiPriority w:val="1"/>
    <w:qFormat/>
    <w:rsid w:val="00382DA7"/>
  </w:style>
  <w:style w:type="character" w:customStyle="1" w:styleId="CharSectno">
    <w:name w:val="CharSectno"/>
    <w:basedOn w:val="OPCCharBase"/>
    <w:qFormat/>
    <w:rsid w:val="00382DA7"/>
  </w:style>
  <w:style w:type="character" w:customStyle="1" w:styleId="CharSubdNo">
    <w:name w:val="CharSubdNo"/>
    <w:basedOn w:val="OPCCharBase"/>
    <w:uiPriority w:val="1"/>
    <w:qFormat/>
    <w:rsid w:val="00382DA7"/>
  </w:style>
  <w:style w:type="character" w:customStyle="1" w:styleId="CharSubdText">
    <w:name w:val="CharSubdText"/>
    <w:basedOn w:val="OPCCharBase"/>
    <w:uiPriority w:val="1"/>
    <w:qFormat/>
    <w:rsid w:val="00382DA7"/>
  </w:style>
  <w:style w:type="paragraph" w:customStyle="1" w:styleId="CTA--">
    <w:name w:val="CTA --"/>
    <w:basedOn w:val="OPCParaBase"/>
    <w:next w:val="Normal"/>
    <w:rsid w:val="00382DA7"/>
    <w:pPr>
      <w:spacing w:before="60" w:line="240" w:lineRule="atLeast"/>
      <w:ind w:left="142" w:hanging="142"/>
    </w:pPr>
    <w:rPr>
      <w:sz w:val="20"/>
    </w:rPr>
  </w:style>
  <w:style w:type="paragraph" w:customStyle="1" w:styleId="CTA-">
    <w:name w:val="CTA -"/>
    <w:basedOn w:val="OPCParaBase"/>
    <w:rsid w:val="00382DA7"/>
    <w:pPr>
      <w:spacing w:before="60" w:line="240" w:lineRule="atLeast"/>
      <w:ind w:left="85" w:hanging="85"/>
    </w:pPr>
    <w:rPr>
      <w:sz w:val="20"/>
    </w:rPr>
  </w:style>
  <w:style w:type="paragraph" w:customStyle="1" w:styleId="CTA---">
    <w:name w:val="CTA ---"/>
    <w:basedOn w:val="OPCParaBase"/>
    <w:next w:val="Normal"/>
    <w:rsid w:val="00382DA7"/>
    <w:pPr>
      <w:spacing w:before="60" w:line="240" w:lineRule="atLeast"/>
      <w:ind w:left="198" w:hanging="198"/>
    </w:pPr>
    <w:rPr>
      <w:sz w:val="20"/>
    </w:rPr>
  </w:style>
  <w:style w:type="paragraph" w:customStyle="1" w:styleId="CTA----">
    <w:name w:val="CTA ----"/>
    <w:basedOn w:val="OPCParaBase"/>
    <w:next w:val="Normal"/>
    <w:rsid w:val="00382DA7"/>
    <w:pPr>
      <w:spacing w:before="60" w:line="240" w:lineRule="atLeast"/>
      <w:ind w:left="255" w:hanging="255"/>
    </w:pPr>
    <w:rPr>
      <w:sz w:val="20"/>
    </w:rPr>
  </w:style>
  <w:style w:type="paragraph" w:customStyle="1" w:styleId="CTA1a">
    <w:name w:val="CTA 1(a)"/>
    <w:basedOn w:val="OPCParaBase"/>
    <w:rsid w:val="00382DA7"/>
    <w:pPr>
      <w:tabs>
        <w:tab w:val="right" w:pos="414"/>
      </w:tabs>
      <w:spacing w:before="40" w:line="240" w:lineRule="atLeast"/>
      <w:ind w:left="675" w:hanging="675"/>
    </w:pPr>
    <w:rPr>
      <w:sz w:val="20"/>
    </w:rPr>
  </w:style>
  <w:style w:type="paragraph" w:customStyle="1" w:styleId="CTA1ai">
    <w:name w:val="CTA 1(a)(i)"/>
    <w:basedOn w:val="OPCParaBase"/>
    <w:rsid w:val="00382DA7"/>
    <w:pPr>
      <w:tabs>
        <w:tab w:val="right" w:pos="1004"/>
      </w:tabs>
      <w:spacing w:before="40" w:line="240" w:lineRule="atLeast"/>
      <w:ind w:left="1253" w:hanging="1253"/>
    </w:pPr>
    <w:rPr>
      <w:sz w:val="20"/>
    </w:rPr>
  </w:style>
  <w:style w:type="paragraph" w:customStyle="1" w:styleId="CTA2a">
    <w:name w:val="CTA 2(a)"/>
    <w:basedOn w:val="OPCParaBase"/>
    <w:rsid w:val="00382DA7"/>
    <w:pPr>
      <w:tabs>
        <w:tab w:val="right" w:pos="482"/>
      </w:tabs>
      <w:spacing w:before="40" w:line="240" w:lineRule="atLeast"/>
      <w:ind w:left="748" w:hanging="748"/>
    </w:pPr>
    <w:rPr>
      <w:sz w:val="20"/>
    </w:rPr>
  </w:style>
  <w:style w:type="paragraph" w:customStyle="1" w:styleId="CTA2ai">
    <w:name w:val="CTA 2(a)(i)"/>
    <w:basedOn w:val="OPCParaBase"/>
    <w:rsid w:val="00382DA7"/>
    <w:pPr>
      <w:tabs>
        <w:tab w:val="right" w:pos="1089"/>
      </w:tabs>
      <w:spacing w:before="40" w:line="240" w:lineRule="atLeast"/>
      <w:ind w:left="1327" w:hanging="1327"/>
    </w:pPr>
    <w:rPr>
      <w:sz w:val="20"/>
    </w:rPr>
  </w:style>
  <w:style w:type="paragraph" w:customStyle="1" w:styleId="CTA3a">
    <w:name w:val="CTA 3(a)"/>
    <w:basedOn w:val="OPCParaBase"/>
    <w:rsid w:val="00382DA7"/>
    <w:pPr>
      <w:tabs>
        <w:tab w:val="right" w:pos="556"/>
      </w:tabs>
      <w:spacing w:before="40" w:line="240" w:lineRule="atLeast"/>
      <w:ind w:left="805" w:hanging="805"/>
    </w:pPr>
    <w:rPr>
      <w:sz w:val="20"/>
    </w:rPr>
  </w:style>
  <w:style w:type="paragraph" w:customStyle="1" w:styleId="CTA3ai">
    <w:name w:val="CTA 3(a)(i)"/>
    <w:basedOn w:val="OPCParaBase"/>
    <w:rsid w:val="00382DA7"/>
    <w:pPr>
      <w:tabs>
        <w:tab w:val="right" w:pos="1140"/>
      </w:tabs>
      <w:spacing w:before="40" w:line="240" w:lineRule="atLeast"/>
      <w:ind w:left="1361" w:hanging="1361"/>
    </w:pPr>
    <w:rPr>
      <w:sz w:val="20"/>
    </w:rPr>
  </w:style>
  <w:style w:type="paragraph" w:customStyle="1" w:styleId="CTA4a">
    <w:name w:val="CTA 4(a)"/>
    <w:basedOn w:val="OPCParaBase"/>
    <w:rsid w:val="00382DA7"/>
    <w:pPr>
      <w:tabs>
        <w:tab w:val="right" w:pos="624"/>
      </w:tabs>
      <w:spacing w:before="40" w:line="240" w:lineRule="atLeast"/>
      <w:ind w:left="873" w:hanging="873"/>
    </w:pPr>
    <w:rPr>
      <w:sz w:val="20"/>
    </w:rPr>
  </w:style>
  <w:style w:type="paragraph" w:customStyle="1" w:styleId="CTA4ai">
    <w:name w:val="CTA 4(a)(i)"/>
    <w:basedOn w:val="OPCParaBase"/>
    <w:rsid w:val="00382DA7"/>
    <w:pPr>
      <w:tabs>
        <w:tab w:val="right" w:pos="1213"/>
      </w:tabs>
      <w:spacing w:before="40" w:line="240" w:lineRule="atLeast"/>
      <w:ind w:left="1452" w:hanging="1452"/>
    </w:pPr>
    <w:rPr>
      <w:sz w:val="20"/>
    </w:rPr>
  </w:style>
  <w:style w:type="paragraph" w:customStyle="1" w:styleId="CTACAPS">
    <w:name w:val="CTA CAPS"/>
    <w:basedOn w:val="OPCParaBase"/>
    <w:rsid w:val="00382DA7"/>
    <w:pPr>
      <w:spacing w:before="60" w:line="240" w:lineRule="atLeast"/>
    </w:pPr>
    <w:rPr>
      <w:sz w:val="20"/>
    </w:rPr>
  </w:style>
  <w:style w:type="paragraph" w:customStyle="1" w:styleId="CTAright">
    <w:name w:val="CTA right"/>
    <w:basedOn w:val="OPCParaBase"/>
    <w:rsid w:val="00382DA7"/>
    <w:pPr>
      <w:spacing w:before="60" w:line="240" w:lineRule="auto"/>
      <w:jc w:val="right"/>
    </w:pPr>
    <w:rPr>
      <w:sz w:val="20"/>
    </w:rPr>
  </w:style>
  <w:style w:type="paragraph" w:customStyle="1" w:styleId="subsection">
    <w:name w:val="subsection"/>
    <w:aliases w:val="ss"/>
    <w:basedOn w:val="OPCParaBase"/>
    <w:rsid w:val="00382DA7"/>
    <w:pPr>
      <w:tabs>
        <w:tab w:val="right" w:pos="1021"/>
      </w:tabs>
      <w:spacing w:before="180" w:line="240" w:lineRule="auto"/>
      <w:ind w:left="1134" w:hanging="1134"/>
    </w:pPr>
  </w:style>
  <w:style w:type="paragraph" w:customStyle="1" w:styleId="Definition">
    <w:name w:val="Definition"/>
    <w:aliases w:val="dd"/>
    <w:basedOn w:val="OPCParaBase"/>
    <w:rsid w:val="00382DA7"/>
    <w:pPr>
      <w:spacing w:before="180" w:line="240" w:lineRule="auto"/>
      <w:ind w:left="1134"/>
    </w:pPr>
  </w:style>
  <w:style w:type="paragraph" w:customStyle="1" w:styleId="ETAsubitem">
    <w:name w:val="ETA(subitem)"/>
    <w:basedOn w:val="OPCParaBase"/>
    <w:rsid w:val="00382DA7"/>
    <w:pPr>
      <w:tabs>
        <w:tab w:val="right" w:pos="340"/>
      </w:tabs>
      <w:spacing w:before="60" w:line="240" w:lineRule="auto"/>
      <w:ind w:left="454" w:hanging="454"/>
    </w:pPr>
    <w:rPr>
      <w:sz w:val="20"/>
    </w:rPr>
  </w:style>
  <w:style w:type="paragraph" w:customStyle="1" w:styleId="ETApara">
    <w:name w:val="ETA(para)"/>
    <w:basedOn w:val="OPCParaBase"/>
    <w:rsid w:val="00382DA7"/>
    <w:pPr>
      <w:tabs>
        <w:tab w:val="right" w:pos="754"/>
      </w:tabs>
      <w:spacing w:before="60" w:line="240" w:lineRule="auto"/>
      <w:ind w:left="828" w:hanging="828"/>
    </w:pPr>
    <w:rPr>
      <w:sz w:val="20"/>
    </w:rPr>
  </w:style>
  <w:style w:type="paragraph" w:customStyle="1" w:styleId="ETAsubpara">
    <w:name w:val="ETA(subpara)"/>
    <w:basedOn w:val="OPCParaBase"/>
    <w:rsid w:val="00382DA7"/>
    <w:pPr>
      <w:tabs>
        <w:tab w:val="right" w:pos="1083"/>
      </w:tabs>
      <w:spacing w:before="60" w:line="240" w:lineRule="auto"/>
      <w:ind w:left="1191" w:hanging="1191"/>
    </w:pPr>
    <w:rPr>
      <w:sz w:val="20"/>
    </w:rPr>
  </w:style>
  <w:style w:type="paragraph" w:customStyle="1" w:styleId="ETAsub-subpara">
    <w:name w:val="ETA(sub-subpara)"/>
    <w:basedOn w:val="OPCParaBase"/>
    <w:rsid w:val="00382DA7"/>
    <w:pPr>
      <w:tabs>
        <w:tab w:val="right" w:pos="1412"/>
      </w:tabs>
      <w:spacing w:before="60" w:line="240" w:lineRule="auto"/>
      <w:ind w:left="1525" w:hanging="1525"/>
    </w:pPr>
    <w:rPr>
      <w:sz w:val="20"/>
    </w:rPr>
  </w:style>
  <w:style w:type="paragraph" w:customStyle="1" w:styleId="Formula">
    <w:name w:val="Formula"/>
    <w:basedOn w:val="OPCParaBase"/>
    <w:rsid w:val="00382DA7"/>
    <w:pPr>
      <w:spacing w:line="240" w:lineRule="auto"/>
      <w:ind w:left="1134"/>
    </w:pPr>
    <w:rPr>
      <w:sz w:val="20"/>
    </w:rPr>
  </w:style>
  <w:style w:type="paragraph" w:styleId="Header">
    <w:name w:val="header"/>
    <w:basedOn w:val="OPCParaBase"/>
    <w:link w:val="HeaderChar"/>
    <w:unhideWhenUsed/>
    <w:rsid w:val="00382D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82DA7"/>
    <w:rPr>
      <w:rFonts w:eastAsia="Times New Roman" w:cs="Times New Roman"/>
      <w:sz w:val="16"/>
      <w:lang w:eastAsia="en-AU"/>
    </w:rPr>
  </w:style>
  <w:style w:type="paragraph" w:customStyle="1" w:styleId="House">
    <w:name w:val="House"/>
    <w:basedOn w:val="OPCParaBase"/>
    <w:rsid w:val="00382DA7"/>
    <w:pPr>
      <w:spacing w:line="240" w:lineRule="auto"/>
    </w:pPr>
    <w:rPr>
      <w:sz w:val="28"/>
    </w:rPr>
  </w:style>
  <w:style w:type="paragraph" w:customStyle="1" w:styleId="Item">
    <w:name w:val="Item"/>
    <w:aliases w:val="i"/>
    <w:basedOn w:val="OPCParaBase"/>
    <w:next w:val="ItemHead"/>
    <w:link w:val="ItemChar"/>
    <w:rsid w:val="00382DA7"/>
    <w:pPr>
      <w:keepLines/>
      <w:spacing w:before="80" w:line="240" w:lineRule="auto"/>
      <w:ind w:left="709"/>
    </w:pPr>
  </w:style>
  <w:style w:type="paragraph" w:customStyle="1" w:styleId="ItemHead">
    <w:name w:val="ItemHead"/>
    <w:aliases w:val="ih"/>
    <w:basedOn w:val="OPCParaBase"/>
    <w:next w:val="Item"/>
    <w:link w:val="ItemHeadChar"/>
    <w:rsid w:val="00382D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82DA7"/>
    <w:pPr>
      <w:spacing w:line="240" w:lineRule="auto"/>
    </w:pPr>
    <w:rPr>
      <w:b/>
      <w:sz w:val="32"/>
    </w:rPr>
  </w:style>
  <w:style w:type="paragraph" w:customStyle="1" w:styleId="notedraft">
    <w:name w:val="note(draft)"/>
    <w:aliases w:val="nd"/>
    <w:basedOn w:val="OPCParaBase"/>
    <w:rsid w:val="00382DA7"/>
    <w:pPr>
      <w:spacing w:before="240" w:line="240" w:lineRule="auto"/>
      <w:ind w:left="284" w:hanging="284"/>
    </w:pPr>
    <w:rPr>
      <w:i/>
      <w:sz w:val="24"/>
    </w:rPr>
  </w:style>
  <w:style w:type="paragraph" w:customStyle="1" w:styleId="notemargin">
    <w:name w:val="note(margin)"/>
    <w:aliases w:val="nm"/>
    <w:basedOn w:val="OPCParaBase"/>
    <w:rsid w:val="00382DA7"/>
    <w:pPr>
      <w:tabs>
        <w:tab w:val="left" w:pos="709"/>
      </w:tabs>
      <w:spacing w:before="122" w:line="198" w:lineRule="exact"/>
      <w:ind w:left="709" w:hanging="709"/>
    </w:pPr>
    <w:rPr>
      <w:sz w:val="18"/>
    </w:rPr>
  </w:style>
  <w:style w:type="paragraph" w:customStyle="1" w:styleId="noteToPara">
    <w:name w:val="noteToPara"/>
    <w:aliases w:val="ntp"/>
    <w:basedOn w:val="OPCParaBase"/>
    <w:rsid w:val="00382DA7"/>
    <w:pPr>
      <w:spacing w:before="122" w:line="198" w:lineRule="exact"/>
      <w:ind w:left="2353" w:hanging="709"/>
    </w:pPr>
    <w:rPr>
      <w:sz w:val="18"/>
    </w:rPr>
  </w:style>
  <w:style w:type="paragraph" w:customStyle="1" w:styleId="noteParlAmend">
    <w:name w:val="note(ParlAmend)"/>
    <w:aliases w:val="npp"/>
    <w:basedOn w:val="OPCParaBase"/>
    <w:next w:val="ParlAmend"/>
    <w:rsid w:val="00382DA7"/>
    <w:pPr>
      <w:spacing w:line="240" w:lineRule="auto"/>
      <w:jc w:val="right"/>
    </w:pPr>
    <w:rPr>
      <w:rFonts w:ascii="Arial" w:hAnsi="Arial"/>
      <w:b/>
      <w:i/>
    </w:rPr>
  </w:style>
  <w:style w:type="paragraph" w:customStyle="1" w:styleId="Page1">
    <w:name w:val="Page1"/>
    <w:basedOn w:val="OPCParaBase"/>
    <w:rsid w:val="00382DA7"/>
    <w:pPr>
      <w:spacing w:before="5600" w:line="240" w:lineRule="auto"/>
    </w:pPr>
    <w:rPr>
      <w:b/>
      <w:sz w:val="32"/>
    </w:rPr>
  </w:style>
  <w:style w:type="paragraph" w:customStyle="1" w:styleId="PageBreak">
    <w:name w:val="PageBreak"/>
    <w:aliases w:val="pb"/>
    <w:basedOn w:val="OPCParaBase"/>
    <w:rsid w:val="00382DA7"/>
    <w:pPr>
      <w:spacing w:line="240" w:lineRule="auto"/>
    </w:pPr>
    <w:rPr>
      <w:sz w:val="20"/>
    </w:rPr>
  </w:style>
  <w:style w:type="paragraph" w:customStyle="1" w:styleId="paragraphsub">
    <w:name w:val="paragraph(sub)"/>
    <w:aliases w:val="aa"/>
    <w:basedOn w:val="OPCParaBase"/>
    <w:rsid w:val="00382DA7"/>
    <w:pPr>
      <w:tabs>
        <w:tab w:val="right" w:pos="1985"/>
      </w:tabs>
      <w:spacing w:before="40" w:line="240" w:lineRule="auto"/>
      <w:ind w:left="2098" w:hanging="2098"/>
    </w:pPr>
  </w:style>
  <w:style w:type="paragraph" w:customStyle="1" w:styleId="paragraphsub-sub">
    <w:name w:val="paragraph(sub-sub)"/>
    <w:aliases w:val="aaa"/>
    <w:basedOn w:val="OPCParaBase"/>
    <w:rsid w:val="00382DA7"/>
    <w:pPr>
      <w:tabs>
        <w:tab w:val="right" w:pos="2722"/>
      </w:tabs>
      <w:spacing w:before="40" w:line="240" w:lineRule="auto"/>
      <w:ind w:left="2835" w:hanging="2835"/>
    </w:pPr>
  </w:style>
  <w:style w:type="paragraph" w:customStyle="1" w:styleId="paragraph">
    <w:name w:val="paragraph"/>
    <w:aliases w:val="a"/>
    <w:basedOn w:val="OPCParaBase"/>
    <w:rsid w:val="00382DA7"/>
    <w:pPr>
      <w:tabs>
        <w:tab w:val="right" w:pos="1531"/>
      </w:tabs>
      <w:spacing w:before="40" w:line="240" w:lineRule="auto"/>
      <w:ind w:left="1644" w:hanging="1644"/>
    </w:pPr>
  </w:style>
  <w:style w:type="paragraph" w:customStyle="1" w:styleId="ParlAmend">
    <w:name w:val="ParlAmend"/>
    <w:aliases w:val="pp"/>
    <w:basedOn w:val="OPCParaBase"/>
    <w:rsid w:val="00382DA7"/>
    <w:pPr>
      <w:spacing w:before="240" w:line="240" w:lineRule="atLeast"/>
      <w:ind w:hanging="567"/>
    </w:pPr>
    <w:rPr>
      <w:sz w:val="24"/>
    </w:rPr>
  </w:style>
  <w:style w:type="paragraph" w:customStyle="1" w:styleId="Penalty">
    <w:name w:val="Penalty"/>
    <w:basedOn w:val="OPCParaBase"/>
    <w:rsid w:val="00382DA7"/>
    <w:pPr>
      <w:tabs>
        <w:tab w:val="left" w:pos="2977"/>
      </w:tabs>
      <w:spacing w:before="180" w:line="240" w:lineRule="auto"/>
      <w:ind w:left="1985" w:hanging="851"/>
    </w:pPr>
  </w:style>
  <w:style w:type="paragraph" w:customStyle="1" w:styleId="Portfolio">
    <w:name w:val="Portfolio"/>
    <w:basedOn w:val="OPCParaBase"/>
    <w:rsid w:val="00382DA7"/>
    <w:pPr>
      <w:spacing w:line="240" w:lineRule="auto"/>
    </w:pPr>
    <w:rPr>
      <w:i/>
      <w:sz w:val="20"/>
    </w:rPr>
  </w:style>
  <w:style w:type="paragraph" w:customStyle="1" w:styleId="Preamble">
    <w:name w:val="Preamble"/>
    <w:basedOn w:val="OPCParaBase"/>
    <w:next w:val="Normal"/>
    <w:rsid w:val="00382D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82DA7"/>
    <w:pPr>
      <w:spacing w:line="240" w:lineRule="auto"/>
    </w:pPr>
    <w:rPr>
      <w:i/>
      <w:sz w:val="20"/>
    </w:rPr>
  </w:style>
  <w:style w:type="paragraph" w:customStyle="1" w:styleId="Session">
    <w:name w:val="Session"/>
    <w:basedOn w:val="OPCParaBase"/>
    <w:rsid w:val="00382DA7"/>
    <w:pPr>
      <w:spacing w:line="240" w:lineRule="auto"/>
    </w:pPr>
    <w:rPr>
      <w:sz w:val="28"/>
    </w:rPr>
  </w:style>
  <w:style w:type="paragraph" w:customStyle="1" w:styleId="Sponsor">
    <w:name w:val="Sponsor"/>
    <w:basedOn w:val="OPCParaBase"/>
    <w:rsid w:val="00382DA7"/>
    <w:pPr>
      <w:spacing w:line="240" w:lineRule="auto"/>
    </w:pPr>
    <w:rPr>
      <w:i/>
    </w:rPr>
  </w:style>
  <w:style w:type="paragraph" w:customStyle="1" w:styleId="Subitem">
    <w:name w:val="Subitem"/>
    <w:aliases w:val="iss"/>
    <w:basedOn w:val="OPCParaBase"/>
    <w:rsid w:val="00382DA7"/>
    <w:pPr>
      <w:spacing w:before="180" w:line="240" w:lineRule="auto"/>
      <w:ind w:left="709" w:hanging="709"/>
    </w:pPr>
  </w:style>
  <w:style w:type="paragraph" w:customStyle="1" w:styleId="SubitemHead">
    <w:name w:val="SubitemHead"/>
    <w:aliases w:val="issh"/>
    <w:basedOn w:val="OPCParaBase"/>
    <w:rsid w:val="00382D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82DA7"/>
    <w:pPr>
      <w:spacing w:before="40" w:line="240" w:lineRule="auto"/>
      <w:ind w:left="1134"/>
    </w:pPr>
  </w:style>
  <w:style w:type="paragraph" w:customStyle="1" w:styleId="SubsectionHead">
    <w:name w:val="SubsectionHead"/>
    <w:aliases w:val="ssh"/>
    <w:basedOn w:val="OPCParaBase"/>
    <w:next w:val="subsection"/>
    <w:rsid w:val="00382DA7"/>
    <w:pPr>
      <w:keepNext/>
      <w:keepLines/>
      <w:spacing w:before="240" w:line="240" w:lineRule="auto"/>
      <w:ind w:left="1134"/>
    </w:pPr>
    <w:rPr>
      <w:i/>
    </w:rPr>
  </w:style>
  <w:style w:type="paragraph" w:customStyle="1" w:styleId="Tablea">
    <w:name w:val="Table(a)"/>
    <w:aliases w:val="ta"/>
    <w:basedOn w:val="OPCParaBase"/>
    <w:rsid w:val="00382DA7"/>
    <w:pPr>
      <w:spacing w:before="60" w:line="240" w:lineRule="auto"/>
      <w:ind w:left="284" w:hanging="284"/>
    </w:pPr>
    <w:rPr>
      <w:sz w:val="20"/>
    </w:rPr>
  </w:style>
  <w:style w:type="paragraph" w:customStyle="1" w:styleId="TableAA">
    <w:name w:val="Table(AA)"/>
    <w:aliases w:val="taaa"/>
    <w:basedOn w:val="OPCParaBase"/>
    <w:rsid w:val="00382D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82D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82DA7"/>
    <w:pPr>
      <w:spacing w:before="60" w:line="240" w:lineRule="atLeast"/>
    </w:pPr>
    <w:rPr>
      <w:sz w:val="20"/>
    </w:rPr>
  </w:style>
  <w:style w:type="paragraph" w:customStyle="1" w:styleId="TLPBoxTextnote">
    <w:name w:val="TLPBoxText(note"/>
    <w:aliases w:val="right)"/>
    <w:basedOn w:val="OPCParaBase"/>
    <w:rsid w:val="00382D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82D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82DA7"/>
    <w:pPr>
      <w:spacing w:before="122" w:line="198" w:lineRule="exact"/>
      <w:ind w:left="1985" w:hanging="851"/>
      <w:jc w:val="right"/>
    </w:pPr>
    <w:rPr>
      <w:sz w:val="18"/>
    </w:rPr>
  </w:style>
  <w:style w:type="paragraph" w:customStyle="1" w:styleId="TLPTableBullet">
    <w:name w:val="TLPTableBullet"/>
    <w:aliases w:val="ttb"/>
    <w:basedOn w:val="OPCParaBase"/>
    <w:rsid w:val="00382DA7"/>
    <w:pPr>
      <w:spacing w:line="240" w:lineRule="exact"/>
      <w:ind w:left="284" w:hanging="284"/>
    </w:pPr>
    <w:rPr>
      <w:sz w:val="20"/>
    </w:rPr>
  </w:style>
  <w:style w:type="paragraph" w:styleId="TOC1">
    <w:name w:val="toc 1"/>
    <w:basedOn w:val="OPCParaBase"/>
    <w:next w:val="Normal"/>
    <w:uiPriority w:val="39"/>
    <w:semiHidden/>
    <w:unhideWhenUsed/>
    <w:rsid w:val="00382DA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82DA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82DA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82DA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82DA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382D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82D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82D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82D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82DA7"/>
    <w:pPr>
      <w:keepLines/>
      <w:spacing w:before="240" w:after="120" w:line="240" w:lineRule="auto"/>
      <w:ind w:left="794"/>
    </w:pPr>
    <w:rPr>
      <w:b/>
      <w:kern w:val="28"/>
      <w:sz w:val="20"/>
    </w:rPr>
  </w:style>
  <w:style w:type="paragraph" w:customStyle="1" w:styleId="TofSectsHeading">
    <w:name w:val="TofSects(Heading)"/>
    <w:basedOn w:val="OPCParaBase"/>
    <w:rsid w:val="00382DA7"/>
    <w:pPr>
      <w:spacing w:before="240" w:after="120" w:line="240" w:lineRule="auto"/>
    </w:pPr>
    <w:rPr>
      <w:b/>
      <w:sz w:val="24"/>
    </w:rPr>
  </w:style>
  <w:style w:type="paragraph" w:customStyle="1" w:styleId="TofSectsSection">
    <w:name w:val="TofSects(Section)"/>
    <w:basedOn w:val="OPCParaBase"/>
    <w:rsid w:val="00382DA7"/>
    <w:pPr>
      <w:keepLines/>
      <w:spacing w:before="40" w:line="240" w:lineRule="auto"/>
      <w:ind w:left="1588" w:hanging="794"/>
    </w:pPr>
    <w:rPr>
      <w:kern w:val="28"/>
      <w:sz w:val="18"/>
    </w:rPr>
  </w:style>
  <w:style w:type="paragraph" w:customStyle="1" w:styleId="TofSectsSubdiv">
    <w:name w:val="TofSects(Subdiv)"/>
    <w:basedOn w:val="OPCParaBase"/>
    <w:rsid w:val="00382DA7"/>
    <w:pPr>
      <w:keepLines/>
      <w:spacing w:before="80" w:line="240" w:lineRule="auto"/>
      <w:ind w:left="1588" w:hanging="794"/>
    </w:pPr>
    <w:rPr>
      <w:kern w:val="28"/>
    </w:rPr>
  </w:style>
  <w:style w:type="paragraph" w:customStyle="1" w:styleId="WRStyle">
    <w:name w:val="WR Style"/>
    <w:aliases w:val="WR"/>
    <w:basedOn w:val="OPCParaBase"/>
    <w:rsid w:val="00382DA7"/>
    <w:pPr>
      <w:spacing w:before="240" w:line="240" w:lineRule="auto"/>
      <w:ind w:left="284" w:hanging="284"/>
    </w:pPr>
    <w:rPr>
      <w:b/>
      <w:i/>
      <w:kern w:val="28"/>
      <w:sz w:val="24"/>
    </w:rPr>
  </w:style>
  <w:style w:type="paragraph" w:customStyle="1" w:styleId="notepara">
    <w:name w:val="note(para)"/>
    <w:aliases w:val="na"/>
    <w:basedOn w:val="OPCParaBase"/>
    <w:rsid w:val="00382DA7"/>
    <w:pPr>
      <w:spacing w:before="40" w:line="198" w:lineRule="exact"/>
      <w:ind w:left="2354" w:hanging="369"/>
    </w:pPr>
    <w:rPr>
      <w:sz w:val="18"/>
    </w:rPr>
  </w:style>
  <w:style w:type="paragraph" w:styleId="Footer">
    <w:name w:val="footer"/>
    <w:link w:val="FooterChar"/>
    <w:rsid w:val="00382D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82DA7"/>
    <w:rPr>
      <w:rFonts w:eastAsia="Times New Roman" w:cs="Times New Roman"/>
      <w:sz w:val="22"/>
      <w:szCs w:val="24"/>
      <w:lang w:eastAsia="en-AU"/>
    </w:rPr>
  </w:style>
  <w:style w:type="character" w:styleId="LineNumber">
    <w:name w:val="line number"/>
    <w:basedOn w:val="OPCCharBase"/>
    <w:uiPriority w:val="99"/>
    <w:semiHidden/>
    <w:unhideWhenUsed/>
    <w:rsid w:val="00382DA7"/>
    <w:rPr>
      <w:sz w:val="16"/>
    </w:rPr>
  </w:style>
  <w:style w:type="table" w:customStyle="1" w:styleId="CFlag">
    <w:name w:val="CFlag"/>
    <w:basedOn w:val="TableNormal"/>
    <w:uiPriority w:val="99"/>
    <w:rsid w:val="00382DA7"/>
    <w:rPr>
      <w:rFonts w:eastAsia="Times New Roman" w:cs="Times New Roman"/>
      <w:lang w:eastAsia="en-AU"/>
    </w:rPr>
    <w:tblPr/>
  </w:style>
  <w:style w:type="paragraph" w:customStyle="1" w:styleId="CompiledActNo">
    <w:name w:val="CompiledActNo"/>
    <w:basedOn w:val="OPCParaBase"/>
    <w:next w:val="Normal"/>
    <w:rsid w:val="00382DA7"/>
    <w:rPr>
      <w:b/>
      <w:sz w:val="24"/>
      <w:szCs w:val="24"/>
    </w:rPr>
  </w:style>
  <w:style w:type="paragraph" w:customStyle="1" w:styleId="CompiledMadeUnder">
    <w:name w:val="CompiledMadeUnder"/>
    <w:basedOn w:val="OPCParaBase"/>
    <w:next w:val="Normal"/>
    <w:rsid w:val="00382DA7"/>
    <w:rPr>
      <w:i/>
      <w:sz w:val="24"/>
      <w:szCs w:val="24"/>
    </w:rPr>
  </w:style>
  <w:style w:type="paragraph" w:customStyle="1" w:styleId="ENotesText">
    <w:name w:val="ENotesText"/>
    <w:aliases w:val="Ent"/>
    <w:basedOn w:val="OPCParaBase"/>
    <w:next w:val="Normal"/>
    <w:rsid w:val="00382DA7"/>
    <w:pPr>
      <w:spacing w:before="120"/>
    </w:pPr>
  </w:style>
  <w:style w:type="paragraph" w:customStyle="1" w:styleId="Paragraphsub-sub-sub">
    <w:name w:val="Paragraph(sub-sub-sub)"/>
    <w:aliases w:val="aaaa"/>
    <w:basedOn w:val="OPCParaBase"/>
    <w:rsid w:val="00382DA7"/>
    <w:pPr>
      <w:tabs>
        <w:tab w:val="right" w:pos="3402"/>
      </w:tabs>
      <w:spacing w:before="40" w:line="240" w:lineRule="auto"/>
      <w:ind w:left="3402" w:hanging="3402"/>
    </w:pPr>
  </w:style>
  <w:style w:type="paragraph" w:customStyle="1" w:styleId="NoteToSubpara">
    <w:name w:val="NoteToSubpara"/>
    <w:aliases w:val="nts"/>
    <w:basedOn w:val="OPCParaBase"/>
    <w:rsid w:val="00382DA7"/>
    <w:pPr>
      <w:spacing w:before="40" w:line="198" w:lineRule="exact"/>
      <w:ind w:left="2835" w:hanging="709"/>
    </w:pPr>
    <w:rPr>
      <w:sz w:val="18"/>
    </w:rPr>
  </w:style>
  <w:style w:type="paragraph" w:customStyle="1" w:styleId="ENoteTableHeading">
    <w:name w:val="ENoteTableHeading"/>
    <w:aliases w:val="enth"/>
    <w:basedOn w:val="OPCParaBase"/>
    <w:rsid w:val="00382DA7"/>
    <w:pPr>
      <w:keepNext/>
      <w:spacing w:before="60" w:line="240" w:lineRule="atLeast"/>
    </w:pPr>
    <w:rPr>
      <w:rFonts w:ascii="Arial" w:hAnsi="Arial"/>
      <w:b/>
      <w:sz w:val="16"/>
    </w:rPr>
  </w:style>
  <w:style w:type="paragraph" w:customStyle="1" w:styleId="ENoteTTi">
    <w:name w:val="ENoteTTi"/>
    <w:aliases w:val="entti"/>
    <w:basedOn w:val="OPCParaBase"/>
    <w:rsid w:val="00382DA7"/>
    <w:pPr>
      <w:keepNext/>
      <w:spacing w:before="60" w:line="240" w:lineRule="atLeast"/>
      <w:ind w:left="170"/>
    </w:pPr>
    <w:rPr>
      <w:sz w:val="16"/>
    </w:rPr>
  </w:style>
  <w:style w:type="paragraph" w:customStyle="1" w:styleId="ENotesHeading1">
    <w:name w:val="ENotesHeading 1"/>
    <w:aliases w:val="Enh1"/>
    <w:basedOn w:val="OPCParaBase"/>
    <w:next w:val="Normal"/>
    <w:rsid w:val="00382DA7"/>
    <w:pPr>
      <w:spacing w:before="120"/>
      <w:outlineLvl w:val="1"/>
    </w:pPr>
    <w:rPr>
      <w:b/>
      <w:sz w:val="28"/>
      <w:szCs w:val="28"/>
    </w:rPr>
  </w:style>
  <w:style w:type="paragraph" w:customStyle="1" w:styleId="ENotesHeading2">
    <w:name w:val="ENotesHeading 2"/>
    <w:aliases w:val="Enh2"/>
    <w:basedOn w:val="OPCParaBase"/>
    <w:next w:val="Normal"/>
    <w:rsid w:val="00382DA7"/>
    <w:pPr>
      <w:spacing w:before="120" w:after="120"/>
      <w:outlineLvl w:val="2"/>
    </w:pPr>
    <w:rPr>
      <w:b/>
      <w:sz w:val="24"/>
      <w:szCs w:val="28"/>
    </w:rPr>
  </w:style>
  <w:style w:type="paragraph" w:customStyle="1" w:styleId="ENoteTTIndentHeading">
    <w:name w:val="ENoteTTIndentHeading"/>
    <w:aliases w:val="enTTHi"/>
    <w:basedOn w:val="OPCParaBase"/>
    <w:rsid w:val="00382D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82DA7"/>
    <w:pPr>
      <w:spacing w:before="60" w:line="240" w:lineRule="atLeast"/>
    </w:pPr>
    <w:rPr>
      <w:sz w:val="16"/>
    </w:rPr>
  </w:style>
  <w:style w:type="paragraph" w:customStyle="1" w:styleId="MadeunderText">
    <w:name w:val="MadeunderText"/>
    <w:basedOn w:val="OPCParaBase"/>
    <w:next w:val="Normal"/>
    <w:rsid w:val="00382DA7"/>
    <w:pPr>
      <w:spacing w:before="240"/>
    </w:pPr>
    <w:rPr>
      <w:sz w:val="24"/>
      <w:szCs w:val="24"/>
    </w:rPr>
  </w:style>
  <w:style w:type="paragraph" w:customStyle="1" w:styleId="ENotesHeading3">
    <w:name w:val="ENotesHeading 3"/>
    <w:aliases w:val="Enh3"/>
    <w:basedOn w:val="OPCParaBase"/>
    <w:next w:val="Normal"/>
    <w:rsid w:val="00382DA7"/>
    <w:pPr>
      <w:keepNext/>
      <w:spacing w:before="120" w:line="240" w:lineRule="auto"/>
      <w:outlineLvl w:val="4"/>
    </w:pPr>
    <w:rPr>
      <w:b/>
      <w:szCs w:val="24"/>
    </w:rPr>
  </w:style>
  <w:style w:type="character" w:customStyle="1" w:styleId="CharSubPartTextCASA">
    <w:name w:val="CharSubPartText(CASA)"/>
    <w:basedOn w:val="OPCCharBase"/>
    <w:uiPriority w:val="1"/>
    <w:rsid w:val="00382DA7"/>
  </w:style>
  <w:style w:type="character" w:customStyle="1" w:styleId="CharSubPartNoCASA">
    <w:name w:val="CharSubPartNo(CASA)"/>
    <w:basedOn w:val="OPCCharBase"/>
    <w:uiPriority w:val="1"/>
    <w:rsid w:val="00382DA7"/>
  </w:style>
  <w:style w:type="paragraph" w:customStyle="1" w:styleId="ENoteTTIndentHeadingSub">
    <w:name w:val="ENoteTTIndentHeadingSub"/>
    <w:aliases w:val="enTTHis"/>
    <w:basedOn w:val="OPCParaBase"/>
    <w:rsid w:val="00382DA7"/>
    <w:pPr>
      <w:keepNext/>
      <w:spacing w:before="60" w:line="240" w:lineRule="atLeast"/>
      <w:ind w:left="340"/>
    </w:pPr>
    <w:rPr>
      <w:b/>
      <w:sz w:val="16"/>
    </w:rPr>
  </w:style>
  <w:style w:type="paragraph" w:customStyle="1" w:styleId="ENoteTTiSub">
    <w:name w:val="ENoteTTiSub"/>
    <w:aliases w:val="enttis"/>
    <w:basedOn w:val="OPCParaBase"/>
    <w:rsid w:val="00382DA7"/>
    <w:pPr>
      <w:keepNext/>
      <w:spacing w:before="60" w:line="240" w:lineRule="atLeast"/>
      <w:ind w:left="340"/>
    </w:pPr>
    <w:rPr>
      <w:sz w:val="16"/>
    </w:rPr>
  </w:style>
  <w:style w:type="paragraph" w:customStyle="1" w:styleId="SubDivisionMigration">
    <w:name w:val="SubDivisionMigration"/>
    <w:aliases w:val="sdm"/>
    <w:basedOn w:val="OPCParaBase"/>
    <w:rsid w:val="00382D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82DA7"/>
    <w:pPr>
      <w:keepNext/>
      <w:keepLines/>
      <w:spacing w:before="240" w:line="240" w:lineRule="auto"/>
      <w:ind w:left="1134" w:hanging="1134"/>
    </w:pPr>
    <w:rPr>
      <w:b/>
      <w:sz w:val="28"/>
    </w:rPr>
  </w:style>
  <w:style w:type="paragraph" w:customStyle="1" w:styleId="notetext">
    <w:name w:val="note(text)"/>
    <w:aliases w:val="n"/>
    <w:basedOn w:val="OPCParaBase"/>
    <w:rsid w:val="00382DA7"/>
    <w:pPr>
      <w:spacing w:before="122" w:line="240" w:lineRule="auto"/>
      <w:ind w:left="1985" w:hanging="851"/>
    </w:pPr>
    <w:rPr>
      <w:sz w:val="18"/>
    </w:rPr>
  </w:style>
  <w:style w:type="paragraph" w:customStyle="1" w:styleId="FreeForm">
    <w:name w:val="FreeForm"/>
    <w:rsid w:val="000435D6"/>
    <w:rPr>
      <w:rFonts w:ascii="Arial" w:hAnsi="Arial"/>
      <w:sz w:val="22"/>
    </w:rPr>
  </w:style>
  <w:style w:type="paragraph" w:customStyle="1" w:styleId="SOText">
    <w:name w:val="SO Text"/>
    <w:aliases w:val="sot"/>
    <w:link w:val="SOTextChar"/>
    <w:rsid w:val="00382D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82DA7"/>
    <w:rPr>
      <w:sz w:val="22"/>
    </w:rPr>
  </w:style>
  <w:style w:type="paragraph" w:customStyle="1" w:styleId="SOTextNote">
    <w:name w:val="SO TextNote"/>
    <w:aliases w:val="sont"/>
    <w:basedOn w:val="SOText"/>
    <w:qFormat/>
    <w:rsid w:val="00382DA7"/>
    <w:pPr>
      <w:spacing w:before="122" w:line="198" w:lineRule="exact"/>
      <w:ind w:left="1843" w:hanging="709"/>
    </w:pPr>
    <w:rPr>
      <w:sz w:val="18"/>
    </w:rPr>
  </w:style>
  <w:style w:type="paragraph" w:customStyle="1" w:styleId="SOPara">
    <w:name w:val="SO Para"/>
    <w:aliases w:val="soa"/>
    <w:basedOn w:val="SOText"/>
    <w:link w:val="SOParaChar"/>
    <w:qFormat/>
    <w:rsid w:val="00382DA7"/>
    <w:pPr>
      <w:tabs>
        <w:tab w:val="right" w:pos="1786"/>
      </w:tabs>
      <w:spacing w:before="40"/>
      <w:ind w:left="2070" w:hanging="936"/>
    </w:pPr>
  </w:style>
  <w:style w:type="character" w:customStyle="1" w:styleId="SOParaChar">
    <w:name w:val="SO Para Char"/>
    <w:aliases w:val="soa Char"/>
    <w:basedOn w:val="DefaultParagraphFont"/>
    <w:link w:val="SOPara"/>
    <w:rsid w:val="00382DA7"/>
    <w:rPr>
      <w:sz w:val="22"/>
    </w:rPr>
  </w:style>
  <w:style w:type="paragraph" w:customStyle="1" w:styleId="FileName">
    <w:name w:val="FileName"/>
    <w:basedOn w:val="Normal"/>
    <w:rsid w:val="00382DA7"/>
  </w:style>
  <w:style w:type="paragraph" w:customStyle="1" w:styleId="TableHeading">
    <w:name w:val="TableHeading"/>
    <w:aliases w:val="th"/>
    <w:basedOn w:val="OPCParaBase"/>
    <w:next w:val="Tabletext"/>
    <w:rsid w:val="00382DA7"/>
    <w:pPr>
      <w:keepNext/>
      <w:spacing w:before="60" w:line="240" w:lineRule="atLeast"/>
    </w:pPr>
    <w:rPr>
      <w:b/>
      <w:sz w:val="20"/>
    </w:rPr>
  </w:style>
  <w:style w:type="paragraph" w:customStyle="1" w:styleId="SOHeadBold">
    <w:name w:val="SO HeadBold"/>
    <w:aliases w:val="sohb"/>
    <w:basedOn w:val="SOText"/>
    <w:next w:val="SOText"/>
    <w:link w:val="SOHeadBoldChar"/>
    <w:qFormat/>
    <w:rsid w:val="00382DA7"/>
    <w:rPr>
      <w:b/>
    </w:rPr>
  </w:style>
  <w:style w:type="character" w:customStyle="1" w:styleId="SOHeadBoldChar">
    <w:name w:val="SO HeadBold Char"/>
    <w:aliases w:val="sohb Char"/>
    <w:basedOn w:val="DefaultParagraphFont"/>
    <w:link w:val="SOHeadBold"/>
    <w:rsid w:val="00382DA7"/>
    <w:rPr>
      <w:b/>
      <w:sz w:val="22"/>
    </w:rPr>
  </w:style>
  <w:style w:type="paragraph" w:customStyle="1" w:styleId="SOHeadItalic">
    <w:name w:val="SO HeadItalic"/>
    <w:aliases w:val="sohi"/>
    <w:basedOn w:val="SOText"/>
    <w:next w:val="SOText"/>
    <w:link w:val="SOHeadItalicChar"/>
    <w:qFormat/>
    <w:rsid w:val="00382DA7"/>
    <w:rPr>
      <w:i/>
    </w:rPr>
  </w:style>
  <w:style w:type="character" w:customStyle="1" w:styleId="SOHeadItalicChar">
    <w:name w:val="SO HeadItalic Char"/>
    <w:aliases w:val="sohi Char"/>
    <w:basedOn w:val="DefaultParagraphFont"/>
    <w:link w:val="SOHeadItalic"/>
    <w:rsid w:val="00382DA7"/>
    <w:rPr>
      <w:i/>
      <w:sz w:val="22"/>
    </w:rPr>
  </w:style>
  <w:style w:type="paragraph" w:customStyle="1" w:styleId="SOBullet">
    <w:name w:val="SO Bullet"/>
    <w:aliases w:val="sotb"/>
    <w:basedOn w:val="SOText"/>
    <w:link w:val="SOBulletChar"/>
    <w:qFormat/>
    <w:rsid w:val="00382DA7"/>
    <w:pPr>
      <w:ind w:left="1559" w:hanging="425"/>
    </w:pPr>
  </w:style>
  <w:style w:type="character" w:customStyle="1" w:styleId="SOBulletChar">
    <w:name w:val="SO Bullet Char"/>
    <w:aliases w:val="sotb Char"/>
    <w:basedOn w:val="DefaultParagraphFont"/>
    <w:link w:val="SOBullet"/>
    <w:rsid w:val="00382DA7"/>
    <w:rPr>
      <w:sz w:val="22"/>
    </w:rPr>
  </w:style>
  <w:style w:type="paragraph" w:customStyle="1" w:styleId="SOBulletNote">
    <w:name w:val="SO BulletNote"/>
    <w:aliases w:val="sonb"/>
    <w:basedOn w:val="SOTextNote"/>
    <w:link w:val="SOBulletNoteChar"/>
    <w:qFormat/>
    <w:rsid w:val="00382DA7"/>
    <w:pPr>
      <w:tabs>
        <w:tab w:val="left" w:pos="1560"/>
      </w:tabs>
      <w:ind w:left="2268" w:hanging="1134"/>
    </w:pPr>
  </w:style>
  <w:style w:type="character" w:customStyle="1" w:styleId="SOBulletNoteChar">
    <w:name w:val="SO BulletNote Char"/>
    <w:aliases w:val="sonb Char"/>
    <w:basedOn w:val="DefaultParagraphFont"/>
    <w:link w:val="SOBulletNote"/>
    <w:rsid w:val="00382DA7"/>
    <w:rPr>
      <w:sz w:val="18"/>
    </w:rPr>
  </w:style>
  <w:style w:type="paragraph" w:customStyle="1" w:styleId="SOText2">
    <w:name w:val="SO Text2"/>
    <w:aliases w:val="sot2"/>
    <w:basedOn w:val="Normal"/>
    <w:next w:val="SOText"/>
    <w:link w:val="SOText2Char"/>
    <w:rsid w:val="00382DA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82DA7"/>
    <w:rPr>
      <w:sz w:val="22"/>
    </w:rPr>
  </w:style>
  <w:style w:type="paragraph" w:customStyle="1" w:styleId="SubPartCASA">
    <w:name w:val="SubPart(CASA)"/>
    <w:aliases w:val="csp"/>
    <w:basedOn w:val="OPCParaBase"/>
    <w:next w:val="ActHead3"/>
    <w:rsid w:val="00382DA7"/>
    <w:pPr>
      <w:keepNext/>
      <w:keepLines/>
      <w:spacing w:before="280"/>
      <w:ind w:left="1134" w:hanging="1134"/>
      <w:outlineLvl w:val="1"/>
    </w:pPr>
    <w:rPr>
      <w:b/>
      <w:kern w:val="28"/>
      <w:sz w:val="32"/>
    </w:rPr>
  </w:style>
  <w:style w:type="paragraph" w:customStyle="1" w:styleId="NotesHeading1">
    <w:name w:val="NotesHeading 1"/>
    <w:basedOn w:val="OPCParaBase"/>
    <w:next w:val="Normal"/>
    <w:rsid w:val="00382DA7"/>
    <w:rPr>
      <w:b/>
      <w:sz w:val="28"/>
      <w:szCs w:val="28"/>
    </w:rPr>
  </w:style>
  <w:style w:type="paragraph" w:customStyle="1" w:styleId="NotesHeading2">
    <w:name w:val="NotesHeading 2"/>
    <w:basedOn w:val="OPCParaBase"/>
    <w:next w:val="Normal"/>
    <w:rsid w:val="00382DA7"/>
    <w:rPr>
      <w:b/>
      <w:sz w:val="28"/>
      <w:szCs w:val="28"/>
    </w:rPr>
  </w:style>
  <w:style w:type="paragraph" w:customStyle="1" w:styleId="SignCoverPageEnd">
    <w:name w:val="SignCoverPageEnd"/>
    <w:basedOn w:val="OPCParaBase"/>
    <w:next w:val="Normal"/>
    <w:rsid w:val="00382D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82DA7"/>
    <w:pPr>
      <w:pBdr>
        <w:top w:val="single" w:sz="4" w:space="1" w:color="auto"/>
      </w:pBdr>
      <w:spacing w:before="360"/>
      <w:ind w:right="397"/>
      <w:jc w:val="both"/>
    </w:pPr>
  </w:style>
  <w:style w:type="paragraph" w:customStyle="1" w:styleId="EndNotespara">
    <w:name w:val="EndNotes(para)"/>
    <w:aliases w:val="eta"/>
    <w:basedOn w:val="OPCParaBase"/>
    <w:next w:val="EndNotessubpara"/>
    <w:rsid w:val="00382D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82D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82D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82DA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82DA7"/>
    <w:pPr>
      <w:spacing w:before="60" w:line="240" w:lineRule="auto"/>
    </w:pPr>
    <w:rPr>
      <w:rFonts w:cs="Arial"/>
      <w:sz w:val="20"/>
      <w:szCs w:val="22"/>
    </w:rPr>
  </w:style>
  <w:style w:type="table" w:styleId="TableGrid">
    <w:name w:val="Table Grid"/>
    <w:basedOn w:val="TableNormal"/>
    <w:uiPriority w:val="59"/>
    <w:rsid w:val="0038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382DA7"/>
  </w:style>
  <w:style w:type="character" w:customStyle="1" w:styleId="ItemHeadChar">
    <w:name w:val="ItemHead Char"/>
    <w:aliases w:val="ih Char"/>
    <w:link w:val="ItemHead"/>
    <w:rsid w:val="00DC2238"/>
    <w:rPr>
      <w:rFonts w:ascii="Arial" w:eastAsia="Times New Roman" w:hAnsi="Arial" w:cs="Times New Roman"/>
      <w:b/>
      <w:kern w:val="28"/>
      <w:sz w:val="24"/>
      <w:lang w:eastAsia="en-AU"/>
    </w:rPr>
  </w:style>
  <w:style w:type="character" w:customStyle="1" w:styleId="ItemChar">
    <w:name w:val="Item Char"/>
    <w:aliases w:val="i Char"/>
    <w:link w:val="Item"/>
    <w:rsid w:val="00DC223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20</Pages>
  <Words>2964</Words>
  <Characters>14852</Characters>
  <Application>Microsoft Office Word</Application>
  <DocSecurity>0</DocSecurity>
  <PresentationFormat/>
  <Lines>450</Lines>
  <Paragraphs>278</Paragraphs>
  <ScaleCrop>false</ScaleCrop>
  <HeadingPairs>
    <vt:vector size="2" baseType="variant">
      <vt:variant>
        <vt:lpstr>Title</vt:lpstr>
      </vt:variant>
      <vt:variant>
        <vt:i4>1</vt:i4>
      </vt:variant>
    </vt:vector>
  </HeadingPairs>
  <TitlesOfParts>
    <vt:vector size="1" baseType="lpstr">
      <vt:lpstr>Exposure Draft - Treasury Laws Amendment (Measures for consultation) Bill 2022: Rationalisation of ending ASIC instruments</vt:lpstr>
    </vt:vector>
  </TitlesOfParts>
  <Manager/>
  <Company/>
  <LinksUpToDate>false</LinksUpToDate>
  <CharactersWithSpaces>17538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consultation) Bill 2022: Rationalisation of ending ASIC instruments</dc:title>
  <dc:subject/>
  <dc:creator/>
  <cp:keywords/>
  <dc:description/>
  <cp:lastModifiedBy/>
  <cp:revision>1</cp:revision>
  <cp:lastPrinted>2014-02-19T03:48:00Z</cp:lastPrinted>
  <dcterms:created xsi:type="dcterms:W3CDTF">2022-07-25T04:54:00Z</dcterms:created>
  <dcterms:modified xsi:type="dcterms:W3CDTF">2022-08-23T04:59:00Z</dcterms:modified>
  <cp:category/>
  <cp:contentStatus/>
  <dc:language/>
  <cp:version/>
</cp:coreProperties>
</file>