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206409104"/>
        <w:docPartObj>
          <w:docPartGallery w:val="Cover Pages"/>
          <w:docPartUnique/>
        </w:docPartObj>
      </w:sdtPr>
      <w:sdtEndPr/>
      <w:sdtContent>
        <w:p w14:paraId="7F37D74A" w14:textId="77777777" w:rsidR="00A652B8" w:rsidRPr="006D0240" w:rsidRDefault="00A652B8" w:rsidP="008E6292">
          <w:r>
            <w:rPr>
              <w:noProof/>
              <w:lang w:eastAsia="zh-CN"/>
            </w:rPr>
            <w:drawing>
              <wp:anchor distT="0" distB="0" distL="114300" distR="114300" simplePos="0" relativeHeight="251658240" behindDoc="1" locked="0" layoutInCell="1" allowOverlap="1" wp14:anchorId="428CDDC4" wp14:editId="6A3EEAD2">
                <wp:simplePos x="0" y="0"/>
                <wp:positionH relativeFrom="page">
                  <wp:align>right</wp:align>
                </wp:positionH>
                <wp:positionV relativeFrom="page">
                  <wp:align>bottom</wp:align>
                </wp:positionV>
                <wp:extent cx="7558767" cy="10691998"/>
                <wp:effectExtent l="0" t="0" r="444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8767" cy="10691998"/>
                        </a:xfrm>
                        <a:prstGeom prst="rect">
                          <a:avLst/>
                        </a:prstGeom>
                      </pic:spPr>
                    </pic:pic>
                  </a:graphicData>
                </a:graphic>
                <wp14:sizeRelH relativeFrom="margin">
                  <wp14:pctWidth>0</wp14:pctWidth>
                </wp14:sizeRelH>
                <wp14:sizeRelV relativeFrom="margin">
                  <wp14:pctHeight>0</wp14:pctHeight>
                </wp14:sizeRelV>
              </wp:anchor>
            </w:drawing>
          </w:r>
        </w:p>
        <w:p w14:paraId="1C4B2606" w14:textId="77777777" w:rsidR="00A652B8" w:rsidRPr="006D0240" w:rsidRDefault="00A652B8" w:rsidP="001D4EAA">
          <w:pPr>
            <w:pStyle w:val="Header"/>
            <w:spacing w:after="1320"/>
            <w:jc w:val="left"/>
          </w:pPr>
        </w:p>
        <w:p w14:paraId="09FE7CA4" w14:textId="446C4024" w:rsidR="00A652B8" w:rsidRPr="001D4EAA" w:rsidRDefault="008602A1" w:rsidP="001D4EAA">
          <w:pPr>
            <w:pStyle w:val="Title"/>
          </w:pPr>
          <w:r>
            <w:t>Financial adviser education</w:t>
          </w:r>
          <w:r w:rsidR="00CD788E">
            <w:t xml:space="preserve"> standards</w:t>
          </w:r>
        </w:p>
        <w:p w14:paraId="0300457F" w14:textId="77777777" w:rsidR="00A652B8" w:rsidRPr="001D4EAA" w:rsidRDefault="00A652B8" w:rsidP="00082FC2">
          <w:pPr>
            <w:pStyle w:val="Subtitle"/>
            <w:spacing w:after="240"/>
          </w:pPr>
          <w:r>
            <w:t>Consultation paper</w:t>
          </w:r>
        </w:p>
        <w:p w14:paraId="3C76C92B" w14:textId="40256B50" w:rsidR="00A652B8" w:rsidRDefault="00AB78DD" w:rsidP="001D4EAA">
          <w:pPr>
            <w:pStyle w:val="ReportDate"/>
            <w:rPr>
              <w:rFonts w:ascii="Rockwell" w:hAnsi="Rockwell"/>
              <w:sz w:val="24"/>
            </w:rPr>
          </w:pPr>
          <w:r>
            <w:rPr>
              <w:rStyle w:val="ReportDateChar"/>
            </w:rPr>
            <w:t>August</w:t>
          </w:r>
          <w:r w:rsidR="008602A1">
            <w:rPr>
              <w:rStyle w:val="ReportDateChar"/>
            </w:rPr>
            <w:t xml:space="preserve"> 2022</w:t>
          </w:r>
        </w:p>
        <w:p w14:paraId="7777B6C6" w14:textId="77777777" w:rsidR="00A652B8" w:rsidRDefault="00A652B8" w:rsidP="00775702">
          <w:pPr>
            <w:spacing w:after="1640"/>
          </w:pPr>
        </w:p>
        <w:p w14:paraId="46ABBCA5" w14:textId="77777777" w:rsidR="00A652B8" w:rsidRDefault="00A652B8" w:rsidP="00775702">
          <w:pPr>
            <w:spacing w:after="1640"/>
          </w:pPr>
        </w:p>
        <w:p w14:paraId="4570E361" w14:textId="77777777" w:rsidR="00A652B8" w:rsidRDefault="00A652B8">
          <w:pPr>
            <w:spacing w:before="0" w:after="160" w:line="259" w:lineRule="auto"/>
          </w:pPr>
          <w:r>
            <w:br w:type="page"/>
          </w:r>
        </w:p>
      </w:sdtContent>
    </w:sdt>
    <w:p w14:paraId="16CFC720" w14:textId="77777777" w:rsidR="000E0B74" w:rsidRDefault="000E0B74" w:rsidP="000E0B74">
      <w:pPr>
        <w:sectPr w:rsidR="000E0B74" w:rsidSect="00555D14">
          <w:pgSz w:w="11906" w:h="16838" w:code="9"/>
          <w:pgMar w:top="1843" w:right="1418" w:bottom="1418" w:left="1418" w:header="709" w:footer="709" w:gutter="0"/>
          <w:pgNumType w:fmt="lowerRoman" w:start="0"/>
          <w:cols w:space="720"/>
          <w:titlePg/>
          <w:docGrid w:linePitch="299"/>
        </w:sectPr>
      </w:pPr>
    </w:p>
    <w:p w14:paraId="28B3B25D" w14:textId="678A429E" w:rsidR="000E0B74" w:rsidRDefault="000E0B74" w:rsidP="000E0B74">
      <w:pPr>
        <w:spacing w:before="240"/>
      </w:pPr>
      <w:r w:rsidRPr="00661BF0">
        <w:lastRenderedPageBreak/>
        <w:t xml:space="preserve">© Commonwealth of </w:t>
      </w:r>
      <w:r w:rsidRPr="00A83832">
        <w:t>Australia 20</w:t>
      </w:r>
      <w:r w:rsidR="00EF2FBF" w:rsidRPr="00A83832">
        <w:t>2</w:t>
      </w:r>
      <w:r w:rsidR="00A83832" w:rsidRPr="00A83832">
        <w:t>2</w:t>
      </w:r>
    </w:p>
    <w:p w14:paraId="10CE5EDF" w14:textId="0876D81C" w:rsidR="000E0B74" w:rsidRPr="00086F82" w:rsidRDefault="000E0B74" w:rsidP="000E0B74">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9" w:history="1">
        <w:r w:rsidRPr="006627B4">
          <w:rPr>
            <w:rStyle w:val="Hyperlink"/>
          </w:rPr>
          <w:t>Creative Commons Attribution 3.0 Australia</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Pr="002F1BC2">
        <w:t>and where otherwise stated. The full licence terms are available from</w:t>
      </w:r>
      <w:r w:rsidRPr="00476F09">
        <w:rPr>
          <w:rFonts w:cstheme="minorHAnsi"/>
          <w:sz w:val="24"/>
          <w:szCs w:val="24"/>
        </w:rPr>
        <w:t xml:space="preserve"> </w:t>
      </w:r>
      <w:hyperlink r:id="rId10" w:history="1">
        <w:r w:rsidRPr="00D45AF8">
          <w:rPr>
            <w:rStyle w:val="Hyperlink"/>
          </w:rPr>
          <w:t>http://creativecommons.org/licenses/by/3.0/au/legalcode</w:t>
        </w:r>
      </w:hyperlink>
      <w:r w:rsidRPr="006627B4">
        <w:rPr>
          <w:rStyle w:val="Hyperlink"/>
        </w:rPr>
        <w:t>.</w:t>
      </w:r>
      <w:r w:rsidRPr="00D06A21">
        <w:rPr>
          <w:sz w:val="24"/>
          <w:szCs w:val="24"/>
        </w:rPr>
        <w:t xml:space="preserve"> </w:t>
      </w:r>
    </w:p>
    <w:p w14:paraId="581A569E" w14:textId="77777777" w:rsidR="000E0B74" w:rsidRDefault="000E0B74" w:rsidP="000E0B74">
      <w:pPr>
        <w:pStyle w:val="ChartGraphic"/>
        <w:jc w:val="left"/>
      </w:pPr>
      <w:r w:rsidRPr="00E56DFB">
        <w:rPr>
          <w:noProof/>
          <w:lang w:eastAsia="zh-CN"/>
        </w:rPr>
        <w:drawing>
          <wp:inline distT="0" distB="0" distL="0" distR="0" wp14:anchorId="3D354351" wp14:editId="3F644DBF">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0579E1CA" w14:textId="77777777" w:rsidR="000E0B74" w:rsidRPr="006627B4" w:rsidRDefault="000E0B74" w:rsidP="000E0B74">
      <w:pPr>
        <w:tabs>
          <w:tab w:val="left" w:pos="1650"/>
        </w:tabs>
        <w:spacing w:before="240"/>
      </w:pPr>
      <w:r w:rsidRPr="006627B4">
        <w:t>Use of Treasury material under a</w:t>
      </w:r>
      <w:r w:rsidRPr="00476F09">
        <w:rPr>
          <w:rFonts w:cstheme="minorHAnsi"/>
          <w:sz w:val="24"/>
          <w:szCs w:val="24"/>
        </w:rPr>
        <w:t xml:space="preserve"> </w:t>
      </w:r>
      <w:hyperlink r:id="rId12" w:history="1">
        <w:r w:rsidRPr="002F1BC2">
          <w:rPr>
            <w:rStyle w:val="Hyperlink"/>
          </w:rPr>
          <w:t>Creative Commons Attribution 3.0 Australia</w:t>
        </w:r>
      </w:hyperlink>
      <w:r w:rsidRPr="002F1BC2">
        <w:rPr>
          <w:rStyle w:val="Hyperlink"/>
        </w:rPr>
        <w:t xml:space="preserve"> </w:t>
      </w:r>
      <w:r w:rsidRPr="006627B4">
        <w:t>licence requires you to attribute the work (but not in any way that suggests that the Treasury endorse</w:t>
      </w:r>
      <w:r>
        <w:t>s you or your use of the work).</w:t>
      </w:r>
    </w:p>
    <w:p w14:paraId="2FD7B58F" w14:textId="77777777" w:rsidR="000E0B74" w:rsidRPr="0031276E" w:rsidRDefault="000E0B74" w:rsidP="0031276E">
      <w:pPr>
        <w:spacing w:before="240"/>
        <w:rPr>
          <w:b/>
        </w:rPr>
      </w:pPr>
      <w:r w:rsidRPr="0031276E">
        <w:rPr>
          <w:b/>
        </w:rPr>
        <w:t>Treasury material used ‘as supplied’.</w:t>
      </w:r>
    </w:p>
    <w:p w14:paraId="015D0B1D" w14:textId="77777777" w:rsidR="000E0B74" w:rsidRPr="00476F09" w:rsidRDefault="000E0B74" w:rsidP="00823A66">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14:paraId="69801B0B" w14:textId="4B7CF6BC" w:rsidR="000E0B74" w:rsidRPr="00A83832" w:rsidRDefault="000E0B74" w:rsidP="000E0B74">
      <w:pPr>
        <w:ind w:firstLine="720"/>
      </w:pPr>
      <w:r w:rsidRPr="002F1BC2">
        <w:rPr>
          <w:i/>
        </w:rPr>
        <w:t xml:space="preserve">Source: The </w:t>
      </w:r>
      <w:r w:rsidRPr="002F1BC2">
        <w:rPr>
          <w:i/>
          <w:iCs/>
        </w:rPr>
        <w:t>Australian Government the Treasury</w:t>
      </w:r>
      <w:r w:rsidR="00A83832">
        <w:t>.</w:t>
      </w:r>
    </w:p>
    <w:p w14:paraId="729A6816" w14:textId="77777777" w:rsidR="000E0B74" w:rsidRPr="006627B4" w:rsidRDefault="000E0B74" w:rsidP="000E0B74">
      <w:pPr>
        <w:spacing w:before="240"/>
      </w:pPr>
      <w:r w:rsidRPr="00CC63CC">
        <w:rPr>
          <w:b/>
        </w:rPr>
        <w:t>Derivative</w:t>
      </w:r>
      <w:r w:rsidRPr="006627B4">
        <w:t xml:space="preserve"> </w:t>
      </w:r>
      <w:r w:rsidRPr="00CC63CC">
        <w:rPr>
          <w:b/>
        </w:rPr>
        <w:t>material</w:t>
      </w:r>
    </w:p>
    <w:p w14:paraId="2897F94C" w14:textId="77777777"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6943A243" w14:textId="0E4DBCEB" w:rsidR="000E0B74" w:rsidRPr="006627B4" w:rsidRDefault="000E0B74" w:rsidP="000E0B74">
      <w:pPr>
        <w:ind w:firstLine="720"/>
      </w:pPr>
      <w:r w:rsidRPr="002F1BC2">
        <w:rPr>
          <w:i/>
        </w:rPr>
        <w:t>Based on The Australian Government the Treasury data</w:t>
      </w:r>
      <w:r w:rsidR="00A83832">
        <w:t>.</w:t>
      </w:r>
    </w:p>
    <w:p w14:paraId="62B4D362" w14:textId="77777777" w:rsidR="000E0B74" w:rsidRPr="006627B4" w:rsidRDefault="000E0B74" w:rsidP="000E0B74">
      <w:pPr>
        <w:spacing w:before="240"/>
        <w:rPr>
          <w:b/>
        </w:rPr>
      </w:pPr>
      <w:r w:rsidRPr="006627B4">
        <w:rPr>
          <w:b/>
        </w:rPr>
        <w:t>Use of the Coat of Arms</w:t>
      </w:r>
    </w:p>
    <w:p w14:paraId="4E1E37C8" w14:textId="77777777" w:rsidR="000E0B74" w:rsidRPr="006627B4" w:rsidRDefault="004A7BC2" w:rsidP="000E0B74">
      <w:r w:rsidRPr="004A7BC2">
        <w:t>The terms under which the Coat of Arms can be used are set out</w:t>
      </w:r>
      <w:r>
        <w:t xml:space="preserve"> on the Department of the Prime </w:t>
      </w:r>
      <w:r w:rsidRPr="004A7BC2">
        <w:t xml:space="preserve">Minister and Cabinet website (see </w:t>
      </w:r>
      <w:hyperlink r:id="rId13" w:history="1">
        <w:r w:rsidRPr="005A283B">
          <w:rPr>
            <w:rStyle w:val="Hyperlink"/>
          </w:rPr>
          <w:t>www.pmc.gov.au/government/commonwealth-coat-arm</w:t>
        </w:r>
      </w:hyperlink>
      <w:r w:rsidRPr="004A7BC2">
        <w:t>s).</w:t>
      </w:r>
    </w:p>
    <w:p w14:paraId="784EE40C" w14:textId="77777777" w:rsidR="000E0B74" w:rsidRPr="006627B4" w:rsidRDefault="000E0B74" w:rsidP="000E0B74">
      <w:pPr>
        <w:spacing w:before="240"/>
        <w:rPr>
          <w:b/>
        </w:rPr>
      </w:pPr>
      <w:r>
        <w:rPr>
          <w:b/>
        </w:rPr>
        <w:t>Other u</w:t>
      </w:r>
      <w:r w:rsidRPr="006627B4">
        <w:rPr>
          <w:b/>
        </w:rPr>
        <w:t>ses</w:t>
      </w:r>
    </w:p>
    <w:p w14:paraId="058F8BE3" w14:textId="77777777" w:rsidR="000E0B74" w:rsidRPr="006627B4" w:rsidRDefault="000E0B74" w:rsidP="000E0B74">
      <w:r>
        <w:t>E</w:t>
      </w:r>
      <w:r w:rsidRPr="006627B4">
        <w:t>nquiries regarding this licence and any other use of this document are welcome at:</w:t>
      </w:r>
    </w:p>
    <w:p w14:paraId="6EF629C0" w14:textId="77777777" w:rsidR="000E0B74" w:rsidRPr="002F1BC2" w:rsidRDefault="000E0B74" w:rsidP="000E0B74">
      <w:pPr>
        <w:ind w:left="720"/>
        <w:rPr>
          <w:rStyle w:val="Hyperlink"/>
        </w:rPr>
      </w:pPr>
      <w:r w:rsidRPr="006627B4">
        <w:t>Manager</w:t>
      </w:r>
      <w:r w:rsidR="009A668A">
        <w:br/>
      </w:r>
      <w:r>
        <w:t>Media and Speeches Unit</w:t>
      </w:r>
      <w:r>
        <w:br/>
      </w:r>
      <w:r w:rsidRPr="006627B4">
        <w:t>The Treasury</w:t>
      </w:r>
      <w:r>
        <w:br/>
      </w:r>
      <w:r w:rsidRPr="006627B4">
        <w:t xml:space="preserve">Langton Crescent </w:t>
      </w:r>
      <w:r>
        <w:br/>
      </w:r>
      <w:r w:rsidRPr="006627B4">
        <w:t xml:space="preserve">Parkes </w:t>
      </w:r>
      <w:r>
        <w:t xml:space="preserve"> </w:t>
      </w:r>
      <w:r w:rsidRPr="006627B4">
        <w:t xml:space="preserve">ACT </w:t>
      </w:r>
      <w:r>
        <w:t xml:space="preserve"> </w:t>
      </w:r>
      <w:r w:rsidRPr="006627B4">
        <w:t>2600</w:t>
      </w:r>
      <w:r>
        <w:br/>
      </w:r>
      <w:r w:rsidRPr="006627B4">
        <w:t xml:space="preserve">Email: </w:t>
      </w:r>
      <w:hyperlink r:id="rId14" w:history="1">
        <w:r w:rsidR="004A077D" w:rsidRPr="000951A5">
          <w:rPr>
            <w:rStyle w:val="Hyperlink"/>
          </w:rPr>
          <w:t>media@treasury.gov.au</w:t>
        </w:r>
      </w:hyperlink>
      <w:r w:rsidR="004A077D">
        <w:t xml:space="preserve"> </w:t>
      </w:r>
    </w:p>
    <w:p w14:paraId="74ACA3FB" w14:textId="77777777" w:rsidR="000E0B74" w:rsidRDefault="000E0B74" w:rsidP="000E0B74">
      <w:pPr>
        <w:pStyle w:val="SingleParagraph"/>
        <w:sectPr w:rsidR="000E0B74" w:rsidSect="008043EA">
          <w:headerReference w:type="even" r:id="rId15"/>
          <w:headerReference w:type="default" r:id="rId16"/>
          <w:footerReference w:type="even" r:id="rId17"/>
          <w:pgSz w:w="11906" w:h="16838" w:code="9"/>
          <w:pgMar w:top="1843" w:right="1418" w:bottom="1418" w:left="1418" w:header="709" w:footer="709" w:gutter="0"/>
          <w:pgNumType w:fmt="lowerRoman"/>
          <w:cols w:space="708"/>
          <w:titlePg/>
          <w:docGrid w:linePitch="360"/>
        </w:sectPr>
      </w:pPr>
    </w:p>
    <w:p w14:paraId="1E1BD07E" w14:textId="77777777" w:rsidR="000E0B74" w:rsidRPr="00354FBB" w:rsidRDefault="000E0B74" w:rsidP="00354FBB">
      <w:pPr>
        <w:pStyle w:val="Heading1"/>
      </w:pPr>
      <w:bookmarkStart w:id="0" w:name="_Toc110584831"/>
      <w:r w:rsidRPr="00354FBB">
        <w:lastRenderedPageBreak/>
        <w:t>Contents</w:t>
      </w:r>
      <w:bookmarkEnd w:id="0"/>
    </w:p>
    <w:p w14:paraId="050C7AB6" w14:textId="676E8EA4" w:rsidR="00C2241F" w:rsidRDefault="00257AEE">
      <w:pPr>
        <w:pStyle w:val="TOC1"/>
        <w:rPr>
          <w:rFonts w:asciiTheme="minorHAnsi" w:eastAsiaTheme="minorEastAsia" w:hAnsiTheme="minorHAnsi" w:cstheme="minorBidi"/>
          <w:b w:val="0"/>
          <w:color w:val="auto"/>
        </w:rPr>
      </w:pPr>
      <w:r>
        <w:rPr>
          <w:color w:val="2C384A" w:themeColor="accent1"/>
        </w:rPr>
        <w:fldChar w:fldCharType="begin"/>
      </w:r>
      <w:r>
        <w:instrText xml:space="preserve"> TOC \o "1-2" \h \z \t "Heading 3,3,Chart Main Heading,3,Table Main Heading,3,Heading 3 Numbered,3,Table Heading Continued,3" </w:instrText>
      </w:r>
      <w:r>
        <w:rPr>
          <w:color w:val="2C384A" w:themeColor="accent1"/>
        </w:rPr>
        <w:fldChar w:fldCharType="separate"/>
      </w:r>
      <w:hyperlink w:anchor="_Toc110584831" w:history="1">
        <w:r w:rsidR="00C2241F" w:rsidRPr="006759B0">
          <w:rPr>
            <w:rStyle w:val="Hyperlink"/>
          </w:rPr>
          <w:t>Contents</w:t>
        </w:r>
        <w:r w:rsidR="00C2241F">
          <w:rPr>
            <w:webHidden/>
          </w:rPr>
          <w:tab/>
        </w:r>
        <w:r w:rsidR="00C2241F">
          <w:rPr>
            <w:webHidden/>
          </w:rPr>
          <w:fldChar w:fldCharType="begin"/>
        </w:r>
        <w:r w:rsidR="00C2241F">
          <w:rPr>
            <w:webHidden/>
          </w:rPr>
          <w:instrText xml:space="preserve"> PAGEREF _Toc110584831 \h </w:instrText>
        </w:r>
        <w:r w:rsidR="00C2241F">
          <w:rPr>
            <w:webHidden/>
          </w:rPr>
        </w:r>
        <w:r w:rsidR="00C2241F">
          <w:rPr>
            <w:webHidden/>
          </w:rPr>
          <w:fldChar w:fldCharType="separate"/>
        </w:r>
        <w:r w:rsidR="00C2241F">
          <w:rPr>
            <w:webHidden/>
          </w:rPr>
          <w:t>ii</w:t>
        </w:r>
        <w:r w:rsidR="00C2241F">
          <w:rPr>
            <w:webHidden/>
          </w:rPr>
          <w:fldChar w:fldCharType="end"/>
        </w:r>
      </w:hyperlink>
    </w:p>
    <w:p w14:paraId="4ACC4333" w14:textId="7803532A" w:rsidR="00C2241F" w:rsidRDefault="00FF63B1">
      <w:pPr>
        <w:pStyle w:val="TOC1"/>
        <w:rPr>
          <w:rFonts w:asciiTheme="minorHAnsi" w:eastAsiaTheme="minorEastAsia" w:hAnsiTheme="minorHAnsi" w:cstheme="minorBidi"/>
          <w:b w:val="0"/>
          <w:color w:val="auto"/>
        </w:rPr>
      </w:pPr>
      <w:hyperlink w:anchor="_Toc110584832" w:history="1">
        <w:r w:rsidR="00C2241F" w:rsidRPr="006759B0">
          <w:rPr>
            <w:rStyle w:val="Hyperlink"/>
          </w:rPr>
          <w:t>Consultation Process</w:t>
        </w:r>
        <w:r w:rsidR="00C2241F">
          <w:rPr>
            <w:webHidden/>
          </w:rPr>
          <w:tab/>
        </w:r>
        <w:r w:rsidR="00C2241F">
          <w:rPr>
            <w:webHidden/>
          </w:rPr>
          <w:fldChar w:fldCharType="begin"/>
        </w:r>
        <w:r w:rsidR="00C2241F">
          <w:rPr>
            <w:webHidden/>
          </w:rPr>
          <w:instrText xml:space="preserve"> PAGEREF _Toc110584832 \h </w:instrText>
        </w:r>
        <w:r w:rsidR="00C2241F">
          <w:rPr>
            <w:webHidden/>
          </w:rPr>
        </w:r>
        <w:r w:rsidR="00C2241F">
          <w:rPr>
            <w:webHidden/>
          </w:rPr>
          <w:fldChar w:fldCharType="separate"/>
        </w:r>
        <w:r w:rsidR="00C2241F">
          <w:rPr>
            <w:webHidden/>
          </w:rPr>
          <w:t>3</w:t>
        </w:r>
        <w:r w:rsidR="00C2241F">
          <w:rPr>
            <w:webHidden/>
          </w:rPr>
          <w:fldChar w:fldCharType="end"/>
        </w:r>
      </w:hyperlink>
    </w:p>
    <w:p w14:paraId="193AE661" w14:textId="455A3251" w:rsidR="00C2241F" w:rsidRDefault="00FF63B1">
      <w:pPr>
        <w:pStyle w:val="TOC2"/>
        <w:rPr>
          <w:rFonts w:asciiTheme="minorHAnsi" w:eastAsiaTheme="minorEastAsia" w:hAnsiTheme="minorHAnsi" w:cstheme="minorBidi"/>
          <w:color w:val="auto"/>
          <w:szCs w:val="22"/>
        </w:rPr>
      </w:pPr>
      <w:hyperlink w:anchor="_Toc110584833" w:history="1">
        <w:r w:rsidR="00C2241F" w:rsidRPr="006759B0">
          <w:rPr>
            <w:rStyle w:val="Hyperlink"/>
          </w:rPr>
          <w:t>Request for feedback and comments</w:t>
        </w:r>
        <w:r w:rsidR="00C2241F">
          <w:rPr>
            <w:webHidden/>
          </w:rPr>
          <w:tab/>
        </w:r>
        <w:r w:rsidR="00C2241F">
          <w:rPr>
            <w:webHidden/>
          </w:rPr>
          <w:fldChar w:fldCharType="begin"/>
        </w:r>
        <w:r w:rsidR="00C2241F">
          <w:rPr>
            <w:webHidden/>
          </w:rPr>
          <w:instrText xml:space="preserve"> PAGEREF _Toc110584833 \h </w:instrText>
        </w:r>
        <w:r w:rsidR="00C2241F">
          <w:rPr>
            <w:webHidden/>
          </w:rPr>
        </w:r>
        <w:r w:rsidR="00C2241F">
          <w:rPr>
            <w:webHidden/>
          </w:rPr>
          <w:fldChar w:fldCharType="separate"/>
        </w:r>
        <w:r w:rsidR="00C2241F">
          <w:rPr>
            <w:webHidden/>
          </w:rPr>
          <w:t>3</w:t>
        </w:r>
        <w:r w:rsidR="00C2241F">
          <w:rPr>
            <w:webHidden/>
          </w:rPr>
          <w:fldChar w:fldCharType="end"/>
        </w:r>
      </w:hyperlink>
    </w:p>
    <w:p w14:paraId="03A4CB78" w14:textId="7A6D8C60" w:rsidR="00C2241F" w:rsidRDefault="00FF63B1">
      <w:pPr>
        <w:pStyle w:val="TOC1"/>
        <w:rPr>
          <w:rFonts w:asciiTheme="minorHAnsi" w:eastAsiaTheme="minorEastAsia" w:hAnsiTheme="minorHAnsi" w:cstheme="minorBidi"/>
          <w:b w:val="0"/>
          <w:color w:val="auto"/>
        </w:rPr>
      </w:pPr>
      <w:hyperlink w:anchor="_Toc110584834" w:history="1">
        <w:r w:rsidR="00C2241F" w:rsidRPr="006759B0">
          <w:rPr>
            <w:rStyle w:val="Hyperlink"/>
          </w:rPr>
          <w:t>Financial adviser education requirements</w:t>
        </w:r>
        <w:r w:rsidR="00C2241F">
          <w:rPr>
            <w:webHidden/>
          </w:rPr>
          <w:tab/>
        </w:r>
        <w:r w:rsidR="00C2241F">
          <w:rPr>
            <w:webHidden/>
          </w:rPr>
          <w:fldChar w:fldCharType="begin"/>
        </w:r>
        <w:r w:rsidR="00C2241F">
          <w:rPr>
            <w:webHidden/>
          </w:rPr>
          <w:instrText xml:space="preserve"> PAGEREF _Toc110584834 \h </w:instrText>
        </w:r>
        <w:r w:rsidR="00C2241F">
          <w:rPr>
            <w:webHidden/>
          </w:rPr>
        </w:r>
        <w:r w:rsidR="00C2241F">
          <w:rPr>
            <w:webHidden/>
          </w:rPr>
          <w:fldChar w:fldCharType="separate"/>
        </w:r>
        <w:r w:rsidR="00C2241F">
          <w:rPr>
            <w:webHidden/>
          </w:rPr>
          <w:t>4</w:t>
        </w:r>
        <w:r w:rsidR="00C2241F">
          <w:rPr>
            <w:webHidden/>
          </w:rPr>
          <w:fldChar w:fldCharType="end"/>
        </w:r>
      </w:hyperlink>
    </w:p>
    <w:p w14:paraId="641E5EDB" w14:textId="79244238" w:rsidR="00C2241F" w:rsidRDefault="00FF63B1">
      <w:pPr>
        <w:pStyle w:val="TOC2"/>
        <w:rPr>
          <w:rFonts w:asciiTheme="minorHAnsi" w:eastAsiaTheme="minorEastAsia" w:hAnsiTheme="minorHAnsi" w:cstheme="minorBidi"/>
          <w:color w:val="auto"/>
          <w:szCs w:val="22"/>
        </w:rPr>
      </w:pPr>
      <w:hyperlink w:anchor="_Toc110584835" w:history="1">
        <w:r w:rsidR="00C2241F" w:rsidRPr="006759B0">
          <w:rPr>
            <w:rStyle w:val="Hyperlink"/>
          </w:rPr>
          <w:t>Summary</w:t>
        </w:r>
        <w:r w:rsidR="00C2241F">
          <w:rPr>
            <w:webHidden/>
          </w:rPr>
          <w:tab/>
        </w:r>
        <w:r w:rsidR="00C2241F">
          <w:rPr>
            <w:webHidden/>
          </w:rPr>
          <w:fldChar w:fldCharType="begin"/>
        </w:r>
        <w:r w:rsidR="00C2241F">
          <w:rPr>
            <w:webHidden/>
          </w:rPr>
          <w:instrText xml:space="preserve"> PAGEREF _Toc110584835 \h </w:instrText>
        </w:r>
        <w:r w:rsidR="00C2241F">
          <w:rPr>
            <w:webHidden/>
          </w:rPr>
        </w:r>
        <w:r w:rsidR="00C2241F">
          <w:rPr>
            <w:webHidden/>
          </w:rPr>
          <w:fldChar w:fldCharType="separate"/>
        </w:r>
        <w:r w:rsidR="00C2241F">
          <w:rPr>
            <w:webHidden/>
          </w:rPr>
          <w:t>4</w:t>
        </w:r>
        <w:r w:rsidR="00C2241F">
          <w:rPr>
            <w:webHidden/>
          </w:rPr>
          <w:fldChar w:fldCharType="end"/>
        </w:r>
      </w:hyperlink>
    </w:p>
    <w:p w14:paraId="7C29F476" w14:textId="1E63E6D3" w:rsidR="00C2241F" w:rsidRDefault="00FF63B1">
      <w:pPr>
        <w:pStyle w:val="TOC2"/>
        <w:rPr>
          <w:rFonts w:asciiTheme="minorHAnsi" w:eastAsiaTheme="minorEastAsia" w:hAnsiTheme="minorHAnsi" w:cstheme="minorBidi"/>
          <w:color w:val="auto"/>
          <w:szCs w:val="22"/>
        </w:rPr>
      </w:pPr>
      <w:hyperlink w:anchor="_Toc110584836" w:history="1">
        <w:r w:rsidR="00C2241F" w:rsidRPr="006759B0">
          <w:rPr>
            <w:rStyle w:val="Hyperlink"/>
          </w:rPr>
          <w:t>Background – financial adviser education standards</w:t>
        </w:r>
        <w:r w:rsidR="00C2241F">
          <w:rPr>
            <w:webHidden/>
          </w:rPr>
          <w:tab/>
        </w:r>
        <w:r w:rsidR="00C2241F">
          <w:rPr>
            <w:webHidden/>
          </w:rPr>
          <w:fldChar w:fldCharType="begin"/>
        </w:r>
        <w:r w:rsidR="00C2241F">
          <w:rPr>
            <w:webHidden/>
          </w:rPr>
          <w:instrText xml:space="preserve"> PAGEREF _Toc110584836 \h </w:instrText>
        </w:r>
        <w:r w:rsidR="00C2241F">
          <w:rPr>
            <w:webHidden/>
          </w:rPr>
        </w:r>
        <w:r w:rsidR="00C2241F">
          <w:rPr>
            <w:webHidden/>
          </w:rPr>
          <w:fldChar w:fldCharType="separate"/>
        </w:r>
        <w:r w:rsidR="00C2241F">
          <w:rPr>
            <w:webHidden/>
          </w:rPr>
          <w:t>4</w:t>
        </w:r>
        <w:r w:rsidR="00C2241F">
          <w:rPr>
            <w:webHidden/>
          </w:rPr>
          <w:fldChar w:fldCharType="end"/>
        </w:r>
      </w:hyperlink>
    </w:p>
    <w:p w14:paraId="70944B33" w14:textId="2A564C89" w:rsidR="00C2241F" w:rsidRDefault="00FF63B1">
      <w:pPr>
        <w:pStyle w:val="TOC3"/>
        <w:rPr>
          <w:rFonts w:asciiTheme="minorHAnsi" w:eastAsiaTheme="minorEastAsia" w:hAnsiTheme="minorHAnsi" w:cstheme="minorBidi"/>
          <w:szCs w:val="22"/>
        </w:rPr>
      </w:pPr>
      <w:hyperlink w:anchor="_Toc110584837" w:history="1">
        <w:r w:rsidR="00C2241F" w:rsidRPr="006759B0">
          <w:rPr>
            <w:rStyle w:val="Hyperlink"/>
          </w:rPr>
          <w:t>Existing advisers</w:t>
        </w:r>
        <w:r w:rsidR="00C2241F">
          <w:rPr>
            <w:webHidden/>
          </w:rPr>
          <w:tab/>
        </w:r>
        <w:r w:rsidR="00C2241F">
          <w:rPr>
            <w:webHidden/>
          </w:rPr>
          <w:fldChar w:fldCharType="begin"/>
        </w:r>
        <w:r w:rsidR="00C2241F">
          <w:rPr>
            <w:webHidden/>
          </w:rPr>
          <w:instrText xml:space="preserve"> PAGEREF _Toc110584837 \h </w:instrText>
        </w:r>
        <w:r w:rsidR="00C2241F">
          <w:rPr>
            <w:webHidden/>
          </w:rPr>
        </w:r>
        <w:r w:rsidR="00C2241F">
          <w:rPr>
            <w:webHidden/>
          </w:rPr>
          <w:fldChar w:fldCharType="separate"/>
        </w:r>
        <w:r w:rsidR="00C2241F">
          <w:rPr>
            <w:webHidden/>
          </w:rPr>
          <w:t>5</w:t>
        </w:r>
        <w:r w:rsidR="00C2241F">
          <w:rPr>
            <w:webHidden/>
          </w:rPr>
          <w:fldChar w:fldCharType="end"/>
        </w:r>
      </w:hyperlink>
    </w:p>
    <w:p w14:paraId="0415D8F2" w14:textId="139A669E" w:rsidR="00C2241F" w:rsidRDefault="00FF63B1">
      <w:pPr>
        <w:pStyle w:val="TOC3"/>
        <w:rPr>
          <w:rFonts w:asciiTheme="minorHAnsi" w:eastAsiaTheme="minorEastAsia" w:hAnsiTheme="minorHAnsi" w:cstheme="minorBidi"/>
          <w:szCs w:val="22"/>
        </w:rPr>
      </w:pPr>
      <w:hyperlink w:anchor="_Toc110584838" w:history="1">
        <w:r w:rsidR="00C2241F" w:rsidRPr="006759B0">
          <w:rPr>
            <w:rStyle w:val="Hyperlink"/>
          </w:rPr>
          <w:t>New entrants</w:t>
        </w:r>
        <w:r w:rsidR="00C2241F">
          <w:rPr>
            <w:webHidden/>
          </w:rPr>
          <w:tab/>
        </w:r>
        <w:r w:rsidR="00C2241F">
          <w:rPr>
            <w:webHidden/>
          </w:rPr>
          <w:fldChar w:fldCharType="begin"/>
        </w:r>
        <w:r w:rsidR="00C2241F">
          <w:rPr>
            <w:webHidden/>
          </w:rPr>
          <w:instrText xml:space="preserve"> PAGEREF _Toc110584838 \h </w:instrText>
        </w:r>
        <w:r w:rsidR="00C2241F">
          <w:rPr>
            <w:webHidden/>
          </w:rPr>
        </w:r>
        <w:r w:rsidR="00C2241F">
          <w:rPr>
            <w:webHidden/>
          </w:rPr>
          <w:fldChar w:fldCharType="separate"/>
        </w:r>
        <w:r w:rsidR="00C2241F">
          <w:rPr>
            <w:webHidden/>
          </w:rPr>
          <w:t>6</w:t>
        </w:r>
        <w:r w:rsidR="00C2241F">
          <w:rPr>
            <w:webHidden/>
          </w:rPr>
          <w:fldChar w:fldCharType="end"/>
        </w:r>
      </w:hyperlink>
    </w:p>
    <w:p w14:paraId="5530614D" w14:textId="0EE24D4F" w:rsidR="00C2241F" w:rsidRDefault="00FF63B1">
      <w:pPr>
        <w:pStyle w:val="TOC1"/>
        <w:rPr>
          <w:rFonts w:asciiTheme="minorHAnsi" w:eastAsiaTheme="minorEastAsia" w:hAnsiTheme="minorHAnsi" w:cstheme="minorBidi"/>
          <w:b w:val="0"/>
          <w:color w:val="auto"/>
        </w:rPr>
      </w:pPr>
      <w:hyperlink w:anchor="_Toc110584839" w:history="1">
        <w:r w:rsidR="00C2241F" w:rsidRPr="006759B0">
          <w:rPr>
            <w:rStyle w:val="Hyperlink"/>
          </w:rPr>
          <w:t>Options to amend current standards</w:t>
        </w:r>
        <w:r w:rsidR="00C2241F">
          <w:rPr>
            <w:webHidden/>
          </w:rPr>
          <w:tab/>
        </w:r>
        <w:r w:rsidR="00C2241F">
          <w:rPr>
            <w:webHidden/>
          </w:rPr>
          <w:fldChar w:fldCharType="begin"/>
        </w:r>
        <w:r w:rsidR="00C2241F">
          <w:rPr>
            <w:webHidden/>
          </w:rPr>
          <w:instrText xml:space="preserve"> PAGEREF _Toc110584839 \h </w:instrText>
        </w:r>
        <w:r w:rsidR="00C2241F">
          <w:rPr>
            <w:webHidden/>
          </w:rPr>
        </w:r>
        <w:r w:rsidR="00C2241F">
          <w:rPr>
            <w:webHidden/>
          </w:rPr>
          <w:fldChar w:fldCharType="separate"/>
        </w:r>
        <w:r w:rsidR="00C2241F">
          <w:rPr>
            <w:webHidden/>
          </w:rPr>
          <w:t>8</w:t>
        </w:r>
        <w:r w:rsidR="00C2241F">
          <w:rPr>
            <w:webHidden/>
          </w:rPr>
          <w:fldChar w:fldCharType="end"/>
        </w:r>
      </w:hyperlink>
    </w:p>
    <w:p w14:paraId="3C11B950" w14:textId="6F0328EF" w:rsidR="00C2241F" w:rsidRDefault="00FF63B1">
      <w:pPr>
        <w:pStyle w:val="TOC2"/>
        <w:rPr>
          <w:rFonts w:asciiTheme="minorHAnsi" w:eastAsiaTheme="minorEastAsia" w:hAnsiTheme="minorHAnsi" w:cstheme="minorBidi"/>
          <w:color w:val="auto"/>
          <w:szCs w:val="22"/>
        </w:rPr>
      </w:pPr>
      <w:hyperlink w:anchor="_Toc110584840" w:history="1">
        <w:r w:rsidR="00C2241F" w:rsidRPr="006759B0">
          <w:rPr>
            <w:rStyle w:val="Hyperlink"/>
          </w:rPr>
          <w:t>Existing advisers</w:t>
        </w:r>
        <w:r w:rsidR="00C2241F">
          <w:rPr>
            <w:webHidden/>
          </w:rPr>
          <w:tab/>
        </w:r>
        <w:r w:rsidR="00C2241F">
          <w:rPr>
            <w:webHidden/>
          </w:rPr>
          <w:fldChar w:fldCharType="begin"/>
        </w:r>
        <w:r w:rsidR="00C2241F">
          <w:rPr>
            <w:webHidden/>
          </w:rPr>
          <w:instrText xml:space="preserve"> PAGEREF _Toc110584840 \h </w:instrText>
        </w:r>
        <w:r w:rsidR="00C2241F">
          <w:rPr>
            <w:webHidden/>
          </w:rPr>
        </w:r>
        <w:r w:rsidR="00C2241F">
          <w:rPr>
            <w:webHidden/>
          </w:rPr>
          <w:fldChar w:fldCharType="separate"/>
        </w:r>
        <w:r w:rsidR="00C2241F">
          <w:rPr>
            <w:webHidden/>
          </w:rPr>
          <w:t>8</w:t>
        </w:r>
        <w:r w:rsidR="00C2241F">
          <w:rPr>
            <w:webHidden/>
          </w:rPr>
          <w:fldChar w:fldCharType="end"/>
        </w:r>
      </w:hyperlink>
    </w:p>
    <w:p w14:paraId="0EFF12F3" w14:textId="4AA652B8" w:rsidR="00C2241F" w:rsidRDefault="00FF63B1">
      <w:pPr>
        <w:pStyle w:val="TOC3"/>
        <w:rPr>
          <w:rFonts w:asciiTheme="minorHAnsi" w:eastAsiaTheme="minorEastAsia" w:hAnsiTheme="minorHAnsi" w:cstheme="minorBidi"/>
          <w:szCs w:val="22"/>
        </w:rPr>
      </w:pPr>
      <w:hyperlink w:anchor="_Toc110584841" w:history="1">
        <w:r w:rsidR="00C2241F" w:rsidRPr="006759B0">
          <w:rPr>
            <w:rStyle w:val="Hyperlink"/>
          </w:rPr>
          <w:t>Experienced adviser pathway</w:t>
        </w:r>
        <w:r w:rsidR="00C2241F">
          <w:rPr>
            <w:webHidden/>
          </w:rPr>
          <w:tab/>
        </w:r>
        <w:r w:rsidR="00C2241F">
          <w:rPr>
            <w:webHidden/>
          </w:rPr>
          <w:fldChar w:fldCharType="begin"/>
        </w:r>
        <w:r w:rsidR="00C2241F">
          <w:rPr>
            <w:webHidden/>
          </w:rPr>
          <w:instrText xml:space="preserve"> PAGEREF _Toc110584841 \h </w:instrText>
        </w:r>
        <w:r w:rsidR="00C2241F">
          <w:rPr>
            <w:webHidden/>
          </w:rPr>
        </w:r>
        <w:r w:rsidR="00C2241F">
          <w:rPr>
            <w:webHidden/>
          </w:rPr>
          <w:fldChar w:fldCharType="separate"/>
        </w:r>
        <w:r w:rsidR="00C2241F">
          <w:rPr>
            <w:webHidden/>
          </w:rPr>
          <w:t>8</w:t>
        </w:r>
        <w:r w:rsidR="00C2241F">
          <w:rPr>
            <w:webHidden/>
          </w:rPr>
          <w:fldChar w:fldCharType="end"/>
        </w:r>
      </w:hyperlink>
    </w:p>
    <w:p w14:paraId="6A86A26E" w14:textId="5A42E36A" w:rsidR="00C2241F" w:rsidRDefault="00FF63B1">
      <w:pPr>
        <w:pStyle w:val="TOC3"/>
        <w:rPr>
          <w:rFonts w:asciiTheme="minorHAnsi" w:eastAsiaTheme="minorEastAsia" w:hAnsiTheme="minorHAnsi" w:cstheme="minorBidi"/>
          <w:szCs w:val="22"/>
        </w:rPr>
      </w:pPr>
      <w:hyperlink w:anchor="_Toc110584842" w:history="1">
        <w:r w:rsidR="00C2241F" w:rsidRPr="006759B0">
          <w:rPr>
            <w:rStyle w:val="Hyperlink"/>
          </w:rPr>
          <w:t>Education pathways</w:t>
        </w:r>
        <w:r w:rsidR="00C2241F">
          <w:rPr>
            <w:webHidden/>
          </w:rPr>
          <w:tab/>
        </w:r>
        <w:r w:rsidR="00C2241F">
          <w:rPr>
            <w:webHidden/>
          </w:rPr>
          <w:fldChar w:fldCharType="begin"/>
        </w:r>
        <w:r w:rsidR="00C2241F">
          <w:rPr>
            <w:webHidden/>
          </w:rPr>
          <w:instrText xml:space="preserve"> PAGEREF _Toc110584842 \h </w:instrText>
        </w:r>
        <w:r w:rsidR="00C2241F">
          <w:rPr>
            <w:webHidden/>
          </w:rPr>
        </w:r>
        <w:r w:rsidR="00C2241F">
          <w:rPr>
            <w:webHidden/>
          </w:rPr>
          <w:fldChar w:fldCharType="separate"/>
        </w:r>
        <w:r w:rsidR="00C2241F">
          <w:rPr>
            <w:webHidden/>
          </w:rPr>
          <w:t>8</w:t>
        </w:r>
        <w:r w:rsidR="00C2241F">
          <w:rPr>
            <w:webHidden/>
          </w:rPr>
          <w:fldChar w:fldCharType="end"/>
        </w:r>
      </w:hyperlink>
    </w:p>
    <w:p w14:paraId="4A1251F8" w14:textId="2A0F4B68" w:rsidR="00C2241F" w:rsidRDefault="00FF63B1">
      <w:pPr>
        <w:pStyle w:val="TOC3"/>
        <w:rPr>
          <w:rFonts w:asciiTheme="minorHAnsi" w:eastAsiaTheme="minorEastAsia" w:hAnsiTheme="minorHAnsi" w:cstheme="minorBidi"/>
          <w:szCs w:val="22"/>
        </w:rPr>
      </w:pPr>
      <w:hyperlink w:anchor="_Toc110584843" w:history="1">
        <w:r w:rsidR="00C2241F" w:rsidRPr="006759B0">
          <w:rPr>
            <w:rStyle w:val="Hyperlink"/>
          </w:rPr>
          <w:t>10 years’ experience</w:t>
        </w:r>
        <w:r w:rsidR="00C2241F">
          <w:rPr>
            <w:webHidden/>
          </w:rPr>
          <w:tab/>
        </w:r>
        <w:r w:rsidR="00C2241F">
          <w:rPr>
            <w:webHidden/>
          </w:rPr>
          <w:fldChar w:fldCharType="begin"/>
        </w:r>
        <w:r w:rsidR="00C2241F">
          <w:rPr>
            <w:webHidden/>
          </w:rPr>
          <w:instrText xml:space="preserve"> PAGEREF _Toc110584843 \h </w:instrText>
        </w:r>
        <w:r w:rsidR="00C2241F">
          <w:rPr>
            <w:webHidden/>
          </w:rPr>
        </w:r>
        <w:r w:rsidR="00C2241F">
          <w:rPr>
            <w:webHidden/>
          </w:rPr>
          <w:fldChar w:fldCharType="separate"/>
        </w:r>
        <w:r w:rsidR="00C2241F">
          <w:rPr>
            <w:webHidden/>
          </w:rPr>
          <w:t>9</w:t>
        </w:r>
        <w:r w:rsidR="00C2241F">
          <w:rPr>
            <w:webHidden/>
          </w:rPr>
          <w:fldChar w:fldCharType="end"/>
        </w:r>
      </w:hyperlink>
    </w:p>
    <w:p w14:paraId="3BDF622C" w14:textId="3B2D5630" w:rsidR="00C2241F" w:rsidRDefault="00FF63B1">
      <w:pPr>
        <w:pStyle w:val="TOC3"/>
        <w:rPr>
          <w:rFonts w:asciiTheme="minorHAnsi" w:eastAsiaTheme="minorEastAsia" w:hAnsiTheme="minorHAnsi" w:cstheme="minorBidi"/>
          <w:szCs w:val="22"/>
        </w:rPr>
      </w:pPr>
      <w:hyperlink w:anchor="_Toc110584844" w:history="1">
        <w:r w:rsidR="00C2241F" w:rsidRPr="006759B0">
          <w:rPr>
            <w:rStyle w:val="Hyperlink"/>
          </w:rPr>
          <w:t>Clean record</w:t>
        </w:r>
        <w:r w:rsidR="00C2241F">
          <w:rPr>
            <w:webHidden/>
          </w:rPr>
          <w:tab/>
        </w:r>
        <w:r w:rsidR="00C2241F">
          <w:rPr>
            <w:webHidden/>
          </w:rPr>
          <w:fldChar w:fldCharType="begin"/>
        </w:r>
        <w:r w:rsidR="00C2241F">
          <w:rPr>
            <w:webHidden/>
          </w:rPr>
          <w:instrText xml:space="preserve"> PAGEREF _Toc110584844 \h </w:instrText>
        </w:r>
        <w:r w:rsidR="00C2241F">
          <w:rPr>
            <w:webHidden/>
          </w:rPr>
        </w:r>
        <w:r w:rsidR="00C2241F">
          <w:rPr>
            <w:webHidden/>
          </w:rPr>
          <w:fldChar w:fldCharType="separate"/>
        </w:r>
        <w:r w:rsidR="00C2241F">
          <w:rPr>
            <w:webHidden/>
          </w:rPr>
          <w:t>9</w:t>
        </w:r>
        <w:r w:rsidR="00C2241F">
          <w:rPr>
            <w:webHidden/>
          </w:rPr>
          <w:fldChar w:fldCharType="end"/>
        </w:r>
      </w:hyperlink>
    </w:p>
    <w:p w14:paraId="03C60BFA" w14:textId="6F8AB764" w:rsidR="00C2241F" w:rsidRDefault="00FF63B1">
      <w:pPr>
        <w:pStyle w:val="TOC3"/>
        <w:rPr>
          <w:rFonts w:asciiTheme="minorHAnsi" w:eastAsiaTheme="minorEastAsia" w:hAnsiTheme="minorHAnsi" w:cstheme="minorBidi"/>
          <w:szCs w:val="22"/>
        </w:rPr>
      </w:pPr>
      <w:hyperlink w:anchor="_Toc110584845" w:history="1">
        <w:r w:rsidR="00C2241F" w:rsidRPr="006759B0">
          <w:rPr>
            <w:rStyle w:val="Hyperlink"/>
          </w:rPr>
          <w:t>Other issues</w:t>
        </w:r>
        <w:r w:rsidR="00C2241F">
          <w:rPr>
            <w:webHidden/>
          </w:rPr>
          <w:tab/>
        </w:r>
        <w:r w:rsidR="00C2241F">
          <w:rPr>
            <w:webHidden/>
          </w:rPr>
          <w:fldChar w:fldCharType="begin"/>
        </w:r>
        <w:r w:rsidR="00C2241F">
          <w:rPr>
            <w:webHidden/>
          </w:rPr>
          <w:instrText xml:space="preserve"> PAGEREF _Toc110584845 \h </w:instrText>
        </w:r>
        <w:r w:rsidR="00C2241F">
          <w:rPr>
            <w:webHidden/>
          </w:rPr>
        </w:r>
        <w:r w:rsidR="00C2241F">
          <w:rPr>
            <w:webHidden/>
          </w:rPr>
          <w:fldChar w:fldCharType="separate"/>
        </w:r>
        <w:r w:rsidR="00C2241F">
          <w:rPr>
            <w:webHidden/>
          </w:rPr>
          <w:t>10</w:t>
        </w:r>
        <w:r w:rsidR="00C2241F">
          <w:rPr>
            <w:webHidden/>
          </w:rPr>
          <w:fldChar w:fldCharType="end"/>
        </w:r>
      </w:hyperlink>
    </w:p>
    <w:p w14:paraId="5FC62F10" w14:textId="3C170D3D" w:rsidR="00C2241F" w:rsidRDefault="00FF63B1">
      <w:pPr>
        <w:pStyle w:val="TOC2"/>
        <w:rPr>
          <w:rFonts w:asciiTheme="minorHAnsi" w:eastAsiaTheme="minorEastAsia" w:hAnsiTheme="minorHAnsi" w:cstheme="minorBidi"/>
          <w:color w:val="auto"/>
          <w:szCs w:val="22"/>
        </w:rPr>
      </w:pPr>
      <w:hyperlink w:anchor="_Toc110584846" w:history="1">
        <w:r w:rsidR="00C2241F" w:rsidRPr="006759B0">
          <w:rPr>
            <w:rStyle w:val="Hyperlink"/>
          </w:rPr>
          <w:t>New Entrants</w:t>
        </w:r>
        <w:r w:rsidR="00C2241F">
          <w:rPr>
            <w:webHidden/>
          </w:rPr>
          <w:tab/>
        </w:r>
        <w:r w:rsidR="00C2241F">
          <w:rPr>
            <w:webHidden/>
          </w:rPr>
          <w:fldChar w:fldCharType="begin"/>
        </w:r>
        <w:r w:rsidR="00C2241F">
          <w:rPr>
            <w:webHidden/>
          </w:rPr>
          <w:instrText xml:space="preserve"> PAGEREF _Toc110584846 \h </w:instrText>
        </w:r>
        <w:r w:rsidR="00C2241F">
          <w:rPr>
            <w:webHidden/>
          </w:rPr>
        </w:r>
        <w:r w:rsidR="00C2241F">
          <w:rPr>
            <w:webHidden/>
          </w:rPr>
          <w:fldChar w:fldCharType="separate"/>
        </w:r>
        <w:r w:rsidR="00C2241F">
          <w:rPr>
            <w:webHidden/>
          </w:rPr>
          <w:t>12</w:t>
        </w:r>
        <w:r w:rsidR="00C2241F">
          <w:rPr>
            <w:webHidden/>
          </w:rPr>
          <w:fldChar w:fldCharType="end"/>
        </w:r>
      </w:hyperlink>
    </w:p>
    <w:p w14:paraId="51087053" w14:textId="6112BDEC" w:rsidR="00C2241F" w:rsidRDefault="00FF63B1">
      <w:pPr>
        <w:pStyle w:val="TOC3"/>
        <w:rPr>
          <w:rFonts w:asciiTheme="minorHAnsi" w:eastAsiaTheme="minorEastAsia" w:hAnsiTheme="minorHAnsi" w:cstheme="minorBidi"/>
          <w:szCs w:val="22"/>
        </w:rPr>
      </w:pPr>
      <w:hyperlink w:anchor="_Toc110584847" w:history="1">
        <w:r w:rsidR="00C2241F" w:rsidRPr="006759B0">
          <w:rPr>
            <w:rStyle w:val="Hyperlink"/>
          </w:rPr>
          <w:t>Formal education and the exam</w:t>
        </w:r>
        <w:r w:rsidR="00C2241F">
          <w:rPr>
            <w:webHidden/>
          </w:rPr>
          <w:tab/>
        </w:r>
        <w:r w:rsidR="00C2241F">
          <w:rPr>
            <w:webHidden/>
          </w:rPr>
          <w:fldChar w:fldCharType="begin"/>
        </w:r>
        <w:r w:rsidR="00C2241F">
          <w:rPr>
            <w:webHidden/>
          </w:rPr>
          <w:instrText xml:space="preserve"> PAGEREF _Toc110584847 \h </w:instrText>
        </w:r>
        <w:r w:rsidR="00C2241F">
          <w:rPr>
            <w:webHidden/>
          </w:rPr>
        </w:r>
        <w:r w:rsidR="00C2241F">
          <w:rPr>
            <w:webHidden/>
          </w:rPr>
          <w:fldChar w:fldCharType="separate"/>
        </w:r>
        <w:r w:rsidR="00C2241F">
          <w:rPr>
            <w:webHidden/>
          </w:rPr>
          <w:t>12</w:t>
        </w:r>
        <w:r w:rsidR="00C2241F">
          <w:rPr>
            <w:webHidden/>
          </w:rPr>
          <w:fldChar w:fldCharType="end"/>
        </w:r>
      </w:hyperlink>
    </w:p>
    <w:p w14:paraId="4BC9EF20" w14:textId="12CFEDD9" w:rsidR="00C2241F" w:rsidRDefault="00FF63B1">
      <w:pPr>
        <w:pStyle w:val="TOC3"/>
        <w:rPr>
          <w:rFonts w:asciiTheme="minorHAnsi" w:eastAsiaTheme="minorEastAsia" w:hAnsiTheme="minorHAnsi" w:cstheme="minorBidi"/>
          <w:szCs w:val="22"/>
        </w:rPr>
      </w:pPr>
      <w:hyperlink w:anchor="_Toc110584848" w:history="1">
        <w:r w:rsidR="00C2241F" w:rsidRPr="006759B0">
          <w:rPr>
            <w:rStyle w:val="Hyperlink"/>
          </w:rPr>
          <w:t>Streamline core knowledge areas</w:t>
        </w:r>
        <w:r w:rsidR="00C2241F">
          <w:rPr>
            <w:webHidden/>
          </w:rPr>
          <w:tab/>
        </w:r>
        <w:r w:rsidR="00C2241F">
          <w:rPr>
            <w:webHidden/>
          </w:rPr>
          <w:fldChar w:fldCharType="begin"/>
        </w:r>
        <w:r w:rsidR="00C2241F">
          <w:rPr>
            <w:webHidden/>
          </w:rPr>
          <w:instrText xml:space="preserve"> PAGEREF _Toc110584848 \h </w:instrText>
        </w:r>
        <w:r w:rsidR="00C2241F">
          <w:rPr>
            <w:webHidden/>
          </w:rPr>
        </w:r>
        <w:r w:rsidR="00C2241F">
          <w:rPr>
            <w:webHidden/>
          </w:rPr>
          <w:fldChar w:fldCharType="separate"/>
        </w:r>
        <w:r w:rsidR="00C2241F">
          <w:rPr>
            <w:webHidden/>
          </w:rPr>
          <w:t>13</w:t>
        </w:r>
        <w:r w:rsidR="00C2241F">
          <w:rPr>
            <w:webHidden/>
          </w:rPr>
          <w:fldChar w:fldCharType="end"/>
        </w:r>
      </w:hyperlink>
    </w:p>
    <w:p w14:paraId="1CE789B3" w14:textId="62E26C7C" w:rsidR="00C2241F" w:rsidRDefault="00FF63B1">
      <w:pPr>
        <w:pStyle w:val="TOC3"/>
        <w:rPr>
          <w:rFonts w:asciiTheme="minorHAnsi" w:eastAsiaTheme="minorEastAsia" w:hAnsiTheme="minorHAnsi" w:cstheme="minorBidi"/>
          <w:szCs w:val="22"/>
        </w:rPr>
      </w:pPr>
      <w:hyperlink w:anchor="_Toc110584849" w:history="1">
        <w:r w:rsidR="00C2241F" w:rsidRPr="006759B0">
          <w:rPr>
            <w:rStyle w:val="Hyperlink"/>
          </w:rPr>
          <w:t>Education providers to self-declare that their courses teach the core knowledge areas</w:t>
        </w:r>
        <w:r w:rsidR="00C2241F">
          <w:rPr>
            <w:webHidden/>
          </w:rPr>
          <w:tab/>
        </w:r>
        <w:r w:rsidR="00C2241F">
          <w:rPr>
            <w:webHidden/>
          </w:rPr>
          <w:fldChar w:fldCharType="begin"/>
        </w:r>
        <w:r w:rsidR="00C2241F">
          <w:rPr>
            <w:webHidden/>
          </w:rPr>
          <w:instrText xml:space="preserve"> PAGEREF _Toc110584849 \h </w:instrText>
        </w:r>
        <w:r w:rsidR="00C2241F">
          <w:rPr>
            <w:webHidden/>
          </w:rPr>
        </w:r>
        <w:r w:rsidR="00C2241F">
          <w:rPr>
            <w:webHidden/>
          </w:rPr>
          <w:fldChar w:fldCharType="separate"/>
        </w:r>
        <w:r w:rsidR="00C2241F">
          <w:rPr>
            <w:webHidden/>
          </w:rPr>
          <w:t>13</w:t>
        </w:r>
        <w:r w:rsidR="00C2241F">
          <w:rPr>
            <w:webHidden/>
          </w:rPr>
          <w:fldChar w:fldCharType="end"/>
        </w:r>
      </w:hyperlink>
    </w:p>
    <w:p w14:paraId="799A6127" w14:textId="5A30817F" w:rsidR="00C2241F" w:rsidRDefault="00FF63B1">
      <w:pPr>
        <w:pStyle w:val="TOC3"/>
        <w:rPr>
          <w:rFonts w:asciiTheme="minorHAnsi" w:eastAsiaTheme="minorEastAsia" w:hAnsiTheme="minorHAnsi" w:cstheme="minorBidi"/>
          <w:szCs w:val="22"/>
        </w:rPr>
      </w:pPr>
      <w:hyperlink w:anchor="_Toc110584850" w:history="1">
        <w:r w:rsidR="00C2241F" w:rsidRPr="006759B0">
          <w:rPr>
            <w:rStyle w:val="Hyperlink"/>
          </w:rPr>
          <w:t>The professional year</w:t>
        </w:r>
        <w:r w:rsidR="00C2241F">
          <w:rPr>
            <w:webHidden/>
          </w:rPr>
          <w:tab/>
        </w:r>
        <w:r w:rsidR="00C2241F">
          <w:rPr>
            <w:webHidden/>
          </w:rPr>
          <w:fldChar w:fldCharType="begin"/>
        </w:r>
        <w:r w:rsidR="00C2241F">
          <w:rPr>
            <w:webHidden/>
          </w:rPr>
          <w:instrText xml:space="preserve"> PAGEREF _Toc110584850 \h </w:instrText>
        </w:r>
        <w:r w:rsidR="00C2241F">
          <w:rPr>
            <w:webHidden/>
          </w:rPr>
        </w:r>
        <w:r w:rsidR="00C2241F">
          <w:rPr>
            <w:webHidden/>
          </w:rPr>
          <w:fldChar w:fldCharType="separate"/>
        </w:r>
        <w:r w:rsidR="00C2241F">
          <w:rPr>
            <w:webHidden/>
          </w:rPr>
          <w:t>14</w:t>
        </w:r>
        <w:r w:rsidR="00C2241F">
          <w:rPr>
            <w:webHidden/>
          </w:rPr>
          <w:fldChar w:fldCharType="end"/>
        </w:r>
      </w:hyperlink>
    </w:p>
    <w:p w14:paraId="04609DDE" w14:textId="328E2029" w:rsidR="000E0B74" w:rsidRDefault="00257AEE" w:rsidP="00656356">
      <w:pPr>
        <w:pStyle w:val="SingleParagraph"/>
        <w:tabs>
          <w:tab w:val="right" w:leader="dot" w:pos="9072"/>
        </w:tabs>
        <w:ind w:right="-2"/>
        <w:sectPr w:rsidR="000E0B74" w:rsidSect="008043EA">
          <w:footerReference w:type="default" r:id="rId18"/>
          <w:pgSz w:w="11906" w:h="16838" w:code="9"/>
          <w:pgMar w:top="1843" w:right="1418" w:bottom="1418" w:left="1418" w:header="709" w:footer="709" w:gutter="0"/>
          <w:pgNumType w:fmt="lowerRoman"/>
          <w:cols w:space="708"/>
          <w:titlePg/>
          <w:docGrid w:linePitch="360"/>
        </w:sectPr>
      </w:pPr>
      <w:r>
        <w:rPr>
          <w:noProof/>
          <w:color w:val="004A7F"/>
          <w:szCs w:val="22"/>
        </w:rPr>
        <w:fldChar w:fldCharType="end"/>
      </w:r>
    </w:p>
    <w:p w14:paraId="099501E1" w14:textId="77777777" w:rsidR="000E0B74" w:rsidRDefault="000E0B74" w:rsidP="00354FBB">
      <w:pPr>
        <w:pStyle w:val="Heading1"/>
      </w:pPr>
      <w:bookmarkStart w:id="1" w:name="_Toc110584832"/>
      <w:bookmarkStart w:id="2" w:name="_Toc432067103"/>
      <w:r>
        <w:lastRenderedPageBreak/>
        <w:t>Consultation Process</w:t>
      </w:r>
      <w:bookmarkEnd w:id="1"/>
    </w:p>
    <w:p w14:paraId="3475B901" w14:textId="77777777" w:rsidR="000E0B74" w:rsidRDefault="000E0B74" w:rsidP="00242399">
      <w:pPr>
        <w:pStyle w:val="Heading2"/>
        <w:spacing w:line="276" w:lineRule="auto"/>
      </w:pPr>
      <w:bookmarkStart w:id="3" w:name="_Toc110584833"/>
      <w:r>
        <w:t>Request for feedback and comments</w:t>
      </w:r>
      <w:bookmarkEnd w:id="3"/>
    </w:p>
    <w:p w14:paraId="3385447D" w14:textId="070FC02D" w:rsidR="00E641F7" w:rsidRDefault="00E641F7" w:rsidP="00242399">
      <w:pPr>
        <w:spacing w:line="276" w:lineRule="auto"/>
      </w:pPr>
      <w:r>
        <w:t xml:space="preserve">Submissions in response to this paper should be provided by </w:t>
      </w:r>
      <w:r w:rsidR="004A4E25">
        <w:t>5pm on</w:t>
      </w:r>
      <w:r>
        <w:t xml:space="preserve"> </w:t>
      </w:r>
      <w:r w:rsidR="00C2241F" w:rsidRPr="00B64460">
        <w:t>16</w:t>
      </w:r>
      <w:r w:rsidRPr="00B64460">
        <w:t xml:space="preserve"> </w:t>
      </w:r>
      <w:r w:rsidR="00C2241F" w:rsidRPr="00B64460">
        <w:t>September</w:t>
      </w:r>
      <w:r w:rsidRPr="00B64460">
        <w:t xml:space="preserve"> 2022,</w:t>
      </w:r>
      <w:r>
        <w:t xml:space="preserve"> electronically or by post. While submissions may be lodged electronically or by post, electronic lodgement via email to </w:t>
      </w:r>
      <w:r w:rsidR="00C2241F" w:rsidRPr="00C2241F">
        <w:rPr>
          <w:u w:val="single"/>
        </w:rPr>
        <w:t>FinancialAdvice@treasury.gov.au</w:t>
      </w:r>
      <w:r w:rsidR="00C2241F">
        <w:t xml:space="preserve"> </w:t>
      </w:r>
      <w:r>
        <w:t xml:space="preserve">is preferred. For accessibility reasons, please submit responses sent via email in a Word or PDF format. </w:t>
      </w:r>
    </w:p>
    <w:p w14:paraId="1AA1437B" w14:textId="77777777" w:rsidR="00E641F7" w:rsidRDefault="00E641F7" w:rsidP="00242399">
      <w:pPr>
        <w:spacing w:line="276" w:lineRule="auto"/>
      </w:pPr>
      <w:r>
        <w:t xml:space="preserve">All information (including name and address details) contained in submissions may be made available to the public on the Treasury website unless you indicate that you would like all or part of your submission to remain in confidence. Automatically generated confidentiality statements in emails are not sufficient for this purpose. If you would like only part of your submission to remain confidential, please provide this information clearly marked as such in a separate attachment. </w:t>
      </w:r>
    </w:p>
    <w:p w14:paraId="234731E8" w14:textId="37A697E1" w:rsidR="000E0B74" w:rsidRDefault="00E641F7" w:rsidP="00242399">
      <w:pPr>
        <w:spacing w:line="276" w:lineRule="auto"/>
      </w:pPr>
      <w:r>
        <w:t>Legal requirements, such as those imposed by the Freedom of Information Act 1982, may affect the confidentiality of your submission</w:t>
      </w:r>
    </w:p>
    <w:p w14:paraId="7D526340" w14:textId="17A61C2A" w:rsidR="000E0B74" w:rsidRDefault="000E0B74" w:rsidP="00242399">
      <w:pPr>
        <w:pStyle w:val="Heading3noTOC"/>
      </w:pPr>
      <w:r>
        <w:t xml:space="preserve">Closing date for submissions: </w:t>
      </w:r>
      <w:sdt>
        <w:sdtPr>
          <w:rPr>
            <w:rStyle w:val="Heading3Char"/>
          </w:rPr>
          <w:id w:val="1454836312"/>
          <w:placeholder>
            <w:docPart w:val="EA1C9FF2ABC0495EA713A7F3317FDE6C"/>
          </w:placeholder>
          <w:date w:fullDate="2022-09-16T00:00:00Z">
            <w:dateFormat w:val="dd MMMM yyyy"/>
            <w:lid w:val="en-AU"/>
            <w:storeMappedDataAs w:val="dateTime"/>
            <w:calendar w:val="gregorian"/>
          </w:date>
        </w:sdtPr>
        <w:sdtEndPr>
          <w:rPr>
            <w:rStyle w:val="DefaultParagraphFont"/>
            <w:rFonts w:cs="Calibri"/>
            <w:b/>
          </w:rPr>
        </w:sdtEndPr>
        <w:sdtContent>
          <w:r w:rsidR="00466683">
            <w:rPr>
              <w:rStyle w:val="Heading3Char"/>
            </w:rPr>
            <w:t>16 September 2022</w:t>
          </w:r>
        </w:sdtContent>
      </w:sdt>
    </w:p>
    <w:tbl>
      <w:tblPr>
        <w:tblStyle w:val="TableGrid"/>
        <w:tblW w:w="0" w:type="auto"/>
        <w:tblLook w:val="04A0" w:firstRow="1" w:lastRow="0" w:firstColumn="1" w:lastColumn="0" w:noHBand="0" w:noVBand="1"/>
      </w:tblPr>
      <w:tblGrid>
        <w:gridCol w:w="1516"/>
        <w:gridCol w:w="7554"/>
      </w:tblGrid>
      <w:tr w:rsidR="000E0B74" w:rsidRPr="00B85F47" w14:paraId="10BC85CA" w14:textId="77777777" w:rsidTr="00B85F47">
        <w:trPr>
          <w:cnfStyle w:val="100000000000" w:firstRow="1" w:lastRow="0" w:firstColumn="0" w:lastColumn="0" w:oddVBand="0" w:evenVBand="0" w:oddHBand="0" w:evenHBand="0" w:firstRowFirstColumn="0" w:firstRowLastColumn="0" w:lastRowFirstColumn="0" w:lastRowLastColumn="0"/>
        </w:trPr>
        <w:tc>
          <w:tcPr>
            <w:tcW w:w="1526" w:type="dxa"/>
            <w:shd w:val="clear" w:color="auto" w:fill="auto"/>
          </w:tcPr>
          <w:p w14:paraId="5CB68383" w14:textId="77777777" w:rsidR="000E0B74" w:rsidRPr="00B85F47" w:rsidRDefault="000E0B74" w:rsidP="00242399">
            <w:pPr>
              <w:spacing w:before="96" w:after="96" w:line="276" w:lineRule="auto"/>
              <w:rPr>
                <w:sz w:val="22"/>
                <w:szCs w:val="22"/>
              </w:rPr>
            </w:pPr>
            <w:r w:rsidRPr="00B85F47">
              <w:rPr>
                <w:sz w:val="22"/>
                <w:szCs w:val="22"/>
              </w:rPr>
              <w:t>Email</w:t>
            </w:r>
          </w:p>
        </w:tc>
        <w:tc>
          <w:tcPr>
            <w:tcW w:w="7654" w:type="dxa"/>
            <w:shd w:val="clear" w:color="auto" w:fill="auto"/>
          </w:tcPr>
          <w:p w14:paraId="60E01CC4" w14:textId="1B8A49F7" w:rsidR="000E0B74" w:rsidRPr="003B035B" w:rsidRDefault="00466683" w:rsidP="00242399">
            <w:pPr>
              <w:spacing w:before="96" w:after="96" w:line="276" w:lineRule="auto"/>
              <w:rPr>
                <w:b w:val="0"/>
                <w:bCs/>
                <w:sz w:val="22"/>
                <w:szCs w:val="22"/>
              </w:rPr>
            </w:pPr>
            <w:r w:rsidRPr="00C2241F">
              <w:rPr>
                <w:u w:val="single"/>
              </w:rPr>
              <w:t>FinancialAdvice@treasury.gov.au</w:t>
            </w:r>
          </w:p>
        </w:tc>
      </w:tr>
      <w:tr w:rsidR="000E0B74" w:rsidRPr="00B85F47" w14:paraId="7F073ECC" w14:textId="77777777" w:rsidTr="00B85F47">
        <w:tc>
          <w:tcPr>
            <w:tcW w:w="1526" w:type="dxa"/>
          </w:tcPr>
          <w:p w14:paraId="2B655027" w14:textId="77777777" w:rsidR="000E0B74" w:rsidRPr="00B85F47" w:rsidRDefault="000E0B74" w:rsidP="00242399">
            <w:pPr>
              <w:spacing w:line="276" w:lineRule="auto"/>
              <w:rPr>
                <w:sz w:val="22"/>
                <w:szCs w:val="22"/>
              </w:rPr>
            </w:pPr>
            <w:r w:rsidRPr="00B85F47">
              <w:rPr>
                <w:sz w:val="22"/>
                <w:szCs w:val="22"/>
              </w:rPr>
              <w:t>Mail</w:t>
            </w:r>
          </w:p>
          <w:p w14:paraId="68C0C3BA" w14:textId="77777777" w:rsidR="008D7F38" w:rsidRPr="00B85F47" w:rsidRDefault="008D7F38" w:rsidP="00242399">
            <w:pPr>
              <w:spacing w:line="276" w:lineRule="auto"/>
              <w:rPr>
                <w:sz w:val="22"/>
                <w:szCs w:val="22"/>
              </w:rPr>
            </w:pPr>
          </w:p>
          <w:p w14:paraId="4621B56D" w14:textId="77777777" w:rsidR="008D7F38" w:rsidRPr="00B85F47" w:rsidRDefault="008D7F38" w:rsidP="00242399">
            <w:pPr>
              <w:spacing w:line="276" w:lineRule="auto"/>
              <w:rPr>
                <w:sz w:val="22"/>
                <w:szCs w:val="22"/>
              </w:rPr>
            </w:pPr>
          </w:p>
        </w:tc>
        <w:tc>
          <w:tcPr>
            <w:tcW w:w="7654" w:type="dxa"/>
          </w:tcPr>
          <w:p w14:paraId="1639DDEF" w14:textId="5803D0EF" w:rsidR="000E0B74" w:rsidRPr="00E641F7" w:rsidRDefault="00E641F7" w:rsidP="00242399">
            <w:pPr>
              <w:pStyle w:val="SingleParagraph"/>
              <w:spacing w:line="276" w:lineRule="auto"/>
              <w:rPr>
                <w:rFonts w:cs="Arial"/>
                <w:sz w:val="24"/>
                <w:szCs w:val="24"/>
              </w:rPr>
            </w:pPr>
            <w:r w:rsidRPr="00E641F7">
              <w:rPr>
                <w:rFonts w:cs="Arial"/>
                <w:sz w:val="22"/>
                <w:szCs w:val="24"/>
              </w:rPr>
              <w:t xml:space="preserve">Assistant Secretary </w:t>
            </w:r>
          </w:p>
          <w:p w14:paraId="4503CA4E" w14:textId="1C2950DE" w:rsidR="000E0B74" w:rsidRPr="00E641F7" w:rsidRDefault="00E641F7" w:rsidP="00242399">
            <w:pPr>
              <w:pStyle w:val="SingleParagraph"/>
              <w:spacing w:line="276" w:lineRule="auto"/>
              <w:rPr>
                <w:rFonts w:cs="Arial"/>
                <w:sz w:val="24"/>
                <w:szCs w:val="24"/>
              </w:rPr>
            </w:pPr>
            <w:r w:rsidRPr="00E641F7">
              <w:rPr>
                <w:rFonts w:cs="Arial"/>
                <w:sz w:val="22"/>
                <w:szCs w:val="24"/>
              </w:rPr>
              <w:t xml:space="preserve">Advice and Investment Branch </w:t>
            </w:r>
          </w:p>
          <w:p w14:paraId="3D74D9D1" w14:textId="77777777" w:rsidR="000E0B74" w:rsidRPr="00B85F47" w:rsidRDefault="000E0B74" w:rsidP="00242399">
            <w:pPr>
              <w:pStyle w:val="SingleParagraph"/>
              <w:spacing w:line="276" w:lineRule="auto"/>
              <w:rPr>
                <w:rFonts w:cs="Arial"/>
                <w:sz w:val="22"/>
                <w:szCs w:val="22"/>
              </w:rPr>
            </w:pPr>
            <w:r w:rsidRPr="00B85F47">
              <w:rPr>
                <w:rFonts w:cs="Arial"/>
                <w:sz w:val="22"/>
                <w:szCs w:val="22"/>
              </w:rPr>
              <w:t>The Treasury</w:t>
            </w:r>
          </w:p>
          <w:p w14:paraId="46D50BB4" w14:textId="77777777" w:rsidR="000E0B74" w:rsidRPr="00B85F47" w:rsidRDefault="000E0B74" w:rsidP="00242399">
            <w:pPr>
              <w:pStyle w:val="SingleParagraph"/>
              <w:spacing w:line="276" w:lineRule="auto"/>
              <w:rPr>
                <w:rFonts w:cs="Arial"/>
                <w:sz w:val="22"/>
                <w:szCs w:val="22"/>
              </w:rPr>
            </w:pPr>
            <w:r w:rsidRPr="00B85F47">
              <w:rPr>
                <w:rFonts w:cs="Arial"/>
                <w:sz w:val="22"/>
                <w:szCs w:val="22"/>
              </w:rPr>
              <w:t>Langton Crescent</w:t>
            </w:r>
          </w:p>
          <w:p w14:paraId="762EDDFE" w14:textId="77777777" w:rsidR="000E0B74" w:rsidRPr="00B85F47" w:rsidRDefault="000E0B74" w:rsidP="00242399">
            <w:pPr>
              <w:pStyle w:val="SingleParagraph"/>
              <w:spacing w:line="276" w:lineRule="auto"/>
              <w:rPr>
                <w:sz w:val="22"/>
                <w:szCs w:val="22"/>
              </w:rPr>
            </w:pPr>
            <w:r w:rsidRPr="00B85F47">
              <w:rPr>
                <w:sz w:val="22"/>
                <w:szCs w:val="22"/>
              </w:rPr>
              <w:t>PARKES ACT 2600</w:t>
            </w:r>
          </w:p>
        </w:tc>
      </w:tr>
      <w:tr w:rsidR="000E0B74" w:rsidRPr="00B85F47" w14:paraId="5EF10C8F" w14:textId="77777777" w:rsidTr="00B85F47">
        <w:tc>
          <w:tcPr>
            <w:tcW w:w="1526" w:type="dxa"/>
          </w:tcPr>
          <w:p w14:paraId="54011D1B" w14:textId="77777777" w:rsidR="000E0B74" w:rsidRPr="00B85F47" w:rsidRDefault="000E0B74" w:rsidP="00242399">
            <w:pPr>
              <w:spacing w:line="276" w:lineRule="auto"/>
              <w:rPr>
                <w:sz w:val="22"/>
                <w:szCs w:val="22"/>
              </w:rPr>
            </w:pPr>
            <w:r w:rsidRPr="00B85F47">
              <w:rPr>
                <w:sz w:val="22"/>
                <w:szCs w:val="22"/>
              </w:rPr>
              <w:t>Enquiries</w:t>
            </w:r>
          </w:p>
        </w:tc>
        <w:tc>
          <w:tcPr>
            <w:tcW w:w="7654" w:type="dxa"/>
          </w:tcPr>
          <w:p w14:paraId="49C67E88" w14:textId="2EBE5D61" w:rsidR="000E0B74" w:rsidRPr="00B85F47" w:rsidRDefault="000E0B74" w:rsidP="00242399">
            <w:pPr>
              <w:spacing w:line="276" w:lineRule="auto"/>
              <w:rPr>
                <w:sz w:val="22"/>
                <w:szCs w:val="22"/>
              </w:rPr>
            </w:pPr>
            <w:r w:rsidRPr="00B85F47">
              <w:rPr>
                <w:rFonts w:cs="Arial"/>
                <w:sz w:val="22"/>
                <w:szCs w:val="22"/>
              </w:rPr>
              <w:t xml:space="preserve">Enquiries can be initially directed to </w:t>
            </w:r>
            <w:r w:rsidR="00E641F7" w:rsidRPr="00E641F7">
              <w:rPr>
                <w:rFonts w:cs="Arial"/>
                <w:sz w:val="22"/>
                <w:szCs w:val="24"/>
              </w:rPr>
              <w:t>Anna Schneider Rumble</w:t>
            </w:r>
          </w:p>
        </w:tc>
      </w:tr>
      <w:tr w:rsidR="000E0B74" w:rsidRPr="00B85F47" w14:paraId="66CBC872" w14:textId="77777777" w:rsidTr="00B85F47">
        <w:tc>
          <w:tcPr>
            <w:tcW w:w="1526" w:type="dxa"/>
          </w:tcPr>
          <w:p w14:paraId="607BAC07" w14:textId="77777777" w:rsidR="000E0B74" w:rsidRPr="00B85F47" w:rsidRDefault="000E0B74" w:rsidP="00242399">
            <w:pPr>
              <w:spacing w:line="276" w:lineRule="auto"/>
              <w:rPr>
                <w:sz w:val="22"/>
                <w:szCs w:val="22"/>
              </w:rPr>
            </w:pPr>
            <w:r w:rsidRPr="00B85F47">
              <w:rPr>
                <w:sz w:val="22"/>
                <w:szCs w:val="22"/>
              </w:rPr>
              <w:t>Phone</w:t>
            </w:r>
          </w:p>
        </w:tc>
        <w:tc>
          <w:tcPr>
            <w:tcW w:w="7654" w:type="dxa"/>
          </w:tcPr>
          <w:p w14:paraId="03837FD5" w14:textId="49FD74A2" w:rsidR="000E0B74" w:rsidRPr="00B85F47" w:rsidRDefault="000E0B74" w:rsidP="00242399">
            <w:pPr>
              <w:spacing w:line="276" w:lineRule="auto"/>
              <w:rPr>
                <w:sz w:val="22"/>
                <w:szCs w:val="22"/>
              </w:rPr>
            </w:pPr>
            <w:r w:rsidRPr="00B85F47">
              <w:rPr>
                <w:rFonts w:cs="Arial"/>
                <w:sz w:val="22"/>
                <w:szCs w:val="22"/>
              </w:rPr>
              <w:t xml:space="preserve">02 6263 </w:t>
            </w:r>
            <w:r w:rsidR="00E641F7" w:rsidRPr="00E641F7">
              <w:rPr>
                <w:rFonts w:cs="Arial"/>
                <w:sz w:val="22"/>
                <w:szCs w:val="24"/>
              </w:rPr>
              <w:t>3852</w:t>
            </w:r>
          </w:p>
        </w:tc>
      </w:tr>
    </w:tbl>
    <w:bookmarkEnd w:id="2"/>
    <w:p w14:paraId="4B87D733" w14:textId="4056FB6F" w:rsidR="00A16E03" w:rsidRDefault="00A16E03" w:rsidP="00242399">
      <w:pPr>
        <w:spacing w:line="276" w:lineRule="auto"/>
      </w:pPr>
      <w:r w:rsidRPr="00FF3CBE">
        <w:t xml:space="preserve">The principles outlined in this paper have not received Government approval and are not yet law. </w:t>
      </w:r>
      <w:proofErr w:type="gramStart"/>
      <w:r w:rsidRPr="00FF3CBE">
        <w:t>As a consequence</w:t>
      </w:r>
      <w:proofErr w:type="gramEnd"/>
      <w:r w:rsidRPr="00FF3CBE">
        <w:t>, this paper is merely a guide as to how the principles might operate.</w:t>
      </w:r>
    </w:p>
    <w:p w14:paraId="3557AEB9" w14:textId="77777777" w:rsidR="008D7F38" w:rsidRPr="008D7F38" w:rsidRDefault="008D7F38" w:rsidP="008D7F38"/>
    <w:p w14:paraId="7FD6B7F5" w14:textId="77777777" w:rsidR="00E10D39" w:rsidRDefault="00E10D39">
      <w:pPr>
        <w:spacing w:before="0" w:after="160" w:line="259" w:lineRule="auto"/>
        <w:rPr>
          <w:rFonts w:cs="Arial"/>
          <w:color w:val="004A7F"/>
          <w:kern w:val="32"/>
          <w:sz w:val="48"/>
          <w:szCs w:val="36"/>
        </w:rPr>
      </w:pPr>
      <w:r>
        <w:br w:type="page"/>
      </w:r>
    </w:p>
    <w:p w14:paraId="6B5C4084" w14:textId="138BD5AE" w:rsidR="000E0B74" w:rsidRDefault="00E641F7" w:rsidP="00242399">
      <w:pPr>
        <w:pStyle w:val="Heading1"/>
        <w:spacing w:line="276" w:lineRule="auto"/>
      </w:pPr>
      <w:bookmarkStart w:id="4" w:name="_Toc110584834"/>
      <w:r w:rsidRPr="00E641F7">
        <w:lastRenderedPageBreak/>
        <w:t>Financial adviser education</w:t>
      </w:r>
      <w:r w:rsidR="00C366B3">
        <w:t xml:space="preserve"> requirements</w:t>
      </w:r>
      <w:bookmarkEnd w:id="4"/>
    </w:p>
    <w:p w14:paraId="57872D2D" w14:textId="1257A611" w:rsidR="008E1A4F" w:rsidRDefault="008E1A4F" w:rsidP="00242399">
      <w:pPr>
        <w:pStyle w:val="Heading2"/>
        <w:spacing w:line="276" w:lineRule="auto"/>
      </w:pPr>
      <w:bookmarkStart w:id="5" w:name="_Toc110584835"/>
      <w:r>
        <w:t>Summary</w:t>
      </w:r>
      <w:bookmarkEnd w:id="5"/>
    </w:p>
    <w:p w14:paraId="2BF7B916" w14:textId="006536C3" w:rsidR="00E10400" w:rsidRDefault="008E1A4F" w:rsidP="00242399">
      <w:pPr>
        <w:spacing w:line="276" w:lineRule="auto"/>
      </w:pPr>
      <w:r>
        <w:t xml:space="preserve">The Government understands the importance of high-quality, affordable, and accessible </w:t>
      </w:r>
      <w:r w:rsidR="00EB4038">
        <w:t xml:space="preserve">financial </w:t>
      </w:r>
      <w:r>
        <w:t>advice for Australians.</w:t>
      </w:r>
      <w:r w:rsidR="006A5E58">
        <w:t xml:space="preserve"> </w:t>
      </w:r>
      <w:r w:rsidR="00E10400">
        <w:t>Appropriate education standards for financial advisers are central to achieving this goal</w:t>
      </w:r>
      <w:r w:rsidR="00C2241F">
        <w:t>.</w:t>
      </w:r>
      <w:r w:rsidR="00E10400">
        <w:t xml:space="preserve"> </w:t>
      </w:r>
      <w:r w:rsidR="00C2241F">
        <w:t>A</w:t>
      </w:r>
      <w:r w:rsidR="00E10400">
        <w:t>s Commissioner Hayne noted in the Final Report of the</w:t>
      </w:r>
      <w:r w:rsidR="008A7863" w:rsidRPr="008A7863">
        <w:rPr>
          <w:i/>
          <w:iCs/>
          <w:sz w:val="20"/>
          <w:szCs w:val="18"/>
        </w:rPr>
        <w:t xml:space="preserve"> </w:t>
      </w:r>
      <w:r w:rsidR="008A7863" w:rsidRPr="008A7863">
        <w:t>Royal Commission into Misconduct in the Banking, Superannuation and Financial Services Industry</w:t>
      </w:r>
      <w:r w:rsidR="00D2441A">
        <w:t>,</w:t>
      </w:r>
      <w:r w:rsidR="00E10400">
        <w:t xml:space="preserve"> ‘prevention of poor advice begins with education and training’.</w:t>
      </w:r>
      <w:r w:rsidR="00E10400" w:rsidRPr="00BA2A10">
        <w:rPr>
          <w:rStyle w:val="FootnoteReference"/>
          <w:vertAlign w:val="superscript"/>
        </w:rPr>
        <w:footnoteReference w:id="2"/>
      </w:r>
      <w:r w:rsidR="00E10400" w:rsidRPr="00BA2A10">
        <w:rPr>
          <w:vertAlign w:val="superscript"/>
        </w:rPr>
        <w:t xml:space="preserve"> </w:t>
      </w:r>
      <w:r w:rsidR="001436C0">
        <w:t>The</w:t>
      </w:r>
      <w:r w:rsidR="00E10400">
        <w:t xml:space="preserve"> Government is committed to ensuring that education standards are fit for purpose.</w:t>
      </w:r>
    </w:p>
    <w:p w14:paraId="1D6DF420" w14:textId="4B46DE64" w:rsidR="00C2241F" w:rsidRDefault="008369E8" w:rsidP="00242399">
      <w:pPr>
        <w:spacing w:line="276" w:lineRule="auto"/>
      </w:pPr>
      <w:r>
        <w:t xml:space="preserve">This consultation paper is an </w:t>
      </w:r>
      <w:r w:rsidR="00392C14">
        <w:t xml:space="preserve">opportunity to revisit the education requirements for existing </w:t>
      </w:r>
      <w:r w:rsidR="00CA32FC">
        <w:t>advisers</w:t>
      </w:r>
      <w:r w:rsidR="0004715E">
        <w:t xml:space="preserve">, specifically those who have significant on-the-job experience. </w:t>
      </w:r>
      <w:proofErr w:type="gramStart"/>
      <w:r w:rsidR="00C2241F">
        <w:t>In particular</w:t>
      </w:r>
      <w:r w:rsidR="00B105D3" w:rsidRPr="00FF3CBE">
        <w:t>, it</w:t>
      </w:r>
      <w:proofErr w:type="gramEnd"/>
      <w:r w:rsidR="00B105D3" w:rsidRPr="00FF3CBE">
        <w:t xml:space="preserve"> is an opportunity to explore how the Government’s election commitment to</w:t>
      </w:r>
      <w:r w:rsidR="00EB4613" w:rsidRPr="00FF3CBE">
        <w:t xml:space="preserve"> remove tertiary education requirements for financial advisers who ha</w:t>
      </w:r>
      <w:r w:rsidR="00C2241F">
        <w:t>ve</w:t>
      </w:r>
      <w:r w:rsidR="00EB4613" w:rsidRPr="00FF3CBE">
        <w:t xml:space="preserve"> passed the exam, ha</w:t>
      </w:r>
      <w:r w:rsidR="00C2241F">
        <w:t>ve</w:t>
      </w:r>
      <w:r w:rsidR="00EB4613" w:rsidRPr="00FF3CBE">
        <w:t xml:space="preserve"> 10 years’ experience and </w:t>
      </w:r>
      <w:r w:rsidR="00C2241F">
        <w:t xml:space="preserve">a </w:t>
      </w:r>
      <w:r w:rsidR="00EB4613" w:rsidRPr="00FF3CBE">
        <w:t>clean record of financial practice could be implemented.</w:t>
      </w:r>
      <w:r w:rsidR="00B105D3">
        <w:t xml:space="preserve"> </w:t>
      </w:r>
      <w:r w:rsidR="00C2241F">
        <w:t>This paper</w:t>
      </w:r>
      <w:r w:rsidR="0004715E">
        <w:t xml:space="preserve"> also presents an opportunity to explore the requirements for </w:t>
      </w:r>
      <w:r w:rsidR="00392C14">
        <w:t xml:space="preserve">new entrants to ensure that they remain </w:t>
      </w:r>
      <w:r w:rsidR="00816129">
        <w:t>appropriate</w:t>
      </w:r>
      <w:r w:rsidR="00392C14">
        <w:t xml:space="preserve"> and</w:t>
      </w:r>
      <w:r>
        <w:t xml:space="preserve"> continue to</w:t>
      </w:r>
      <w:r w:rsidR="00392C14">
        <w:t xml:space="preserve"> </w:t>
      </w:r>
      <w:r>
        <w:t>facilitate</w:t>
      </w:r>
      <w:r w:rsidR="00392C14">
        <w:t xml:space="preserve"> </w:t>
      </w:r>
      <w:r>
        <w:t>improvements in</w:t>
      </w:r>
      <w:r w:rsidR="00392C14">
        <w:t xml:space="preserve"> the quality of financial advice.</w:t>
      </w:r>
      <w:r w:rsidR="00C2241F">
        <w:t xml:space="preserve"> </w:t>
      </w:r>
      <w:r w:rsidR="003D44B1">
        <w:t>The Government understands the importance of removing barriers to entry into the financial advice profession and ensuring it continues to develop into a career of choice.</w:t>
      </w:r>
      <w:r w:rsidR="004B5B24">
        <w:t xml:space="preserve"> </w:t>
      </w:r>
    </w:p>
    <w:p w14:paraId="6876A2A9" w14:textId="754CC6A7" w:rsidR="00392C14" w:rsidRPr="008E1A4F" w:rsidRDefault="003C7E52" w:rsidP="00242399">
      <w:pPr>
        <w:spacing w:line="276" w:lineRule="auto"/>
      </w:pPr>
      <w:r>
        <w:t>W</w:t>
      </w:r>
      <w:r w:rsidR="00392C14" w:rsidRPr="008813A3">
        <w:t xml:space="preserve">ithout compromising the progress that has been made towards professionalisation, the Government </w:t>
      </w:r>
      <w:r w:rsidR="008369E8" w:rsidRPr="008813A3">
        <w:t>wants</w:t>
      </w:r>
      <w:r w:rsidR="00392C14" w:rsidRPr="008813A3">
        <w:t xml:space="preserve"> to ensure that the standards for financial advisers strike the right balance between valuing formal education and on-the-job experience</w:t>
      </w:r>
      <w:r w:rsidR="00392C14" w:rsidRPr="00586A19">
        <w:t xml:space="preserve">, whilst continuing to ensure consumer trust and confidence in the advice they receive. </w:t>
      </w:r>
    </w:p>
    <w:p w14:paraId="1755EFC3" w14:textId="7EBE1C6C" w:rsidR="00C366B3" w:rsidRDefault="004B157F" w:rsidP="00242399">
      <w:pPr>
        <w:pStyle w:val="Heading2"/>
        <w:spacing w:line="276" w:lineRule="auto"/>
      </w:pPr>
      <w:bookmarkStart w:id="6" w:name="_Toc110584836"/>
      <w:r>
        <w:t>Background – financial adviser education standards</w:t>
      </w:r>
      <w:bookmarkEnd w:id="6"/>
      <w:r>
        <w:t xml:space="preserve"> </w:t>
      </w:r>
    </w:p>
    <w:p w14:paraId="023DB3E5" w14:textId="7CD2445E" w:rsidR="00C013A3" w:rsidRDefault="00C013A3" w:rsidP="00242399">
      <w:pPr>
        <w:spacing w:line="276" w:lineRule="auto"/>
      </w:pPr>
      <w:r w:rsidRPr="00EE4B49">
        <w:t xml:space="preserve">One of the defining features of a profession is that members share a common body of knowledge, skills, and expertise in </w:t>
      </w:r>
      <w:r w:rsidR="00C37D37">
        <w:t>a</w:t>
      </w:r>
      <w:r>
        <w:t xml:space="preserve"> specialised fiel</w:t>
      </w:r>
      <w:r w:rsidR="008F49DC">
        <w:t>d. Education requirements or pr</w:t>
      </w:r>
      <w:r w:rsidR="00816129">
        <w:t>ere</w:t>
      </w:r>
      <w:r w:rsidR="008F49DC">
        <w:t xml:space="preserve">quisites are </w:t>
      </w:r>
      <w:r w:rsidR="0073081B">
        <w:t>one</w:t>
      </w:r>
      <w:r w:rsidR="008F49DC">
        <w:t xml:space="preserve"> mechanism f</w:t>
      </w:r>
      <w:r w:rsidR="0091640B">
        <w:t>or</w:t>
      </w:r>
      <w:r w:rsidR="008F49DC">
        <w:t xml:space="preserve"> ensuring that all members of </w:t>
      </w:r>
      <w:r w:rsidR="0091640B">
        <w:t>a</w:t>
      </w:r>
      <w:r w:rsidR="008F49DC">
        <w:t xml:space="preserve"> profession have competency in that field. </w:t>
      </w:r>
      <w:r>
        <w:t>These requirements ensure that, because of their education, professionals are versed in the body</w:t>
      </w:r>
      <w:r w:rsidR="00816129">
        <w:t xml:space="preserve"> of</w:t>
      </w:r>
      <w:r>
        <w:t xml:space="preserve"> knowledge, </w:t>
      </w:r>
      <w:r w:rsidR="000D1A33">
        <w:t>skills,</w:t>
      </w:r>
      <w:r>
        <w:t xml:space="preserve"> and expertise common to their profession.  </w:t>
      </w:r>
    </w:p>
    <w:p w14:paraId="00497B26" w14:textId="324669B7" w:rsidR="00650219" w:rsidRPr="00C6349A" w:rsidRDefault="00650219" w:rsidP="00242399">
      <w:pPr>
        <w:spacing w:line="276" w:lineRule="auto"/>
      </w:pPr>
      <w:r>
        <w:t xml:space="preserve">Importantly, professionalisation of the industry is also about ensuring consumer protection. As noted by </w:t>
      </w:r>
      <w:r w:rsidR="005F56ED">
        <w:t>Commissioner Hayne</w:t>
      </w:r>
      <w:r w:rsidR="00D93EC0">
        <w:t>,</w:t>
      </w:r>
      <w:r w:rsidR="005F56ED">
        <w:t xml:space="preserve"> </w:t>
      </w:r>
      <w:r w:rsidR="00816129">
        <w:t>‘</w:t>
      </w:r>
      <w:r>
        <w:t>m</w:t>
      </w:r>
      <w:r w:rsidR="005F56ED" w:rsidRPr="005F56ED">
        <w:t>aking financial advice a profession is important not merely for its own sak</w:t>
      </w:r>
      <w:r w:rsidR="00B6663E">
        <w:t>e. I</w:t>
      </w:r>
      <w:r w:rsidR="005F56ED" w:rsidRPr="005F56ED">
        <w:t>t is a necessary step to protect those who seek financial advice</w:t>
      </w:r>
      <w:r w:rsidR="00816129" w:rsidRPr="005F56ED">
        <w:t>.</w:t>
      </w:r>
      <w:r w:rsidR="00816129">
        <w:t>’</w:t>
      </w:r>
      <w:r w:rsidR="00816129" w:rsidRPr="0073081B">
        <w:rPr>
          <w:rStyle w:val="FootnoteReference"/>
          <w:vertAlign w:val="superscript"/>
        </w:rPr>
        <w:footnoteReference w:id="3"/>
      </w:r>
      <w:r w:rsidR="00EA1330" w:rsidRPr="0073081B">
        <w:t xml:space="preserve"> </w:t>
      </w:r>
      <w:r w:rsidR="00816129">
        <w:t>E</w:t>
      </w:r>
      <w:r w:rsidR="00287DC9">
        <w:t xml:space="preserve">ducation requirements ensure that members of a profession meet certain standards </w:t>
      </w:r>
      <w:r w:rsidR="00287DC9" w:rsidRPr="00287DC9">
        <w:t>of competency and operate within specific ethical frameworks. If financial advisers are to continue to professionalise, the education standards required should be sufficient for them to develop the knowledge, skills and competencies required to provide high</w:t>
      </w:r>
      <w:r w:rsidR="00816129">
        <w:t>-</w:t>
      </w:r>
      <w:r w:rsidR="00287DC9" w:rsidRPr="00287DC9">
        <w:t>quality financial advice.</w:t>
      </w:r>
      <w:r w:rsidR="00BA2A10">
        <w:t xml:space="preserve"> </w:t>
      </w:r>
      <w:r>
        <w:t>Prior to the current standard,</w:t>
      </w:r>
      <w:r w:rsidR="00A029C9">
        <w:t xml:space="preserve"> t</w:t>
      </w:r>
      <w:r w:rsidR="004B5B24">
        <w:t xml:space="preserve">he education and </w:t>
      </w:r>
      <w:r w:rsidR="004B5B24">
        <w:lastRenderedPageBreak/>
        <w:t>training of advisers was contingent upon licensee obligation 91</w:t>
      </w:r>
      <w:r w:rsidR="005F4025">
        <w:t>2</w:t>
      </w:r>
      <w:r w:rsidR="004B5B24">
        <w:t>A</w:t>
      </w:r>
      <w:r w:rsidR="001B1946">
        <w:t xml:space="preserve"> in </w:t>
      </w:r>
      <w:r w:rsidR="001B1946" w:rsidRPr="0073081B">
        <w:rPr>
          <w:i/>
          <w:iCs/>
        </w:rPr>
        <w:t>the Corporations Act</w:t>
      </w:r>
      <w:r w:rsidR="0073081B" w:rsidRPr="0073081B">
        <w:rPr>
          <w:i/>
          <w:iCs/>
        </w:rPr>
        <w:t xml:space="preserve"> 2001</w:t>
      </w:r>
      <w:r w:rsidR="0073081B">
        <w:t xml:space="preserve"> (Corporations Act)</w:t>
      </w:r>
      <w:r w:rsidR="001B1946">
        <w:t>.</w:t>
      </w:r>
      <w:r w:rsidR="004B5B24">
        <w:t xml:space="preserve"> </w:t>
      </w:r>
      <w:r w:rsidR="001B1946">
        <w:t>T</w:t>
      </w:r>
      <w:r w:rsidR="003C7E52">
        <w:t>he Australian Securities and Investments Commission (ASIC)</w:t>
      </w:r>
      <w:r w:rsidR="004B5B24">
        <w:t xml:space="preserve"> provided guidance for the </w:t>
      </w:r>
      <w:r w:rsidRPr="00C6349A">
        <w:t xml:space="preserve">minimum education standards for financial advisers </w:t>
      </w:r>
      <w:r w:rsidR="004B5B24">
        <w:t>in</w:t>
      </w:r>
      <w:r w:rsidRPr="00C6349A">
        <w:t xml:space="preserve"> </w:t>
      </w:r>
      <w:r w:rsidRPr="002D786D">
        <w:rPr>
          <w:i/>
          <w:iCs/>
        </w:rPr>
        <w:t>Regulatory Guide 146: Licencing: Training of Financial Product Advisers</w:t>
      </w:r>
      <w:r>
        <w:t xml:space="preserve"> (RG 146)</w:t>
      </w:r>
      <w:r w:rsidR="00B461F1">
        <w:t xml:space="preserve">. </w:t>
      </w:r>
      <w:r w:rsidR="001B1946">
        <w:t>RG 146</w:t>
      </w:r>
      <w:r w:rsidR="001B1946" w:rsidRPr="001B1946">
        <w:t xml:space="preserve"> </w:t>
      </w:r>
      <w:r w:rsidR="001B1946">
        <w:t>required:</w:t>
      </w:r>
    </w:p>
    <w:p w14:paraId="1E061927" w14:textId="5923FA90" w:rsidR="00650219" w:rsidRPr="00C6349A" w:rsidRDefault="00650219" w:rsidP="00242399">
      <w:pPr>
        <w:pStyle w:val="Dash"/>
        <w:numPr>
          <w:ilvl w:val="1"/>
          <w:numId w:val="1"/>
        </w:numPr>
        <w:spacing w:line="276" w:lineRule="auto"/>
        <w:ind w:left="568"/>
        <w:jc w:val="both"/>
        <w:rPr>
          <w:szCs w:val="22"/>
        </w:rPr>
      </w:pPr>
      <w:r w:rsidRPr="00C6349A">
        <w:rPr>
          <w:szCs w:val="22"/>
        </w:rPr>
        <w:t xml:space="preserve">Australian Qualifications Framework </w:t>
      </w:r>
      <w:r w:rsidR="00DE7102">
        <w:rPr>
          <w:szCs w:val="22"/>
        </w:rPr>
        <w:t xml:space="preserve">(AQF) </w:t>
      </w:r>
      <w:r w:rsidRPr="00C6349A">
        <w:rPr>
          <w:szCs w:val="22"/>
        </w:rPr>
        <w:t>level 5 (</w:t>
      </w:r>
      <w:r w:rsidR="00DE7102">
        <w:rPr>
          <w:szCs w:val="22"/>
        </w:rPr>
        <w:t>d</w:t>
      </w:r>
      <w:r w:rsidRPr="00C6349A">
        <w:rPr>
          <w:szCs w:val="22"/>
        </w:rPr>
        <w:t xml:space="preserve">iploma level) </w:t>
      </w:r>
      <w:proofErr w:type="gramStart"/>
      <w:r w:rsidRPr="00C6349A">
        <w:rPr>
          <w:szCs w:val="22"/>
        </w:rPr>
        <w:t>cours</w:t>
      </w:r>
      <w:r w:rsidR="00DE7102">
        <w:rPr>
          <w:szCs w:val="22"/>
        </w:rPr>
        <w:t>es</w:t>
      </w:r>
      <w:r w:rsidRPr="00C6349A">
        <w:rPr>
          <w:szCs w:val="22"/>
        </w:rPr>
        <w:t>;</w:t>
      </w:r>
      <w:proofErr w:type="gramEnd"/>
    </w:p>
    <w:p w14:paraId="6AFFB76C" w14:textId="2CAC9FD1" w:rsidR="00650219" w:rsidRPr="00C6349A" w:rsidRDefault="00650219" w:rsidP="00242399">
      <w:pPr>
        <w:pStyle w:val="Dash"/>
        <w:numPr>
          <w:ilvl w:val="1"/>
          <w:numId w:val="1"/>
        </w:numPr>
        <w:spacing w:line="276" w:lineRule="auto"/>
        <w:ind w:left="568"/>
        <w:jc w:val="both"/>
        <w:rPr>
          <w:szCs w:val="22"/>
        </w:rPr>
      </w:pPr>
      <w:r w:rsidRPr="00C6349A">
        <w:rPr>
          <w:szCs w:val="22"/>
        </w:rPr>
        <w:t xml:space="preserve">Specialist knowledge about the specific products </w:t>
      </w:r>
      <w:r w:rsidR="00C7011B" w:rsidRPr="00C6349A">
        <w:rPr>
          <w:szCs w:val="22"/>
        </w:rPr>
        <w:t xml:space="preserve">on </w:t>
      </w:r>
      <w:r w:rsidR="00C7011B">
        <w:rPr>
          <w:szCs w:val="22"/>
        </w:rPr>
        <w:t xml:space="preserve">which </w:t>
      </w:r>
      <w:r w:rsidRPr="00C6349A">
        <w:rPr>
          <w:szCs w:val="22"/>
        </w:rPr>
        <w:t>an adviser provides advice, and their markets; and</w:t>
      </w:r>
    </w:p>
    <w:p w14:paraId="6F2C92AF" w14:textId="77777777" w:rsidR="00650219" w:rsidRDefault="00650219" w:rsidP="00242399">
      <w:pPr>
        <w:pStyle w:val="Dash"/>
        <w:numPr>
          <w:ilvl w:val="1"/>
          <w:numId w:val="1"/>
        </w:numPr>
        <w:spacing w:line="276" w:lineRule="auto"/>
        <w:ind w:left="568"/>
      </w:pPr>
      <w:r w:rsidRPr="00C6349A">
        <w:rPr>
          <w:szCs w:val="22"/>
        </w:rPr>
        <w:t>Generic knowledge requirements, including training on the</w:t>
      </w:r>
      <w:r w:rsidRPr="00C6349A">
        <w:t xml:space="preserve"> economic environment, the operation of financial markets and financial products.</w:t>
      </w:r>
    </w:p>
    <w:p w14:paraId="661FAF49" w14:textId="0C65B06F" w:rsidR="00650219" w:rsidRDefault="00650219" w:rsidP="00242399">
      <w:pPr>
        <w:pStyle w:val="Dash"/>
        <w:numPr>
          <w:ilvl w:val="0"/>
          <w:numId w:val="0"/>
        </w:numPr>
        <w:spacing w:line="276" w:lineRule="auto"/>
      </w:pPr>
      <w:r>
        <w:t xml:space="preserve">Evidence provided to the </w:t>
      </w:r>
      <w:r w:rsidRPr="003B035B">
        <w:rPr>
          <w:i/>
          <w:iCs/>
        </w:rPr>
        <w:t xml:space="preserve">2014 </w:t>
      </w:r>
      <w:r w:rsidR="00C7011B" w:rsidRPr="003B035B">
        <w:rPr>
          <w:i/>
          <w:iCs/>
        </w:rPr>
        <w:t xml:space="preserve">Parliamentary </w:t>
      </w:r>
      <w:r w:rsidRPr="003B035B">
        <w:rPr>
          <w:i/>
          <w:iCs/>
        </w:rPr>
        <w:t>Joint Committee inquiry into proposals to lift the professional, ethical and education standards in the financial services industry</w:t>
      </w:r>
      <w:r>
        <w:t xml:space="preserve"> (</w:t>
      </w:r>
      <w:r w:rsidR="001945A0">
        <w:t>P</w:t>
      </w:r>
      <w:r w:rsidR="00C7011B">
        <w:t>J</w:t>
      </w:r>
      <w:r w:rsidR="001945A0">
        <w:t xml:space="preserve">C </w:t>
      </w:r>
      <w:r>
        <w:t xml:space="preserve">Inquiry) indicated that the previous education requirements </w:t>
      </w:r>
      <w:r w:rsidR="008136CF">
        <w:t>set under</w:t>
      </w:r>
      <w:r>
        <w:t xml:space="preserve"> RG 146 did not deliver appropriate standards</w:t>
      </w:r>
      <w:r w:rsidR="008A303F">
        <w:t xml:space="preserve">. </w:t>
      </w:r>
      <w:r>
        <w:t xml:space="preserve"> ASIC’s evidence to the </w:t>
      </w:r>
      <w:r w:rsidR="00C7011B">
        <w:t xml:space="preserve">PJC </w:t>
      </w:r>
      <w:r>
        <w:t>Inquiry outlin</w:t>
      </w:r>
      <w:r w:rsidR="008A303F">
        <w:t>ed</w:t>
      </w:r>
      <w:r>
        <w:t xml:space="preserve"> that there were numerous and fragmented approaches to interpreting and implementing the requirements in RG 146, and that training courses varied significantly in terms of content and quality.</w:t>
      </w:r>
      <w:r w:rsidRPr="00DE7102">
        <w:rPr>
          <w:rStyle w:val="FootnoteReference"/>
          <w:vertAlign w:val="superscript"/>
        </w:rPr>
        <w:footnoteReference w:id="4"/>
      </w:r>
      <w:r w:rsidR="006821A9">
        <w:t xml:space="preserve"> </w:t>
      </w:r>
      <w:r w:rsidR="00D360ED">
        <w:t>During public hearings, the</w:t>
      </w:r>
      <w:r w:rsidR="006821A9">
        <w:t xml:space="preserve"> Professional Standards Councils informed the Committee that the introduction of RG 146 had prompted a</w:t>
      </w:r>
      <w:r w:rsidR="00D360ED">
        <w:t xml:space="preserve"> proliferation of education providers and a</w:t>
      </w:r>
      <w:r w:rsidR="006821A9">
        <w:t xml:space="preserve"> ‘massive flight to the bottom’.</w:t>
      </w:r>
      <w:r w:rsidR="00B461F1" w:rsidRPr="00DE7102">
        <w:rPr>
          <w:rStyle w:val="FootnoteReference"/>
          <w:vertAlign w:val="superscript"/>
        </w:rPr>
        <w:footnoteReference w:id="5"/>
      </w:r>
      <w:r w:rsidR="00D360ED">
        <w:t xml:space="preserve"> The Professional Services Councils contended that it was not individuals responsible for the increase in ‘cheap and fast’ qualifications, but instead was drive</w:t>
      </w:r>
      <w:r w:rsidR="006031E8">
        <w:t>n</w:t>
      </w:r>
      <w:r w:rsidR="00D360ED">
        <w:t xml:space="preserve"> by the ‘employing structures of the industry’.</w:t>
      </w:r>
      <w:r w:rsidR="00D360ED" w:rsidRPr="00DE7102">
        <w:rPr>
          <w:rStyle w:val="FootnoteReference"/>
          <w:vertAlign w:val="superscript"/>
        </w:rPr>
        <w:footnoteReference w:id="6"/>
      </w:r>
      <w:r w:rsidR="006821A9">
        <w:t xml:space="preserve"> </w:t>
      </w:r>
      <w:r>
        <w:t xml:space="preserve">In response to evidence </w:t>
      </w:r>
      <w:r w:rsidR="008A303F">
        <w:t xml:space="preserve">provided, the </w:t>
      </w:r>
      <w:r w:rsidR="005334F0">
        <w:t>PJC I</w:t>
      </w:r>
      <w:r>
        <w:t>nquiry recommend</w:t>
      </w:r>
      <w:r w:rsidR="008A303F">
        <w:t>ed</w:t>
      </w:r>
      <w:r>
        <w:t xml:space="preserve"> that at a minimum financial advisers hold a degree qualification at </w:t>
      </w:r>
      <w:r w:rsidR="004044D7">
        <w:t>AQF</w:t>
      </w:r>
      <w:r>
        <w:t xml:space="preserve"> level 7</w:t>
      </w:r>
      <w:r w:rsidR="004044D7">
        <w:t xml:space="preserve"> (bachelor degree level)</w:t>
      </w:r>
      <w:r>
        <w:t xml:space="preserve">, complete a structured </w:t>
      </w:r>
      <w:r w:rsidR="004B7051">
        <w:t>p</w:t>
      </w:r>
      <w:r>
        <w:t xml:space="preserve">rofessional </w:t>
      </w:r>
      <w:r w:rsidR="004B7051">
        <w:t>y</w:t>
      </w:r>
      <w:r>
        <w:t>ear, pass a</w:t>
      </w:r>
      <w:r w:rsidR="004B7051">
        <w:t>n</w:t>
      </w:r>
      <w:r>
        <w:t xml:space="preserve"> exam, and comply with ongoing professional development requirements. </w:t>
      </w:r>
    </w:p>
    <w:p w14:paraId="75683938" w14:textId="6A0EDCC1" w:rsidR="001B65D4" w:rsidRDefault="00A078D9" w:rsidP="00242399">
      <w:pPr>
        <w:pStyle w:val="Dash"/>
        <w:numPr>
          <w:ilvl w:val="0"/>
          <w:numId w:val="0"/>
        </w:numPr>
        <w:spacing w:line="276" w:lineRule="auto"/>
      </w:pPr>
      <w:r>
        <w:t>C</w:t>
      </w:r>
      <w:r w:rsidR="00650219">
        <w:t xml:space="preserve">oncerns </w:t>
      </w:r>
      <w:r>
        <w:t>about the sufficiency of RG 146 were</w:t>
      </w:r>
      <w:r w:rsidR="00650219">
        <w:t xml:space="preserve"> also echoed in the Explanatory Memorandum to the </w:t>
      </w:r>
      <w:r w:rsidR="00650219">
        <w:rPr>
          <w:i/>
          <w:iCs/>
        </w:rPr>
        <w:t xml:space="preserve">Corporations Amendment (Professional Standards of Financial Advisers) </w:t>
      </w:r>
      <w:r w:rsidR="003C2497">
        <w:rPr>
          <w:i/>
          <w:iCs/>
        </w:rPr>
        <w:t>Bill</w:t>
      </w:r>
      <w:r w:rsidR="00650219">
        <w:rPr>
          <w:i/>
          <w:iCs/>
        </w:rPr>
        <w:t xml:space="preserve"> 201</w:t>
      </w:r>
      <w:r w:rsidR="003C2497">
        <w:rPr>
          <w:i/>
          <w:iCs/>
        </w:rPr>
        <w:t>6</w:t>
      </w:r>
      <w:r w:rsidR="006B383F">
        <w:rPr>
          <w:i/>
          <w:iCs/>
        </w:rPr>
        <w:t xml:space="preserve"> </w:t>
      </w:r>
      <w:r w:rsidR="006B383F">
        <w:t>(Explanatory Memorandum)</w:t>
      </w:r>
      <w:r w:rsidR="001B65D4">
        <w:t xml:space="preserve">, which introduced the current education standards: </w:t>
      </w:r>
    </w:p>
    <w:p w14:paraId="68947329" w14:textId="3ABE466C" w:rsidR="00650219" w:rsidRDefault="00650219" w:rsidP="00242399">
      <w:pPr>
        <w:pStyle w:val="Dash"/>
        <w:numPr>
          <w:ilvl w:val="0"/>
          <w:numId w:val="0"/>
        </w:numPr>
        <w:spacing w:line="276" w:lineRule="auto"/>
        <w:ind w:left="720"/>
        <w:rPr>
          <w:i/>
          <w:iCs/>
        </w:rPr>
      </w:pPr>
      <w:r w:rsidRPr="001B65D4">
        <w:rPr>
          <w:i/>
          <w:iCs/>
        </w:rPr>
        <w:t>Concerns have been raised that the current standards in RG 146 are not commensurate with the level required to ensure appropriate technical and professional competence. Further, in some instances, the existing minimum education and training standards have not been applied consistently across the industry, and the rigour and quality of some training courses is questionable.</w:t>
      </w:r>
      <w:r w:rsidRPr="00462292">
        <w:rPr>
          <w:rStyle w:val="FootnoteReference"/>
          <w:vertAlign w:val="superscript"/>
        </w:rPr>
        <w:footnoteReference w:id="7"/>
      </w:r>
    </w:p>
    <w:p w14:paraId="16BC7E59" w14:textId="703AB780" w:rsidR="00650219" w:rsidRDefault="001B65D4" w:rsidP="00242399">
      <w:pPr>
        <w:spacing w:line="276" w:lineRule="auto"/>
      </w:pPr>
      <w:r>
        <w:lastRenderedPageBreak/>
        <w:t xml:space="preserve">The current education requirements for financial advisers depend on whether </w:t>
      </w:r>
      <w:r w:rsidR="005052C5">
        <w:t>an</w:t>
      </w:r>
      <w:r>
        <w:t xml:space="preserve"> adviser is subject to the transitional arrangements </w:t>
      </w:r>
      <w:r w:rsidR="00EB30D8">
        <w:t>for e</w:t>
      </w:r>
      <w:r>
        <w:t xml:space="preserve">xisting </w:t>
      </w:r>
      <w:r w:rsidR="00CA32FC">
        <w:t xml:space="preserve">advisers </w:t>
      </w:r>
      <w:r>
        <w:t xml:space="preserve">or </w:t>
      </w:r>
      <w:r w:rsidR="008136CF">
        <w:t xml:space="preserve">is </w:t>
      </w:r>
      <w:r>
        <w:t xml:space="preserve">a new entrant to the profession. </w:t>
      </w:r>
    </w:p>
    <w:p w14:paraId="661A51E0" w14:textId="597D84E2" w:rsidR="001B65D4" w:rsidRDefault="00791666" w:rsidP="00242399">
      <w:pPr>
        <w:pStyle w:val="Heading3"/>
      </w:pPr>
      <w:bookmarkStart w:id="7" w:name="_Toc110584837"/>
      <w:r>
        <w:t xml:space="preserve">Existing </w:t>
      </w:r>
      <w:r w:rsidR="00CA32FC">
        <w:t>advisers</w:t>
      </w:r>
      <w:bookmarkEnd w:id="7"/>
      <w:r w:rsidR="00CA32FC">
        <w:t xml:space="preserve"> </w:t>
      </w:r>
    </w:p>
    <w:p w14:paraId="502DA929" w14:textId="60B3ED58" w:rsidR="006039A4" w:rsidRDefault="006B328F" w:rsidP="00242399">
      <w:pPr>
        <w:spacing w:line="276" w:lineRule="auto"/>
      </w:pPr>
      <w:r>
        <w:t xml:space="preserve">The relevant legislation and regulations provide transitional arrangements for ‘existing providers’ as defined in the law. </w:t>
      </w:r>
      <w:r w:rsidR="006039A4">
        <w:t>To be recognised as an existing provider, a financial adviser must have been authorised to provide personal advice on relevant financial products between 1 January 2016 and 1</w:t>
      </w:r>
      <w:r w:rsidR="005E292F">
        <w:t> </w:t>
      </w:r>
      <w:r w:rsidR="006039A4">
        <w:t>January 2019. In general, this will mean that the adviser was listed on the Financial Advisers Register</w:t>
      </w:r>
      <w:r w:rsidR="00D2608F">
        <w:t> (</w:t>
      </w:r>
      <w:r w:rsidR="0042594E">
        <w:t xml:space="preserve">FAR) </w:t>
      </w:r>
      <w:r w:rsidR="006039A4">
        <w:t xml:space="preserve">at any time between 1 January 2016 and 1 January 2019. Advisers must also not have been banned, disqualified, or subject of a court enforceable undertaking </w:t>
      </w:r>
      <w:r w:rsidR="006769D7">
        <w:t>as of</w:t>
      </w:r>
      <w:r w:rsidR="006039A4">
        <w:t xml:space="preserve"> 1 January 2019 to be considered an existing provider.</w:t>
      </w:r>
      <w:r>
        <w:t xml:space="preserve"> In this paper, the term ‘existing adviser’ is used instead of ‘existing provider’. </w:t>
      </w:r>
    </w:p>
    <w:p w14:paraId="25247F49" w14:textId="56C3D228" w:rsidR="00791666" w:rsidRDefault="00022CE8" w:rsidP="00242399">
      <w:pPr>
        <w:spacing w:line="276" w:lineRule="auto"/>
      </w:pPr>
      <w:r>
        <w:t xml:space="preserve">Existing </w:t>
      </w:r>
      <w:r w:rsidR="00CA32FC">
        <w:t xml:space="preserve">advisers </w:t>
      </w:r>
      <w:r>
        <w:t xml:space="preserve">are currently required to comply with the following education requirements to </w:t>
      </w:r>
      <w:r w:rsidR="00291362">
        <w:t>continue providing personal financial advice</w:t>
      </w:r>
      <w:r>
        <w:t xml:space="preserve">: </w:t>
      </w:r>
    </w:p>
    <w:p w14:paraId="2A2E8D3C" w14:textId="32783ACC" w:rsidR="00022CE8" w:rsidRPr="00022CE8" w:rsidRDefault="00EA64A3" w:rsidP="00242399">
      <w:pPr>
        <w:pStyle w:val="Bullet"/>
        <w:jc w:val="both"/>
        <w:rPr>
          <w:szCs w:val="22"/>
        </w:rPr>
      </w:pPr>
      <w:r>
        <w:rPr>
          <w:szCs w:val="22"/>
        </w:rPr>
        <w:t>h</w:t>
      </w:r>
      <w:r w:rsidR="00022CE8" w:rsidRPr="00022CE8">
        <w:rPr>
          <w:szCs w:val="22"/>
        </w:rPr>
        <w:t>old</w:t>
      </w:r>
      <w:r w:rsidR="00336E33">
        <w:rPr>
          <w:szCs w:val="22"/>
        </w:rPr>
        <w:t>, at most,</w:t>
      </w:r>
      <w:r w:rsidR="00022CE8" w:rsidRPr="00022CE8">
        <w:rPr>
          <w:szCs w:val="22"/>
        </w:rPr>
        <w:t xml:space="preserve"> an approved eight-unit graduate diploma by 1 January 2026</w:t>
      </w:r>
      <w:r w:rsidR="005E292F">
        <w:rPr>
          <w:szCs w:val="22"/>
        </w:rPr>
        <w:t>;</w:t>
      </w:r>
      <w:r w:rsidR="00EC4142" w:rsidRPr="00BA2A10">
        <w:rPr>
          <w:rStyle w:val="FootnoteReference"/>
          <w:szCs w:val="22"/>
          <w:vertAlign w:val="superscript"/>
        </w:rPr>
        <w:footnoteReference w:id="8"/>
      </w:r>
      <w:r w:rsidR="00C5253B">
        <w:rPr>
          <w:szCs w:val="22"/>
        </w:rPr>
        <w:t>;</w:t>
      </w:r>
    </w:p>
    <w:p w14:paraId="56ECF955" w14:textId="1CD5A397" w:rsidR="00022CE8" w:rsidRPr="00022CE8" w:rsidRDefault="00EA64A3" w:rsidP="00242399">
      <w:pPr>
        <w:pStyle w:val="Bullet"/>
        <w:jc w:val="both"/>
        <w:rPr>
          <w:szCs w:val="22"/>
        </w:rPr>
      </w:pPr>
      <w:r>
        <w:rPr>
          <w:szCs w:val="22"/>
        </w:rPr>
        <w:t>p</w:t>
      </w:r>
      <w:r w:rsidR="00022CE8" w:rsidRPr="00022CE8">
        <w:rPr>
          <w:szCs w:val="22"/>
        </w:rPr>
        <w:t xml:space="preserve">ass the </w:t>
      </w:r>
      <w:r w:rsidR="009E4A32" w:rsidRPr="00985FD1">
        <w:t xml:space="preserve">Financial Adviser Exam </w:t>
      </w:r>
      <w:r w:rsidR="009E4A32">
        <w:t xml:space="preserve">(exam) </w:t>
      </w:r>
      <w:r w:rsidR="00022CE8" w:rsidRPr="00022CE8">
        <w:rPr>
          <w:szCs w:val="22"/>
        </w:rPr>
        <w:t>by 30 September 2022, if eligible for the extension, otherwise by 31 December 2021</w:t>
      </w:r>
      <w:r w:rsidR="005E292F">
        <w:rPr>
          <w:szCs w:val="22"/>
        </w:rPr>
        <w:t>;</w:t>
      </w:r>
      <w:r w:rsidR="00336E33">
        <w:rPr>
          <w:szCs w:val="22"/>
        </w:rPr>
        <w:t xml:space="preserve"> and</w:t>
      </w:r>
      <w:r w:rsidR="00022CE8" w:rsidRPr="00022CE8">
        <w:rPr>
          <w:szCs w:val="22"/>
        </w:rPr>
        <w:t xml:space="preserve"> </w:t>
      </w:r>
    </w:p>
    <w:p w14:paraId="0852513A" w14:textId="11A29F79" w:rsidR="00022CE8" w:rsidRDefault="00EA64A3" w:rsidP="00242399">
      <w:pPr>
        <w:pStyle w:val="Bullet"/>
        <w:jc w:val="both"/>
        <w:rPr>
          <w:szCs w:val="22"/>
        </w:rPr>
      </w:pPr>
      <w:r>
        <w:rPr>
          <w:szCs w:val="22"/>
        </w:rPr>
        <w:t>u</w:t>
      </w:r>
      <w:r w:rsidR="00022CE8" w:rsidRPr="00022CE8">
        <w:rPr>
          <w:szCs w:val="22"/>
        </w:rPr>
        <w:t xml:space="preserve">ndertake 40 hours of </w:t>
      </w:r>
      <w:r w:rsidR="00EA761F">
        <w:t>c</w:t>
      </w:r>
      <w:r w:rsidR="009E4A32" w:rsidRPr="00985FD1">
        <w:t xml:space="preserve">ontinuing </w:t>
      </w:r>
      <w:r w:rsidR="00EA761F">
        <w:t>p</w:t>
      </w:r>
      <w:r w:rsidR="009E4A32" w:rsidRPr="00985FD1">
        <w:t xml:space="preserve">rofessional </w:t>
      </w:r>
      <w:r w:rsidR="00EA761F">
        <w:t>d</w:t>
      </w:r>
      <w:r w:rsidR="009E4A32" w:rsidRPr="00985FD1">
        <w:t xml:space="preserve">evelopment </w:t>
      </w:r>
      <w:r w:rsidR="009E4A32">
        <w:t>(</w:t>
      </w:r>
      <w:r w:rsidR="00022CE8" w:rsidRPr="00022CE8">
        <w:rPr>
          <w:szCs w:val="22"/>
        </w:rPr>
        <w:t>CPD</w:t>
      </w:r>
      <w:r w:rsidR="009E4A32">
        <w:rPr>
          <w:szCs w:val="22"/>
        </w:rPr>
        <w:t>)</w:t>
      </w:r>
      <w:r w:rsidR="00022CE8" w:rsidRPr="00022CE8">
        <w:rPr>
          <w:szCs w:val="22"/>
        </w:rPr>
        <w:t xml:space="preserve"> per year.</w:t>
      </w:r>
    </w:p>
    <w:p w14:paraId="091676D5" w14:textId="30C41B8B" w:rsidR="00022CE8" w:rsidRDefault="00022CE8" w:rsidP="00242399">
      <w:pPr>
        <w:spacing w:line="276" w:lineRule="auto"/>
      </w:pPr>
      <w:r w:rsidRPr="00022CE8">
        <w:t xml:space="preserve">As stated in the Explanatory Memorandum, these provisions were designed to allow flexibility for existing </w:t>
      </w:r>
      <w:r w:rsidR="00CA32FC">
        <w:t xml:space="preserve">advisers </w:t>
      </w:r>
      <w:r>
        <w:t xml:space="preserve">and to ensure they </w:t>
      </w:r>
      <w:r w:rsidR="00291362">
        <w:t>’</w:t>
      </w:r>
      <w:r>
        <w:t xml:space="preserve">undertake adequate study to bring their qualifications </w:t>
      </w:r>
      <w:r w:rsidR="005B3507">
        <w:t>in line</w:t>
      </w:r>
      <w:r>
        <w:t xml:space="preserve"> with the new standard</w:t>
      </w:r>
      <w:r w:rsidR="00C5253B">
        <w:t>’</w:t>
      </w:r>
      <w:r w:rsidR="00291362">
        <w:t>.</w:t>
      </w:r>
      <w:r w:rsidR="00291362" w:rsidRPr="00462292">
        <w:rPr>
          <w:rStyle w:val="FootnoteReference"/>
          <w:vertAlign w:val="superscript"/>
        </w:rPr>
        <w:footnoteReference w:id="9"/>
      </w:r>
      <w:r w:rsidR="00291362">
        <w:t xml:space="preserve"> </w:t>
      </w:r>
    </w:p>
    <w:p w14:paraId="3EE09515" w14:textId="3484C2E0" w:rsidR="006A3F60" w:rsidRDefault="006A3F60" w:rsidP="00242399">
      <w:pPr>
        <w:spacing w:line="276" w:lineRule="auto"/>
      </w:pPr>
      <w:r>
        <w:t xml:space="preserve">Existing </w:t>
      </w:r>
      <w:r w:rsidR="00174652">
        <w:t>advisers</w:t>
      </w:r>
      <w:r>
        <w:t xml:space="preserve"> </w:t>
      </w:r>
      <w:r w:rsidR="003447F7">
        <w:t xml:space="preserve">were required to </w:t>
      </w:r>
      <w:r>
        <w:t xml:space="preserve">pass the financial adviser exam by </w:t>
      </w:r>
      <w:r w:rsidR="003447F7">
        <w:t>31 December 2021, but some advisers, eligible for an extension</w:t>
      </w:r>
      <w:r w:rsidR="00D90B90">
        <w:t>,</w:t>
      </w:r>
      <w:r w:rsidR="003447F7">
        <w:t xml:space="preserve"> have until </w:t>
      </w:r>
      <w:r>
        <w:t>30 September 2022</w:t>
      </w:r>
      <w:r w:rsidR="003447F7">
        <w:t>.</w:t>
      </w:r>
      <w:r w:rsidR="000165C7">
        <w:t xml:space="preserve"> F</w:t>
      </w:r>
      <w:r>
        <w:t xml:space="preserve">rom 1 October 2022 all </w:t>
      </w:r>
      <w:r w:rsidR="00A029C9">
        <w:t xml:space="preserve">active </w:t>
      </w:r>
      <w:r>
        <w:t xml:space="preserve">existing </w:t>
      </w:r>
      <w:r w:rsidR="00E23BFC">
        <w:t>advisers</w:t>
      </w:r>
      <w:r>
        <w:t xml:space="preserve"> will have passed the exam</w:t>
      </w:r>
      <w:r w:rsidR="00A029C9">
        <w:t>. Ac</w:t>
      </w:r>
      <w:r>
        <w:t xml:space="preserve">cordingly, this paper does not propose any changes to the exam </w:t>
      </w:r>
      <w:r w:rsidR="00462292">
        <w:t>in relation</w:t>
      </w:r>
      <w:r>
        <w:t xml:space="preserve"> to existing </w:t>
      </w:r>
      <w:r w:rsidR="00E23BFC">
        <w:t>advisers</w:t>
      </w:r>
      <w:r>
        <w:t xml:space="preserve">. </w:t>
      </w:r>
    </w:p>
    <w:p w14:paraId="40A46CF7" w14:textId="7D04D1A8" w:rsidR="006A3F60" w:rsidRDefault="0007724D" w:rsidP="00242399">
      <w:pPr>
        <w:spacing w:line="276" w:lineRule="auto"/>
      </w:pPr>
      <w:r>
        <w:t xml:space="preserve">Financial advisers are required to complete 40 hours of </w:t>
      </w:r>
      <w:r w:rsidR="004F6648">
        <w:t>CPD</w:t>
      </w:r>
      <w:r>
        <w:t xml:space="preserve"> annually. </w:t>
      </w:r>
      <w:r w:rsidR="004F6648">
        <w:t>The Financial</w:t>
      </w:r>
      <w:r w:rsidR="006026B6">
        <w:t xml:space="preserve"> Adviser</w:t>
      </w:r>
      <w:r w:rsidR="004F6648">
        <w:t xml:space="preserve"> Standards and Ethics Authority</w:t>
      </w:r>
      <w:r w:rsidR="006026B6">
        <w:t xml:space="preserve"> (FASEA)</w:t>
      </w:r>
      <w:r w:rsidR="004F6648">
        <w:t xml:space="preserve">, the previous standards-setting body for financial advisers, </w:t>
      </w:r>
      <w:r>
        <w:t>determined that</w:t>
      </w:r>
      <w:r w:rsidR="009919D3">
        <w:t xml:space="preserve"> the 40 hours of CPD must include</w:t>
      </w:r>
      <w:r>
        <w:t xml:space="preserve"> </w:t>
      </w:r>
      <w:r w:rsidR="006337D3">
        <w:t>5</w:t>
      </w:r>
      <w:r w:rsidR="004F6648">
        <w:t xml:space="preserve"> </w:t>
      </w:r>
      <w:r>
        <w:t xml:space="preserve">hours spent addressing technical competence, client care and </w:t>
      </w:r>
      <w:r w:rsidR="009919D3">
        <w:t>practices,</w:t>
      </w:r>
      <w:r>
        <w:t xml:space="preserve"> regulatory compliance and consumer protection respectively, and </w:t>
      </w:r>
      <w:r w:rsidR="006337D3">
        <w:t>9</w:t>
      </w:r>
      <w:r w:rsidR="004F6648">
        <w:t xml:space="preserve"> </w:t>
      </w:r>
      <w:r>
        <w:t xml:space="preserve">hours on professionalism and ethics. </w:t>
      </w:r>
      <w:r w:rsidR="009E4A32">
        <w:t xml:space="preserve">The requirement to undertake 40 hours of </w:t>
      </w:r>
      <w:r w:rsidR="00BD4C75">
        <w:t xml:space="preserve">CPD per annum supports the continued professionalisation of the industry. As noted by the </w:t>
      </w:r>
      <w:r w:rsidR="004F6648">
        <w:t xml:space="preserve">PJC </w:t>
      </w:r>
      <w:r w:rsidR="00BD4C75">
        <w:t xml:space="preserve">Inquiry, CPD requirements </w:t>
      </w:r>
      <w:r w:rsidR="008D6FF0">
        <w:t xml:space="preserve">were </w:t>
      </w:r>
      <w:r w:rsidR="008D6FF0">
        <w:lastRenderedPageBreak/>
        <w:t xml:space="preserve">widely supported as they </w:t>
      </w:r>
      <w:r w:rsidR="00BD4C75">
        <w:t>provide</w:t>
      </w:r>
      <w:r w:rsidR="006337D3">
        <w:t xml:space="preserve">, along with supervision and work experience, </w:t>
      </w:r>
      <w:r w:rsidR="00BD4C75">
        <w:t>another systemic defence of consumer outcomes.</w:t>
      </w:r>
      <w:r w:rsidR="00BD4C75" w:rsidRPr="006337D3">
        <w:rPr>
          <w:rStyle w:val="FootnoteReference"/>
          <w:vertAlign w:val="superscript"/>
        </w:rPr>
        <w:footnoteReference w:id="10"/>
      </w:r>
    </w:p>
    <w:p w14:paraId="43B7063F" w14:textId="1DCCC366" w:rsidR="009E4A32" w:rsidRDefault="00BD4C75" w:rsidP="00242399">
      <w:pPr>
        <w:pStyle w:val="Heading3"/>
      </w:pPr>
      <w:bookmarkStart w:id="8" w:name="_Toc110584838"/>
      <w:r>
        <w:t xml:space="preserve">New </w:t>
      </w:r>
      <w:r w:rsidR="008E6C73">
        <w:t>e</w:t>
      </w:r>
      <w:r>
        <w:t>ntrants</w:t>
      </w:r>
      <w:bookmarkEnd w:id="8"/>
      <w:r>
        <w:t xml:space="preserve"> </w:t>
      </w:r>
    </w:p>
    <w:p w14:paraId="28E4E360" w14:textId="3C1EE0B4" w:rsidR="004663BA" w:rsidRDefault="002C1B01" w:rsidP="00242399">
      <w:pPr>
        <w:spacing w:line="276" w:lineRule="auto"/>
      </w:pPr>
      <w:r>
        <w:t>To</w:t>
      </w:r>
      <w:r w:rsidR="004663BA">
        <w:t xml:space="preserve"> enter the financial advice profession a new entrant must: </w:t>
      </w:r>
    </w:p>
    <w:p w14:paraId="6B6464F7" w14:textId="37AA0050" w:rsidR="00BD4C75" w:rsidRPr="00985FD1" w:rsidRDefault="00C102BE" w:rsidP="00242399">
      <w:pPr>
        <w:pStyle w:val="Bullet"/>
      </w:pPr>
      <w:r>
        <w:t>h</w:t>
      </w:r>
      <w:r w:rsidR="00BD4C75" w:rsidRPr="00985FD1">
        <w:t>old an approved bachelor’s degree (or higher qualification)</w:t>
      </w:r>
      <w:r>
        <w:t>;</w:t>
      </w:r>
    </w:p>
    <w:p w14:paraId="05824368" w14:textId="05E6EEF5" w:rsidR="00BD4C75" w:rsidRPr="00985FD1" w:rsidRDefault="00C102BE" w:rsidP="00242399">
      <w:pPr>
        <w:pStyle w:val="Bullet"/>
      </w:pPr>
      <w:r>
        <w:t>u</w:t>
      </w:r>
      <w:r w:rsidR="00BD4C75" w:rsidRPr="00985FD1">
        <w:t xml:space="preserve">ndertake a </w:t>
      </w:r>
      <w:r w:rsidR="00170296">
        <w:t>p</w:t>
      </w:r>
      <w:r w:rsidR="00BD4C75" w:rsidRPr="00985FD1">
        <w:t xml:space="preserve">rofessional </w:t>
      </w:r>
      <w:r w:rsidR="00170296">
        <w:t>y</w:t>
      </w:r>
      <w:r w:rsidR="00BD4C75" w:rsidRPr="00985FD1">
        <w:t>ear</w:t>
      </w:r>
      <w:r>
        <w:t>;</w:t>
      </w:r>
    </w:p>
    <w:p w14:paraId="7160A101" w14:textId="4780771C" w:rsidR="00BD4C75" w:rsidRPr="00985FD1" w:rsidRDefault="00C102BE" w:rsidP="00242399">
      <w:pPr>
        <w:pStyle w:val="Bullet"/>
      </w:pPr>
      <w:r>
        <w:t>p</w:t>
      </w:r>
      <w:r w:rsidR="00BD4C75" w:rsidRPr="00985FD1">
        <w:t xml:space="preserve">ass the </w:t>
      </w:r>
      <w:r w:rsidR="00C5253B">
        <w:t xml:space="preserve">Financial Adviser </w:t>
      </w:r>
      <w:r w:rsidR="00BD4C75">
        <w:t>e</w:t>
      </w:r>
      <w:r w:rsidR="00BD4C75" w:rsidRPr="00985FD1">
        <w:t>xam</w:t>
      </w:r>
      <w:r>
        <w:t>;</w:t>
      </w:r>
      <w:r w:rsidR="007219EC">
        <w:t xml:space="preserve"> and</w:t>
      </w:r>
    </w:p>
    <w:p w14:paraId="230D945B" w14:textId="17CA1561" w:rsidR="00BD4C75" w:rsidRDefault="00C102BE" w:rsidP="00242399">
      <w:pPr>
        <w:pStyle w:val="Bullet"/>
      </w:pPr>
      <w:r>
        <w:t>u</w:t>
      </w:r>
      <w:r w:rsidR="00BD4C75" w:rsidRPr="00985FD1">
        <w:t>ndertake 40 hours of CPD</w:t>
      </w:r>
      <w:r w:rsidR="007219EC">
        <w:t xml:space="preserve"> per year</w:t>
      </w:r>
      <w:r w:rsidR="00BD4C75">
        <w:t>.</w:t>
      </w:r>
      <w:r w:rsidR="00E73495" w:rsidRPr="00B2026B">
        <w:rPr>
          <w:rStyle w:val="FootnoteReference"/>
          <w:vertAlign w:val="superscript"/>
        </w:rPr>
        <w:footnoteReference w:id="11"/>
      </w:r>
    </w:p>
    <w:p w14:paraId="1F913099" w14:textId="1C0CDFCC" w:rsidR="002C1B01" w:rsidRDefault="007219EC" w:rsidP="00242399">
      <w:pPr>
        <w:spacing w:line="276" w:lineRule="auto"/>
      </w:pPr>
      <w:r>
        <w:t>T</w:t>
      </w:r>
      <w:r w:rsidR="00D44A53">
        <w:t>hese requirements w</w:t>
      </w:r>
      <w:r w:rsidR="002C1B01">
        <w:t xml:space="preserve">ere introduced in response to concerns raised </w:t>
      </w:r>
      <w:r w:rsidR="00C5253B">
        <w:t>that</w:t>
      </w:r>
      <w:r w:rsidR="002C1B01">
        <w:t xml:space="preserve"> the previous education standards </w:t>
      </w:r>
      <w:r w:rsidR="00C5253B">
        <w:t>were</w:t>
      </w:r>
      <w:r w:rsidR="00FA67CB">
        <w:t xml:space="preserve"> </w:t>
      </w:r>
      <w:r w:rsidR="00D2441A">
        <w:t>in</w:t>
      </w:r>
      <w:r>
        <w:t>sufficient</w:t>
      </w:r>
      <w:r w:rsidR="002C1B01" w:rsidRPr="002C1B01">
        <w:t xml:space="preserve"> to ensure appropriate technical and professional competence</w:t>
      </w:r>
      <w:r w:rsidR="002C1B01">
        <w:t xml:space="preserve"> of financial advisers. The education </w:t>
      </w:r>
      <w:r w:rsidR="00B53AF1">
        <w:t xml:space="preserve">requirements for new entrants largely </w:t>
      </w:r>
      <w:r w:rsidR="00D44A53">
        <w:t xml:space="preserve">mirror </w:t>
      </w:r>
      <w:r w:rsidR="00B53AF1">
        <w:t xml:space="preserve">those imposed on existing advisers, although higher formal tertiary education requirements reflect the </w:t>
      </w:r>
      <w:r w:rsidR="00FA67CB">
        <w:t xml:space="preserve">relative </w:t>
      </w:r>
      <w:r w:rsidR="00B53AF1">
        <w:t xml:space="preserve">lack of </w:t>
      </w:r>
      <w:r w:rsidR="00FA67CB">
        <w:t xml:space="preserve">professional </w:t>
      </w:r>
      <w:r w:rsidR="00B53AF1">
        <w:t xml:space="preserve">experience new entrants </w:t>
      </w:r>
      <w:r w:rsidR="00FA67CB">
        <w:t>possess</w:t>
      </w:r>
      <w:r w:rsidR="00B53AF1">
        <w:t xml:space="preserve"> compared to existing advisers. </w:t>
      </w:r>
    </w:p>
    <w:p w14:paraId="1444DC8A" w14:textId="615C7566" w:rsidR="0007724D" w:rsidRDefault="0007724D" w:rsidP="00242399">
      <w:pPr>
        <w:spacing w:line="276" w:lineRule="auto"/>
      </w:pPr>
      <w:r w:rsidRPr="00F95F6F">
        <w:t xml:space="preserve">New entrants share </w:t>
      </w:r>
      <w:r w:rsidR="00C5253B" w:rsidRPr="00F95F6F">
        <w:t xml:space="preserve">with existing advisers </w:t>
      </w:r>
      <w:r w:rsidRPr="00F95F6F">
        <w:t>the requirement to pass the exam</w:t>
      </w:r>
      <w:r w:rsidR="00062845" w:rsidRPr="00F95F6F">
        <w:t xml:space="preserve">. As outlined above, the requirement to pass the exam allows </w:t>
      </w:r>
      <w:r w:rsidR="0013039D">
        <w:t>the community</w:t>
      </w:r>
      <w:r w:rsidR="007C7CDE" w:rsidRPr="00F95F6F">
        <w:t xml:space="preserve"> </w:t>
      </w:r>
      <w:r w:rsidR="00062845" w:rsidRPr="00F95F6F">
        <w:t>to be satisfied that all financial advisers are competent in the body</w:t>
      </w:r>
      <w:r w:rsidR="007C7CDE">
        <w:t xml:space="preserve"> of</w:t>
      </w:r>
      <w:r w:rsidR="00062845" w:rsidRPr="00F95F6F">
        <w:t xml:space="preserve"> knowledge, </w:t>
      </w:r>
      <w:r w:rsidR="000D1A33" w:rsidRPr="00F95F6F">
        <w:t>skills,</w:t>
      </w:r>
      <w:r w:rsidR="00062845" w:rsidRPr="00F95F6F">
        <w:t xml:space="preserve"> and expertise common to their profession through a standardised assessment. Due </w:t>
      </w:r>
      <w:r w:rsidR="008A15D0">
        <w:t xml:space="preserve">to </w:t>
      </w:r>
      <w:r w:rsidR="00062845" w:rsidRPr="00F95F6F">
        <w:t>the exam’s important role in ensuring all financial advisers hold the same baseline competency, removal of the exam is not being considered as an option in this paper.</w:t>
      </w:r>
      <w:r w:rsidR="00062845">
        <w:t xml:space="preserve"> </w:t>
      </w:r>
    </w:p>
    <w:p w14:paraId="202EEFB1" w14:textId="7DA4B059" w:rsidR="00B53AF1" w:rsidRDefault="004F3C78" w:rsidP="00242399">
      <w:pPr>
        <w:spacing w:line="276" w:lineRule="auto"/>
      </w:pPr>
      <w:r>
        <w:t>Distinct from existing advisers, n</w:t>
      </w:r>
      <w:r w:rsidR="00B53AF1">
        <w:t xml:space="preserve">ew entrants are also required to undertake supervised </w:t>
      </w:r>
      <w:r w:rsidR="00572C23">
        <w:t>on</w:t>
      </w:r>
      <w:r w:rsidR="008A15D0">
        <w:noBreakHyphen/>
      </w:r>
      <w:r w:rsidR="00572C23">
        <w:t>the-job</w:t>
      </w:r>
      <w:r w:rsidR="00B53AF1">
        <w:t xml:space="preserve"> training through the </w:t>
      </w:r>
      <w:r w:rsidR="00574923">
        <w:t>p</w:t>
      </w:r>
      <w:r w:rsidR="00B53AF1">
        <w:t xml:space="preserve">rofessional </w:t>
      </w:r>
      <w:r w:rsidR="00574923">
        <w:t>y</w:t>
      </w:r>
      <w:r w:rsidR="00B53AF1">
        <w:t xml:space="preserve">ear. </w:t>
      </w:r>
      <w:r w:rsidR="003401AD">
        <w:t xml:space="preserve">The </w:t>
      </w:r>
      <w:r w:rsidR="00574923">
        <w:t>p</w:t>
      </w:r>
      <w:r w:rsidR="003401AD">
        <w:t xml:space="preserve">rofessional </w:t>
      </w:r>
      <w:r w:rsidR="00574923">
        <w:t>y</w:t>
      </w:r>
      <w:r w:rsidR="003401AD">
        <w:t xml:space="preserve">ear is </w:t>
      </w:r>
      <w:r w:rsidR="00EB30D8">
        <w:t xml:space="preserve">equivalent to </w:t>
      </w:r>
      <w:r w:rsidR="003401AD">
        <w:t>one-year full time</w:t>
      </w:r>
      <w:r w:rsidR="00574923">
        <w:t> (</w:t>
      </w:r>
      <w:r w:rsidR="003401AD">
        <w:t>1,600</w:t>
      </w:r>
      <w:r w:rsidR="00574923">
        <w:t> </w:t>
      </w:r>
      <w:r w:rsidR="003401AD">
        <w:t>hours</w:t>
      </w:r>
      <w:r w:rsidR="00574923">
        <w:t>)</w:t>
      </w:r>
      <w:r w:rsidR="003401AD">
        <w:t xml:space="preserve">. At least 100 of these hours must be structured training. Formalised supervisor requirements are also imposed. The </w:t>
      </w:r>
      <w:r w:rsidR="00033449">
        <w:t>p</w:t>
      </w:r>
      <w:r w:rsidR="003401AD">
        <w:t xml:space="preserve">rofessional </w:t>
      </w:r>
      <w:r w:rsidR="00033449">
        <w:t>y</w:t>
      </w:r>
      <w:r w:rsidR="003401AD">
        <w:t xml:space="preserve">ear is intended to </w:t>
      </w:r>
      <w:r w:rsidR="00572C23">
        <w:t>provide</w:t>
      </w:r>
      <w:r w:rsidR="003401AD">
        <w:t xml:space="preserve"> a structured mentoring program that develops</w:t>
      </w:r>
      <w:r w:rsidR="00D44A53">
        <w:t xml:space="preserve"> and operationalises</w:t>
      </w:r>
      <w:r w:rsidR="003401AD">
        <w:t xml:space="preserve"> the </w:t>
      </w:r>
      <w:r w:rsidR="00572C23">
        <w:t xml:space="preserve">competencies </w:t>
      </w:r>
      <w:r w:rsidR="0013039D">
        <w:t xml:space="preserve">gained </w:t>
      </w:r>
      <w:r w:rsidR="00572C23">
        <w:t xml:space="preserve">through </w:t>
      </w:r>
      <w:r w:rsidR="00D44A53">
        <w:t xml:space="preserve">completion of </w:t>
      </w:r>
      <w:r w:rsidR="00572C23">
        <w:t xml:space="preserve">the tertiary education requirement and tested in the exam. </w:t>
      </w:r>
    </w:p>
    <w:p w14:paraId="724010DF" w14:textId="33B27B8F" w:rsidR="006A1D8D" w:rsidRDefault="006A1D8D">
      <w:pPr>
        <w:spacing w:before="0" w:after="160" w:line="259" w:lineRule="auto"/>
      </w:pPr>
      <w:r>
        <w:br w:type="page"/>
      </w:r>
    </w:p>
    <w:p w14:paraId="207B05E3" w14:textId="2F57D009" w:rsidR="000E0B74" w:rsidRDefault="004C38BD" w:rsidP="004363F3">
      <w:pPr>
        <w:pStyle w:val="Heading1"/>
      </w:pPr>
      <w:bookmarkStart w:id="9" w:name="_Toc110584839"/>
      <w:bookmarkStart w:id="10" w:name="_Toc306887373"/>
      <w:bookmarkStart w:id="11" w:name="_Toc432064637"/>
      <w:r>
        <w:lastRenderedPageBreak/>
        <w:t>Options to amend current standards</w:t>
      </w:r>
      <w:bookmarkEnd w:id="9"/>
      <w:r>
        <w:t xml:space="preserve"> </w:t>
      </w:r>
      <w:bookmarkEnd w:id="10"/>
      <w:bookmarkEnd w:id="11"/>
    </w:p>
    <w:p w14:paraId="629816F3" w14:textId="3D686BA8" w:rsidR="004363F3" w:rsidRDefault="004363F3" w:rsidP="00242399">
      <w:pPr>
        <w:pStyle w:val="Heading2"/>
        <w:spacing w:line="276" w:lineRule="auto"/>
      </w:pPr>
      <w:bookmarkStart w:id="12" w:name="_Toc110584840"/>
      <w:r>
        <w:t xml:space="preserve">Existing </w:t>
      </w:r>
      <w:r w:rsidR="0088662C">
        <w:t>a</w:t>
      </w:r>
      <w:r w:rsidR="0013039D">
        <w:t>dvisers</w:t>
      </w:r>
      <w:bookmarkEnd w:id="12"/>
      <w:r>
        <w:t xml:space="preserve"> </w:t>
      </w:r>
    </w:p>
    <w:p w14:paraId="0D6E6717" w14:textId="2C2DF04D" w:rsidR="004363F3" w:rsidRDefault="0089132F" w:rsidP="00242399">
      <w:pPr>
        <w:pStyle w:val="Heading3"/>
      </w:pPr>
      <w:bookmarkStart w:id="13" w:name="_Toc110584841"/>
      <w:r>
        <w:t>Experienced</w:t>
      </w:r>
      <w:r w:rsidR="004E5482">
        <w:t xml:space="preserve"> adviser</w:t>
      </w:r>
      <w:r>
        <w:t xml:space="preserve"> pathway</w:t>
      </w:r>
      <w:bookmarkEnd w:id="13"/>
    </w:p>
    <w:p w14:paraId="554260F8" w14:textId="630AC237" w:rsidR="004A7454" w:rsidRDefault="004A7454" w:rsidP="00242399">
      <w:pPr>
        <w:spacing w:line="276" w:lineRule="auto"/>
      </w:pPr>
      <w:r>
        <w:t xml:space="preserve">There is no pathway for existing advisers that enables them </w:t>
      </w:r>
      <w:r w:rsidR="00F12470">
        <w:t xml:space="preserve">to meet prescribed standards that </w:t>
      </w:r>
      <w:r w:rsidR="006A1D44">
        <w:t>relies solely</w:t>
      </w:r>
      <w:r>
        <w:t xml:space="preserve"> on their on-the-job experience. While it is vital that all members of the financial advice profession can display competency in the body of knowledge, skills, and expertise common to the financial advice profession, there is room to acknowledge that some existing </w:t>
      </w:r>
      <w:r w:rsidR="00213073">
        <w:t>advisers</w:t>
      </w:r>
      <w:r>
        <w:t xml:space="preserve"> </w:t>
      </w:r>
      <w:r w:rsidR="0013039D">
        <w:t xml:space="preserve">have </w:t>
      </w:r>
      <w:r>
        <w:t xml:space="preserve">developed that specialised knowledge through significant </w:t>
      </w:r>
      <w:r w:rsidR="0013039D">
        <w:t xml:space="preserve">working </w:t>
      </w:r>
      <w:r>
        <w:t xml:space="preserve">experience. </w:t>
      </w:r>
    </w:p>
    <w:p w14:paraId="2371FD32" w14:textId="637A716A" w:rsidR="00905CFB" w:rsidRDefault="00905CFB" w:rsidP="00242399">
      <w:pPr>
        <w:spacing w:line="276" w:lineRule="auto"/>
      </w:pPr>
      <w:bookmarkStart w:id="14" w:name="_Hlk105061719"/>
      <w:r w:rsidRPr="00FF3CBE">
        <w:t xml:space="preserve">The Government made an election commitment </w:t>
      </w:r>
      <w:r w:rsidR="00030CEC">
        <w:t xml:space="preserve">to remove the requirement to undertake any additional formal study to meet the </w:t>
      </w:r>
      <w:r w:rsidR="00030CEC" w:rsidRPr="00030CEC">
        <w:t>education</w:t>
      </w:r>
      <w:r w:rsidR="00030CEC">
        <w:t xml:space="preserve"> standards for ‘experienced advisers’ </w:t>
      </w:r>
      <w:r w:rsidR="0013039D" w:rsidRPr="00FF3CBE">
        <w:t xml:space="preserve">– </w:t>
      </w:r>
      <w:r w:rsidR="00AB4A0F" w:rsidRPr="00FF3CBE">
        <w:t xml:space="preserve">existing advisers with at least </w:t>
      </w:r>
      <w:r w:rsidR="00D60F0D" w:rsidRPr="00FF3CBE">
        <w:t>10 </w:t>
      </w:r>
      <w:r w:rsidR="00AB4A0F" w:rsidRPr="00FF3CBE">
        <w:t>years of full</w:t>
      </w:r>
      <w:r w:rsidR="00AB4A0F" w:rsidRPr="00FF3CBE">
        <w:noBreakHyphen/>
        <w:t xml:space="preserve">time equivalent experience </w:t>
      </w:r>
      <w:r w:rsidR="009E1242" w:rsidRPr="00FF3CBE">
        <w:t xml:space="preserve">in Australia </w:t>
      </w:r>
      <w:r w:rsidR="00AB4A0F" w:rsidRPr="00FF3CBE">
        <w:t>and a clean disciplinary</w:t>
      </w:r>
      <w:r w:rsidR="00030CEC">
        <w:t xml:space="preserve"> record</w:t>
      </w:r>
      <w:r w:rsidR="00AB4A0F" w:rsidRPr="00FF3CBE">
        <w:t>.</w:t>
      </w:r>
      <w:r w:rsidR="00AB4A0F">
        <w:t xml:space="preserve"> </w:t>
      </w:r>
      <w:r w:rsidR="00030CEC">
        <w:t>E</w:t>
      </w:r>
      <w:r w:rsidR="00F12470">
        <w:t xml:space="preserve">xperienced advisers would </w:t>
      </w:r>
      <w:r w:rsidR="00581A18">
        <w:t xml:space="preserve">still </w:t>
      </w:r>
      <w:r w:rsidR="00F12470">
        <w:t xml:space="preserve">need to pass the exam. </w:t>
      </w:r>
      <w:r w:rsidR="00AB4A0F">
        <w:t xml:space="preserve">To </w:t>
      </w:r>
      <w:r w:rsidR="00C54638">
        <w:t>implement</w:t>
      </w:r>
      <w:r w:rsidR="00AB4A0F">
        <w:t xml:space="preserve"> this</w:t>
      </w:r>
      <w:r w:rsidR="00C54638">
        <w:t xml:space="preserve"> commitment</w:t>
      </w:r>
      <w:r w:rsidR="0013039D">
        <w:t>,</w:t>
      </w:r>
      <w:r w:rsidR="00AB4A0F">
        <w:t xml:space="preserve"> a</w:t>
      </w:r>
      <w:r w:rsidR="00326097">
        <w:t xml:space="preserve"> new pathway could be introduced</w:t>
      </w:r>
      <w:r w:rsidR="007F4595">
        <w:t xml:space="preserve">, in addition to those for existing advisers and new </w:t>
      </w:r>
      <w:r w:rsidR="000D1A33">
        <w:t>entrants.</w:t>
      </w:r>
      <w:r w:rsidR="00E758F3">
        <w:t xml:space="preserve"> </w:t>
      </w:r>
      <w:r w:rsidRPr="00FF3CBE">
        <w:t xml:space="preserve">This consultation paper seeks feedback on the proposed eligibility criteria for this </w:t>
      </w:r>
      <w:r w:rsidR="00C54638" w:rsidRPr="00FF3CBE">
        <w:t xml:space="preserve">new </w:t>
      </w:r>
      <w:r w:rsidR="00EB4613" w:rsidRPr="00FF3CBE">
        <w:t>pathwa</w:t>
      </w:r>
      <w:r w:rsidR="00EB4613" w:rsidRPr="006618E8">
        <w:t>y.</w:t>
      </w:r>
      <w:r w:rsidR="00EB4613">
        <w:t xml:space="preserve"> </w:t>
      </w:r>
    </w:p>
    <w:p w14:paraId="55C32E23" w14:textId="49EE56CA" w:rsidR="000347BB" w:rsidRDefault="00E758F3" w:rsidP="00242399">
      <w:pPr>
        <w:spacing w:line="276" w:lineRule="auto"/>
      </w:pPr>
      <w:r>
        <w:t xml:space="preserve">To access this new pathway an existing adviser would have to </w:t>
      </w:r>
      <w:r w:rsidR="001873C8">
        <w:t xml:space="preserve">meet defined eligibility criteria outlined </w:t>
      </w:r>
      <w:r w:rsidR="007F4595">
        <w:t xml:space="preserve">in the table </w:t>
      </w:r>
      <w:r w:rsidR="001873C8">
        <w:t xml:space="preserve">below. Those who did not meet these criteria would </w:t>
      </w:r>
      <w:r w:rsidR="007F4595">
        <w:t>continue</w:t>
      </w:r>
      <w:r w:rsidR="001873C8">
        <w:t xml:space="preserve"> to be required to meet the current education requirements for existing advisers</w:t>
      </w:r>
      <w:r w:rsidR="007F4595">
        <w:t xml:space="preserve">: </w:t>
      </w:r>
      <w:r w:rsidR="001873C8">
        <w:t>at</w:t>
      </w:r>
      <w:r w:rsidR="001873C8" w:rsidRPr="00BD4234">
        <w:t xml:space="preserve"> most</w:t>
      </w:r>
      <w:r w:rsidR="001873C8">
        <w:t>,</w:t>
      </w:r>
      <w:r w:rsidR="001873C8" w:rsidRPr="00BD4234">
        <w:t xml:space="preserve"> an approved eight-unit graduate diploma by 1 January 2026.</w:t>
      </w:r>
      <w:r w:rsidR="001414E7" w:rsidRPr="000D26E9">
        <w:rPr>
          <w:rStyle w:val="FootnoteReference"/>
          <w:vertAlign w:val="superscript"/>
        </w:rPr>
        <w:footnoteReference w:id="12"/>
      </w:r>
      <w:r w:rsidR="000347BB" w:rsidRPr="000D26E9">
        <w:rPr>
          <w:vertAlign w:val="superscript"/>
        </w:rPr>
        <w:t xml:space="preserve"> </w:t>
      </w:r>
    </w:p>
    <w:p w14:paraId="7E6A8D97" w14:textId="717D5695" w:rsidR="00982BE3" w:rsidRDefault="00982BE3" w:rsidP="002A762D">
      <w:pPr>
        <w:pStyle w:val="Heading3"/>
      </w:pPr>
      <w:bookmarkStart w:id="15" w:name="_Toc110584842"/>
      <w:r>
        <w:t xml:space="preserve">Education </w:t>
      </w:r>
      <w:r w:rsidR="00105B72">
        <w:t>p</w:t>
      </w:r>
      <w:r>
        <w:t>athways</w:t>
      </w:r>
      <w:bookmarkEnd w:id="15"/>
    </w:p>
    <w:tbl>
      <w:tblPr>
        <w:tblW w:w="5000" w:type="pct"/>
        <w:tblLook w:val="01E0" w:firstRow="1" w:lastRow="1" w:firstColumn="1" w:lastColumn="1" w:noHBand="0" w:noVBand="0"/>
      </w:tblPr>
      <w:tblGrid>
        <w:gridCol w:w="2267"/>
        <w:gridCol w:w="2267"/>
        <w:gridCol w:w="2268"/>
        <w:gridCol w:w="2268"/>
      </w:tblGrid>
      <w:tr w:rsidR="00140D69" w14:paraId="2D075005" w14:textId="77777777" w:rsidTr="002372A6">
        <w:trPr>
          <w:trHeight w:val="270"/>
          <w:tblHeader/>
        </w:trPr>
        <w:tc>
          <w:tcPr>
            <w:tcW w:w="1250" w:type="pct"/>
            <w:shd w:val="clear" w:color="auto" w:fill="E5E5E5"/>
          </w:tcPr>
          <w:p w14:paraId="5CCB6041" w14:textId="228CF99C" w:rsidR="00140D69" w:rsidRPr="006E24F9" w:rsidRDefault="00140D69" w:rsidP="00364931">
            <w:pPr>
              <w:pStyle w:val="TableTextLeft"/>
              <w:rPr>
                <w:rFonts w:cs="Calibri Light"/>
                <w:sz w:val="22"/>
                <w:szCs w:val="22"/>
              </w:rPr>
            </w:pPr>
          </w:p>
        </w:tc>
        <w:tc>
          <w:tcPr>
            <w:tcW w:w="1250" w:type="pct"/>
            <w:shd w:val="clear" w:color="auto" w:fill="E5E5E5"/>
          </w:tcPr>
          <w:p w14:paraId="01389654" w14:textId="2C74A4BE" w:rsidR="00140D69" w:rsidRPr="006E24F9" w:rsidRDefault="00140D69" w:rsidP="00364931">
            <w:pPr>
              <w:pStyle w:val="TableTextLeft"/>
              <w:rPr>
                <w:rFonts w:cs="Calibri Light"/>
                <w:b/>
                <w:bCs/>
                <w:sz w:val="22"/>
                <w:szCs w:val="22"/>
              </w:rPr>
            </w:pPr>
            <w:r w:rsidRPr="006E24F9">
              <w:rPr>
                <w:rFonts w:cs="Calibri Light"/>
                <w:b/>
                <w:bCs/>
                <w:sz w:val="22"/>
                <w:szCs w:val="22"/>
              </w:rPr>
              <w:t xml:space="preserve">Existing </w:t>
            </w:r>
            <w:r w:rsidR="005E676E">
              <w:rPr>
                <w:rFonts w:cs="Calibri Light"/>
                <w:b/>
                <w:bCs/>
                <w:sz w:val="22"/>
                <w:szCs w:val="22"/>
              </w:rPr>
              <w:t>A</w:t>
            </w:r>
            <w:r w:rsidRPr="006E24F9">
              <w:rPr>
                <w:rFonts w:cs="Calibri Light"/>
                <w:b/>
                <w:bCs/>
                <w:sz w:val="22"/>
                <w:szCs w:val="22"/>
              </w:rPr>
              <w:t xml:space="preserve">dvisers </w:t>
            </w:r>
          </w:p>
        </w:tc>
        <w:tc>
          <w:tcPr>
            <w:tcW w:w="1250" w:type="pct"/>
            <w:shd w:val="clear" w:color="auto" w:fill="E5E5E5"/>
          </w:tcPr>
          <w:p w14:paraId="72EBB987" w14:textId="3DE8D1B1" w:rsidR="00140D69" w:rsidRPr="006E24F9" w:rsidRDefault="00140D69" w:rsidP="00364931">
            <w:pPr>
              <w:pStyle w:val="TableTextLeft"/>
              <w:rPr>
                <w:rFonts w:cs="Calibri Light"/>
                <w:b/>
                <w:bCs/>
                <w:sz w:val="22"/>
                <w:szCs w:val="22"/>
              </w:rPr>
            </w:pPr>
            <w:r w:rsidRPr="006E24F9">
              <w:rPr>
                <w:rFonts w:cs="Calibri Light"/>
                <w:b/>
                <w:bCs/>
                <w:sz w:val="22"/>
                <w:szCs w:val="22"/>
              </w:rPr>
              <w:t xml:space="preserve">Experienced </w:t>
            </w:r>
            <w:r w:rsidR="005E676E">
              <w:rPr>
                <w:rFonts w:cs="Calibri Light"/>
                <w:b/>
                <w:bCs/>
                <w:sz w:val="22"/>
                <w:szCs w:val="22"/>
              </w:rPr>
              <w:t>A</w:t>
            </w:r>
            <w:r w:rsidRPr="006E24F9">
              <w:rPr>
                <w:rFonts w:cs="Calibri Light"/>
                <w:b/>
                <w:bCs/>
                <w:sz w:val="22"/>
                <w:szCs w:val="22"/>
              </w:rPr>
              <w:t xml:space="preserve">dvisers </w:t>
            </w:r>
          </w:p>
        </w:tc>
        <w:tc>
          <w:tcPr>
            <w:tcW w:w="1250" w:type="pct"/>
            <w:shd w:val="clear" w:color="auto" w:fill="E5E5E5"/>
          </w:tcPr>
          <w:p w14:paraId="583965E8" w14:textId="523227E0" w:rsidR="00140D69" w:rsidRPr="006E24F9" w:rsidRDefault="00140D69" w:rsidP="00364931">
            <w:pPr>
              <w:pStyle w:val="TableTextLeft"/>
              <w:rPr>
                <w:rFonts w:cs="Calibri Light"/>
                <w:b/>
                <w:bCs/>
                <w:sz w:val="22"/>
                <w:szCs w:val="22"/>
              </w:rPr>
            </w:pPr>
            <w:r w:rsidRPr="006E24F9">
              <w:rPr>
                <w:rFonts w:cs="Calibri Light"/>
                <w:b/>
                <w:bCs/>
                <w:sz w:val="22"/>
                <w:szCs w:val="22"/>
              </w:rPr>
              <w:t xml:space="preserve">New </w:t>
            </w:r>
            <w:r w:rsidR="005E676E">
              <w:rPr>
                <w:rFonts w:cs="Calibri Light"/>
                <w:b/>
                <w:bCs/>
                <w:sz w:val="22"/>
                <w:szCs w:val="22"/>
              </w:rPr>
              <w:t>E</w:t>
            </w:r>
            <w:r w:rsidRPr="006E24F9">
              <w:rPr>
                <w:rFonts w:cs="Calibri Light"/>
                <w:b/>
                <w:bCs/>
                <w:sz w:val="22"/>
                <w:szCs w:val="22"/>
              </w:rPr>
              <w:t xml:space="preserve">ntrants </w:t>
            </w:r>
          </w:p>
        </w:tc>
      </w:tr>
      <w:tr w:rsidR="00C5253B" w14:paraId="76181B94" w14:textId="77777777" w:rsidTr="002372A6">
        <w:trPr>
          <w:trHeight w:val="270"/>
        </w:trPr>
        <w:tc>
          <w:tcPr>
            <w:tcW w:w="1250" w:type="pct"/>
          </w:tcPr>
          <w:p w14:paraId="0C95A863" w14:textId="26BC18AB" w:rsidR="00C5253B" w:rsidRPr="006E24F9" w:rsidRDefault="00C5253B" w:rsidP="00C5253B">
            <w:pPr>
              <w:pStyle w:val="TableTextLeft"/>
              <w:rPr>
                <w:rFonts w:cs="Calibri Light"/>
                <w:b/>
                <w:bCs/>
                <w:sz w:val="22"/>
                <w:szCs w:val="22"/>
              </w:rPr>
            </w:pPr>
            <w:r w:rsidRPr="006E24F9">
              <w:rPr>
                <w:rFonts w:cs="Calibri Light"/>
                <w:b/>
                <w:bCs/>
                <w:sz w:val="22"/>
                <w:szCs w:val="22"/>
              </w:rPr>
              <w:t>Who they are</w:t>
            </w:r>
          </w:p>
        </w:tc>
        <w:tc>
          <w:tcPr>
            <w:tcW w:w="1250" w:type="pct"/>
          </w:tcPr>
          <w:p w14:paraId="468988E3" w14:textId="77777777" w:rsidR="00C5253B" w:rsidRPr="006E24F9" w:rsidRDefault="00C5253B" w:rsidP="00C5253B">
            <w:pPr>
              <w:rPr>
                <w:rFonts w:cs="Calibri Light"/>
                <w:szCs w:val="22"/>
              </w:rPr>
            </w:pPr>
            <w:r w:rsidRPr="006E24F9">
              <w:rPr>
                <w:rFonts w:cs="Calibri Light"/>
                <w:szCs w:val="22"/>
              </w:rPr>
              <w:t xml:space="preserve">Registered on the </w:t>
            </w:r>
            <w:r>
              <w:rPr>
                <w:rFonts w:cs="Calibri Light"/>
                <w:szCs w:val="22"/>
              </w:rPr>
              <w:t>FAR</w:t>
            </w:r>
            <w:r w:rsidRPr="006E24F9">
              <w:rPr>
                <w:rFonts w:cs="Calibri Light"/>
                <w:szCs w:val="22"/>
              </w:rPr>
              <w:t xml:space="preserve"> between 1</w:t>
            </w:r>
            <w:r>
              <w:rPr>
                <w:rFonts w:cs="Calibri Light"/>
                <w:szCs w:val="22"/>
              </w:rPr>
              <w:t> </w:t>
            </w:r>
            <w:r w:rsidRPr="006E24F9">
              <w:rPr>
                <w:rFonts w:cs="Calibri Light"/>
                <w:szCs w:val="22"/>
              </w:rPr>
              <w:t>January</w:t>
            </w:r>
            <w:r>
              <w:rPr>
                <w:rFonts w:cs="Calibri Light"/>
                <w:szCs w:val="22"/>
              </w:rPr>
              <w:t> </w:t>
            </w:r>
            <w:r w:rsidRPr="006E24F9">
              <w:rPr>
                <w:rFonts w:cs="Calibri Light"/>
                <w:szCs w:val="22"/>
              </w:rPr>
              <w:t>2016 and 1</w:t>
            </w:r>
            <w:r>
              <w:rPr>
                <w:rFonts w:cs="Calibri Light"/>
                <w:szCs w:val="22"/>
              </w:rPr>
              <w:t> </w:t>
            </w:r>
            <w:r w:rsidRPr="006E24F9">
              <w:rPr>
                <w:rFonts w:cs="Calibri Light"/>
                <w:szCs w:val="22"/>
              </w:rPr>
              <w:t>January 2019.</w:t>
            </w:r>
            <w:r w:rsidRPr="00B2026B">
              <w:rPr>
                <w:rStyle w:val="FootnoteReference"/>
                <w:rFonts w:cs="Calibri Light"/>
                <w:szCs w:val="22"/>
                <w:vertAlign w:val="superscript"/>
              </w:rPr>
              <w:footnoteReference w:id="13"/>
            </w:r>
            <w:r w:rsidRPr="006E24F9">
              <w:rPr>
                <w:rFonts w:cs="Calibri Light"/>
                <w:szCs w:val="22"/>
              </w:rPr>
              <w:t xml:space="preserve"> </w:t>
            </w:r>
          </w:p>
          <w:p w14:paraId="646985E6" w14:textId="25553945" w:rsidR="00C5253B" w:rsidRPr="006E24F9" w:rsidRDefault="00C5253B" w:rsidP="00C5253B">
            <w:pPr>
              <w:rPr>
                <w:rFonts w:cs="Calibri Light"/>
                <w:szCs w:val="22"/>
              </w:rPr>
            </w:pPr>
            <w:r w:rsidRPr="006E24F9">
              <w:rPr>
                <w:rFonts w:cs="Calibri Light"/>
                <w:szCs w:val="22"/>
              </w:rPr>
              <w:t xml:space="preserve">Do not meet the experienced advisers’ criteria. </w:t>
            </w:r>
          </w:p>
        </w:tc>
        <w:tc>
          <w:tcPr>
            <w:tcW w:w="1250" w:type="pct"/>
          </w:tcPr>
          <w:p w14:paraId="21065D25" w14:textId="77777777" w:rsidR="00C5253B" w:rsidRPr="006E24F9" w:rsidRDefault="00C5253B" w:rsidP="00C5253B">
            <w:pPr>
              <w:rPr>
                <w:rFonts w:cs="Calibri Light"/>
                <w:szCs w:val="22"/>
              </w:rPr>
            </w:pPr>
            <w:r w:rsidRPr="006E24F9">
              <w:rPr>
                <w:rFonts w:cs="Calibri Light"/>
                <w:szCs w:val="22"/>
              </w:rPr>
              <w:t xml:space="preserve">Advisers with 10 years full-time equivalent experience </w:t>
            </w:r>
            <w:r>
              <w:rPr>
                <w:rFonts w:cs="Calibri Light"/>
                <w:szCs w:val="22"/>
              </w:rPr>
              <w:t xml:space="preserve">in Australia </w:t>
            </w:r>
            <w:r w:rsidRPr="006E24F9">
              <w:rPr>
                <w:rFonts w:cs="Calibri Light"/>
                <w:szCs w:val="22"/>
              </w:rPr>
              <w:t>between 1</w:t>
            </w:r>
            <w:r>
              <w:rPr>
                <w:rFonts w:cs="Calibri Light"/>
                <w:szCs w:val="22"/>
              </w:rPr>
              <w:t> </w:t>
            </w:r>
            <w:r w:rsidRPr="006E24F9">
              <w:rPr>
                <w:rFonts w:cs="Calibri Light"/>
                <w:szCs w:val="22"/>
              </w:rPr>
              <w:t>January 2004 and 1</w:t>
            </w:r>
            <w:r>
              <w:rPr>
                <w:rFonts w:cs="Calibri Light"/>
                <w:szCs w:val="22"/>
              </w:rPr>
              <w:t> </w:t>
            </w:r>
            <w:r w:rsidRPr="006E24F9">
              <w:rPr>
                <w:rFonts w:cs="Calibri Light"/>
                <w:szCs w:val="22"/>
              </w:rPr>
              <w:t>January 2019.</w:t>
            </w:r>
          </w:p>
          <w:p w14:paraId="0C3007D9" w14:textId="77777777" w:rsidR="00C5253B" w:rsidRPr="006E24F9" w:rsidRDefault="00C5253B" w:rsidP="00C5253B">
            <w:pPr>
              <w:rPr>
                <w:rFonts w:cs="Calibri Light"/>
                <w:szCs w:val="22"/>
              </w:rPr>
            </w:pPr>
            <w:r w:rsidRPr="006E24F9">
              <w:rPr>
                <w:rFonts w:cs="Calibri Light"/>
                <w:szCs w:val="22"/>
              </w:rPr>
              <w:t>Holds a clean disciplinary record.</w:t>
            </w:r>
          </w:p>
          <w:p w14:paraId="3F42C1A4" w14:textId="77777777" w:rsidR="00C5253B" w:rsidRPr="006E24F9" w:rsidRDefault="00C5253B" w:rsidP="00C5253B">
            <w:pPr>
              <w:pStyle w:val="TableTextLeft"/>
              <w:rPr>
                <w:rFonts w:cs="Calibri Light"/>
                <w:sz w:val="22"/>
                <w:szCs w:val="22"/>
              </w:rPr>
            </w:pPr>
          </w:p>
        </w:tc>
        <w:tc>
          <w:tcPr>
            <w:tcW w:w="1250" w:type="pct"/>
          </w:tcPr>
          <w:p w14:paraId="60DBF294" w14:textId="3015CBD5" w:rsidR="00C5253B" w:rsidRPr="006E24F9" w:rsidRDefault="00C5253B" w:rsidP="00C5253B">
            <w:pPr>
              <w:rPr>
                <w:rFonts w:cs="Calibri Light"/>
                <w:szCs w:val="22"/>
              </w:rPr>
            </w:pPr>
            <w:r w:rsidRPr="006E24F9">
              <w:rPr>
                <w:rFonts w:cs="Calibri Light"/>
                <w:szCs w:val="22"/>
              </w:rPr>
              <w:t xml:space="preserve">Individuals who are </w:t>
            </w:r>
            <w:r>
              <w:rPr>
                <w:rFonts w:cs="Calibri Light"/>
                <w:szCs w:val="22"/>
              </w:rPr>
              <w:t>not</w:t>
            </w:r>
            <w:r w:rsidRPr="006E24F9">
              <w:rPr>
                <w:rFonts w:cs="Calibri Light"/>
                <w:szCs w:val="22"/>
              </w:rPr>
              <w:t xml:space="preserve"> Existing Advisers or Experienced Advisers. </w:t>
            </w:r>
            <w:r w:rsidRPr="006E24F9">
              <w:rPr>
                <w:rFonts w:cs="Calibri Light"/>
                <w:szCs w:val="22"/>
              </w:rPr>
              <w:tab/>
            </w:r>
            <w:r w:rsidRPr="006E24F9">
              <w:rPr>
                <w:rFonts w:cs="Calibri Light"/>
                <w:szCs w:val="22"/>
              </w:rPr>
              <w:tab/>
            </w:r>
          </w:p>
          <w:p w14:paraId="7F0B786E" w14:textId="77777777" w:rsidR="00C5253B" w:rsidRPr="006E24F9" w:rsidRDefault="00C5253B" w:rsidP="00C5253B">
            <w:pPr>
              <w:pStyle w:val="TableTextLeft"/>
              <w:rPr>
                <w:rFonts w:cs="Calibri Light"/>
                <w:sz w:val="22"/>
                <w:szCs w:val="22"/>
              </w:rPr>
            </w:pPr>
          </w:p>
        </w:tc>
      </w:tr>
      <w:tr w:rsidR="00140D69" w14:paraId="499986F9" w14:textId="77777777" w:rsidTr="006E24F9">
        <w:trPr>
          <w:trHeight w:val="3332"/>
        </w:trPr>
        <w:tc>
          <w:tcPr>
            <w:tcW w:w="1250" w:type="pct"/>
          </w:tcPr>
          <w:p w14:paraId="62B854AC" w14:textId="53A9B27A" w:rsidR="00140D69" w:rsidRPr="006E24F9" w:rsidRDefault="00140D69" w:rsidP="00364931">
            <w:pPr>
              <w:pStyle w:val="TableTextLeft"/>
              <w:rPr>
                <w:rFonts w:cs="Calibri Light"/>
                <w:b/>
                <w:bCs/>
                <w:sz w:val="22"/>
                <w:szCs w:val="22"/>
              </w:rPr>
            </w:pPr>
            <w:r w:rsidRPr="006E24F9">
              <w:rPr>
                <w:rFonts w:cs="Calibri Light"/>
                <w:b/>
                <w:bCs/>
                <w:sz w:val="22"/>
                <w:szCs w:val="22"/>
              </w:rPr>
              <w:lastRenderedPageBreak/>
              <w:t>Education requirements</w:t>
            </w:r>
            <w:r w:rsidR="006E24F9" w:rsidRPr="005E676E">
              <w:rPr>
                <w:rStyle w:val="FootnoteReference"/>
                <w:rFonts w:cs="Calibri Light"/>
                <w:szCs w:val="22"/>
                <w:vertAlign w:val="superscript"/>
              </w:rPr>
              <w:footnoteReference w:id="14"/>
            </w:r>
            <w:r w:rsidRPr="006E24F9">
              <w:rPr>
                <w:rFonts w:cs="Calibri Light"/>
                <w:b/>
                <w:bCs/>
                <w:sz w:val="22"/>
                <w:szCs w:val="22"/>
              </w:rPr>
              <w:t xml:space="preserve"> </w:t>
            </w:r>
          </w:p>
        </w:tc>
        <w:tc>
          <w:tcPr>
            <w:tcW w:w="1250" w:type="pct"/>
          </w:tcPr>
          <w:p w14:paraId="549546F0" w14:textId="6680ABD5" w:rsidR="00140D69" w:rsidRPr="006E24F9" w:rsidRDefault="006E24F9" w:rsidP="00DB5F41">
            <w:pPr>
              <w:pStyle w:val="TableTextLeft"/>
              <w:rPr>
                <w:rFonts w:cs="Calibri Light"/>
                <w:sz w:val="22"/>
                <w:szCs w:val="22"/>
              </w:rPr>
            </w:pPr>
            <w:r w:rsidRPr="006E24F9">
              <w:rPr>
                <w:rFonts w:cs="Calibri Light"/>
                <w:sz w:val="22"/>
                <w:szCs w:val="22"/>
              </w:rPr>
              <w:t>At most</w:t>
            </w:r>
            <w:r w:rsidR="00581652">
              <w:rPr>
                <w:rFonts w:cs="Calibri Light"/>
                <w:sz w:val="22"/>
                <w:szCs w:val="22"/>
              </w:rPr>
              <w:t xml:space="preserve">, </w:t>
            </w:r>
            <w:r w:rsidRPr="006E24F9">
              <w:rPr>
                <w:rFonts w:cs="Calibri Light"/>
                <w:sz w:val="22"/>
                <w:szCs w:val="22"/>
              </w:rPr>
              <w:t>approved eight-unit graduate diploma (or equivalent) by 1</w:t>
            </w:r>
            <w:r w:rsidR="00581652">
              <w:rPr>
                <w:rFonts w:cs="Calibri Light"/>
                <w:sz w:val="22"/>
                <w:szCs w:val="22"/>
              </w:rPr>
              <w:t> </w:t>
            </w:r>
            <w:r w:rsidRPr="006E24F9">
              <w:rPr>
                <w:rFonts w:cs="Calibri Light"/>
                <w:sz w:val="22"/>
                <w:szCs w:val="22"/>
              </w:rPr>
              <w:t>January 2026.</w:t>
            </w:r>
          </w:p>
        </w:tc>
        <w:tc>
          <w:tcPr>
            <w:tcW w:w="1250" w:type="pct"/>
          </w:tcPr>
          <w:p w14:paraId="7DCF5A12" w14:textId="1CE450E1" w:rsidR="00140D69" w:rsidRPr="006E24F9" w:rsidRDefault="006E24F9" w:rsidP="00364931">
            <w:pPr>
              <w:pStyle w:val="TableTextLeft"/>
              <w:rPr>
                <w:rFonts w:cs="Calibri Light"/>
                <w:sz w:val="22"/>
                <w:szCs w:val="22"/>
              </w:rPr>
            </w:pPr>
            <w:r w:rsidRPr="006E24F9">
              <w:rPr>
                <w:rFonts w:cs="Calibri Light"/>
                <w:sz w:val="22"/>
                <w:szCs w:val="22"/>
              </w:rPr>
              <w:t xml:space="preserve">No tertiary education requirements. </w:t>
            </w:r>
          </w:p>
        </w:tc>
        <w:tc>
          <w:tcPr>
            <w:tcW w:w="1250" w:type="pct"/>
          </w:tcPr>
          <w:p w14:paraId="1324CD75" w14:textId="7AA537AF" w:rsidR="006E24F9" w:rsidRPr="006E24F9" w:rsidRDefault="006E24F9" w:rsidP="006E24F9">
            <w:pPr>
              <w:pStyle w:val="TableTextLeft"/>
              <w:rPr>
                <w:rFonts w:cs="Calibri Light"/>
                <w:sz w:val="22"/>
                <w:szCs w:val="22"/>
              </w:rPr>
            </w:pPr>
            <w:r w:rsidRPr="006E24F9">
              <w:rPr>
                <w:rFonts w:cs="Calibri Light"/>
                <w:sz w:val="22"/>
                <w:szCs w:val="22"/>
              </w:rPr>
              <w:t>Hold an approved bachelor</w:t>
            </w:r>
            <w:r w:rsidR="00584A0D">
              <w:rPr>
                <w:rFonts w:cs="Calibri Light"/>
                <w:sz w:val="22"/>
                <w:szCs w:val="22"/>
              </w:rPr>
              <w:t>’s</w:t>
            </w:r>
            <w:r w:rsidRPr="006E24F9">
              <w:rPr>
                <w:rFonts w:cs="Calibri Light"/>
                <w:sz w:val="22"/>
                <w:szCs w:val="22"/>
              </w:rPr>
              <w:t xml:space="preserve"> degree (or higher qualification).</w:t>
            </w:r>
          </w:p>
          <w:p w14:paraId="35B91A73" w14:textId="77777777" w:rsidR="006E24F9" w:rsidRPr="006E24F9" w:rsidRDefault="006E24F9" w:rsidP="006E24F9">
            <w:pPr>
              <w:pStyle w:val="TableTextLeft"/>
              <w:rPr>
                <w:rFonts w:cs="Calibri Light"/>
                <w:sz w:val="22"/>
                <w:szCs w:val="22"/>
              </w:rPr>
            </w:pPr>
          </w:p>
          <w:p w14:paraId="16BF7288" w14:textId="44CD8EB1" w:rsidR="00140D69" w:rsidRPr="006E24F9" w:rsidRDefault="006E24F9" w:rsidP="006E24F9">
            <w:pPr>
              <w:pStyle w:val="TableTextLeft"/>
              <w:rPr>
                <w:rFonts w:cs="Calibri Light"/>
                <w:sz w:val="22"/>
                <w:szCs w:val="22"/>
              </w:rPr>
            </w:pPr>
            <w:r w:rsidRPr="006E24F9">
              <w:rPr>
                <w:rFonts w:cs="Calibri Light"/>
                <w:sz w:val="22"/>
                <w:szCs w:val="22"/>
              </w:rPr>
              <w:t xml:space="preserve">Undertake a </w:t>
            </w:r>
            <w:r w:rsidR="000C7052">
              <w:rPr>
                <w:rFonts w:cs="Calibri Light"/>
                <w:sz w:val="22"/>
                <w:szCs w:val="22"/>
              </w:rPr>
              <w:t>p</w:t>
            </w:r>
            <w:r w:rsidRPr="006E24F9">
              <w:rPr>
                <w:rFonts w:cs="Calibri Light"/>
                <w:sz w:val="22"/>
                <w:szCs w:val="22"/>
              </w:rPr>
              <w:t xml:space="preserve">rofessional </w:t>
            </w:r>
            <w:r w:rsidR="000C7052">
              <w:rPr>
                <w:rFonts w:cs="Calibri Light"/>
                <w:sz w:val="22"/>
                <w:szCs w:val="22"/>
              </w:rPr>
              <w:t>y</w:t>
            </w:r>
            <w:r w:rsidRPr="006E24F9">
              <w:rPr>
                <w:rFonts w:cs="Calibri Light"/>
                <w:sz w:val="22"/>
                <w:szCs w:val="22"/>
              </w:rPr>
              <w:t>ear.</w:t>
            </w:r>
          </w:p>
        </w:tc>
      </w:tr>
    </w:tbl>
    <w:p w14:paraId="226011ED" w14:textId="781717A8" w:rsidR="00062845" w:rsidRDefault="00CE7A95" w:rsidP="00EA2041">
      <w:pPr>
        <w:pStyle w:val="Heading3"/>
      </w:pPr>
      <w:bookmarkStart w:id="16" w:name="_Toc110584843"/>
      <w:r>
        <w:t>10 years’ experience</w:t>
      </w:r>
      <w:bookmarkEnd w:id="16"/>
      <w:r>
        <w:t xml:space="preserve"> </w:t>
      </w:r>
    </w:p>
    <w:p w14:paraId="25F0E88A" w14:textId="445B7B57" w:rsidR="00521513" w:rsidRPr="000D1A07" w:rsidRDefault="001E1A5C" w:rsidP="00E50FE9">
      <w:pPr>
        <w:spacing w:line="276" w:lineRule="auto"/>
      </w:pPr>
      <w:r>
        <w:t>To fulfil this requirement</w:t>
      </w:r>
      <w:r w:rsidR="00346086">
        <w:t xml:space="preserve">, </w:t>
      </w:r>
      <w:r>
        <w:t xml:space="preserve">advisers will be required to </w:t>
      </w:r>
      <w:r w:rsidR="0058255F">
        <w:t>have had</w:t>
      </w:r>
      <w:r>
        <w:t xml:space="preserve"> </w:t>
      </w:r>
      <w:r w:rsidR="00D60F0D">
        <w:t xml:space="preserve">10 </w:t>
      </w:r>
      <w:r>
        <w:t xml:space="preserve">years of full-time equivalent experience in the </w:t>
      </w:r>
      <w:r w:rsidR="00D60F0D">
        <w:t xml:space="preserve">15 </w:t>
      </w:r>
      <w:r>
        <w:t>years between 1 January 2004 and 1 January 2019</w:t>
      </w:r>
      <w:r w:rsidR="009E1242">
        <w:t xml:space="preserve"> in Australia</w:t>
      </w:r>
      <w:r w:rsidR="00025741">
        <w:t xml:space="preserve">. </w:t>
      </w:r>
      <w:r w:rsidR="00422CAD">
        <w:t xml:space="preserve">The </w:t>
      </w:r>
      <w:r w:rsidR="00D60F0D">
        <w:t xml:space="preserve">10 </w:t>
      </w:r>
      <w:r w:rsidR="00422CAD">
        <w:t>years would not have to be consecutive</w:t>
      </w:r>
      <w:r w:rsidR="007F4595">
        <w:t>.</w:t>
      </w:r>
      <w:r w:rsidR="007F4595" w:rsidDel="007F4595">
        <w:t xml:space="preserve"> </w:t>
      </w:r>
      <w:r w:rsidR="00422CAD">
        <w:t>Ten</w:t>
      </w:r>
      <w:r w:rsidR="00521513">
        <w:t xml:space="preserve"> year</w:t>
      </w:r>
      <w:r w:rsidR="007F4595">
        <w:t>s of</w:t>
      </w:r>
      <w:r w:rsidR="00521513">
        <w:t xml:space="preserve"> full-time equivalent experience out of a </w:t>
      </w:r>
      <w:r w:rsidR="00D60F0D">
        <w:t>15</w:t>
      </w:r>
      <w:r w:rsidR="005530A2">
        <w:t>-year</w:t>
      </w:r>
      <w:r w:rsidR="00521513">
        <w:t xml:space="preserve"> window allow</w:t>
      </w:r>
      <w:r w:rsidR="007F4595">
        <w:t>s</w:t>
      </w:r>
      <w:r w:rsidR="00521513">
        <w:t xml:space="preserve"> consideration for time out of the industry and part-time work. </w:t>
      </w:r>
      <w:r w:rsidR="004E5482">
        <w:t>The mechanism for</w:t>
      </w:r>
      <w:r w:rsidR="009F431D">
        <w:t xml:space="preserve"> an adviser satisfying this requirement is outlined below. </w:t>
      </w:r>
    </w:p>
    <w:p w14:paraId="6FB52A32" w14:textId="017C7CAF" w:rsidR="000D1A07" w:rsidRDefault="000D1A07" w:rsidP="00E50FE9">
      <w:pPr>
        <w:spacing w:line="276" w:lineRule="auto"/>
      </w:pPr>
      <w:r>
        <w:t xml:space="preserve">Importantly, the period between 1 January 2004 and 1 January 2019 covers significant historical events, such as the global financial crisis, ensuring eligible experienced advisers have lived experience </w:t>
      </w:r>
      <w:r w:rsidR="00CB5E67">
        <w:t xml:space="preserve">in volatile economic conditions. </w:t>
      </w:r>
      <w:r w:rsidR="00AB4A0F">
        <w:t>Additionally,</w:t>
      </w:r>
      <w:r w:rsidR="00CB5E67">
        <w:t xml:space="preserve"> this ensures that the</w:t>
      </w:r>
      <w:r w:rsidR="00AB4A0F">
        <w:t xml:space="preserve"> </w:t>
      </w:r>
      <w:r w:rsidR="00D60F0D">
        <w:t xml:space="preserve">10 </w:t>
      </w:r>
      <w:r w:rsidR="00AB4A0F">
        <w:t>years’ experience</w:t>
      </w:r>
      <w:r w:rsidR="00CB5E67">
        <w:t xml:space="preserve"> is relatively contemporary</w:t>
      </w:r>
      <w:r w:rsidR="00AB4A0F">
        <w:t xml:space="preserve">. </w:t>
      </w:r>
    </w:p>
    <w:p w14:paraId="5F7F2C17" w14:textId="6D6A6E95" w:rsidR="004363F3" w:rsidRDefault="007D7CFC" w:rsidP="00EA2041">
      <w:pPr>
        <w:pStyle w:val="Heading3"/>
      </w:pPr>
      <w:bookmarkStart w:id="17" w:name="_Toc110584844"/>
      <w:bookmarkEnd w:id="14"/>
      <w:r>
        <w:t>Clean record</w:t>
      </w:r>
      <w:bookmarkEnd w:id="17"/>
      <w:r>
        <w:t xml:space="preserve"> </w:t>
      </w:r>
    </w:p>
    <w:p w14:paraId="6A9203B8" w14:textId="5A030116" w:rsidR="004E7F98" w:rsidRDefault="009C7A05" w:rsidP="00E50FE9">
      <w:pPr>
        <w:spacing w:line="276" w:lineRule="auto"/>
      </w:pPr>
      <w:r>
        <w:t xml:space="preserve">To access </w:t>
      </w:r>
      <w:r w:rsidR="005B7960">
        <w:t>the experienced pathway</w:t>
      </w:r>
      <w:r w:rsidR="00F270A9">
        <w:t>,</w:t>
      </w:r>
      <w:r>
        <w:t xml:space="preserve"> </w:t>
      </w:r>
      <w:r w:rsidR="004E7F98">
        <w:t xml:space="preserve">advisers would be required to have a clean </w:t>
      </w:r>
      <w:r w:rsidR="00E50FE9">
        <w:t xml:space="preserve">disciplinary </w:t>
      </w:r>
      <w:r w:rsidR="004E7F98">
        <w:t>record</w:t>
      </w:r>
      <w:r w:rsidR="00613F50">
        <w:t>.</w:t>
      </w:r>
      <w:r w:rsidR="008410A1">
        <w:t xml:space="preserve"> </w:t>
      </w:r>
      <w:r w:rsidR="00C5253B">
        <w:t xml:space="preserve">This criterion is intended to act as a quality assurance mechanism to prevent </w:t>
      </w:r>
      <w:r w:rsidR="00B64460">
        <w:t>advisers who have demonstrated misconduct</w:t>
      </w:r>
      <w:r w:rsidR="00C5253B">
        <w:t xml:space="preserve"> from accessing favourable arrangements, thereby protecting the integrity of the financial advice profession and ensuring consumer protection.</w:t>
      </w:r>
    </w:p>
    <w:p w14:paraId="180B42F8" w14:textId="77777777" w:rsidR="00C5253B" w:rsidRDefault="0049056F" w:rsidP="00C5253B">
      <w:pPr>
        <w:pStyle w:val="Bullet"/>
        <w:numPr>
          <w:ilvl w:val="0"/>
          <w:numId w:val="0"/>
        </w:numPr>
      </w:pPr>
      <w:r>
        <w:t xml:space="preserve">It is </w:t>
      </w:r>
      <w:r w:rsidR="005B7960">
        <w:t xml:space="preserve">proposed </w:t>
      </w:r>
      <w:r>
        <w:t xml:space="preserve">that a clean record will, at a minimum, require an adviser to have no disciplinary actions recorded against them on the </w:t>
      </w:r>
      <w:r w:rsidR="00EB3B8C">
        <w:t>FAR</w:t>
      </w:r>
      <w:r>
        <w:t xml:space="preserve">. However, relying solely on the </w:t>
      </w:r>
      <w:r w:rsidR="00E95096">
        <w:t xml:space="preserve">FAR </w:t>
      </w:r>
      <w:r>
        <w:t>is not appropriate as</w:t>
      </w:r>
      <w:r w:rsidR="00EB3B8C">
        <w:t>,</w:t>
      </w:r>
      <w:r>
        <w:t xml:space="preserve"> prior to</w:t>
      </w:r>
      <w:r w:rsidR="00EB3B8C">
        <w:t> </w:t>
      </w:r>
      <w:r>
        <w:t xml:space="preserve">2022, the only disciplinary actions available to ASIC against financial advisers were banning orders and enforceable undertakings, both of which have high conduct thresholds. </w:t>
      </w:r>
      <w:r w:rsidR="00C5253B">
        <w:t>The FAR reflects a disciplinary system that only targeted the most egregious behaviour and does not capture the full range of misconduct that should preclude someone from eligibility for clean record status.</w:t>
      </w:r>
    </w:p>
    <w:p w14:paraId="0F65D06A" w14:textId="0314F312" w:rsidR="006D4375" w:rsidRDefault="006D4375" w:rsidP="00CB2A43">
      <w:pPr>
        <w:pStyle w:val="Bullet"/>
        <w:numPr>
          <w:ilvl w:val="0"/>
          <w:numId w:val="0"/>
        </w:numPr>
      </w:pPr>
    </w:p>
    <w:p w14:paraId="264FEBB0" w14:textId="3C06C1BE" w:rsidR="00B01062" w:rsidRDefault="00B01062" w:rsidP="00CB2A43">
      <w:pPr>
        <w:pStyle w:val="Bullet"/>
        <w:numPr>
          <w:ilvl w:val="0"/>
          <w:numId w:val="0"/>
        </w:numPr>
      </w:pPr>
    </w:p>
    <w:p w14:paraId="6A436658" w14:textId="1738A612" w:rsidR="00B01062" w:rsidRDefault="00B01062" w:rsidP="00CB2A43">
      <w:pPr>
        <w:pStyle w:val="Bullet"/>
        <w:numPr>
          <w:ilvl w:val="0"/>
          <w:numId w:val="0"/>
        </w:numPr>
      </w:pPr>
    </w:p>
    <w:p w14:paraId="029B470D" w14:textId="1C606DA8" w:rsidR="00CE5D1B" w:rsidRDefault="00CE5D1B" w:rsidP="000D26E9">
      <w:pPr>
        <w:pStyle w:val="Bullet"/>
        <w:numPr>
          <w:ilvl w:val="0"/>
          <w:numId w:val="0"/>
        </w:numPr>
      </w:pPr>
      <w:r>
        <w:rPr>
          <w:b/>
          <w:bCs/>
        </w:rPr>
        <w:t>Capturing other forms of misconduct</w:t>
      </w:r>
      <w:r>
        <w:t xml:space="preserve"> </w:t>
      </w:r>
    </w:p>
    <w:p w14:paraId="0001E6F0" w14:textId="41C0BE3A" w:rsidR="0042594E" w:rsidRDefault="00B01062" w:rsidP="00242399">
      <w:pPr>
        <w:spacing w:line="276" w:lineRule="auto"/>
      </w:pPr>
      <w:r>
        <w:t>O</w:t>
      </w:r>
      <w:r w:rsidR="00956178">
        <w:t xml:space="preserve">ther indicators of adviser </w:t>
      </w:r>
      <w:r w:rsidR="0042594E">
        <w:t>misconduct</w:t>
      </w:r>
      <w:r w:rsidR="00956178">
        <w:t xml:space="preserve"> would also be required to ensure th</w:t>
      </w:r>
      <w:r w:rsidR="00AD27BA">
        <w:t>e clean record requirement</w:t>
      </w:r>
      <w:r w:rsidR="00956178">
        <w:t xml:space="preserve"> is functioning as intended. </w:t>
      </w:r>
      <w:r>
        <w:t xml:space="preserve">It is important that these sources capture misconduct, but not </w:t>
      </w:r>
      <w:r w:rsidR="00907FE2">
        <w:t>minor or trivial instances of misconduct. Other sources for determining adviser misconduct could include:</w:t>
      </w:r>
    </w:p>
    <w:p w14:paraId="5871B380" w14:textId="5471B42D" w:rsidR="00907FE2" w:rsidRDefault="006857A5" w:rsidP="00242399">
      <w:pPr>
        <w:pStyle w:val="Bullet"/>
      </w:pPr>
      <w:r>
        <w:t>w</w:t>
      </w:r>
      <w:r w:rsidR="00907FE2">
        <w:t>hether an adviser’s conduct has resulted in adverse findings being made against their licensees at the Australian Financial Complaints Authority</w:t>
      </w:r>
      <w:r>
        <w:t>;</w:t>
      </w:r>
    </w:p>
    <w:p w14:paraId="40F67848" w14:textId="789CF96F" w:rsidR="003B5D1F" w:rsidRDefault="003B5D1F" w:rsidP="00242399">
      <w:pPr>
        <w:pStyle w:val="Bullet"/>
      </w:pPr>
      <w:r>
        <w:t>CPD compliance;</w:t>
      </w:r>
      <w:r w:rsidR="00DA3A83">
        <w:t xml:space="preserve"> and </w:t>
      </w:r>
    </w:p>
    <w:p w14:paraId="0E4E230F" w14:textId="2928612E" w:rsidR="00907FE2" w:rsidRDefault="006857A5" w:rsidP="00242399">
      <w:pPr>
        <w:pStyle w:val="Bullet"/>
      </w:pPr>
      <w:r>
        <w:t>d</w:t>
      </w:r>
      <w:r w:rsidR="00907FE2">
        <w:t>isciplinary action taken by professional associations against their members</w:t>
      </w:r>
      <w:r w:rsidR="007E07B0">
        <w:t>.</w:t>
      </w:r>
    </w:p>
    <w:p w14:paraId="293F04EA" w14:textId="4F9EBF29" w:rsidR="007E07B0" w:rsidRDefault="00051A2C" w:rsidP="00242399">
      <w:pPr>
        <w:spacing w:line="276" w:lineRule="auto"/>
      </w:pPr>
      <w:r>
        <w:t xml:space="preserve">It is proposed that </w:t>
      </w:r>
      <w:r w:rsidR="007E07B0">
        <w:t>isolated incidences of minor misconduct</w:t>
      </w:r>
      <w:r>
        <w:t xml:space="preserve"> would not be sufficient to disqualify an adviser from accessing the experienced pathway. However, multiple instances of minor misconduct over a sustained period </w:t>
      </w:r>
      <w:r w:rsidR="001F6EB7">
        <w:t>should be considered disqualifying misconduct for accessing the experienced pathway.</w:t>
      </w:r>
    </w:p>
    <w:p w14:paraId="41615B30" w14:textId="37CEB639" w:rsidR="0028241C" w:rsidRDefault="00717003" w:rsidP="00242399">
      <w:pPr>
        <w:pStyle w:val="Bullet"/>
        <w:numPr>
          <w:ilvl w:val="0"/>
          <w:numId w:val="0"/>
        </w:numPr>
      </w:pPr>
      <w:r>
        <w:t xml:space="preserve">It is proposed that only those exemplar existing advisers, </w:t>
      </w:r>
      <w:r w:rsidR="000301FF">
        <w:t xml:space="preserve">who </w:t>
      </w:r>
      <w:r>
        <w:t xml:space="preserve">have </w:t>
      </w:r>
      <w:r w:rsidR="004A7454">
        <w:t>maintained a clean record for their entire career as a financial adviser</w:t>
      </w:r>
      <w:r w:rsidR="00BD5FAD">
        <w:t xml:space="preserve">, as opposed to a set period, </w:t>
      </w:r>
      <w:r w:rsidR="006E0247">
        <w:t>should be eligible for this exemption</w:t>
      </w:r>
      <w:r w:rsidR="004A7454">
        <w:t xml:space="preserve">. </w:t>
      </w:r>
      <w:r w:rsidR="006E0247">
        <w:t xml:space="preserve">Not only does this reward judicious advisers, but also helps to ensure that the high standards in the industry are preserved. </w:t>
      </w:r>
      <w:r w:rsidR="00C5253B">
        <w:t>This approach seeks to maintain the integrity of the experienced pathway, and account for the risk that an adviser with serious misconduct in their past can access this pathway purely because that conduct occurred before an arbitrary point in time.</w:t>
      </w:r>
    </w:p>
    <w:p w14:paraId="3241049A" w14:textId="3A8F692C" w:rsidR="00E6236A" w:rsidRDefault="00E6236A" w:rsidP="00E6236A">
      <w:pPr>
        <w:pStyle w:val="Heading3"/>
      </w:pPr>
      <w:bookmarkStart w:id="18" w:name="_Toc110584845"/>
      <w:r>
        <w:t>Other issues</w:t>
      </w:r>
      <w:bookmarkEnd w:id="18"/>
    </w:p>
    <w:p w14:paraId="035A6217" w14:textId="037ED7B6" w:rsidR="00E6236A" w:rsidRDefault="00E6236A" w:rsidP="00242399">
      <w:pPr>
        <w:spacing w:line="276" w:lineRule="auto"/>
      </w:pPr>
      <w:r>
        <w:rPr>
          <w:b/>
          <w:bCs/>
        </w:rPr>
        <w:t>Assessment of eligibility</w:t>
      </w:r>
      <w:r>
        <w:t xml:space="preserve"> </w:t>
      </w:r>
    </w:p>
    <w:p w14:paraId="565174C3" w14:textId="733F8DF1" w:rsidR="00A1219A" w:rsidRDefault="00E6236A" w:rsidP="00242399">
      <w:pPr>
        <w:spacing w:line="276" w:lineRule="auto"/>
      </w:pPr>
      <w:r>
        <w:t xml:space="preserve">It is proposed that individuals seeking to </w:t>
      </w:r>
      <w:r w:rsidR="00A1219A">
        <w:t>access the experienced pathway will self-assess their eligibility</w:t>
      </w:r>
      <w:r w:rsidR="00B01062">
        <w:t xml:space="preserve"> through their licen</w:t>
      </w:r>
      <w:r w:rsidR="001414E7">
        <w:t>s</w:t>
      </w:r>
      <w:r w:rsidR="00B01062">
        <w:t>e</w:t>
      </w:r>
      <w:r w:rsidR="001414E7">
        <w:t>e</w:t>
      </w:r>
      <w:r w:rsidR="00A1219A">
        <w:t xml:space="preserve">, </w:t>
      </w:r>
      <w:proofErr w:type="gramStart"/>
      <w:r w:rsidR="00A1219A">
        <w:t xml:space="preserve">taking </w:t>
      </w:r>
      <w:r w:rsidR="001414E7">
        <w:t xml:space="preserve">into </w:t>
      </w:r>
      <w:r w:rsidR="00A1219A">
        <w:t>account</w:t>
      </w:r>
      <w:proofErr w:type="gramEnd"/>
      <w:r w:rsidR="00A1219A">
        <w:t xml:space="preserve"> the prescribed criteria and</w:t>
      </w:r>
      <w:r w:rsidR="000F521F">
        <w:t xml:space="preserve"> additional</w:t>
      </w:r>
      <w:r w:rsidR="00A1219A">
        <w:t xml:space="preserve"> guidance</w:t>
      </w:r>
      <w:r w:rsidR="0089387D">
        <w:t xml:space="preserve"> that would be provided</w:t>
      </w:r>
      <w:r w:rsidR="00A1219A">
        <w:t xml:space="preserve">. If an adviser considers </w:t>
      </w:r>
      <w:r w:rsidR="000318DC">
        <w:t xml:space="preserve">that </w:t>
      </w:r>
      <w:r w:rsidR="00A1219A">
        <w:t xml:space="preserve">they </w:t>
      </w:r>
      <w:r w:rsidR="000318DC">
        <w:t>have met the e</w:t>
      </w:r>
      <w:r w:rsidR="00A1219A">
        <w:t xml:space="preserve">ligibility criteria, they will be required to </w:t>
      </w:r>
      <w:r w:rsidR="000318DC">
        <w:t>self-</w:t>
      </w:r>
      <w:r w:rsidR="009B33B5">
        <w:t xml:space="preserve">declare </w:t>
      </w:r>
      <w:r w:rsidR="00A1219A">
        <w:t xml:space="preserve">on </w:t>
      </w:r>
      <w:r w:rsidR="000D26E9">
        <w:t>an</w:t>
      </w:r>
      <w:r w:rsidR="00A1219A">
        <w:t xml:space="preserve"> application to access the pathway. </w:t>
      </w:r>
    </w:p>
    <w:p w14:paraId="67D37718" w14:textId="4522AA7E" w:rsidR="000D5BD7" w:rsidRPr="00B01062" w:rsidRDefault="00A1219A" w:rsidP="00242399">
      <w:pPr>
        <w:spacing w:line="276" w:lineRule="auto"/>
      </w:pPr>
      <w:r>
        <w:t xml:space="preserve">It is not </w:t>
      </w:r>
      <w:r w:rsidR="0089387D">
        <w:t xml:space="preserve">proposed </w:t>
      </w:r>
      <w:r>
        <w:t xml:space="preserve">that ASIC will assess applications to </w:t>
      </w:r>
      <w:r w:rsidR="0089387D">
        <w:t>determine an adviser’s eligibility</w:t>
      </w:r>
      <w:r>
        <w:t xml:space="preserve">. Instead, it is </w:t>
      </w:r>
      <w:r w:rsidR="0089387D">
        <w:t xml:space="preserve">proposed </w:t>
      </w:r>
      <w:r w:rsidR="000318DC">
        <w:t>that</w:t>
      </w:r>
      <w:r>
        <w:t xml:space="preserve"> ASIC will audit</w:t>
      </w:r>
      <w:r w:rsidR="003D6D28">
        <w:t xml:space="preserve"> a sample of applications for compliance with the eligibility criteria. </w:t>
      </w:r>
      <w:r w:rsidR="00EE5AE1">
        <w:t>This will not</w:t>
      </w:r>
      <w:r w:rsidR="005E1893">
        <w:t xml:space="preserve"> </w:t>
      </w:r>
      <w:r w:rsidR="00EE5AE1">
        <w:t>prevent ASIC from deciding to scrutinise a</w:t>
      </w:r>
      <w:r w:rsidR="000D26E9">
        <w:t xml:space="preserve"> specific</w:t>
      </w:r>
      <w:r w:rsidR="00EE5AE1">
        <w:t xml:space="preserve"> application from an adviser where ASIC is aware that</w:t>
      </w:r>
      <w:r w:rsidR="00655A8D">
        <w:t xml:space="preserve"> an</w:t>
      </w:r>
      <w:r w:rsidR="00EE5AE1">
        <w:t xml:space="preserve"> adviser may </w:t>
      </w:r>
      <w:r w:rsidR="000318DC">
        <w:t>be in</w:t>
      </w:r>
      <w:r w:rsidR="00EE5AE1">
        <w:t xml:space="preserve">eligible. For example, </w:t>
      </w:r>
      <w:r w:rsidR="000318DC">
        <w:t xml:space="preserve">if </w:t>
      </w:r>
      <w:r w:rsidR="00EE5AE1">
        <w:t xml:space="preserve">the </w:t>
      </w:r>
      <w:r w:rsidR="001B4BCD">
        <w:t>a</w:t>
      </w:r>
      <w:r w:rsidR="00EE5AE1">
        <w:t xml:space="preserve">dviser </w:t>
      </w:r>
      <w:r w:rsidR="000318DC">
        <w:t xml:space="preserve">has </w:t>
      </w:r>
      <w:r w:rsidR="001E011A">
        <w:t xml:space="preserve">had disciplinary actions recorded against them on the FAR. </w:t>
      </w:r>
    </w:p>
    <w:p w14:paraId="3D71AD2D" w14:textId="341B3A7B" w:rsidR="00E6236A" w:rsidRDefault="00B01062" w:rsidP="00242399">
      <w:pPr>
        <w:pStyle w:val="Bullet"/>
        <w:numPr>
          <w:ilvl w:val="0"/>
          <w:numId w:val="0"/>
        </w:numPr>
        <w:rPr>
          <w:b/>
          <w:bCs/>
        </w:rPr>
      </w:pPr>
      <w:r>
        <w:rPr>
          <w:b/>
          <w:bCs/>
        </w:rPr>
        <w:t>Potential f</w:t>
      </w:r>
      <w:r w:rsidR="00E6236A" w:rsidRPr="002A762D">
        <w:rPr>
          <w:b/>
          <w:bCs/>
        </w:rPr>
        <w:t xml:space="preserve">uture </w:t>
      </w:r>
      <w:r w:rsidR="001E011A">
        <w:rPr>
          <w:b/>
          <w:bCs/>
        </w:rPr>
        <w:t>misconduct</w:t>
      </w:r>
    </w:p>
    <w:p w14:paraId="2E5E5937" w14:textId="5A14033C" w:rsidR="003B035B" w:rsidRDefault="003B035B" w:rsidP="00242399">
      <w:pPr>
        <w:spacing w:line="276" w:lineRule="auto"/>
      </w:pPr>
      <w:r>
        <w:t xml:space="preserve">Given the reliance on the clean record criteria to act as a quality assurance mechanism, it may be necessary to introduce new remedies and enforcement tools for regulators to act against advisers whose future actions may amount to misconduct. For example, it may be necessary to create explicit powers for regulators to order an adviser who once accessed the experienced adviser pathway </w:t>
      </w:r>
      <w:r w:rsidR="005C5F5E">
        <w:t>to complete</w:t>
      </w:r>
      <w:r w:rsidR="003E3283">
        <w:t xml:space="preserve"> </w:t>
      </w:r>
      <w:r>
        <w:t xml:space="preserve">formal education equivalent to the requirements for existing advisers if they </w:t>
      </w:r>
      <w:r w:rsidR="003E3283">
        <w:t xml:space="preserve">were to </w:t>
      </w:r>
      <w:r>
        <w:t>commit misconduct</w:t>
      </w:r>
      <w:r w:rsidR="00DB4AC1">
        <w:t xml:space="preserve"> in the future</w:t>
      </w:r>
      <w:r>
        <w:t xml:space="preserve">. </w:t>
      </w:r>
    </w:p>
    <w:p w14:paraId="67FA0CC1" w14:textId="460BEC73" w:rsidR="00AD6649" w:rsidRDefault="00AD6649" w:rsidP="008B19BC">
      <w:pPr>
        <w:spacing w:before="0" w:after="160" w:line="259" w:lineRule="auto"/>
      </w:pPr>
      <w:r>
        <w:rPr>
          <w:b/>
          <w:bCs/>
        </w:rPr>
        <w:lastRenderedPageBreak/>
        <w:t>Experienced Pathway closure date</w:t>
      </w:r>
    </w:p>
    <w:p w14:paraId="09069CA0" w14:textId="0857DF11" w:rsidR="00AD6649" w:rsidRPr="00AD6649" w:rsidRDefault="00AD6649" w:rsidP="00242399">
      <w:pPr>
        <w:spacing w:line="276" w:lineRule="auto"/>
      </w:pPr>
      <w:r>
        <w:t>It is proposed that the experience pathway eligibility criteria will only be available until 1 January 2026 to ensure consistency with the existing transition</w:t>
      </w:r>
      <w:r w:rsidR="00647DD6">
        <w:t>al</w:t>
      </w:r>
      <w:r>
        <w:t xml:space="preserve"> arrangements for existing advisers. </w:t>
      </w:r>
    </w:p>
    <w:tbl>
      <w:tblPr>
        <w:tblW w:w="5000" w:type="pct"/>
        <w:shd w:val="clear" w:color="auto" w:fill="EEEEEE" w:themeFill="background2"/>
        <w:tblCellMar>
          <w:top w:w="227" w:type="dxa"/>
          <w:left w:w="227" w:type="dxa"/>
          <w:bottom w:w="227" w:type="dxa"/>
          <w:right w:w="227" w:type="dxa"/>
        </w:tblCellMar>
        <w:tblLook w:val="04A0" w:firstRow="1" w:lastRow="0" w:firstColumn="1" w:lastColumn="0" w:noHBand="0" w:noVBand="1"/>
      </w:tblPr>
      <w:tblGrid>
        <w:gridCol w:w="9070"/>
      </w:tblGrid>
      <w:tr w:rsidR="00D263A7" w14:paraId="5DFE592D" w14:textId="77777777" w:rsidTr="006016A6">
        <w:tc>
          <w:tcPr>
            <w:tcW w:w="5000" w:type="pct"/>
            <w:shd w:val="clear" w:color="auto" w:fill="EEEEEE" w:themeFill="background2"/>
          </w:tcPr>
          <w:p w14:paraId="0ED2E5D5" w14:textId="6401B5C6" w:rsidR="007A7429" w:rsidRDefault="007A7429" w:rsidP="00DD01D1">
            <w:pPr>
              <w:pStyle w:val="BoxHeading"/>
              <w:spacing w:line="276" w:lineRule="auto"/>
            </w:pPr>
            <w:r>
              <w:lastRenderedPageBreak/>
              <w:t xml:space="preserve">Questions – </w:t>
            </w:r>
            <w:r w:rsidR="000F6B51">
              <w:t>e</w:t>
            </w:r>
            <w:r>
              <w:t xml:space="preserve">xperienced </w:t>
            </w:r>
            <w:r w:rsidR="008C5AED">
              <w:t>p</w:t>
            </w:r>
            <w:r>
              <w:t>athway</w:t>
            </w:r>
          </w:p>
          <w:p w14:paraId="02760E94" w14:textId="302A2F2F" w:rsidR="00EA6A2F" w:rsidRPr="001E3E24" w:rsidRDefault="00EA6A2F" w:rsidP="00DD01D1">
            <w:pPr>
              <w:spacing w:line="276" w:lineRule="auto"/>
            </w:pPr>
            <w:r>
              <w:rPr>
                <w:b/>
                <w:bCs/>
              </w:rPr>
              <w:t>10 years’ experience</w:t>
            </w:r>
          </w:p>
          <w:p w14:paraId="211A89E4" w14:textId="5EF63AED" w:rsidR="007A7429" w:rsidRDefault="007A7429" w:rsidP="00DD01D1">
            <w:pPr>
              <w:pStyle w:val="OutlineNumbered1"/>
              <w:numPr>
                <w:ilvl w:val="0"/>
                <w:numId w:val="19"/>
              </w:numPr>
              <w:spacing w:line="276" w:lineRule="auto"/>
            </w:pPr>
            <w:r w:rsidRPr="004363F3">
              <w:t>Is</w:t>
            </w:r>
            <w:r>
              <w:t xml:space="preserve"> the </w:t>
            </w:r>
            <w:r w:rsidR="006D334D">
              <w:t xml:space="preserve">proposed window for determining </w:t>
            </w:r>
            <w:r w:rsidR="00D60F0D">
              <w:t xml:space="preserve">10 </w:t>
            </w:r>
            <w:r>
              <w:t xml:space="preserve">years’ experience </w:t>
            </w:r>
            <w:r w:rsidR="006D334D">
              <w:t>(</w:t>
            </w:r>
            <w:r>
              <w:t>between</w:t>
            </w:r>
            <w:r w:rsidRPr="004363F3">
              <w:t xml:space="preserve"> 1</w:t>
            </w:r>
            <w:r w:rsidR="00354F91">
              <w:t> </w:t>
            </w:r>
            <w:r w:rsidRPr="004363F3">
              <w:t>January</w:t>
            </w:r>
            <w:r w:rsidR="00354F91">
              <w:t> </w:t>
            </w:r>
            <w:r w:rsidR="006D334D">
              <w:t xml:space="preserve">2004 </w:t>
            </w:r>
            <w:r>
              <w:t>and 1 January</w:t>
            </w:r>
            <w:r w:rsidR="00354F91">
              <w:t xml:space="preserve"> </w:t>
            </w:r>
            <w:r w:rsidR="006D334D" w:rsidRPr="004363F3">
              <w:t>2019</w:t>
            </w:r>
            <w:r w:rsidR="006D334D">
              <w:t>)</w:t>
            </w:r>
            <w:r>
              <w:t xml:space="preserve"> appropriate? If not, what alternative </w:t>
            </w:r>
            <w:r w:rsidR="000801D0">
              <w:t>period</w:t>
            </w:r>
            <w:r>
              <w:t xml:space="preserve"> could be considered? </w:t>
            </w:r>
          </w:p>
          <w:p w14:paraId="43D4B62C" w14:textId="0C84ECEE" w:rsidR="000C613F" w:rsidRDefault="002A45DF" w:rsidP="00DD01D1">
            <w:pPr>
              <w:pStyle w:val="OutlineNumbered1"/>
              <w:numPr>
                <w:ilvl w:val="0"/>
                <w:numId w:val="19"/>
              </w:numPr>
              <w:spacing w:line="276" w:lineRule="auto"/>
            </w:pPr>
            <w:r>
              <w:t>If required</w:t>
            </w:r>
            <w:r w:rsidR="00DD01D1">
              <w:t xml:space="preserve"> (for example, due to an audit of their eligibility)</w:t>
            </w:r>
            <w:r>
              <w:t xml:space="preserve">, how </w:t>
            </w:r>
            <w:r w:rsidR="003E3A4F">
              <w:t>can</w:t>
            </w:r>
            <w:r>
              <w:t xml:space="preserve"> advisers prove they have</w:t>
            </w:r>
            <w:r w:rsidR="00EA6A2F">
              <w:t xml:space="preserve"> </w:t>
            </w:r>
            <w:r w:rsidR="00D60F0D">
              <w:t xml:space="preserve">10 </w:t>
            </w:r>
            <w:r w:rsidR="00EA6A2F">
              <w:t xml:space="preserve">years’ </w:t>
            </w:r>
            <w:r w:rsidR="00655A8D">
              <w:t xml:space="preserve">full-time equivalent </w:t>
            </w:r>
            <w:r w:rsidR="00EA6A2F">
              <w:t xml:space="preserve">experience? </w:t>
            </w:r>
          </w:p>
          <w:p w14:paraId="61E611B0" w14:textId="006F6F88" w:rsidR="00EA6A2F" w:rsidRPr="00EA6A2F" w:rsidRDefault="00EA6A2F" w:rsidP="00DD01D1">
            <w:pPr>
              <w:pStyle w:val="OutlineNumbered1"/>
              <w:numPr>
                <w:ilvl w:val="0"/>
                <w:numId w:val="0"/>
              </w:numPr>
              <w:spacing w:line="276" w:lineRule="auto"/>
              <w:ind w:left="851" w:hanging="851"/>
            </w:pPr>
            <w:r>
              <w:rPr>
                <w:b/>
                <w:bCs/>
              </w:rPr>
              <w:t>Clean record</w:t>
            </w:r>
          </w:p>
          <w:p w14:paraId="72024DC4" w14:textId="162788BC" w:rsidR="00D66D2C" w:rsidRDefault="00D66D2C" w:rsidP="00DD01D1">
            <w:pPr>
              <w:pStyle w:val="OutlineNumbered1"/>
              <w:numPr>
                <w:ilvl w:val="0"/>
                <w:numId w:val="19"/>
              </w:numPr>
              <w:spacing w:line="276" w:lineRule="auto"/>
            </w:pPr>
            <w:r>
              <w:t xml:space="preserve">Are the proposed </w:t>
            </w:r>
            <w:r w:rsidR="006D334D">
              <w:t xml:space="preserve">sources for </w:t>
            </w:r>
            <w:r w:rsidR="00F80D67">
              <w:t>determining a</w:t>
            </w:r>
            <w:r>
              <w:t xml:space="preserve"> clean record appropriate? </w:t>
            </w:r>
            <w:r w:rsidR="00B15724">
              <w:t>Why/</w:t>
            </w:r>
            <w:r w:rsidR="00BF7593">
              <w:t>why not?</w:t>
            </w:r>
          </w:p>
          <w:p w14:paraId="31236335" w14:textId="03BF1D4D" w:rsidR="00D66D2C" w:rsidRDefault="00D66D2C" w:rsidP="00DD01D1">
            <w:pPr>
              <w:pStyle w:val="OutlineNumbered1"/>
              <w:numPr>
                <w:ilvl w:val="0"/>
                <w:numId w:val="19"/>
              </w:numPr>
              <w:spacing w:line="276" w:lineRule="auto"/>
            </w:pPr>
            <w:r>
              <w:t xml:space="preserve">What other </w:t>
            </w:r>
            <w:r w:rsidR="002A45DF">
              <w:t xml:space="preserve">sources </w:t>
            </w:r>
            <w:r>
              <w:t xml:space="preserve">could advisers </w:t>
            </w:r>
            <w:r w:rsidR="002A727E">
              <w:t>rely on to</w:t>
            </w:r>
            <w:r w:rsidR="002A45DF">
              <w:t xml:space="preserve"> </w:t>
            </w:r>
            <w:r w:rsidR="00F80D67">
              <w:t>indicat</w:t>
            </w:r>
            <w:r w:rsidR="002A727E">
              <w:t>e</w:t>
            </w:r>
            <w:r>
              <w:t xml:space="preserve"> that they have a clean record? </w:t>
            </w:r>
          </w:p>
          <w:p w14:paraId="3D106D5E" w14:textId="74CD88F0" w:rsidR="007A7429" w:rsidRDefault="00D66D2C" w:rsidP="00DD01D1">
            <w:pPr>
              <w:pStyle w:val="OutlineNumbered1"/>
              <w:numPr>
                <w:ilvl w:val="0"/>
                <w:numId w:val="19"/>
              </w:numPr>
              <w:spacing w:line="276" w:lineRule="auto"/>
            </w:pPr>
            <w:r>
              <w:t xml:space="preserve">If required, </w:t>
            </w:r>
            <w:r w:rsidR="007F0649">
              <w:t>what evidence can</w:t>
            </w:r>
            <w:r w:rsidR="007A7429">
              <w:t xml:space="preserve"> advisers</w:t>
            </w:r>
            <w:r w:rsidR="007F0649">
              <w:t xml:space="preserve"> rely on to</w:t>
            </w:r>
            <w:r w:rsidR="007A7429">
              <w:t xml:space="preserve"> prove they have a clean record?</w:t>
            </w:r>
            <w:r w:rsidR="00C67435">
              <w:t xml:space="preserve"> </w:t>
            </w:r>
          </w:p>
          <w:p w14:paraId="0DBA3ECE" w14:textId="5A7CB4DE" w:rsidR="001505D6" w:rsidRDefault="004462B9" w:rsidP="00DD01D1">
            <w:pPr>
              <w:pStyle w:val="OutlineNumbered1"/>
              <w:numPr>
                <w:ilvl w:val="0"/>
                <w:numId w:val="19"/>
              </w:numPr>
              <w:spacing w:line="276" w:lineRule="auto"/>
            </w:pPr>
            <w:r>
              <w:t xml:space="preserve">What threshold should be adopted </w:t>
            </w:r>
            <w:r w:rsidR="00CA1C5E">
              <w:t>to identify</w:t>
            </w:r>
            <w:r>
              <w:t xml:space="preserve"> whether conduct is minor, trivial, and isolated? </w:t>
            </w:r>
          </w:p>
          <w:p w14:paraId="3B119DB2" w14:textId="7679A6E8" w:rsidR="00354F91" w:rsidRDefault="00354F91" w:rsidP="00DD01D1">
            <w:pPr>
              <w:pStyle w:val="OutlineNumbered1"/>
              <w:numPr>
                <w:ilvl w:val="0"/>
                <w:numId w:val="19"/>
              </w:numPr>
              <w:spacing w:line="276" w:lineRule="auto"/>
            </w:pPr>
            <w:r>
              <w:t xml:space="preserve">Is the non-time limited clean record requirement appropriate? If not, </w:t>
            </w:r>
            <w:r w:rsidR="00DD01D1">
              <w:t xml:space="preserve">for what </w:t>
            </w:r>
            <w:r>
              <w:t xml:space="preserve">period should an adviser be expected to maintain a clean record to access this pathway? </w:t>
            </w:r>
          </w:p>
          <w:p w14:paraId="36FFA524" w14:textId="3CAB73FA" w:rsidR="00D66D2C" w:rsidRDefault="00D66D2C" w:rsidP="00DD01D1">
            <w:pPr>
              <w:pStyle w:val="OutlineNumbered1"/>
              <w:numPr>
                <w:ilvl w:val="0"/>
                <w:numId w:val="0"/>
              </w:numPr>
              <w:spacing w:line="276" w:lineRule="auto"/>
              <w:ind w:left="851" w:hanging="851"/>
            </w:pPr>
            <w:r>
              <w:rPr>
                <w:b/>
                <w:bCs/>
              </w:rPr>
              <w:t xml:space="preserve">Assessment of eligibility </w:t>
            </w:r>
          </w:p>
          <w:p w14:paraId="4C7FA8B7" w14:textId="508B4388" w:rsidR="001B4BCD" w:rsidRDefault="001B4BCD" w:rsidP="00DD01D1">
            <w:pPr>
              <w:pStyle w:val="OutlineNumbered1"/>
              <w:spacing w:line="276" w:lineRule="auto"/>
            </w:pPr>
            <w:r>
              <w:t>What should self-</w:t>
            </w:r>
            <w:r w:rsidR="001931B3">
              <w:t>declaration</w:t>
            </w:r>
            <w:r>
              <w:t xml:space="preserve"> </w:t>
            </w:r>
            <w:r w:rsidR="001931B3">
              <w:t xml:space="preserve">of eligibility </w:t>
            </w:r>
            <w:r>
              <w:t>require</w:t>
            </w:r>
            <w:r w:rsidR="004C1D13">
              <w:t>? For example,</w:t>
            </w:r>
            <w:r>
              <w:t xml:space="preserve"> should a</w:t>
            </w:r>
            <w:r w:rsidR="003E3A4F">
              <w:t>n adviser have to make a</w:t>
            </w:r>
            <w:r>
              <w:t xml:space="preserve"> statutory declaration? </w:t>
            </w:r>
          </w:p>
          <w:p w14:paraId="2C2F70B5" w14:textId="32DB5223" w:rsidR="001B4BCD" w:rsidRPr="002A762D" w:rsidRDefault="001B4BCD" w:rsidP="00DD01D1">
            <w:pPr>
              <w:pStyle w:val="OutlineNumbered1"/>
              <w:numPr>
                <w:ilvl w:val="0"/>
                <w:numId w:val="0"/>
              </w:numPr>
              <w:spacing w:line="276" w:lineRule="auto"/>
              <w:rPr>
                <w:b/>
                <w:bCs/>
              </w:rPr>
            </w:pPr>
            <w:r>
              <w:rPr>
                <w:b/>
                <w:bCs/>
              </w:rPr>
              <w:t xml:space="preserve">Future </w:t>
            </w:r>
            <w:r w:rsidR="005300AB">
              <w:rPr>
                <w:b/>
                <w:bCs/>
              </w:rPr>
              <w:t xml:space="preserve">misconduct </w:t>
            </w:r>
          </w:p>
          <w:p w14:paraId="05EFC13B" w14:textId="34586B1A" w:rsidR="007A7429" w:rsidRDefault="00617627" w:rsidP="00DD01D1">
            <w:pPr>
              <w:pStyle w:val="OutlineNumbered1"/>
              <w:spacing w:line="276" w:lineRule="auto"/>
            </w:pPr>
            <w:r>
              <w:t xml:space="preserve">Are new tools required to specifically deal with advisers accessing the experienced pathway whose future conduct </w:t>
            </w:r>
            <w:r w:rsidR="0055085B">
              <w:t>amounts</w:t>
            </w:r>
            <w:r>
              <w:t xml:space="preserve"> to misconduct? </w:t>
            </w:r>
            <w:r w:rsidR="00B15724">
              <w:t>Why/why not?</w:t>
            </w:r>
            <w:r>
              <w:t xml:space="preserve"> </w:t>
            </w:r>
          </w:p>
          <w:p w14:paraId="21224680" w14:textId="77777777" w:rsidR="00617627" w:rsidRDefault="00617627" w:rsidP="00DD01D1">
            <w:pPr>
              <w:pStyle w:val="OutlineNumbered1"/>
              <w:numPr>
                <w:ilvl w:val="0"/>
                <w:numId w:val="0"/>
              </w:numPr>
              <w:spacing w:line="276" w:lineRule="auto"/>
              <w:ind w:left="851" w:hanging="851"/>
            </w:pPr>
            <w:r>
              <w:rPr>
                <w:b/>
                <w:bCs/>
              </w:rPr>
              <w:t xml:space="preserve">Other </w:t>
            </w:r>
            <w:r>
              <w:t xml:space="preserve"> </w:t>
            </w:r>
          </w:p>
          <w:p w14:paraId="46064C26" w14:textId="45BF368C" w:rsidR="00B15724" w:rsidRPr="00B2026B" w:rsidRDefault="00B15724" w:rsidP="00DD01D1">
            <w:pPr>
              <w:pStyle w:val="OutlineNumbered1"/>
              <w:spacing w:line="276" w:lineRule="auto"/>
            </w:pPr>
            <w:r w:rsidRPr="00B2026B">
              <w:t xml:space="preserve">For existing advisers not eligible for the experienced pathway but who </w:t>
            </w:r>
            <w:r w:rsidR="004362E5" w:rsidRPr="00B2026B">
              <w:t xml:space="preserve">have a foreign qualification at AQF 7 level or above, </w:t>
            </w:r>
            <w:r w:rsidRPr="00B2026B">
              <w:t>is it practical and appropriate for education providers or licensees to assess how these qualifications meet the education standard</w:t>
            </w:r>
            <w:r w:rsidR="00035101" w:rsidRPr="00B2026B">
              <w:t xml:space="preserve"> and what additional study may be required</w:t>
            </w:r>
            <w:r w:rsidRPr="00B2026B">
              <w:t>, rather than the Minister? Why/why not?</w:t>
            </w:r>
          </w:p>
          <w:p w14:paraId="38FDCDAC" w14:textId="683B4D03" w:rsidR="00617627" w:rsidRDefault="00617627" w:rsidP="00DD01D1">
            <w:pPr>
              <w:pStyle w:val="OutlineNumbered1"/>
              <w:spacing w:line="276" w:lineRule="auto"/>
            </w:pPr>
            <w:r>
              <w:t>How many existing advisers do you expect to access the experienced pathway? How many of those have already started to undertake formal education to align with the current existing adviser requirements</w:t>
            </w:r>
            <w:r w:rsidR="003622FB">
              <w:t>?</w:t>
            </w:r>
            <w:r>
              <w:t xml:space="preserve"> </w:t>
            </w:r>
          </w:p>
          <w:p w14:paraId="769A7A8D" w14:textId="7E46765C" w:rsidR="00617627" w:rsidRDefault="00617627" w:rsidP="00DD01D1">
            <w:pPr>
              <w:pStyle w:val="OutlineNumbered1"/>
              <w:spacing w:line="276" w:lineRule="auto"/>
            </w:pPr>
            <w:r>
              <w:t xml:space="preserve">What else </w:t>
            </w:r>
            <w:r w:rsidR="003D6D28">
              <w:t xml:space="preserve">may be required to ensure </w:t>
            </w:r>
            <w:r w:rsidR="00517C91">
              <w:t xml:space="preserve">an appropriate level of consumer protection is maintained and </w:t>
            </w:r>
            <w:r w:rsidR="003D6D28">
              <w:t>any potential harm is minimised</w:t>
            </w:r>
            <w:r>
              <w:t xml:space="preserve">? </w:t>
            </w:r>
          </w:p>
          <w:p w14:paraId="4BC7E85B" w14:textId="3AC2B9C2" w:rsidR="00617627" w:rsidRPr="00617627" w:rsidRDefault="00B64460" w:rsidP="00DD01D1">
            <w:pPr>
              <w:pStyle w:val="OutlineNumbered1"/>
              <w:spacing w:line="276" w:lineRule="auto"/>
            </w:pPr>
            <w:r>
              <w:t>Would any further requirements be necessary for the experienced pathway to ensure the professionalisation of the industry is maintained?</w:t>
            </w:r>
            <w:r w:rsidR="00617627">
              <w:t xml:space="preserve"> </w:t>
            </w:r>
          </w:p>
        </w:tc>
      </w:tr>
    </w:tbl>
    <w:p w14:paraId="2A9D8DE3" w14:textId="2ADC94EA" w:rsidR="008361B4" w:rsidRDefault="004363F3" w:rsidP="00BA2089">
      <w:pPr>
        <w:pStyle w:val="Heading2"/>
        <w:spacing w:line="276" w:lineRule="auto"/>
      </w:pPr>
      <w:bookmarkStart w:id="19" w:name="_Toc110584846"/>
      <w:r>
        <w:lastRenderedPageBreak/>
        <w:t>New Entrants</w:t>
      </w:r>
      <w:bookmarkEnd w:id="19"/>
    </w:p>
    <w:p w14:paraId="00879D27" w14:textId="586F09F0" w:rsidR="004363F3" w:rsidRPr="004363F3" w:rsidRDefault="004363F3" w:rsidP="00BA2089">
      <w:pPr>
        <w:pStyle w:val="Heading3"/>
      </w:pPr>
      <w:bookmarkStart w:id="20" w:name="_Toc110584847"/>
      <w:r>
        <w:t xml:space="preserve">Formal education and </w:t>
      </w:r>
      <w:r w:rsidR="00204511">
        <w:t xml:space="preserve">the </w:t>
      </w:r>
      <w:r>
        <w:t>exam</w:t>
      </w:r>
      <w:bookmarkEnd w:id="20"/>
    </w:p>
    <w:p w14:paraId="668CCBF8" w14:textId="3F46265B" w:rsidR="0044729B" w:rsidRDefault="0044729B" w:rsidP="00BA2089">
      <w:pPr>
        <w:spacing w:line="276" w:lineRule="auto"/>
      </w:pPr>
      <w:r w:rsidRPr="00083CAA">
        <w:t xml:space="preserve">Getting the educational settings right for new entrants </w:t>
      </w:r>
      <w:r w:rsidR="00857052">
        <w:t>will bolster</w:t>
      </w:r>
      <w:r w:rsidRPr="00083CAA">
        <w:t xml:space="preserve"> the ongoing professionalisation of the sector, making it an ‘industry of choice’, and maintaining </w:t>
      </w:r>
      <w:proofErr w:type="gramStart"/>
      <w:r w:rsidRPr="00083CAA">
        <w:t>a sufficient number of</w:t>
      </w:r>
      <w:proofErr w:type="gramEnd"/>
      <w:r w:rsidRPr="00083CAA">
        <w:t xml:space="preserve"> advisers to provide high-quality advice to Australians.</w:t>
      </w:r>
      <w:r>
        <w:t xml:space="preserve"> The education requirements for new entrants must balance flexibility with specificity, ensuring graduates have </w:t>
      </w:r>
      <w:r w:rsidR="007A63AF">
        <w:t xml:space="preserve">competency in the </w:t>
      </w:r>
      <w:r>
        <w:t xml:space="preserve">knowledge and skills </w:t>
      </w:r>
      <w:r w:rsidR="007A63AF">
        <w:t>required to be members of the financial advice profession and, importantly,</w:t>
      </w:r>
      <w:r>
        <w:t xml:space="preserve"> understand their obligations </w:t>
      </w:r>
      <w:r w:rsidR="007A63AF">
        <w:t xml:space="preserve">to their clients. </w:t>
      </w:r>
      <w:r>
        <w:t xml:space="preserve">Currently, new entrants to the financial advice industry must first complete an approved degree, as listed in the </w:t>
      </w:r>
      <w:r w:rsidRPr="00E14102">
        <w:rPr>
          <w:i/>
          <w:iCs/>
        </w:rPr>
        <w:t>Corporations (Relevant Providers Degrees, Qualifications and Courses Standard) Determination 2021</w:t>
      </w:r>
      <w:r>
        <w:rPr>
          <w:i/>
          <w:iCs/>
        </w:rPr>
        <w:t xml:space="preserve"> </w:t>
      </w:r>
      <w:r>
        <w:t xml:space="preserve">(the Determination). They must then commence a </w:t>
      </w:r>
      <w:r w:rsidR="00DF0106">
        <w:t>p</w:t>
      </w:r>
      <w:r>
        <w:t xml:space="preserve">rofessional </w:t>
      </w:r>
      <w:r w:rsidR="00DF0106">
        <w:t>y</w:t>
      </w:r>
      <w:r>
        <w:t xml:space="preserve">ear placement and </w:t>
      </w:r>
      <w:r w:rsidR="007E11AD">
        <w:t xml:space="preserve">pass </w:t>
      </w:r>
      <w:r>
        <w:t xml:space="preserve">the </w:t>
      </w:r>
      <w:r w:rsidR="007E11AD">
        <w:t>e</w:t>
      </w:r>
      <w:r>
        <w:t xml:space="preserve">xam prior to commencing </w:t>
      </w:r>
      <w:r w:rsidR="00485D23">
        <w:t>q</w:t>
      </w:r>
      <w:r>
        <w:t xml:space="preserve">uarter </w:t>
      </w:r>
      <w:r w:rsidR="00C63ED9">
        <w:t>three</w:t>
      </w:r>
      <w:r>
        <w:t xml:space="preserve"> of the </w:t>
      </w:r>
      <w:r w:rsidR="00485D23">
        <w:t>p</w:t>
      </w:r>
      <w:r>
        <w:t xml:space="preserve">rofessional </w:t>
      </w:r>
      <w:r w:rsidR="00485D23">
        <w:t>y</w:t>
      </w:r>
      <w:r>
        <w:t xml:space="preserve">ear. </w:t>
      </w:r>
    </w:p>
    <w:p w14:paraId="3C3EF9AF" w14:textId="4ACC3CA3" w:rsidR="008410A1" w:rsidDel="008410A1" w:rsidRDefault="003622FB" w:rsidP="00BA2089">
      <w:pPr>
        <w:spacing w:line="276" w:lineRule="auto"/>
      </w:pPr>
      <w:r>
        <w:t>A</w:t>
      </w:r>
      <w:r w:rsidR="00844A97">
        <w:t xml:space="preserve">pproved degrees </w:t>
      </w:r>
      <w:r w:rsidR="000F1E5B">
        <w:t xml:space="preserve">are </w:t>
      </w:r>
      <w:r>
        <w:t>currently</w:t>
      </w:r>
      <w:r w:rsidR="000F1E5B">
        <w:t xml:space="preserve"> required to</w:t>
      </w:r>
      <w:r>
        <w:t xml:space="preserve"> </w:t>
      </w:r>
      <w:r w:rsidR="00844A97">
        <w:t xml:space="preserve">cover the following </w:t>
      </w:r>
      <w:r w:rsidR="008410A1">
        <w:t>eleven</w:t>
      </w:r>
      <w:r w:rsidR="00844A97">
        <w:t xml:space="preserve"> knowledge areas: </w:t>
      </w:r>
    </w:p>
    <w:tbl>
      <w:tblPr>
        <w:tblW w:w="5000" w:type="pct"/>
        <w:tblLook w:val="01E0" w:firstRow="1" w:lastRow="1" w:firstColumn="1" w:lastColumn="1" w:noHBand="0" w:noVBand="0"/>
      </w:tblPr>
      <w:tblGrid>
        <w:gridCol w:w="4535"/>
        <w:gridCol w:w="4535"/>
      </w:tblGrid>
      <w:tr w:rsidR="008410A1" w:rsidRPr="003949BB" w14:paraId="5B093AC6" w14:textId="77777777" w:rsidTr="007A3D5C">
        <w:trPr>
          <w:tblHeader/>
        </w:trPr>
        <w:tc>
          <w:tcPr>
            <w:tcW w:w="2500" w:type="pct"/>
            <w:shd w:val="clear" w:color="auto" w:fill="E5E5E5"/>
          </w:tcPr>
          <w:p w14:paraId="56FD7A40" w14:textId="77777777" w:rsidR="008410A1" w:rsidRPr="003949BB" w:rsidRDefault="008410A1" w:rsidP="00BA2089">
            <w:pPr>
              <w:spacing w:line="276" w:lineRule="auto"/>
            </w:pPr>
            <w:r w:rsidRPr="003949BB">
              <w:br w:type="page"/>
              <w:t>Financial advice principles</w:t>
            </w:r>
          </w:p>
          <w:p w14:paraId="5547D49F" w14:textId="77777777" w:rsidR="008410A1" w:rsidRPr="003949BB" w:rsidRDefault="008410A1" w:rsidP="00BA2089">
            <w:pPr>
              <w:spacing w:line="276" w:lineRule="auto"/>
            </w:pPr>
            <w:r w:rsidRPr="003949BB">
              <w:t>Ethics and professionalism</w:t>
            </w:r>
          </w:p>
          <w:p w14:paraId="3FB4BCC4" w14:textId="77777777" w:rsidR="008410A1" w:rsidRPr="003949BB" w:rsidRDefault="008410A1" w:rsidP="00BA2089">
            <w:pPr>
              <w:spacing w:line="276" w:lineRule="auto"/>
            </w:pPr>
            <w:r w:rsidRPr="003949BB">
              <w:t>Superannuation and retirement planning</w:t>
            </w:r>
          </w:p>
          <w:p w14:paraId="13BA7F5A" w14:textId="77777777" w:rsidR="008410A1" w:rsidRPr="003949BB" w:rsidRDefault="008410A1" w:rsidP="00BA2089">
            <w:pPr>
              <w:spacing w:line="276" w:lineRule="auto"/>
            </w:pPr>
            <w:r w:rsidRPr="003949BB">
              <w:t>Estate planning</w:t>
            </w:r>
          </w:p>
          <w:p w14:paraId="74B4527E" w14:textId="77777777" w:rsidR="008410A1" w:rsidRPr="003949BB" w:rsidRDefault="008410A1" w:rsidP="00BA2089">
            <w:pPr>
              <w:spacing w:line="276" w:lineRule="auto"/>
            </w:pPr>
            <w:r w:rsidRPr="003949BB">
              <w:t>Insurance planning and risk management</w:t>
            </w:r>
          </w:p>
          <w:p w14:paraId="44CDB1D2" w14:textId="77777777" w:rsidR="008410A1" w:rsidRPr="003949BB" w:rsidRDefault="008410A1" w:rsidP="00BA2089">
            <w:pPr>
              <w:pStyle w:val="TableTextLeft"/>
              <w:spacing w:line="276" w:lineRule="auto"/>
            </w:pPr>
          </w:p>
        </w:tc>
        <w:tc>
          <w:tcPr>
            <w:tcW w:w="2500" w:type="pct"/>
            <w:shd w:val="clear" w:color="auto" w:fill="E5E5E5"/>
          </w:tcPr>
          <w:p w14:paraId="222B9D7B" w14:textId="488D84DA" w:rsidR="008410A1" w:rsidRPr="003949BB" w:rsidRDefault="008410A1" w:rsidP="00BA2089">
            <w:pPr>
              <w:spacing w:line="276" w:lineRule="auto"/>
            </w:pPr>
            <w:r w:rsidRPr="003949BB">
              <w:t xml:space="preserve">Taxation </w:t>
            </w:r>
          </w:p>
          <w:p w14:paraId="7E454980" w14:textId="77777777" w:rsidR="008410A1" w:rsidRPr="003949BB" w:rsidRDefault="008410A1" w:rsidP="00BA2089">
            <w:pPr>
              <w:spacing w:line="276" w:lineRule="auto"/>
            </w:pPr>
            <w:r w:rsidRPr="003949BB">
              <w:t>Investments</w:t>
            </w:r>
          </w:p>
          <w:p w14:paraId="4321C131" w14:textId="2BF43F47" w:rsidR="008410A1" w:rsidRPr="003949BB" w:rsidRDefault="008410A1" w:rsidP="00BA2089">
            <w:pPr>
              <w:spacing w:line="276" w:lineRule="auto"/>
            </w:pPr>
            <w:r w:rsidRPr="003949BB">
              <w:t xml:space="preserve">Commercial law </w:t>
            </w:r>
          </w:p>
          <w:p w14:paraId="00FD3ADD" w14:textId="77777777" w:rsidR="008410A1" w:rsidRPr="003949BB" w:rsidRDefault="008410A1" w:rsidP="00BA2089">
            <w:pPr>
              <w:spacing w:line="276" w:lineRule="auto"/>
            </w:pPr>
            <w:r w:rsidRPr="003949BB">
              <w:t>Financial plan construction</w:t>
            </w:r>
          </w:p>
          <w:p w14:paraId="0DC7DD65" w14:textId="77777777" w:rsidR="008410A1" w:rsidRPr="003949BB" w:rsidRDefault="008410A1" w:rsidP="00BA2089">
            <w:pPr>
              <w:spacing w:line="276" w:lineRule="auto"/>
            </w:pPr>
            <w:r w:rsidRPr="003949BB">
              <w:t>Financial advice, regulatory and legal obligations</w:t>
            </w:r>
          </w:p>
          <w:p w14:paraId="47852C81" w14:textId="77777777" w:rsidR="008410A1" w:rsidRPr="003949BB" w:rsidRDefault="008410A1" w:rsidP="00BA2089">
            <w:pPr>
              <w:spacing w:line="276" w:lineRule="auto"/>
            </w:pPr>
            <w:r w:rsidRPr="003949BB">
              <w:t>Behavioural finance, client and consumer behaviour, engagement and decision making</w:t>
            </w:r>
          </w:p>
        </w:tc>
      </w:tr>
    </w:tbl>
    <w:p w14:paraId="7403D96C" w14:textId="03D75AD6" w:rsidR="00B4496D" w:rsidRDefault="00E1073A" w:rsidP="00BA2089">
      <w:pPr>
        <w:spacing w:line="276" w:lineRule="auto"/>
      </w:pPr>
      <w:r>
        <w:t xml:space="preserve">The requirement </w:t>
      </w:r>
      <w:r w:rsidR="00053645">
        <w:t xml:space="preserve">to enter the industry </w:t>
      </w:r>
      <w:r>
        <w:t xml:space="preserve">will remain a </w:t>
      </w:r>
      <w:r w:rsidR="009540B2">
        <w:t>bachelor’s</w:t>
      </w:r>
      <w:r>
        <w:t xml:space="preserve"> degree </w:t>
      </w:r>
      <w:r w:rsidR="00053645">
        <w:t xml:space="preserve">(AQF 7) </w:t>
      </w:r>
      <w:r>
        <w:t xml:space="preserve">or higher. </w:t>
      </w:r>
      <w:r w:rsidR="0044729B">
        <w:t xml:space="preserve">The approved degrees listed in the Determination are qualifications that focus on or specialise in financial planning and financial advice disciplines. Some members of the industry are concerned that the approved degrees are too </w:t>
      </w:r>
      <w:r w:rsidR="00C233D8">
        <w:t>narrow and</w:t>
      </w:r>
      <w:r w:rsidR="0044729B">
        <w:t xml:space="preserve"> do</w:t>
      </w:r>
      <w:r w:rsidR="009B33B5">
        <w:t xml:space="preserve"> </w:t>
      </w:r>
      <w:r w:rsidR="0056597A">
        <w:t>no</w:t>
      </w:r>
      <w:r w:rsidR="0044729B">
        <w:t>t adequately recognise the needs of the diverse sub</w:t>
      </w:r>
      <w:r w:rsidR="008145EF">
        <w:noBreakHyphen/>
      </w:r>
      <w:r w:rsidR="0044729B">
        <w:t>sectors that make up the broad ‘financial advice’ industry, such as stockbrokers</w:t>
      </w:r>
      <w:r w:rsidR="00BA476E">
        <w:t xml:space="preserve">. In most cases the prescribed degrees include </w:t>
      </w:r>
      <w:r w:rsidR="00E8433A">
        <w:t xml:space="preserve">eight </w:t>
      </w:r>
      <w:r w:rsidR="00BA476E">
        <w:t>mandatory units which would allow universities to offer students a broad range of electives across other interest areas.</w:t>
      </w:r>
      <w:r w:rsidR="000F1E5B">
        <w:t xml:space="preserve"> </w:t>
      </w:r>
    </w:p>
    <w:p w14:paraId="17727806" w14:textId="4CC8A14A" w:rsidR="0025661B" w:rsidRDefault="0025661B" w:rsidP="00BA2089">
      <w:pPr>
        <w:spacing w:line="276" w:lineRule="auto"/>
      </w:pPr>
      <w:r>
        <w:t>It</w:t>
      </w:r>
      <w:r w:rsidR="00BA476E">
        <w:t xml:space="preserve"> i</w:t>
      </w:r>
      <w:r>
        <w:t xml:space="preserve">s worth noting that other professions require </w:t>
      </w:r>
      <w:r w:rsidR="003622FB">
        <w:t xml:space="preserve">their </w:t>
      </w:r>
      <w:r>
        <w:t xml:space="preserve">members to study </w:t>
      </w:r>
      <w:r w:rsidR="000D1A33">
        <w:t>subjects</w:t>
      </w:r>
      <w:r>
        <w:t xml:space="preserve"> as part of their formal education requirements that they may not use in their professional life.  </w:t>
      </w:r>
      <w:r w:rsidR="00F775F5">
        <w:t>For example, all valid law degrees are required to teach criminal law, despite not all lawyers practi</w:t>
      </w:r>
      <w:r w:rsidR="00B82D3A">
        <w:t>s</w:t>
      </w:r>
      <w:r w:rsidR="00F775F5">
        <w:t xml:space="preserve">ing in that area. </w:t>
      </w:r>
      <w:r w:rsidR="00BA476E">
        <w:t xml:space="preserve">Therefore, being required to complete a degree with some specified knowledge </w:t>
      </w:r>
      <w:r w:rsidR="007B1E19">
        <w:t xml:space="preserve">should </w:t>
      </w:r>
      <w:r w:rsidR="00BA476E">
        <w:t>not</w:t>
      </w:r>
      <w:r w:rsidR="00E8433A">
        <w:t xml:space="preserve"> necessarily </w:t>
      </w:r>
      <w:r w:rsidR="00BA476E">
        <w:t xml:space="preserve">pose a barrier to entry. </w:t>
      </w:r>
    </w:p>
    <w:p w14:paraId="69D2D92F" w14:textId="09E2FF63" w:rsidR="0011394E" w:rsidRDefault="0011394E" w:rsidP="00BA2089">
      <w:pPr>
        <w:spacing w:line="276" w:lineRule="auto"/>
      </w:pPr>
      <w:r>
        <w:t xml:space="preserve">The </w:t>
      </w:r>
      <w:r w:rsidR="005360DB">
        <w:t>p</w:t>
      </w:r>
      <w:r>
        <w:t xml:space="preserve">rofessional </w:t>
      </w:r>
      <w:r w:rsidR="005360DB">
        <w:t>y</w:t>
      </w:r>
      <w:r>
        <w:t>ear requires new entrants to complete a full-time year of supervised work, equivalent to 1</w:t>
      </w:r>
      <w:r w:rsidR="00E8433A">
        <w:t>,</w:t>
      </w:r>
      <w:r>
        <w:t xml:space="preserve">600 hours. The </w:t>
      </w:r>
      <w:r w:rsidR="005360DB">
        <w:t>p</w:t>
      </w:r>
      <w:r w:rsidR="00E8433A">
        <w:t xml:space="preserve">rofessional </w:t>
      </w:r>
      <w:r w:rsidR="005360DB">
        <w:t>y</w:t>
      </w:r>
      <w:r w:rsidR="00E8433A">
        <w:t>ear</w:t>
      </w:r>
      <w:r>
        <w:t xml:space="preserve"> is divided into four quarters of work. The first quarter focuses on client observations and supporting an experience</w:t>
      </w:r>
      <w:r w:rsidR="0030589E">
        <w:t>d</w:t>
      </w:r>
      <w:r>
        <w:t xml:space="preserve"> adviser. The second quarter involves supervised client engagement and advice preparation</w:t>
      </w:r>
      <w:r w:rsidR="00E8433A">
        <w:t>. T</w:t>
      </w:r>
      <w:r>
        <w:t xml:space="preserve">he third and fourth quarters involve indirect supervision of client engagement and advice preparation. The four key skills areas </w:t>
      </w:r>
      <w:r w:rsidR="00175D25">
        <w:t xml:space="preserve">that </w:t>
      </w:r>
      <w:r>
        <w:t xml:space="preserve">the </w:t>
      </w:r>
      <w:r w:rsidR="00B83C88">
        <w:lastRenderedPageBreak/>
        <w:t>p</w:t>
      </w:r>
      <w:r w:rsidR="00E8433A">
        <w:t xml:space="preserve">rofessional </w:t>
      </w:r>
      <w:r w:rsidR="00B83C88">
        <w:t>y</w:t>
      </w:r>
      <w:r w:rsidR="00E8433A">
        <w:t>ear</w:t>
      </w:r>
      <w:r>
        <w:t xml:space="preserve"> </w:t>
      </w:r>
      <w:r w:rsidR="00E8433A">
        <w:t xml:space="preserve">aims </w:t>
      </w:r>
      <w:r>
        <w:t xml:space="preserve">to develop are technical competence, client care and practice, regulatory compliance and consumer protection, and professionalism and ethics.  </w:t>
      </w:r>
    </w:p>
    <w:p w14:paraId="69CC7064" w14:textId="0329124A" w:rsidR="0044729B" w:rsidRDefault="0044729B" w:rsidP="00BA2089">
      <w:pPr>
        <w:spacing w:line="276" w:lineRule="auto"/>
      </w:pPr>
      <w:r>
        <w:t xml:space="preserve">We welcome your views on the </w:t>
      </w:r>
      <w:r w:rsidR="00545B68">
        <w:t xml:space="preserve">proposed reform </w:t>
      </w:r>
      <w:r>
        <w:t>below, which represent</w:t>
      </w:r>
      <w:r w:rsidR="00545B68">
        <w:t>s</w:t>
      </w:r>
      <w:r>
        <w:t xml:space="preserve"> </w:t>
      </w:r>
      <w:r w:rsidR="00545B68">
        <w:t xml:space="preserve">changes </w:t>
      </w:r>
      <w:r>
        <w:t>that aim to balance the need for specificity and flexibility in education for new entrants, while ensuring an appropriate minimum standard of knowledge.</w:t>
      </w:r>
    </w:p>
    <w:tbl>
      <w:tblPr>
        <w:tblW w:w="5000" w:type="pct"/>
        <w:shd w:val="clear" w:color="auto" w:fill="F2F9FC"/>
        <w:tblCellMar>
          <w:top w:w="227" w:type="dxa"/>
          <w:left w:w="227" w:type="dxa"/>
          <w:bottom w:w="227" w:type="dxa"/>
          <w:right w:w="227" w:type="dxa"/>
        </w:tblCellMar>
        <w:tblLook w:val="01E0" w:firstRow="1" w:lastRow="1" w:firstColumn="1" w:lastColumn="1" w:noHBand="0" w:noVBand="0"/>
      </w:tblPr>
      <w:tblGrid>
        <w:gridCol w:w="9070"/>
      </w:tblGrid>
      <w:tr w:rsidR="006A74A9" w14:paraId="6A2034E7" w14:textId="77777777" w:rsidTr="006A74A9">
        <w:trPr>
          <w:trHeight w:val="890"/>
        </w:trPr>
        <w:tc>
          <w:tcPr>
            <w:tcW w:w="5000" w:type="pct"/>
            <w:shd w:val="clear" w:color="auto" w:fill="F2F9FC"/>
            <w:hideMark/>
          </w:tcPr>
          <w:p w14:paraId="1684D761" w14:textId="5346D109" w:rsidR="006A74A9" w:rsidRDefault="00151064" w:rsidP="006A74A9">
            <w:pPr>
              <w:pStyle w:val="BoxHeading"/>
              <w:rPr>
                <w:szCs w:val="28"/>
                <w:lang w:eastAsia="en-US"/>
              </w:rPr>
            </w:pPr>
            <w:r>
              <w:rPr>
                <w:szCs w:val="28"/>
                <w:lang w:eastAsia="en-US"/>
              </w:rPr>
              <w:t xml:space="preserve">Outline of proposed </w:t>
            </w:r>
            <w:r w:rsidR="001E3E24">
              <w:rPr>
                <w:szCs w:val="28"/>
                <w:lang w:eastAsia="en-US"/>
              </w:rPr>
              <w:t>reform</w:t>
            </w:r>
            <w:r w:rsidR="000B32D9">
              <w:rPr>
                <w:szCs w:val="28"/>
                <w:lang w:eastAsia="en-US"/>
              </w:rPr>
              <w:t xml:space="preserve"> </w:t>
            </w:r>
          </w:p>
          <w:p w14:paraId="2D21896F" w14:textId="7FC7FEA4" w:rsidR="006A74A9" w:rsidRPr="00151064" w:rsidRDefault="001E3E24" w:rsidP="002A762D">
            <w:pPr>
              <w:pStyle w:val="OutlineNumbered1"/>
              <w:numPr>
                <w:ilvl w:val="0"/>
                <w:numId w:val="29"/>
              </w:numPr>
              <w:rPr>
                <w:b/>
                <w:bCs/>
                <w:lang w:eastAsia="en-US"/>
              </w:rPr>
            </w:pPr>
            <w:r w:rsidRPr="00151064">
              <w:rPr>
                <w:b/>
                <w:bCs/>
                <w:lang w:eastAsia="en-US"/>
              </w:rPr>
              <w:t>Streamline core knowledge areas</w:t>
            </w:r>
            <w:r w:rsidR="004C4023">
              <w:rPr>
                <w:lang w:eastAsia="en-US"/>
              </w:rPr>
              <w:t xml:space="preserve"> from the current</w:t>
            </w:r>
            <w:r w:rsidR="001F77D4">
              <w:rPr>
                <w:lang w:eastAsia="en-US"/>
              </w:rPr>
              <w:t xml:space="preserve"> </w:t>
            </w:r>
            <w:r w:rsidR="003B5CF0">
              <w:rPr>
                <w:lang w:eastAsia="en-US"/>
              </w:rPr>
              <w:t>11</w:t>
            </w:r>
            <w:r w:rsidR="00E8433A">
              <w:rPr>
                <w:lang w:eastAsia="en-US"/>
              </w:rPr>
              <w:t xml:space="preserve"> </w:t>
            </w:r>
            <w:r w:rsidR="004C4023">
              <w:rPr>
                <w:lang w:eastAsia="en-US"/>
              </w:rPr>
              <w:t xml:space="preserve">to a proposed </w:t>
            </w:r>
            <w:r w:rsidR="003B5CF0">
              <w:rPr>
                <w:lang w:eastAsia="en-US"/>
              </w:rPr>
              <w:t>5</w:t>
            </w:r>
            <w:r w:rsidR="004C4023">
              <w:rPr>
                <w:lang w:eastAsia="en-US"/>
              </w:rPr>
              <w:t xml:space="preserve">. </w:t>
            </w:r>
          </w:p>
          <w:p w14:paraId="5FBBE8DB" w14:textId="5C6D1537" w:rsidR="00440238" w:rsidRPr="00440238" w:rsidRDefault="00151064" w:rsidP="00E10998">
            <w:pPr>
              <w:pStyle w:val="OutlineNumbered1"/>
              <w:rPr>
                <w:b/>
                <w:bCs/>
                <w:lang w:eastAsia="en-US"/>
              </w:rPr>
            </w:pPr>
            <w:r>
              <w:rPr>
                <w:b/>
                <w:bCs/>
                <w:lang w:eastAsia="en-US"/>
              </w:rPr>
              <w:t xml:space="preserve">Allow </w:t>
            </w:r>
            <w:r w:rsidR="00E8433A">
              <w:rPr>
                <w:b/>
                <w:bCs/>
                <w:lang w:eastAsia="en-US"/>
              </w:rPr>
              <w:t xml:space="preserve">education </w:t>
            </w:r>
            <w:r w:rsidR="00933486">
              <w:rPr>
                <w:b/>
                <w:bCs/>
                <w:lang w:eastAsia="en-US"/>
              </w:rPr>
              <w:t xml:space="preserve">providers </w:t>
            </w:r>
            <w:r w:rsidR="001F77D4">
              <w:rPr>
                <w:b/>
                <w:bCs/>
                <w:lang w:eastAsia="en-US"/>
              </w:rPr>
              <w:t xml:space="preserve">to </w:t>
            </w:r>
            <w:r w:rsidR="00880949">
              <w:rPr>
                <w:b/>
                <w:bCs/>
                <w:lang w:eastAsia="en-US"/>
              </w:rPr>
              <w:t>self-</w:t>
            </w:r>
            <w:r w:rsidR="009B33B5">
              <w:rPr>
                <w:b/>
                <w:bCs/>
                <w:lang w:eastAsia="en-US"/>
              </w:rPr>
              <w:t xml:space="preserve">declare </w:t>
            </w:r>
            <w:r w:rsidR="004C4023">
              <w:rPr>
                <w:lang w:eastAsia="en-US"/>
              </w:rPr>
              <w:t>that the degree they are offering teaches the core knowledge areas</w:t>
            </w:r>
            <w:r w:rsidR="001F77D4">
              <w:rPr>
                <w:lang w:eastAsia="en-US"/>
              </w:rPr>
              <w:t>.</w:t>
            </w:r>
            <w:r w:rsidR="004C4023">
              <w:rPr>
                <w:lang w:eastAsia="en-US"/>
              </w:rPr>
              <w:t xml:space="preserve"> </w:t>
            </w:r>
            <w:r w:rsidR="00DB4B81">
              <w:rPr>
                <w:b/>
                <w:bCs/>
                <w:lang w:eastAsia="en-US"/>
              </w:rPr>
              <w:t xml:space="preserve"> </w:t>
            </w:r>
            <w:r w:rsidR="00933486">
              <w:rPr>
                <w:b/>
                <w:bCs/>
                <w:lang w:eastAsia="en-US"/>
              </w:rPr>
              <w:t xml:space="preserve"> </w:t>
            </w:r>
          </w:p>
          <w:p w14:paraId="7CD3F30D" w14:textId="7BE02716" w:rsidR="006A74A9" w:rsidRPr="006A74A9" w:rsidRDefault="00DB4B81" w:rsidP="00E10998">
            <w:pPr>
              <w:pStyle w:val="OutlineNumbered1"/>
              <w:rPr>
                <w:b/>
                <w:bCs/>
                <w:lang w:eastAsia="en-US"/>
              </w:rPr>
            </w:pPr>
            <w:r>
              <w:rPr>
                <w:b/>
                <w:bCs/>
                <w:lang w:eastAsia="en-US"/>
              </w:rPr>
              <w:t>Streamlin</w:t>
            </w:r>
            <w:r w:rsidR="00E8433A">
              <w:rPr>
                <w:b/>
                <w:bCs/>
                <w:lang w:eastAsia="en-US"/>
              </w:rPr>
              <w:t>e</w:t>
            </w:r>
            <w:r>
              <w:rPr>
                <w:b/>
                <w:bCs/>
                <w:lang w:eastAsia="en-US"/>
              </w:rPr>
              <w:t xml:space="preserve"> the </w:t>
            </w:r>
            <w:r w:rsidR="00880949">
              <w:rPr>
                <w:b/>
                <w:bCs/>
                <w:lang w:eastAsia="en-US"/>
              </w:rPr>
              <w:t>pr</w:t>
            </w:r>
            <w:r>
              <w:rPr>
                <w:b/>
                <w:bCs/>
                <w:lang w:eastAsia="en-US"/>
              </w:rPr>
              <w:t xml:space="preserve">ofessional </w:t>
            </w:r>
            <w:r w:rsidR="00880949">
              <w:rPr>
                <w:b/>
                <w:bCs/>
                <w:lang w:eastAsia="en-US"/>
              </w:rPr>
              <w:t>y</w:t>
            </w:r>
            <w:r>
              <w:rPr>
                <w:b/>
                <w:bCs/>
                <w:lang w:eastAsia="en-US"/>
              </w:rPr>
              <w:t>ear</w:t>
            </w:r>
            <w:r w:rsidR="007D25B6">
              <w:rPr>
                <w:b/>
                <w:bCs/>
                <w:lang w:eastAsia="en-US"/>
              </w:rPr>
              <w:t xml:space="preserve"> </w:t>
            </w:r>
            <w:r w:rsidR="007D25B6">
              <w:rPr>
                <w:lang w:eastAsia="en-US"/>
              </w:rPr>
              <w:t xml:space="preserve">by </w:t>
            </w:r>
            <w:r w:rsidR="00B52067">
              <w:rPr>
                <w:lang w:eastAsia="en-US"/>
              </w:rPr>
              <w:t xml:space="preserve">introducing more flexibility in how candidates </w:t>
            </w:r>
            <w:proofErr w:type="gramStart"/>
            <w:r w:rsidR="00B52067">
              <w:rPr>
                <w:lang w:eastAsia="en-US"/>
              </w:rPr>
              <w:t>are able to</w:t>
            </w:r>
            <w:proofErr w:type="gramEnd"/>
            <w:r w:rsidR="00B52067">
              <w:rPr>
                <w:lang w:eastAsia="en-US"/>
              </w:rPr>
              <w:t xml:space="preserve"> complete </w:t>
            </w:r>
            <w:r w:rsidR="00E8433A">
              <w:rPr>
                <w:lang w:eastAsia="en-US"/>
              </w:rPr>
              <w:t>it</w:t>
            </w:r>
            <w:r w:rsidR="00B52067">
              <w:rPr>
                <w:lang w:eastAsia="en-US"/>
              </w:rPr>
              <w:t xml:space="preserve">, including the point at which they have to pass the exam.  </w:t>
            </w:r>
          </w:p>
        </w:tc>
      </w:tr>
    </w:tbl>
    <w:p w14:paraId="1C89B8A3" w14:textId="2C4C6BB1" w:rsidR="0044729B" w:rsidRPr="0044729B" w:rsidRDefault="005657D4" w:rsidP="002219E6">
      <w:pPr>
        <w:pStyle w:val="Heading3"/>
      </w:pPr>
      <w:bookmarkStart w:id="21" w:name="_Toc110584848"/>
      <w:r>
        <w:t>Streamline core knowledge areas</w:t>
      </w:r>
      <w:bookmarkEnd w:id="21"/>
    </w:p>
    <w:p w14:paraId="0F11BADE" w14:textId="3911F3FD" w:rsidR="004F73EE" w:rsidRDefault="007753F1" w:rsidP="002219E6">
      <w:pPr>
        <w:spacing w:line="276" w:lineRule="auto"/>
      </w:pPr>
      <w:r>
        <w:t>Under this approach the core knowledge areas</w:t>
      </w:r>
      <w:r w:rsidR="00E8433A">
        <w:t xml:space="preserve"> </w:t>
      </w:r>
      <w:r>
        <w:t xml:space="preserve">in an approved degree would be </w:t>
      </w:r>
      <w:r w:rsidR="00E8433A">
        <w:t xml:space="preserve">reduced </w:t>
      </w:r>
      <w:r>
        <w:t xml:space="preserve">from the current </w:t>
      </w:r>
      <w:r w:rsidR="002219E6">
        <w:t>11</w:t>
      </w:r>
      <w:r w:rsidR="00E8433A">
        <w:t xml:space="preserve"> </w:t>
      </w:r>
      <w:r>
        <w:t xml:space="preserve">core knowledge areas to </w:t>
      </w:r>
      <w:r w:rsidR="002219E6">
        <w:t>5</w:t>
      </w:r>
      <w:r>
        <w:t xml:space="preserve">. </w:t>
      </w:r>
      <w:r w:rsidR="003379C5">
        <w:t>It is intended that through reducing the core knowledge areas that a broader range of degrees become eligible as entry pathways to the financial advice profession</w:t>
      </w:r>
      <w:r w:rsidR="00E80D27">
        <w:t xml:space="preserve">. </w:t>
      </w:r>
    </w:p>
    <w:p w14:paraId="6B8867B4" w14:textId="44524CBB" w:rsidR="00857052" w:rsidRDefault="008757BA" w:rsidP="002219E6">
      <w:pPr>
        <w:spacing w:line="276" w:lineRule="auto"/>
      </w:pPr>
      <w:r>
        <w:t>The proposed new core knowledge areas comprise:</w:t>
      </w:r>
    </w:p>
    <w:p w14:paraId="6745B442" w14:textId="5E684EAA" w:rsidR="008757BA" w:rsidRDefault="008757BA" w:rsidP="002219E6">
      <w:pPr>
        <w:pStyle w:val="Bullet"/>
      </w:pPr>
      <w:r>
        <w:t>Taxation law</w:t>
      </w:r>
    </w:p>
    <w:p w14:paraId="629EAE64" w14:textId="164D8728" w:rsidR="008757BA" w:rsidRDefault="008757BA" w:rsidP="002219E6">
      <w:pPr>
        <w:pStyle w:val="Bullet"/>
      </w:pPr>
      <w:r>
        <w:t>Commercial law</w:t>
      </w:r>
    </w:p>
    <w:p w14:paraId="3746B8F6" w14:textId="5DCB6278" w:rsidR="008757BA" w:rsidRDefault="008757BA" w:rsidP="002219E6">
      <w:pPr>
        <w:pStyle w:val="Bullet"/>
      </w:pPr>
      <w:r>
        <w:t>Financial advice regulatory and legal obligations</w:t>
      </w:r>
    </w:p>
    <w:p w14:paraId="5E8D7068" w14:textId="289AAB61" w:rsidR="008757BA" w:rsidRDefault="008757BA" w:rsidP="002219E6">
      <w:pPr>
        <w:pStyle w:val="Bullet"/>
      </w:pPr>
      <w:r>
        <w:t>Ethics and professionalism</w:t>
      </w:r>
    </w:p>
    <w:p w14:paraId="50AD7A5C" w14:textId="0FD358E5" w:rsidR="008757BA" w:rsidRDefault="008757BA" w:rsidP="002219E6">
      <w:pPr>
        <w:pStyle w:val="Bullet"/>
      </w:pPr>
      <w:r>
        <w:t>Behavioural finance and client engagement</w:t>
      </w:r>
    </w:p>
    <w:p w14:paraId="7514D842" w14:textId="47E06BD9" w:rsidR="007753F1" w:rsidRDefault="00857052" w:rsidP="002219E6">
      <w:pPr>
        <w:spacing w:line="276" w:lineRule="auto"/>
      </w:pPr>
      <w:r>
        <w:t>The streamlining of the core knowledge areas ensures that all financial advisers share a common foundation</w:t>
      </w:r>
      <w:r w:rsidR="00175D25">
        <w:t xml:space="preserve"> of knowledge and learning outcomes</w:t>
      </w:r>
      <w:r>
        <w:t xml:space="preserve"> that will be applicable in a </w:t>
      </w:r>
      <w:r w:rsidR="00053645">
        <w:t>range</w:t>
      </w:r>
      <w:r>
        <w:t xml:space="preserve"> of financial service industry roles. This is not to say </w:t>
      </w:r>
      <w:r w:rsidR="00D263A7">
        <w:t xml:space="preserve">that those core knowledge areas </w:t>
      </w:r>
      <w:r w:rsidR="00175D25">
        <w:t>that</w:t>
      </w:r>
      <w:r w:rsidR="00053645">
        <w:t xml:space="preserve"> </w:t>
      </w:r>
      <w:r w:rsidR="00D263A7">
        <w:t>have been removed are not relevant to the financial advice profession</w:t>
      </w:r>
      <w:r>
        <w:t xml:space="preserve">, </w:t>
      </w:r>
      <w:r w:rsidR="00053645">
        <w:t>rather this</w:t>
      </w:r>
      <w:r w:rsidR="00D263A7">
        <w:t xml:space="preserve"> </w:t>
      </w:r>
      <w:r w:rsidR="00053645">
        <w:t>emphasises</w:t>
      </w:r>
      <w:r>
        <w:t xml:space="preserve"> </w:t>
      </w:r>
      <w:r w:rsidR="00D263A7">
        <w:t xml:space="preserve">that not all core knowledge areas will be relevant for every financial </w:t>
      </w:r>
      <w:r w:rsidR="004B5CBA">
        <w:t>adviser,</w:t>
      </w:r>
      <w:r w:rsidR="00D263A7">
        <w:t xml:space="preserve"> and it </w:t>
      </w:r>
      <w:r w:rsidR="004C1895">
        <w:t xml:space="preserve">may </w:t>
      </w:r>
      <w:r w:rsidR="00D263A7">
        <w:t>be more appropriate for potential financial advisers to choose those knowledge areas as electives</w:t>
      </w:r>
      <w:r w:rsidR="00E80D27">
        <w:t xml:space="preserve"> or to develop those core knowledge areas </w:t>
      </w:r>
      <w:r w:rsidR="00053645">
        <w:t>‘</w:t>
      </w:r>
      <w:r w:rsidR="00E80D27">
        <w:t>on-the-job</w:t>
      </w:r>
      <w:r w:rsidR="00053645">
        <w:t>’</w:t>
      </w:r>
      <w:r w:rsidR="00E80D27">
        <w:t xml:space="preserve"> during their professional year.</w:t>
      </w:r>
      <w:r w:rsidR="00D263A7">
        <w:t xml:space="preserve"> </w:t>
      </w:r>
      <w:r w:rsidR="001C249A">
        <w:t>We expect that the core knowledge areas and learning outcomes would for the most part mirror the existing learning outcomes.</w:t>
      </w:r>
      <w:r w:rsidR="00FC166C">
        <w:t xml:space="preserve"> </w:t>
      </w:r>
    </w:p>
    <w:p w14:paraId="4C6BE9C5" w14:textId="70522974" w:rsidR="00E20768" w:rsidRDefault="00372E4D" w:rsidP="00E0054D">
      <w:pPr>
        <w:pStyle w:val="Heading3"/>
      </w:pPr>
      <w:bookmarkStart w:id="22" w:name="_Toc110584849"/>
      <w:r>
        <w:t>Education providers to self-</w:t>
      </w:r>
      <w:r w:rsidR="004B5B24">
        <w:t>declare</w:t>
      </w:r>
      <w:r w:rsidR="00E06768">
        <w:t xml:space="preserve"> that</w:t>
      </w:r>
      <w:r w:rsidR="004B5B24">
        <w:t xml:space="preserve"> </w:t>
      </w:r>
      <w:r>
        <w:t>their courses</w:t>
      </w:r>
      <w:r w:rsidR="00053645">
        <w:t xml:space="preserve"> teach the core knowledge areas</w:t>
      </w:r>
      <w:bookmarkEnd w:id="22"/>
    </w:p>
    <w:p w14:paraId="47C5A5B6" w14:textId="7B9647E4" w:rsidR="00B75504" w:rsidRDefault="007614C8" w:rsidP="00E0054D">
      <w:pPr>
        <w:spacing w:line="276" w:lineRule="auto"/>
      </w:pPr>
      <w:r>
        <w:t xml:space="preserve">The law </w:t>
      </w:r>
      <w:r w:rsidR="00372E4D">
        <w:t>would</w:t>
      </w:r>
      <w:r>
        <w:t xml:space="preserve"> be amended so </w:t>
      </w:r>
      <w:r w:rsidR="00E0054D">
        <w:t xml:space="preserve">that </w:t>
      </w:r>
      <w:r w:rsidR="00372E4D">
        <w:t>rather than requiring degrees to be approved</w:t>
      </w:r>
      <w:r>
        <w:t xml:space="preserve">, </w:t>
      </w:r>
      <w:r w:rsidR="00937662">
        <w:t xml:space="preserve">education providers </w:t>
      </w:r>
      <w:r w:rsidR="006A683A">
        <w:t xml:space="preserve">would provide </w:t>
      </w:r>
      <w:r w:rsidR="00053645">
        <w:t xml:space="preserve">a declaration </w:t>
      </w:r>
      <w:r w:rsidR="006A683A">
        <w:t>that their course is teaching the core knowledge areas</w:t>
      </w:r>
      <w:r w:rsidR="00703A6B">
        <w:t xml:space="preserve">. </w:t>
      </w:r>
      <w:r w:rsidR="00053645">
        <w:t xml:space="preserve">This declaration </w:t>
      </w:r>
      <w:r w:rsidR="00B75504">
        <w:lastRenderedPageBreak/>
        <w:t xml:space="preserve">would require the education provider </w:t>
      </w:r>
      <w:r w:rsidR="000D50C3">
        <w:t xml:space="preserve">to </w:t>
      </w:r>
      <w:r w:rsidR="00E0054D">
        <w:t>give</w:t>
      </w:r>
      <w:r w:rsidR="000D50C3">
        <w:t xml:space="preserve"> assurance</w:t>
      </w:r>
      <w:r w:rsidR="00E0054D">
        <w:t xml:space="preserve"> to Government that</w:t>
      </w:r>
      <w:r w:rsidR="00B75504">
        <w:t xml:space="preserve"> their course is teaching the core knowledge</w:t>
      </w:r>
      <w:r w:rsidR="00E0054D">
        <w:t xml:space="preserve"> areas</w:t>
      </w:r>
      <w:r w:rsidR="00703A6B">
        <w:t>, including</w:t>
      </w:r>
      <w:r w:rsidR="000D50C3">
        <w:t xml:space="preserve"> identifying which subjects cover which knowledge area</w:t>
      </w:r>
      <w:r w:rsidR="00E06768">
        <w:t>s</w:t>
      </w:r>
      <w:r w:rsidR="000D50C3">
        <w:t xml:space="preserve">. </w:t>
      </w:r>
      <w:r w:rsidR="004B5B24">
        <w:t>Higher education providers would have the flexibility to cover the knowledge areas in individual courses or split them across multiple</w:t>
      </w:r>
      <w:r w:rsidR="00281AC6">
        <w:t xml:space="preserve"> courses</w:t>
      </w:r>
      <w:r w:rsidR="004B5B24">
        <w:t xml:space="preserve">. </w:t>
      </w:r>
    </w:p>
    <w:p w14:paraId="51334945" w14:textId="18B09C75" w:rsidR="00DD2429" w:rsidRDefault="000B74A8" w:rsidP="00E0054D">
      <w:pPr>
        <w:spacing w:line="276" w:lineRule="auto"/>
      </w:pPr>
      <w:r>
        <w:t xml:space="preserve">Degrees </w:t>
      </w:r>
      <w:r w:rsidR="00B75504">
        <w:t xml:space="preserve">provided by education providers that have made this </w:t>
      </w:r>
      <w:r w:rsidR="00281AC6">
        <w:t xml:space="preserve">declaration </w:t>
      </w:r>
      <w:r>
        <w:t>would be listed publicly to ensure that prospective students have clarity that the degree, if complete</w:t>
      </w:r>
      <w:r w:rsidR="004C1895">
        <w:t>d</w:t>
      </w:r>
      <w:r>
        <w:t>, would satisfy the education requirements for</w:t>
      </w:r>
      <w:r w:rsidR="00703A6B">
        <w:t xml:space="preserve"> the</w:t>
      </w:r>
      <w:r>
        <w:t xml:space="preserve"> financial advi</w:t>
      </w:r>
      <w:r w:rsidR="00703A6B">
        <w:t xml:space="preserve">ce profession. </w:t>
      </w:r>
    </w:p>
    <w:p w14:paraId="4997F56E" w14:textId="7D5E5346" w:rsidR="00DD2429" w:rsidRDefault="00DD2429" w:rsidP="00E0054D">
      <w:pPr>
        <w:spacing w:line="276" w:lineRule="auto"/>
      </w:pPr>
      <w:r>
        <w:t>The intention of this approach is t</w:t>
      </w:r>
      <w:r w:rsidR="00795131">
        <w:t xml:space="preserve">o </w:t>
      </w:r>
      <w:r w:rsidR="00CD36D5">
        <w:t>remove t</w:t>
      </w:r>
      <w:r w:rsidR="00795131">
        <w:t>he curre</w:t>
      </w:r>
      <w:r w:rsidR="000B74A8">
        <w:t xml:space="preserve">nt </w:t>
      </w:r>
      <w:r w:rsidR="00CD36D5">
        <w:t xml:space="preserve">process of education providers seeking approval of the degrees they offer, </w:t>
      </w:r>
      <w:r w:rsidR="000B74A8">
        <w:t xml:space="preserve">which is </w:t>
      </w:r>
      <w:r w:rsidR="00CD36D5">
        <w:t xml:space="preserve">time-consuming, </w:t>
      </w:r>
      <w:r w:rsidR="000B74A8">
        <w:t xml:space="preserve">highly prescriptive and </w:t>
      </w:r>
      <w:r w:rsidR="007D2728">
        <w:t xml:space="preserve">does not eliminate </w:t>
      </w:r>
      <w:r w:rsidR="000B74A8">
        <w:t>risk</w:t>
      </w:r>
      <w:r w:rsidR="0003668A">
        <w:t>s</w:t>
      </w:r>
      <w:r w:rsidR="000B74A8">
        <w:t xml:space="preserve"> </w:t>
      </w:r>
      <w:r w:rsidR="00281AC6">
        <w:t xml:space="preserve">of </w:t>
      </w:r>
      <w:r w:rsidR="000B74A8">
        <w:t>graduates not meet</w:t>
      </w:r>
      <w:r w:rsidR="00281AC6">
        <w:t xml:space="preserve">ing </w:t>
      </w:r>
      <w:r w:rsidR="000B74A8">
        <w:t>the education requirements for technical reasons</w:t>
      </w:r>
      <w:r w:rsidR="00703A6B">
        <w:t xml:space="preserve">. </w:t>
      </w:r>
    </w:p>
    <w:p w14:paraId="584EF3C6" w14:textId="504B32E5" w:rsidR="00C75EC3" w:rsidRPr="00415319" w:rsidRDefault="00587561" w:rsidP="00E0054D">
      <w:pPr>
        <w:spacing w:line="276" w:lineRule="auto"/>
      </w:pPr>
      <w:r>
        <w:t>Additionally, it</w:t>
      </w:r>
      <w:r w:rsidR="000B74A8">
        <w:t xml:space="preserve"> </w:t>
      </w:r>
      <w:r w:rsidR="00126779">
        <w:t xml:space="preserve">is </w:t>
      </w:r>
      <w:r w:rsidR="000B74A8">
        <w:t xml:space="preserve">intended that adopting </w:t>
      </w:r>
      <w:r w:rsidR="00CD36D5">
        <w:t>an education provider self-</w:t>
      </w:r>
      <w:r w:rsidR="00281AC6">
        <w:t xml:space="preserve">declaration </w:t>
      </w:r>
      <w:r w:rsidR="00CD36D5">
        <w:t>process would</w:t>
      </w:r>
      <w:r>
        <w:t xml:space="preserve"> facilitate a wider range of degrees</w:t>
      </w:r>
      <w:r w:rsidR="008B19BC">
        <w:t xml:space="preserve"> being</w:t>
      </w:r>
      <w:r>
        <w:t xml:space="preserve"> </w:t>
      </w:r>
      <w:r w:rsidR="00002B99">
        <w:t xml:space="preserve">available </w:t>
      </w:r>
      <w:r>
        <w:t>as entry pathways to the financial advice profession</w:t>
      </w:r>
      <w:r w:rsidR="000B74A8">
        <w:t xml:space="preserve">, and when combined with a streamlined </w:t>
      </w:r>
      <w:r w:rsidR="000B0A81">
        <w:t xml:space="preserve">core knowledge area, encourage education providers to offer financial advice degrees with a </w:t>
      </w:r>
      <w:r w:rsidR="00281AC6">
        <w:t xml:space="preserve">broad </w:t>
      </w:r>
      <w:r w:rsidR="000B0A81">
        <w:t xml:space="preserve">range </w:t>
      </w:r>
      <w:r>
        <w:t>of subjects</w:t>
      </w:r>
      <w:r w:rsidR="000B0A81">
        <w:t xml:space="preserve">. </w:t>
      </w:r>
    </w:p>
    <w:tbl>
      <w:tblPr>
        <w:tblW w:w="5000" w:type="pct"/>
        <w:shd w:val="clear" w:color="auto" w:fill="EEEEEE" w:themeFill="background2"/>
        <w:tblCellMar>
          <w:top w:w="227" w:type="dxa"/>
          <w:left w:w="227" w:type="dxa"/>
          <w:bottom w:w="227" w:type="dxa"/>
          <w:right w:w="227" w:type="dxa"/>
        </w:tblCellMar>
        <w:tblLook w:val="04A0" w:firstRow="1" w:lastRow="0" w:firstColumn="1" w:lastColumn="0" w:noHBand="0" w:noVBand="1"/>
      </w:tblPr>
      <w:tblGrid>
        <w:gridCol w:w="9070"/>
      </w:tblGrid>
      <w:tr w:rsidR="00961E74" w14:paraId="0D498993" w14:textId="315FE080" w:rsidTr="006016A6">
        <w:tc>
          <w:tcPr>
            <w:tcW w:w="5000" w:type="pct"/>
            <w:shd w:val="clear" w:color="auto" w:fill="EEEEEE" w:themeFill="background2"/>
          </w:tcPr>
          <w:p w14:paraId="294F956F" w14:textId="355FF58C" w:rsidR="000D459F" w:rsidRDefault="000D459F" w:rsidP="002B572A">
            <w:pPr>
              <w:pStyle w:val="BoxHeading"/>
              <w:spacing w:line="276" w:lineRule="auto"/>
            </w:pPr>
            <w:r>
              <w:lastRenderedPageBreak/>
              <w:t>Questions – Formal education and exam</w:t>
            </w:r>
          </w:p>
          <w:p w14:paraId="37C4E64E" w14:textId="32D3502B" w:rsidR="00FC38C8" w:rsidRDefault="008C4924" w:rsidP="002B572A">
            <w:pPr>
              <w:pStyle w:val="OutlineNumbered1"/>
              <w:numPr>
                <w:ilvl w:val="0"/>
                <w:numId w:val="5"/>
              </w:numPr>
              <w:spacing w:line="276" w:lineRule="auto"/>
            </w:pPr>
            <w:r>
              <w:t xml:space="preserve">Are the proposed </w:t>
            </w:r>
            <w:r w:rsidR="00A93039">
              <w:t xml:space="preserve">core knowledge areas appropriate </w:t>
            </w:r>
            <w:r w:rsidR="00FC38C8">
              <w:t>for the financial advice profession? If no</w:t>
            </w:r>
            <w:r w:rsidR="00021675">
              <w:t>t</w:t>
            </w:r>
            <w:r w:rsidR="00FC38C8">
              <w:t>, what is missing</w:t>
            </w:r>
            <w:r w:rsidR="00882543">
              <w:t xml:space="preserve"> and why is that area important</w:t>
            </w:r>
            <w:r w:rsidR="00FC38C8">
              <w:t>?</w:t>
            </w:r>
          </w:p>
          <w:p w14:paraId="4CCCFBBD" w14:textId="7129919A" w:rsidR="00FC38C8" w:rsidRDefault="00FC38C8" w:rsidP="002B572A">
            <w:pPr>
              <w:pStyle w:val="OutlineNumbered1"/>
              <w:numPr>
                <w:ilvl w:val="0"/>
                <w:numId w:val="5"/>
              </w:numPr>
              <w:spacing w:line="276" w:lineRule="auto"/>
            </w:pPr>
            <w:r>
              <w:t xml:space="preserve">Are there any specific areas under each core knowledge area that should be </w:t>
            </w:r>
            <w:r w:rsidR="00AF5F7E">
              <w:t>prioritised or</w:t>
            </w:r>
            <w:r>
              <w:t xml:space="preserve"> emphasised</w:t>
            </w:r>
            <w:r w:rsidR="002B572A">
              <w:t>? For example</w:t>
            </w:r>
            <w:r w:rsidR="006A6C5C">
              <w:t>,</w:t>
            </w:r>
            <w:r w:rsidR="002B572A">
              <w:t xml:space="preserve"> </w:t>
            </w:r>
            <w:r>
              <w:t>a particular element of tax</w:t>
            </w:r>
            <w:r w:rsidR="00A17B6A">
              <w:t>ation</w:t>
            </w:r>
            <w:r>
              <w:t xml:space="preserve"> or commercial law? </w:t>
            </w:r>
          </w:p>
          <w:p w14:paraId="299ED695" w14:textId="19EE2AAA" w:rsidR="00023F9A" w:rsidRDefault="00023F9A" w:rsidP="002B572A">
            <w:pPr>
              <w:pStyle w:val="OutlineNumbered1"/>
              <w:numPr>
                <w:ilvl w:val="0"/>
                <w:numId w:val="5"/>
              </w:numPr>
              <w:spacing w:line="276" w:lineRule="auto"/>
            </w:pPr>
            <w:r>
              <w:t>Would proposed changes to core knowledge areas necessitate changes to the exam content? Why/why not?</w:t>
            </w:r>
          </w:p>
          <w:p w14:paraId="05CDAD57" w14:textId="22AC167E" w:rsidR="006C5802" w:rsidRDefault="006C5802" w:rsidP="002B572A">
            <w:pPr>
              <w:pStyle w:val="OutlineNumbered1"/>
              <w:numPr>
                <w:ilvl w:val="0"/>
                <w:numId w:val="5"/>
              </w:numPr>
              <w:spacing w:line="276" w:lineRule="auto"/>
            </w:pPr>
            <w:r>
              <w:t xml:space="preserve">Is it practical </w:t>
            </w:r>
            <w:r w:rsidR="000D459F">
              <w:t xml:space="preserve">and appropriate </w:t>
            </w:r>
            <w:r>
              <w:t>to allow education providers to self-</w:t>
            </w:r>
            <w:r w:rsidR="00281AC6">
              <w:t xml:space="preserve">declare </w:t>
            </w:r>
            <w:r>
              <w:t xml:space="preserve">that their degrees teach the core knowledge areas? </w:t>
            </w:r>
            <w:r w:rsidR="00240346">
              <w:t>Why/</w:t>
            </w:r>
            <w:r>
              <w:t xml:space="preserve">why not? </w:t>
            </w:r>
          </w:p>
          <w:p w14:paraId="2EFBE93B" w14:textId="52A77F77" w:rsidR="000117AB" w:rsidRDefault="000117AB" w:rsidP="000117AB">
            <w:pPr>
              <w:pStyle w:val="OutlineNumbered1"/>
              <w:numPr>
                <w:ilvl w:val="0"/>
                <w:numId w:val="5"/>
              </w:numPr>
              <w:spacing w:line="276" w:lineRule="auto"/>
            </w:pPr>
            <w:r>
              <w:t xml:space="preserve">What form should education providers’ assurance to Government take? </w:t>
            </w:r>
          </w:p>
          <w:p w14:paraId="5544DF7E" w14:textId="77777777" w:rsidR="000117AB" w:rsidRDefault="000117AB" w:rsidP="000117AB">
            <w:pPr>
              <w:pStyle w:val="OutlineNumbered1"/>
              <w:numPr>
                <w:ilvl w:val="0"/>
                <w:numId w:val="5"/>
              </w:numPr>
              <w:spacing w:line="276" w:lineRule="auto"/>
            </w:pPr>
            <w:r>
              <w:t xml:space="preserve">If self-declaration is not appropriate, what alternatives could be adopted to streamline the degree approval process? </w:t>
            </w:r>
          </w:p>
          <w:p w14:paraId="557A856B" w14:textId="64FF5FDB" w:rsidR="00DF2B12" w:rsidRDefault="00DF2B12" w:rsidP="002B572A">
            <w:pPr>
              <w:pStyle w:val="OutlineNumbered1"/>
              <w:numPr>
                <w:ilvl w:val="0"/>
                <w:numId w:val="5"/>
              </w:numPr>
              <w:spacing w:line="276" w:lineRule="auto"/>
            </w:pPr>
            <w:r>
              <w:t xml:space="preserve">Is it practical and appropriate for education providers or licensees to evaluate a new </w:t>
            </w:r>
            <w:proofErr w:type="gramStart"/>
            <w:r>
              <w:t>entrants’</w:t>
            </w:r>
            <w:proofErr w:type="gramEnd"/>
            <w:r>
              <w:t xml:space="preserve"> completed tertiary courses against the new core knowledge areas to assess whether they have met the education standard or what additional study may be required? Why/why not?</w:t>
            </w:r>
            <w:r w:rsidR="00684738">
              <w:t xml:space="preserve"> What oversight of education providers</w:t>
            </w:r>
            <w:r w:rsidR="002B572A">
              <w:t xml:space="preserve"> or licensees</w:t>
            </w:r>
            <w:r w:rsidR="00684738">
              <w:t xml:space="preserve"> making this assessment, if any, is necessary? </w:t>
            </w:r>
          </w:p>
          <w:p w14:paraId="169818E7" w14:textId="2A026CE7" w:rsidR="00240346" w:rsidRDefault="00240346" w:rsidP="002B572A">
            <w:pPr>
              <w:pStyle w:val="OutlineNumbered1"/>
              <w:numPr>
                <w:ilvl w:val="0"/>
                <w:numId w:val="5"/>
              </w:numPr>
              <w:spacing w:line="276" w:lineRule="auto"/>
            </w:pPr>
            <w:r>
              <w:t xml:space="preserve">Is it practical and appropriate for education providers </w:t>
            </w:r>
            <w:r w:rsidR="006939C0">
              <w:t xml:space="preserve">or licensees </w:t>
            </w:r>
            <w:r>
              <w:t xml:space="preserve">to also </w:t>
            </w:r>
            <w:r w:rsidR="006A4DAE">
              <w:t>evaluate</w:t>
            </w:r>
            <w:r>
              <w:t xml:space="preserve"> foreign qualifications against the new core knowledge areas</w:t>
            </w:r>
            <w:r w:rsidR="006A4DAE">
              <w:t xml:space="preserve"> </w:t>
            </w:r>
            <w:r w:rsidR="006A4DAE" w:rsidRPr="00B2026B">
              <w:t xml:space="preserve">and assess what additional study may be required, </w:t>
            </w:r>
            <w:r>
              <w:t>rather than the Minister? Why/why not?</w:t>
            </w:r>
          </w:p>
          <w:p w14:paraId="7C77790B" w14:textId="3771C774" w:rsidR="00DF2B12" w:rsidRDefault="00DF2B12" w:rsidP="002B572A">
            <w:pPr>
              <w:pStyle w:val="OutlineNumbered1"/>
              <w:numPr>
                <w:ilvl w:val="0"/>
                <w:numId w:val="5"/>
              </w:numPr>
              <w:spacing w:line="276" w:lineRule="auto"/>
            </w:pPr>
            <w:r>
              <w:t xml:space="preserve">Should new entrants whose existing qualifications don’t fully meet the education standard be able to ‘top-up’ their qualification by completing individual units, rather than a full qualification? Why/why not? </w:t>
            </w:r>
          </w:p>
          <w:p w14:paraId="74FF9D7C" w14:textId="49D79498" w:rsidR="0021707A" w:rsidRPr="000D1284" w:rsidRDefault="0021707A" w:rsidP="002B572A">
            <w:pPr>
              <w:pStyle w:val="OutlineNumbered1"/>
              <w:numPr>
                <w:ilvl w:val="0"/>
                <w:numId w:val="5"/>
              </w:numPr>
              <w:spacing w:line="276" w:lineRule="auto"/>
            </w:pPr>
            <w:r>
              <w:t xml:space="preserve">What other changes should be made to the education requirements for new entrants? How do your proposed changes support the professionalisation of the financial advice industry and ensure consumer protection? </w:t>
            </w:r>
          </w:p>
        </w:tc>
      </w:tr>
    </w:tbl>
    <w:p w14:paraId="4D9B50BB" w14:textId="6D9A8348" w:rsidR="008B19BC" w:rsidRDefault="008B19BC" w:rsidP="008B19BC">
      <w:bookmarkStart w:id="23" w:name="_Toc110584850"/>
    </w:p>
    <w:p w14:paraId="5BAB5A50" w14:textId="0549B296" w:rsidR="008B19BC" w:rsidRDefault="008B19BC" w:rsidP="008B19BC"/>
    <w:p w14:paraId="7754E4C7" w14:textId="726A3181" w:rsidR="008B19BC" w:rsidRDefault="008B19BC" w:rsidP="008B19BC"/>
    <w:p w14:paraId="6EFA16F9" w14:textId="4596D53A" w:rsidR="008B19BC" w:rsidRDefault="008B19BC" w:rsidP="008B19BC"/>
    <w:p w14:paraId="467EF460" w14:textId="76C7CBDB" w:rsidR="008B19BC" w:rsidRDefault="008B19BC" w:rsidP="008B19BC"/>
    <w:p w14:paraId="69E48C90" w14:textId="77777777" w:rsidR="008B19BC" w:rsidRPr="008B19BC" w:rsidRDefault="008B19BC" w:rsidP="008B19BC"/>
    <w:p w14:paraId="27AE6930" w14:textId="26673994" w:rsidR="00254EFB" w:rsidRDefault="00254EFB" w:rsidP="0030077D">
      <w:pPr>
        <w:pStyle w:val="Heading3"/>
      </w:pPr>
      <w:r>
        <w:lastRenderedPageBreak/>
        <w:t xml:space="preserve">The </w:t>
      </w:r>
      <w:r w:rsidR="00D4084B">
        <w:t>p</w:t>
      </w:r>
      <w:r>
        <w:t xml:space="preserve">rofessional </w:t>
      </w:r>
      <w:r w:rsidR="00D4084B">
        <w:t>y</w:t>
      </w:r>
      <w:r>
        <w:t>ear</w:t>
      </w:r>
      <w:bookmarkEnd w:id="23"/>
      <w:r>
        <w:t xml:space="preserve"> </w:t>
      </w:r>
    </w:p>
    <w:p w14:paraId="0A9793D9" w14:textId="1C9329C8" w:rsidR="00EA783F" w:rsidRDefault="004A3B40" w:rsidP="0030077D">
      <w:pPr>
        <w:spacing w:line="276" w:lineRule="auto"/>
      </w:pPr>
      <w:r>
        <w:t xml:space="preserve">It </w:t>
      </w:r>
      <w:r w:rsidR="00EA783F">
        <w:t xml:space="preserve">is important that education requirements </w:t>
      </w:r>
      <w:r w:rsidR="00EA783F" w:rsidRPr="00D32C4A">
        <w:t>promote</w:t>
      </w:r>
      <w:r w:rsidR="00EA783F" w:rsidRPr="00C6349A">
        <w:t xml:space="preserve"> </w:t>
      </w:r>
      <w:r w:rsidR="00C22356">
        <w:t>financial advice</w:t>
      </w:r>
      <w:r w:rsidR="00C22356" w:rsidRPr="00C6349A">
        <w:t xml:space="preserve"> </w:t>
      </w:r>
      <w:r w:rsidR="00EA783F" w:rsidRPr="00C6349A">
        <w:t>a</w:t>
      </w:r>
      <w:r w:rsidR="00EA783F">
        <w:t>s</w:t>
      </w:r>
      <w:r w:rsidR="00C22356">
        <w:t xml:space="preserve"> an</w:t>
      </w:r>
      <w:r w:rsidR="00EA783F" w:rsidRPr="00C6349A">
        <w:t xml:space="preserve"> ‘industry of choice’</w:t>
      </w:r>
      <w:r w:rsidR="00EA783F">
        <w:t xml:space="preserve"> for graduates and do not disincentivise new entr</w:t>
      </w:r>
      <w:r w:rsidR="008B19BC">
        <w:t>ies</w:t>
      </w:r>
      <w:r w:rsidR="00EA783F">
        <w:t xml:space="preserve">. </w:t>
      </w:r>
    </w:p>
    <w:p w14:paraId="740F9A49" w14:textId="3A18A7FE" w:rsidR="00EA783F" w:rsidRDefault="00EA783F" w:rsidP="0030077D">
      <w:pPr>
        <w:spacing w:line="276" w:lineRule="auto"/>
      </w:pPr>
      <w:r>
        <w:t>Industry has raised concern</w:t>
      </w:r>
      <w:r w:rsidR="00C22356">
        <w:t>s</w:t>
      </w:r>
      <w:r>
        <w:t xml:space="preserve"> </w:t>
      </w:r>
      <w:r w:rsidR="004A3B40">
        <w:t xml:space="preserve">that the </w:t>
      </w:r>
      <w:r w:rsidR="00D4084B">
        <w:t>p</w:t>
      </w:r>
      <w:r w:rsidR="004A3B40">
        <w:t xml:space="preserve">rofessional </w:t>
      </w:r>
      <w:r w:rsidR="00D4084B">
        <w:t>y</w:t>
      </w:r>
      <w:r w:rsidR="004A3B40">
        <w:t>ear is administratively burdensome</w:t>
      </w:r>
      <w:r w:rsidR="00D4084B">
        <w:t>,</w:t>
      </w:r>
      <w:r w:rsidR="004A3B40">
        <w:t xml:space="preserve"> acting as a </w:t>
      </w:r>
      <w:r w:rsidR="00CD36D5">
        <w:t xml:space="preserve">barrier </w:t>
      </w:r>
      <w:r w:rsidR="004A3B40">
        <w:t>to taking on new advisers</w:t>
      </w:r>
      <w:r w:rsidR="00D4084B">
        <w:t xml:space="preserve"> thereby </w:t>
      </w:r>
      <w:r w:rsidR="00CD0673">
        <w:t xml:space="preserve">restricting the growth of the profession. </w:t>
      </w:r>
      <w:r w:rsidR="004839AC">
        <w:t xml:space="preserve">This paper presents an opportunity to </w:t>
      </w:r>
      <w:r w:rsidR="00B73791">
        <w:t xml:space="preserve">examine the </w:t>
      </w:r>
      <w:r w:rsidR="00D4084B">
        <w:t>p</w:t>
      </w:r>
      <w:r w:rsidR="00B73791">
        <w:t xml:space="preserve">rofessional </w:t>
      </w:r>
      <w:r w:rsidR="00D4084B">
        <w:t>y</w:t>
      </w:r>
      <w:r w:rsidR="00B73791">
        <w:t>ear and its impact on</w:t>
      </w:r>
      <w:r w:rsidR="008D312F">
        <w:t xml:space="preserve"> the</w:t>
      </w:r>
      <w:r w:rsidR="00B73791">
        <w:t xml:space="preserve"> recruitment of new financial advisers. </w:t>
      </w:r>
    </w:p>
    <w:p w14:paraId="023F81A5" w14:textId="3357C43E" w:rsidR="00C75C55" w:rsidRPr="00EA783F" w:rsidRDefault="00B73791" w:rsidP="0030077D">
      <w:pPr>
        <w:spacing w:line="276" w:lineRule="auto"/>
      </w:pPr>
      <w:r>
        <w:t xml:space="preserve">The purpose of the </w:t>
      </w:r>
      <w:r w:rsidR="00F05E01">
        <w:t>p</w:t>
      </w:r>
      <w:r>
        <w:t xml:space="preserve">rofessional </w:t>
      </w:r>
      <w:r w:rsidR="00F05E01">
        <w:t>y</w:t>
      </w:r>
      <w:r>
        <w:t>ear is to ensure that new entrants have a</w:t>
      </w:r>
      <w:r w:rsidRPr="00B73791">
        <w:t xml:space="preserve"> structured mentoring program that develops </w:t>
      </w:r>
      <w:r w:rsidR="00EA4E8A">
        <w:t>and operationalises</w:t>
      </w:r>
      <w:r w:rsidRPr="00B73791">
        <w:t xml:space="preserve"> the competencies </w:t>
      </w:r>
      <w:r w:rsidR="00CD36D5">
        <w:t>gained</w:t>
      </w:r>
      <w:r w:rsidR="00CD36D5" w:rsidRPr="00B73791">
        <w:t xml:space="preserve"> </w:t>
      </w:r>
      <w:r w:rsidRPr="00B73791">
        <w:t xml:space="preserve">through the </w:t>
      </w:r>
      <w:r w:rsidR="00EA4E8A">
        <w:t>completion of</w:t>
      </w:r>
      <w:r w:rsidRPr="00B73791">
        <w:t xml:space="preserve"> tertiary education and tested in the exam.</w:t>
      </w:r>
      <w:r>
        <w:t xml:space="preserve"> It recognises that developing technical knowledge through the completion of a tertiary qualification will not necessarily give a graduate all the skills necessary to apply that knowledge to real world situations. It also recognises the vital role that supervision plays in protecting consumers from inexperienced advisors. </w:t>
      </w:r>
      <w:r w:rsidR="00CE1441">
        <w:t>Other professions have similar supervision requirements. Lawyers, for example are required to complete 18</w:t>
      </w:r>
      <w:r w:rsidR="007E237D">
        <w:t>–</w:t>
      </w:r>
      <w:r w:rsidR="00CE1441">
        <w:t>24 months of supervised practice</w:t>
      </w:r>
      <w:r w:rsidR="00F41F28">
        <w:t xml:space="preserve"> (depending on the jurisdiction)</w:t>
      </w:r>
      <w:r w:rsidR="00CE1441">
        <w:t xml:space="preserve"> before they can practi</w:t>
      </w:r>
      <w:r w:rsidR="00F418E5">
        <w:t>s</w:t>
      </w:r>
      <w:r w:rsidR="00CE1441">
        <w:t>e unsupervised.</w:t>
      </w:r>
    </w:p>
    <w:p w14:paraId="73C2748A" w14:textId="483BE15B" w:rsidR="00B73791" w:rsidRDefault="00C75C55" w:rsidP="0030077D">
      <w:pPr>
        <w:spacing w:line="276" w:lineRule="auto"/>
      </w:pPr>
      <w:r>
        <w:t xml:space="preserve">To ensure the </w:t>
      </w:r>
      <w:r w:rsidR="00D4084B">
        <w:t>p</w:t>
      </w:r>
      <w:r>
        <w:t xml:space="preserve">rofessional </w:t>
      </w:r>
      <w:r w:rsidR="00D4084B">
        <w:t>y</w:t>
      </w:r>
      <w:r>
        <w:t>ear remains fit</w:t>
      </w:r>
      <w:r w:rsidR="0030077D">
        <w:t>-</w:t>
      </w:r>
      <w:r>
        <w:t>for</w:t>
      </w:r>
      <w:r w:rsidR="0030077D">
        <w:t>-</w:t>
      </w:r>
      <w:r>
        <w:t>p</w:t>
      </w:r>
      <w:r w:rsidR="00DB2DCE">
        <w:t xml:space="preserve">urpose, while addressing the concerns raised by industry, there remains scope to explore whether the </w:t>
      </w:r>
      <w:r w:rsidR="00D4084B">
        <w:t>p</w:t>
      </w:r>
      <w:r w:rsidR="00DB2DCE">
        <w:t xml:space="preserve">rofessional </w:t>
      </w:r>
      <w:r w:rsidR="00D4084B">
        <w:t>y</w:t>
      </w:r>
      <w:r w:rsidR="00DB2DCE">
        <w:t xml:space="preserve">ear settings require amending. </w:t>
      </w:r>
      <w:r w:rsidR="00186619">
        <w:t xml:space="preserve">The following </w:t>
      </w:r>
      <w:r w:rsidR="007E51EA">
        <w:t>changes</w:t>
      </w:r>
      <w:r w:rsidR="00186619">
        <w:t xml:space="preserve"> could be adopted: </w:t>
      </w:r>
    </w:p>
    <w:p w14:paraId="647BE368" w14:textId="2F6F06BC" w:rsidR="00186619" w:rsidRDefault="00CD36D5" w:rsidP="0030077D">
      <w:pPr>
        <w:pStyle w:val="Bullet"/>
      </w:pPr>
      <w:r>
        <w:t>Allow the exam to be s</w:t>
      </w:r>
      <w:r w:rsidR="00126779">
        <w:t>a</w:t>
      </w:r>
      <w:r>
        <w:t>t at any time, rather than</w:t>
      </w:r>
      <w:r w:rsidR="00EE4810">
        <w:t xml:space="preserve"> just</w:t>
      </w:r>
      <w:r>
        <w:t xml:space="preserve"> </w:t>
      </w:r>
      <w:r w:rsidR="00EE4810">
        <w:t>in</w:t>
      </w:r>
      <w:r w:rsidR="001625C2">
        <w:t xml:space="preserve"> the </w:t>
      </w:r>
      <w:r w:rsidR="00D4084B">
        <w:t>professional year.</w:t>
      </w:r>
      <w:r w:rsidR="001625C2">
        <w:t xml:space="preserve"> The intention of this change is to allow potential financial advisers to undertake the exam at any point in their education journey, and not unduly hold up the </w:t>
      </w:r>
      <w:r>
        <w:t xml:space="preserve">completion </w:t>
      </w:r>
      <w:r w:rsidR="001625C2">
        <w:t xml:space="preserve">of a </w:t>
      </w:r>
      <w:r w:rsidR="00ED12D0">
        <w:t>p</w:t>
      </w:r>
      <w:r w:rsidR="001625C2">
        <w:t xml:space="preserve">rofessional </w:t>
      </w:r>
      <w:r w:rsidR="00ED12D0">
        <w:t>y</w:t>
      </w:r>
      <w:r w:rsidR="001625C2">
        <w:t xml:space="preserve">ear. </w:t>
      </w:r>
    </w:p>
    <w:p w14:paraId="239073A0" w14:textId="5C12974C" w:rsidR="001625C2" w:rsidRDefault="00CD36D5" w:rsidP="0030077D">
      <w:pPr>
        <w:pStyle w:val="Bullet"/>
      </w:pPr>
      <w:r>
        <w:t>I</w:t>
      </w:r>
      <w:r w:rsidR="001625C2">
        <w:t>ntegrate</w:t>
      </w:r>
      <w:r>
        <w:t xml:space="preserve"> elements of the </w:t>
      </w:r>
      <w:r w:rsidR="00D253C3">
        <w:t>p</w:t>
      </w:r>
      <w:r>
        <w:t xml:space="preserve">rofessional </w:t>
      </w:r>
      <w:r w:rsidR="00D253C3">
        <w:t>y</w:t>
      </w:r>
      <w:r>
        <w:t>ear</w:t>
      </w:r>
      <w:r w:rsidR="001625C2">
        <w:t xml:space="preserve"> into tertiary study</w:t>
      </w:r>
      <w:r>
        <w:t>.</w:t>
      </w:r>
      <w:r w:rsidR="001625C2">
        <w:t xml:space="preserve"> </w:t>
      </w:r>
      <w:r>
        <w:t>F</w:t>
      </w:r>
      <w:r w:rsidR="001625C2">
        <w:t xml:space="preserve">or example, </w:t>
      </w:r>
      <w:r w:rsidR="00127249">
        <w:t xml:space="preserve">require education providers to deliver </w:t>
      </w:r>
      <w:r w:rsidR="001625C2">
        <w:t xml:space="preserve">subjects that contain work experience components or require </w:t>
      </w:r>
      <w:r w:rsidR="000D1A33">
        <w:t>several</w:t>
      </w:r>
      <w:r w:rsidR="001625C2">
        <w:t xml:space="preserve"> </w:t>
      </w:r>
      <w:r w:rsidR="00814BD5">
        <w:t xml:space="preserve">hours of practical experience to complete a degree. The intention of this change would be to streamline the transition between </w:t>
      </w:r>
      <w:r w:rsidR="00127249">
        <w:t xml:space="preserve">education </w:t>
      </w:r>
      <w:r w:rsidR="00814BD5">
        <w:t xml:space="preserve">and work. </w:t>
      </w:r>
    </w:p>
    <w:p w14:paraId="5612B425" w14:textId="6E696A50" w:rsidR="00814BD5" w:rsidRDefault="00127249" w:rsidP="0030077D">
      <w:pPr>
        <w:pStyle w:val="Bullet"/>
      </w:pPr>
      <w:r>
        <w:t>Introduce a principles-based approach that focuses on the core knowledge areas and remove or reduce t</w:t>
      </w:r>
      <w:r w:rsidR="00814BD5">
        <w:t xml:space="preserve">he more prescriptive elements of the </w:t>
      </w:r>
      <w:r w:rsidR="00D253C3">
        <w:t>p</w:t>
      </w:r>
      <w:r w:rsidR="00814BD5">
        <w:t xml:space="preserve">rofessional </w:t>
      </w:r>
      <w:r w:rsidR="00D253C3">
        <w:t>y</w:t>
      </w:r>
      <w:r w:rsidR="00814BD5">
        <w:t>ear</w:t>
      </w:r>
      <w:r>
        <w:t xml:space="preserve">. </w:t>
      </w:r>
      <w:r w:rsidR="00814BD5">
        <w:t xml:space="preserve">This approach would place greater reliance on supervisors and licensees to ensure the </w:t>
      </w:r>
      <w:r w:rsidR="00D253C3">
        <w:t>p</w:t>
      </w:r>
      <w:r w:rsidR="00814BD5">
        <w:t xml:space="preserve">rofessional </w:t>
      </w:r>
      <w:r w:rsidR="00D253C3">
        <w:t>y</w:t>
      </w:r>
      <w:r w:rsidR="00814BD5">
        <w:t xml:space="preserve">ear they offer aligns with the principles. </w:t>
      </w:r>
    </w:p>
    <w:tbl>
      <w:tblPr>
        <w:tblW w:w="5000" w:type="pct"/>
        <w:shd w:val="clear" w:color="auto" w:fill="EEEEEE" w:themeFill="background2"/>
        <w:tblCellMar>
          <w:top w:w="227" w:type="dxa"/>
          <w:left w:w="227" w:type="dxa"/>
          <w:bottom w:w="227" w:type="dxa"/>
          <w:right w:w="227" w:type="dxa"/>
        </w:tblCellMar>
        <w:tblLook w:val="04A0" w:firstRow="1" w:lastRow="0" w:firstColumn="1" w:lastColumn="0" w:noHBand="0" w:noVBand="1"/>
      </w:tblPr>
      <w:tblGrid>
        <w:gridCol w:w="9070"/>
      </w:tblGrid>
      <w:tr w:rsidR="00492A6A" w14:paraId="053ACA2F" w14:textId="77777777" w:rsidTr="006016A6">
        <w:tc>
          <w:tcPr>
            <w:tcW w:w="5000" w:type="pct"/>
            <w:shd w:val="clear" w:color="auto" w:fill="EEEEEE" w:themeFill="background2"/>
          </w:tcPr>
          <w:p w14:paraId="1BB73B7B" w14:textId="12F24A60" w:rsidR="000D459F" w:rsidRDefault="000D459F" w:rsidP="007E51EA">
            <w:pPr>
              <w:pStyle w:val="BoxHeading"/>
              <w:spacing w:line="276" w:lineRule="auto"/>
            </w:pPr>
            <w:r>
              <w:lastRenderedPageBreak/>
              <w:t xml:space="preserve">Questions – </w:t>
            </w:r>
            <w:r w:rsidR="00EA4277">
              <w:t>p</w:t>
            </w:r>
            <w:r>
              <w:t xml:space="preserve">rofessional </w:t>
            </w:r>
            <w:r w:rsidR="00EA4277">
              <w:t>y</w:t>
            </w:r>
            <w:r>
              <w:t>ear</w:t>
            </w:r>
          </w:p>
          <w:p w14:paraId="5A0DBD5F" w14:textId="439C6F98" w:rsidR="008B00BD" w:rsidRDefault="009D006E" w:rsidP="007E51EA">
            <w:pPr>
              <w:pStyle w:val="OutlineNumbered1"/>
              <w:numPr>
                <w:ilvl w:val="0"/>
                <w:numId w:val="5"/>
              </w:numPr>
              <w:spacing w:line="276" w:lineRule="auto"/>
            </w:pPr>
            <w:r>
              <w:t xml:space="preserve">How else </w:t>
            </w:r>
            <w:r w:rsidR="00127249">
              <w:t xml:space="preserve">could </w:t>
            </w:r>
            <w:r>
              <w:t xml:space="preserve">the </w:t>
            </w:r>
            <w:r w:rsidR="00AD4441">
              <w:t>p</w:t>
            </w:r>
            <w:r>
              <w:t xml:space="preserve">rofessional </w:t>
            </w:r>
            <w:r w:rsidR="00AD4441">
              <w:t>y</w:t>
            </w:r>
            <w:r>
              <w:t xml:space="preserve">ear be amended to ensure it remains fit for purpose, ensuring </w:t>
            </w:r>
            <w:r w:rsidR="00AB0757">
              <w:t>appropriate supervision</w:t>
            </w:r>
            <w:r>
              <w:t xml:space="preserve"> of graduate financial advisers</w:t>
            </w:r>
            <w:r w:rsidR="009370D2">
              <w:t xml:space="preserve"> without creating unnecessary barriers to entry</w:t>
            </w:r>
            <w:r w:rsidR="008B00BD">
              <w:t>?</w:t>
            </w:r>
          </w:p>
          <w:p w14:paraId="6371E5F8" w14:textId="391C4DB0" w:rsidR="009370D2" w:rsidRDefault="009370D2" w:rsidP="007E51EA">
            <w:pPr>
              <w:pStyle w:val="OutlineNumbered1"/>
              <w:numPr>
                <w:ilvl w:val="0"/>
                <w:numId w:val="5"/>
              </w:numPr>
              <w:spacing w:line="276" w:lineRule="auto"/>
            </w:pPr>
            <w:r>
              <w:t>In what ways do the professional year requirements create a barrier to entering he financial advice profession?</w:t>
            </w:r>
          </w:p>
          <w:p w14:paraId="0E5A63DE" w14:textId="3206B937" w:rsidR="009370D2" w:rsidRDefault="009370D2" w:rsidP="007E51EA">
            <w:pPr>
              <w:pStyle w:val="OutlineNumbered1"/>
              <w:numPr>
                <w:ilvl w:val="0"/>
                <w:numId w:val="5"/>
              </w:numPr>
              <w:spacing w:line="276" w:lineRule="auto"/>
            </w:pPr>
            <w:r>
              <w:t>What are the risks and benefits of the possible amendments?</w:t>
            </w:r>
          </w:p>
          <w:p w14:paraId="2B32D1CC" w14:textId="1E7BB01B" w:rsidR="00B96E37" w:rsidRDefault="006C45F0" w:rsidP="007E51EA">
            <w:pPr>
              <w:pStyle w:val="OutlineNumbered1"/>
              <w:numPr>
                <w:ilvl w:val="0"/>
                <w:numId w:val="5"/>
              </w:numPr>
              <w:spacing w:line="276" w:lineRule="auto"/>
            </w:pPr>
            <w:r>
              <w:t xml:space="preserve">Will allowing integration of the </w:t>
            </w:r>
            <w:r w:rsidR="00AD4441">
              <w:t>p</w:t>
            </w:r>
            <w:r>
              <w:t xml:space="preserve">rofessional </w:t>
            </w:r>
            <w:r w:rsidR="00AD4441">
              <w:t>y</w:t>
            </w:r>
            <w:r>
              <w:t xml:space="preserve">ear with tertiary study streamline the transition between </w:t>
            </w:r>
            <w:r w:rsidR="00127249">
              <w:t xml:space="preserve">education </w:t>
            </w:r>
            <w:r>
              <w:t xml:space="preserve">and work? Why/why not? </w:t>
            </w:r>
          </w:p>
          <w:p w14:paraId="0A1FBE6C" w14:textId="5F92061B" w:rsidR="000B2421" w:rsidRDefault="000B2421" w:rsidP="007E51EA">
            <w:pPr>
              <w:pStyle w:val="OutlineNumbered1"/>
              <w:numPr>
                <w:ilvl w:val="0"/>
                <w:numId w:val="5"/>
              </w:numPr>
              <w:spacing w:line="276" w:lineRule="auto"/>
            </w:pPr>
            <w:r>
              <w:t xml:space="preserve">If the professional year is integrated into tertiary study, how many professional </w:t>
            </w:r>
            <w:proofErr w:type="gramStart"/>
            <w:r>
              <w:t>year</w:t>
            </w:r>
            <w:proofErr w:type="gramEnd"/>
            <w:r>
              <w:t xml:space="preserve"> work hours should be completed as part of a degree?</w:t>
            </w:r>
          </w:p>
          <w:p w14:paraId="1950E89A" w14:textId="77777777" w:rsidR="009370D2" w:rsidRDefault="009370D2" w:rsidP="007E51EA">
            <w:pPr>
              <w:pStyle w:val="OutlineNumbered1"/>
              <w:numPr>
                <w:ilvl w:val="0"/>
                <w:numId w:val="5"/>
              </w:numPr>
              <w:spacing w:line="276" w:lineRule="auto"/>
            </w:pPr>
            <w:r>
              <w:t>What role does industry play in encouraging new entrants into the industry?</w:t>
            </w:r>
          </w:p>
          <w:p w14:paraId="56D35A44" w14:textId="3A566A12" w:rsidR="000B2421" w:rsidRPr="000D1284" w:rsidRDefault="000B2421" w:rsidP="007E51EA">
            <w:pPr>
              <w:pStyle w:val="OutlineNumbered1"/>
              <w:numPr>
                <w:ilvl w:val="0"/>
                <w:numId w:val="5"/>
              </w:numPr>
              <w:spacing w:line="276" w:lineRule="auto"/>
            </w:pPr>
            <w:r>
              <w:t xml:space="preserve">Should the exam format be changed for new entrants? If so, how? </w:t>
            </w:r>
          </w:p>
        </w:tc>
      </w:tr>
    </w:tbl>
    <w:p w14:paraId="39A82C07" w14:textId="76FF89B7" w:rsidR="001D37E1" w:rsidRPr="001D37E1" w:rsidRDefault="001D37E1" w:rsidP="008E5B3D">
      <w:pPr>
        <w:spacing w:before="0" w:after="160" w:line="259" w:lineRule="auto"/>
      </w:pPr>
    </w:p>
    <w:p w14:paraId="76E74A21" w14:textId="77777777" w:rsidR="004363F3" w:rsidRPr="004363F3" w:rsidRDefault="004363F3" w:rsidP="004363F3"/>
    <w:p w14:paraId="68954BE1" w14:textId="1AF99E71" w:rsidR="00082FC2" w:rsidRDefault="00082FC2" w:rsidP="008361B4"/>
    <w:sectPr w:rsidR="00082FC2" w:rsidSect="009927E5">
      <w:headerReference w:type="even" r:id="rId19"/>
      <w:headerReference w:type="default" r:id="rId20"/>
      <w:footerReference w:type="even" r:id="rId21"/>
      <w:footerReference w:type="default" r:id="rId22"/>
      <w:headerReference w:type="first" r:id="rId23"/>
      <w:footerReference w:type="first" r:id="rId24"/>
      <w:pgSz w:w="11906" w:h="16838" w:code="9"/>
      <w:pgMar w:top="1843"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FE836" w14:textId="77777777" w:rsidR="007547F4" w:rsidRDefault="007547F4">
      <w:pPr>
        <w:spacing w:before="0" w:after="0"/>
      </w:pPr>
      <w:r>
        <w:separator/>
      </w:r>
    </w:p>
  </w:endnote>
  <w:endnote w:type="continuationSeparator" w:id="0">
    <w:p w14:paraId="12CB367E" w14:textId="77777777" w:rsidR="007547F4" w:rsidRDefault="007547F4">
      <w:pPr>
        <w:spacing w:before="0" w:after="0"/>
      </w:pPr>
      <w:r>
        <w:continuationSeparator/>
      </w:r>
    </w:p>
  </w:endnote>
  <w:endnote w:type="continuationNotice" w:id="1">
    <w:p w14:paraId="3BD344FC" w14:textId="77777777" w:rsidR="007547F4" w:rsidRDefault="007547F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F213B" w14:textId="2C396A86" w:rsidR="002314D2" w:rsidRDefault="002314D2" w:rsidP="0017089D">
    <w:r>
      <w:fldChar w:fldCharType="begin"/>
    </w:r>
    <w:r>
      <w:instrText xml:space="preserve"> PAGE  \* Arabic  \* MERGEFORMAT </w:instrText>
    </w:r>
    <w:r>
      <w:fldChar w:fldCharType="separate"/>
    </w:r>
    <w: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3E9E4" w14:textId="77777777" w:rsidR="009927E5" w:rsidRPr="008043EA" w:rsidRDefault="009927E5" w:rsidP="0009151A">
    <w:r w:rsidRPr="00742366">
      <w:rPr>
        <w:noProof/>
      </w:rPr>
      <w:drawing>
        <wp:anchor distT="0" distB="0" distL="114300" distR="114300" simplePos="0" relativeHeight="251656704" behindDoc="1" locked="1" layoutInCell="1" allowOverlap="1" wp14:anchorId="71CC641F" wp14:editId="4929F5A4">
          <wp:simplePos x="0" y="0"/>
          <wp:positionH relativeFrom="margin">
            <wp:posOffset>5459095</wp:posOffset>
          </wp:positionH>
          <wp:positionV relativeFrom="page">
            <wp:posOffset>3280410</wp:posOffset>
          </wp:positionV>
          <wp:extent cx="7574280" cy="1043940"/>
          <wp:effectExtent l="762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5680" behindDoc="1" locked="0" layoutInCell="1" allowOverlap="0" wp14:anchorId="69C1827F" wp14:editId="3FB82DE2">
          <wp:simplePos x="0" y="0"/>
          <wp:positionH relativeFrom="margin">
            <wp:align>left</wp:align>
          </wp:positionH>
          <wp:positionV relativeFrom="page">
            <wp:posOffset>10048875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12" name="Picture 1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fldSimple w:instr=" STYLEREF  &quot;Heading 1&quot;  \* MERGEFORMAT ">
      <w:r w:rsidR="00C550F6">
        <w:rPr>
          <w:noProof/>
        </w:rPr>
        <w:t>Using Treasury templates</w:t>
      </w:r>
    </w:fldSimple>
    <w:r>
      <w:t xml:space="preserve"> | </w:t>
    </w:r>
    <w:r>
      <w:fldChar w:fldCharType="begin"/>
    </w:r>
    <w:r>
      <w:instrText xml:space="preserve"> PAGE   \* MERGEFORMAT </w:instrText>
    </w:r>
    <w:r>
      <w:fldChar w:fldCharType="separate"/>
    </w:r>
    <w:r>
      <w:t>1</w:t>
    </w:r>
    <w:r>
      <w:fldChar w:fldCharType="end"/>
    </w:r>
  </w:p>
  <w:p w14:paraId="14E0AB65" w14:textId="0427D17D" w:rsidR="009927E5" w:rsidRDefault="009927E5" w:rsidP="009927E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C1743" w14:textId="1D0FF18B" w:rsidR="00E81A40" w:rsidRDefault="00E81A40" w:rsidP="0017089D">
    <w:r>
      <w:fldChar w:fldCharType="begin"/>
    </w:r>
    <w:r>
      <w:instrText xml:space="preserve"> PAGE  \* Arabic  \* MERGEFORMAT </w:instrText>
    </w:r>
    <w:r>
      <w:fldChar w:fldCharType="separate"/>
    </w:r>
    <w:r>
      <w:t>6</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C4DA2" w14:textId="7549D51B" w:rsidR="00E81A40" w:rsidRDefault="00E81A40" w:rsidP="00E13E90">
    <w:pPr>
      <w:pStyle w:val="Footer"/>
    </w:pPr>
    <w:r w:rsidRPr="00742366">
      <w:drawing>
        <wp:anchor distT="0" distB="0" distL="114300" distR="114300" simplePos="0" relativeHeight="251658752" behindDoc="1" locked="1" layoutInCell="1" allowOverlap="1" wp14:anchorId="45EDF7F2" wp14:editId="554DCD10">
          <wp:simplePos x="0" y="0"/>
          <wp:positionH relativeFrom="margin">
            <wp:posOffset>5459095</wp:posOffset>
          </wp:positionH>
          <wp:positionV relativeFrom="page">
            <wp:posOffset>3280410</wp:posOffset>
          </wp:positionV>
          <wp:extent cx="7574280" cy="1043940"/>
          <wp:effectExtent l="762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sidRPr="00EF03E1">
      <w:rPr>
        <w:position w:val="-10"/>
      </w:rPr>
      <w:drawing>
        <wp:inline distT="0" distB="0" distL="0" distR="0" wp14:anchorId="24C0C9F6" wp14:editId="1310B278">
          <wp:extent cx="1324800" cy="201600"/>
          <wp:effectExtent l="0" t="0" r="0" b="8255"/>
          <wp:docPr id="20" name="Picture 20"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fldSimple w:instr=" STYLEREF  &quot;Heading 1&quot;  \* MERGEFORMAT ">
      <w:r w:rsidR="00FF63B1">
        <w:t>Options to amend current standards</w:t>
      </w:r>
    </w:fldSimple>
    <w:r>
      <w:t xml:space="preserve"> | </w:t>
    </w:r>
    <w:r>
      <w:rPr>
        <w:noProof w:val="0"/>
      </w:rPr>
      <w:fldChar w:fldCharType="begin"/>
    </w:r>
    <w:r>
      <w:instrText xml:space="preserve"> PAGE   \* MERGEFORMAT </w:instrText>
    </w:r>
    <w:r>
      <w:rPr>
        <w:noProof w:val="0"/>
      </w:rPr>
      <w:fldChar w:fldCharType="separate"/>
    </w:r>
    <w:r>
      <w:rPr>
        <w:noProof w:val="0"/>
      </w:rPr>
      <w:t>3</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FA476" w14:textId="18D76A58" w:rsidR="00E81A40" w:rsidRDefault="00E81A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5076F" w14:textId="77777777" w:rsidR="007547F4" w:rsidRDefault="007547F4">
      <w:pPr>
        <w:spacing w:before="0" w:after="0"/>
      </w:pPr>
      <w:r>
        <w:separator/>
      </w:r>
    </w:p>
  </w:footnote>
  <w:footnote w:type="continuationSeparator" w:id="0">
    <w:p w14:paraId="00FD4DC1" w14:textId="77777777" w:rsidR="007547F4" w:rsidRDefault="007547F4">
      <w:pPr>
        <w:spacing w:before="0" w:after="0"/>
      </w:pPr>
      <w:r>
        <w:continuationSeparator/>
      </w:r>
    </w:p>
  </w:footnote>
  <w:footnote w:type="continuationNotice" w:id="1">
    <w:p w14:paraId="6191164C" w14:textId="77777777" w:rsidR="007547F4" w:rsidRDefault="007547F4">
      <w:pPr>
        <w:spacing w:before="0" w:after="0"/>
      </w:pPr>
    </w:p>
  </w:footnote>
  <w:footnote w:id="2">
    <w:p w14:paraId="36B0ED57" w14:textId="0130A8D3" w:rsidR="00E10400" w:rsidRPr="003B035B" w:rsidRDefault="00E10400" w:rsidP="003B035B">
      <w:r w:rsidRPr="003B035B">
        <w:rPr>
          <w:sz w:val="20"/>
          <w:szCs w:val="18"/>
        </w:rPr>
        <w:footnoteRef/>
      </w:r>
      <w:r w:rsidRPr="003B035B">
        <w:rPr>
          <w:sz w:val="20"/>
          <w:szCs w:val="18"/>
        </w:rPr>
        <w:t xml:space="preserve"> </w:t>
      </w:r>
      <w:r w:rsidR="005E4DEA" w:rsidRPr="008A7863">
        <w:rPr>
          <w:i/>
          <w:iCs/>
          <w:sz w:val="20"/>
          <w:szCs w:val="18"/>
        </w:rPr>
        <w:t>Royal Commission into Misconduct in the Banking, Superannuation and Financial Services Industry</w:t>
      </w:r>
      <w:r w:rsidR="005E4DEA" w:rsidRPr="003B035B">
        <w:rPr>
          <w:sz w:val="20"/>
          <w:szCs w:val="18"/>
        </w:rPr>
        <w:t xml:space="preserve"> (Financial Services Royal Commission), Final Report</w:t>
      </w:r>
      <w:r w:rsidRPr="003B035B">
        <w:rPr>
          <w:sz w:val="20"/>
          <w:szCs w:val="18"/>
        </w:rPr>
        <w:t xml:space="preserve"> vol 1</w:t>
      </w:r>
      <w:r w:rsidR="005E4DEA" w:rsidRPr="003B035B">
        <w:rPr>
          <w:sz w:val="20"/>
          <w:szCs w:val="18"/>
        </w:rPr>
        <w:t>.</w:t>
      </w:r>
      <w:r w:rsidRPr="003B035B">
        <w:rPr>
          <w:sz w:val="20"/>
          <w:szCs w:val="18"/>
        </w:rPr>
        <w:t xml:space="preserve">  171</w:t>
      </w:r>
      <w:r w:rsidR="005E4DEA" w:rsidRPr="003B035B">
        <w:rPr>
          <w:sz w:val="20"/>
          <w:szCs w:val="18"/>
        </w:rPr>
        <w:t>.</w:t>
      </w:r>
    </w:p>
  </w:footnote>
  <w:footnote w:id="3">
    <w:p w14:paraId="218C8291" w14:textId="2FD89893" w:rsidR="00816129" w:rsidRDefault="00816129">
      <w:pPr>
        <w:pStyle w:val="FootnoteText"/>
      </w:pPr>
      <w:r>
        <w:rPr>
          <w:rStyle w:val="FootnoteReference"/>
        </w:rPr>
        <w:footnoteRef/>
      </w:r>
      <w:r>
        <w:t xml:space="preserve"> </w:t>
      </w:r>
      <w:r w:rsidR="005E4DEA">
        <w:t>Financial Services Royal Commission, Final Report</w:t>
      </w:r>
      <w:r w:rsidR="009B69C8">
        <w:t xml:space="preserve"> </w:t>
      </w:r>
      <w:r>
        <w:t>vol 1</w:t>
      </w:r>
      <w:r w:rsidR="005E4DEA">
        <w:t>.</w:t>
      </w:r>
      <w:r>
        <w:t xml:space="preserve"> 135</w:t>
      </w:r>
      <w:r w:rsidR="005E4DEA">
        <w:t xml:space="preserve">. </w:t>
      </w:r>
      <w:r>
        <w:t xml:space="preserve"> </w:t>
      </w:r>
    </w:p>
  </w:footnote>
  <w:footnote w:id="4">
    <w:p w14:paraId="2212DE76" w14:textId="615844E2" w:rsidR="00650219" w:rsidRPr="003B035B" w:rsidRDefault="00650219" w:rsidP="003B035B">
      <w:r w:rsidRPr="003B035B">
        <w:rPr>
          <w:sz w:val="20"/>
          <w:szCs w:val="18"/>
        </w:rPr>
        <w:footnoteRef/>
      </w:r>
      <w:r w:rsidRPr="003B035B">
        <w:rPr>
          <w:sz w:val="20"/>
          <w:szCs w:val="18"/>
        </w:rPr>
        <w:t xml:space="preserve">  </w:t>
      </w:r>
      <w:r w:rsidR="0079548B" w:rsidRPr="003B035B">
        <w:rPr>
          <w:sz w:val="20"/>
          <w:szCs w:val="18"/>
        </w:rPr>
        <w:t xml:space="preserve">Parliamentary Joint Committee on Corporations and Financial Services, </w:t>
      </w:r>
      <w:r w:rsidR="0079548B" w:rsidRPr="00EA64A3">
        <w:rPr>
          <w:i/>
          <w:iCs/>
          <w:sz w:val="20"/>
          <w:szCs w:val="18"/>
        </w:rPr>
        <w:t>Inquiry into proposals to lif</w:t>
      </w:r>
      <w:r w:rsidR="00742EF3">
        <w:rPr>
          <w:i/>
          <w:iCs/>
          <w:sz w:val="20"/>
          <w:szCs w:val="18"/>
        </w:rPr>
        <w:t>t</w:t>
      </w:r>
      <w:r w:rsidR="0079548B" w:rsidRPr="00EA64A3">
        <w:rPr>
          <w:i/>
          <w:iCs/>
          <w:sz w:val="20"/>
          <w:szCs w:val="18"/>
        </w:rPr>
        <w:t xml:space="preserve"> the professional, ethical and education standards in the financial services industry</w:t>
      </w:r>
      <w:r w:rsidR="0079548B" w:rsidRPr="003B035B">
        <w:rPr>
          <w:sz w:val="20"/>
          <w:szCs w:val="18"/>
        </w:rPr>
        <w:t>, (2014) [</w:t>
      </w:r>
      <w:r w:rsidRPr="003B035B">
        <w:rPr>
          <w:sz w:val="20"/>
          <w:szCs w:val="18"/>
        </w:rPr>
        <w:t>3.10-3.11</w:t>
      </w:r>
      <w:r w:rsidR="0079548B" w:rsidRPr="003B035B">
        <w:rPr>
          <w:sz w:val="20"/>
          <w:szCs w:val="18"/>
        </w:rPr>
        <w:t>].</w:t>
      </w:r>
      <w:r w:rsidRPr="003B035B">
        <w:rPr>
          <w:sz w:val="20"/>
          <w:szCs w:val="18"/>
        </w:rPr>
        <w:t xml:space="preserve"> </w:t>
      </w:r>
    </w:p>
  </w:footnote>
  <w:footnote w:id="5">
    <w:p w14:paraId="19357A93" w14:textId="36601770" w:rsidR="00B461F1" w:rsidRDefault="00B461F1" w:rsidP="00B461F1">
      <w:pPr>
        <w:pStyle w:val="FootnoteText"/>
      </w:pPr>
      <w:r>
        <w:rPr>
          <w:rStyle w:val="FootnoteReference"/>
        </w:rPr>
        <w:footnoteRef/>
      </w:r>
      <w:r>
        <w:t xml:space="preserve"> Parliamentary Joint Committee on Corporations and Financial Services, </w:t>
      </w:r>
      <w:r w:rsidRPr="00B461F1">
        <w:rPr>
          <w:i/>
          <w:iCs/>
        </w:rPr>
        <w:t>Official Committee Hansard: Professional standards in the financial services industry</w:t>
      </w:r>
      <w:r>
        <w:t xml:space="preserve">, 14 October 2014. Available at: </w:t>
      </w:r>
      <w:r w:rsidRPr="00D360ED">
        <w:t>https://parlinfo.aph.gov.au/parlInfo/search/display/display.w3p;query=Id:%22committees/commjnt/be77246b-9acc-4c9c-bfc5-ff98fc74015c/0011%22</w:t>
      </w:r>
    </w:p>
  </w:footnote>
  <w:footnote w:id="6">
    <w:p w14:paraId="61BCF7EA" w14:textId="2A858FAA" w:rsidR="00D360ED" w:rsidRDefault="00D360ED" w:rsidP="00D360ED">
      <w:pPr>
        <w:pStyle w:val="FootnoteText"/>
      </w:pPr>
      <w:r>
        <w:rPr>
          <w:rStyle w:val="FootnoteReference"/>
        </w:rPr>
        <w:footnoteRef/>
      </w:r>
      <w:r>
        <w:t xml:space="preserve"> </w:t>
      </w:r>
      <w:r w:rsidR="00B461F1">
        <w:t xml:space="preserve">Parliamentary Joint Committee on Corporations and Financial Services, </w:t>
      </w:r>
      <w:r w:rsidR="00B461F1" w:rsidRPr="00B461F1">
        <w:rPr>
          <w:i/>
          <w:iCs/>
        </w:rPr>
        <w:t>Official Committee Hansard: Professional standards in the financial services industry</w:t>
      </w:r>
      <w:r w:rsidR="00B461F1">
        <w:rPr>
          <w:i/>
          <w:iCs/>
        </w:rPr>
        <w:t>.</w:t>
      </w:r>
    </w:p>
  </w:footnote>
  <w:footnote w:id="7">
    <w:p w14:paraId="4C961967" w14:textId="08BACA51" w:rsidR="00650219" w:rsidRDefault="00650219" w:rsidP="003B035B">
      <w:r w:rsidRPr="003B035B">
        <w:rPr>
          <w:rStyle w:val="FootnoteReference"/>
          <w:sz w:val="16"/>
          <w:szCs w:val="18"/>
        </w:rPr>
        <w:footnoteRef/>
      </w:r>
      <w:r w:rsidRPr="003B035B">
        <w:rPr>
          <w:sz w:val="20"/>
          <w:szCs w:val="18"/>
        </w:rPr>
        <w:t xml:space="preserve"> </w:t>
      </w:r>
      <w:r w:rsidR="003C2497" w:rsidRPr="003B035B">
        <w:rPr>
          <w:sz w:val="20"/>
          <w:szCs w:val="18"/>
        </w:rPr>
        <w:t xml:space="preserve">Explanatory Memorandum, </w:t>
      </w:r>
      <w:r w:rsidR="003C2497" w:rsidRPr="00EA64A3">
        <w:rPr>
          <w:i/>
          <w:iCs/>
          <w:sz w:val="20"/>
          <w:szCs w:val="18"/>
        </w:rPr>
        <w:t>Corporations Amendment (Professional Standards of Financial Advisers) Bill 2017</w:t>
      </w:r>
      <w:r w:rsidR="003C2497" w:rsidRPr="003B035B">
        <w:rPr>
          <w:sz w:val="20"/>
          <w:szCs w:val="18"/>
        </w:rPr>
        <w:t xml:space="preserve"> [1.</w:t>
      </w:r>
      <w:r w:rsidR="00C57C7D" w:rsidRPr="003B035B">
        <w:rPr>
          <w:sz w:val="20"/>
          <w:szCs w:val="18"/>
        </w:rPr>
        <w:t>8</w:t>
      </w:r>
      <w:r w:rsidR="003C2497" w:rsidRPr="003B035B">
        <w:rPr>
          <w:sz w:val="20"/>
          <w:szCs w:val="18"/>
        </w:rPr>
        <w:t>]</w:t>
      </w:r>
      <w:r w:rsidR="005C3DB7">
        <w:rPr>
          <w:sz w:val="20"/>
          <w:szCs w:val="18"/>
        </w:rPr>
        <w:t>.</w:t>
      </w:r>
      <w:r w:rsidR="001B65D4" w:rsidRPr="003B035B">
        <w:rPr>
          <w:sz w:val="20"/>
          <w:szCs w:val="18"/>
        </w:rPr>
        <w:t xml:space="preserve"> </w:t>
      </w:r>
    </w:p>
  </w:footnote>
  <w:footnote w:id="8">
    <w:p w14:paraId="7982D222" w14:textId="40FB9AED" w:rsidR="00EC4142" w:rsidRPr="00783EC6" w:rsidRDefault="00EC4142" w:rsidP="00B2026B">
      <w:r w:rsidRPr="00B2026B">
        <w:rPr>
          <w:rStyle w:val="FootnoteReference"/>
          <w:sz w:val="16"/>
          <w:szCs w:val="18"/>
        </w:rPr>
        <w:footnoteRef/>
      </w:r>
      <w:r w:rsidRPr="00B2026B">
        <w:rPr>
          <w:rStyle w:val="FootnoteReference"/>
          <w:sz w:val="16"/>
          <w:szCs w:val="18"/>
        </w:rPr>
        <w:t xml:space="preserve"> </w:t>
      </w:r>
      <w:r w:rsidR="00783EC6" w:rsidRPr="00B2026B">
        <w:rPr>
          <w:rStyle w:val="FootnoteReference"/>
          <w:sz w:val="20"/>
          <w:szCs w:val="22"/>
        </w:rPr>
        <w:t>N</w:t>
      </w:r>
      <w:r w:rsidR="00783EC6" w:rsidRPr="00B2026B">
        <w:rPr>
          <w:sz w:val="20"/>
          <w:szCs w:val="22"/>
        </w:rPr>
        <w:t xml:space="preserve">ote: </w:t>
      </w:r>
      <w:r w:rsidR="00783EC6" w:rsidRPr="00B2026B">
        <w:rPr>
          <w:rStyle w:val="FootnoteReference"/>
          <w:sz w:val="20"/>
          <w:szCs w:val="22"/>
        </w:rPr>
        <w:t>Existing advisers who do not pass the exam by the relevant exam cut-off date and who are a relevant provider immediately before the relevant exam cut-off date will also need to meet the degree requirement and complete the professional year before they can be re-authorised to provide personal advice.</w:t>
      </w:r>
      <w:r w:rsidR="00783EC6">
        <w:rPr>
          <w:sz w:val="20"/>
          <w:szCs w:val="22"/>
        </w:rPr>
        <w:t xml:space="preserve"> </w:t>
      </w:r>
    </w:p>
  </w:footnote>
  <w:footnote w:id="9">
    <w:p w14:paraId="685C88D0" w14:textId="00F049FD" w:rsidR="00291362" w:rsidRDefault="00291362" w:rsidP="003B035B">
      <w:r w:rsidRPr="003B035B">
        <w:rPr>
          <w:rStyle w:val="FootnoteReference"/>
          <w:sz w:val="16"/>
          <w:szCs w:val="18"/>
        </w:rPr>
        <w:footnoteRef/>
      </w:r>
      <w:r w:rsidRPr="003B035B">
        <w:rPr>
          <w:sz w:val="20"/>
          <w:szCs w:val="18"/>
        </w:rPr>
        <w:t xml:space="preserve"> </w:t>
      </w:r>
      <w:r w:rsidR="00F555B8" w:rsidRPr="003B035B">
        <w:rPr>
          <w:sz w:val="20"/>
          <w:szCs w:val="18"/>
        </w:rPr>
        <w:t xml:space="preserve">Explanatory Memorandum, </w:t>
      </w:r>
      <w:r w:rsidR="00F555B8" w:rsidRPr="003B035B">
        <w:rPr>
          <w:i/>
          <w:iCs/>
          <w:sz w:val="20"/>
          <w:szCs w:val="18"/>
        </w:rPr>
        <w:t>Corporations Amendment (Professional Standards of Financial Advisers) Bill 2017</w:t>
      </w:r>
      <w:r w:rsidR="00F555B8" w:rsidRPr="003B035B">
        <w:rPr>
          <w:sz w:val="20"/>
          <w:szCs w:val="18"/>
        </w:rPr>
        <w:t xml:space="preserve"> </w:t>
      </w:r>
      <w:r w:rsidRPr="003B035B">
        <w:rPr>
          <w:sz w:val="20"/>
          <w:szCs w:val="18"/>
        </w:rPr>
        <w:t xml:space="preserve">[6.8]. </w:t>
      </w:r>
    </w:p>
  </w:footnote>
  <w:footnote w:id="10">
    <w:p w14:paraId="51BB61AE" w14:textId="2261B644" w:rsidR="00BD4C75" w:rsidRDefault="00BD4C75" w:rsidP="003B035B">
      <w:r w:rsidRPr="003B035B">
        <w:rPr>
          <w:rStyle w:val="FootnoteReference"/>
          <w:sz w:val="16"/>
          <w:szCs w:val="18"/>
        </w:rPr>
        <w:footnoteRef/>
      </w:r>
      <w:r w:rsidRPr="003B035B">
        <w:rPr>
          <w:sz w:val="20"/>
          <w:szCs w:val="18"/>
        </w:rPr>
        <w:t xml:space="preserve"> </w:t>
      </w:r>
      <w:r w:rsidR="00F555B8" w:rsidRPr="003B035B">
        <w:rPr>
          <w:sz w:val="20"/>
          <w:szCs w:val="18"/>
        </w:rPr>
        <w:t>Parliamentary Joint Committee on Corporations and Financial Services</w:t>
      </w:r>
      <w:r w:rsidR="00F555B8" w:rsidRPr="005771A1">
        <w:rPr>
          <w:i/>
          <w:iCs/>
          <w:sz w:val="20"/>
          <w:szCs w:val="18"/>
        </w:rPr>
        <w:t>, Inquiry into proposals to lif</w:t>
      </w:r>
      <w:r w:rsidR="003F3CFE">
        <w:rPr>
          <w:i/>
          <w:iCs/>
          <w:sz w:val="20"/>
          <w:szCs w:val="18"/>
        </w:rPr>
        <w:t>t</w:t>
      </w:r>
      <w:r w:rsidR="00F555B8" w:rsidRPr="005771A1">
        <w:rPr>
          <w:i/>
          <w:iCs/>
          <w:sz w:val="20"/>
          <w:szCs w:val="18"/>
        </w:rPr>
        <w:t xml:space="preserve"> the professional, ethical and education standards in the financial services industry</w:t>
      </w:r>
      <w:r w:rsidR="00F555B8" w:rsidRPr="003B035B">
        <w:rPr>
          <w:sz w:val="20"/>
          <w:szCs w:val="18"/>
        </w:rPr>
        <w:t xml:space="preserve">, (2014) </w:t>
      </w:r>
      <w:r w:rsidRPr="003B035B">
        <w:rPr>
          <w:sz w:val="20"/>
          <w:szCs w:val="18"/>
        </w:rPr>
        <w:t xml:space="preserve">[3.74]. </w:t>
      </w:r>
    </w:p>
  </w:footnote>
  <w:footnote w:id="11">
    <w:p w14:paraId="3EA2E894" w14:textId="7D6C843E" w:rsidR="00E73495" w:rsidRDefault="00E73495">
      <w:pPr>
        <w:pStyle w:val="FootnoteText"/>
      </w:pPr>
      <w:r>
        <w:rPr>
          <w:rStyle w:val="FootnoteReference"/>
        </w:rPr>
        <w:footnoteRef/>
      </w:r>
      <w:r>
        <w:t xml:space="preserve"> Note</w:t>
      </w:r>
      <w:r w:rsidR="00992F21">
        <w:t>:</w:t>
      </w:r>
      <w:r>
        <w:t xml:space="preserve"> </w:t>
      </w:r>
      <w:r w:rsidR="00992F21">
        <w:t>C</w:t>
      </w:r>
      <w:r>
        <w:t xml:space="preserve">ompliance with CPD is an ongoing requirement. </w:t>
      </w:r>
    </w:p>
  </w:footnote>
  <w:footnote w:id="12">
    <w:p w14:paraId="67D2C7AF" w14:textId="5D6F266E" w:rsidR="001414E7" w:rsidRDefault="001414E7">
      <w:pPr>
        <w:pStyle w:val="FootnoteText"/>
      </w:pPr>
      <w:r>
        <w:rPr>
          <w:rStyle w:val="FootnoteReference"/>
        </w:rPr>
        <w:footnoteRef/>
      </w:r>
      <w:r>
        <w:t xml:space="preserve"> </w:t>
      </w:r>
      <w:r w:rsidR="005E676E">
        <w:t xml:space="preserve">Note: </w:t>
      </w:r>
      <w:r>
        <w:t>Potential changes to education requirements for new entrants, discussed in the next section of this consultation paper, may also have implications for non-eligible existing adviser education requirements.</w:t>
      </w:r>
    </w:p>
  </w:footnote>
  <w:footnote w:id="13">
    <w:p w14:paraId="5182C682" w14:textId="77777777" w:rsidR="00C5253B" w:rsidRDefault="00C5253B">
      <w:pPr>
        <w:pStyle w:val="FootnoteText"/>
      </w:pPr>
      <w:r>
        <w:rPr>
          <w:rStyle w:val="FootnoteReference"/>
        </w:rPr>
        <w:footnoteRef/>
      </w:r>
      <w:r>
        <w:t xml:space="preserve"> Note: </w:t>
      </w:r>
      <w:r w:rsidRPr="00DE5495">
        <w:t xml:space="preserve">To be recognised as an existing adviser, a person must, among other requirements, have been authorised to provide personal advice on ‘relevant financial products’ between 1 January 2016 and 1 January 2019. In general, this will mean that the adviser was listed on the </w:t>
      </w:r>
      <w:r>
        <w:t>FAR</w:t>
      </w:r>
      <w:r w:rsidRPr="00DE5495">
        <w:t xml:space="preserve"> at any time </w:t>
      </w:r>
      <w:r>
        <w:t>in this period – this shorthand criteria has been used in this table</w:t>
      </w:r>
      <w:r w:rsidRPr="00DE5495">
        <w:t>.</w:t>
      </w:r>
    </w:p>
  </w:footnote>
  <w:footnote w:id="14">
    <w:p w14:paraId="3030DB12" w14:textId="660ED1D3" w:rsidR="006E24F9" w:rsidRPr="003B035B" w:rsidRDefault="006E24F9" w:rsidP="003B035B">
      <w:pPr>
        <w:rPr>
          <w:sz w:val="20"/>
          <w:szCs w:val="18"/>
        </w:rPr>
      </w:pPr>
      <w:r w:rsidRPr="003B035B">
        <w:rPr>
          <w:sz w:val="20"/>
          <w:szCs w:val="18"/>
        </w:rPr>
        <w:footnoteRef/>
      </w:r>
      <w:r w:rsidRPr="003B035B">
        <w:rPr>
          <w:sz w:val="20"/>
          <w:szCs w:val="18"/>
        </w:rPr>
        <w:t xml:space="preserve"> </w:t>
      </w:r>
      <w:r w:rsidR="00346086">
        <w:rPr>
          <w:sz w:val="20"/>
          <w:szCs w:val="18"/>
        </w:rPr>
        <w:t xml:space="preserve">Note: This table </w:t>
      </w:r>
      <w:r w:rsidRPr="003B035B">
        <w:rPr>
          <w:sz w:val="20"/>
          <w:szCs w:val="18"/>
        </w:rPr>
        <w:t xml:space="preserve">only refers to tertiary education </w:t>
      </w:r>
      <w:r w:rsidR="00DC00FB" w:rsidRPr="003B035B">
        <w:rPr>
          <w:sz w:val="20"/>
          <w:szCs w:val="18"/>
        </w:rPr>
        <w:t>and professional year requirements,</w:t>
      </w:r>
      <w:r w:rsidRPr="003B035B">
        <w:rPr>
          <w:sz w:val="20"/>
          <w:szCs w:val="18"/>
        </w:rPr>
        <w:t xml:space="preserve"> and does not include additional requirements such as passing the financial advisers’ exam and CPD</w:t>
      </w:r>
      <w:r w:rsidR="008D06CF" w:rsidRPr="003B035B">
        <w:rPr>
          <w:sz w:val="20"/>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D5C84" w14:textId="1E5AB316" w:rsidR="002314D2" w:rsidRPr="001F3912" w:rsidRDefault="002314D2" w:rsidP="0017089D">
    <w:r>
      <w:fldChar w:fldCharType="begin"/>
    </w:r>
    <w:r>
      <w:instrText xml:space="preserve"> macrobutton nomacro [Click and add Publication Title]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36AB9" w14:textId="36AF00ED" w:rsidR="002314D2" w:rsidRPr="00B64460" w:rsidRDefault="002314D2" w:rsidP="00B644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5869E" w14:textId="7E3E61A4" w:rsidR="00E81A40" w:rsidRPr="001F3912" w:rsidRDefault="00E81A40" w:rsidP="0017089D">
    <w:r>
      <w:fldChar w:fldCharType="begin"/>
    </w:r>
    <w:r>
      <w:instrText xml:space="preserve"> macrobutton nomacro [Click and add Publication Title] </w:instrTex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5F9DE" w14:textId="502CFA67" w:rsidR="00E81A40" w:rsidRPr="00963E8D" w:rsidRDefault="00E81A40" w:rsidP="00963E8D">
    <w:pPr>
      <w:pStyle w:val="Header"/>
    </w:pPr>
    <w:r>
      <w:rPr>
        <w:noProof/>
      </w:rPr>
      <w:drawing>
        <wp:anchor distT="0" distB="0" distL="114300" distR="114300" simplePos="0" relativeHeight="251657728" behindDoc="1" locked="1" layoutInCell="1" allowOverlap="1" wp14:anchorId="17C51896" wp14:editId="7F4CF207">
          <wp:simplePos x="0" y="0"/>
          <wp:positionH relativeFrom="page">
            <wp:align>center</wp:align>
          </wp:positionH>
          <wp:positionV relativeFrom="page">
            <wp:align>top</wp:align>
          </wp:positionV>
          <wp:extent cx="7570800" cy="1044000"/>
          <wp:effectExtent l="0" t="0" r="0" b="381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ED594" w14:textId="07AE7B61" w:rsidR="00E81A40" w:rsidRPr="00B64460" w:rsidRDefault="00E81A40" w:rsidP="00B644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694C00"/>
    <w:multiLevelType w:val="hybridMultilevel"/>
    <w:tmpl w:val="FD58B05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15A5504"/>
    <w:multiLevelType w:val="hybridMultilevel"/>
    <w:tmpl w:val="79A65DBE"/>
    <w:lvl w:ilvl="0" w:tplc="9FC4B4DA">
      <w:start w:val="1"/>
      <w:numFmt w:val="bullet"/>
      <w:lvlText w:val="•"/>
      <w:lvlJc w:val="left"/>
      <w:pPr>
        <w:tabs>
          <w:tab w:val="num" w:pos="720"/>
        </w:tabs>
        <w:ind w:left="720" w:hanging="360"/>
      </w:pPr>
      <w:rPr>
        <w:rFonts w:ascii="Times New Roman" w:hAnsi="Times New Roman" w:hint="default"/>
      </w:rPr>
    </w:lvl>
    <w:lvl w:ilvl="1" w:tplc="A1CA3CE2" w:tentative="1">
      <w:start w:val="1"/>
      <w:numFmt w:val="bullet"/>
      <w:lvlText w:val="•"/>
      <w:lvlJc w:val="left"/>
      <w:pPr>
        <w:tabs>
          <w:tab w:val="num" w:pos="1440"/>
        </w:tabs>
        <w:ind w:left="1440" w:hanging="360"/>
      </w:pPr>
      <w:rPr>
        <w:rFonts w:ascii="Times New Roman" w:hAnsi="Times New Roman" w:hint="default"/>
      </w:rPr>
    </w:lvl>
    <w:lvl w:ilvl="2" w:tplc="37B46848" w:tentative="1">
      <w:start w:val="1"/>
      <w:numFmt w:val="bullet"/>
      <w:lvlText w:val="•"/>
      <w:lvlJc w:val="left"/>
      <w:pPr>
        <w:tabs>
          <w:tab w:val="num" w:pos="2160"/>
        </w:tabs>
        <w:ind w:left="2160" w:hanging="360"/>
      </w:pPr>
      <w:rPr>
        <w:rFonts w:ascii="Times New Roman" w:hAnsi="Times New Roman" w:hint="default"/>
      </w:rPr>
    </w:lvl>
    <w:lvl w:ilvl="3" w:tplc="112AB42C" w:tentative="1">
      <w:start w:val="1"/>
      <w:numFmt w:val="bullet"/>
      <w:lvlText w:val="•"/>
      <w:lvlJc w:val="left"/>
      <w:pPr>
        <w:tabs>
          <w:tab w:val="num" w:pos="2880"/>
        </w:tabs>
        <w:ind w:left="2880" w:hanging="360"/>
      </w:pPr>
      <w:rPr>
        <w:rFonts w:ascii="Times New Roman" w:hAnsi="Times New Roman" w:hint="default"/>
      </w:rPr>
    </w:lvl>
    <w:lvl w:ilvl="4" w:tplc="87E8687A" w:tentative="1">
      <w:start w:val="1"/>
      <w:numFmt w:val="bullet"/>
      <w:lvlText w:val="•"/>
      <w:lvlJc w:val="left"/>
      <w:pPr>
        <w:tabs>
          <w:tab w:val="num" w:pos="3600"/>
        </w:tabs>
        <w:ind w:left="3600" w:hanging="360"/>
      </w:pPr>
      <w:rPr>
        <w:rFonts w:ascii="Times New Roman" w:hAnsi="Times New Roman" w:hint="default"/>
      </w:rPr>
    </w:lvl>
    <w:lvl w:ilvl="5" w:tplc="7C20779A" w:tentative="1">
      <w:start w:val="1"/>
      <w:numFmt w:val="bullet"/>
      <w:lvlText w:val="•"/>
      <w:lvlJc w:val="left"/>
      <w:pPr>
        <w:tabs>
          <w:tab w:val="num" w:pos="4320"/>
        </w:tabs>
        <w:ind w:left="4320" w:hanging="360"/>
      </w:pPr>
      <w:rPr>
        <w:rFonts w:ascii="Times New Roman" w:hAnsi="Times New Roman" w:hint="default"/>
      </w:rPr>
    </w:lvl>
    <w:lvl w:ilvl="6" w:tplc="C758322C" w:tentative="1">
      <w:start w:val="1"/>
      <w:numFmt w:val="bullet"/>
      <w:lvlText w:val="•"/>
      <w:lvlJc w:val="left"/>
      <w:pPr>
        <w:tabs>
          <w:tab w:val="num" w:pos="5040"/>
        </w:tabs>
        <w:ind w:left="5040" w:hanging="360"/>
      </w:pPr>
      <w:rPr>
        <w:rFonts w:ascii="Times New Roman" w:hAnsi="Times New Roman" w:hint="default"/>
      </w:rPr>
    </w:lvl>
    <w:lvl w:ilvl="7" w:tplc="347C09CA" w:tentative="1">
      <w:start w:val="1"/>
      <w:numFmt w:val="bullet"/>
      <w:lvlText w:val="•"/>
      <w:lvlJc w:val="left"/>
      <w:pPr>
        <w:tabs>
          <w:tab w:val="num" w:pos="5760"/>
        </w:tabs>
        <w:ind w:left="5760" w:hanging="360"/>
      </w:pPr>
      <w:rPr>
        <w:rFonts w:ascii="Times New Roman" w:hAnsi="Times New Roman" w:hint="default"/>
      </w:rPr>
    </w:lvl>
    <w:lvl w:ilvl="8" w:tplc="E910B05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7DF7717"/>
    <w:multiLevelType w:val="multilevel"/>
    <w:tmpl w:val="32BA81B0"/>
    <w:lvl w:ilvl="0">
      <w:start w:val="1"/>
      <w:numFmt w:val="decimal"/>
      <w:pStyle w:val="Heading1Numbered"/>
      <w:lvlText w:val="%1."/>
      <w:lvlJc w:val="left"/>
      <w:pPr>
        <w:ind w:left="454" w:hanging="454"/>
      </w:pPr>
      <w:rPr>
        <w:rFonts w:hint="default"/>
      </w:rPr>
    </w:lvl>
    <w:lvl w:ilvl="1">
      <w:start w:val="1"/>
      <w:numFmt w:val="decimal"/>
      <w:pStyle w:val="Heading2Numbered"/>
      <w:lvlText w:val="%1.%2"/>
      <w:lvlJc w:val="left"/>
      <w:pPr>
        <w:ind w:left="454" w:hanging="454"/>
      </w:pPr>
      <w:rPr>
        <w:rFonts w:hint="default"/>
      </w:rPr>
    </w:lvl>
    <w:lvl w:ilvl="2">
      <w:start w:val="1"/>
      <w:numFmt w:val="decimal"/>
      <w:pStyle w:val="Heading3Numbered"/>
      <w:lvlText w:val="%1.%2.%3"/>
      <w:lvlJc w:val="left"/>
      <w:pPr>
        <w:ind w:left="454" w:hanging="454"/>
      </w:pPr>
      <w:rPr>
        <w:rFonts w:hint="default"/>
      </w:rPr>
    </w:lvl>
    <w:lvl w:ilvl="3">
      <w:start w:val="1"/>
      <w:numFmt w:val="decimal"/>
      <w:lvlText w:val="(%4)"/>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lef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left"/>
      <w:pPr>
        <w:ind w:left="454" w:hanging="454"/>
      </w:pPr>
      <w:rPr>
        <w:rFonts w:hint="default"/>
      </w:rPr>
    </w:lvl>
  </w:abstractNum>
  <w:abstractNum w:abstractNumId="5" w15:restartNumberingAfterBreak="0">
    <w:nsid w:val="27826BF0"/>
    <w:multiLevelType w:val="multilevel"/>
    <w:tmpl w:val="A4B40D48"/>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DF67561"/>
    <w:multiLevelType w:val="multilevel"/>
    <w:tmpl w:val="4DC4D254"/>
    <w:lvl w:ilvl="0">
      <w:start w:val="26"/>
      <w:numFmt w:val="decimal"/>
      <w:lvlText w:val="%1."/>
      <w:lvlJc w:val="left"/>
      <w:pPr>
        <w:tabs>
          <w:tab w:val="num" w:pos="851"/>
        </w:tabs>
        <w:ind w:left="851" w:hanging="851"/>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8"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2D011DC"/>
    <w:multiLevelType w:val="hybridMultilevel"/>
    <w:tmpl w:val="2B70BB4E"/>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67F5BF8"/>
    <w:multiLevelType w:val="hybridMultilevel"/>
    <w:tmpl w:val="1F58D9D6"/>
    <w:lvl w:ilvl="0" w:tplc="825A1658">
      <w:start w:val="1"/>
      <w:numFmt w:val="bullet"/>
      <w:lvlText w:val="•"/>
      <w:lvlJc w:val="left"/>
      <w:pPr>
        <w:tabs>
          <w:tab w:val="num" w:pos="720"/>
        </w:tabs>
        <w:ind w:left="720" w:hanging="360"/>
      </w:pPr>
      <w:rPr>
        <w:rFonts w:ascii="Times New Roman" w:hAnsi="Times New Roman" w:hint="default"/>
      </w:rPr>
    </w:lvl>
    <w:lvl w:ilvl="1" w:tplc="A314ADC0" w:tentative="1">
      <w:start w:val="1"/>
      <w:numFmt w:val="bullet"/>
      <w:lvlText w:val="•"/>
      <w:lvlJc w:val="left"/>
      <w:pPr>
        <w:tabs>
          <w:tab w:val="num" w:pos="1440"/>
        </w:tabs>
        <w:ind w:left="1440" w:hanging="360"/>
      </w:pPr>
      <w:rPr>
        <w:rFonts w:ascii="Times New Roman" w:hAnsi="Times New Roman" w:hint="default"/>
      </w:rPr>
    </w:lvl>
    <w:lvl w:ilvl="2" w:tplc="2A5EE16C" w:tentative="1">
      <w:start w:val="1"/>
      <w:numFmt w:val="bullet"/>
      <w:lvlText w:val="•"/>
      <w:lvlJc w:val="left"/>
      <w:pPr>
        <w:tabs>
          <w:tab w:val="num" w:pos="2160"/>
        </w:tabs>
        <w:ind w:left="2160" w:hanging="360"/>
      </w:pPr>
      <w:rPr>
        <w:rFonts w:ascii="Times New Roman" w:hAnsi="Times New Roman" w:hint="default"/>
      </w:rPr>
    </w:lvl>
    <w:lvl w:ilvl="3" w:tplc="B1F23530" w:tentative="1">
      <w:start w:val="1"/>
      <w:numFmt w:val="bullet"/>
      <w:lvlText w:val="•"/>
      <w:lvlJc w:val="left"/>
      <w:pPr>
        <w:tabs>
          <w:tab w:val="num" w:pos="2880"/>
        </w:tabs>
        <w:ind w:left="2880" w:hanging="360"/>
      </w:pPr>
      <w:rPr>
        <w:rFonts w:ascii="Times New Roman" w:hAnsi="Times New Roman" w:hint="default"/>
      </w:rPr>
    </w:lvl>
    <w:lvl w:ilvl="4" w:tplc="CFFA3F06" w:tentative="1">
      <w:start w:val="1"/>
      <w:numFmt w:val="bullet"/>
      <w:lvlText w:val="•"/>
      <w:lvlJc w:val="left"/>
      <w:pPr>
        <w:tabs>
          <w:tab w:val="num" w:pos="3600"/>
        </w:tabs>
        <w:ind w:left="3600" w:hanging="360"/>
      </w:pPr>
      <w:rPr>
        <w:rFonts w:ascii="Times New Roman" w:hAnsi="Times New Roman" w:hint="default"/>
      </w:rPr>
    </w:lvl>
    <w:lvl w:ilvl="5" w:tplc="3AAA0D80" w:tentative="1">
      <w:start w:val="1"/>
      <w:numFmt w:val="bullet"/>
      <w:lvlText w:val="•"/>
      <w:lvlJc w:val="left"/>
      <w:pPr>
        <w:tabs>
          <w:tab w:val="num" w:pos="4320"/>
        </w:tabs>
        <w:ind w:left="4320" w:hanging="360"/>
      </w:pPr>
      <w:rPr>
        <w:rFonts w:ascii="Times New Roman" w:hAnsi="Times New Roman" w:hint="default"/>
      </w:rPr>
    </w:lvl>
    <w:lvl w:ilvl="6" w:tplc="43A4541C" w:tentative="1">
      <w:start w:val="1"/>
      <w:numFmt w:val="bullet"/>
      <w:lvlText w:val="•"/>
      <w:lvlJc w:val="left"/>
      <w:pPr>
        <w:tabs>
          <w:tab w:val="num" w:pos="5040"/>
        </w:tabs>
        <w:ind w:left="5040" w:hanging="360"/>
      </w:pPr>
      <w:rPr>
        <w:rFonts w:ascii="Times New Roman" w:hAnsi="Times New Roman" w:hint="default"/>
      </w:rPr>
    </w:lvl>
    <w:lvl w:ilvl="7" w:tplc="4912BE0C" w:tentative="1">
      <w:start w:val="1"/>
      <w:numFmt w:val="bullet"/>
      <w:lvlText w:val="•"/>
      <w:lvlJc w:val="left"/>
      <w:pPr>
        <w:tabs>
          <w:tab w:val="num" w:pos="5760"/>
        </w:tabs>
        <w:ind w:left="5760" w:hanging="360"/>
      </w:pPr>
      <w:rPr>
        <w:rFonts w:ascii="Times New Roman" w:hAnsi="Times New Roman" w:hint="default"/>
      </w:rPr>
    </w:lvl>
    <w:lvl w:ilvl="8" w:tplc="46580FAC"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1CB3EA3"/>
    <w:multiLevelType w:val="hybridMultilevel"/>
    <w:tmpl w:val="B352BED6"/>
    <w:lvl w:ilvl="0" w:tplc="E7A69236">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65033AC"/>
    <w:multiLevelType w:val="multilevel"/>
    <w:tmpl w:val="270204CC"/>
    <w:name w:val="StandardBulletedList"/>
    <w:lvl w:ilvl="0">
      <w:start w:val="1"/>
      <w:numFmt w:val="bullet"/>
      <w:lvlText w:val="•"/>
      <w:lvlJc w:val="left"/>
      <w:pPr>
        <w:tabs>
          <w:tab w:val="num" w:pos="1040"/>
        </w:tabs>
        <w:ind w:left="1040" w:hanging="520"/>
      </w:pPr>
      <w:rPr>
        <w:rFonts w:ascii="Times New Roman" w:hAnsi="Times New Roman" w:cs="Times New Roman"/>
      </w:rPr>
    </w:lvl>
    <w:lvl w:ilvl="1">
      <w:start w:val="1"/>
      <w:numFmt w:val="bullet"/>
      <w:lvlText w:val="–"/>
      <w:lvlJc w:val="left"/>
      <w:pPr>
        <w:tabs>
          <w:tab w:val="num" w:pos="1560"/>
        </w:tabs>
        <w:ind w:left="1560" w:hanging="520"/>
      </w:pPr>
      <w:rPr>
        <w:rFonts w:ascii="Times New Roman" w:hAnsi="Times New Roman" w:cs="Times New Roman"/>
      </w:rPr>
    </w:lvl>
    <w:lvl w:ilvl="2">
      <w:start w:val="1"/>
      <w:numFmt w:val="bullet"/>
      <w:lvlText w:val=":"/>
      <w:lvlJc w:val="left"/>
      <w:pPr>
        <w:tabs>
          <w:tab w:val="num" w:pos="2080"/>
        </w:tabs>
        <w:ind w:left="2080" w:hanging="520"/>
      </w:pPr>
      <w:rPr>
        <w:rFonts w:ascii="Times New Roman" w:hAnsi="Times New Roman" w:cs="Times New Roman"/>
      </w:rPr>
    </w:lvl>
    <w:lvl w:ilvl="3">
      <w:start w:val="1"/>
      <w:numFmt w:val="decimal"/>
      <w:lvlText w:val="(%4)"/>
      <w:lvlJc w:val="left"/>
      <w:pPr>
        <w:ind w:left="1960" w:hanging="360"/>
      </w:pPr>
    </w:lvl>
    <w:lvl w:ilvl="4">
      <w:start w:val="1"/>
      <w:numFmt w:val="lowerLetter"/>
      <w:lvlText w:val="(%5)"/>
      <w:lvlJc w:val="left"/>
      <w:pPr>
        <w:ind w:left="2320" w:hanging="360"/>
      </w:pPr>
    </w:lvl>
    <w:lvl w:ilvl="5">
      <w:start w:val="1"/>
      <w:numFmt w:val="lowerRoman"/>
      <w:lvlText w:val="(%6)"/>
      <w:lvlJc w:val="left"/>
      <w:pPr>
        <w:ind w:left="2680" w:hanging="360"/>
      </w:pPr>
    </w:lvl>
    <w:lvl w:ilvl="6">
      <w:start w:val="1"/>
      <w:numFmt w:val="decimal"/>
      <w:lvlText w:val="%7."/>
      <w:lvlJc w:val="left"/>
      <w:pPr>
        <w:ind w:left="3040" w:hanging="360"/>
      </w:pPr>
    </w:lvl>
    <w:lvl w:ilvl="7">
      <w:start w:val="1"/>
      <w:numFmt w:val="lowerLetter"/>
      <w:lvlText w:val="%8."/>
      <w:lvlJc w:val="left"/>
      <w:pPr>
        <w:ind w:left="3400" w:hanging="360"/>
      </w:pPr>
    </w:lvl>
    <w:lvl w:ilvl="8">
      <w:start w:val="1"/>
      <w:numFmt w:val="lowerRoman"/>
      <w:lvlText w:val="%9."/>
      <w:lvlJc w:val="left"/>
      <w:pPr>
        <w:ind w:left="3760" w:hanging="360"/>
      </w:pPr>
    </w:lvl>
  </w:abstractNum>
  <w:abstractNum w:abstractNumId="14" w15:restartNumberingAfterBreak="0">
    <w:nsid w:val="465319C0"/>
    <w:multiLevelType w:val="hybridMultilevel"/>
    <w:tmpl w:val="450E9862"/>
    <w:lvl w:ilvl="0" w:tplc="66C290E2">
      <w:start w:val="1"/>
      <w:numFmt w:val="bullet"/>
      <w:lvlText w:val="•"/>
      <w:lvlJc w:val="left"/>
      <w:pPr>
        <w:tabs>
          <w:tab w:val="num" w:pos="720"/>
        </w:tabs>
        <w:ind w:left="720" w:hanging="360"/>
      </w:pPr>
      <w:rPr>
        <w:rFonts w:ascii="Times New Roman" w:hAnsi="Times New Roman" w:hint="default"/>
      </w:rPr>
    </w:lvl>
    <w:lvl w:ilvl="1" w:tplc="D8BA01C8" w:tentative="1">
      <w:start w:val="1"/>
      <w:numFmt w:val="bullet"/>
      <w:lvlText w:val="•"/>
      <w:lvlJc w:val="left"/>
      <w:pPr>
        <w:tabs>
          <w:tab w:val="num" w:pos="1440"/>
        </w:tabs>
        <w:ind w:left="1440" w:hanging="360"/>
      </w:pPr>
      <w:rPr>
        <w:rFonts w:ascii="Times New Roman" w:hAnsi="Times New Roman" w:hint="default"/>
      </w:rPr>
    </w:lvl>
    <w:lvl w:ilvl="2" w:tplc="B478FBB0" w:tentative="1">
      <w:start w:val="1"/>
      <w:numFmt w:val="bullet"/>
      <w:lvlText w:val="•"/>
      <w:lvlJc w:val="left"/>
      <w:pPr>
        <w:tabs>
          <w:tab w:val="num" w:pos="2160"/>
        </w:tabs>
        <w:ind w:left="2160" w:hanging="360"/>
      </w:pPr>
      <w:rPr>
        <w:rFonts w:ascii="Times New Roman" w:hAnsi="Times New Roman" w:hint="default"/>
      </w:rPr>
    </w:lvl>
    <w:lvl w:ilvl="3" w:tplc="4424A014" w:tentative="1">
      <w:start w:val="1"/>
      <w:numFmt w:val="bullet"/>
      <w:lvlText w:val="•"/>
      <w:lvlJc w:val="left"/>
      <w:pPr>
        <w:tabs>
          <w:tab w:val="num" w:pos="2880"/>
        </w:tabs>
        <w:ind w:left="2880" w:hanging="360"/>
      </w:pPr>
      <w:rPr>
        <w:rFonts w:ascii="Times New Roman" w:hAnsi="Times New Roman" w:hint="default"/>
      </w:rPr>
    </w:lvl>
    <w:lvl w:ilvl="4" w:tplc="8B20B81C" w:tentative="1">
      <w:start w:val="1"/>
      <w:numFmt w:val="bullet"/>
      <w:lvlText w:val="•"/>
      <w:lvlJc w:val="left"/>
      <w:pPr>
        <w:tabs>
          <w:tab w:val="num" w:pos="3600"/>
        </w:tabs>
        <w:ind w:left="3600" w:hanging="360"/>
      </w:pPr>
      <w:rPr>
        <w:rFonts w:ascii="Times New Roman" w:hAnsi="Times New Roman" w:hint="default"/>
      </w:rPr>
    </w:lvl>
    <w:lvl w:ilvl="5" w:tplc="AD10DB4E" w:tentative="1">
      <w:start w:val="1"/>
      <w:numFmt w:val="bullet"/>
      <w:lvlText w:val="•"/>
      <w:lvlJc w:val="left"/>
      <w:pPr>
        <w:tabs>
          <w:tab w:val="num" w:pos="4320"/>
        </w:tabs>
        <w:ind w:left="4320" w:hanging="360"/>
      </w:pPr>
      <w:rPr>
        <w:rFonts w:ascii="Times New Roman" w:hAnsi="Times New Roman" w:hint="default"/>
      </w:rPr>
    </w:lvl>
    <w:lvl w:ilvl="6" w:tplc="D17876C2" w:tentative="1">
      <w:start w:val="1"/>
      <w:numFmt w:val="bullet"/>
      <w:lvlText w:val="•"/>
      <w:lvlJc w:val="left"/>
      <w:pPr>
        <w:tabs>
          <w:tab w:val="num" w:pos="5040"/>
        </w:tabs>
        <w:ind w:left="5040" w:hanging="360"/>
      </w:pPr>
      <w:rPr>
        <w:rFonts w:ascii="Times New Roman" w:hAnsi="Times New Roman" w:hint="default"/>
      </w:rPr>
    </w:lvl>
    <w:lvl w:ilvl="7" w:tplc="4F6EC6D8" w:tentative="1">
      <w:start w:val="1"/>
      <w:numFmt w:val="bullet"/>
      <w:lvlText w:val="•"/>
      <w:lvlJc w:val="left"/>
      <w:pPr>
        <w:tabs>
          <w:tab w:val="num" w:pos="5760"/>
        </w:tabs>
        <w:ind w:left="5760" w:hanging="360"/>
      </w:pPr>
      <w:rPr>
        <w:rFonts w:ascii="Times New Roman" w:hAnsi="Times New Roman" w:hint="default"/>
      </w:rPr>
    </w:lvl>
    <w:lvl w:ilvl="8" w:tplc="C09A7636"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510D2021"/>
    <w:multiLevelType w:val="multilevel"/>
    <w:tmpl w:val="63ECBC5A"/>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60E1519"/>
    <w:multiLevelType w:val="hybridMultilevel"/>
    <w:tmpl w:val="9C04C2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D8B7487"/>
    <w:multiLevelType w:val="multilevel"/>
    <w:tmpl w:val="21DC4220"/>
    <w:lvl w:ilvl="0">
      <w:start w:val="3"/>
      <w:numFmt w:val="decimal"/>
      <w:lvlText w:val="%1."/>
      <w:lvlJc w:val="left"/>
      <w:pPr>
        <w:tabs>
          <w:tab w:val="num" w:pos="851"/>
        </w:tabs>
        <w:ind w:left="851" w:hanging="851"/>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D6B5224"/>
    <w:multiLevelType w:val="multilevel"/>
    <w:tmpl w:val="FE580732"/>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0"/>
  </w:num>
  <w:num w:numId="3">
    <w:abstractNumId w:val="10"/>
  </w:num>
  <w:num w:numId="4">
    <w:abstractNumId w:val="1"/>
  </w:num>
  <w:num w:numId="5">
    <w:abstractNumId w:val="15"/>
  </w:num>
  <w:num w:numId="6">
    <w:abstractNumId w:val="8"/>
  </w:num>
  <w:num w:numId="7">
    <w:abstractNumId w:val="1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8"/>
  </w:num>
  <w:num w:numId="10">
    <w:abstractNumId w:val="4"/>
  </w:num>
  <w:num w:numId="11">
    <w:abstractNumId w:val="10"/>
  </w:num>
  <w:num w:numId="12">
    <w:abstractNumId w:val="1"/>
  </w:num>
  <w:num w:numId="13">
    <w:abstractNumId w:val="5"/>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1"/>
    <w:lvlOverride w:ilvl="0">
      <w:lvl w:ilvl="0">
        <w:start w:val="1"/>
        <w:numFmt w:val="decimal"/>
        <w:pStyle w:val="OutlineNumbered1"/>
        <w:lvlText w:val="%1."/>
        <w:lvlJc w:val="left"/>
        <w:pPr>
          <w:tabs>
            <w:tab w:val="num" w:pos="851"/>
          </w:tabs>
          <w:ind w:left="851" w:hanging="851"/>
        </w:pPr>
        <w:rPr>
          <w:rFonts w:hint="default"/>
        </w:rPr>
      </w:lvl>
    </w:lvlOverride>
    <w:lvlOverride w:ilvl="1">
      <w:lvl w:ilvl="1">
        <w:start w:val="1"/>
        <w:numFmt w:val="decimal"/>
        <w:pStyle w:val="OutlineNumbered2"/>
        <w:lvlText w:val="%1.%2"/>
        <w:lvlJc w:val="left"/>
        <w:pPr>
          <w:tabs>
            <w:tab w:val="num" w:pos="1134"/>
          </w:tabs>
          <w:ind w:left="1134" w:hanging="1134"/>
        </w:pPr>
        <w:rPr>
          <w:rFonts w:hint="default"/>
        </w:rPr>
      </w:lvl>
    </w:lvlOverride>
    <w:lvlOverride w:ilvl="2">
      <w:lvl w:ilvl="2">
        <w:start w:val="1"/>
        <w:numFmt w:val="decimal"/>
        <w:pStyle w:val="OutlineNumbered3"/>
        <w:lvlText w:val="%1.%2.%3"/>
        <w:lvlJc w:val="left"/>
        <w:pPr>
          <w:tabs>
            <w:tab w:val="num" w:pos="1418"/>
          </w:tabs>
          <w:ind w:left="1418" w:hanging="1418"/>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1"/>
    <w:lvlOverride w:ilvl="0">
      <w:startOverride w:val="1"/>
      <w:lvl w:ilvl="0">
        <w:start w:val="1"/>
        <w:numFmt w:val="decimal"/>
        <w:pStyle w:val="OutlineNumbered1"/>
        <w:lvlText w:val="%1."/>
        <w:lvlJc w:val="left"/>
        <w:pPr>
          <w:tabs>
            <w:tab w:val="num" w:pos="851"/>
          </w:tabs>
          <w:ind w:left="851" w:hanging="851"/>
        </w:pPr>
        <w:rPr>
          <w:rFonts w:hint="default"/>
        </w:rPr>
      </w:lvl>
    </w:lvlOverride>
    <w:lvlOverride w:ilvl="1">
      <w:startOverride w:val="1"/>
      <w:lvl w:ilvl="1">
        <w:start w:val="1"/>
        <w:numFmt w:val="decimal"/>
        <w:pStyle w:val="OutlineNumbered2"/>
        <w:lvlText w:val=""/>
        <w:lvlJc w:val="left"/>
      </w:lvl>
    </w:lvlOverride>
    <w:lvlOverride w:ilvl="2">
      <w:startOverride w:val="1"/>
      <w:lvl w:ilvl="2">
        <w:start w:val="1"/>
        <w:numFmt w:val="decimal"/>
        <w:pStyle w:val="OutlineNumbered3"/>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0">
    <w:abstractNumId w:val="1"/>
    <w:lvlOverride w:ilvl="0">
      <w:startOverride w:val="1"/>
      <w:lvl w:ilvl="0">
        <w:start w:val="1"/>
        <w:numFmt w:val="decimal"/>
        <w:pStyle w:val="OutlineNumbered1"/>
        <w:lvlText w:val="%1."/>
        <w:lvlJc w:val="left"/>
        <w:pPr>
          <w:tabs>
            <w:tab w:val="num" w:pos="851"/>
          </w:tabs>
          <w:ind w:left="851" w:hanging="851"/>
        </w:pPr>
        <w:rPr>
          <w:rFonts w:hint="default"/>
        </w:rPr>
      </w:lvl>
    </w:lvlOverride>
    <w:lvlOverride w:ilvl="1">
      <w:startOverride w:val="1"/>
      <w:lvl w:ilvl="1">
        <w:start w:val="1"/>
        <w:numFmt w:val="decimal"/>
        <w:pStyle w:val="OutlineNumbered2"/>
        <w:lvlText w:val=""/>
        <w:lvlJc w:val="left"/>
      </w:lvl>
    </w:lvlOverride>
    <w:lvlOverride w:ilvl="2">
      <w:startOverride w:val="1"/>
      <w:lvl w:ilvl="2">
        <w:start w:val="1"/>
        <w:numFmt w:val="decimal"/>
        <w:pStyle w:val="OutlineNumbered3"/>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1">
    <w:abstractNumId w:val="1"/>
    <w:lvlOverride w:ilvl="0">
      <w:startOverride w:val="1"/>
      <w:lvl w:ilvl="0">
        <w:start w:val="1"/>
        <w:numFmt w:val="decimal"/>
        <w:pStyle w:val="OutlineNumbered1"/>
        <w:lvlText w:val="%1."/>
        <w:lvlJc w:val="left"/>
        <w:pPr>
          <w:tabs>
            <w:tab w:val="num" w:pos="851"/>
          </w:tabs>
          <w:ind w:left="851" w:hanging="851"/>
        </w:pPr>
        <w:rPr>
          <w:rFonts w:hint="default"/>
        </w:rPr>
      </w:lvl>
    </w:lvlOverride>
    <w:lvlOverride w:ilvl="1">
      <w:startOverride w:val="1"/>
      <w:lvl w:ilvl="1">
        <w:start w:val="1"/>
        <w:numFmt w:val="decimal"/>
        <w:pStyle w:val="OutlineNumbered2"/>
        <w:lvlText w:val="%1.%2"/>
        <w:lvlJc w:val="left"/>
        <w:pPr>
          <w:tabs>
            <w:tab w:val="num" w:pos="1134"/>
          </w:tabs>
          <w:ind w:left="1134" w:hanging="1134"/>
        </w:pPr>
        <w:rPr>
          <w:rFonts w:hint="default"/>
        </w:rPr>
      </w:lvl>
    </w:lvlOverride>
    <w:lvlOverride w:ilvl="2">
      <w:startOverride w:val="1"/>
      <w:lvl w:ilvl="2">
        <w:start w:val="1"/>
        <w:numFmt w:val="decimal"/>
        <w:pStyle w:val="OutlineNumbered3"/>
        <w:lvlText w:val="%1.%2.%3"/>
        <w:lvlJc w:val="left"/>
        <w:pPr>
          <w:tabs>
            <w:tab w:val="num" w:pos="1418"/>
          </w:tabs>
          <w:ind w:left="1418" w:hanging="1418"/>
        </w:pPr>
        <w:rPr>
          <w:rFonts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2">
    <w:abstractNumId w:val="1"/>
    <w:lvlOverride w:ilvl="0">
      <w:lvl w:ilvl="0">
        <w:start w:val="1"/>
        <w:numFmt w:val="decimal"/>
        <w:pStyle w:val="OutlineNumbered1"/>
        <w:lvlText w:val="%1."/>
        <w:lvlJc w:val="left"/>
        <w:pPr>
          <w:tabs>
            <w:tab w:val="num" w:pos="851"/>
          </w:tabs>
          <w:ind w:left="851" w:hanging="851"/>
        </w:pPr>
        <w:rPr>
          <w:rFonts w:hint="default"/>
        </w:rPr>
      </w:lvl>
    </w:lvlOverride>
    <w:lvlOverride w:ilvl="1">
      <w:lvl w:ilvl="1">
        <w:start w:val="1"/>
        <w:numFmt w:val="decimal"/>
        <w:pStyle w:val="OutlineNumbered2"/>
        <w:lvlText w:val="%1.%2"/>
        <w:lvlJc w:val="left"/>
        <w:pPr>
          <w:tabs>
            <w:tab w:val="num" w:pos="1134"/>
          </w:tabs>
          <w:ind w:left="1134" w:hanging="1134"/>
        </w:pPr>
        <w:rPr>
          <w:rFonts w:hint="default"/>
        </w:rPr>
      </w:lvl>
    </w:lvlOverride>
    <w:lvlOverride w:ilvl="2">
      <w:lvl w:ilvl="2">
        <w:start w:val="1"/>
        <w:numFmt w:val="decimal"/>
        <w:pStyle w:val="OutlineNumbered3"/>
        <w:lvlText w:val="%1.%2.%3"/>
        <w:lvlJc w:val="left"/>
        <w:pPr>
          <w:tabs>
            <w:tab w:val="num" w:pos="1418"/>
          </w:tabs>
          <w:ind w:left="1418" w:hanging="1418"/>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3">
    <w:abstractNumId w:val="1"/>
    <w:lvlOverride w:ilvl="0">
      <w:lvl w:ilvl="0">
        <w:start w:val="1"/>
        <w:numFmt w:val="decimal"/>
        <w:pStyle w:val="OutlineNumbered1"/>
        <w:lvlText w:val="%1."/>
        <w:lvlJc w:val="left"/>
        <w:pPr>
          <w:tabs>
            <w:tab w:val="num" w:pos="851"/>
          </w:tabs>
          <w:ind w:left="851" w:hanging="851"/>
        </w:pPr>
        <w:rPr>
          <w:rFonts w:hint="default"/>
        </w:rPr>
      </w:lvl>
    </w:lvlOverride>
    <w:lvlOverride w:ilvl="1">
      <w:lvl w:ilvl="1">
        <w:start w:val="1"/>
        <w:numFmt w:val="decimal"/>
        <w:pStyle w:val="OutlineNumbered2"/>
        <w:lvlText w:val="%1.%2"/>
        <w:lvlJc w:val="left"/>
        <w:pPr>
          <w:tabs>
            <w:tab w:val="num" w:pos="1134"/>
          </w:tabs>
          <w:ind w:left="1134" w:hanging="1134"/>
        </w:pPr>
        <w:rPr>
          <w:rFonts w:hint="default"/>
        </w:rPr>
      </w:lvl>
    </w:lvlOverride>
    <w:lvlOverride w:ilvl="2">
      <w:lvl w:ilvl="2">
        <w:start w:val="1"/>
        <w:numFmt w:val="decimal"/>
        <w:pStyle w:val="OutlineNumbered3"/>
        <w:lvlText w:val="%1.%2.%3"/>
        <w:lvlJc w:val="left"/>
        <w:pPr>
          <w:tabs>
            <w:tab w:val="num" w:pos="1418"/>
          </w:tabs>
          <w:ind w:left="1418" w:hanging="1418"/>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abstractNumId w:val="1"/>
    <w:lvlOverride w:ilvl="0">
      <w:lvl w:ilvl="0">
        <w:start w:val="1"/>
        <w:numFmt w:val="decimal"/>
        <w:pStyle w:val="OutlineNumbered1"/>
        <w:lvlText w:val="%1."/>
        <w:lvlJc w:val="left"/>
        <w:pPr>
          <w:tabs>
            <w:tab w:val="num" w:pos="851"/>
          </w:tabs>
          <w:ind w:left="851" w:hanging="851"/>
        </w:pPr>
        <w:rPr>
          <w:rFonts w:hint="default"/>
        </w:rPr>
      </w:lvl>
    </w:lvlOverride>
    <w:lvlOverride w:ilvl="1">
      <w:lvl w:ilvl="1">
        <w:start w:val="1"/>
        <w:numFmt w:val="decimal"/>
        <w:pStyle w:val="OutlineNumbered2"/>
        <w:lvlText w:val="%1.%2"/>
        <w:lvlJc w:val="left"/>
        <w:pPr>
          <w:tabs>
            <w:tab w:val="num" w:pos="1134"/>
          </w:tabs>
          <w:ind w:left="1134" w:hanging="1134"/>
        </w:pPr>
        <w:rPr>
          <w:rFonts w:hint="default"/>
        </w:rPr>
      </w:lvl>
    </w:lvlOverride>
    <w:lvlOverride w:ilvl="2">
      <w:lvl w:ilvl="2">
        <w:start w:val="1"/>
        <w:numFmt w:val="decimal"/>
        <w:pStyle w:val="OutlineNumbered3"/>
        <w:lvlText w:val="%1.%2.%3"/>
        <w:lvlJc w:val="left"/>
        <w:pPr>
          <w:tabs>
            <w:tab w:val="num" w:pos="1418"/>
          </w:tabs>
          <w:ind w:left="1418" w:hanging="1418"/>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5">
    <w:abstractNumId w:val="1"/>
    <w:lvlOverride w:ilvl="0">
      <w:lvl w:ilvl="0">
        <w:start w:val="1"/>
        <w:numFmt w:val="decimal"/>
        <w:pStyle w:val="OutlineNumbered1"/>
        <w:lvlText w:val="%1."/>
        <w:lvlJc w:val="left"/>
        <w:pPr>
          <w:tabs>
            <w:tab w:val="num" w:pos="851"/>
          </w:tabs>
          <w:ind w:left="851" w:hanging="851"/>
        </w:pPr>
        <w:rPr>
          <w:rFonts w:hint="default"/>
        </w:rPr>
      </w:lvl>
    </w:lvlOverride>
    <w:lvlOverride w:ilvl="1">
      <w:lvl w:ilvl="1">
        <w:start w:val="1"/>
        <w:numFmt w:val="decimal"/>
        <w:pStyle w:val="OutlineNumbered2"/>
        <w:lvlText w:val="%1.%2"/>
        <w:lvlJc w:val="left"/>
        <w:pPr>
          <w:tabs>
            <w:tab w:val="num" w:pos="1134"/>
          </w:tabs>
          <w:ind w:left="1134" w:hanging="1134"/>
        </w:pPr>
        <w:rPr>
          <w:rFonts w:hint="default"/>
        </w:rPr>
      </w:lvl>
    </w:lvlOverride>
    <w:lvlOverride w:ilvl="2">
      <w:lvl w:ilvl="2">
        <w:start w:val="1"/>
        <w:numFmt w:val="decimal"/>
        <w:pStyle w:val="OutlineNumbered3"/>
        <w:lvlText w:val="%1.%2.%3"/>
        <w:lvlJc w:val="left"/>
        <w:pPr>
          <w:tabs>
            <w:tab w:val="num" w:pos="1418"/>
          </w:tabs>
          <w:ind w:left="1418" w:hanging="1418"/>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6">
    <w:abstractNumId w:val="1"/>
    <w:lvlOverride w:ilvl="0">
      <w:lvl w:ilvl="0">
        <w:start w:val="1"/>
        <w:numFmt w:val="decimal"/>
        <w:pStyle w:val="OutlineNumbered1"/>
        <w:lvlText w:val="%1."/>
        <w:lvlJc w:val="left"/>
        <w:pPr>
          <w:tabs>
            <w:tab w:val="num" w:pos="851"/>
          </w:tabs>
          <w:ind w:left="851" w:hanging="851"/>
        </w:pPr>
        <w:rPr>
          <w:rFonts w:hint="default"/>
        </w:rPr>
      </w:lvl>
    </w:lvlOverride>
    <w:lvlOverride w:ilvl="1">
      <w:lvl w:ilvl="1">
        <w:start w:val="1"/>
        <w:numFmt w:val="decimal"/>
        <w:pStyle w:val="OutlineNumbered2"/>
        <w:lvlText w:val="%1.%2"/>
        <w:lvlJc w:val="left"/>
        <w:pPr>
          <w:tabs>
            <w:tab w:val="num" w:pos="1134"/>
          </w:tabs>
          <w:ind w:left="1134" w:hanging="1134"/>
        </w:pPr>
        <w:rPr>
          <w:rFonts w:hint="default"/>
        </w:rPr>
      </w:lvl>
    </w:lvlOverride>
    <w:lvlOverride w:ilvl="2">
      <w:lvl w:ilvl="2">
        <w:start w:val="1"/>
        <w:numFmt w:val="decimal"/>
        <w:pStyle w:val="OutlineNumbered3"/>
        <w:lvlText w:val="%1.%2.%3"/>
        <w:lvlJc w:val="left"/>
        <w:pPr>
          <w:tabs>
            <w:tab w:val="num" w:pos="1418"/>
          </w:tabs>
          <w:ind w:left="1418" w:hanging="1418"/>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7">
    <w:abstractNumId w:val="12"/>
  </w:num>
  <w:num w:numId="28">
    <w:abstractNumId w:val="1"/>
    <w:lvlOverride w:ilvl="0">
      <w:lvl w:ilvl="0">
        <w:start w:val="1"/>
        <w:numFmt w:val="decimal"/>
        <w:pStyle w:val="OutlineNumbered1"/>
        <w:lvlText w:val="%1."/>
        <w:lvlJc w:val="left"/>
        <w:pPr>
          <w:tabs>
            <w:tab w:val="num" w:pos="851"/>
          </w:tabs>
          <w:ind w:left="851" w:hanging="851"/>
        </w:pPr>
        <w:rPr>
          <w:rFonts w:hint="default"/>
        </w:rPr>
      </w:lvl>
    </w:lvlOverride>
    <w:lvlOverride w:ilvl="1">
      <w:lvl w:ilvl="1">
        <w:start w:val="1"/>
        <w:numFmt w:val="decimal"/>
        <w:pStyle w:val="OutlineNumbered2"/>
        <w:lvlText w:val="%1.%2"/>
        <w:lvlJc w:val="left"/>
        <w:pPr>
          <w:tabs>
            <w:tab w:val="num" w:pos="1134"/>
          </w:tabs>
          <w:ind w:left="1134" w:hanging="1134"/>
        </w:pPr>
        <w:rPr>
          <w:rFonts w:hint="default"/>
        </w:rPr>
      </w:lvl>
    </w:lvlOverride>
    <w:lvlOverride w:ilvl="2">
      <w:lvl w:ilvl="2">
        <w:start w:val="1"/>
        <w:numFmt w:val="decimal"/>
        <w:pStyle w:val="OutlineNumbered3"/>
        <w:lvlText w:val="%1.%2.%3"/>
        <w:lvlJc w:val="left"/>
        <w:pPr>
          <w:tabs>
            <w:tab w:val="num" w:pos="1418"/>
          </w:tabs>
          <w:ind w:left="1418" w:hanging="1418"/>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9">
    <w:abstractNumId w:val="1"/>
    <w:lvlOverride w:ilvl="0">
      <w:startOverride w:val="1"/>
      <w:lvl w:ilvl="0">
        <w:start w:val="1"/>
        <w:numFmt w:val="decimal"/>
        <w:pStyle w:val="OutlineNumbered1"/>
        <w:lvlText w:val="%1."/>
        <w:lvlJc w:val="left"/>
        <w:pPr>
          <w:tabs>
            <w:tab w:val="num" w:pos="851"/>
          </w:tabs>
          <w:ind w:left="851" w:hanging="851"/>
        </w:pPr>
        <w:rPr>
          <w:rFonts w:hint="default"/>
        </w:rPr>
      </w:lvl>
    </w:lvlOverride>
    <w:lvlOverride w:ilvl="1">
      <w:startOverride w:val="1"/>
      <w:lvl w:ilvl="1">
        <w:start w:val="1"/>
        <w:numFmt w:val="decimal"/>
        <w:pStyle w:val="OutlineNumbered2"/>
        <w:lvlText w:val="%1.%2"/>
        <w:lvlJc w:val="left"/>
        <w:pPr>
          <w:tabs>
            <w:tab w:val="num" w:pos="1134"/>
          </w:tabs>
          <w:ind w:left="1134" w:hanging="1134"/>
        </w:pPr>
        <w:rPr>
          <w:rFonts w:hint="default"/>
        </w:rPr>
      </w:lvl>
    </w:lvlOverride>
    <w:lvlOverride w:ilvl="2">
      <w:startOverride w:val="1"/>
      <w:lvl w:ilvl="2">
        <w:start w:val="1"/>
        <w:numFmt w:val="decimal"/>
        <w:pStyle w:val="OutlineNumbered3"/>
        <w:lvlText w:val="%1.%2.%3"/>
        <w:lvlJc w:val="left"/>
        <w:pPr>
          <w:tabs>
            <w:tab w:val="num" w:pos="1418"/>
          </w:tabs>
          <w:ind w:left="1418" w:hanging="1418"/>
        </w:pPr>
        <w:rPr>
          <w:rFonts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0">
    <w:abstractNumId w:val="14"/>
  </w:num>
  <w:num w:numId="31">
    <w:abstractNumId w:val="11"/>
  </w:num>
  <w:num w:numId="32">
    <w:abstractNumId w:val="3"/>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9"/>
  </w:num>
  <w:num w:numId="36">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OIClassificationInHeader" w:val="False"/>
    <w:docVar w:name="SecurityClassificationInHeader" w:val="False"/>
    <w:docVar w:name="SecurityDLMInHeader" w:val="False"/>
  </w:docVars>
  <w:rsids>
    <w:rsidRoot w:val="00C550F6"/>
    <w:rsid w:val="00000F7A"/>
    <w:rsid w:val="000012DD"/>
    <w:rsid w:val="00001ACF"/>
    <w:rsid w:val="00002B99"/>
    <w:rsid w:val="000054C8"/>
    <w:rsid w:val="00011111"/>
    <w:rsid w:val="00011725"/>
    <w:rsid w:val="000117AB"/>
    <w:rsid w:val="00012C62"/>
    <w:rsid w:val="000145AE"/>
    <w:rsid w:val="00016507"/>
    <w:rsid w:val="000165C7"/>
    <w:rsid w:val="000169A3"/>
    <w:rsid w:val="000207D0"/>
    <w:rsid w:val="00021675"/>
    <w:rsid w:val="00022CE8"/>
    <w:rsid w:val="00023F9A"/>
    <w:rsid w:val="00024250"/>
    <w:rsid w:val="00024281"/>
    <w:rsid w:val="0002544D"/>
    <w:rsid w:val="00025741"/>
    <w:rsid w:val="00025DDC"/>
    <w:rsid w:val="000301FF"/>
    <w:rsid w:val="00030CEC"/>
    <w:rsid w:val="000310D4"/>
    <w:rsid w:val="000318DC"/>
    <w:rsid w:val="00033449"/>
    <w:rsid w:val="000347BB"/>
    <w:rsid w:val="00035101"/>
    <w:rsid w:val="0003668A"/>
    <w:rsid w:val="00036C9A"/>
    <w:rsid w:val="00041132"/>
    <w:rsid w:val="00041863"/>
    <w:rsid w:val="00041A8B"/>
    <w:rsid w:val="0004274D"/>
    <w:rsid w:val="00044C0A"/>
    <w:rsid w:val="0004715E"/>
    <w:rsid w:val="00051A2C"/>
    <w:rsid w:val="00051D60"/>
    <w:rsid w:val="00052B2E"/>
    <w:rsid w:val="00053645"/>
    <w:rsid w:val="0005534E"/>
    <w:rsid w:val="00055528"/>
    <w:rsid w:val="00056880"/>
    <w:rsid w:val="00062845"/>
    <w:rsid w:val="000629C6"/>
    <w:rsid w:val="00063EDE"/>
    <w:rsid w:val="0006460F"/>
    <w:rsid w:val="00064A83"/>
    <w:rsid w:val="00065552"/>
    <w:rsid w:val="000667D0"/>
    <w:rsid w:val="000675D1"/>
    <w:rsid w:val="000707F5"/>
    <w:rsid w:val="0007102C"/>
    <w:rsid w:val="00072352"/>
    <w:rsid w:val="00072D66"/>
    <w:rsid w:val="00073521"/>
    <w:rsid w:val="0007609A"/>
    <w:rsid w:val="00076523"/>
    <w:rsid w:val="00076583"/>
    <w:rsid w:val="00076789"/>
    <w:rsid w:val="00077184"/>
    <w:rsid w:val="0007724D"/>
    <w:rsid w:val="000775B3"/>
    <w:rsid w:val="000775DE"/>
    <w:rsid w:val="000801D0"/>
    <w:rsid w:val="00082FC2"/>
    <w:rsid w:val="00083CAA"/>
    <w:rsid w:val="00084900"/>
    <w:rsid w:val="000858F2"/>
    <w:rsid w:val="0008611D"/>
    <w:rsid w:val="00087F5D"/>
    <w:rsid w:val="00087FAF"/>
    <w:rsid w:val="000910AF"/>
    <w:rsid w:val="0009151A"/>
    <w:rsid w:val="000935CB"/>
    <w:rsid w:val="000951DF"/>
    <w:rsid w:val="00096977"/>
    <w:rsid w:val="000A2D7A"/>
    <w:rsid w:val="000A678F"/>
    <w:rsid w:val="000A7027"/>
    <w:rsid w:val="000B0A81"/>
    <w:rsid w:val="000B2421"/>
    <w:rsid w:val="000B32D9"/>
    <w:rsid w:val="000B3556"/>
    <w:rsid w:val="000B502B"/>
    <w:rsid w:val="000B74A8"/>
    <w:rsid w:val="000C03B4"/>
    <w:rsid w:val="000C07ED"/>
    <w:rsid w:val="000C5218"/>
    <w:rsid w:val="000C5AFB"/>
    <w:rsid w:val="000C5F40"/>
    <w:rsid w:val="000C613F"/>
    <w:rsid w:val="000C6511"/>
    <w:rsid w:val="000C7052"/>
    <w:rsid w:val="000C7B89"/>
    <w:rsid w:val="000D1284"/>
    <w:rsid w:val="000D1A07"/>
    <w:rsid w:val="000D1A33"/>
    <w:rsid w:val="000D26E9"/>
    <w:rsid w:val="000D27C2"/>
    <w:rsid w:val="000D459F"/>
    <w:rsid w:val="000D50C3"/>
    <w:rsid w:val="000D5282"/>
    <w:rsid w:val="000D5BD7"/>
    <w:rsid w:val="000D7341"/>
    <w:rsid w:val="000E0B74"/>
    <w:rsid w:val="000E526E"/>
    <w:rsid w:val="000E5CEE"/>
    <w:rsid w:val="000F0BF8"/>
    <w:rsid w:val="000F1E5B"/>
    <w:rsid w:val="000F237F"/>
    <w:rsid w:val="000F2FE5"/>
    <w:rsid w:val="000F3C9E"/>
    <w:rsid w:val="000F521F"/>
    <w:rsid w:val="000F6B51"/>
    <w:rsid w:val="000F7517"/>
    <w:rsid w:val="00101EAF"/>
    <w:rsid w:val="00105B72"/>
    <w:rsid w:val="00106618"/>
    <w:rsid w:val="0011394E"/>
    <w:rsid w:val="00114FD1"/>
    <w:rsid w:val="00115D18"/>
    <w:rsid w:val="001214CB"/>
    <w:rsid w:val="00121EC2"/>
    <w:rsid w:val="00125B42"/>
    <w:rsid w:val="00126779"/>
    <w:rsid w:val="00127249"/>
    <w:rsid w:val="00127FDB"/>
    <w:rsid w:val="0013039D"/>
    <w:rsid w:val="0013215F"/>
    <w:rsid w:val="00133D69"/>
    <w:rsid w:val="0014091C"/>
    <w:rsid w:val="00140D69"/>
    <w:rsid w:val="001414E7"/>
    <w:rsid w:val="0014195D"/>
    <w:rsid w:val="001436C0"/>
    <w:rsid w:val="00144BD3"/>
    <w:rsid w:val="001450CB"/>
    <w:rsid w:val="00145866"/>
    <w:rsid w:val="001505D6"/>
    <w:rsid w:val="00151064"/>
    <w:rsid w:val="001539FC"/>
    <w:rsid w:val="0015416E"/>
    <w:rsid w:val="0015481D"/>
    <w:rsid w:val="00156FA7"/>
    <w:rsid w:val="001606CF"/>
    <w:rsid w:val="0016128D"/>
    <w:rsid w:val="00161F3B"/>
    <w:rsid w:val="001625C2"/>
    <w:rsid w:val="00162925"/>
    <w:rsid w:val="001651EA"/>
    <w:rsid w:val="00170296"/>
    <w:rsid w:val="001702D7"/>
    <w:rsid w:val="0017089D"/>
    <w:rsid w:val="00172AF3"/>
    <w:rsid w:val="001735BE"/>
    <w:rsid w:val="00174652"/>
    <w:rsid w:val="00175D25"/>
    <w:rsid w:val="001804E5"/>
    <w:rsid w:val="00180A7F"/>
    <w:rsid w:val="001842FB"/>
    <w:rsid w:val="00186619"/>
    <w:rsid w:val="001873C8"/>
    <w:rsid w:val="0019101A"/>
    <w:rsid w:val="0019177E"/>
    <w:rsid w:val="0019249E"/>
    <w:rsid w:val="001931B3"/>
    <w:rsid w:val="001945A0"/>
    <w:rsid w:val="00195E50"/>
    <w:rsid w:val="001A0049"/>
    <w:rsid w:val="001A3DEE"/>
    <w:rsid w:val="001A4678"/>
    <w:rsid w:val="001A5075"/>
    <w:rsid w:val="001A72D9"/>
    <w:rsid w:val="001A7613"/>
    <w:rsid w:val="001B1946"/>
    <w:rsid w:val="001B21E3"/>
    <w:rsid w:val="001B43C2"/>
    <w:rsid w:val="001B4BCD"/>
    <w:rsid w:val="001B5D10"/>
    <w:rsid w:val="001B65D4"/>
    <w:rsid w:val="001B678F"/>
    <w:rsid w:val="001C249A"/>
    <w:rsid w:val="001C358D"/>
    <w:rsid w:val="001C39B6"/>
    <w:rsid w:val="001C474F"/>
    <w:rsid w:val="001C6704"/>
    <w:rsid w:val="001C7C38"/>
    <w:rsid w:val="001C7FCA"/>
    <w:rsid w:val="001D040C"/>
    <w:rsid w:val="001D134B"/>
    <w:rsid w:val="001D14B7"/>
    <w:rsid w:val="001D37E1"/>
    <w:rsid w:val="001D3EE1"/>
    <w:rsid w:val="001D4106"/>
    <w:rsid w:val="001D4EAA"/>
    <w:rsid w:val="001D6289"/>
    <w:rsid w:val="001E011A"/>
    <w:rsid w:val="001E0410"/>
    <w:rsid w:val="001E1A5C"/>
    <w:rsid w:val="001E3E24"/>
    <w:rsid w:val="001E3E70"/>
    <w:rsid w:val="001E7137"/>
    <w:rsid w:val="001E78FA"/>
    <w:rsid w:val="001F0061"/>
    <w:rsid w:val="001F027D"/>
    <w:rsid w:val="001F24E3"/>
    <w:rsid w:val="001F2773"/>
    <w:rsid w:val="001F3BC3"/>
    <w:rsid w:val="001F6EB7"/>
    <w:rsid w:val="001F77D4"/>
    <w:rsid w:val="00200703"/>
    <w:rsid w:val="002025A6"/>
    <w:rsid w:val="00204511"/>
    <w:rsid w:val="002116CB"/>
    <w:rsid w:val="00213073"/>
    <w:rsid w:val="002144BF"/>
    <w:rsid w:val="00215105"/>
    <w:rsid w:val="00215BC9"/>
    <w:rsid w:val="0021707A"/>
    <w:rsid w:val="002211DE"/>
    <w:rsid w:val="0022190E"/>
    <w:rsid w:val="002219E6"/>
    <w:rsid w:val="0022232C"/>
    <w:rsid w:val="00223552"/>
    <w:rsid w:val="00223678"/>
    <w:rsid w:val="002247F2"/>
    <w:rsid w:val="00227F7C"/>
    <w:rsid w:val="00230404"/>
    <w:rsid w:val="00231049"/>
    <w:rsid w:val="002314D2"/>
    <w:rsid w:val="00234D18"/>
    <w:rsid w:val="002372A6"/>
    <w:rsid w:val="002378BE"/>
    <w:rsid w:val="00240346"/>
    <w:rsid w:val="00242399"/>
    <w:rsid w:val="0024245B"/>
    <w:rsid w:val="00243FB5"/>
    <w:rsid w:val="00244E73"/>
    <w:rsid w:val="00246B77"/>
    <w:rsid w:val="00254EFB"/>
    <w:rsid w:val="0025661B"/>
    <w:rsid w:val="00256874"/>
    <w:rsid w:val="00257AEE"/>
    <w:rsid w:val="002606CA"/>
    <w:rsid w:val="00260DAC"/>
    <w:rsid w:val="0026286A"/>
    <w:rsid w:val="00263B6C"/>
    <w:rsid w:val="002649A1"/>
    <w:rsid w:val="0026535F"/>
    <w:rsid w:val="0026576D"/>
    <w:rsid w:val="00267E7D"/>
    <w:rsid w:val="00272305"/>
    <w:rsid w:val="0027259D"/>
    <w:rsid w:val="0027263D"/>
    <w:rsid w:val="00272DF2"/>
    <w:rsid w:val="00273E54"/>
    <w:rsid w:val="00274309"/>
    <w:rsid w:val="0027590B"/>
    <w:rsid w:val="00275EB5"/>
    <w:rsid w:val="00277732"/>
    <w:rsid w:val="0028039A"/>
    <w:rsid w:val="00280560"/>
    <w:rsid w:val="00281AC6"/>
    <w:rsid w:val="0028241C"/>
    <w:rsid w:val="002834E2"/>
    <w:rsid w:val="00285969"/>
    <w:rsid w:val="00286A57"/>
    <w:rsid w:val="00287DC9"/>
    <w:rsid w:val="0029048C"/>
    <w:rsid w:val="00291362"/>
    <w:rsid w:val="00292892"/>
    <w:rsid w:val="00293EA5"/>
    <w:rsid w:val="002940B4"/>
    <w:rsid w:val="002940EC"/>
    <w:rsid w:val="00296DB7"/>
    <w:rsid w:val="00297D69"/>
    <w:rsid w:val="00297E6E"/>
    <w:rsid w:val="002A188E"/>
    <w:rsid w:val="002A45DF"/>
    <w:rsid w:val="002A54DE"/>
    <w:rsid w:val="002A727E"/>
    <w:rsid w:val="002A762D"/>
    <w:rsid w:val="002B3829"/>
    <w:rsid w:val="002B4D4D"/>
    <w:rsid w:val="002B572A"/>
    <w:rsid w:val="002B5C39"/>
    <w:rsid w:val="002B7459"/>
    <w:rsid w:val="002B77D9"/>
    <w:rsid w:val="002C03A4"/>
    <w:rsid w:val="002C1B01"/>
    <w:rsid w:val="002D1F90"/>
    <w:rsid w:val="002D488F"/>
    <w:rsid w:val="002D4BA5"/>
    <w:rsid w:val="002D5980"/>
    <w:rsid w:val="002D786D"/>
    <w:rsid w:val="002E26F0"/>
    <w:rsid w:val="002E2E90"/>
    <w:rsid w:val="002E4FF2"/>
    <w:rsid w:val="002E7BE5"/>
    <w:rsid w:val="002F377F"/>
    <w:rsid w:val="002F617F"/>
    <w:rsid w:val="0030077D"/>
    <w:rsid w:val="00300DC4"/>
    <w:rsid w:val="003053CC"/>
    <w:rsid w:val="0030589E"/>
    <w:rsid w:val="00306CBD"/>
    <w:rsid w:val="003076B4"/>
    <w:rsid w:val="00307C06"/>
    <w:rsid w:val="003122F4"/>
    <w:rsid w:val="0031276E"/>
    <w:rsid w:val="0031393D"/>
    <w:rsid w:val="00313D74"/>
    <w:rsid w:val="0031511B"/>
    <w:rsid w:val="003163B4"/>
    <w:rsid w:val="0031777C"/>
    <w:rsid w:val="003225EB"/>
    <w:rsid w:val="00325B17"/>
    <w:rsid w:val="00326097"/>
    <w:rsid w:val="003268D5"/>
    <w:rsid w:val="0032789B"/>
    <w:rsid w:val="00332846"/>
    <w:rsid w:val="00332E50"/>
    <w:rsid w:val="00333F4D"/>
    <w:rsid w:val="00335BC2"/>
    <w:rsid w:val="00336890"/>
    <w:rsid w:val="00336E33"/>
    <w:rsid w:val="003379C5"/>
    <w:rsid w:val="00337AE8"/>
    <w:rsid w:val="00337E24"/>
    <w:rsid w:val="003401AD"/>
    <w:rsid w:val="00340D28"/>
    <w:rsid w:val="00341B7C"/>
    <w:rsid w:val="003427BA"/>
    <w:rsid w:val="00343DD1"/>
    <w:rsid w:val="00344779"/>
    <w:rsid w:val="003447F7"/>
    <w:rsid w:val="00346086"/>
    <w:rsid w:val="00346549"/>
    <w:rsid w:val="00350904"/>
    <w:rsid w:val="00353BD4"/>
    <w:rsid w:val="00354D27"/>
    <w:rsid w:val="00354F91"/>
    <w:rsid w:val="00354FBB"/>
    <w:rsid w:val="003551F5"/>
    <w:rsid w:val="00356925"/>
    <w:rsid w:val="00361713"/>
    <w:rsid w:val="003622FB"/>
    <w:rsid w:val="00362DB5"/>
    <w:rsid w:val="003630B1"/>
    <w:rsid w:val="0036572A"/>
    <w:rsid w:val="003665C7"/>
    <w:rsid w:val="0037005E"/>
    <w:rsid w:val="00372E4D"/>
    <w:rsid w:val="003735E6"/>
    <w:rsid w:val="003761C8"/>
    <w:rsid w:val="0038181C"/>
    <w:rsid w:val="003839F0"/>
    <w:rsid w:val="003858A6"/>
    <w:rsid w:val="003867B9"/>
    <w:rsid w:val="0039050E"/>
    <w:rsid w:val="0039103E"/>
    <w:rsid w:val="00391589"/>
    <w:rsid w:val="00392C14"/>
    <w:rsid w:val="00392DCC"/>
    <w:rsid w:val="00392EF9"/>
    <w:rsid w:val="00394771"/>
    <w:rsid w:val="003949BB"/>
    <w:rsid w:val="0039616D"/>
    <w:rsid w:val="0039659E"/>
    <w:rsid w:val="0039747B"/>
    <w:rsid w:val="003A199F"/>
    <w:rsid w:val="003A3483"/>
    <w:rsid w:val="003A62BE"/>
    <w:rsid w:val="003A6768"/>
    <w:rsid w:val="003A756C"/>
    <w:rsid w:val="003B035B"/>
    <w:rsid w:val="003B03A1"/>
    <w:rsid w:val="003B0C13"/>
    <w:rsid w:val="003B1353"/>
    <w:rsid w:val="003B3ED5"/>
    <w:rsid w:val="003B3FB9"/>
    <w:rsid w:val="003B4593"/>
    <w:rsid w:val="003B5CF0"/>
    <w:rsid w:val="003B5D1F"/>
    <w:rsid w:val="003C2497"/>
    <w:rsid w:val="003C435F"/>
    <w:rsid w:val="003C765E"/>
    <w:rsid w:val="003C7E52"/>
    <w:rsid w:val="003D44B1"/>
    <w:rsid w:val="003D5C81"/>
    <w:rsid w:val="003D68CE"/>
    <w:rsid w:val="003D6D28"/>
    <w:rsid w:val="003D7CE9"/>
    <w:rsid w:val="003E2680"/>
    <w:rsid w:val="003E3283"/>
    <w:rsid w:val="003E38B0"/>
    <w:rsid w:val="003E3A4F"/>
    <w:rsid w:val="003E4D87"/>
    <w:rsid w:val="003E5E06"/>
    <w:rsid w:val="003F1FB4"/>
    <w:rsid w:val="003F3C5A"/>
    <w:rsid w:val="003F3CFE"/>
    <w:rsid w:val="003F71F2"/>
    <w:rsid w:val="004044D7"/>
    <w:rsid w:val="004133A1"/>
    <w:rsid w:val="0041452D"/>
    <w:rsid w:val="00415319"/>
    <w:rsid w:val="0041629D"/>
    <w:rsid w:val="00416762"/>
    <w:rsid w:val="00416D98"/>
    <w:rsid w:val="00421351"/>
    <w:rsid w:val="00422192"/>
    <w:rsid w:val="00422CAD"/>
    <w:rsid w:val="004231F0"/>
    <w:rsid w:val="0042594E"/>
    <w:rsid w:val="00430A3C"/>
    <w:rsid w:val="004310E3"/>
    <w:rsid w:val="0043125F"/>
    <w:rsid w:val="00434241"/>
    <w:rsid w:val="00435C5C"/>
    <w:rsid w:val="004362E5"/>
    <w:rsid w:val="004363F3"/>
    <w:rsid w:val="00437729"/>
    <w:rsid w:val="00440238"/>
    <w:rsid w:val="00442733"/>
    <w:rsid w:val="00445265"/>
    <w:rsid w:val="004462B9"/>
    <w:rsid w:val="0044729B"/>
    <w:rsid w:val="004473B5"/>
    <w:rsid w:val="00447B50"/>
    <w:rsid w:val="00447EA9"/>
    <w:rsid w:val="00450884"/>
    <w:rsid w:val="00451B60"/>
    <w:rsid w:val="00452BA5"/>
    <w:rsid w:val="004534C3"/>
    <w:rsid w:val="0045375F"/>
    <w:rsid w:val="004559CE"/>
    <w:rsid w:val="004563F0"/>
    <w:rsid w:val="00456DA0"/>
    <w:rsid w:val="00462292"/>
    <w:rsid w:val="00465436"/>
    <w:rsid w:val="004663BA"/>
    <w:rsid w:val="00466683"/>
    <w:rsid w:val="00466F56"/>
    <w:rsid w:val="00472D47"/>
    <w:rsid w:val="004735A6"/>
    <w:rsid w:val="00474A50"/>
    <w:rsid w:val="00475B7B"/>
    <w:rsid w:val="00475F4D"/>
    <w:rsid w:val="0047742D"/>
    <w:rsid w:val="00480E70"/>
    <w:rsid w:val="0048118A"/>
    <w:rsid w:val="00482AD1"/>
    <w:rsid w:val="00483049"/>
    <w:rsid w:val="004839AC"/>
    <w:rsid w:val="00485D23"/>
    <w:rsid w:val="0049056F"/>
    <w:rsid w:val="00491AFA"/>
    <w:rsid w:val="00491C12"/>
    <w:rsid w:val="00492A6A"/>
    <w:rsid w:val="00492C1C"/>
    <w:rsid w:val="00492FCB"/>
    <w:rsid w:val="004938A7"/>
    <w:rsid w:val="004938D1"/>
    <w:rsid w:val="00493CE9"/>
    <w:rsid w:val="004951A8"/>
    <w:rsid w:val="004952E7"/>
    <w:rsid w:val="004A077D"/>
    <w:rsid w:val="004A166C"/>
    <w:rsid w:val="004A3B40"/>
    <w:rsid w:val="004A41A1"/>
    <w:rsid w:val="004A4E25"/>
    <w:rsid w:val="004A52C7"/>
    <w:rsid w:val="004A6076"/>
    <w:rsid w:val="004A7454"/>
    <w:rsid w:val="004A7BC2"/>
    <w:rsid w:val="004B0779"/>
    <w:rsid w:val="004B157F"/>
    <w:rsid w:val="004B1803"/>
    <w:rsid w:val="004B30FE"/>
    <w:rsid w:val="004B5B24"/>
    <w:rsid w:val="004B5CBA"/>
    <w:rsid w:val="004B7051"/>
    <w:rsid w:val="004C1895"/>
    <w:rsid w:val="004C1D13"/>
    <w:rsid w:val="004C38BD"/>
    <w:rsid w:val="004C3DE0"/>
    <w:rsid w:val="004C4023"/>
    <w:rsid w:val="004C7B5F"/>
    <w:rsid w:val="004D17FE"/>
    <w:rsid w:val="004D3A7C"/>
    <w:rsid w:val="004D4F96"/>
    <w:rsid w:val="004E04CB"/>
    <w:rsid w:val="004E0CC7"/>
    <w:rsid w:val="004E0E96"/>
    <w:rsid w:val="004E5482"/>
    <w:rsid w:val="004E67BF"/>
    <w:rsid w:val="004E6AF3"/>
    <w:rsid w:val="004E7F98"/>
    <w:rsid w:val="004F0A86"/>
    <w:rsid w:val="004F1164"/>
    <w:rsid w:val="004F2926"/>
    <w:rsid w:val="004F3C78"/>
    <w:rsid w:val="004F6648"/>
    <w:rsid w:val="004F73EE"/>
    <w:rsid w:val="0050112C"/>
    <w:rsid w:val="00501AE0"/>
    <w:rsid w:val="00503C95"/>
    <w:rsid w:val="005052C5"/>
    <w:rsid w:val="005073E9"/>
    <w:rsid w:val="00511804"/>
    <w:rsid w:val="00512BA8"/>
    <w:rsid w:val="00516785"/>
    <w:rsid w:val="0051743E"/>
    <w:rsid w:val="00517C91"/>
    <w:rsid w:val="00521513"/>
    <w:rsid w:val="00523F9F"/>
    <w:rsid w:val="0052419D"/>
    <w:rsid w:val="0052449B"/>
    <w:rsid w:val="005300AB"/>
    <w:rsid w:val="005301F8"/>
    <w:rsid w:val="005312FC"/>
    <w:rsid w:val="005334F0"/>
    <w:rsid w:val="0053603D"/>
    <w:rsid w:val="005360DB"/>
    <w:rsid w:val="005367CA"/>
    <w:rsid w:val="005368A3"/>
    <w:rsid w:val="00545B68"/>
    <w:rsid w:val="0055085B"/>
    <w:rsid w:val="00550A11"/>
    <w:rsid w:val="005530A2"/>
    <w:rsid w:val="005541C2"/>
    <w:rsid w:val="005541E9"/>
    <w:rsid w:val="00555D14"/>
    <w:rsid w:val="005561A4"/>
    <w:rsid w:val="00557E86"/>
    <w:rsid w:val="0056202F"/>
    <w:rsid w:val="0056229A"/>
    <w:rsid w:val="00563EFD"/>
    <w:rsid w:val="005657D4"/>
    <w:rsid w:val="0056597A"/>
    <w:rsid w:val="00572C23"/>
    <w:rsid w:val="00574923"/>
    <w:rsid w:val="00574F41"/>
    <w:rsid w:val="005771A1"/>
    <w:rsid w:val="00581652"/>
    <w:rsid w:val="00581A18"/>
    <w:rsid w:val="0058255F"/>
    <w:rsid w:val="00584A0D"/>
    <w:rsid w:val="005868DE"/>
    <w:rsid w:val="00586A19"/>
    <w:rsid w:val="00587561"/>
    <w:rsid w:val="00587DDF"/>
    <w:rsid w:val="005908EE"/>
    <w:rsid w:val="00596331"/>
    <w:rsid w:val="005A0210"/>
    <w:rsid w:val="005A09FE"/>
    <w:rsid w:val="005A1AB8"/>
    <w:rsid w:val="005A5120"/>
    <w:rsid w:val="005A5C60"/>
    <w:rsid w:val="005A7E3C"/>
    <w:rsid w:val="005B008C"/>
    <w:rsid w:val="005B010D"/>
    <w:rsid w:val="005B0853"/>
    <w:rsid w:val="005B3507"/>
    <w:rsid w:val="005B74D0"/>
    <w:rsid w:val="005B7960"/>
    <w:rsid w:val="005C07E5"/>
    <w:rsid w:val="005C08D9"/>
    <w:rsid w:val="005C3DB7"/>
    <w:rsid w:val="005C5609"/>
    <w:rsid w:val="005C5F5E"/>
    <w:rsid w:val="005D168F"/>
    <w:rsid w:val="005D251C"/>
    <w:rsid w:val="005D2646"/>
    <w:rsid w:val="005D3E42"/>
    <w:rsid w:val="005D76E2"/>
    <w:rsid w:val="005E1271"/>
    <w:rsid w:val="005E1893"/>
    <w:rsid w:val="005E22F0"/>
    <w:rsid w:val="005E292F"/>
    <w:rsid w:val="005E366D"/>
    <w:rsid w:val="005E44A1"/>
    <w:rsid w:val="005E4DEA"/>
    <w:rsid w:val="005E676E"/>
    <w:rsid w:val="005F10D1"/>
    <w:rsid w:val="005F1717"/>
    <w:rsid w:val="005F233B"/>
    <w:rsid w:val="005F2E8A"/>
    <w:rsid w:val="005F3166"/>
    <w:rsid w:val="005F4025"/>
    <w:rsid w:val="005F56ED"/>
    <w:rsid w:val="00600B3B"/>
    <w:rsid w:val="006016A6"/>
    <w:rsid w:val="006026B6"/>
    <w:rsid w:val="006031E8"/>
    <w:rsid w:val="00603696"/>
    <w:rsid w:val="006039A4"/>
    <w:rsid w:val="006050BA"/>
    <w:rsid w:val="0060595B"/>
    <w:rsid w:val="00605AFD"/>
    <w:rsid w:val="00607C7C"/>
    <w:rsid w:val="00611163"/>
    <w:rsid w:val="00611CC8"/>
    <w:rsid w:val="006123D4"/>
    <w:rsid w:val="00613F50"/>
    <w:rsid w:val="00617627"/>
    <w:rsid w:val="00621B77"/>
    <w:rsid w:val="00623543"/>
    <w:rsid w:val="00624CED"/>
    <w:rsid w:val="0063193C"/>
    <w:rsid w:val="006337D3"/>
    <w:rsid w:val="00635D4C"/>
    <w:rsid w:val="00635EE4"/>
    <w:rsid w:val="00637BAB"/>
    <w:rsid w:val="00637C14"/>
    <w:rsid w:val="00637D52"/>
    <w:rsid w:val="00640246"/>
    <w:rsid w:val="00641C39"/>
    <w:rsid w:val="0064275B"/>
    <w:rsid w:val="006445CB"/>
    <w:rsid w:val="00646084"/>
    <w:rsid w:val="00647DD6"/>
    <w:rsid w:val="00650219"/>
    <w:rsid w:val="00655A8D"/>
    <w:rsid w:val="00656356"/>
    <w:rsid w:val="00656670"/>
    <w:rsid w:val="00656C03"/>
    <w:rsid w:val="00657195"/>
    <w:rsid w:val="006618E8"/>
    <w:rsid w:val="00662B5F"/>
    <w:rsid w:val="006646C6"/>
    <w:rsid w:val="006674D2"/>
    <w:rsid w:val="00670F24"/>
    <w:rsid w:val="00674BDB"/>
    <w:rsid w:val="00674FEA"/>
    <w:rsid w:val="006755BF"/>
    <w:rsid w:val="006769D7"/>
    <w:rsid w:val="00677B0D"/>
    <w:rsid w:val="006821A9"/>
    <w:rsid w:val="00682EA9"/>
    <w:rsid w:val="00684738"/>
    <w:rsid w:val="006857A5"/>
    <w:rsid w:val="00686165"/>
    <w:rsid w:val="00691CB5"/>
    <w:rsid w:val="00692619"/>
    <w:rsid w:val="006939C0"/>
    <w:rsid w:val="006A1D44"/>
    <w:rsid w:val="006A1D8D"/>
    <w:rsid w:val="006A3EDE"/>
    <w:rsid w:val="006A3F60"/>
    <w:rsid w:val="006A4DAE"/>
    <w:rsid w:val="006A5E58"/>
    <w:rsid w:val="006A683A"/>
    <w:rsid w:val="006A6C5C"/>
    <w:rsid w:val="006A6EE1"/>
    <w:rsid w:val="006A74A9"/>
    <w:rsid w:val="006B262C"/>
    <w:rsid w:val="006B328F"/>
    <w:rsid w:val="006B383F"/>
    <w:rsid w:val="006B4315"/>
    <w:rsid w:val="006B5E7C"/>
    <w:rsid w:val="006C3CE3"/>
    <w:rsid w:val="006C45F0"/>
    <w:rsid w:val="006C4769"/>
    <w:rsid w:val="006C5802"/>
    <w:rsid w:val="006C645D"/>
    <w:rsid w:val="006C7EF9"/>
    <w:rsid w:val="006D15C1"/>
    <w:rsid w:val="006D334D"/>
    <w:rsid w:val="006D3997"/>
    <w:rsid w:val="006D4082"/>
    <w:rsid w:val="006D42C7"/>
    <w:rsid w:val="006D4375"/>
    <w:rsid w:val="006E0247"/>
    <w:rsid w:val="006E0939"/>
    <w:rsid w:val="006E0E3C"/>
    <w:rsid w:val="006E16C1"/>
    <w:rsid w:val="006E24F9"/>
    <w:rsid w:val="006E38E0"/>
    <w:rsid w:val="006E3CC3"/>
    <w:rsid w:val="006E7902"/>
    <w:rsid w:val="006F156B"/>
    <w:rsid w:val="006F16C6"/>
    <w:rsid w:val="006F656C"/>
    <w:rsid w:val="006F7CFA"/>
    <w:rsid w:val="007012AB"/>
    <w:rsid w:val="00703A6B"/>
    <w:rsid w:val="007042E1"/>
    <w:rsid w:val="00707014"/>
    <w:rsid w:val="00710399"/>
    <w:rsid w:val="007103A7"/>
    <w:rsid w:val="00710E13"/>
    <w:rsid w:val="00715FCC"/>
    <w:rsid w:val="00717003"/>
    <w:rsid w:val="00717DAC"/>
    <w:rsid w:val="007200A2"/>
    <w:rsid w:val="00720BF2"/>
    <w:rsid w:val="007219EC"/>
    <w:rsid w:val="00724883"/>
    <w:rsid w:val="0073081B"/>
    <w:rsid w:val="00733F00"/>
    <w:rsid w:val="00733F3F"/>
    <w:rsid w:val="0073511E"/>
    <w:rsid w:val="00735BA8"/>
    <w:rsid w:val="00737B4A"/>
    <w:rsid w:val="00740DD5"/>
    <w:rsid w:val="00741513"/>
    <w:rsid w:val="00742EF3"/>
    <w:rsid w:val="00743A8A"/>
    <w:rsid w:val="00744C3E"/>
    <w:rsid w:val="00745A87"/>
    <w:rsid w:val="00745C71"/>
    <w:rsid w:val="0075181D"/>
    <w:rsid w:val="00752EEE"/>
    <w:rsid w:val="0075418A"/>
    <w:rsid w:val="007547F4"/>
    <w:rsid w:val="00755987"/>
    <w:rsid w:val="00756407"/>
    <w:rsid w:val="007566A8"/>
    <w:rsid w:val="00757816"/>
    <w:rsid w:val="007614C8"/>
    <w:rsid w:val="00761A71"/>
    <w:rsid w:val="00762D80"/>
    <w:rsid w:val="007641F2"/>
    <w:rsid w:val="007653F0"/>
    <w:rsid w:val="00770F6D"/>
    <w:rsid w:val="007734E5"/>
    <w:rsid w:val="007739DC"/>
    <w:rsid w:val="00775374"/>
    <w:rsid w:val="007753F1"/>
    <w:rsid w:val="00775702"/>
    <w:rsid w:val="00783EC6"/>
    <w:rsid w:val="00784369"/>
    <w:rsid w:val="0078509F"/>
    <w:rsid w:val="00785EFA"/>
    <w:rsid w:val="007907D5"/>
    <w:rsid w:val="00791666"/>
    <w:rsid w:val="007924CB"/>
    <w:rsid w:val="00794499"/>
    <w:rsid w:val="00795131"/>
    <w:rsid w:val="0079548B"/>
    <w:rsid w:val="007A215C"/>
    <w:rsid w:val="007A3D5C"/>
    <w:rsid w:val="007A4EDC"/>
    <w:rsid w:val="007A5B4F"/>
    <w:rsid w:val="007A63AF"/>
    <w:rsid w:val="007A7429"/>
    <w:rsid w:val="007B1E19"/>
    <w:rsid w:val="007B5B14"/>
    <w:rsid w:val="007C149D"/>
    <w:rsid w:val="007C296C"/>
    <w:rsid w:val="007C42F1"/>
    <w:rsid w:val="007C5A2E"/>
    <w:rsid w:val="007C6CF7"/>
    <w:rsid w:val="007C6FE3"/>
    <w:rsid w:val="007C7CDE"/>
    <w:rsid w:val="007D25B6"/>
    <w:rsid w:val="007D2728"/>
    <w:rsid w:val="007D34EB"/>
    <w:rsid w:val="007D5AA6"/>
    <w:rsid w:val="007D5BFD"/>
    <w:rsid w:val="007D70CB"/>
    <w:rsid w:val="007D7CFC"/>
    <w:rsid w:val="007E07B0"/>
    <w:rsid w:val="007E11AD"/>
    <w:rsid w:val="007E237D"/>
    <w:rsid w:val="007E2AB9"/>
    <w:rsid w:val="007E450E"/>
    <w:rsid w:val="007E51EA"/>
    <w:rsid w:val="007E6456"/>
    <w:rsid w:val="007F0649"/>
    <w:rsid w:val="007F37F2"/>
    <w:rsid w:val="007F3B56"/>
    <w:rsid w:val="007F4595"/>
    <w:rsid w:val="00801B7E"/>
    <w:rsid w:val="008043EA"/>
    <w:rsid w:val="00805334"/>
    <w:rsid w:val="00805872"/>
    <w:rsid w:val="008127BB"/>
    <w:rsid w:val="008136CF"/>
    <w:rsid w:val="00813FAB"/>
    <w:rsid w:val="008145EF"/>
    <w:rsid w:val="00814BD5"/>
    <w:rsid w:val="00815A27"/>
    <w:rsid w:val="00815BBF"/>
    <w:rsid w:val="00816129"/>
    <w:rsid w:val="00816199"/>
    <w:rsid w:val="00822BF6"/>
    <w:rsid w:val="00823A66"/>
    <w:rsid w:val="00823F1C"/>
    <w:rsid w:val="0082490E"/>
    <w:rsid w:val="0083292B"/>
    <w:rsid w:val="00834243"/>
    <w:rsid w:val="008361B4"/>
    <w:rsid w:val="008369E8"/>
    <w:rsid w:val="008378B1"/>
    <w:rsid w:val="008410A1"/>
    <w:rsid w:val="00844A97"/>
    <w:rsid w:val="008503BE"/>
    <w:rsid w:val="00852FFC"/>
    <w:rsid w:val="00854404"/>
    <w:rsid w:val="00855618"/>
    <w:rsid w:val="00857052"/>
    <w:rsid w:val="00857316"/>
    <w:rsid w:val="00857969"/>
    <w:rsid w:val="008602A1"/>
    <w:rsid w:val="00861BE0"/>
    <w:rsid w:val="00861D9E"/>
    <w:rsid w:val="008621D6"/>
    <w:rsid w:val="008714F4"/>
    <w:rsid w:val="008730C0"/>
    <w:rsid w:val="00873A9F"/>
    <w:rsid w:val="008741A5"/>
    <w:rsid w:val="008757BA"/>
    <w:rsid w:val="00880949"/>
    <w:rsid w:val="008813A3"/>
    <w:rsid w:val="0088243F"/>
    <w:rsid w:val="00882543"/>
    <w:rsid w:val="008853AA"/>
    <w:rsid w:val="0088662C"/>
    <w:rsid w:val="00887EC4"/>
    <w:rsid w:val="0089132F"/>
    <w:rsid w:val="00892E25"/>
    <w:rsid w:val="0089387D"/>
    <w:rsid w:val="00894301"/>
    <w:rsid w:val="008963F2"/>
    <w:rsid w:val="008975B1"/>
    <w:rsid w:val="008A1187"/>
    <w:rsid w:val="008A148F"/>
    <w:rsid w:val="008A15D0"/>
    <w:rsid w:val="008A2415"/>
    <w:rsid w:val="008A303F"/>
    <w:rsid w:val="008A3FBF"/>
    <w:rsid w:val="008A65FB"/>
    <w:rsid w:val="008A7863"/>
    <w:rsid w:val="008B00BD"/>
    <w:rsid w:val="008B0853"/>
    <w:rsid w:val="008B0F34"/>
    <w:rsid w:val="008B1499"/>
    <w:rsid w:val="008B19BC"/>
    <w:rsid w:val="008B7C1F"/>
    <w:rsid w:val="008B7E35"/>
    <w:rsid w:val="008C013F"/>
    <w:rsid w:val="008C14CC"/>
    <w:rsid w:val="008C1C03"/>
    <w:rsid w:val="008C1C1B"/>
    <w:rsid w:val="008C1D79"/>
    <w:rsid w:val="008C4924"/>
    <w:rsid w:val="008C5AED"/>
    <w:rsid w:val="008C5D7E"/>
    <w:rsid w:val="008C73CA"/>
    <w:rsid w:val="008C7A21"/>
    <w:rsid w:val="008D06CF"/>
    <w:rsid w:val="008D1705"/>
    <w:rsid w:val="008D312F"/>
    <w:rsid w:val="008D339F"/>
    <w:rsid w:val="008D4196"/>
    <w:rsid w:val="008D6FF0"/>
    <w:rsid w:val="008D7BF3"/>
    <w:rsid w:val="008D7F38"/>
    <w:rsid w:val="008D7F71"/>
    <w:rsid w:val="008D7F9A"/>
    <w:rsid w:val="008E1A4F"/>
    <w:rsid w:val="008E27BC"/>
    <w:rsid w:val="008E47D0"/>
    <w:rsid w:val="008E5B3D"/>
    <w:rsid w:val="008E6292"/>
    <w:rsid w:val="008E663E"/>
    <w:rsid w:val="008E6C73"/>
    <w:rsid w:val="008F24EF"/>
    <w:rsid w:val="008F2B77"/>
    <w:rsid w:val="008F49DC"/>
    <w:rsid w:val="008F512F"/>
    <w:rsid w:val="008F5F84"/>
    <w:rsid w:val="008F62E7"/>
    <w:rsid w:val="008F7498"/>
    <w:rsid w:val="0090249C"/>
    <w:rsid w:val="00905CFB"/>
    <w:rsid w:val="00906325"/>
    <w:rsid w:val="00907FE2"/>
    <w:rsid w:val="00911629"/>
    <w:rsid w:val="009128EB"/>
    <w:rsid w:val="009131B2"/>
    <w:rsid w:val="00913874"/>
    <w:rsid w:val="00915959"/>
    <w:rsid w:val="0091640B"/>
    <w:rsid w:val="00921111"/>
    <w:rsid w:val="009228D8"/>
    <w:rsid w:val="0092522D"/>
    <w:rsid w:val="00925AA5"/>
    <w:rsid w:val="009312E8"/>
    <w:rsid w:val="009325E0"/>
    <w:rsid w:val="00933486"/>
    <w:rsid w:val="00934534"/>
    <w:rsid w:val="00934B56"/>
    <w:rsid w:val="009370D2"/>
    <w:rsid w:val="00937662"/>
    <w:rsid w:val="0094019D"/>
    <w:rsid w:val="00941139"/>
    <w:rsid w:val="00942C11"/>
    <w:rsid w:val="00945121"/>
    <w:rsid w:val="0095064B"/>
    <w:rsid w:val="00950FD0"/>
    <w:rsid w:val="00953814"/>
    <w:rsid w:val="009540B2"/>
    <w:rsid w:val="00954AC4"/>
    <w:rsid w:val="00956178"/>
    <w:rsid w:val="00961E74"/>
    <w:rsid w:val="009631F4"/>
    <w:rsid w:val="00963E8D"/>
    <w:rsid w:val="00973067"/>
    <w:rsid w:val="009732EC"/>
    <w:rsid w:val="00975B69"/>
    <w:rsid w:val="00975FB8"/>
    <w:rsid w:val="009821CE"/>
    <w:rsid w:val="00982BE3"/>
    <w:rsid w:val="009852CF"/>
    <w:rsid w:val="00985C57"/>
    <w:rsid w:val="00987F79"/>
    <w:rsid w:val="009900A7"/>
    <w:rsid w:val="00990714"/>
    <w:rsid w:val="00991898"/>
    <w:rsid w:val="009919D3"/>
    <w:rsid w:val="00992622"/>
    <w:rsid w:val="009927E5"/>
    <w:rsid w:val="00992F21"/>
    <w:rsid w:val="009959A9"/>
    <w:rsid w:val="009A2399"/>
    <w:rsid w:val="009A3D2E"/>
    <w:rsid w:val="009A658F"/>
    <w:rsid w:val="009A668A"/>
    <w:rsid w:val="009B1A65"/>
    <w:rsid w:val="009B227C"/>
    <w:rsid w:val="009B33B5"/>
    <w:rsid w:val="009B34A1"/>
    <w:rsid w:val="009B502A"/>
    <w:rsid w:val="009B69C8"/>
    <w:rsid w:val="009B7A43"/>
    <w:rsid w:val="009C237A"/>
    <w:rsid w:val="009C2CBD"/>
    <w:rsid w:val="009C5149"/>
    <w:rsid w:val="009C7A05"/>
    <w:rsid w:val="009D006E"/>
    <w:rsid w:val="009D3833"/>
    <w:rsid w:val="009D4C7F"/>
    <w:rsid w:val="009D5D38"/>
    <w:rsid w:val="009D656F"/>
    <w:rsid w:val="009E00B6"/>
    <w:rsid w:val="009E0907"/>
    <w:rsid w:val="009E0FB3"/>
    <w:rsid w:val="009E1242"/>
    <w:rsid w:val="009E2F91"/>
    <w:rsid w:val="009E4A32"/>
    <w:rsid w:val="009F15CD"/>
    <w:rsid w:val="009F2789"/>
    <w:rsid w:val="009F431D"/>
    <w:rsid w:val="00A029C9"/>
    <w:rsid w:val="00A047AB"/>
    <w:rsid w:val="00A078D9"/>
    <w:rsid w:val="00A100EF"/>
    <w:rsid w:val="00A10CD3"/>
    <w:rsid w:val="00A11523"/>
    <w:rsid w:val="00A1219A"/>
    <w:rsid w:val="00A162C3"/>
    <w:rsid w:val="00A16E03"/>
    <w:rsid w:val="00A17B6A"/>
    <w:rsid w:val="00A2115C"/>
    <w:rsid w:val="00A233F3"/>
    <w:rsid w:val="00A2358E"/>
    <w:rsid w:val="00A253E4"/>
    <w:rsid w:val="00A260CD"/>
    <w:rsid w:val="00A26748"/>
    <w:rsid w:val="00A327F7"/>
    <w:rsid w:val="00A34C37"/>
    <w:rsid w:val="00A3749B"/>
    <w:rsid w:val="00A420A9"/>
    <w:rsid w:val="00A421E4"/>
    <w:rsid w:val="00A431FA"/>
    <w:rsid w:val="00A45383"/>
    <w:rsid w:val="00A52F58"/>
    <w:rsid w:val="00A5385C"/>
    <w:rsid w:val="00A545C4"/>
    <w:rsid w:val="00A56D9E"/>
    <w:rsid w:val="00A608AB"/>
    <w:rsid w:val="00A610BE"/>
    <w:rsid w:val="00A62E42"/>
    <w:rsid w:val="00A64A71"/>
    <w:rsid w:val="00A64D7E"/>
    <w:rsid w:val="00A652B8"/>
    <w:rsid w:val="00A72ABC"/>
    <w:rsid w:val="00A83832"/>
    <w:rsid w:val="00A85521"/>
    <w:rsid w:val="00A86FD1"/>
    <w:rsid w:val="00A870DB"/>
    <w:rsid w:val="00A93039"/>
    <w:rsid w:val="00AA46CF"/>
    <w:rsid w:val="00AB0757"/>
    <w:rsid w:val="00AB1AC3"/>
    <w:rsid w:val="00AB21CD"/>
    <w:rsid w:val="00AB3C40"/>
    <w:rsid w:val="00AB4A0F"/>
    <w:rsid w:val="00AB5CAC"/>
    <w:rsid w:val="00AB6791"/>
    <w:rsid w:val="00AB742F"/>
    <w:rsid w:val="00AB78DD"/>
    <w:rsid w:val="00AC001C"/>
    <w:rsid w:val="00AC10F1"/>
    <w:rsid w:val="00AC33EB"/>
    <w:rsid w:val="00AC72D3"/>
    <w:rsid w:val="00AC7E20"/>
    <w:rsid w:val="00AD254C"/>
    <w:rsid w:val="00AD27BA"/>
    <w:rsid w:val="00AD2A03"/>
    <w:rsid w:val="00AD4441"/>
    <w:rsid w:val="00AD5A24"/>
    <w:rsid w:val="00AD64B1"/>
    <w:rsid w:val="00AD6649"/>
    <w:rsid w:val="00AD7707"/>
    <w:rsid w:val="00AE040D"/>
    <w:rsid w:val="00AE0BD0"/>
    <w:rsid w:val="00AE1EDD"/>
    <w:rsid w:val="00AE2430"/>
    <w:rsid w:val="00AE2D71"/>
    <w:rsid w:val="00AE2F90"/>
    <w:rsid w:val="00AE340E"/>
    <w:rsid w:val="00AE4A27"/>
    <w:rsid w:val="00AE5A3B"/>
    <w:rsid w:val="00AE65AE"/>
    <w:rsid w:val="00AE663F"/>
    <w:rsid w:val="00AF098D"/>
    <w:rsid w:val="00AF390A"/>
    <w:rsid w:val="00AF5F7E"/>
    <w:rsid w:val="00AF797F"/>
    <w:rsid w:val="00B00939"/>
    <w:rsid w:val="00B01062"/>
    <w:rsid w:val="00B0411E"/>
    <w:rsid w:val="00B105D3"/>
    <w:rsid w:val="00B1095A"/>
    <w:rsid w:val="00B11923"/>
    <w:rsid w:val="00B15724"/>
    <w:rsid w:val="00B15BE5"/>
    <w:rsid w:val="00B16EE6"/>
    <w:rsid w:val="00B17826"/>
    <w:rsid w:val="00B2026B"/>
    <w:rsid w:val="00B20397"/>
    <w:rsid w:val="00B20591"/>
    <w:rsid w:val="00B22046"/>
    <w:rsid w:val="00B25377"/>
    <w:rsid w:val="00B26211"/>
    <w:rsid w:val="00B3149D"/>
    <w:rsid w:val="00B34233"/>
    <w:rsid w:val="00B36C71"/>
    <w:rsid w:val="00B36DC0"/>
    <w:rsid w:val="00B40160"/>
    <w:rsid w:val="00B42B8B"/>
    <w:rsid w:val="00B4496D"/>
    <w:rsid w:val="00B461F1"/>
    <w:rsid w:val="00B47692"/>
    <w:rsid w:val="00B50B6F"/>
    <w:rsid w:val="00B50DC5"/>
    <w:rsid w:val="00B50E58"/>
    <w:rsid w:val="00B52067"/>
    <w:rsid w:val="00B52288"/>
    <w:rsid w:val="00B53AF1"/>
    <w:rsid w:val="00B556BD"/>
    <w:rsid w:val="00B55A55"/>
    <w:rsid w:val="00B55FBC"/>
    <w:rsid w:val="00B627B7"/>
    <w:rsid w:val="00B62BFC"/>
    <w:rsid w:val="00B64460"/>
    <w:rsid w:val="00B65722"/>
    <w:rsid w:val="00B6663E"/>
    <w:rsid w:val="00B66641"/>
    <w:rsid w:val="00B66A47"/>
    <w:rsid w:val="00B66EBC"/>
    <w:rsid w:val="00B702E7"/>
    <w:rsid w:val="00B73791"/>
    <w:rsid w:val="00B73C7B"/>
    <w:rsid w:val="00B744BD"/>
    <w:rsid w:val="00B75504"/>
    <w:rsid w:val="00B770FF"/>
    <w:rsid w:val="00B77972"/>
    <w:rsid w:val="00B817CB"/>
    <w:rsid w:val="00B81C38"/>
    <w:rsid w:val="00B82D3A"/>
    <w:rsid w:val="00B82EF9"/>
    <w:rsid w:val="00B83C88"/>
    <w:rsid w:val="00B85F47"/>
    <w:rsid w:val="00B87927"/>
    <w:rsid w:val="00B9228F"/>
    <w:rsid w:val="00B92619"/>
    <w:rsid w:val="00B96E37"/>
    <w:rsid w:val="00BA1FD2"/>
    <w:rsid w:val="00BA2089"/>
    <w:rsid w:val="00BA2A10"/>
    <w:rsid w:val="00BA39CE"/>
    <w:rsid w:val="00BA476E"/>
    <w:rsid w:val="00BA5C75"/>
    <w:rsid w:val="00BA7C31"/>
    <w:rsid w:val="00BB42D6"/>
    <w:rsid w:val="00BC22DA"/>
    <w:rsid w:val="00BC3FE6"/>
    <w:rsid w:val="00BC49AB"/>
    <w:rsid w:val="00BC5420"/>
    <w:rsid w:val="00BC5A73"/>
    <w:rsid w:val="00BD0113"/>
    <w:rsid w:val="00BD4192"/>
    <w:rsid w:val="00BD4234"/>
    <w:rsid w:val="00BD4C75"/>
    <w:rsid w:val="00BD5650"/>
    <w:rsid w:val="00BD5FAD"/>
    <w:rsid w:val="00BD665A"/>
    <w:rsid w:val="00BE1A14"/>
    <w:rsid w:val="00BE43F7"/>
    <w:rsid w:val="00BE48ED"/>
    <w:rsid w:val="00BE5D80"/>
    <w:rsid w:val="00BE6B3E"/>
    <w:rsid w:val="00BF088F"/>
    <w:rsid w:val="00BF4A6C"/>
    <w:rsid w:val="00BF7593"/>
    <w:rsid w:val="00C00066"/>
    <w:rsid w:val="00C006D7"/>
    <w:rsid w:val="00C012CB"/>
    <w:rsid w:val="00C013A3"/>
    <w:rsid w:val="00C04482"/>
    <w:rsid w:val="00C0524A"/>
    <w:rsid w:val="00C102BE"/>
    <w:rsid w:val="00C10CEB"/>
    <w:rsid w:val="00C22356"/>
    <w:rsid w:val="00C2241F"/>
    <w:rsid w:val="00C23313"/>
    <w:rsid w:val="00C233D8"/>
    <w:rsid w:val="00C267C1"/>
    <w:rsid w:val="00C2790D"/>
    <w:rsid w:val="00C30297"/>
    <w:rsid w:val="00C34C46"/>
    <w:rsid w:val="00C3539F"/>
    <w:rsid w:val="00C3552C"/>
    <w:rsid w:val="00C366B3"/>
    <w:rsid w:val="00C37D37"/>
    <w:rsid w:val="00C407B5"/>
    <w:rsid w:val="00C41BE8"/>
    <w:rsid w:val="00C41BEB"/>
    <w:rsid w:val="00C4483C"/>
    <w:rsid w:val="00C452CE"/>
    <w:rsid w:val="00C4534F"/>
    <w:rsid w:val="00C458C2"/>
    <w:rsid w:val="00C46DB3"/>
    <w:rsid w:val="00C50E0E"/>
    <w:rsid w:val="00C50E3F"/>
    <w:rsid w:val="00C518BB"/>
    <w:rsid w:val="00C5253B"/>
    <w:rsid w:val="00C525A4"/>
    <w:rsid w:val="00C54198"/>
    <w:rsid w:val="00C54638"/>
    <w:rsid w:val="00C54E4E"/>
    <w:rsid w:val="00C550F6"/>
    <w:rsid w:val="00C5680E"/>
    <w:rsid w:val="00C5783F"/>
    <w:rsid w:val="00C57C7D"/>
    <w:rsid w:val="00C60945"/>
    <w:rsid w:val="00C621A7"/>
    <w:rsid w:val="00C6349A"/>
    <w:rsid w:val="00C63ED9"/>
    <w:rsid w:val="00C6600B"/>
    <w:rsid w:val="00C663AB"/>
    <w:rsid w:val="00C666B0"/>
    <w:rsid w:val="00C6737B"/>
    <w:rsid w:val="00C67435"/>
    <w:rsid w:val="00C7011B"/>
    <w:rsid w:val="00C70A38"/>
    <w:rsid w:val="00C71A02"/>
    <w:rsid w:val="00C742F2"/>
    <w:rsid w:val="00C75C55"/>
    <w:rsid w:val="00C75EC3"/>
    <w:rsid w:val="00C76607"/>
    <w:rsid w:val="00C76CC4"/>
    <w:rsid w:val="00C814A2"/>
    <w:rsid w:val="00C85314"/>
    <w:rsid w:val="00C90462"/>
    <w:rsid w:val="00C905B5"/>
    <w:rsid w:val="00C91DED"/>
    <w:rsid w:val="00C9221E"/>
    <w:rsid w:val="00C94DDB"/>
    <w:rsid w:val="00C96602"/>
    <w:rsid w:val="00C9731F"/>
    <w:rsid w:val="00CA094E"/>
    <w:rsid w:val="00CA1C5E"/>
    <w:rsid w:val="00CA32FC"/>
    <w:rsid w:val="00CA40BA"/>
    <w:rsid w:val="00CA46D6"/>
    <w:rsid w:val="00CA4BC0"/>
    <w:rsid w:val="00CA7AD1"/>
    <w:rsid w:val="00CB1FCC"/>
    <w:rsid w:val="00CB2A43"/>
    <w:rsid w:val="00CB5E67"/>
    <w:rsid w:val="00CB6F16"/>
    <w:rsid w:val="00CC0BE5"/>
    <w:rsid w:val="00CC2E8C"/>
    <w:rsid w:val="00CC3D49"/>
    <w:rsid w:val="00CC559D"/>
    <w:rsid w:val="00CD0673"/>
    <w:rsid w:val="00CD36D5"/>
    <w:rsid w:val="00CD654B"/>
    <w:rsid w:val="00CD6BD4"/>
    <w:rsid w:val="00CD788E"/>
    <w:rsid w:val="00CE09C8"/>
    <w:rsid w:val="00CE0CE6"/>
    <w:rsid w:val="00CE1441"/>
    <w:rsid w:val="00CE223E"/>
    <w:rsid w:val="00CE2DA3"/>
    <w:rsid w:val="00CE5B0C"/>
    <w:rsid w:val="00CE5D1B"/>
    <w:rsid w:val="00CE7A95"/>
    <w:rsid w:val="00CF0B33"/>
    <w:rsid w:val="00CF2DC2"/>
    <w:rsid w:val="00CF59BD"/>
    <w:rsid w:val="00CF6855"/>
    <w:rsid w:val="00CF7860"/>
    <w:rsid w:val="00D112F6"/>
    <w:rsid w:val="00D113D1"/>
    <w:rsid w:val="00D132E2"/>
    <w:rsid w:val="00D145F5"/>
    <w:rsid w:val="00D1685F"/>
    <w:rsid w:val="00D170A8"/>
    <w:rsid w:val="00D20449"/>
    <w:rsid w:val="00D2116B"/>
    <w:rsid w:val="00D2318B"/>
    <w:rsid w:val="00D2441A"/>
    <w:rsid w:val="00D25274"/>
    <w:rsid w:val="00D253C3"/>
    <w:rsid w:val="00D2608F"/>
    <w:rsid w:val="00D263A7"/>
    <w:rsid w:val="00D30893"/>
    <w:rsid w:val="00D31D1B"/>
    <w:rsid w:val="00D32C4A"/>
    <w:rsid w:val="00D3300F"/>
    <w:rsid w:val="00D33AAF"/>
    <w:rsid w:val="00D355F0"/>
    <w:rsid w:val="00D360ED"/>
    <w:rsid w:val="00D36D03"/>
    <w:rsid w:val="00D4084B"/>
    <w:rsid w:val="00D42E24"/>
    <w:rsid w:val="00D4349F"/>
    <w:rsid w:val="00D44A53"/>
    <w:rsid w:val="00D45AF8"/>
    <w:rsid w:val="00D51C05"/>
    <w:rsid w:val="00D53AF9"/>
    <w:rsid w:val="00D56450"/>
    <w:rsid w:val="00D573BE"/>
    <w:rsid w:val="00D57A8B"/>
    <w:rsid w:val="00D60AC1"/>
    <w:rsid w:val="00D60F0D"/>
    <w:rsid w:val="00D612DD"/>
    <w:rsid w:val="00D64054"/>
    <w:rsid w:val="00D6407A"/>
    <w:rsid w:val="00D66D2C"/>
    <w:rsid w:val="00D75178"/>
    <w:rsid w:val="00D760C2"/>
    <w:rsid w:val="00D77FA0"/>
    <w:rsid w:val="00D81649"/>
    <w:rsid w:val="00D819B4"/>
    <w:rsid w:val="00D83BD9"/>
    <w:rsid w:val="00D84B9D"/>
    <w:rsid w:val="00D90B90"/>
    <w:rsid w:val="00D9246C"/>
    <w:rsid w:val="00D93EC0"/>
    <w:rsid w:val="00D95FB9"/>
    <w:rsid w:val="00DA0A4E"/>
    <w:rsid w:val="00DA3A83"/>
    <w:rsid w:val="00DA43CF"/>
    <w:rsid w:val="00DA5BBE"/>
    <w:rsid w:val="00DA686B"/>
    <w:rsid w:val="00DB2DCE"/>
    <w:rsid w:val="00DB3F5A"/>
    <w:rsid w:val="00DB4AC1"/>
    <w:rsid w:val="00DB4B81"/>
    <w:rsid w:val="00DB50AB"/>
    <w:rsid w:val="00DB5F41"/>
    <w:rsid w:val="00DB6282"/>
    <w:rsid w:val="00DB68AD"/>
    <w:rsid w:val="00DB7F09"/>
    <w:rsid w:val="00DC00E8"/>
    <w:rsid w:val="00DC00FB"/>
    <w:rsid w:val="00DC3569"/>
    <w:rsid w:val="00DD01D1"/>
    <w:rsid w:val="00DD2429"/>
    <w:rsid w:val="00DD70CA"/>
    <w:rsid w:val="00DD711C"/>
    <w:rsid w:val="00DE5495"/>
    <w:rsid w:val="00DE7102"/>
    <w:rsid w:val="00DE7D91"/>
    <w:rsid w:val="00DF0106"/>
    <w:rsid w:val="00DF020D"/>
    <w:rsid w:val="00DF1A74"/>
    <w:rsid w:val="00DF1DEB"/>
    <w:rsid w:val="00DF2B12"/>
    <w:rsid w:val="00DF33B7"/>
    <w:rsid w:val="00DF4E39"/>
    <w:rsid w:val="00E0054D"/>
    <w:rsid w:val="00E01153"/>
    <w:rsid w:val="00E03599"/>
    <w:rsid w:val="00E052E5"/>
    <w:rsid w:val="00E06768"/>
    <w:rsid w:val="00E07154"/>
    <w:rsid w:val="00E076A2"/>
    <w:rsid w:val="00E10400"/>
    <w:rsid w:val="00E1073A"/>
    <w:rsid w:val="00E10998"/>
    <w:rsid w:val="00E10D0E"/>
    <w:rsid w:val="00E10D39"/>
    <w:rsid w:val="00E1136B"/>
    <w:rsid w:val="00E13E90"/>
    <w:rsid w:val="00E14FE6"/>
    <w:rsid w:val="00E15D97"/>
    <w:rsid w:val="00E16B27"/>
    <w:rsid w:val="00E20768"/>
    <w:rsid w:val="00E20C8A"/>
    <w:rsid w:val="00E22D51"/>
    <w:rsid w:val="00E23BFC"/>
    <w:rsid w:val="00E242C7"/>
    <w:rsid w:val="00E304C1"/>
    <w:rsid w:val="00E30A41"/>
    <w:rsid w:val="00E357C1"/>
    <w:rsid w:val="00E358E3"/>
    <w:rsid w:val="00E35E1E"/>
    <w:rsid w:val="00E35FA1"/>
    <w:rsid w:val="00E37D08"/>
    <w:rsid w:val="00E40464"/>
    <w:rsid w:val="00E40909"/>
    <w:rsid w:val="00E44731"/>
    <w:rsid w:val="00E46446"/>
    <w:rsid w:val="00E46F76"/>
    <w:rsid w:val="00E50E7C"/>
    <w:rsid w:val="00E50FE9"/>
    <w:rsid w:val="00E51545"/>
    <w:rsid w:val="00E55326"/>
    <w:rsid w:val="00E5789B"/>
    <w:rsid w:val="00E602E2"/>
    <w:rsid w:val="00E6236A"/>
    <w:rsid w:val="00E63307"/>
    <w:rsid w:val="00E634F0"/>
    <w:rsid w:val="00E641F7"/>
    <w:rsid w:val="00E711D7"/>
    <w:rsid w:val="00E73495"/>
    <w:rsid w:val="00E758F3"/>
    <w:rsid w:val="00E80D27"/>
    <w:rsid w:val="00E80DFD"/>
    <w:rsid w:val="00E81A40"/>
    <w:rsid w:val="00E839E6"/>
    <w:rsid w:val="00E83ED4"/>
    <w:rsid w:val="00E8413C"/>
    <w:rsid w:val="00E8433A"/>
    <w:rsid w:val="00E859F6"/>
    <w:rsid w:val="00E85A9E"/>
    <w:rsid w:val="00E86C3E"/>
    <w:rsid w:val="00E902B0"/>
    <w:rsid w:val="00E902E8"/>
    <w:rsid w:val="00E90B2E"/>
    <w:rsid w:val="00E95096"/>
    <w:rsid w:val="00E95497"/>
    <w:rsid w:val="00E95638"/>
    <w:rsid w:val="00E966CD"/>
    <w:rsid w:val="00EA1330"/>
    <w:rsid w:val="00EA1807"/>
    <w:rsid w:val="00EA2041"/>
    <w:rsid w:val="00EA3F48"/>
    <w:rsid w:val="00EA4277"/>
    <w:rsid w:val="00EA4E8A"/>
    <w:rsid w:val="00EA64A3"/>
    <w:rsid w:val="00EA6A2F"/>
    <w:rsid w:val="00EA6F05"/>
    <w:rsid w:val="00EA761F"/>
    <w:rsid w:val="00EA783F"/>
    <w:rsid w:val="00EA7D4C"/>
    <w:rsid w:val="00EB030F"/>
    <w:rsid w:val="00EB30D8"/>
    <w:rsid w:val="00EB3B8C"/>
    <w:rsid w:val="00EB4038"/>
    <w:rsid w:val="00EB4613"/>
    <w:rsid w:val="00EB6D3D"/>
    <w:rsid w:val="00EC1A98"/>
    <w:rsid w:val="00EC4142"/>
    <w:rsid w:val="00EC4B37"/>
    <w:rsid w:val="00EC5CF4"/>
    <w:rsid w:val="00EC6B16"/>
    <w:rsid w:val="00EC7B42"/>
    <w:rsid w:val="00ED0DC7"/>
    <w:rsid w:val="00ED12D0"/>
    <w:rsid w:val="00ED14FB"/>
    <w:rsid w:val="00ED28C4"/>
    <w:rsid w:val="00ED7274"/>
    <w:rsid w:val="00EE4810"/>
    <w:rsid w:val="00EE4B38"/>
    <w:rsid w:val="00EE5AAB"/>
    <w:rsid w:val="00EE5AE1"/>
    <w:rsid w:val="00EE5F91"/>
    <w:rsid w:val="00EE677F"/>
    <w:rsid w:val="00EE7AB6"/>
    <w:rsid w:val="00EF2FBF"/>
    <w:rsid w:val="00EF4AA5"/>
    <w:rsid w:val="00EF5733"/>
    <w:rsid w:val="00EF5A3D"/>
    <w:rsid w:val="00EF7B29"/>
    <w:rsid w:val="00F0082D"/>
    <w:rsid w:val="00F02444"/>
    <w:rsid w:val="00F052F1"/>
    <w:rsid w:val="00F05E01"/>
    <w:rsid w:val="00F07C90"/>
    <w:rsid w:val="00F10FEA"/>
    <w:rsid w:val="00F12470"/>
    <w:rsid w:val="00F145BF"/>
    <w:rsid w:val="00F151E1"/>
    <w:rsid w:val="00F158B2"/>
    <w:rsid w:val="00F20469"/>
    <w:rsid w:val="00F2190F"/>
    <w:rsid w:val="00F22196"/>
    <w:rsid w:val="00F22AD4"/>
    <w:rsid w:val="00F23B50"/>
    <w:rsid w:val="00F24EC1"/>
    <w:rsid w:val="00F270A9"/>
    <w:rsid w:val="00F33EB1"/>
    <w:rsid w:val="00F347A4"/>
    <w:rsid w:val="00F34B70"/>
    <w:rsid w:val="00F37E50"/>
    <w:rsid w:val="00F418E5"/>
    <w:rsid w:val="00F41F28"/>
    <w:rsid w:val="00F46F71"/>
    <w:rsid w:val="00F50F57"/>
    <w:rsid w:val="00F53705"/>
    <w:rsid w:val="00F54187"/>
    <w:rsid w:val="00F54F26"/>
    <w:rsid w:val="00F555B8"/>
    <w:rsid w:val="00F560CA"/>
    <w:rsid w:val="00F61304"/>
    <w:rsid w:val="00F65532"/>
    <w:rsid w:val="00F65655"/>
    <w:rsid w:val="00F66B9F"/>
    <w:rsid w:val="00F70F1E"/>
    <w:rsid w:val="00F71A0E"/>
    <w:rsid w:val="00F7596A"/>
    <w:rsid w:val="00F75988"/>
    <w:rsid w:val="00F759B8"/>
    <w:rsid w:val="00F761CB"/>
    <w:rsid w:val="00F775F5"/>
    <w:rsid w:val="00F80D67"/>
    <w:rsid w:val="00F92279"/>
    <w:rsid w:val="00F95ABA"/>
    <w:rsid w:val="00F95F6F"/>
    <w:rsid w:val="00FA09FC"/>
    <w:rsid w:val="00FA599A"/>
    <w:rsid w:val="00FA67CB"/>
    <w:rsid w:val="00FB0424"/>
    <w:rsid w:val="00FB2A28"/>
    <w:rsid w:val="00FB4EB0"/>
    <w:rsid w:val="00FB5091"/>
    <w:rsid w:val="00FB64AA"/>
    <w:rsid w:val="00FB71FB"/>
    <w:rsid w:val="00FC06E4"/>
    <w:rsid w:val="00FC1663"/>
    <w:rsid w:val="00FC166C"/>
    <w:rsid w:val="00FC305E"/>
    <w:rsid w:val="00FC3227"/>
    <w:rsid w:val="00FC371B"/>
    <w:rsid w:val="00FC38C8"/>
    <w:rsid w:val="00FC5E84"/>
    <w:rsid w:val="00FC6ADA"/>
    <w:rsid w:val="00FC742A"/>
    <w:rsid w:val="00FC7555"/>
    <w:rsid w:val="00FD0EBE"/>
    <w:rsid w:val="00FD651D"/>
    <w:rsid w:val="00FE4F8A"/>
    <w:rsid w:val="00FE5739"/>
    <w:rsid w:val="00FE63C8"/>
    <w:rsid w:val="00FF3CBE"/>
    <w:rsid w:val="00FF3F6C"/>
    <w:rsid w:val="00FF63B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B4A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3EA"/>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8043EA"/>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8043EA"/>
    <w:pPr>
      <w:spacing w:before="360" w:line="460" w:lineRule="exact"/>
      <w:outlineLvl w:val="1"/>
    </w:pPr>
    <w:rPr>
      <w:bCs w:val="0"/>
      <w:iCs/>
      <w:color w:val="2C384A"/>
      <w:sz w:val="36"/>
      <w:szCs w:val="28"/>
    </w:rPr>
  </w:style>
  <w:style w:type="paragraph" w:styleId="Heading3">
    <w:name w:val="heading 3"/>
    <w:basedOn w:val="HeadingBase"/>
    <w:next w:val="Normal"/>
    <w:link w:val="Heading3Char"/>
    <w:qFormat/>
    <w:rsid w:val="008043EA"/>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8043EA"/>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8043EA"/>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8043EA"/>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43EA"/>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8043EA"/>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8043EA"/>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8043EA"/>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8043EA"/>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8043EA"/>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8043EA"/>
    <w:pPr>
      <w:keepNext/>
      <w:spacing w:before="0" w:after="0"/>
      <w:jc w:val="center"/>
    </w:pPr>
    <w:rPr>
      <w:color w:val="004A7F"/>
      <w:sz w:val="20"/>
    </w:rPr>
  </w:style>
  <w:style w:type="paragraph" w:customStyle="1" w:styleId="AlphaParagraph">
    <w:name w:val="Alpha Paragraph"/>
    <w:basedOn w:val="Normal"/>
    <w:rsid w:val="008043EA"/>
    <w:pPr>
      <w:numPr>
        <w:ilvl w:val="1"/>
        <w:numId w:val="13"/>
      </w:numPr>
      <w:spacing w:before="0"/>
    </w:pPr>
  </w:style>
  <w:style w:type="table" w:styleId="TableGridLight">
    <w:name w:val="Grid Table Light"/>
    <w:basedOn w:val="TableNormal"/>
    <w:uiPriority w:val="40"/>
    <w:rsid w:val="00313D7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xHeading">
    <w:name w:val="Box Heading"/>
    <w:basedOn w:val="Normal"/>
    <w:next w:val="Normal"/>
    <w:qFormat/>
    <w:rsid w:val="006016A6"/>
    <w:pPr>
      <w:keepNext/>
      <w:spacing w:before="240"/>
    </w:pPr>
    <w:rPr>
      <w:b/>
      <w:color w:val="2C384A" w:themeColor="accent1"/>
      <w:sz w:val="28"/>
      <w:szCs w:val="26"/>
    </w:rPr>
  </w:style>
  <w:style w:type="paragraph" w:customStyle="1" w:styleId="BoxText">
    <w:name w:val="Box Text"/>
    <w:basedOn w:val="Normal"/>
    <w:link w:val="BoxTextChar"/>
    <w:rsid w:val="008043EA"/>
  </w:style>
  <w:style w:type="paragraph" w:customStyle="1" w:styleId="Bullet">
    <w:name w:val="Bullet"/>
    <w:aliases w:val="Body,b,b + line,b1"/>
    <w:basedOn w:val="Normal"/>
    <w:link w:val="BulletChar"/>
    <w:qFormat/>
    <w:rsid w:val="008043EA"/>
    <w:pPr>
      <w:numPr>
        <w:numId w:val="7"/>
      </w:numPr>
      <w:tabs>
        <w:tab w:val="left" w:pos="720"/>
      </w:tabs>
      <w:spacing w:after="0" w:line="276" w:lineRule="auto"/>
    </w:pPr>
  </w:style>
  <w:style w:type="paragraph" w:customStyle="1" w:styleId="ChartandTableFootnoteAlpha">
    <w:name w:val="Chart and Table Footnote Alpha"/>
    <w:rsid w:val="008043EA"/>
    <w:pPr>
      <w:numPr>
        <w:numId w:val="9"/>
      </w:numPr>
      <w:spacing w:after="0" w:line="240" w:lineRule="auto"/>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qFormat/>
    <w:rsid w:val="008043EA"/>
    <w:pPr>
      <w:jc w:val="center"/>
    </w:pPr>
  </w:style>
  <w:style w:type="paragraph" w:customStyle="1" w:styleId="ChartorTableNote">
    <w:name w:val="Chart or Table Note"/>
    <w:next w:val="Normal"/>
    <w:qFormat/>
    <w:rsid w:val="008043EA"/>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8043EA"/>
    <w:pPr>
      <w:jc w:val="center"/>
    </w:pPr>
    <w:rPr>
      <w:b w:val="0"/>
      <w:bCs/>
    </w:rPr>
  </w:style>
  <w:style w:type="paragraph" w:customStyle="1" w:styleId="ReportDate">
    <w:name w:val="Report Date"/>
    <w:basedOn w:val="Normal"/>
    <w:link w:val="ReportDateChar"/>
    <w:rsid w:val="00082FC2"/>
    <w:pPr>
      <w:keepNext/>
      <w:spacing w:before="0" w:after="360"/>
    </w:pPr>
    <w:rPr>
      <w:color w:val="2C384A" w:themeColor="accent1"/>
      <w:sz w:val="32"/>
    </w:rPr>
  </w:style>
  <w:style w:type="paragraph" w:customStyle="1" w:styleId="Dash">
    <w:name w:val="Dash"/>
    <w:basedOn w:val="Normal"/>
    <w:link w:val="DashChar"/>
    <w:qFormat/>
    <w:rsid w:val="008043EA"/>
    <w:pPr>
      <w:numPr>
        <w:ilvl w:val="1"/>
        <w:numId w:val="8"/>
      </w:numPr>
      <w:spacing w:before="0"/>
    </w:pPr>
  </w:style>
  <w:style w:type="paragraph" w:customStyle="1" w:styleId="DoubleDot">
    <w:name w:val="Double Dot"/>
    <w:basedOn w:val="Normal"/>
    <w:link w:val="DoubleDotChar"/>
    <w:qFormat/>
    <w:rsid w:val="008043EA"/>
    <w:pPr>
      <w:numPr>
        <w:ilvl w:val="2"/>
        <w:numId w:val="8"/>
      </w:numPr>
      <w:spacing w:before="0"/>
    </w:pPr>
  </w:style>
  <w:style w:type="paragraph" w:customStyle="1" w:styleId="TableMainHeading">
    <w:name w:val="Table Main Heading"/>
    <w:basedOn w:val="Heading3"/>
    <w:next w:val="Normal"/>
    <w:qFormat/>
    <w:rsid w:val="008043EA"/>
    <w:pPr>
      <w:spacing w:before="120"/>
    </w:pPr>
    <w:rPr>
      <w:b w:val="0"/>
      <w:sz w:val="26"/>
    </w:rPr>
  </w:style>
  <w:style w:type="paragraph" w:customStyle="1" w:styleId="FooterEven">
    <w:name w:val="Footer Even"/>
    <w:basedOn w:val="Footer"/>
    <w:rsid w:val="00E81A40"/>
    <w:pPr>
      <w:tabs>
        <w:tab w:val="clear" w:pos="9072"/>
      </w:tabs>
      <w:jc w:val="left"/>
    </w:pPr>
  </w:style>
  <w:style w:type="paragraph" w:customStyle="1" w:styleId="FooterOdd">
    <w:name w:val="Footer Odd"/>
    <w:basedOn w:val="Footer"/>
    <w:rsid w:val="00E81A40"/>
    <w:pPr>
      <w:tabs>
        <w:tab w:val="clear" w:pos="9072"/>
      </w:tabs>
    </w:pPr>
    <w:rPr>
      <w:noProof w:val="0"/>
    </w:rPr>
  </w:style>
  <w:style w:type="character" w:styleId="Hyperlink">
    <w:name w:val="Hyperlink"/>
    <w:basedOn w:val="DefaultParagraphFont"/>
    <w:uiPriority w:val="99"/>
    <w:rsid w:val="00823A66"/>
    <w:rPr>
      <w:color w:val="3A6FAF"/>
      <w:u w:val="single"/>
    </w:rPr>
  </w:style>
  <w:style w:type="paragraph" w:customStyle="1" w:styleId="OutlineNumbered1">
    <w:name w:val="Outline Numbered 1"/>
    <w:basedOn w:val="Normal"/>
    <w:rsid w:val="008043EA"/>
    <w:pPr>
      <w:numPr>
        <w:numId w:val="16"/>
      </w:numPr>
      <w:spacing w:before="0"/>
    </w:pPr>
  </w:style>
  <w:style w:type="paragraph" w:customStyle="1" w:styleId="OneLevelNumberedParagraph">
    <w:name w:val="One Level Numbered Paragraph"/>
    <w:basedOn w:val="Normal"/>
    <w:rsid w:val="008043EA"/>
    <w:pPr>
      <w:numPr>
        <w:numId w:val="11"/>
      </w:numPr>
      <w:tabs>
        <w:tab w:val="clear" w:pos="284"/>
        <w:tab w:val="num" w:pos="360"/>
      </w:tabs>
      <w:spacing w:before="0"/>
      <w:ind w:left="0" w:firstLine="0"/>
    </w:pPr>
  </w:style>
  <w:style w:type="paragraph" w:customStyle="1" w:styleId="OutlineNumbered2">
    <w:name w:val="Outline Numbered 2"/>
    <w:basedOn w:val="Normal"/>
    <w:rsid w:val="008043EA"/>
    <w:pPr>
      <w:numPr>
        <w:ilvl w:val="1"/>
        <w:numId w:val="16"/>
      </w:numPr>
      <w:spacing w:before="0"/>
    </w:pPr>
  </w:style>
  <w:style w:type="paragraph" w:customStyle="1" w:styleId="OutlineNumbered3">
    <w:name w:val="Outline Numbered 3"/>
    <w:basedOn w:val="Normal"/>
    <w:rsid w:val="008043EA"/>
    <w:pPr>
      <w:numPr>
        <w:ilvl w:val="2"/>
        <w:numId w:val="16"/>
      </w:numPr>
      <w:spacing w:before="0"/>
    </w:pPr>
  </w:style>
  <w:style w:type="paragraph" w:customStyle="1" w:styleId="SingleParagraph">
    <w:name w:val="Single Paragraph"/>
    <w:basedOn w:val="Normal"/>
    <w:link w:val="SingleParagraphChar"/>
    <w:rsid w:val="008043EA"/>
    <w:pPr>
      <w:spacing w:before="0" w:after="0"/>
    </w:pPr>
  </w:style>
  <w:style w:type="paragraph" w:customStyle="1" w:styleId="TableSecondHeading">
    <w:name w:val="Table Second Heading"/>
    <w:basedOn w:val="Normal"/>
    <w:next w:val="Normal"/>
    <w:rsid w:val="008043EA"/>
    <w:pPr>
      <w:keepNext/>
      <w:spacing w:before="0" w:after="20"/>
    </w:pPr>
    <w:rPr>
      <w:b/>
      <w:color w:val="004A7F"/>
    </w:rPr>
  </w:style>
  <w:style w:type="paragraph" w:customStyle="1" w:styleId="TableColumnHeadingCentred">
    <w:name w:val="Table Column Heading Centred"/>
    <w:basedOn w:val="TableTextLeft"/>
    <w:rsid w:val="00AB6791"/>
    <w:pPr>
      <w:jc w:val="center"/>
    </w:pPr>
    <w:rPr>
      <w:b/>
      <w:color w:val="2C384A" w:themeColor="accent1"/>
      <w:sz w:val="20"/>
    </w:rPr>
  </w:style>
  <w:style w:type="paragraph" w:customStyle="1" w:styleId="TableColumnHeadingLeft">
    <w:name w:val="Table Column Heading Left"/>
    <w:basedOn w:val="TableTextLeft"/>
    <w:rsid w:val="00AB6791"/>
    <w:rPr>
      <w:b/>
      <w:color w:val="2C384A" w:themeColor="accent1"/>
      <w:sz w:val="20"/>
    </w:rPr>
  </w:style>
  <w:style w:type="paragraph" w:customStyle="1" w:styleId="TableColumnHeadingRight">
    <w:name w:val="Table Column Heading Right"/>
    <w:basedOn w:val="TableTextLeft"/>
    <w:rsid w:val="00AB6791"/>
    <w:pPr>
      <w:jc w:val="right"/>
    </w:pPr>
    <w:rPr>
      <w:b/>
      <w:color w:val="2C384A" w:themeColor="accent1"/>
      <w:sz w:val="20"/>
    </w:rPr>
  </w:style>
  <w:style w:type="table" w:styleId="TableGrid">
    <w:name w:val="Table Grid"/>
    <w:basedOn w:val="TableNormal"/>
    <w:rsid w:val="00AB6791"/>
    <w:pPr>
      <w:spacing w:before="40" w:after="40" w:line="240" w:lineRule="auto"/>
    </w:pPr>
    <w:rPr>
      <w:rFonts w:ascii="Calibri Light" w:eastAsia="Times New Roman" w:hAnsi="Calibri Light" w:cs="Times New Roman"/>
      <w:sz w:val="20"/>
      <w:szCs w:val="20"/>
      <w:lang w:eastAsia="en-AU"/>
    </w:rPr>
    <w:tblPr/>
    <w:tcPr>
      <w:shd w:val="clear" w:color="auto" w:fill="auto"/>
    </w:tcPr>
    <w:tblStylePr w:type="firstRow">
      <w:pPr>
        <w:wordWrap/>
        <w:spacing w:beforeLines="40" w:before="40" w:beforeAutospacing="0" w:afterLines="40" w:after="40" w:afterAutospacing="0" w:line="240" w:lineRule="auto"/>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8043EA"/>
    <w:pPr>
      <w:jc w:val="center"/>
    </w:pPr>
  </w:style>
  <w:style w:type="paragraph" w:customStyle="1" w:styleId="TableTextLeft">
    <w:name w:val="Table Text Left"/>
    <w:basedOn w:val="TableTextRight"/>
    <w:rsid w:val="008043EA"/>
    <w:pPr>
      <w:jc w:val="left"/>
    </w:pPr>
  </w:style>
  <w:style w:type="paragraph" w:customStyle="1" w:styleId="TableTextRight">
    <w:name w:val="Table Text Right"/>
    <w:basedOn w:val="Normal"/>
    <w:rsid w:val="008043EA"/>
    <w:pPr>
      <w:spacing w:before="40" w:after="40"/>
      <w:jc w:val="right"/>
    </w:pPr>
    <w:rPr>
      <w:color w:val="000000"/>
      <w:sz w:val="18"/>
    </w:rPr>
  </w:style>
  <w:style w:type="paragraph" w:styleId="TOC1">
    <w:name w:val="toc 1"/>
    <w:basedOn w:val="Normal"/>
    <w:next w:val="Normal"/>
    <w:uiPriority w:val="39"/>
    <w:rsid w:val="008043EA"/>
    <w:pPr>
      <w:keepNext/>
      <w:tabs>
        <w:tab w:val="right" w:leader="dot" w:pos="9072"/>
      </w:tabs>
      <w:spacing w:before="180" w:after="0"/>
      <w:ind w:right="-2"/>
    </w:pPr>
    <w:rPr>
      <w:b/>
      <w:noProof/>
      <w:color w:val="002C4A"/>
      <w:szCs w:val="22"/>
    </w:rPr>
  </w:style>
  <w:style w:type="paragraph" w:styleId="TOC2">
    <w:name w:val="toc 2"/>
    <w:basedOn w:val="Normal"/>
    <w:next w:val="Normal"/>
    <w:uiPriority w:val="39"/>
    <w:rsid w:val="008043EA"/>
    <w:pPr>
      <w:keepNext/>
      <w:tabs>
        <w:tab w:val="right" w:leader="dot" w:pos="9072"/>
      </w:tabs>
      <w:spacing w:before="40" w:after="20"/>
      <w:ind w:right="-2"/>
    </w:pPr>
    <w:rPr>
      <w:noProof/>
      <w:color w:val="004A7F"/>
    </w:rPr>
  </w:style>
  <w:style w:type="paragraph" w:styleId="TOC3">
    <w:name w:val="toc 3"/>
    <w:basedOn w:val="Normal"/>
    <w:next w:val="Normal"/>
    <w:uiPriority w:val="39"/>
    <w:rsid w:val="008043EA"/>
    <w:pPr>
      <w:tabs>
        <w:tab w:val="right" w:leader="dot" w:pos="9072"/>
      </w:tabs>
      <w:spacing w:before="20" w:after="0"/>
      <w:ind w:left="284" w:right="-2"/>
    </w:pPr>
    <w:rPr>
      <w:rFonts w:cs="Calibri"/>
      <w:noProof/>
    </w:rPr>
  </w:style>
  <w:style w:type="numbering" w:customStyle="1" w:styleId="OutlineList">
    <w:name w:val="OutlineList"/>
    <w:uiPriority w:val="99"/>
    <w:rsid w:val="008043EA"/>
    <w:pPr>
      <w:numPr>
        <w:numId w:val="4"/>
      </w:numPr>
    </w:pPr>
  </w:style>
  <w:style w:type="numbering" w:customStyle="1" w:styleId="BulletedList">
    <w:name w:val="Bulleted List"/>
    <w:uiPriority w:val="99"/>
    <w:rsid w:val="008043EA"/>
    <w:pPr>
      <w:numPr>
        <w:numId w:val="1"/>
      </w:numPr>
    </w:pPr>
  </w:style>
  <w:style w:type="numbering" w:customStyle="1" w:styleId="BoxBulletedList">
    <w:name w:val="Box Bulleted List"/>
    <w:uiPriority w:val="99"/>
    <w:rsid w:val="008043EA"/>
    <w:pPr>
      <w:numPr>
        <w:numId w:val="2"/>
      </w:numPr>
    </w:pPr>
  </w:style>
  <w:style w:type="numbering" w:customStyle="1" w:styleId="OneLevelList">
    <w:name w:val="OneLevelList"/>
    <w:uiPriority w:val="99"/>
    <w:rsid w:val="008043EA"/>
    <w:pPr>
      <w:numPr>
        <w:numId w:val="3"/>
      </w:numPr>
    </w:pPr>
  </w:style>
  <w:style w:type="numbering" w:customStyle="1" w:styleId="ChartandTableFootnoteAlphaList">
    <w:name w:val="ChartandTableFootnoteAlphaList"/>
    <w:uiPriority w:val="99"/>
    <w:rsid w:val="008043EA"/>
    <w:pPr>
      <w:numPr>
        <w:numId w:val="6"/>
      </w:numPr>
    </w:pPr>
  </w:style>
  <w:style w:type="paragraph" w:customStyle="1" w:styleId="Heading1Numbered">
    <w:name w:val="Heading 1 Numbered"/>
    <w:basedOn w:val="Heading1"/>
    <w:next w:val="Normal"/>
    <w:rsid w:val="008043EA"/>
    <w:pPr>
      <w:numPr>
        <w:numId w:val="10"/>
      </w:numPr>
    </w:pPr>
  </w:style>
  <w:style w:type="character" w:customStyle="1" w:styleId="SingleParagraphChar">
    <w:name w:val="Single Paragraph Char"/>
    <w:basedOn w:val="DefaultParagraphFont"/>
    <w:link w:val="SingleParagraph"/>
    <w:rsid w:val="008043EA"/>
    <w:rPr>
      <w:rFonts w:ascii="Calibri Light" w:eastAsia="Times New Roman" w:hAnsi="Calibri Light" w:cs="Times New Roman"/>
      <w:szCs w:val="20"/>
      <w:lang w:eastAsia="en-AU"/>
    </w:rPr>
  </w:style>
  <w:style w:type="paragraph" w:customStyle="1" w:styleId="Heading2Numbered">
    <w:name w:val="Heading 2 Numbered"/>
    <w:basedOn w:val="Heading2"/>
    <w:next w:val="Normal"/>
    <w:rsid w:val="008043EA"/>
    <w:pPr>
      <w:numPr>
        <w:ilvl w:val="1"/>
        <w:numId w:val="10"/>
      </w:numPr>
    </w:pPr>
  </w:style>
  <w:style w:type="paragraph" w:customStyle="1" w:styleId="Heading3Numbered">
    <w:name w:val="Heading 3 Numbered"/>
    <w:basedOn w:val="Heading3"/>
    <w:rsid w:val="008043EA"/>
    <w:pPr>
      <w:numPr>
        <w:ilvl w:val="2"/>
        <w:numId w:val="10"/>
      </w:numPr>
    </w:pPr>
  </w:style>
  <w:style w:type="paragraph" w:styleId="Title">
    <w:name w:val="Title"/>
    <w:basedOn w:val="Normal"/>
    <w:next w:val="Normal"/>
    <w:link w:val="TitleChar"/>
    <w:uiPriority w:val="10"/>
    <w:rsid w:val="00082FC2"/>
    <w:pPr>
      <w:spacing w:before="0"/>
      <w:contextualSpacing/>
    </w:pPr>
    <w:rPr>
      <w:rFonts w:eastAsiaTheme="majorEastAsia" w:cstheme="majorBidi"/>
      <w:b/>
      <w:color w:val="2C384A" w:themeColor="accent1"/>
      <w:spacing w:val="5"/>
      <w:kern w:val="28"/>
      <w:sz w:val="72"/>
      <w:szCs w:val="52"/>
    </w:rPr>
  </w:style>
  <w:style w:type="character" w:customStyle="1" w:styleId="TitleChar">
    <w:name w:val="Title Char"/>
    <w:basedOn w:val="DefaultParagraphFont"/>
    <w:link w:val="Title"/>
    <w:uiPriority w:val="10"/>
    <w:rsid w:val="00082FC2"/>
    <w:rPr>
      <w:rFonts w:ascii="Calibri Light" w:eastAsiaTheme="majorEastAsia" w:hAnsi="Calibri Light" w:cstheme="majorBidi"/>
      <w:b/>
      <w:color w:val="2C384A" w:themeColor="accent1"/>
      <w:spacing w:val="5"/>
      <w:kern w:val="28"/>
      <w:sz w:val="72"/>
      <w:szCs w:val="52"/>
      <w:lang w:eastAsia="en-AU"/>
    </w:rPr>
  </w:style>
  <w:style w:type="paragraph" w:styleId="Subtitle">
    <w:name w:val="Subtitle"/>
    <w:basedOn w:val="Normal"/>
    <w:next w:val="Normal"/>
    <w:link w:val="SubtitleChar"/>
    <w:uiPriority w:val="11"/>
    <w:rsid w:val="00082FC2"/>
    <w:pPr>
      <w:numPr>
        <w:ilvl w:val="1"/>
      </w:numPr>
      <w:spacing w:after="360"/>
    </w:pPr>
    <w:rPr>
      <w:rFonts w:eastAsiaTheme="majorEastAsia" w:cstheme="majorBidi"/>
      <w:iCs/>
      <w:color w:val="5D779D" w:themeColor="accent3"/>
      <w:sz w:val="44"/>
      <w:szCs w:val="44"/>
    </w:rPr>
  </w:style>
  <w:style w:type="character" w:customStyle="1" w:styleId="SubtitleChar">
    <w:name w:val="Subtitle Char"/>
    <w:basedOn w:val="DefaultParagraphFont"/>
    <w:link w:val="Subtitle"/>
    <w:uiPriority w:val="11"/>
    <w:rsid w:val="00082FC2"/>
    <w:rPr>
      <w:rFonts w:ascii="Calibri Light" w:eastAsiaTheme="majorEastAsia" w:hAnsi="Calibri Light" w:cstheme="majorBidi"/>
      <w:iCs/>
      <w:color w:val="5D779D" w:themeColor="accent3"/>
      <w:sz w:val="44"/>
      <w:szCs w:val="44"/>
      <w:lang w:eastAsia="en-AU"/>
    </w:rPr>
  </w:style>
  <w:style w:type="character" w:styleId="SubtleEmphasis">
    <w:name w:val="Subtle Emphasis"/>
    <w:basedOn w:val="DefaultParagraphFont"/>
    <w:uiPriority w:val="19"/>
    <w:rsid w:val="008043EA"/>
    <w:rPr>
      <w:i/>
      <w:iCs/>
      <w:color w:val="808080" w:themeColor="text1" w:themeTint="7F"/>
    </w:rPr>
  </w:style>
  <w:style w:type="paragraph" w:styleId="Header">
    <w:name w:val="header"/>
    <w:basedOn w:val="Normal"/>
    <w:link w:val="HeaderChar"/>
    <w:uiPriority w:val="99"/>
    <w:unhideWhenUsed/>
    <w:rsid w:val="008043EA"/>
    <w:pPr>
      <w:keepNext/>
      <w:spacing w:before="0" w:after="0"/>
      <w:jc w:val="right"/>
    </w:pPr>
    <w:rPr>
      <w:color w:val="004A7F"/>
      <w:sz w:val="20"/>
    </w:rPr>
  </w:style>
  <w:style w:type="character" w:customStyle="1" w:styleId="HeaderChar">
    <w:name w:val="Header Char"/>
    <w:basedOn w:val="DefaultParagraphFont"/>
    <w:link w:val="Header"/>
    <w:uiPriority w:val="99"/>
    <w:rsid w:val="008043EA"/>
    <w:rPr>
      <w:rFonts w:ascii="Calibri Light" w:eastAsia="Times New Roman" w:hAnsi="Calibri Light" w:cs="Times New Roman"/>
      <w:color w:val="004A7F"/>
      <w:sz w:val="20"/>
      <w:szCs w:val="20"/>
      <w:lang w:eastAsia="en-AU"/>
    </w:rPr>
  </w:style>
  <w:style w:type="character" w:styleId="PlaceholderText">
    <w:name w:val="Placeholder Text"/>
    <w:basedOn w:val="DefaultParagraphFont"/>
    <w:uiPriority w:val="99"/>
    <w:semiHidden/>
    <w:rsid w:val="008043EA"/>
    <w:rPr>
      <w:color w:val="808080"/>
    </w:rPr>
  </w:style>
  <w:style w:type="paragraph" w:customStyle="1" w:styleId="HeadingBase">
    <w:name w:val="Heading Base"/>
    <w:rsid w:val="008043EA"/>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082FC2"/>
    <w:rPr>
      <w:rFonts w:ascii="Calibri Light" w:eastAsia="Times New Roman" w:hAnsi="Calibri Light" w:cs="Times New Roman"/>
      <w:color w:val="2C384A" w:themeColor="accent1"/>
      <w:sz w:val="32"/>
      <w:szCs w:val="20"/>
      <w:lang w:eastAsia="en-AU"/>
    </w:rPr>
  </w:style>
  <w:style w:type="paragraph" w:customStyle="1" w:styleId="TableTextIndented">
    <w:name w:val="Table Text Indented"/>
    <w:basedOn w:val="TableTextLeft"/>
    <w:rsid w:val="008043EA"/>
    <w:pPr>
      <w:ind w:left="284"/>
    </w:pPr>
  </w:style>
  <w:style w:type="paragraph" w:customStyle="1" w:styleId="TableHeadingContinued">
    <w:name w:val="Table Heading Continued"/>
    <w:basedOn w:val="TableMainHeading"/>
    <w:next w:val="TableGraphic"/>
    <w:rsid w:val="008043EA"/>
  </w:style>
  <w:style w:type="paragraph" w:customStyle="1" w:styleId="TableGraphic">
    <w:name w:val="Table Graphic"/>
    <w:basedOn w:val="HeadingBase"/>
    <w:next w:val="Normal"/>
    <w:rsid w:val="008043EA"/>
    <w:pPr>
      <w:spacing w:after="0"/>
    </w:pPr>
  </w:style>
  <w:style w:type="character" w:styleId="FootnoteReference">
    <w:name w:val="footnote reference"/>
    <w:basedOn w:val="DefaultParagraphFont"/>
    <w:uiPriority w:val="99"/>
    <w:rsid w:val="008043EA"/>
    <w:rPr>
      <w:sz w:val="18"/>
    </w:rPr>
  </w:style>
  <w:style w:type="paragraph" w:styleId="FootnoteText">
    <w:name w:val="footnote text"/>
    <w:basedOn w:val="Normal"/>
    <w:link w:val="FootnoteTextChar"/>
    <w:uiPriority w:val="99"/>
    <w:rsid w:val="008043EA"/>
    <w:pPr>
      <w:spacing w:before="0" w:after="0"/>
      <w:ind w:left="397" w:hanging="397"/>
    </w:pPr>
    <w:rPr>
      <w:sz w:val="20"/>
    </w:rPr>
  </w:style>
  <w:style w:type="character" w:customStyle="1" w:styleId="FootnoteTextChar">
    <w:name w:val="Footnote Text Char"/>
    <w:basedOn w:val="DefaultParagraphFont"/>
    <w:link w:val="FootnoteText"/>
    <w:uiPriority w:val="99"/>
    <w:rsid w:val="008043EA"/>
    <w:rPr>
      <w:rFonts w:ascii="Calibri Light" w:eastAsia="Times New Roman" w:hAnsi="Calibri Light" w:cs="Times New Roman"/>
      <w:sz w:val="20"/>
      <w:szCs w:val="20"/>
      <w:lang w:eastAsia="en-AU"/>
    </w:rPr>
  </w:style>
  <w:style w:type="paragraph" w:customStyle="1" w:styleId="Heading3noTOC">
    <w:name w:val="Heading 3 no TOC"/>
    <w:basedOn w:val="Heading3"/>
    <w:rsid w:val="00257AEE"/>
    <w:rPr>
      <w:rFonts w:cs="Calibri"/>
    </w:rPr>
  </w:style>
  <w:style w:type="paragraph" w:styleId="BalloonText">
    <w:name w:val="Balloon Text"/>
    <w:basedOn w:val="Normal"/>
    <w:link w:val="BalloonTextChar"/>
    <w:uiPriority w:val="99"/>
    <w:semiHidden/>
    <w:unhideWhenUsed/>
    <w:rsid w:val="008043E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3EA"/>
    <w:rPr>
      <w:rFonts w:ascii="Tahoma" w:eastAsia="Times New Roman" w:hAnsi="Tahoma" w:cs="Tahoma"/>
      <w:sz w:val="16"/>
      <w:szCs w:val="16"/>
      <w:lang w:eastAsia="en-AU"/>
    </w:rPr>
  </w:style>
  <w:style w:type="character" w:customStyle="1" w:styleId="BulletChar">
    <w:name w:val="Bullet Char"/>
    <w:aliases w:val="b + line Char Char,b Char,b Char Char"/>
    <w:basedOn w:val="DefaultParagraphFont"/>
    <w:link w:val="Bullet"/>
    <w:locked/>
    <w:rsid w:val="008043EA"/>
    <w:rPr>
      <w:rFonts w:ascii="Calibri Light" w:eastAsia="Times New Roman" w:hAnsi="Calibri Light" w:cs="Times New Roman"/>
      <w:szCs w:val="20"/>
      <w:lang w:eastAsia="en-AU"/>
    </w:rPr>
  </w:style>
  <w:style w:type="paragraph" w:customStyle="1" w:styleId="Boxbullet">
    <w:name w:val="Box bullet"/>
    <w:basedOn w:val="Bullet"/>
    <w:rsid w:val="008043EA"/>
    <w:pPr>
      <w:tabs>
        <w:tab w:val="num" w:pos="284"/>
      </w:tabs>
      <w:spacing w:before="60"/>
      <w:ind w:left="170" w:hanging="170"/>
    </w:pPr>
    <w:rPr>
      <w:color w:val="0D0D0D" w:themeColor="text1" w:themeTint="F2"/>
    </w:rPr>
  </w:style>
  <w:style w:type="character" w:customStyle="1" w:styleId="DashChar">
    <w:name w:val="Dash Char"/>
    <w:basedOn w:val="DefaultParagraphFont"/>
    <w:link w:val="Dash"/>
    <w:locked/>
    <w:rsid w:val="008043EA"/>
    <w:rPr>
      <w:rFonts w:ascii="Calibri Light" w:eastAsia="Times New Roman" w:hAnsi="Calibri Light" w:cs="Times New Roman"/>
      <w:szCs w:val="20"/>
      <w:lang w:eastAsia="en-AU"/>
    </w:rPr>
  </w:style>
  <w:style w:type="paragraph" w:customStyle="1" w:styleId="Boxdash">
    <w:name w:val="Box dash"/>
    <w:basedOn w:val="Dash"/>
    <w:rsid w:val="008043EA"/>
    <w:pPr>
      <w:tabs>
        <w:tab w:val="clear" w:pos="567"/>
        <w:tab w:val="num" w:pos="1040"/>
      </w:tabs>
      <w:spacing w:before="60" w:after="0" w:line="276" w:lineRule="auto"/>
      <w:ind w:left="454" w:hanging="170"/>
    </w:pPr>
    <w:rPr>
      <w:rFonts w:eastAsiaTheme="minorHAnsi"/>
      <w:color w:val="0D0D0D" w:themeColor="text1" w:themeTint="F2"/>
      <w:lang w:eastAsia="en-US"/>
    </w:rPr>
  </w:style>
  <w:style w:type="character" w:customStyle="1" w:styleId="DoubleDotChar">
    <w:name w:val="Double Dot Char"/>
    <w:basedOn w:val="DefaultParagraphFont"/>
    <w:link w:val="DoubleDot"/>
    <w:locked/>
    <w:rsid w:val="008043EA"/>
    <w:rPr>
      <w:rFonts w:ascii="Calibri Light" w:eastAsia="Times New Roman" w:hAnsi="Calibri Light" w:cs="Times New Roman"/>
      <w:szCs w:val="20"/>
      <w:lang w:eastAsia="en-AU"/>
    </w:rPr>
  </w:style>
  <w:style w:type="paragraph" w:customStyle="1" w:styleId="Boxdoubledot">
    <w:name w:val="Box double dot"/>
    <w:basedOn w:val="DoubleDot"/>
    <w:rsid w:val="008043EA"/>
    <w:pPr>
      <w:tabs>
        <w:tab w:val="clear" w:pos="850"/>
        <w:tab w:val="left" w:pos="567"/>
        <w:tab w:val="num" w:pos="1560"/>
      </w:tabs>
      <w:spacing w:before="60" w:after="0" w:line="276" w:lineRule="auto"/>
      <w:ind w:left="567" w:hanging="142"/>
    </w:pPr>
    <w:rPr>
      <w:rFonts w:eastAsiaTheme="minorHAnsi"/>
      <w:color w:val="0D0D0D" w:themeColor="text1" w:themeTint="F2"/>
      <w:lang w:eastAsia="en-US"/>
    </w:rPr>
  </w:style>
  <w:style w:type="character" w:customStyle="1" w:styleId="BoxTextChar">
    <w:name w:val="Box Text Char"/>
    <w:basedOn w:val="DefaultParagraphFont"/>
    <w:link w:val="BoxText"/>
    <w:locked/>
    <w:rsid w:val="008043EA"/>
    <w:rPr>
      <w:rFonts w:ascii="Calibri Light" w:eastAsia="Times New Roman" w:hAnsi="Calibri Light" w:cs="Times New Roman"/>
      <w:szCs w:val="20"/>
      <w:lang w:eastAsia="en-AU"/>
    </w:rPr>
  </w:style>
  <w:style w:type="character" w:styleId="Strong">
    <w:name w:val="Strong"/>
    <w:basedOn w:val="DefaultParagraphFont"/>
    <w:rsid w:val="00555D14"/>
    <w:rPr>
      <w:b/>
      <w:bCs/>
    </w:rPr>
  </w:style>
  <w:style w:type="paragraph" w:customStyle="1" w:styleId="Instructions">
    <w:name w:val="Instructions"/>
    <w:basedOn w:val="Normal"/>
    <w:uiPriority w:val="1"/>
    <w:rsid w:val="00555D14"/>
    <w:pPr>
      <w:shd w:val="clear" w:color="auto" w:fill="FFFF00"/>
      <w:ind w:left="170" w:hanging="170"/>
    </w:pPr>
    <w:rPr>
      <w:rFonts w:asciiTheme="minorHAnsi" w:hAnsiTheme="minorHAnsi"/>
      <w:sz w:val="20"/>
      <w:szCs w:val="24"/>
    </w:rPr>
  </w:style>
  <w:style w:type="character" w:styleId="UnresolvedMention">
    <w:name w:val="Unresolved Mention"/>
    <w:basedOn w:val="DefaultParagraphFont"/>
    <w:uiPriority w:val="99"/>
    <w:semiHidden/>
    <w:unhideWhenUsed/>
    <w:rsid w:val="00F347A4"/>
    <w:rPr>
      <w:color w:val="605E5C"/>
      <w:shd w:val="clear" w:color="auto" w:fill="E1DFDD"/>
    </w:rPr>
  </w:style>
  <w:style w:type="paragraph" w:styleId="Footer">
    <w:name w:val="footer"/>
    <w:basedOn w:val="Normal"/>
    <w:link w:val="FooterChar"/>
    <w:unhideWhenUsed/>
    <w:rsid w:val="00E13E90"/>
    <w:pPr>
      <w:keepNext/>
      <w:tabs>
        <w:tab w:val="center" w:pos="9072"/>
      </w:tabs>
      <w:spacing w:before="0" w:after="0"/>
      <w:jc w:val="right"/>
    </w:pPr>
    <w:rPr>
      <w:noProof/>
      <w:color w:val="2C384A" w:themeColor="accent1"/>
      <w:sz w:val="20"/>
    </w:rPr>
  </w:style>
  <w:style w:type="character" w:customStyle="1" w:styleId="FooterChar">
    <w:name w:val="Footer Char"/>
    <w:basedOn w:val="DefaultParagraphFont"/>
    <w:link w:val="Footer"/>
    <w:rsid w:val="00E13E90"/>
    <w:rPr>
      <w:rFonts w:ascii="Calibri Light" w:eastAsia="Times New Roman" w:hAnsi="Calibri Light" w:cs="Times New Roman"/>
      <w:noProof/>
      <w:color w:val="2C384A" w:themeColor="accent1"/>
      <w:sz w:val="20"/>
      <w:szCs w:val="20"/>
      <w:lang w:eastAsia="en-AU"/>
    </w:rPr>
  </w:style>
  <w:style w:type="paragraph" w:customStyle="1" w:styleId="BoxBullet0">
    <w:name w:val="Box Bullet"/>
    <w:basedOn w:val="Normal"/>
    <w:rsid w:val="00306CBD"/>
    <w:pPr>
      <w:tabs>
        <w:tab w:val="num" w:pos="283"/>
      </w:tabs>
      <w:spacing w:before="0"/>
      <w:ind w:left="284" w:hanging="284"/>
    </w:pPr>
    <w:rPr>
      <w:rFonts w:ascii="Calibri" w:hAnsi="Calibri"/>
    </w:rPr>
  </w:style>
  <w:style w:type="paragraph" w:customStyle="1" w:styleId="BoxDash0">
    <w:name w:val="Box Dash"/>
    <w:basedOn w:val="Normal"/>
    <w:rsid w:val="00306CBD"/>
    <w:pPr>
      <w:tabs>
        <w:tab w:val="num" w:pos="567"/>
      </w:tabs>
      <w:spacing w:before="0"/>
      <w:ind w:left="568" w:hanging="284"/>
    </w:pPr>
    <w:rPr>
      <w:rFonts w:ascii="Calibri" w:hAnsi="Calibri"/>
    </w:rPr>
  </w:style>
  <w:style w:type="paragraph" w:customStyle="1" w:styleId="BoxDoubleDot0">
    <w:name w:val="Box Double Dot"/>
    <w:basedOn w:val="Normal"/>
    <w:rsid w:val="00306CBD"/>
    <w:pPr>
      <w:tabs>
        <w:tab w:val="num" w:pos="850"/>
      </w:tabs>
      <w:spacing w:before="0"/>
      <w:ind w:left="851" w:hanging="284"/>
    </w:pPr>
    <w:rPr>
      <w:rFonts w:ascii="Calibri" w:hAnsi="Calibri"/>
    </w:rPr>
  </w:style>
  <w:style w:type="character" w:styleId="CommentReference">
    <w:name w:val="annotation reference"/>
    <w:basedOn w:val="DefaultParagraphFont"/>
    <w:uiPriority w:val="99"/>
    <w:semiHidden/>
    <w:unhideWhenUsed/>
    <w:rsid w:val="004363F3"/>
    <w:rPr>
      <w:sz w:val="16"/>
      <w:szCs w:val="16"/>
    </w:rPr>
  </w:style>
  <w:style w:type="paragraph" w:styleId="CommentText">
    <w:name w:val="annotation text"/>
    <w:basedOn w:val="Normal"/>
    <w:link w:val="CommentTextChar"/>
    <w:uiPriority w:val="99"/>
    <w:unhideWhenUsed/>
    <w:rsid w:val="004363F3"/>
    <w:rPr>
      <w:rFonts w:ascii="Calibri" w:hAnsi="Calibri"/>
      <w:sz w:val="20"/>
    </w:rPr>
  </w:style>
  <w:style w:type="character" w:customStyle="1" w:styleId="CommentTextChar">
    <w:name w:val="Comment Text Char"/>
    <w:basedOn w:val="DefaultParagraphFont"/>
    <w:link w:val="CommentText"/>
    <w:uiPriority w:val="99"/>
    <w:rsid w:val="004363F3"/>
    <w:rPr>
      <w:rFonts w:ascii="Calibri" w:eastAsia="Times New Roman" w:hAnsi="Calibri" w:cs="Times New Roman"/>
      <w:sz w:val="20"/>
      <w:szCs w:val="20"/>
      <w:lang w:eastAsia="en-AU"/>
    </w:rPr>
  </w:style>
  <w:style w:type="paragraph" w:styleId="ListParagraph">
    <w:name w:val="List Paragraph"/>
    <w:basedOn w:val="Normal"/>
    <w:uiPriority w:val="34"/>
    <w:qFormat/>
    <w:rsid w:val="004363F3"/>
    <w:pPr>
      <w:ind w:left="720"/>
      <w:contextualSpacing/>
    </w:pPr>
  </w:style>
  <w:style w:type="paragraph" w:styleId="CommentSubject">
    <w:name w:val="annotation subject"/>
    <w:basedOn w:val="CommentText"/>
    <w:next w:val="CommentText"/>
    <w:link w:val="CommentSubjectChar"/>
    <w:uiPriority w:val="99"/>
    <w:semiHidden/>
    <w:unhideWhenUsed/>
    <w:rsid w:val="00DF020D"/>
    <w:rPr>
      <w:rFonts w:ascii="Calibri Light" w:hAnsi="Calibri Light"/>
      <w:b/>
      <w:bCs/>
    </w:rPr>
  </w:style>
  <w:style w:type="character" w:customStyle="1" w:styleId="CommentSubjectChar">
    <w:name w:val="Comment Subject Char"/>
    <w:basedOn w:val="CommentTextChar"/>
    <w:link w:val="CommentSubject"/>
    <w:uiPriority w:val="99"/>
    <w:semiHidden/>
    <w:rsid w:val="00DF020D"/>
    <w:rPr>
      <w:rFonts w:ascii="Calibri Light" w:eastAsia="Times New Roman" w:hAnsi="Calibri Light" w:cs="Times New Roman"/>
      <w:b/>
      <w:bCs/>
      <w:sz w:val="20"/>
      <w:szCs w:val="20"/>
      <w:lang w:eastAsia="en-AU"/>
    </w:rPr>
  </w:style>
  <w:style w:type="paragraph" w:styleId="Revision">
    <w:name w:val="Revision"/>
    <w:hidden/>
    <w:uiPriority w:val="99"/>
    <w:semiHidden/>
    <w:rsid w:val="00991898"/>
    <w:pPr>
      <w:spacing w:after="0" w:line="240" w:lineRule="auto"/>
    </w:pPr>
    <w:rPr>
      <w:rFonts w:ascii="Calibri Light" w:eastAsia="Times New Roman" w:hAnsi="Calibri Light" w:cs="Times New Roman"/>
      <w:szCs w:val="20"/>
      <w:lang w:eastAsia="en-AU"/>
    </w:rPr>
  </w:style>
  <w:style w:type="character" w:styleId="FollowedHyperlink">
    <w:name w:val="FollowedHyperlink"/>
    <w:basedOn w:val="DefaultParagraphFont"/>
    <w:uiPriority w:val="99"/>
    <w:semiHidden/>
    <w:unhideWhenUsed/>
    <w:rsid w:val="00783EC6"/>
    <w:rPr>
      <w:color w:val="844D9E" w:themeColor="followedHyperlink"/>
      <w:u w:val="single"/>
    </w:rPr>
  </w:style>
  <w:style w:type="paragraph" w:customStyle="1" w:styleId="SecurityClassificationHeader">
    <w:name w:val="Security Classification Header"/>
    <w:link w:val="SecurityClassificationHeaderChar"/>
    <w:rsid w:val="00B64460"/>
    <w:pPr>
      <w:spacing w:before="360" w:after="60"/>
      <w:jc w:val="center"/>
    </w:pPr>
    <w:rPr>
      <w:rFonts w:ascii="Calibri" w:eastAsia="Times New Roman" w:hAnsi="Calibri" w:cs="Calibri"/>
      <w:b/>
      <w:color w:val="FF0000"/>
      <w:sz w:val="24"/>
      <w:szCs w:val="20"/>
      <w:lang w:eastAsia="en-AU"/>
    </w:rPr>
  </w:style>
  <w:style w:type="character" w:customStyle="1" w:styleId="SecurityClassificationHeaderChar">
    <w:name w:val="Security Classification Header Char"/>
    <w:basedOn w:val="HeaderChar"/>
    <w:link w:val="SecurityClassificationHeader"/>
    <w:rsid w:val="00B64460"/>
    <w:rPr>
      <w:rFonts w:ascii="Calibri" w:eastAsia="Times New Roman" w:hAnsi="Calibri" w:cs="Calibri"/>
      <w:b/>
      <w:color w:val="FF0000"/>
      <w:sz w:val="24"/>
      <w:szCs w:val="20"/>
      <w:lang w:eastAsia="en-AU"/>
    </w:rPr>
  </w:style>
  <w:style w:type="paragraph" w:customStyle="1" w:styleId="SecurityClassificationFooter">
    <w:name w:val="Security Classification Footer"/>
    <w:link w:val="SecurityClassificationFooterChar"/>
    <w:rsid w:val="00B64460"/>
    <w:pPr>
      <w:spacing w:before="240" w:after="60"/>
      <w:jc w:val="center"/>
    </w:pPr>
    <w:rPr>
      <w:rFonts w:ascii="Calibri" w:eastAsia="Times New Roman" w:hAnsi="Calibri" w:cs="Calibri"/>
      <w:b/>
      <w:color w:val="FF0000"/>
      <w:sz w:val="24"/>
      <w:szCs w:val="20"/>
      <w:lang w:eastAsia="en-AU"/>
    </w:rPr>
  </w:style>
  <w:style w:type="character" w:customStyle="1" w:styleId="SecurityClassificationFooterChar">
    <w:name w:val="Security Classification Footer Char"/>
    <w:basedOn w:val="HeaderChar"/>
    <w:link w:val="SecurityClassificationFooter"/>
    <w:rsid w:val="00B64460"/>
    <w:rPr>
      <w:rFonts w:ascii="Calibri" w:eastAsia="Times New Roman" w:hAnsi="Calibri" w:cs="Calibri"/>
      <w:b/>
      <w:color w:val="FF0000"/>
      <w:sz w:val="24"/>
      <w:szCs w:val="20"/>
      <w:lang w:eastAsia="en-AU"/>
    </w:rPr>
  </w:style>
  <w:style w:type="paragraph" w:customStyle="1" w:styleId="DLMSecurityHeader">
    <w:name w:val="DLM Security Header"/>
    <w:link w:val="DLMSecurityHeaderChar"/>
    <w:rsid w:val="00B64460"/>
    <w:pPr>
      <w:spacing w:before="360" w:after="60"/>
      <w:jc w:val="center"/>
    </w:pPr>
    <w:rPr>
      <w:rFonts w:ascii="Calibri" w:eastAsia="Times New Roman" w:hAnsi="Calibri" w:cs="Calibri"/>
      <w:b/>
      <w:color w:val="FF0000"/>
      <w:sz w:val="24"/>
      <w:szCs w:val="20"/>
      <w:lang w:eastAsia="en-AU"/>
    </w:rPr>
  </w:style>
  <w:style w:type="character" w:customStyle="1" w:styleId="DLMSecurityHeaderChar">
    <w:name w:val="DLM Security Header Char"/>
    <w:basedOn w:val="HeaderChar"/>
    <w:link w:val="DLMSecurityHeader"/>
    <w:rsid w:val="00B64460"/>
    <w:rPr>
      <w:rFonts w:ascii="Calibri" w:eastAsia="Times New Roman" w:hAnsi="Calibri" w:cs="Calibri"/>
      <w:b/>
      <w:color w:val="FF0000"/>
      <w:sz w:val="24"/>
      <w:szCs w:val="20"/>
      <w:lang w:eastAsia="en-AU"/>
    </w:rPr>
  </w:style>
  <w:style w:type="paragraph" w:customStyle="1" w:styleId="DLMSecurityFooter">
    <w:name w:val="DLM Security Footer"/>
    <w:link w:val="DLMSecurityFooterChar"/>
    <w:rsid w:val="00B64460"/>
    <w:pPr>
      <w:spacing w:before="360" w:after="60"/>
      <w:jc w:val="center"/>
    </w:pPr>
    <w:rPr>
      <w:rFonts w:ascii="Calibri" w:eastAsia="Times New Roman" w:hAnsi="Calibri" w:cs="Calibri"/>
      <w:b/>
      <w:color w:val="FF0000"/>
      <w:sz w:val="24"/>
      <w:szCs w:val="20"/>
      <w:lang w:eastAsia="en-AU"/>
    </w:rPr>
  </w:style>
  <w:style w:type="character" w:customStyle="1" w:styleId="DLMSecurityFooterChar">
    <w:name w:val="DLM Security Footer Char"/>
    <w:basedOn w:val="HeaderChar"/>
    <w:link w:val="DLMSecurityFooter"/>
    <w:rsid w:val="00B64460"/>
    <w:rPr>
      <w:rFonts w:ascii="Calibri" w:eastAsia="Times New Roman" w:hAnsi="Calibri" w:cs="Calibri"/>
      <w:b/>
      <w:color w:val="FF0000"/>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69096">
      <w:bodyDiv w:val="1"/>
      <w:marLeft w:val="0"/>
      <w:marRight w:val="0"/>
      <w:marTop w:val="0"/>
      <w:marBottom w:val="0"/>
      <w:divBdr>
        <w:top w:val="none" w:sz="0" w:space="0" w:color="auto"/>
        <w:left w:val="none" w:sz="0" w:space="0" w:color="auto"/>
        <w:bottom w:val="none" w:sz="0" w:space="0" w:color="auto"/>
        <w:right w:val="none" w:sz="0" w:space="0" w:color="auto"/>
      </w:divBdr>
      <w:divsChild>
        <w:div w:id="207182100">
          <w:marLeft w:val="547"/>
          <w:marRight w:val="0"/>
          <w:marTop w:val="0"/>
          <w:marBottom w:val="0"/>
          <w:divBdr>
            <w:top w:val="none" w:sz="0" w:space="0" w:color="auto"/>
            <w:left w:val="none" w:sz="0" w:space="0" w:color="auto"/>
            <w:bottom w:val="none" w:sz="0" w:space="0" w:color="auto"/>
            <w:right w:val="none" w:sz="0" w:space="0" w:color="auto"/>
          </w:divBdr>
        </w:div>
      </w:divsChild>
    </w:div>
    <w:div w:id="977299482">
      <w:bodyDiv w:val="1"/>
      <w:marLeft w:val="0"/>
      <w:marRight w:val="0"/>
      <w:marTop w:val="0"/>
      <w:marBottom w:val="0"/>
      <w:divBdr>
        <w:top w:val="none" w:sz="0" w:space="0" w:color="auto"/>
        <w:left w:val="none" w:sz="0" w:space="0" w:color="auto"/>
        <w:bottom w:val="none" w:sz="0" w:space="0" w:color="auto"/>
        <w:right w:val="none" w:sz="0" w:space="0" w:color="auto"/>
      </w:divBdr>
      <w:divsChild>
        <w:div w:id="991715378">
          <w:marLeft w:val="547"/>
          <w:marRight w:val="0"/>
          <w:marTop w:val="0"/>
          <w:marBottom w:val="0"/>
          <w:divBdr>
            <w:top w:val="none" w:sz="0" w:space="0" w:color="auto"/>
            <w:left w:val="none" w:sz="0" w:space="0" w:color="auto"/>
            <w:bottom w:val="none" w:sz="0" w:space="0" w:color="auto"/>
            <w:right w:val="none" w:sz="0" w:space="0" w:color="auto"/>
          </w:divBdr>
        </w:div>
        <w:div w:id="1962950682">
          <w:marLeft w:val="547"/>
          <w:marRight w:val="0"/>
          <w:marTop w:val="0"/>
          <w:marBottom w:val="0"/>
          <w:divBdr>
            <w:top w:val="none" w:sz="0" w:space="0" w:color="auto"/>
            <w:left w:val="none" w:sz="0" w:space="0" w:color="auto"/>
            <w:bottom w:val="none" w:sz="0" w:space="0" w:color="auto"/>
            <w:right w:val="none" w:sz="0" w:space="0" w:color="auto"/>
          </w:divBdr>
        </w:div>
      </w:divsChild>
    </w:div>
    <w:div w:id="1492331801">
      <w:bodyDiv w:val="1"/>
      <w:marLeft w:val="0"/>
      <w:marRight w:val="0"/>
      <w:marTop w:val="0"/>
      <w:marBottom w:val="0"/>
      <w:divBdr>
        <w:top w:val="none" w:sz="0" w:space="0" w:color="auto"/>
        <w:left w:val="none" w:sz="0" w:space="0" w:color="auto"/>
        <w:bottom w:val="none" w:sz="0" w:space="0" w:color="auto"/>
        <w:right w:val="none" w:sz="0" w:space="0" w:color="auto"/>
      </w:divBdr>
    </w:div>
    <w:div w:id="1627350706">
      <w:bodyDiv w:val="1"/>
      <w:marLeft w:val="0"/>
      <w:marRight w:val="0"/>
      <w:marTop w:val="0"/>
      <w:marBottom w:val="0"/>
      <w:divBdr>
        <w:top w:val="none" w:sz="0" w:space="0" w:color="auto"/>
        <w:left w:val="none" w:sz="0" w:space="0" w:color="auto"/>
        <w:bottom w:val="none" w:sz="0" w:space="0" w:color="auto"/>
        <w:right w:val="none" w:sz="0" w:space="0" w:color="auto"/>
      </w:divBdr>
      <w:divsChild>
        <w:div w:id="306670255">
          <w:marLeft w:val="547"/>
          <w:marRight w:val="0"/>
          <w:marTop w:val="0"/>
          <w:marBottom w:val="0"/>
          <w:divBdr>
            <w:top w:val="none" w:sz="0" w:space="0" w:color="auto"/>
            <w:left w:val="none" w:sz="0" w:space="0" w:color="auto"/>
            <w:bottom w:val="none" w:sz="0" w:space="0" w:color="auto"/>
            <w:right w:val="none" w:sz="0" w:space="0" w:color="auto"/>
          </w:divBdr>
        </w:div>
        <w:div w:id="670454572">
          <w:marLeft w:val="547"/>
          <w:marRight w:val="0"/>
          <w:marTop w:val="0"/>
          <w:marBottom w:val="0"/>
          <w:divBdr>
            <w:top w:val="none" w:sz="0" w:space="0" w:color="auto"/>
            <w:left w:val="none" w:sz="0" w:space="0" w:color="auto"/>
            <w:bottom w:val="none" w:sz="0" w:space="0" w:color="auto"/>
            <w:right w:val="none" w:sz="0" w:space="0" w:color="auto"/>
          </w:divBdr>
        </w:div>
      </w:divsChild>
    </w:div>
    <w:div w:id="178076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mc.gov.au/government/commonwealth-coat-arm" TargetMode="External"/><Relationship Id="rId18" Type="http://schemas.openxmlformats.org/officeDocument/2006/relationships/footer" Target="footer2.xm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creativecommons.org/licenses/by/3.0/au/deed.en"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creativecommons.org/licenses/by/3.0/au/legalcode"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creativecommons.org/licenses/by/3.0/au/deed.en" TargetMode="External"/><Relationship Id="rId14" Type="http://schemas.openxmlformats.org/officeDocument/2006/relationships/hyperlink" Target="mailto:media@treasury.gov.au" TargetMode="External"/><Relationship Id="rId22" Type="http://schemas.openxmlformats.org/officeDocument/2006/relationships/footer" Target="footer4.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header4.xml.rels><?xml version="1.0" encoding="UTF-8" standalone="yes"?>
<Relationships xmlns="http://schemas.openxmlformats.org/package/2006/relationships"><Relationship Id="rId1"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1C9FF2ABC0495EA713A7F3317FDE6C"/>
        <w:category>
          <w:name w:val="General"/>
          <w:gallery w:val="placeholder"/>
        </w:category>
        <w:types>
          <w:type w:val="bbPlcHdr"/>
        </w:types>
        <w:behaviors>
          <w:behavior w:val="content"/>
        </w:behaviors>
        <w:guid w:val="{B158B5F7-59B1-4DE5-AD30-067340B4E3CA}"/>
      </w:docPartPr>
      <w:docPartBody>
        <w:p w:rsidR="00A50A06" w:rsidRDefault="00D351D7">
          <w:pPr>
            <w:pStyle w:val="EA1C9FF2ABC0495EA713A7F3317FDE6C"/>
          </w:pPr>
          <w:r w:rsidRPr="00225CD2">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1D7"/>
    <w:rsid w:val="0002404F"/>
    <w:rsid w:val="00030B5A"/>
    <w:rsid w:val="000B3988"/>
    <w:rsid w:val="00110F7C"/>
    <w:rsid w:val="00154240"/>
    <w:rsid w:val="00191C18"/>
    <w:rsid w:val="001E0A12"/>
    <w:rsid w:val="001F3901"/>
    <w:rsid w:val="002731A6"/>
    <w:rsid w:val="00281AC7"/>
    <w:rsid w:val="002C4788"/>
    <w:rsid w:val="00333B73"/>
    <w:rsid w:val="00370787"/>
    <w:rsid w:val="00483020"/>
    <w:rsid w:val="004F200C"/>
    <w:rsid w:val="00592101"/>
    <w:rsid w:val="005C09C0"/>
    <w:rsid w:val="00674700"/>
    <w:rsid w:val="007200CB"/>
    <w:rsid w:val="007A32C9"/>
    <w:rsid w:val="007D0B74"/>
    <w:rsid w:val="007D6486"/>
    <w:rsid w:val="00804DC0"/>
    <w:rsid w:val="00824BE3"/>
    <w:rsid w:val="00836FE6"/>
    <w:rsid w:val="00937D36"/>
    <w:rsid w:val="009E4E9A"/>
    <w:rsid w:val="00A16636"/>
    <w:rsid w:val="00A50A06"/>
    <w:rsid w:val="00AD7D70"/>
    <w:rsid w:val="00B232B2"/>
    <w:rsid w:val="00B41712"/>
    <w:rsid w:val="00B51A34"/>
    <w:rsid w:val="00BE1529"/>
    <w:rsid w:val="00D351D7"/>
    <w:rsid w:val="00DB5013"/>
    <w:rsid w:val="00DD0363"/>
    <w:rsid w:val="00F17D75"/>
    <w:rsid w:val="00F22E0A"/>
    <w:rsid w:val="00F22F26"/>
    <w:rsid w:val="00F27473"/>
    <w:rsid w:val="00F90CB0"/>
    <w:rsid w:val="00FD0FA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A1C9FF2ABC0495EA713A7F3317FDE6C">
    <w:name w:val="EA1C9FF2ABC0495EA713A7F3317FDE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SY Corporat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BC14A-321F-4C8A-82B8-B4D997F73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5344</Words>
  <Characters>30463</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adviser education standards</dc:title>
  <dc:subject/>
  <dc:creator/>
  <cp:keywords/>
  <dc:description/>
  <cp:lastModifiedBy/>
  <cp:revision>1</cp:revision>
  <dcterms:created xsi:type="dcterms:W3CDTF">2022-08-23T03:35:00Z</dcterms:created>
  <dcterms:modified xsi:type="dcterms:W3CDTF">2022-08-23T03:36:00Z</dcterms:modified>
  <cp:category/>
</cp:coreProperties>
</file>