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9F14E8" w14:paraId="579D37C9" w14:textId="77777777" w:rsidTr="009F14E8">
        <w:tc>
          <w:tcPr>
            <w:tcW w:w="5000" w:type="pct"/>
            <w:shd w:val="clear" w:color="auto" w:fill="auto"/>
          </w:tcPr>
          <w:p w14:paraId="53E57A35" w14:textId="77777777" w:rsidR="009F14E8" w:rsidRDefault="009F14E8" w:rsidP="009F14E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58E1A8C" w14:textId="77777777" w:rsidR="009F14E8" w:rsidRPr="009F14E8" w:rsidRDefault="009F14E8" w:rsidP="009F14E8">
            <w:pPr>
              <w:rPr>
                <w:b/>
                <w:sz w:val="20"/>
              </w:rPr>
            </w:pPr>
          </w:p>
        </w:tc>
      </w:tr>
    </w:tbl>
    <w:p w14:paraId="45720C6F" w14:textId="77777777" w:rsidR="009F14E8" w:rsidRDefault="009F14E8" w:rsidP="007C2CC5">
      <w:pPr>
        <w:rPr>
          <w:sz w:val="32"/>
          <w:szCs w:val="32"/>
        </w:rPr>
      </w:pPr>
    </w:p>
    <w:p w14:paraId="4353E62D" w14:textId="77777777" w:rsidR="00664C63" w:rsidRPr="007C2CC5" w:rsidRDefault="00664C63" w:rsidP="007C2CC5">
      <w:pPr>
        <w:rPr>
          <w:sz w:val="32"/>
          <w:szCs w:val="32"/>
        </w:rPr>
      </w:pPr>
      <w:r w:rsidRPr="007C2CC5">
        <w:rPr>
          <w:sz w:val="32"/>
          <w:szCs w:val="32"/>
        </w:rPr>
        <w:t>Inserts for</w:t>
      </w:r>
    </w:p>
    <w:p w14:paraId="04B21CC0" w14:textId="77777777" w:rsidR="00664C63" w:rsidRPr="007C2CC5" w:rsidRDefault="00BC4F9B" w:rsidP="007C2CC5">
      <w:pPr>
        <w:pStyle w:val="ShortT"/>
      </w:pPr>
      <w:bookmarkStart w:id="0" w:name="_Hlk105670816"/>
      <w:r w:rsidRPr="007C2CC5">
        <w:t>Treasury Laws Amendment (Measures for consultation) Bill 2022</w:t>
      </w:r>
      <w:bookmarkEnd w:id="0"/>
      <w:r w:rsidR="00664C63" w:rsidRPr="007C2CC5">
        <w:t xml:space="preserve">: </w:t>
      </w:r>
      <w:r w:rsidRPr="007C2CC5">
        <w:t>Technology investment boost</w:t>
      </w:r>
    </w:p>
    <w:p w14:paraId="4005A168" w14:textId="77777777" w:rsidR="00664C63" w:rsidRPr="007C2CC5" w:rsidRDefault="00664C63" w:rsidP="007C2CC5">
      <w:pPr>
        <w:jc w:val="center"/>
      </w:pPr>
    </w:p>
    <w:p w14:paraId="330DDA57" w14:textId="77777777" w:rsidR="00664C63" w:rsidRPr="007C2CC5" w:rsidRDefault="00664C63" w:rsidP="007C2CC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7C2CC5" w14:paraId="3DF8CB64" w14:textId="77777777" w:rsidTr="0070316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57E00FD" w14:textId="77777777" w:rsidR="00664C63" w:rsidRPr="007C2CC5" w:rsidRDefault="00664C63" w:rsidP="007C2CC5">
            <w:pPr>
              <w:pStyle w:val="TableHeading"/>
            </w:pPr>
            <w:r w:rsidRPr="007C2CC5">
              <w:t>Commencement information</w:t>
            </w:r>
          </w:p>
        </w:tc>
      </w:tr>
      <w:tr w:rsidR="00664C63" w:rsidRPr="007C2CC5" w14:paraId="4B442E16" w14:textId="77777777" w:rsidTr="0070316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FA13C" w14:textId="77777777" w:rsidR="00664C63" w:rsidRPr="007C2CC5" w:rsidRDefault="00664C63" w:rsidP="007C2CC5">
            <w:pPr>
              <w:pStyle w:val="TableHeading"/>
            </w:pPr>
            <w:r w:rsidRPr="007C2CC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92F78" w14:textId="77777777" w:rsidR="00664C63" w:rsidRPr="007C2CC5" w:rsidRDefault="00664C63" w:rsidP="007C2CC5">
            <w:pPr>
              <w:pStyle w:val="TableHeading"/>
            </w:pPr>
            <w:r w:rsidRPr="007C2CC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F0309" w14:textId="77777777" w:rsidR="00664C63" w:rsidRPr="007C2CC5" w:rsidRDefault="00664C63" w:rsidP="007C2CC5">
            <w:pPr>
              <w:pStyle w:val="TableHeading"/>
            </w:pPr>
            <w:r w:rsidRPr="007C2CC5">
              <w:t>Column 3</w:t>
            </w:r>
          </w:p>
        </w:tc>
      </w:tr>
      <w:tr w:rsidR="00664C63" w:rsidRPr="007C2CC5" w14:paraId="4F6B6F8D" w14:textId="77777777" w:rsidTr="0070316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A8D637" w14:textId="77777777" w:rsidR="00664C63" w:rsidRPr="007C2CC5" w:rsidRDefault="00664C63" w:rsidP="007C2CC5">
            <w:pPr>
              <w:pStyle w:val="TableHeading"/>
            </w:pPr>
            <w:r w:rsidRPr="007C2CC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2EB5C1" w14:textId="77777777" w:rsidR="00664C63" w:rsidRPr="007C2CC5" w:rsidRDefault="00664C63" w:rsidP="007C2CC5">
            <w:pPr>
              <w:pStyle w:val="TableHeading"/>
            </w:pPr>
            <w:r w:rsidRPr="007C2CC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FF6250" w14:textId="77777777" w:rsidR="00664C63" w:rsidRPr="007C2CC5" w:rsidRDefault="00664C63" w:rsidP="007C2CC5">
            <w:pPr>
              <w:pStyle w:val="TableHeading"/>
            </w:pPr>
            <w:r w:rsidRPr="007C2CC5">
              <w:t>Date/Details</w:t>
            </w:r>
          </w:p>
        </w:tc>
      </w:tr>
      <w:tr w:rsidR="00664C63" w:rsidRPr="007C2CC5" w14:paraId="728947A5" w14:textId="77777777" w:rsidTr="00703169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A361EA" w14:textId="77777777" w:rsidR="00664C63" w:rsidRPr="007C2CC5" w:rsidRDefault="00664C63" w:rsidP="007C2CC5">
            <w:pPr>
              <w:pStyle w:val="Tabletext"/>
            </w:pPr>
            <w:r w:rsidRPr="007C2CC5">
              <w:t xml:space="preserve">1.  </w:t>
            </w:r>
            <w:r w:rsidR="00185466" w:rsidRPr="007C2CC5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F04B38" w14:textId="77777777" w:rsidR="00664C63" w:rsidRPr="007C2CC5" w:rsidRDefault="00703169" w:rsidP="007C2CC5">
            <w:pPr>
              <w:pStyle w:val="Tabletext"/>
            </w:pPr>
            <w:r w:rsidRPr="007C2CC5">
              <w:rPr>
                <w:lang w:eastAsia="en-US"/>
              </w:rPr>
              <w:t xml:space="preserve">The first 1 January, 1 April, </w:t>
            </w:r>
            <w:r w:rsidR="003939D9" w:rsidRPr="007C2CC5">
              <w:rPr>
                <w:lang w:eastAsia="en-US"/>
              </w:rPr>
              <w:t>1 </w:t>
            </w:r>
            <w:proofErr w:type="gramStart"/>
            <w:r w:rsidR="003939D9" w:rsidRPr="007C2CC5">
              <w:rPr>
                <w:lang w:eastAsia="en-US"/>
              </w:rPr>
              <w:t>July</w:t>
            </w:r>
            <w:proofErr w:type="gramEnd"/>
            <w:r w:rsidRPr="007C2CC5">
              <w:rPr>
                <w:lang w:eastAsia="en-US"/>
              </w:rPr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824475" w14:textId="77777777" w:rsidR="00664C63" w:rsidRPr="007C2CC5" w:rsidRDefault="00664C63" w:rsidP="007C2CC5">
            <w:pPr>
              <w:pStyle w:val="Tabletext"/>
            </w:pPr>
          </w:p>
        </w:tc>
      </w:tr>
    </w:tbl>
    <w:p w14:paraId="178E818D" w14:textId="77777777" w:rsidR="00F23E07" w:rsidRPr="007C2CC5" w:rsidRDefault="00185466" w:rsidP="007C2CC5">
      <w:pPr>
        <w:pStyle w:val="ActHead6"/>
        <w:pageBreakBefore/>
      </w:pPr>
      <w:r w:rsidRPr="009F14E8">
        <w:rPr>
          <w:rStyle w:val="CharAmSchNo"/>
        </w:rPr>
        <w:lastRenderedPageBreak/>
        <w:t>Schedule 1</w:t>
      </w:r>
      <w:r w:rsidR="00F23E07" w:rsidRPr="007C2CC5">
        <w:t>—</w:t>
      </w:r>
      <w:r w:rsidR="00F23E07" w:rsidRPr="009F14E8">
        <w:rPr>
          <w:rStyle w:val="CharAmSchText"/>
        </w:rPr>
        <w:t>Technology investment boost</w:t>
      </w:r>
    </w:p>
    <w:p w14:paraId="510CB465" w14:textId="77777777" w:rsidR="00F23E07" w:rsidRPr="009F14E8" w:rsidRDefault="00F23E07" w:rsidP="007C2CC5">
      <w:pPr>
        <w:pStyle w:val="Header"/>
      </w:pPr>
      <w:r w:rsidRPr="009F14E8">
        <w:rPr>
          <w:rStyle w:val="CharAmPartNo"/>
        </w:rPr>
        <w:t xml:space="preserve"> </w:t>
      </w:r>
      <w:r w:rsidRPr="009F14E8">
        <w:rPr>
          <w:rStyle w:val="CharAmPartText"/>
        </w:rPr>
        <w:t xml:space="preserve"> </w:t>
      </w:r>
    </w:p>
    <w:p w14:paraId="6F716D0A" w14:textId="77777777" w:rsidR="00F23E07" w:rsidRPr="007C2CC5" w:rsidRDefault="00F23E07" w:rsidP="007C2CC5">
      <w:pPr>
        <w:pStyle w:val="ActHead9"/>
      </w:pPr>
      <w:r w:rsidRPr="007C2CC5">
        <w:t>Income Tax (Transitional Provisions) Act 1997</w:t>
      </w:r>
    </w:p>
    <w:p w14:paraId="6D711D7A" w14:textId="77777777" w:rsidR="005D4B58" w:rsidRPr="007C2CC5" w:rsidRDefault="00F23E07" w:rsidP="007C2CC5">
      <w:pPr>
        <w:pStyle w:val="ItemHead"/>
      </w:pPr>
      <w:proofErr w:type="gramStart"/>
      <w:r w:rsidRPr="007C2CC5">
        <w:t xml:space="preserve">1  </w:t>
      </w:r>
      <w:r w:rsidR="000C437D" w:rsidRPr="007C2CC5">
        <w:t>At</w:t>
      </w:r>
      <w:proofErr w:type="gramEnd"/>
      <w:r w:rsidR="000C437D" w:rsidRPr="007C2CC5">
        <w:t xml:space="preserve"> the end of Division 328</w:t>
      </w:r>
    </w:p>
    <w:p w14:paraId="2784D379" w14:textId="77777777" w:rsidR="00F23E07" w:rsidRPr="007C2CC5" w:rsidRDefault="000C437D" w:rsidP="007C2CC5">
      <w:pPr>
        <w:pStyle w:val="Item"/>
      </w:pPr>
      <w:r w:rsidRPr="007C2CC5">
        <w:t>Add</w:t>
      </w:r>
      <w:r w:rsidR="00F23E07" w:rsidRPr="007C2CC5">
        <w:t>:</w:t>
      </w:r>
    </w:p>
    <w:p w14:paraId="2DB19011" w14:textId="77777777" w:rsidR="00AC715D" w:rsidRPr="007C2CC5" w:rsidRDefault="00DE67AF" w:rsidP="007C2CC5">
      <w:pPr>
        <w:pStyle w:val="ActHead5"/>
      </w:pPr>
      <w:bookmarkStart w:id="1" w:name="_Hlk107474966"/>
      <w:r w:rsidRPr="009F14E8">
        <w:rPr>
          <w:rStyle w:val="CharSectno"/>
        </w:rPr>
        <w:t>328</w:t>
      </w:r>
      <w:r w:rsidR="007C2CC5" w:rsidRPr="009F14E8">
        <w:rPr>
          <w:rStyle w:val="CharSectno"/>
        </w:rPr>
        <w:noBreakHyphen/>
      </w:r>
      <w:proofErr w:type="gramStart"/>
      <w:r w:rsidRPr="009F14E8">
        <w:rPr>
          <w:rStyle w:val="CharSectno"/>
        </w:rPr>
        <w:t>4</w:t>
      </w:r>
      <w:r w:rsidR="009808B0" w:rsidRPr="009F14E8">
        <w:rPr>
          <w:rStyle w:val="CharSectno"/>
        </w:rPr>
        <w:t>5</w:t>
      </w:r>
      <w:r w:rsidRPr="009F14E8">
        <w:rPr>
          <w:rStyle w:val="CharSectno"/>
        </w:rPr>
        <w:t>5</w:t>
      </w:r>
      <w:r w:rsidR="00D030CF" w:rsidRPr="007C2CC5">
        <w:t xml:space="preserve">  </w:t>
      </w:r>
      <w:r w:rsidR="00AC715D" w:rsidRPr="007C2CC5">
        <w:t>Technology</w:t>
      </w:r>
      <w:proofErr w:type="gramEnd"/>
      <w:r w:rsidR="00AC715D" w:rsidRPr="007C2CC5">
        <w:t xml:space="preserve"> investment boost deduction</w:t>
      </w:r>
    </w:p>
    <w:p w14:paraId="0FF09E1E" w14:textId="77777777" w:rsidR="00F40461" w:rsidRPr="007C2CC5" w:rsidRDefault="00F40461" w:rsidP="007C2CC5">
      <w:pPr>
        <w:pStyle w:val="SubsectionHead"/>
      </w:pPr>
      <w:r w:rsidRPr="007C2CC5">
        <w:t>Normal or late balancers—deduction for 2022</w:t>
      </w:r>
      <w:r w:rsidR="007C2CC5">
        <w:noBreakHyphen/>
      </w:r>
      <w:r w:rsidRPr="007C2CC5">
        <w:t>23 income year</w:t>
      </w:r>
    </w:p>
    <w:bookmarkEnd w:id="1"/>
    <w:p w14:paraId="1CEE9262" w14:textId="77777777" w:rsidR="00AC715D" w:rsidRPr="007C2CC5" w:rsidRDefault="00B84D9D" w:rsidP="007C2CC5">
      <w:pPr>
        <w:pStyle w:val="subsection"/>
      </w:pPr>
      <w:r w:rsidRPr="007C2CC5">
        <w:tab/>
      </w:r>
      <w:r w:rsidR="00C470A9" w:rsidRPr="007C2CC5">
        <w:t>(1)</w:t>
      </w:r>
      <w:r w:rsidRPr="007C2CC5">
        <w:tab/>
      </w:r>
      <w:r w:rsidR="00AC715D" w:rsidRPr="007C2CC5">
        <w:t>You can deduct</w:t>
      </w:r>
      <w:r w:rsidR="00CC6DBF" w:rsidRPr="007C2CC5">
        <w:t xml:space="preserve"> </w:t>
      </w:r>
      <w:r w:rsidR="00AC715D" w:rsidRPr="007C2CC5">
        <w:t>for the 2022</w:t>
      </w:r>
      <w:r w:rsidR="007C2CC5">
        <w:noBreakHyphen/>
      </w:r>
      <w:r w:rsidR="00AC715D" w:rsidRPr="007C2CC5">
        <w:t>23 income year</w:t>
      </w:r>
      <w:r w:rsidR="005E549B" w:rsidRPr="007C2CC5">
        <w:t xml:space="preserve"> an amount </w:t>
      </w:r>
      <w:r w:rsidR="00AC715D" w:rsidRPr="007C2CC5">
        <w:t>that is equal to the sum of:</w:t>
      </w:r>
    </w:p>
    <w:p w14:paraId="077276E6" w14:textId="77777777" w:rsidR="00AC715D" w:rsidRPr="007C2CC5" w:rsidRDefault="00AC715D" w:rsidP="007C2CC5">
      <w:pPr>
        <w:pStyle w:val="paragraph"/>
      </w:pPr>
      <w:r w:rsidRPr="007C2CC5">
        <w:tab/>
        <w:t>(a)</w:t>
      </w:r>
      <w:r w:rsidRPr="007C2CC5">
        <w:tab/>
        <w:t>the lower of $20,000 and 20</w:t>
      </w:r>
      <w:r w:rsidR="00FA2720" w:rsidRPr="007C2CC5">
        <w:t>%</w:t>
      </w:r>
      <w:r w:rsidRPr="007C2CC5">
        <w:t xml:space="preserve"> of the </w:t>
      </w:r>
      <w:r w:rsidR="00B84D9D" w:rsidRPr="007C2CC5">
        <w:t xml:space="preserve">total </w:t>
      </w:r>
      <w:r w:rsidRPr="007C2CC5">
        <w:t xml:space="preserve">amount </w:t>
      </w:r>
      <w:r w:rsidR="00747F6E" w:rsidRPr="007C2CC5">
        <w:t xml:space="preserve">(which may be nil) </w:t>
      </w:r>
      <w:r w:rsidR="00B84D9D" w:rsidRPr="007C2CC5">
        <w:t xml:space="preserve">of </w:t>
      </w:r>
      <w:r w:rsidR="002D3DDA" w:rsidRPr="007C2CC5">
        <w:t>your expenditure to which</w:t>
      </w:r>
      <w:r w:rsidRPr="007C2CC5">
        <w:t xml:space="preserve"> </w:t>
      </w:r>
      <w:r w:rsidR="00185466" w:rsidRPr="007C2CC5">
        <w:t>sub</w:t>
      </w:r>
      <w:r w:rsidR="003939D9" w:rsidRPr="007C2CC5">
        <w:t>section 3</w:t>
      </w:r>
      <w:r w:rsidR="000C437D" w:rsidRPr="007C2CC5">
        <w:t>28</w:t>
      </w:r>
      <w:r w:rsidR="007C2CC5">
        <w:noBreakHyphen/>
      </w:r>
      <w:r w:rsidR="000C437D" w:rsidRPr="007C2CC5">
        <w:t>4</w:t>
      </w:r>
      <w:r w:rsidR="009808B0" w:rsidRPr="007C2CC5">
        <w:t>6</w:t>
      </w:r>
      <w:r w:rsidR="000C437D" w:rsidRPr="007C2CC5">
        <w:t>0</w:t>
      </w:r>
      <w:r w:rsidR="002D3DDA" w:rsidRPr="007C2CC5">
        <w:t>(1)</w:t>
      </w:r>
      <w:r w:rsidRPr="007C2CC5">
        <w:t xml:space="preserve"> </w:t>
      </w:r>
      <w:r w:rsidR="002D3DDA" w:rsidRPr="007C2CC5">
        <w:t>applies</w:t>
      </w:r>
      <w:r w:rsidRPr="007C2CC5">
        <w:t>; and</w:t>
      </w:r>
    </w:p>
    <w:p w14:paraId="4D47F8FF" w14:textId="77777777" w:rsidR="00AC715D" w:rsidRPr="007C2CC5" w:rsidRDefault="00AC715D" w:rsidP="007C2CC5">
      <w:pPr>
        <w:pStyle w:val="paragraph"/>
      </w:pPr>
      <w:r w:rsidRPr="007C2CC5">
        <w:tab/>
        <w:t>(b)</w:t>
      </w:r>
      <w:r w:rsidRPr="007C2CC5">
        <w:tab/>
        <w:t xml:space="preserve">the lower of $20,000 and </w:t>
      </w:r>
      <w:r w:rsidR="002D3DDA" w:rsidRPr="007C2CC5">
        <w:t>2</w:t>
      </w:r>
      <w:r w:rsidR="00FA2720" w:rsidRPr="007C2CC5">
        <w:t xml:space="preserve">0% </w:t>
      </w:r>
      <w:r w:rsidR="002D3DDA" w:rsidRPr="007C2CC5">
        <w:t xml:space="preserve">of the total amount </w:t>
      </w:r>
      <w:r w:rsidR="00747F6E" w:rsidRPr="007C2CC5">
        <w:t xml:space="preserve">(which may be nil) </w:t>
      </w:r>
      <w:r w:rsidR="002D3DDA" w:rsidRPr="007C2CC5">
        <w:t xml:space="preserve">of your expenditure to which </w:t>
      </w:r>
      <w:r w:rsidR="00185466" w:rsidRPr="007C2CC5">
        <w:t>sub</w:t>
      </w:r>
      <w:r w:rsidR="003939D9" w:rsidRPr="007C2CC5">
        <w:t>section 3</w:t>
      </w:r>
      <w:r w:rsidR="000C437D" w:rsidRPr="007C2CC5">
        <w:t>28</w:t>
      </w:r>
      <w:r w:rsidR="007C2CC5">
        <w:noBreakHyphen/>
      </w:r>
      <w:r w:rsidR="000C437D" w:rsidRPr="007C2CC5">
        <w:t>4</w:t>
      </w:r>
      <w:r w:rsidR="009808B0" w:rsidRPr="007C2CC5">
        <w:t>6</w:t>
      </w:r>
      <w:r w:rsidR="000C437D" w:rsidRPr="007C2CC5">
        <w:t>0</w:t>
      </w:r>
      <w:r w:rsidR="002D3DDA" w:rsidRPr="007C2CC5">
        <w:t>(2) applies</w:t>
      </w:r>
      <w:r w:rsidR="00747F6E" w:rsidRPr="007C2CC5">
        <w:t>.</w:t>
      </w:r>
    </w:p>
    <w:p w14:paraId="5D282541" w14:textId="77777777" w:rsidR="00F40461" w:rsidRPr="007C2CC5" w:rsidRDefault="00F40461" w:rsidP="007C2CC5">
      <w:pPr>
        <w:pStyle w:val="SubsectionHead"/>
      </w:pPr>
      <w:r w:rsidRPr="007C2CC5">
        <w:t>Early balancers—deduction for 2023</w:t>
      </w:r>
      <w:r w:rsidR="007C2CC5">
        <w:noBreakHyphen/>
      </w:r>
      <w:r w:rsidRPr="007C2CC5">
        <w:t>24 income year</w:t>
      </w:r>
    </w:p>
    <w:p w14:paraId="682A078D" w14:textId="77777777" w:rsidR="00C470A9" w:rsidRPr="007C2CC5" w:rsidRDefault="00C470A9" w:rsidP="007C2CC5">
      <w:pPr>
        <w:pStyle w:val="subsection"/>
      </w:pPr>
      <w:r w:rsidRPr="007C2CC5">
        <w:tab/>
        <w:t>(2)</w:t>
      </w:r>
      <w:r w:rsidRPr="007C2CC5">
        <w:tab/>
      </w:r>
      <w:r w:rsidR="00185466" w:rsidRPr="007C2CC5">
        <w:t>Subsection (</w:t>
      </w:r>
      <w:r w:rsidR="00843142" w:rsidRPr="007C2CC5">
        <w:t>1) does not apply if your 2022</w:t>
      </w:r>
      <w:r w:rsidR="007C2CC5">
        <w:noBreakHyphen/>
      </w:r>
      <w:r w:rsidR="00843142" w:rsidRPr="007C2CC5">
        <w:t xml:space="preserve">23 income year starts </w:t>
      </w:r>
      <w:r w:rsidR="00747F6E" w:rsidRPr="007C2CC5">
        <w:t xml:space="preserve">before </w:t>
      </w:r>
      <w:r w:rsidR="003939D9" w:rsidRPr="007C2CC5">
        <w:t>1 July</w:t>
      </w:r>
      <w:r w:rsidR="00747F6E" w:rsidRPr="007C2CC5">
        <w:t xml:space="preserve"> 2022</w:t>
      </w:r>
      <w:r w:rsidR="00843142" w:rsidRPr="007C2CC5">
        <w:t>. Instead, y</w:t>
      </w:r>
      <w:r w:rsidRPr="007C2CC5">
        <w:t xml:space="preserve">ou can deduct for </w:t>
      </w:r>
      <w:r w:rsidR="00F40461" w:rsidRPr="007C2CC5">
        <w:t xml:space="preserve">your </w:t>
      </w:r>
      <w:r w:rsidRPr="007C2CC5">
        <w:t>2023</w:t>
      </w:r>
      <w:r w:rsidR="007C2CC5">
        <w:noBreakHyphen/>
      </w:r>
      <w:r w:rsidRPr="007C2CC5">
        <w:t>24 income year an amount that is equal to the sum of:</w:t>
      </w:r>
    </w:p>
    <w:p w14:paraId="2F709D5E" w14:textId="77777777" w:rsidR="00C470A9" w:rsidRPr="007C2CC5" w:rsidRDefault="00C470A9" w:rsidP="007C2CC5">
      <w:pPr>
        <w:pStyle w:val="paragraph"/>
      </w:pPr>
      <w:r w:rsidRPr="007C2CC5">
        <w:tab/>
        <w:t>(a)</w:t>
      </w:r>
      <w:r w:rsidRPr="007C2CC5">
        <w:tab/>
        <w:t xml:space="preserve">the lower of $20,000 and 20% of the total amount </w:t>
      </w:r>
      <w:r w:rsidR="00747F6E" w:rsidRPr="007C2CC5">
        <w:t xml:space="preserve">(which may be nil) </w:t>
      </w:r>
      <w:r w:rsidRPr="007C2CC5">
        <w:t xml:space="preserve">of your expenditure to which </w:t>
      </w:r>
      <w:r w:rsidR="00185466" w:rsidRPr="007C2CC5">
        <w:t>sub</w:t>
      </w:r>
      <w:r w:rsidR="003939D9" w:rsidRPr="007C2CC5">
        <w:t>section 3</w:t>
      </w:r>
      <w:r w:rsidR="000C437D" w:rsidRPr="007C2CC5">
        <w:t>28</w:t>
      </w:r>
      <w:r w:rsidR="007C2CC5">
        <w:noBreakHyphen/>
      </w:r>
      <w:r w:rsidR="000C437D" w:rsidRPr="007C2CC5">
        <w:t>4</w:t>
      </w:r>
      <w:r w:rsidR="009808B0" w:rsidRPr="007C2CC5">
        <w:t>6</w:t>
      </w:r>
      <w:r w:rsidR="000C437D" w:rsidRPr="007C2CC5">
        <w:t>0</w:t>
      </w:r>
      <w:r w:rsidRPr="007C2CC5">
        <w:t>(1) applies; and</w:t>
      </w:r>
    </w:p>
    <w:p w14:paraId="0E51DD44" w14:textId="77777777" w:rsidR="00C470A9" w:rsidRPr="007C2CC5" w:rsidRDefault="00C470A9" w:rsidP="007C2CC5">
      <w:pPr>
        <w:pStyle w:val="paragraph"/>
      </w:pPr>
      <w:r w:rsidRPr="007C2CC5">
        <w:tab/>
        <w:t>(b)</w:t>
      </w:r>
      <w:r w:rsidRPr="007C2CC5">
        <w:tab/>
        <w:t xml:space="preserve">the lower of $20,000 and 20% of the total amount </w:t>
      </w:r>
      <w:r w:rsidR="00747F6E" w:rsidRPr="007C2CC5">
        <w:t xml:space="preserve">(which may be nil) </w:t>
      </w:r>
      <w:r w:rsidRPr="007C2CC5">
        <w:t xml:space="preserve">of your expenditure to which </w:t>
      </w:r>
      <w:r w:rsidR="00185466" w:rsidRPr="007C2CC5">
        <w:t>sub</w:t>
      </w:r>
      <w:r w:rsidR="003939D9" w:rsidRPr="007C2CC5">
        <w:t>section 3</w:t>
      </w:r>
      <w:r w:rsidR="000C437D" w:rsidRPr="007C2CC5">
        <w:t>28</w:t>
      </w:r>
      <w:r w:rsidR="007C2CC5">
        <w:noBreakHyphen/>
      </w:r>
      <w:r w:rsidR="000C437D" w:rsidRPr="007C2CC5">
        <w:t>4</w:t>
      </w:r>
      <w:r w:rsidR="009808B0" w:rsidRPr="007C2CC5">
        <w:t>6</w:t>
      </w:r>
      <w:r w:rsidR="000C437D" w:rsidRPr="007C2CC5">
        <w:t>0</w:t>
      </w:r>
      <w:r w:rsidRPr="007C2CC5">
        <w:t>(2) applies</w:t>
      </w:r>
      <w:r w:rsidR="00843142" w:rsidRPr="007C2CC5">
        <w:t>.</w:t>
      </w:r>
    </w:p>
    <w:p w14:paraId="75A2436E" w14:textId="77777777" w:rsidR="00F23E07" w:rsidRDefault="000C437D" w:rsidP="007C2CC5">
      <w:pPr>
        <w:pStyle w:val="ActHead5"/>
      </w:pPr>
      <w:bookmarkStart w:id="2" w:name="_Hlk107474967"/>
      <w:r w:rsidRPr="009F14E8">
        <w:rPr>
          <w:rStyle w:val="CharSectno"/>
        </w:rPr>
        <w:t>328</w:t>
      </w:r>
      <w:r w:rsidR="007C2CC5" w:rsidRPr="009F14E8">
        <w:rPr>
          <w:rStyle w:val="CharSectno"/>
        </w:rPr>
        <w:noBreakHyphen/>
      </w:r>
      <w:proofErr w:type="gramStart"/>
      <w:r w:rsidRPr="009F14E8">
        <w:rPr>
          <w:rStyle w:val="CharSectno"/>
        </w:rPr>
        <w:t>4</w:t>
      </w:r>
      <w:r w:rsidR="009808B0" w:rsidRPr="009F14E8">
        <w:rPr>
          <w:rStyle w:val="CharSectno"/>
        </w:rPr>
        <w:t>6</w:t>
      </w:r>
      <w:r w:rsidR="00025C00" w:rsidRPr="009F14E8">
        <w:rPr>
          <w:rStyle w:val="CharSectno"/>
        </w:rPr>
        <w:t>0</w:t>
      </w:r>
      <w:r w:rsidR="00AE6D39" w:rsidRPr="007C2CC5">
        <w:t xml:space="preserve">  Wh</w:t>
      </w:r>
      <w:r w:rsidR="00325A75" w:rsidRPr="007C2CC5">
        <w:t>at</w:t>
      </w:r>
      <w:proofErr w:type="gramEnd"/>
      <w:r w:rsidR="00AE6D39" w:rsidRPr="007C2CC5">
        <w:t xml:space="preserve"> </w:t>
      </w:r>
      <w:r w:rsidR="00616ED8" w:rsidRPr="007C2CC5">
        <w:t>expenditure</w:t>
      </w:r>
      <w:r w:rsidR="00AE6D39" w:rsidRPr="007C2CC5">
        <w:t xml:space="preserve"> qualifies for the technology investment boost</w:t>
      </w:r>
    </w:p>
    <w:bookmarkEnd w:id="2"/>
    <w:p w14:paraId="6D01C8F8" w14:textId="77777777" w:rsidR="005329BC" w:rsidRPr="007C2CC5" w:rsidRDefault="00616ED8" w:rsidP="007C2CC5">
      <w:pPr>
        <w:pStyle w:val="subsection"/>
      </w:pPr>
      <w:r w:rsidRPr="007C2CC5">
        <w:tab/>
      </w:r>
      <w:r w:rsidR="00AE6D39" w:rsidRPr="007C2CC5">
        <w:t>(</w:t>
      </w:r>
      <w:r w:rsidR="009827AE" w:rsidRPr="007C2CC5">
        <w:t>1</w:t>
      </w:r>
      <w:r w:rsidR="00AE6D39" w:rsidRPr="007C2CC5">
        <w:t>)</w:t>
      </w:r>
      <w:r w:rsidR="00B84D9D" w:rsidRPr="007C2CC5">
        <w:tab/>
        <w:t xml:space="preserve">This subsection applies to </w:t>
      </w:r>
      <w:r w:rsidR="00866731" w:rsidRPr="007C2CC5">
        <w:t xml:space="preserve">an amount of </w:t>
      </w:r>
      <w:r w:rsidR="00B84D9D" w:rsidRPr="007C2CC5">
        <w:t>expenditure</w:t>
      </w:r>
      <w:r w:rsidR="00FA2720" w:rsidRPr="007C2CC5">
        <w:t xml:space="preserve"> </w:t>
      </w:r>
      <w:r w:rsidR="00B84D9D" w:rsidRPr="007C2CC5">
        <w:t>if:</w:t>
      </w:r>
    </w:p>
    <w:p w14:paraId="7887D597" w14:textId="77777777" w:rsidR="00A92EC8" w:rsidRPr="007C2CC5" w:rsidRDefault="00B84D9D" w:rsidP="007C2CC5">
      <w:pPr>
        <w:pStyle w:val="paragraph"/>
      </w:pPr>
      <w:r w:rsidRPr="007C2CC5">
        <w:tab/>
        <w:t>(a)</w:t>
      </w:r>
      <w:r w:rsidR="009254A9" w:rsidRPr="007C2CC5">
        <w:tab/>
      </w:r>
      <w:r w:rsidRPr="007C2CC5">
        <w:t>you are a small business entity</w:t>
      </w:r>
      <w:r w:rsidR="00502A2D" w:rsidRPr="007C2CC5">
        <w:t xml:space="preserve">, or an entity covered by </w:t>
      </w:r>
      <w:r w:rsidR="007C2CC5" w:rsidRPr="007C2CC5">
        <w:t>subsection (</w:t>
      </w:r>
      <w:r w:rsidR="004109AA">
        <w:t>3</w:t>
      </w:r>
      <w:r w:rsidR="00502A2D" w:rsidRPr="007C2CC5">
        <w:t xml:space="preserve">), </w:t>
      </w:r>
      <w:r w:rsidRPr="007C2CC5">
        <w:t xml:space="preserve">for </w:t>
      </w:r>
      <w:r w:rsidR="00064DDE">
        <w:t>the income</w:t>
      </w:r>
      <w:r w:rsidR="00064DDE" w:rsidRPr="00DC5729">
        <w:t xml:space="preserve"> year</w:t>
      </w:r>
      <w:r w:rsidR="00064DDE">
        <w:t xml:space="preserve"> in which you incur the expenditure</w:t>
      </w:r>
      <w:r w:rsidR="00A92EC8" w:rsidRPr="007C2CC5">
        <w:t>; and</w:t>
      </w:r>
    </w:p>
    <w:p w14:paraId="0E19F9AB" w14:textId="77777777" w:rsidR="00502A2D" w:rsidRPr="007C2CC5" w:rsidRDefault="00A92EC8" w:rsidP="00351F8C">
      <w:pPr>
        <w:pStyle w:val="paragraph"/>
      </w:pPr>
      <w:r w:rsidRPr="007C2CC5">
        <w:lastRenderedPageBreak/>
        <w:tab/>
        <w:t>(b)</w:t>
      </w:r>
      <w:r w:rsidRPr="007C2CC5">
        <w:tab/>
      </w:r>
      <w:r w:rsidR="00502A2D" w:rsidRPr="007C2CC5">
        <w:t>you incur the expenditure in the period</w:t>
      </w:r>
      <w:r w:rsidR="00351F8C">
        <w:t xml:space="preserve"> </w:t>
      </w:r>
      <w:r w:rsidR="00502A2D" w:rsidRPr="007C2CC5">
        <w:t>starting at</w:t>
      </w:r>
      <w:r w:rsidRPr="007C2CC5">
        <w:t xml:space="preserve"> 7.30 pm</w:t>
      </w:r>
      <w:r w:rsidR="00DB4A50" w:rsidRPr="007C2CC5">
        <w:t>,</w:t>
      </w:r>
      <w:r w:rsidRPr="007C2CC5">
        <w:t xml:space="preserve"> by legal time in the Australian Capital Territory, on </w:t>
      </w:r>
      <w:r w:rsidR="00185466" w:rsidRPr="007C2CC5">
        <w:t>29 March</w:t>
      </w:r>
      <w:r w:rsidRPr="007C2CC5">
        <w:t xml:space="preserve"> 2022</w:t>
      </w:r>
      <w:r w:rsidR="00351F8C">
        <w:t xml:space="preserve"> </w:t>
      </w:r>
      <w:r w:rsidRPr="007C2CC5">
        <w:t>and</w:t>
      </w:r>
      <w:r w:rsidR="00351F8C">
        <w:t xml:space="preserve"> </w:t>
      </w:r>
      <w:r w:rsidR="00351F8C" w:rsidRPr="007C2CC5">
        <w:t>ending at the end of</w:t>
      </w:r>
      <w:r w:rsidR="00351F8C">
        <w:t>:</w:t>
      </w:r>
    </w:p>
    <w:p w14:paraId="158BD9AF" w14:textId="77777777" w:rsidR="00351F8C" w:rsidRDefault="00502A2D" w:rsidP="00351F8C">
      <w:pPr>
        <w:pStyle w:val="paragraphsub"/>
      </w:pPr>
      <w:r w:rsidRPr="007C2CC5">
        <w:tab/>
        <w:t>(</w:t>
      </w:r>
      <w:proofErr w:type="spellStart"/>
      <w:r w:rsidRPr="007C2CC5">
        <w:t>i</w:t>
      </w:r>
      <w:proofErr w:type="spellEnd"/>
      <w:r w:rsidRPr="007C2CC5">
        <w:t>)</w:t>
      </w:r>
      <w:r w:rsidRPr="007C2CC5">
        <w:tab/>
      </w:r>
      <w:r w:rsidR="00351F8C">
        <w:t>if your 2022</w:t>
      </w:r>
      <w:r w:rsidR="00351F8C">
        <w:noBreakHyphen/>
        <w:t>23 income year starts on or after 1 July 2022—your 2021</w:t>
      </w:r>
      <w:r w:rsidR="00351F8C">
        <w:noBreakHyphen/>
        <w:t>22 income year; or</w:t>
      </w:r>
    </w:p>
    <w:p w14:paraId="312AC9C5" w14:textId="77777777" w:rsidR="00A92EC8" w:rsidRPr="007C2CC5" w:rsidRDefault="00351F8C" w:rsidP="007C2CC5">
      <w:pPr>
        <w:pStyle w:val="paragraphsub"/>
      </w:pPr>
      <w:r>
        <w:tab/>
        <w:t>(ii)</w:t>
      </w:r>
      <w:r>
        <w:tab/>
        <w:t>if your 2022</w:t>
      </w:r>
      <w:r>
        <w:noBreakHyphen/>
        <w:t>23 income year starts before 1 July 2022—your 2022</w:t>
      </w:r>
      <w:r>
        <w:noBreakHyphen/>
        <w:t>23 income year;</w:t>
      </w:r>
      <w:r w:rsidR="00A92EC8" w:rsidRPr="007C2CC5">
        <w:t xml:space="preserve"> and</w:t>
      </w:r>
    </w:p>
    <w:p w14:paraId="518B5113" w14:textId="77777777" w:rsidR="00866731" w:rsidRPr="007C2CC5" w:rsidRDefault="00AE6D39" w:rsidP="007C2CC5">
      <w:pPr>
        <w:pStyle w:val="paragraph"/>
      </w:pPr>
      <w:r w:rsidRPr="007C2CC5">
        <w:tab/>
      </w:r>
      <w:r w:rsidR="00866731" w:rsidRPr="007C2CC5">
        <w:t>(c)</w:t>
      </w:r>
      <w:r w:rsidR="00866731" w:rsidRPr="007C2CC5">
        <w:tab/>
        <w:t xml:space="preserve">you </w:t>
      </w:r>
      <w:r w:rsidR="00081CE1" w:rsidRPr="007C2CC5">
        <w:t xml:space="preserve">can deduct </w:t>
      </w:r>
      <w:r w:rsidR="00866731" w:rsidRPr="007C2CC5">
        <w:t>the amount of the expenditure</w:t>
      </w:r>
      <w:r w:rsidR="00375786" w:rsidRPr="007C2CC5">
        <w:t xml:space="preserve"> under a provision of a taxation law (other than </w:t>
      </w:r>
      <w:r w:rsidR="003939D9" w:rsidRPr="007C2CC5">
        <w:t>section 3</w:t>
      </w:r>
      <w:r w:rsidR="00375786" w:rsidRPr="007C2CC5">
        <w:t>28</w:t>
      </w:r>
      <w:r w:rsidR="007C2CC5">
        <w:noBreakHyphen/>
      </w:r>
      <w:r w:rsidR="00375786" w:rsidRPr="007C2CC5">
        <w:t>4</w:t>
      </w:r>
      <w:r w:rsidR="009808B0" w:rsidRPr="007C2CC5">
        <w:t>55</w:t>
      </w:r>
      <w:r w:rsidR="00230306" w:rsidRPr="007C2CC5">
        <w:t xml:space="preserve"> of this Act</w:t>
      </w:r>
      <w:r w:rsidR="00375786" w:rsidRPr="007C2CC5">
        <w:t xml:space="preserve">) </w:t>
      </w:r>
      <w:proofErr w:type="gramStart"/>
      <w:r w:rsidR="00375786" w:rsidRPr="007C2CC5">
        <w:t>whether or not</w:t>
      </w:r>
      <w:proofErr w:type="gramEnd"/>
      <w:r w:rsidR="00375786" w:rsidRPr="007C2CC5">
        <w:t xml:space="preserve"> in, or </w:t>
      </w:r>
      <w:r w:rsidR="00BD6088" w:rsidRPr="007C2CC5">
        <w:t>wholly</w:t>
      </w:r>
      <w:r w:rsidR="00375786" w:rsidRPr="007C2CC5">
        <w:t xml:space="preserve"> in, </w:t>
      </w:r>
      <w:r w:rsidR="000432C3">
        <w:t>the income year in which the expenditure was incurred</w:t>
      </w:r>
      <w:r w:rsidR="00A92EC8" w:rsidRPr="007C2CC5">
        <w:t>;</w:t>
      </w:r>
      <w:r w:rsidR="00866731" w:rsidRPr="007C2CC5">
        <w:t xml:space="preserve"> and</w:t>
      </w:r>
    </w:p>
    <w:p w14:paraId="68B21CD1" w14:textId="77777777" w:rsidR="001A0CA2" w:rsidRPr="007C2CC5" w:rsidRDefault="00866731" w:rsidP="007C2CC5">
      <w:pPr>
        <w:pStyle w:val="paragraph"/>
      </w:pPr>
      <w:r w:rsidRPr="007C2CC5">
        <w:tab/>
      </w:r>
      <w:r w:rsidR="00AE6D39" w:rsidRPr="007C2CC5">
        <w:t>(</w:t>
      </w:r>
      <w:r w:rsidRPr="007C2CC5">
        <w:t>d</w:t>
      </w:r>
      <w:r w:rsidR="00AE6D39" w:rsidRPr="007C2CC5">
        <w:t>)</w:t>
      </w:r>
      <w:r w:rsidR="00573128" w:rsidRPr="007C2CC5">
        <w:tab/>
        <w:t xml:space="preserve">you incur the </w:t>
      </w:r>
      <w:r w:rsidR="00AE6D39" w:rsidRPr="007C2CC5">
        <w:t>expenditure</w:t>
      </w:r>
      <w:r w:rsidR="009B740A" w:rsidRPr="007C2CC5">
        <w:t xml:space="preserve"> </w:t>
      </w:r>
      <w:r w:rsidR="00A72296" w:rsidRPr="007C2CC5">
        <w:t xml:space="preserve">wholly or </w:t>
      </w:r>
      <w:r w:rsidR="00BC0EA8">
        <w:t>substantially</w:t>
      </w:r>
      <w:r w:rsidR="00FC0A7D" w:rsidRPr="007C2CC5">
        <w:rPr>
          <w:i/>
        </w:rPr>
        <w:t xml:space="preserve"> </w:t>
      </w:r>
      <w:r w:rsidR="009B740A" w:rsidRPr="007C2CC5">
        <w:t>for the purposes of your digital</w:t>
      </w:r>
      <w:r w:rsidR="00A72296" w:rsidRPr="007C2CC5">
        <w:t xml:space="preserve"> operations</w:t>
      </w:r>
      <w:r w:rsidR="009B740A" w:rsidRPr="007C2CC5">
        <w:t xml:space="preserve"> or digitising your </w:t>
      </w:r>
      <w:r w:rsidR="00A72296" w:rsidRPr="007C2CC5">
        <w:t>operations</w:t>
      </w:r>
      <w:r w:rsidR="009B740A" w:rsidRPr="007C2CC5">
        <w:t>;</w:t>
      </w:r>
      <w:r w:rsidR="00167124" w:rsidRPr="007C2CC5">
        <w:t xml:space="preserve"> and</w:t>
      </w:r>
    </w:p>
    <w:p w14:paraId="140872BE" w14:textId="77777777" w:rsidR="00866731" w:rsidRPr="007C2CC5" w:rsidRDefault="00866731" w:rsidP="007C2CC5">
      <w:pPr>
        <w:pStyle w:val="paragraph"/>
      </w:pPr>
      <w:r w:rsidRPr="007C2CC5">
        <w:tab/>
        <w:t>(e)</w:t>
      </w:r>
      <w:r w:rsidRPr="007C2CC5">
        <w:tab/>
        <w:t xml:space="preserve">the expenditure is not of a kind excluded </w:t>
      </w:r>
      <w:r w:rsidR="005E549B" w:rsidRPr="007C2CC5">
        <w:t xml:space="preserve">by </w:t>
      </w:r>
      <w:r w:rsidR="007C2CC5" w:rsidRPr="007C2CC5">
        <w:t>subsection (</w:t>
      </w:r>
      <w:r w:rsidR="004109AA">
        <w:t>5</w:t>
      </w:r>
      <w:r w:rsidR="000C437D" w:rsidRPr="007C2CC5">
        <w:t>)</w:t>
      </w:r>
      <w:r w:rsidRPr="007C2CC5">
        <w:t>; and</w:t>
      </w:r>
    </w:p>
    <w:p w14:paraId="23269D52" w14:textId="77777777" w:rsidR="0029080A" w:rsidRPr="007C2CC5" w:rsidRDefault="00F40461" w:rsidP="007C2CC5">
      <w:pPr>
        <w:pStyle w:val="paragraph"/>
      </w:pPr>
      <w:r w:rsidRPr="007C2CC5">
        <w:tab/>
        <w:t>(f)</w:t>
      </w:r>
      <w:r w:rsidRPr="007C2CC5">
        <w:tab/>
      </w:r>
      <w:r w:rsidR="004A173E" w:rsidRPr="007C2CC5">
        <w:t>if the expenditure is on a depreciating asset—</w:t>
      </w:r>
      <w:r w:rsidR="00F02C56">
        <w:t>the only</w:t>
      </w:r>
      <w:r w:rsidR="007226A3" w:rsidRPr="007C2CC5">
        <w:t xml:space="preserve"> </w:t>
      </w:r>
      <w:r w:rsidR="004A173E" w:rsidRPr="007C2CC5">
        <w:t>balancing a</w:t>
      </w:r>
      <w:bookmarkStart w:id="3" w:name="_Hlk109979451"/>
      <w:r w:rsidR="004A173E" w:rsidRPr="007C2CC5">
        <w:t xml:space="preserve">djustment </w:t>
      </w:r>
      <w:bookmarkEnd w:id="3"/>
      <w:r w:rsidR="004A173E" w:rsidRPr="007C2CC5">
        <w:t>event</w:t>
      </w:r>
      <w:r w:rsidR="00F02C56">
        <w:t>s</w:t>
      </w:r>
      <w:r w:rsidR="004A173E" w:rsidRPr="007C2CC5">
        <w:t xml:space="preserve"> that</w:t>
      </w:r>
      <w:r w:rsidR="007226A3" w:rsidRPr="007C2CC5">
        <w:t xml:space="preserve"> occur </w:t>
      </w:r>
      <w:r w:rsidR="004A173E" w:rsidRPr="007C2CC5">
        <w:t>for the asset</w:t>
      </w:r>
      <w:r w:rsidR="007226A3" w:rsidRPr="007C2CC5">
        <w:t xml:space="preserve"> </w:t>
      </w:r>
      <w:r w:rsidR="004A173E" w:rsidRPr="007C2CC5">
        <w:t xml:space="preserve">at a time during </w:t>
      </w:r>
      <w:r w:rsidR="00351F8C" w:rsidRPr="007C2CC5">
        <w:t>the period</w:t>
      </w:r>
      <w:r w:rsidR="004A173E" w:rsidRPr="007C2CC5">
        <w:t xml:space="preserve"> </w:t>
      </w:r>
      <w:r w:rsidR="000679B1">
        <w:t xml:space="preserve">referred to </w:t>
      </w:r>
      <w:r w:rsidR="004A173E" w:rsidRPr="007C2CC5">
        <w:t>in paragraph (b) when you hold the asset</w:t>
      </w:r>
      <w:bookmarkStart w:id="4" w:name="_Hlk109979300"/>
      <w:r w:rsidR="004A173E" w:rsidRPr="007C2CC5">
        <w:t xml:space="preserve"> occur</w:t>
      </w:r>
      <w:r w:rsidR="00970724" w:rsidRPr="007C2CC5">
        <w:t xml:space="preserve"> </w:t>
      </w:r>
      <w:r w:rsidR="004A173E" w:rsidRPr="007C2CC5">
        <w:t xml:space="preserve">because you stop holding the asset because of an event or circumstance referred to in </w:t>
      </w:r>
      <w:r w:rsidR="007C2CC5" w:rsidRPr="007C2CC5">
        <w:t>subsection 4</w:t>
      </w:r>
      <w:r w:rsidR="004A173E" w:rsidRPr="007C2CC5">
        <w:t>0</w:t>
      </w:r>
      <w:r w:rsidR="007C2CC5">
        <w:noBreakHyphen/>
      </w:r>
      <w:r w:rsidR="004A173E" w:rsidRPr="007C2CC5">
        <w:t>365(2) (</w:t>
      </w:r>
      <w:bookmarkEnd w:id="4"/>
      <w:r w:rsidR="004A173E" w:rsidRPr="007C2CC5">
        <w:t xml:space="preserve">about involuntary disposals) of the </w:t>
      </w:r>
      <w:r w:rsidR="004A173E" w:rsidRPr="007C2CC5">
        <w:rPr>
          <w:i/>
        </w:rPr>
        <w:t>Income Tax Assessment Act 1997</w:t>
      </w:r>
      <w:r w:rsidR="004A173E" w:rsidRPr="007C2CC5">
        <w:t>; and</w:t>
      </w:r>
    </w:p>
    <w:p w14:paraId="1B6E1268" w14:textId="77777777" w:rsidR="00F40461" w:rsidRPr="007C2CC5" w:rsidRDefault="00F40461" w:rsidP="007C2CC5">
      <w:pPr>
        <w:pStyle w:val="paragraph"/>
      </w:pPr>
      <w:r w:rsidRPr="007C2CC5">
        <w:tab/>
        <w:t>(g)</w:t>
      </w:r>
      <w:r w:rsidRPr="007C2CC5">
        <w:tab/>
        <w:t>if:</w:t>
      </w:r>
    </w:p>
    <w:p w14:paraId="68C4DB6C" w14:textId="77777777" w:rsidR="00F40461" w:rsidRPr="007C2CC5" w:rsidRDefault="00F40461" w:rsidP="007C2CC5">
      <w:pPr>
        <w:pStyle w:val="paragraphsub"/>
      </w:pPr>
      <w:r w:rsidRPr="007C2CC5">
        <w:tab/>
        <w:t>(</w:t>
      </w:r>
      <w:proofErr w:type="spellStart"/>
      <w:r w:rsidRPr="007C2CC5">
        <w:t>i</w:t>
      </w:r>
      <w:proofErr w:type="spellEnd"/>
      <w:r w:rsidRPr="007C2CC5">
        <w:t>)</w:t>
      </w:r>
      <w:r w:rsidRPr="007C2CC5">
        <w:tab/>
        <w:t>the expenditure is on a depreciating asset; and</w:t>
      </w:r>
    </w:p>
    <w:p w14:paraId="6322AE8D" w14:textId="77777777" w:rsidR="00F40461" w:rsidRPr="007C2CC5" w:rsidRDefault="00F40461" w:rsidP="007C2CC5">
      <w:pPr>
        <w:pStyle w:val="paragraphsub"/>
      </w:pPr>
      <w:r w:rsidRPr="007C2CC5">
        <w:tab/>
        <w:t>(ii)</w:t>
      </w:r>
      <w:r w:rsidRPr="007C2CC5">
        <w:tab/>
        <w:t>the asset is not in</w:t>
      </w:r>
      <w:r w:rsidR="007C2CC5">
        <w:noBreakHyphen/>
      </w:r>
      <w:r w:rsidRPr="007C2CC5">
        <w:t xml:space="preserve">house software allocated to a software development pool </w:t>
      </w:r>
      <w:r w:rsidR="00DB69FC" w:rsidRPr="007C2CC5">
        <w:t xml:space="preserve">for </w:t>
      </w:r>
      <w:r w:rsidR="00DB69FC">
        <w:t>the income</w:t>
      </w:r>
      <w:r w:rsidR="00DB69FC" w:rsidRPr="00DC5729">
        <w:t xml:space="preserve"> year</w:t>
      </w:r>
      <w:r w:rsidR="00DB69FC">
        <w:t xml:space="preserve"> in which you incur the </w:t>
      </w:r>
      <w:proofErr w:type="gramStart"/>
      <w:r w:rsidR="00DB69FC">
        <w:t>expenditure</w:t>
      </w:r>
      <w:r w:rsidR="00DB69FC" w:rsidRPr="007C2CC5">
        <w:t>;</w:t>
      </w:r>
      <w:proofErr w:type="gramEnd"/>
    </w:p>
    <w:p w14:paraId="448F3BC7" w14:textId="77777777" w:rsidR="00F40461" w:rsidRPr="007C2CC5" w:rsidRDefault="00F40461" w:rsidP="007C2CC5">
      <w:pPr>
        <w:pStyle w:val="paragraph"/>
      </w:pPr>
      <w:r w:rsidRPr="007C2CC5">
        <w:tab/>
      </w:r>
      <w:r w:rsidRPr="007C2CC5">
        <w:tab/>
        <w:t xml:space="preserve">you start to use the asset, or have it installed ready for use for a taxable </w:t>
      </w:r>
      <w:proofErr w:type="gramStart"/>
      <w:r w:rsidRPr="007C2CC5">
        <w:t>purpose, before</w:t>
      </w:r>
      <w:proofErr w:type="gramEnd"/>
      <w:r w:rsidRPr="007C2CC5">
        <w:t xml:space="preserve"> 1 July 2023.</w:t>
      </w:r>
    </w:p>
    <w:p w14:paraId="45F511FE" w14:textId="77777777" w:rsidR="009254A9" w:rsidRPr="007C2CC5" w:rsidRDefault="009254A9" w:rsidP="007C2CC5">
      <w:pPr>
        <w:pStyle w:val="subsection"/>
      </w:pPr>
      <w:r w:rsidRPr="007C2CC5">
        <w:tab/>
        <w:t>(</w:t>
      </w:r>
      <w:r w:rsidR="00064DDE">
        <w:t>2</w:t>
      </w:r>
      <w:r w:rsidRPr="007C2CC5">
        <w:t>)</w:t>
      </w:r>
      <w:r w:rsidRPr="007C2CC5">
        <w:tab/>
        <w:t>This subsection applies to an amount of expenditure if:</w:t>
      </w:r>
    </w:p>
    <w:p w14:paraId="65C008CD" w14:textId="77777777" w:rsidR="009254A9" w:rsidRPr="007C2CC5" w:rsidRDefault="009254A9" w:rsidP="007C2CC5">
      <w:pPr>
        <w:pStyle w:val="paragraph"/>
      </w:pPr>
      <w:r w:rsidRPr="007C2CC5">
        <w:tab/>
        <w:t>(a)</w:t>
      </w:r>
      <w:r w:rsidRPr="007C2CC5">
        <w:tab/>
      </w:r>
      <w:r w:rsidR="00502A2D" w:rsidRPr="007C2CC5">
        <w:t xml:space="preserve">you are a small business entity, or an entity covered by </w:t>
      </w:r>
      <w:r w:rsidR="007C2CC5" w:rsidRPr="007C2CC5">
        <w:t>subsection (</w:t>
      </w:r>
      <w:r w:rsidR="004109AA">
        <w:t>3</w:t>
      </w:r>
      <w:r w:rsidR="00502A2D" w:rsidRPr="007C2CC5">
        <w:t xml:space="preserve">), </w:t>
      </w:r>
      <w:r w:rsidR="00064DDE" w:rsidRPr="00DC5729">
        <w:t xml:space="preserve">for </w:t>
      </w:r>
      <w:r w:rsidR="00064DDE">
        <w:t>the income</w:t>
      </w:r>
      <w:r w:rsidR="00064DDE" w:rsidRPr="00DC5729">
        <w:t xml:space="preserve"> year</w:t>
      </w:r>
      <w:r w:rsidR="00064DDE">
        <w:t xml:space="preserve"> in which you incur the expenditure</w:t>
      </w:r>
      <w:r w:rsidR="00502A2D" w:rsidRPr="007C2CC5">
        <w:t>; and</w:t>
      </w:r>
    </w:p>
    <w:p w14:paraId="131E7DE9" w14:textId="77777777" w:rsidR="00351F8C" w:rsidRDefault="009254A9" w:rsidP="00351F8C">
      <w:pPr>
        <w:pStyle w:val="paragraph"/>
      </w:pPr>
      <w:r w:rsidRPr="007C2CC5">
        <w:tab/>
        <w:t>(b)</w:t>
      </w:r>
      <w:r w:rsidRPr="007C2CC5">
        <w:tab/>
      </w:r>
      <w:r w:rsidR="00502A2D" w:rsidRPr="007C2CC5">
        <w:t>you incur the expenditure in the period</w:t>
      </w:r>
      <w:r w:rsidR="00351F8C">
        <w:t xml:space="preserve"> starting at</w:t>
      </w:r>
      <w:r w:rsidR="0062541F">
        <w:t xml:space="preserve"> the start of</w:t>
      </w:r>
      <w:r w:rsidR="00351F8C">
        <w:t>:</w:t>
      </w:r>
    </w:p>
    <w:p w14:paraId="13D11A88" w14:textId="77777777" w:rsidR="00351F8C" w:rsidRDefault="00351F8C" w:rsidP="00351F8C">
      <w:pPr>
        <w:pStyle w:val="paragraphsub"/>
      </w:pPr>
      <w:r w:rsidRPr="007C2CC5">
        <w:tab/>
        <w:t>(</w:t>
      </w:r>
      <w:proofErr w:type="spellStart"/>
      <w:r w:rsidRPr="007C2CC5">
        <w:t>i</w:t>
      </w:r>
      <w:proofErr w:type="spellEnd"/>
      <w:r w:rsidRPr="007C2CC5">
        <w:t>)</w:t>
      </w:r>
      <w:r w:rsidRPr="007C2CC5">
        <w:tab/>
      </w:r>
      <w:r>
        <w:t>if your 2022</w:t>
      </w:r>
      <w:r>
        <w:noBreakHyphen/>
        <w:t>23 income year starts on or after 1 July 2022—your 2022</w:t>
      </w:r>
      <w:r>
        <w:noBreakHyphen/>
        <w:t>23 income year; or</w:t>
      </w:r>
    </w:p>
    <w:p w14:paraId="57F38070" w14:textId="77777777" w:rsidR="00351F8C" w:rsidRPr="007C2CC5" w:rsidRDefault="00351F8C" w:rsidP="00351F8C">
      <w:pPr>
        <w:pStyle w:val="paragraphsub"/>
      </w:pPr>
      <w:r>
        <w:tab/>
        <w:t>(ii)</w:t>
      </w:r>
      <w:r>
        <w:tab/>
        <w:t>if your 2022</w:t>
      </w:r>
      <w:r>
        <w:noBreakHyphen/>
        <w:t>23 income year starts before 1 July 2022—your 2023</w:t>
      </w:r>
      <w:r>
        <w:noBreakHyphen/>
        <w:t>24 income year</w:t>
      </w:r>
      <w:r w:rsidR="00E33040">
        <w:t>;</w:t>
      </w:r>
      <w:r w:rsidRPr="007C2CC5">
        <w:t xml:space="preserve"> and</w:t>
      </w:r>
    </w:p>
    <w:p w14:paraId="339328E6" w14:textId="77777777" w:rsidR="00351F8C" w:rsidRPr="007C2CC5" w:rsidRDefault="00351F8C" w:rsidP="00351F8C">
      <w:pPr>
        <w:pStyle w:val="paragraph"/>
      </w:pPr>
      <w:r>
        <w:tab/>
      </w:r>
      <w:r>
        <w:tab/>
      </w:r>
      <w:r w:rsidR="00502A2D" w:rsidRPr="007C2CC5">
        <w:t>ending at the end of 30 June 2023; and</w:t>
      </w:r>
    </w:p>
    <w:p w14:paraId="2F94BBB9" w14:textId="77777777" w:rsidR="009254A9" w:rsidRPr="007C2CC5" w:rsidRDefault="009254A9" w:rsidP="007C2CC5">
      <w:pPr>
        <w:pStyle w:val="paragraph"/>
      </w:pPr>
      <w:r w:rsidRPr="007C2CC5">
        <w:lastRenderedPageBreak/>
        <w:tab/>
        <w:t>(c)</w:t>
      </w:r>
      <w:r w:rsidRPr="007C2CC5">
        <w:tab/>
      </w:r>
      <w:r w:rsidR="00811177" w:rsidRPr="007C2CC5">
        <w:t xml:space="preserve">you can deduct the amount of the expenditure under a provision of a taxation law (other than </w:t>
      </w:r>
      <w:r w:rsidR="003939D9" w:rsidRPr="007C2CC5">
        <w:t>section 3</w:t>
      </w:r>
      <w:r w:rsidR="00811177" w:rsidRPr="007C2CC5">
        <w:t>28</w:t>
      </w:r>
      <w:r w:rsidR="007C2CC5">
        <w:noBreakHyphen/>
      </w:r>
      <w:r w:rsidR="00811177" w:rsidRPr="007C2CC5">
        <w:t>4</w:t>
      </w:r>
      <w:r w:rsidR="009808B0" w:rsidRPr="007C2CC5">
        <w:t>5</w:t>
      </w:r>
      <w:r w:rsidR="00811177" w:rsidRPr="007C2CC5">
        <w:t>5</w:t>
      </w:r>
      <w:r w:rsidR="00230306" w:rsidRPr="007C2CC5">
        <w:t xml:space="preserve"> of this Act</w:t>
      </w:r>
      <w:r w:rsidR="00811177" w:rsidRPr="007C2CC5">
        <w:t xml:space="preserve">) </w:t>
      </w:r>
      <w:proofErr w:type="gramStart"/>
      <w:r w:rsidR="00811177" w:rsidRPr="007C2CC5">
        <w:t>whether or not</w:t>
      </w:r>
      <w:proofErr w:type="gramEnd"/>
      <w:r w:rsidR="00811177" w:rsidRPr="007C2CC5">
        <w:t xml:space="preserve"> in, or </w:t>
      </w:r>
      <w:r w:rsidR="00BD6088" w:rsidRPr="007C2CC5">
        <w:t>wholly</w:t>
      </w:r>
      <w:r w:rsidR="00811177" w:rsidRPr="007C2CC5">
        <w:t xml:space="preserve"> in, </w:t>
      </w:r>
      <w:r w:rsidR="000432C3">
        <w:t>the income year in which the expenditure was incurred;</w:t>
      </w:r>
      <w:r w:rsidRPr="007C2CC5">
        <w:t xml:space="preserve"> and</w:t>
      </w:r>
    </w:p>
    <w:p w14:paraId="77F27C93" w14:textId="77777777" w:rsidR="009254A9" w:rsidRPr="007C2CC5" w:rsidRDefault="009254A9" w:rsidP="007C2CC5">
      <w:pPr>
        <w:pStyle w:val="paragraph"/>
      </w:pPr>
      <w:r w:rsidRPr="007C2CC5">
        <w:tab/>
        <w:t>(d)</w:t>
      </w:r>
      <w:r w:rsidRPr="007C2CC5">
        <w:tab/>
      </w:r>
      <w:r w:rsidR="00573128" w:rsidRPr="007C2CC5">
        <w:t xml:space="preserve">you incur the </w:t>
      </w:r>
      <w:r w:rsidRPr="007C2CC5">
        <w:t>expenditure</w:t>
      </w:r>
      <w:r w:rsidR="00573128" w:rsidRPr="007C2CC5">
        <w:t xml:space="preserve"> </w:t>
      </w:r>
      <w:r w:rsidRPr="007C2CC5">
        <w:t xml:space="preserve">wholly or </w:t>
      </w:r>
      <w:r w:rsidR="00BC0EA8">
        <w:t>substantially</w:t>
      </w:r>
      <w:r w:rsidR="00FC0A7D" w:rsidRPr="007C2CC5">
        <w:t xml:space="preserve"> </w:t>
      </w:r>
      <w:r w:rsidRPr="007C2CC5">
        <w:t>for the purposes of your digital operations or digitising your operations;</w:t>
      </w:r>
      <w:r w:rsidR="00F34B5D" w:rsidRPr="007C2CC5">
        <w:t xml:space="preserve"> and</w:t>
      </w:r>
    </w:p>
    <w:p w14:paraId="2CA20179" w14:textId="77777777" w:rsidR="009254A9" w:rsidRPr="007C2CC5" w:rsidRDefault="009254A9" w:rsidP="007C2CC5">
      <w:pPr>
        <w:pStyle w:val="paragraph"/>
      </w:pPr>
      <w:r w:rsidRPr="007C2CC5">
        <w:tab/>
        <w:t>(e)</w:t>
      </w:r>
      <w:r w:rsidRPr="007C2CC5">
        <w:tab/>
        <w:t xml:space="preserve">the expenditure is not of a kind excluded </w:t>
      </w:r>
      <w:r w:rsidR="005E549B" w:rsidRPr="007C2CC5">
        <w:t>by</w:t>
      </w:r>
      <w:r w:rsidRPr="007C2CC5">
        <w:t xml:space="preserve"> </w:t>
      </w:r>
      <w:r w:rsidR="007C2CC5" w:rsidRPr="007C2CC5">
        <w:t>subsection (</w:t>
      </w:r>
      <w:r w:rsidR="004109AA">
        <w:t>5</w:t>
      </w:r>
      <w:r w:rsidR="000C437D" w:rsidRPr="007C2CC5">
        <w:t>)</w:t>
      </w:r>
      <w:r w:rsidRPr="007C2CC5">
        <w:t>; and</w:t>
      </w:r>
    </w:p>
    <w:p w14:paraId="5E1F525A" w14:textId="77777777" w:rsidR="00970724" w:rsidRPr="007C2CC5" w:rsidRDefault="009254A9" w:rsidP="007C2CC5">
      <w:pPr>
        <w:pStyle w:val="paragraph"/>
      </w:pPr>
      <w:r w:rsidRPr="007C2CC5">
        <w:tab/>
        <w:t>(f)</w:t>
      </w:r>
      <w:r w:rsidRPr="007C2CC5">
        <w:tab/>
      </w:r>
      <w:r w:rsidR="007226A3" w:rsidRPr="007C2CC5">
        <w:t>if the expenditure is on a depreciating asset—</w:t>
      </w:r>
      <w:r w:rsidR="00F02C56">
        <w:t>the only</w:t>
      </w:r>
      <w:r w:rsidR="007226A3" w:rsidRPr="007C2CC5">
        <w:t xml:space="preserve"> balancing adjustment event</w:t>
      </w:r>
      <w:r w:rsidR="00F02C56">
        <w:t>s</w:t>
      </w:r>
      <w:r w:rsidR="007226A3" w:rsidRPr="007C2CC5">
        <w:t xml:space="preserve"> that occur for the asset at a time during the </w:t>
      </w:r>
      <w:r w:rsidR="00F02C56" w:rsidRPr="007C2CC5">
        <w:t xml:space="preserve">period </w:t>
      </w:r>
      <w:r w:rsidR="00F02C56">
        <w:t>referred to</w:t>
      </w:r>
      <w:r w:rsidR="007226A3" w:rsidRPr="007C2CC5">
        <w:t xml:space="preserve"> in paragraph (b) when you hold the asset occur because you stop holding the asset because of an event or circumstance referred to in </w:t>
      </w:r>
      <w:r w:rsidR="007C2CC5" w:rsidRPr="007C2CC5">
        <w:t>subsection 4</w:t>
      </w:r>
      <w:r w:rsidR="007226A3" w:rsidRPr="007C2CC5">
        <w:t>0</w:t>
      </w:r>
      <w:r w:rsidR="007C2CC5">
        <w:noBreakHyphen/>
      </w:r>
      <w:r w:rsidR="007226A3" w:rsidRPr="007C2CC5">
        <w:t xml:space="preserve">365(2) (about involuntary disposals) of the </w:t>
      </w:r>
      <w:r w:rsidR="007226A3" w:rsidRPr="007C2CC5">
        <w:rPr>
          <w:i/>
        </w:rPr>
        <w:t>Income Tax Assessment Act 1997</w:t>
      </w:r>
      <w:r w:rsidR="007226A3" w:rsidRPr="007C2CC5">
        <w:t>; and</w:t>
      </w:r>
    </w:p>
    <w:p w14:paraId="72A726E7" w14:textId="77777777" w:rsidR="00F40461" w:rsidRPr="007C2CC5" w:rsidRDefault="00F40461" w:rsidP="007C2CC5">
      <w:pPr>
        <w:pStyle w:val="paragraph"/>
      </w:pPr>
      <w:r w:rsidRPr="007C2CC5">
        <w:tab/>
        <w:t>(g)</w:t>
      </w:r>
      <w:r w:rsidRPr="007C2CC5">
        <w:tab/>
        <w:t>if:</w:t>
      </w:r>
    </w:p>
    <w:p w14:paraId="118C4E74" w14:textId="77777777" w:rsidR="00F40461" w:rsidRPr="007C2CC5" w:rsidRDefault="00BC5561" w:rsidP="007C2CC5">
      <w:pPr>
        <w:pStyle w:val="paragraphsub"/>
      </w:pPr>
      <w:r w:rsidRPr="007C2CC5">
        <w:tab/>
        <w:t>(</w:t>
      </w:r>
      <w:proofErr w:type="spellStart"/>
      <w:r w:rsidRPr="007C2CC5">
        <w:t>i</w:t>
      </w:r>
      <w:proofErr w:type="spellEnd"/>
      <w:r w:rsidRPr="007C2CC5">
        <w:t>)</w:t>
      </w:r>
      <w:r w:rsidRPr="007C2CC5">
        <w:tab/>
      </w:r>
      <w:r w:rsidR="00F40461" w:rsidRPr="007C2CC5">
        <w:t>the expenditure is on a depreciating asset; and</w:t>
      </w:r>
    </w:p>
    <w:p w14:paraId="4EAA6639" w14:textId="77777777" w:rsidR="00F40461" w:rsidRPr="007C2CC5" w:rsidRDefault="00BC5561" w:rsidP="007C2CC5">
      <w:pPr>
        <w:pStyle w:val="paragraphsub"/>
      </w:pPr>
      <w:r w:rsidRPr="007C2CC5">
        <w:tab/>
        <w:t>(ii)</w:t>
      </w:r>
      <w:r w:rsidRPr="007C2CC5">
        <w:tab/>
        <w:t>the asset is not in</w:t>
      </w:r>
      <w:r w:rsidR="007C2CC5">
        <w:noBreakHyphen/>
      </w:r>
      <w:r w:rsidRPr="007C2CC5">
        <w:t xml:space="preserve">house software allocated to a software development pool </w:t>
      </w:r>
      <w:r w:rsidR="00415B89" w:rsidRPr="007C2CC5">
        <w:t xml:space="preserve">for </w:t>
      </w:r>
      <w:r w:rsidR="00415B89">
        <w:t>the income</w:t>
      </w:r>
      <w:r w:rsidR="00415B89" w:rsidRPr="00DC5729">
        <w:t xml:space="preserve"> year</w:t>
      </w:r>
      <w:r w:rsidR="00415B89">
        <w:t xml:space="preserve"> in which you incur the </w:t>
      </w:r>
      <w:proofErr w:type="gramStart"/>
      <w:r w:rsidR="00415B89">
        <w:t>expenditure</w:t>
      </w:r>
      <w:r w:rsidR="00F40461" w:rsidRPr="007C2CC5">
        <w:t>;</w:t>
      </w:r>
      <w:proofErr w:type="gramEnd"/>
    </w:p>
    <w:p w14:paraId="7A206761" w14:textId="77777777" w:rsidR="00F40461" w:rsidRDefault="00F40461" w:rsidP="007C2CC5">
      <w:pPr>
        <w:pStyle w:val="paragraph"/>
      </w:pPr>
      <w:r w:rsidRPr="007C2CC5">
        <w:tab/>
      </w:r>
      <w:r w:rsidRPr="007C2CC5">
        <w:tab/>
      </w:r>
      <w:r w:rsidR="00BC5561" w:rsidRPr="007C2CC5">
        <w:t>you start to use the asset</w:t>
      </w:r>
      <w:r w:rsidR="00140BC9" w:rsidRPr="007C2CC5">
        <w:t>,</w:t>
      </w:r>
      <w:r w:rsidR="00BC5561" w:rsidRPr="007C2CC5">
        <w:t xml:space="preserve"> or have it installed ready for use for a taxable </w:t>
      </w:r>
      <w:proofErr w:type="gramStart"/>
      <w:r w:rsidR="00BC5561" w:rsidRPr="007C2CC5">
        <w:t>purpose</w:t>
      </w:r>
      <w:r w:rsidR="00DB4A50" w:rsidRPr="007C2CC5">
        <w:t>,</w:t>
      </w:r>
      <w:r w:rsidR="00BC5561" w:rsidRPr="007C2CC5">
        <w:t xml:space="preserve"> before</w:t>
      </w:r>
      <w:proofErr w:type="gramEnd"/>
      <w:r w:rsidR="00BC5561" w:rsidRPr="007C2CC5">
        <w:t xml:space="preserve"> </w:t>
      </w:r>
      <w:r w:rsidR="003939D9" w:rsidRPr="007C2CC5">
        <w:t>1 July</w:t>
      </w:r>
      <w:r w:rsidR="00BC5561" w:rsidRPr="007C2CC5">
        <w:t xml:space="preserve"> 2023.</w:t>
      </w:r>
    </w:p>
    <w:p w14:paraId="482AE9CD" w14:textId="77777777" w:rsidR="009B740A" w:rsidRPr="007C2CC5" w:rsidRDefault="009B740A" w:rsidP="007C2CC5">
      <w:pPr>
        <w:pStyle w:val="SubsectionHead"/>
      </w:pPr>
      <w:r w:rsidRPr="007C2CC5">
        <w:t>Businesses with turnover under $50 million</w:t>
      </w:r>
    </w:p>
    <w:p w14:paraId="3158372A" w14:textId="77777777" w:rsidR="001F6FE2" w:rsidRPr="007C2CC5" w:rsidRDefault="009B740A" w:rsidP="007C2CC5">
      <w:pPr>
        <w:pStyle w:val="subsection"/>
      </w:pPr>
      <w:r w:rsidRPr="007C2CC5">
        <w:tab/>
        <w:t>(</w:t>
      </w:r>
      <w:r w:rsidR="00351F8C">
        <w:t>3</w:t>
      </w:r>
      <w:r w:rsidRPr="007C2CC5">
        <w:t>)</w:t>
      </w:r>
      <w:r w:rsidRPr="007C2CC5">
        <w:tab/>
      </w:r>
      <w:r w:rsidR="001F6FE2" w:rsidRPr="007C2CC5">
        <w:t xml:space="preserve">An entity is </w:t>
      </w:r>
      <w:r w:rsidR="00E74B26" w:rsidRPr="007C2CC5">
        <w:t>c</w:t>
      </w:r>
      <w:r w:rsidRPr="007C2CC5">
        <w:t>overed by this subsection for an income year if</w:t>
      </w:r>
      <w:r w:rsidR="001F6FE2" w:rsidRPr="007C2CC5">
        <w:t>:</w:t>
      </w:r>
    </w:p>
    <w:p w14:paraId="204909FF" w14:textId="77777777" w:rsidR="001F6FE2" w:rsidRPr="007C2CC5" w:rsidRDefault="001F6FE2" w:rsidP="007C2CC5">
      <w:pPr>
        <w:pStyle w:val="paragraph"/>
      </w:pPr>
      <w:r w:rsidRPr="007C2CC5">
        <w:tab/>
        <w:t>(a)</w:t>
      </w:r>
      <w:r w:rsidRPr="007C2CC5">
        <w:tab/>
        <w:t>the entity is not a small business entity for the income year; and</w:t>
      </w:r>
    </w:p>
    <w:p w14:paraId="2D1136E8" w14:textId="77777777" w:rsidR="009B740A" w:rsidRPr="007C2CC5" w:rsidRDefault="001F6FE2" w:rsidP="007C2CC5">
      <w:pPr>
        <w:pStyle w:val="paragraph"/>
      </w:pPr>
      <w:r w:rsidRPr="007C2CC5">
        <w:tab/>
        <w:t>(b)</w:t>
      </w:r>
      <w:r w:rsidRPr="007C2CC5">
        <w:tab/>
        <w:t>the entity would be a small business entity for the income year if</w:t>
      </w:r>
      <w:r w:rsidR="009B740A" w:rsidRPr="007C2CC5">
        <w:t>:</w:t>
      </w:r>
    </w:p>
    <w:p w14:paraId="08742FC3" w14:textId="77777777" w:rsidR="009B740A" w:rsidRPr="007C2CC5" w:rsidRDefault="009B740A" w:rsidP="007C2CC5">
      <w:pPr>
        <w:pStyle w:val="paragraphsub"/>
      </w:pPr>
      <w:r w:rsidRPr="007C2CC5">
        <w:tab/>
        <w:t>(</w:t>
      </w:r>
      <w:proofErr w:type="spellStart"/>
      <w:r w:rsidR="001F6FE2" w:rsidRPr="007C2CC5">
        <w:t>i</w:t>
      </w:r>
      <w:proofErr w:type="spellEnd"/>
      <w:r w:rsidRPr="007C2CC5">
        <w:t>)</w:t>
      </w:r>
      <w:r w:rsidRPr="007C2CC5">
        <w:tab/>
        <w:t>each reference in Subdivision 328</w:t>
      </w:r>
      <w:r w:rsidR="007C2CC5">
        <w:noBreakHyphen/>
      </w:r>
      <w:r w:rsidRPr="007C2CC5">
        <w:t xml:space="preserve">C of the </w:t>
      </w:r>
      <w:r w:rsidRPr="007C2CC5">
        <w:rPr>
          <w:i/>
        </w:rPr>
        <w:t xml:space="preserve">Income Tax Assessment Act 1997 </w:t>
      </w:r>
      <w:r w:rsidRPr="007C2CC5">
        <w:t>(about what is a small business entity) to $10 million were instead a reference to $50 million; and</w:t>
      </w:r>
    </w:p>
    <w:p w14:paraId="6C58F845" w14:textId="77777777" w:rsidR="009B740A" w:rsidRPr="007C2CC5" w:rsidRDefault="009B740A" w:rsidP="007C2CC5">
      <w:pPr>
        <w:pStyle w:val="paragraphsub"/>
      </w:pPr>
      <w:r w:rsidRPr="007C2CC5">
        <w:tab/>
        <w:t>(</w:t>
      </w:r>
      <w:r w:rsidR="001F6FE2" w:rsidRPr="007C2CC5">
        <w:t>ii</w:t>
      </w:r>
      <w:r w:rsidRPr="007C2CC5">
        <w:t>)</w:t>
      </w:r>
      <w:r w:rsidRPr="007C2CC5">
        <w:tab/>
        <w:t>the reference in paragraph 328</w:t>
      </w:r>
      <w:r w:rsidR="007C2CC5">
        <w:noBreakHyphen/>
      </w:r>
      <w:r w:rsidRPr="007C2CC5">
        <w:t>110(5)(b) of that Act to a small business entity were instead a reference to an entity covered by this subsection.</w:t>
      </w:r>
    </w:p>
    <w:p w14:paraId="2C396441" w14:textId="77777777" w:rsidR="00373E36" w:rsidRPr="007C2CC5" w:rsidRDefault="00373E36" w:rsidP="007C2CC5">
      <w:pPr>
        <w:pStyle w:val="SubsectionHead"/>
      </w:pPr>
      <w:r w:rsidRPr="007C2CC5">
        <w:lastRenderedPageBreak/>
        <w:t xml:space="preserve">Working out </w:t>
      </w:r>
      <w:r w:rsidR="00573128" w:rsidRPr="007C2CC5">
        <w:t>when you can deduct an amount of expenditure on a depreciating asset</w:t>
      </w:r>
    </w:p>
    <w:p w14:paraId="30C7EEC0" w14:textId="77777777" w:rsidR="002D2B7C" w:rsidRPr="007C2CC5" w:rsidRDefault="00373E36" w:rsidP="007C2CC5">
      <w:pPr>
        <w:pStyle w:val="subsection"/>
      </w:pPr>
      <w:r w:rsidRPr="007C2CC5">
        <w:tab/>
        <w:t>(</w:t>
      </w:r>
      <w:r w:rsidR="00351F8C">
        <w:t>4</w:t>
      </w:r>
      <w:r w:rsidRPr="007C2CC5">
        <w:t>)</w:t>
      </w:r>
      <w:r w:rsidRPr="007C2CC5">
        <w:tab/>
        <w:t xml:space="preserve">For the purposes of </w:t>
      </w:r>
      <w:r w:rsidR="003939D9" w:rsidRPr="007C2CC5">
        <w:t>paragraphs (</w:t>
      </w:r>
      <w:r w:rsidRPr="007C2CC5">
        <w:t>1)(c) and (</w:t>
      </w:r>
      <w:r w:rsidR="00351F8C">
        <w:t>2</w:t>
      </w:r>
      <w:r w:rsidRPr="007C2CC5">
        <w:t>)(c), in working out whether you can deduct an amount of expenditure on a depreciating asset</w:t>
      </w:r>
      <w:r w:rsidR="00FA59BB" w:rsidRPr="007C2CC5">
        <w:t>,</w:t>
      </w:r>
      <w:r w:rsidRPr="007C2CC5">
        <w:t xml:space="preserve"> assume that</w:t>
      </w:r>
      <w:r w:rsidR="00FA59BB" w:rsidRPr="007C2CC5">
        <w:t>:</w:t>
      </w:r>
    </w:p>
    <w:p w14:paraId="011F0D20" w14:textId="77777777" w:rsidR="002D2B7C" w:rsidRPr="007C2CC5" w:rsidRDefault="002D2B7C" w:rsidP="007C2CC5">
      <w:pPr>
        <w:pStyle w:val="paragraph"/>
      </w:pPr>
      <w:r w:rsidRPr="007C2CC5">
        <w:tab/>
        <w:t>(a)</w:t>
      </w:r>
      <w:r w:rsidRPr="007C2CC5">
        <w:tab/>
        <w:t>you will continue to hold the asset throughout its effective life; and</w:t>
      </w:r>
    </w:p>
    <w:p w14:paraId="1F474225" w14:textId="77777777" w:rsidR="002D2B7C" w:rsidRPr="007C2CC5" w:rsidRDefault="002D2B7C" w:rsidP="007C2CC5">
      <w:pPr>
        <w:pStyle w:val="paragraph"/>
      </w:pPr>
      <w:r w:rsidRPr="007C2CC5">
        <w:tab/>
        <w:t>(b)</w:t>
      </w:r>
      <w:r w:rsidRPr="007C2CC5">
        <w:tab/>
        <w:t>throughout that effective life, you will use the asset for a taxable purpose to the same extent as you use it, or have it installed ready for use, for a taxable purpose in the income year in which you start to use it</w:t>
      </w:r>
      <w:r w:rsidR="00300A6C" w:rsidRPr="007C2CC5">
        <w:t>,</w:t>
      </w:r>
      <w:r w:rsidRPr="007C2CC5">
        <w:t xml:space="preserve"> or have it installed ready for use</w:t>
      </w:r>
      <w:r w:rsidR="00096113" w:rsidRPr="007C2CC5">
        <w:t>,</w:t>
      </w:r>
      <w:r w:rsidRPr="007C2CC5">
        <w:t xml:space="preserve"> for a taxable purpose.</w:t>
      </w:r>
    </w:p>
    <w:p w14:paraId="0BC13DCB" w14:textId="77777777" w:rsidR="000C437D" w:rsidRPr="007C2CC5" w:rsidRDefault="000C437D" w:rsidP="007C2CC5">
      <w:pPr>
        <w:pStyle w:val="SubsectionHead"/>
      </w:pPr>
      <w:r w:rsidRPr="007C2CC5">
        <w:t>Excluded expenditure</w:t>
      </w:r>
    </w:p>
    <w:p w14:paraId="0F6C4424" w14:textId="77777777" w:rsidR="000C437D" w:rsidRPr="007C2CC5" w:rsidRDefault="000C437D" w:rsidP="007C2CC5">
      <w:pPr>
        <w:pStyle w:val="subsection"/>
      </w:pPr>
      <w:r w:rsidRPr="007C2CC5">
        <w:tab/>
        <w:t>(</w:t>
      </w:r>
      <w:r w:rsidR="00351F8C">
        <w:t>5</w:t>
      </w:r>
      <w:r w:rsidRPr="007C2CC5">
        <w:t>)</w:t>
      </w:r>
      <w:r w:rsidRPr="007C2CC5">
        <w:tab/>
        <w:t>The following kinds of expenditure are excluded by this subsection:</w:t>
      </w:r>
    </w:p>
    <w:p w14:paraId="477EDB6D" w14:textId="77777777" w:rsidR="000C437D" w:rsidRPr="007C2CC5" w:rsidRDefault="000C437D" w:rsidP="007C2CC5">
      <w:pPr>
        <w:pStyle w:val="paragraph"/>
      </w:pPr>
      <w:r w:rsidRPr="007C2CC5">
        <w:tab/>
        <w:t>(a)</w:t>
      </w:r>
      <w:r w:rsidRPr="007C2CC5">
        <w:tab/>
        <w:t xml:space="preserve">salary or wage </w:t>
      </w:r>
      <w:proofErr w:type="gramStart"/>
      <w:r w:rsidRPr="007C2CC5">
        <w:t>costs;</w:t>
      </w:r>
      <w:proofErr w:type="gramEnd"/>
    </w:p>
    <w:p w14:paraId="68B4CB96" w14:textId="77777777" w:rsidR="000C437D" w:rsidRPr="007C2CC5" w:rsidRDefault="000C437D" w:rsidP="007C2CC5">
      <w:pPr>
        <w:pStyle w:val="paragraph"/>
      </w:pPr>
      <w:r w:rsidRPr="007C2CC5">
        <w:tab/>
        <w:t>(b)</w:t>
      </w:r>
      <w:r w:rsidRPr="007C2CC5">
        <w:tab/>
        <w:t xml:space="preserve">capital works costs for which you can deduct an amount under Division 43 of the </w:t>
      </w:r>
      <w:r w:rsidRPr="007C2CC5">
        <w:rPr>
          <w:i/>
        </w:rPr>
        <w:t xml:space="preserve">Income Tax Assessment Act </w:t>
      </w:r>
      <w:proofErr w:type="gramStart"/>
      <w:r w:rsidRPr="007C2CC5">
        <w:rPr>
          <w:i/>
        </w:rPr>
        <w:t>1997</w:t>
      </w:r>
      <w:r w:rsidRPr="007C2CC5">
        <w:t>;</w:t>
      </w:r>
      <w:proofErr w:type="gramEnd"/>
    </w:p>
    <w:p w14:paraId="7AF319B2" w14:textId="77777777" w:rsidR="000C437D" w:rsidRPr="007C2CC5" w:rsidRDefault="000C437D" w:rsidP="007C2CC5">
      <w:pPr>
        <w:pStyle w:val="paragraph"/>
      </w:pPr>
      <w:r w:rsidRPr="007C2CC5">
        <w:tab/>
        <w:t>(c)</w:t>
      </w:r>
      <w:r w:rsidRPr="007C2CC5">
        <w:tab/>
        <w:t>financing costs, including interest</w:t>
      </w:r>
      <w:r w:rsidR="00991DBC" w:rsidRPr="007C2CC5">
        <w:t xml:space="preserve">, </w:t>
      </w:r>
      <w:r w:rsidRPr="007C2CC5">
        <w:t xml:space="preserve">payments in the nature of interest and expenses of </w:t>
      </w:r>
      <w:proofErr w:type="gramStart"/>
      <w:r w:rsidRPr="007C2CC5">
        <w:t>borrowing;</w:t>
      </w:r>
      <w:proofErr w:type="gramEnd"/>
    </w:p>
    <w:p w14:paraId="5B2DCA8F" w14:textId="77777777" w:rsidR="000C437D" w:rsidRPr="007C2CC5" w:rsidRDefault="000C437D" w:rsidP="007C2CC5">
      <w:pPr>
        <w:pStyle w:val="paragraph"/>
      </w:pPr>
      <w:r w:rsidRPr="007C2CC5">
        <w:tab/>
        <w:t>(</w:t>
      </w:r>
      <w:r w:rsidR="00375786" w:rsidRPr="007C2CC5">
        <w:t>d</w:t>
      </w:r>
      <w:r w:rsidRPr="007C2CC5">
        <w:t>)</w:t>
      </w:r>
      <w:r w:rsidRPr="007C2CC5">
        <w:tab/>
        <w:t xml:space="preserve">training or education </w:t>
      </w:r>
      <w:proofErr w:type="gramStart"/>
      <w:r w:rsidRPr="007C2CC5">
        <w:t>costs;</w:t>
      </w:r>
      <w:proofErr w:type="gramEnd"/>
    </w:p>
    <w:p w14:paraId="06C0A466" w14:textId="77777777" w:rsidR="00F40461" w:rsidRDefault="000C437D" w:rsidP="007C2CC5">
      <w:pPr>
        <w:pStyle w:val="paragraph"/>
      </w:pPr>
      <w:r w:rsidRPr="007C2CC5">
        <w:tab/>
        <w:t>(</w:t>
      </w:r>
      <w:r w:rsidR="00375786" w:rsidRPr="007C2CC5">
        <w:t>e</w:t>
      </w:r>
      <w:r w:rsidRPr="007C2CC5">
        <w:t>)</w:t>
      </w:r>
      <w:r w:rsidRPr="007C2CC5">
        <w:tab/>
        <w:t>expenditure that you incur that forms part of, or is included in, the cost of your trading stock.</w:t>
      </w:r>
    </w:p>
    <w:p w14:paraId="276F855E" w14:textId="77777777" w:rsidR="00064DDE" w:rsidRPr="00064DDE" w:rsidRDefault="00064DDE" w:rsidP="00064DDE">
      <w:pPr>
        <w:pStyle w:val="notetext"/>
      </w:pPr>
      <w:r>
        <w:t>Note:</w:t>
      </w:r>
      <w:r>
        <w:tab/>
        <w:t xml:space="preserve">For deductions relating to </w:t>
      </w:r>
      <w:r w:rsidRPr="007C2CC5">
        <w:t>training or education costs</w:t>
      </w:r>
      <w:r w:rsidR="004109AA">
        <w:t>,</w:t>
      </w:r>
      <w:r>
        <w:t xml:space="preserve"> see section </w:t>
      </w:r>
      <w:r w:rsidRPr="009F14E8">
        <w:t>328</w:t>
      </w:r>
      <w:r w:rsidRPr="009F14E8">
        <w:noBreakHyphen/>
        <w:t>445.</w:t>
      </w:r>
    </w:p>
    <w:sectPr w:rsidR="00064DDE" w:rsidRPr="00064DDE" w:rsidSect="007C2C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7C3F" w14:textId="77777777" w:rsidR="00415E9F" w:rsidRDefault="00415E9F" w:rsidP="00664C63">
      <w:pPr>
        <w:spacing w:line="240" w:lineRule="auto"/>
      </w:pPr>
      <w:r>
        <w:separator/>
      </w:r>
    </w:p>
  </w:endnote>
  <w:endnote w:type="continuationSeparator" w:id="0">
    <w:p w14:paraId="06276156" w14:textId="77777777" w:rsidR="00415E9F" w:rsidRDefault="00415E9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453D" w14:textId="77777777" w:rsidR="00664C63" w:rsidRPr="00BB4623" w:rsidRDefault="00664C63" w:rsidP="007C2CC5">
    <w:pPr>
      <w:pBdr>
        <w:top w:val="single" w:sz="6" w:space="1" w:color="auto"/>
      </w:pBdr>
      <w:spacing w:before="120"/>
      <w:jc w:val="right"/>
      <w:rPr>
        <w:sz w:val="18"/>
      </w:rPr>
    </w:pPr>
  </w:p>
  <w:p w14:paraId="11A7E412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0E52EC6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0269" w14:textId="77777777" w:rsidR="0095602D" w:rsidRDefault="0095602D" w:rsidP="007C2CC5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461216C4" w14:textId="77777777" w:rsidTr="00A91C76">
      <w:trPr>
        <w:trHeight w:val="280"/>
      </w:trPr>
      <w:tc>
        <w:tcPr>
          <w:tcW w:w="7087" w:type="dxa"/>
        </w:tcPr>
        <w:p w14:paraId="328F7F44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03D12F41" w14:textId="77777777" w:rsidTr="00A91C76">
      <w:tc>
        <w:tcPr>
          <w:tcW w:w="7087" w:type="dxa"/>
        </w:tcPr>
        <w:p w14:paraId="3F00267C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B0E79AD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78775D4" wp14:editId="42BFF96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53ADC" w14:textId="77777777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7299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7299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775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26653ADC" w14:textId="77777777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7299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7299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630" w14:textId="77777777" w:rsidR="00664C63" w:rsidRPr="00BB4623" w:rsidRDefault="00664C63" w:rsidP="007C2C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836D" w14:textId="77777777" w:rsidR="00415E9F" w:rsidRDefault="00415E9F" w:rsidP="00664C63">
      <w:pPr>
        <w:spacing w:line="240" w:lineRule="auto"/>
      </w:pPr>
      <w:r>
        <w:separator/>
      </w:r>
    </w:p>
  </w:footnote>
  <w:footnote w:type="continuationSeparator" w:id="0">
    <w:p w14:paraId="3F698973" w14:textId="77777777" w:rsidR="00415E9F" w:rsidRDefault="00415E9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D151" w14:textId="77777777" w:rsidR="00664C63" w:rsidRPr="00BB4623" w:rsidRDefault="00664C63" w:rsidP="00664C63">
    <w:pPr>
      <w:rPr>
        <w:sz w:val="24"/>
      </w:rPr>
    </w:pPr>
  </w:p>
  <w:p w14:paraId="215D05B1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F41E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5E137FB" wp14:editId="1C2D78F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04893" w14:textId="33D0D66F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7299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7299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1155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417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137FB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9D04893" w14:textId="33D0D66F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7299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7299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1155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417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F700307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BF21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4F9B"/>
    <w:rsid w:val="000136AF"/>
    <w:rsid w:val="00014B9A"/>
    <w:rsid w:val="00025C00"/>
    <w:rsid w:val="00027C0C"/>
    <w:rsid w:val="000432C3"/>
    <w:rsid w:val="00043A76"/>
    <w:rsid w:val="00055D20"/>
    <w:rsid w:val="000614BF"/>
    <w:rsid w:val="00063D03"/>
    <w:rsid w:val="00064DDE"/>
    <w:rsid w:val="000679B1"/>
    <w:rsid w:val="00073C5A"/>
    <w:rsid w:val="00081CE1"/>
    <w:rsid w:val="00087033"/>
    <w:rsid w:val="00096113"/>
    <w:rsid w:val="000B533F"/>
    <w:rsid w:val="000B70E8"/>
    <w:rsid w:val="000C437D"/>
    <w:rsid w:val="000C4B50"/>
    <w:rsid w:val="000C74F9"/>
    <w:rsid w:val="000D05EF"/>
    <w:rsid w:val="000D30BE"/>
    <w:rsid w:val="000D3899"/>
    <w:rsid w:val="000F21C1"/>
    <w:rsid w:val="000F4126"/>
    <w:rsid w:val="001016D1"/>
    <w:rsid w:val="0010240E"/>
    <w:rsid w:val="0010745C"/>
    <w:rsid w:val="0011206D"/>
    <w:rsid w:val="0011730E"/>
    <w:rsid w:val="00140BC9"/>
    <w:rsid w:val="00156B71"/>
    <w:rsid w:val="00166C2F"/>
    <w:rsid w:val="00167124"/>
    <w:rsid w:val="00182C9A"/>
    <w:rsid w:val="0018435F"/>
    <w:rsid w:val="00185466"/>
    <w:rsid w:val="001939E1"/>
    <w:rsid w:val="00195382"/>
    <w:rsid w:val="001A0CA2"/>
    <w:rsid w:val="001B0F61"/>
    <w:rsid w:val="001C69C4"/>
    <w:rsid w:val="001E1DB6"/>
    <w:rsid w:val="001E3590"/>
    <w:rsid w:val="001E7407"/>
    <w:rsid w:val="001F4D1E"/>
    <w:rsid w:val="001F6FE2"/>
    <w:rsid w:val="0021250A"/>
    <w:rsid w:val="002247B8"/>
    <w:rsid w:val="002277A0"/>
    <w:rsid w:val="00230306"/>
    <w:rsid w:val="00240749"/>
    <w:rsid w:val="0024288D"/>
    <w:rsid w:val="00277E86"/>
    <w:rsid w:val="0029080A"/>
    <w:rsid w:val="00296415"/>
    <w:rsid w:val="00297ECB"/>
    <w:rsid w:val="002A3D92"/>
    <w:rsid w:val="002B1D6F"/>
    <w:rsid w:val="002B737F"/>
    <w:rsid w:val="002C085A"/>
    <w:rsid w:val="002D043A"/>
    <w:rsid w:val="002D2B7C"/>
    <w:rsid w:val="002D3DDA"/>
    <w:rsid w:val="002D6952"/>
    <w:rsid w:val="002E2FC0"/>
    <w:rsid w:val="002E43E5"/>
    <w:rsid w:val="002F08B3"/>
    <w:rsid w:val="00300A6C"/>
    <w:rsid w:val="003075E5"/>
    <w:rsid w:val="00313627"/>
    <w:rsid w:val="00313C6F"/>
    <w:rsid w:val="00321C37"/>
    <w:rsid w:val="00325A75"/>
    <w:rsid w:val="0033411C"/>
    <w:rsid w:val="00334771"/>
    <w:rsid w:val="003415D3"/>
    <w:rsid w:val="00345704"/>
    <w:rsid w:val="00351F8C"/>
    <w:rsid w:val="00352B0F"/>
    <w:rsid w:val="00364039"/>
    <w:rsid w:val="00373E36"/>
    <w:rsid w:val="00375786"/>
    <w:rsid w:val="00386432"/>
    <w:rsid w:val="003939D9"/>
    <w:rsid w:val="00394FF6"/>
    <w:rsid w:val="003A4014"/>
    <w:rsid w:val="003B0F1E"/>
    <w:rsid w:val="003D0317"/>
    <w:rsid w:val="003D0BFE"/>
    <w:rsid w:val="003D2D96"/>
    <w:rsid w:val="003D5700"/>
    <w:rsid w:val="003E63E8"/>
    <w:rsid w:val="003F60D2"/>
    <w:rsid w:val="00402376"/>
    <w:rsid w:val="004043EE"/>
    <w:rsid w:val="0040616D"/>
    <w:rsid w:val="004109AA"/>
    <w:rsid w:val="004116CD"/>
    <w:rsid w:val="00415B89"/>
    <w:rsid w:val="00415E9F"/>
    <w:rsid w:val="004168B4"/>
    <w:rsid w:val="00423E47"/>
    <w:rsid w:val="00424CA9"/>
    <w:rsid w:val="00427D10"/>
    <w:rsid w:val="0044291A"/>
    <w:rsid w:val="004852CC"/>
    <w:rsid w:val="00496F97"/>
    <w:rsid w:val="004A173E"/>
    <w:rsid w:val="004E0E09"/>
    <w:rsid w:val="004E3680"/>
    <w:rsid w:val="004F4C45"/>
    <w:rsid w:val="00502A2D"/>
    <w:rsid w:val="005104CE"/>
    <w:rsid w:val="00516B8D"/>
    <w:rsid w:val="005329BC"/>
    <w:rsid w:val="00535FB0"/>
    <w:rsid w:val="00537FBC"/>
    <w:rsid w:val="00542A36"/>
    <w:rsid w:val="00543850"/>
    <w:rsid w:val="00556ACC"/>
    <w:rsid w:val="00572AF1"/>
    <w:rsid w:val="00573128"/>
    <w:rsid w:val="00584052"/>
    <w:rsid w:val="00584811"/>
    <w:rsid w:val="00593AA6"/>
    <w:rsid w:val="00594161"/>
    <w:rsid w:val="00594749"/>
    <w:rsid w:val="005A2BB1"/>
    <w:rsid w:val="005A6F34"/>
    <w:rsid w:val="005B4067"/>
    <w:rsid w:val="005C3F41"/>
    <w:rsid w:val="005C5733"/>
    <w:rsid w:val="005C5800"/>
    <w:rsid w:val="005D4B58"/>
    <w:rsid w:val="005D4DEA"/>
    <w:rsid w:val="005E549B"/>
    <w:rsid w:val="005F19DF"/>
    <w:rsid w:val="00600219"/>
    <w:rsid w:val="00602E11"/>
    <w:rsid w:val="00611C2E"/>
    <w:rsid w:val="00616ED8"/>
    <w:rsid w:val="0062541F"/>
    <w:rsid w:val="006444FB"/>
    <w:rsid w:val="0065106B"/>
    <w:rsid w:val="006527A6"/>
    <w:rsid w:val="00664C63"/>
    <w:rsid w:val="0067299D"/>
    <w:rsid w:val="006737C3"/>
    <w:rsid w:val="00677CC2"/>
    <w:rsid w:val="00681A4A"/>
    <w:rsid w:val="0069207B"/>
    <w:rsid w:val="006A7D13"/>
    <w:rsid w:val="006B51F1"/>
    <w:rsid w:val="006C3033"/>
    <w:rsid w:val="006C7F8C"/>
    <w:rsid w:val="006D3764"/>
    <w:rsid w:val="006E09BE"/>
    <w:rsid w:val="006E4AB2"/>
    <w:rsid w:val="006F25A2"/>
    <w:rsid w:val="006F6CF6"/>
    <w:rsid w:val="00700B2C"/>
    <w:rsid w:val="00703169"/>
    <w:rsid w:val="00713084"/>
    <w:rsid w:val="007173B8"/>
    <w:rsid w:val="007226A3"/>
    <w:rsid w:val="00731E00"/>
    <w:rsid w:val="00732A85"/>
    <w:rsid w:val="007440B7"/>
    <w:rsid w:val="00747F6E"/>
    <w:rsid w:val="0075226A"/>
    <w:rsid w:val="007627F4"/>
    <w:rsid w:val="00764230"/>
    <w:rsid w:val="007715C9"/>
    <w:rsid w:val="00774EDD"/>
    <w:rsid w:val="007757EC"/>
    <w:rsid w:val="007845BF"/>
    <w:rsid w:val="00795FCE"/>
    <w:rsid w:val="007A659A"/>
    <w:rsid w:val="007B081F"/>
    <w:rsid w:val="007B454B"/>
    <w:rsid w:val="007C2CC5"/>
    <w:rsid w:val="007C4E4D"/>
    <w:rsid w:val="007E4CC8"/>
    <w:rsid w:val="0080160D"/>
    <w:rsid w:val="00811177"/>
    <w:rsid w:val="008236D6"/>
    <w:rsid w:val="00830815"/>
    <w:rsid w:val="0083256B"/>
    <w:rsid w:val="00834685"/>
    <w:rsid w:val="008352D4"/>
    <w:rsid w:val="00843142"/>
    <w:rsid w:val="0085421A"/>
    <w:rsid w:val="00856A31"/>
    <w:rsid w:val="00866731"/>
    <w:rsid w:val="00872793"/>
    <w:rsid w:val="008754D0"/>
    <w:rsid w:val="00883892"/>
    <w:rsid w:val="008902B6"/>
    <w:rsid w:val="008A6470"/>
    <w:rsid w:val="008D0EE0"/>
    <w:rsid w:val="008D4D76"/>
    <w:rsid w:val="008E05CA"/>
    <w:rsid w:val="009028EB"/>
    <w:rsid w:val="0090776A"/>
    <w:rsid w:val="009149A3"/>
    <w:rsid w:val="009254A9"/>
    <w:rsid w:val="00931D06"/>
    <w:rsid w:val="00932377"/>
    <w:rsid w:val="00932FA3"/>
    <w:rsid w:val="009417C0"/>
    <w:rsid w:val="00947A95"/>
    <w:rsid w:val="00953B39"/>
    <w:rsid w:val="0095602D"/>
    <w:rsid w:val="009620C2"/>
    <w:rsid w:val="00970724"/>
    <w:rsid w:val="009808B0"/>
    <w:rsid w:val="009827AE"/>
    <w:rsid w:val="009838C3"/>
    <w:rsid w:val="0098471A"/>
    <w:rsid w:val="009859F2"/>
    <w:rsid w:val="00986F5B"/>
    <w:rsid w:val="00991DBC"/>
    <w:rsid w:val="009B740A"/>
    <w:rsid w:val="009D19D7"/>
    <w:rsid w:val="009F14E8"/>
    <w:rsid w:val="00A06182"/>
    <w:rsid w:val="00A120DD"/>
    <w:rsid w:val="00A231E2"/>
    <w:rsid w:val="00A23E61"/>
    <w:rsid w:val="00A25627"/>
    <w:rsid w:val="00A25DA3"/>
    <w:rsid w:val="00A415B9"/>
    <w:rsid w:val="00A5417A"/>
    <w:rsid w:val="00A64912"/>
    <w:rsid w:val="00A70A74"/>
    <w:rsid w:val="00A72296"/>
    <w:rsid w:val="00A749B0"/>
    <w:rsid w:val="00A81C1E"/>
    <w:rsid w:val="00A92EC8"/>
    <w:rsid w:val="00AA5445"/>
    <w:rsid w:val="00AB5A90"/>
    <w:rsid w:val="00AB6B6C"/>
    <w:rsid w:val="00AC14C0"/>
    <w:rsid w:val="00AC18FA"/>
    <w:rsid w:val="00AC1E3F"/>
    <w:rsid w:val="00AC715D"/>
    <w:rsid w:val="00AD27B3"/>
    <w:rsid w:val="00AD4379"/>
    <w:rsid w:val="00AD5641"/>
    <w:rsid w:val="00AE0079"/>
    <w:rsid w:val="00AE59F7"/>
    <w:rsid w:val="00AE6D39"/>
    <w:rsid w:val="00AE7BD7"/>
    <w:rsid w:val="00B03A87"/>
    <w:rsid w:val="00B04A2A"/>
    <w:rsid w:val="00B05DED"/>
    <w:rsid w:val="00B256E7"/>
    <w:rsid w:val="00B26413"/>
    <w:rsid w:val="00B271C4"/>
    <w:rsid w:val="00B30055"/>
    <w:rsid w:val="00B30BBF"/>
    <w:rsid w:val="00B33B3C"/>
    <w:rsid w:val="00B340B6"/>
    <w:rsid w:val="00B3608C"/>
    <w:rsid w:val="00B372A6"/>
    <w:rsid w:val="00B429C2"/>
    <w:rsid w:val="00B61C25"/>
    <w:rsid w:val="00B70E56"/>
    <w:rsid w:val="00B84D9D"/>
    <w:rsid w:val="00B87A43"/>
    <w:rsid w:val="00B92C9B"/>
    <w:rsid w:val="00B9653B"/>
    <w:rsid w:val="00BC0EA8"/>
    <w:rsid w:val="00BC30F2"/>
    <w:rsid w:val="00BC4F9B"/>
    <w:rsid w:val="00BC5561"/>
    <w:rsid w:val="00BD1655"/>
    <w:rsid w:val="00BD6088"/>
    <w:rsid w:val="00BE385A"/>
    <w:rsid w:val="00BE719A"/>
    <w:rsid w:val="00BE720A"/>
    <w:rsid w:val="00C11558"/>
    <w:rsid w:val="00C42BF8"/>
    <w:rsid w:val="00C470A9"/>
    <w:rsid w:val="00C479E9"/>
    <w:rsid w:val="00C50043"/>
    <w:rsid w:val="00C53114"/>
    <w:rsid w:val="00C651AD"/>
    <w:rsid w:val="00C723B9"/>
    <w:rsid w:val="00C7573B"/>
    <w:rsid w:val="00C77582"/>
    <w:rsid w:val="00C77D10"/>
    <w:rsid w:val="00CA7F61"/>
    <w:rsid w:val="00CB0EA8"/>
    <w:rsid w:val="00CB331C"/>
    <w:rsid w:val="00CB626B"/>
    <w:rsid w:val="00CC0A6D"/>
    <w:rsid w:val="00CC6DBF"/>
    <w:rsid w:val="00CC7A09"/>
    <w:rsid w:val="00CE4CBA"/>
    <w:rsid w:val="00CF0BB2"/>
    <w:rsid w:val="00CF4975"/>
    <w:rsid w:val="00D026AC"/>
    <w:rsid w:val="00D030CF"/>
    <w:rsid w:val="00D13441"/>
    <w:rsid w:val="00D1554F"/>
    <w:rsid w:val="00D1704D"/>
    <w:rsid w:val="00D3213F"/>
    <w:rsid w:val="00D374CE"/>
    <w:rsid w:val="00D40252"/>
    <w:rsid w:val="00D458BC"/>
    <w:rsid w:val="00D467B9"/>
    <w:rsid w:val="00D60E1D"/>
    <w:rsid w:val="00D67311"/>
    <w:rsid w:val="00D70DFB"/>
    <w:rsid w:val="00D7186F"/>
    <w:rsid w:val="00D766DF"/>
    <w:rsid w:val="00D9284D"/>
    <w:rsid w:val="00DA0F83"/>
    <w:rsid w:val="00DB4A50"/>
    <w:rsid w:val="00DB69FC"/>
    <w:rsid w:val="00DD314D"/>
    <w:rsid w:val="00DD6854"/>
    <w:rsid w:val="00DE67AF"/>
    <w:rsid w:val="00DE68D4"/>
    <w:rsid w:val="00E05704"/>
    <w:rsid w:val="00E1363F"/>
    <w:rsid w:val="00E32C8A"/>
    <w:rsid w:val="00E33040"/>
    <w:rsid w:val="00E40652"/>
    <w:rsid w:val="00E54CAB"/>
    <w:rsid w:val="00E74B26"/>
    <w:rsid w:val="00E74DC7"/>
    <w:rsid w:val="00E85CB9"/>
    <w:rsid w:val="00E94998"/>
    <w:rsid w:val="00E949CD"/>
    <w:rsid w:val="00E96C9B"/>
    <w:rsid w:val="00EB1559"/>
    <w:rsid w:val="00ED1A6C"/>
    <w:rsid w:val="00ED28EF"/>
    <w:rsid w:val="00EE25A8"/>
    <w:rsid w:val="00EE6DCC"/>
    <w:rsid w:val="00EF2E3A"/>
    <w:rsid w:val="00F003A0"/>
    <w:rsid w:val="00F0132A"/>
    <w:rsid w:val="00F02C56"/>
    <w:rsid w:val="00F04219"/>
    <w:rsid w:val="00F078DC"/>
    <w:rsid w:val="00F23E07"/>
    <w:rsid w:val="00F34B5D"/>
    <w:rsid w:val="00F40461"/>
    <w:rsid w:val="00F47D3F"/>
    <w:rsid w:val="00F5076A"/>
    <w:rsid w:val="00F53F90"/>
    <w:rsid w:val="00F71234"/>
    <w:rsid w:val="00F765C0"/>
    <w:rsid w:val="00F8103A"/>
    <w:rsid w:val="00F86CC5"/>
    <w:rsid w:val="00F9423F"/>
    <w:rsid w:val="00FA2720"/>
    <w:rsid w:val="00FA3991"/>
    <w:rsid w:val="00FA59BB"/>
    <w:rsid w:val="00FB2953"/>
    <w:rsid w:val="00FC0A7D"/>
    <w:rsid w:val="00FC104F"/>
    <w:rsid w:val="00FD2AE2"/>
    <w:rsid w:val="00FD7CA0"/>
    <w:rsid w:val="00FE5F48"/>
    <w:rsid w:val="00FF0CED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DD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2C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031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031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1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1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1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16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2CC5"/>
  </w:style>
  <w:style w:type="paragraph" w:customStyle="1" w:styleId="OPCParaBase">
    <w:name w:val="OPCParaBase"/>
    <w:qFormat/>
    <w:rsid w:val="007C2CC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2CC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2CC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2CC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2CC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2CC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2CC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2CC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2CC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2CC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2CC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2CC5"/>
  </w:style>
  <w:style w:type="paragraph" w:customStyle="1" w:styleId="Blocks">
    <w:name w:val="Blocks"/>
    <w:aliases w:val="bb"/>
    <w:basedOn w:val="OPCParaBase"/>
    <w:qFormat/>
    <w:rsid w:val="007C2CC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2C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2CC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2CC5"/>
    <w:rPr>
      <w:i/>
    </w:rPr>
  </w:style>
  <w:style w:type="paragraph" w:customStyle="1" w:styleId="BoxList">
    <w:name w:val="BoxList"/>
    <w:aliases w:val="bl"/>
    <w:basedOn w:val="BoxText"/>
    <w:qFormat/>
    <w:rsid w:val="007C2CC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2CC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2CC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2CC5"/>
    <w:pPr>
      <w:ind w:left="1985" w:hanging="851"/>
    </w:pPr>
  </w:style>
  <w:style w:type="character" w:customStyle="1" w:styleId="CharAmPartNo">
    <w:name w:val="CharAmPartNo"/>
    <w:basedOn w:val="OPCCharBase"/>
    <w:qFormat/>
    <w:rsid w:val="007C2CC5"/>
  </w:style>
  <w:style w:type="character" w:customStyle="1" w:styleId="CharAmPartText">
    <w:name w:val="CharAmPartText"/>
    <w:basedOn w:val="OPCCharBase"/>
    <w:qFormat/>
    <w:rsid w:val="007C2CC5"/>
  </w:style>
  <w:style w:type="character" w:customStyle="1" w:styleId="CharAmSchNo">
    <w:name w:val="CharAmSchNo"/>
    <w:basedOn w:val="OPCCharBase"/>
    <w:qFormat/>
    <w:rsid w:val="007C2CC5"/>
  </w:style>
  <w:style w:type="character" w:customStyle="1" w:styleId="CharAmSchText">
    <w:name w:val="CharAmSchText"/>
    <w:basedOn w:val="OPCCharBase"/>
    <w:qFormat/>
    <w:rsid w:val="007C2CC5"/>
  </w:style>
  <w:style w:type="character" w:customStyle="1" w:styleId="CharBoldItalic">
    <w:name w:val="CharBoldItalic"/>
    <w:basedOn w:val="OPCCharBase"/>
    <w:uiPriority w:val="1"/>
    <w:qFormat/>
    <w:rsid w:val="007C2CC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2CC5"/>
  </w:style>
  <w:style w:type="character" w:customStyle="1" w:styleId="CharChapText">
    <w:name w:val="CharChapText"/>
    <w:basedOn w:val="OPCCharBase"/>
    <w:uiPriority w:val="1"/>
    <w:qFormat/>
    <w:rsid w:val="007C2CC5"/>
  </w:style>
  <w:style w:type="character" w:customStyle="1" w:styleId="CharDivNo">
    <w:name w:val="CharDivNo"/>
    <w:basedOn w:val="OPCCharBase"/>
    <w:uiPriority w:val="1"/>
    <w:qFormat/>
    <w:rsid w:val="007C2CC5"/>
  </w:style>
  <w:style w:type="character" w:customStyle="1" w:styleId="CharDivText">
    <w:name w:val="CharDivText"/>
    <w:basedOn w:val="OPCCharBase"/>
    <w:uiPriority w:val="1"/>
    <w:qFormat/>
    <w:rsid w:val="007C2CC5"/>
  </w:style>
  <w:style w:type="character" w:customStyle="1" w:styleId="CharItalic">
    <w:name w:val="CharItalic"/>
    <w:basedOn w:val="OPCCharBase"/>
    <w:uiPriority w:val="1"/>
    <w:qFormat/>
    <w:rsid w:val="007C2CC5"/>
    <w:rPr>
      <w:i/>
    </w:rPr>
  </w:style>
  <w:style w:type="character" w:customStyle="1" w:styleId="CharPartNo">
    <w:name w:val="CharPartNo"/>
    <w:basedOn w:val="OPCCharBase"/>
    <w:uiPriority w:val="1"/>
    <w:qFormat/>
    <w:rsid w:val="007C2CC5"/>
  </w:style>
  <w:style w:type="character" w:customStyle="1" w:styleId="CharPartText">
    <w:name w:val="CharPartText"/>
    <w:basedOn w:val="OPCCharBase"/>
    <w:uiPriority w:val="1"/>
    <w:qFormat/>
    <w:rsid w:val="007C2CC5"/>
  </w:style>
  <w:style w:type="character" w:customStyle="1" w:styleId="CharSectno">
    <w:name w:val="CharSectno"/>
    <w:basedOn w:val="OPCCharBase"/>
    <w:qFormat/>
    <w:rsid w:val="007C2CC5"/>
  </w:style>
  <w:style w:type="character" w:customStyle="1" w:styleId="CharSubdNo">
    <w:name w:val="CharSubdNo"/>
    <w:basedOn w:val="OPCCharBase"/>
    <w:uiPriority w:val="1"/>
    <w:qFormat/>
    <w:rsid w:val="007C2CC5"/>
  </w:style>
  <w:style w:type="character" w:customStyle="1" w:styleId="CharSubdText">
    <w:name w:val="CharSubdText"/>
    <w:basedOn w:val="OPCCharBase"/>
    <w:uiPriority w:val="1"/>
    <w:qFormat/>
    <w:rsid w:val="007C2CC5"/>
  </w:style>
  <w:style w:type="paragraph" w:customStyle="1" w:styleId="CTA--">
    <w:name w:val="CTA --"/>
    <w:basedOn w:val="OPCParaBase"/>
    <w:next w:val="Normal"/>
    <w:rsid w:val="007C2CC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2CC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2CC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2CC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2CC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2CC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2CC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2CC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2CC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2CC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2CC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2CC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2CC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2CC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C2CC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2CC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2C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2CC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2C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2C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2CC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2CC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2CC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2CC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2CC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2CC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2CC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2CC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2CC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2CC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2CC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2CC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2CC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7C2CC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2CC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2CC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2CC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2CC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2CC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2CC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2CC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2CC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2CC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2CC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2CC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2CC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2CC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2CC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2CC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2CC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2CC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2C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2CC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2CC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2CC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C2CC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C2CC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2CC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2CC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2CC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2CC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2CC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2CC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2CC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2CC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2CC5"/>
    <w:rPr>
      <w:sz w:val="16"/>
    </w:rPr>
  </w:style>
  <w:style w:type="table" w:customStyle="1" w:styleId="CFlag">
    <w:name w:val="CFlag"/>
    <w:basedOn w:val="TableNormal"/>
    <w:uiPriority w:val="99"/>
    <w:rsid w:val="007C2CC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C2CC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2CC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2CC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C2CC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C2CC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2CC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2CC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2CC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2CC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2CC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2CC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2CC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2CC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2CC5"/>
  </w:style>
  <w:style w:type="character" w:customStyle="1" w:styleId="CharSubPartNoCASA">
    <w:name w:val="CharSubPartNo(CASA)"/>
    <w:basedOn w:val="OPCCharBase"/>
    <w:uiPriority w:val="1"/>
    <w:rsid w:val="007C2CC5"/>
  </w:style>
  <w:style w:type="paragraph" w:customStyle="1" w:styleId="ENoteTTIndentHeadingSub">
    <w:name w:val="ENoteTTIndentHeadingSub"/>
    <w:aliases w:val="enTTHis"/>
    <w:basedOn w:val="OPCParaBase"/>
    <w:rsid w:val="007C2CC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2CC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2CC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2CC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C2CC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2C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2C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2CC5"/>
    <w:rPr>
      <w:sz w:val="22"/>
    </w:rPr>
  </w:style>
  <w:style w:type="paragraph" w:customStyle="1" w:styleId="SOTextNote">
    <w:name w:val="SO TextNote"/>
    <w:aliases w:val="sont"/>
    <w:basedOn w:val="SOText"/>
    <w:qFormat/>
    <w:rsid w:val="007C2CC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2CC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2CC5"/>
    <w:rPr>
      <w:sz w:val="22"/>
    </w:rPr>
  </w:style>
  <w:style w:type="paragraph" w:customStyle="1" w:styleId="FileName">
    <w:name w:val="FileName"/>
    <w:basedOn w:val="Normal"/>
    <w:rsid w:val="007C2CC5"/>
  </w:style>
  <w:style w:type="paragraph" w:customStyle="1" w:styleId="TableHeading">
    <w:name w:val="TableHeading"/>
    <w:aliases w:val="th"/>
    <w:basedOn w:val="OPCParaBase"/>
    <w:next w:val="Tabletext"/>
    <w:rsid w:val="007C2CC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2CC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2CC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2CC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2CC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2CC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2CC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2CC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2CC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2C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2CC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2CC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C2CC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2CC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C2CC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2CC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C2CC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2C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2C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2C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2CC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C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C2CC5"/>
  </w:style>
  <w:style w:type="character" w:customStyle="1" w:styleId="Heading1Char">
    <w:name w:val="Heading 1 Char"/>
    <w:basedOn w:val="DefaultParagraphFont"/>
    <w:link w:val="Heading1"/>
    <w:uiPriority w:val="9"/>
    <w:rsid w:val="00703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1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16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rsid w:val="0070316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16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16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1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1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agraphsubChar">
    <w:name w:val="paragraph(sub) Char"/>
    <w:aliases w:val="aa Char"/>
    <w:basedOn w:val="DefaultParagraphFont"/>
    <w:link w:val="paragraphsub"/>
    <w:rsid w:val="00351F8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5A104E566229064FBF3B94A508EE4F70" ma:contentTypeVersion="48928" ma:contentTypeDescription="" ma:contentTypeScope="" ma:versionID="4d68c2d6a0f4aab30ac3e38035244e8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40f6309a43308d9fbdf8d881c82eb625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2022RG-308-699</_dlc_DocId>
    <_dlc_DocIdUrl xmlns="0f563589-9cf9-4143-b1eb-fb0534803d38">
      <Url>http://tweb/sites/rg/iitd/bi/_layouts/15/DocIdRedir.aspx?ID=2022RG-308-699</Url>
      <Description>2022RG-308-699</Description>
    </_dlc_DocIdUrl>
  </documentManagement>
</p:properties>
</file>

<file path=customXml/itemProps1.xml><?xml version="1.0" encoding="utf-8"?>
<ds:datastoreItem xmlns:ds="http://schemas.openxmlformats.org/officeDocument/2006/customXml" ds:itemID="{EE3CD89A-4902-411E-BC7F-D1B64B5B5B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8F01C4-1220-419C-80E0-65117BE66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21E94-7F1C-4C51-8C46-E63499D1AFB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B834823-D483-4989-8F6D-204197EE74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5F438C-D7CA-4E73-AD18-71474E7DB488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http://schemas.microsoft.com/sharepoint/v4"/>
    <ds:schemaRef ds:uri="0f563589-9cf9-4143-b1eb-fb0534803d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960</Words>
  <Characters>5543</Characters>
  <Application>Microsoft Office Word</Application>
  <DocSecurity>2</DocSecurity>
  <PresentationFormat/>
  <Lines>102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2022: Technology investment boost</vt:lpstr>
    </vt:vector>
  </TitlesOfParts>
  <Manager/>
  <Company/>
  <LinksUpToDate>false</LinksUpToDate>
  <CharactersWithSpaces>6456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2022: Technology investment boost</dc:title>
  <dc:subject/>
  <dc:creator/>
  <cp:keywords/>
  <dc:description/>
  <cp:lastModifiedBy/>
  <cp:revision>1</cp:revision>
  <cp:lastPrinted>2022-08-10T23:53:00Z</cp:lastPrinted>
  <dcterms:created xsi:type="dcterms:W3CDTF">2022-08-11T01:57:00Z</dcterms:created>
  <dcterms:modified xsi:type="dcterms:W3CDTF">2022-08-23T04:09:00Z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2022: Technology investment boost</vt:lpwstr>
  </property>
  <property fmtid="{D5CDD505-2E9C-101B-9397-08002B2CF9AE}" pid="6" name="Actno">
    <vt:lpwstr/>
  </property>
  <property fmtid="{D5CDD505-2E9C-101B-9397-08002B2CF9AE}" pid="7" name="ID">
    <vt:lpwstr>OPC7949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PC:D22/9069</vt:lpwstr>
  </property>
  <property fmtid="{D5CDD505-2E9C-101B-9397-08002B2CF9AE}" pid="11" name="ContentTypeId">
    <vt:lpwstr>0x01010036BB8DE7EC542E42A8B2E98CC20CB697005A104E566229064FBF3B94A508EE4F70</vt:lpwstr>
  </property>
  <property fmtid="{D5CDD505-2E9C-101B-9397-08002B2CF9AE}" pid="12" name="TSYTopic">
    <vt:lpwstr/>
  </property>
  <property fmtid="{D5CDD505-2E9C-101B-9397-08002B2CF9AE}" pid="13" name="TSYRecordClass">
    <vt:lpwstr>7;#TSY RA-9236 - Retain as national archives|c6a225b4-6b93-473e-bcbb-6bc6ab25b623</vt:lpwstr>
  </property>
  <property fmtid="{D5CDD505-2E9C-101B-9397-08002B2CF9AE}" pid="14" name="_dlc_DocIdItemGuid">
    <vt:lpwstr>7d1b55e2-bcfb-4dea-a8b0-93b4565511b1</vt:lpwstr>
  </property>
  <property fmtid="{D5CDD505-2E9C-101B-9397-08002B2CF9AE}" pid="15" name="Order">
    <vt:r8>7910600</vt:r8>
  </property>
  <property fmtid="{D5CDD505-2E9C-101B-9397-08002B2CF9AE}" pid="16" name="oae75e2df9d943898d59cb03ca0993c5">
    <vt:lpwstr/>
  </property>
  <property fmtid="{D5CDD505-2E9C-101B-9397-08002B2CF9AE}" pid="17" name="Topics">
    <vt:lpwstr/>
  </property>
</Properties>
</file>