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DEB2" w14:textId="48E40DD9" w:rsidR="00F109D4" w:rsidRPr="00731FEA" w:rsidRDefault="00052A55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EXPOSURE DRAFT </w:t>
      </w:r>
      <w:r w:rsidR="00F109D4" w:rsidRPr="00731FEA">
        <w:rPr>
          <w:rFonts w:ascii="Times New Roman" w:hAnsi="Times New Roman"/>
          <w:sz w:val="24"/>
          <w:szCs w:val="24"/>
        </w:rPr>
        <w:t>EXPLANATORY STATEMENT</w:t>
      </w:r>
    </w:p>
    <w:p w14:paraId="7DCEEFB3" w14:textId="77777777" w:rsidR="00334211" w:rsidRDefault="00334211" w:rsidP="00334211">
      <w:pPr>
        <w:spacing w:before="240" w:after="240"/>
        <w:jc w:val="center"/>
        <w:rPr>
          <w:i/>
        </w:rPr>
      </w:pPr>
      <w:r>
        <w:rPr>
          <w:i/>
        </w:rPr>
        <w:t>Australian Securities and Investments Commission Act 2001</w:t>
      </w:r>
    </w:p>
    <w:p w14:paraId="06CEA483" w14:textId="77777777" w:rsidR="00334211" w:rsidRDefault="00334211" w:rsidP="00334211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Corporations Act 2001</w:t>
      </w:r>
    </w:p>
    <w:p w14:paraId="4089DA15" w14:textId="77777777" w:rsidR="00334211" w:rsidRPr="00503E44" w:rsidRDefault="00334211" w:rsidP="00334211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Treasury Laws Amendment (Modernising Business Communications) Regulations 2022</w:t>
      </w:r>
    </w:p>
    <w:p w14:paraId="2FFCB371" w14:textId="2E1C70C3" w:rsidR="00D41047" w:rsidRDefault="001E5886" w:rsidP="00DC179B">
      <w:pPr>
        <w:spacing w:before="240"/>
      </w:pPr>
      <w:r>
        <w:t xml:space="preserve">Section 251 of the </w:t>
      </w:r>
      <w:r>
        <w:rPr>
          <w:i/>
          <w:iCs/>
        </w:rPr>
        <w:t xml:space="preserve">Australian Securities and Investments Commission Act 2001 </w:t>
      </w:r>
      <w:r>
        <w:t xml:space="preserve">(the ASIC Act) </w:t>
      </w:r>
      <w:r w:rsidR="00112A66">
        <w:t xml:space="preserve">provides </w:t>
      </w:r>
      <w:r w:rsidR="00DC179B" w:rsidRPr="00503E44">
        <w:t>that the Governor-General ma</w:t>
      </w:r>
      <w:r w:rsidR="00D41047">
        <w:t xml:space="preserve">y </w:t>
      </w:r>
      <w:r w:rsidR="00D41047" w:rsidRPr="00503E44">
        <w:t xml:space="preserve">make regulations prescribing matters required or permitted by the Act to be prescribed, or necessary or convenient to be prescribed for carrying out or giving effect to </w:t>
      </w:r>
      <w:r w:rsidR="007F559B">
        <w:t>the Act</w:t>
      </w:r>
      <w:r w:rsidR="00D41047" w:rsidRPr="00503E44">
        <w:t>.</w:t>
      </w:r>
    </w:p>
    <w:p w14:paraId="2CF2A0C0" w14:textId="54782F5F" w:rsidR="00112A66" w:rsidRDefault="00112A66" w:rsidP="00DC179B">
      <w:pPr>
        <w:spacing w:before="240"/>
      </w:pPr>
      <w:r>
        <w:t xml:space="preserve">Section 1364 of the </w:t>
      </w:r>
      <w:r>
        <w:rPr>
          <w:i/>
          <w:iCs/>
        </w:rPr>
        <w:t>Corporations Act 2001</w:t>
      </w:r>
      <w:r>
        <w:t xml:space="preserve"> (the Corporations Act) </w:t>
      </w:r>
      <w:r w:rsidRPr="00503E44">
        <w:t>provide</w:t>
      </w:r>
      <w:r>
        <w:t>s</w:t>
      </w:r>
      <w:r w:rsidRPr="00503E44">
        <w:t xml:space="preserve"> that the Governor-General ma</w:t>
      </w:r>
      <w:r>
        <w:t xml:space="preserve">y </w:t>
      </w:r>
      <w:r w:rsidRPr="00503E44">
        <w:t xml:space="preserve">make regulations prescribing matters required or permitted by the Act to be prescribed, or necessary or convenient to be prescribed for carrying out or giving effect to </w:t>
      </w:r>
      <w:r>
        <w:t>the Act</w:t>
      </w:r>
      <w:r w:rsidR="003E1664">
        <w:t>.</w:t>
      </w:r>
    </w:p>
    <w:p w14:paraId="48B9CABA" w14:textId="2066C314" w:rsidR="00D41047" w:rsidRDefault="00052A55" w:rsidP="00647BB7">
      <w:pPr>
        <w:spacing w:before="240"/>
      </w:pPr>
      <w:r>
        <w:t xml:space="preserve">The purpose of the </w:t>
      </w:r>
      <w:r>
        <w:rPr>
          <w:i/>
          <w:iCs/>
        </w:rPr>
        <w:t>Treasury Laws Amendment (Modernising Business Communications) Regulations 2022</w:t>
      </w:r>
      <w:r>
        <w:t xml:space="preserve"> (the Regulations) is to reduce regulatory burden and improve technology neutrality by amending requirements in Treasury laws that are consequential to the passage of the </w:t>
      </w:r>
      <w:r>
        <w:rPr>
          <w:i/>
          <w:iCs/>
        </w:rPr>
        <w:t>Treasury Laws</w:t>
      </w:r>
      <w:r w:rsidR="00B70C6A">
        <w:rPr>
          <w:i/>
          <w:iCs/>
        </w:rPr>
        <w:t xml:space="preserve"> Amendment (Modernising Business Communications) Act 2022</w:t>
      </w:r>
      <w:r w:rsidR="007F559B">
        <w:rPr>
          <w:i/>
          <w:iCs/>
        </w:rPr>
        <w:t xml:space="preserve"> </w:t>
      </w:r>
      <w:r w:rsidR="007F559B">
        <w:t>(the Amendment Act)</w:t>
      </w:r>
      <w:r w:rsidR="00B70C6A">
        <w:t xml:space="preserve">. In particular, the Regulations </w:t>
      </w:r>
      <w:r w:rsidR="00BE2E30">
        <w:t xml:space="preserve">update </w:t>
      </w:r>
      <w:r w:rsidR="00D41047">
        <w:t>the following</w:t>
      </w:r>
      <w:r w:rsidR="00BE2E30">
        <w:t xml:space="preserve"> </w:t>
      </w:r>
      <w:r w:rsidR="001B3F0F">
        <w:t xml:space="preserve">ASIC </w:t>
      </w:r>
      <w:r w:rsidR="00BE2E30">
        <w:t>Forms</w:t>
      </w:r>
      <w:r w:rsidR="00E1341C">
        <w:t xml:space="preserve"> to account for hearings </w:t>
      </w:r>
      <w:r w:rsidR="00E1341C">
        <w:rPr>
          <w:bCs/>
          <w:kern w:val="28"/>
        </w:rPr>
        <w:t>that take place</w:t>
      </w:r>
      <w:r w:rsidR="00D471BF">
        <w:rPr>
          <w:bCs/>
          <w:kern w:val="28"/>
        </w:rPr>
        <w:t xml:space="preserve"> </w:t>
      </w:r>
      <w:r w:rsidR="00E1341C">
        <w:rPr>
          <w:bCs/>
          <w:kern w:val="28"/>
        </w:rPr>
        <w:t>by means of virtual enquiry technology</w:t>
      </w:r>
      <w:r w:rsidR="001B3F0F">
        <w:t>:</w:t>
      </w:r>
      <w:r w:rsidR="00810AC3">
        <w:t xml:space="preserve"> </w:t>
      </w:r>
    </w:p>
    <w:p w14:paraId="008FE39A" w14:textId="26FF4473" w:rsidR="00D41047" w:rsidRDefault="00D41047" w:rsidP="00D41047">
      <w:pPr>
        <w:pStyle w:val="Bullet"/>
      </w:pPr>
      <w:r>
        <w:t xml:space="preserve">Form 1 </w:t>
      </w:r>
      <w:r>
        <w:rPr>
          <w:bCs/>
          <w:kern w:val="28"/>
        </w:rPr>
        <w:t>(Notice requiring appearance at an examination or reasonable assistance in connection with an investigation)</w:t>
      </w:r>
      <w:r w:rsidR="002054BA">
        <w:rPr>
          <w:bCs/>
          <w:kern w:val="28"/>
        </w:rPr>
        <w:t>,</w:t>
      </w:r>
      <w:r>
        <w:rPr>
          <w:bCs/>
          <w:kern w:val="28"/>
        </w:rPr>
        <w:t xml:space="preserve"> prescribed in Schedule 1 to the </w:t>
      </w:r>
      <w:r>
        <w:rPr>
          <w:i/>
          <w:iCs/>
        </w:rPr>
        <w:t>Australian Securities and Investments Commission Regulations 2001</w:t>
      </w:r>
      <w:r>
        <w:t xml:space="preserve"> (ASIC Regulations</w:t>
      </w:r>
      <w:proofErr w:type="gramStart"/>
      <w:r>
        <w:t>);</w:t>
      </w:r>
      <w:proofErr w:type="gramEnd"/>
    </w:p>
    <w:p w14:paraId="3AECFECA" w14:textId="29F1C38D" w:rsidR="00D41047" w:rsidRPr="00D41047" w:rsidRDefault="00D41047" w:rsidP="00D41047">
      <w:pPr>
        <w:pStyle w:val="Bullet"/>
      </w:pPr>
      <w:r>
        <w:t xml:space="preserve">Form 5249 </w:t>
      </w:r>
      <w:r>
        <w:rPr>
          <w:bCs/>
          <w:kern w:val="28"/>
        </w:rPr>
        <w:t>(Notice to demonstrate why disqualification should not occur)</w:t>
      </w:r>
      <w:r w:rsidR="002054BA">
        <w:rPr>
          <w:bCs/>
          <w:kern w:val="28"/>
        </w:rPr>
        <w:t>,</w:t>
      </w:r>
      <w:r>
        <w:rPr>
          <w:bCs/>
          <w:kern w:val="28"/>
        </w:rPr>
        <w:t xml:space="preserve"> prescribed in Schedule 2 to the </w:t>
      </w:r>
      <w:r>
        <w:rPr>
          <w:bCs/>
          <w:i/>
          <w:iCs/>
          <w:kern w:val="28"/>
        </w:rPr>
        <w:t xml:space="preserve">Corporations Regulations 2001 </w:t>
      </w:r>
      <w:r>
        <w:rPr>
          <w:bCs/>
          <w:kern w:val="28"/>
        </w:rPr>
        <w:t>(Corporations Regulations</w:t>
      </w:r>
      <w:proofErr w:type="gramStart"/>
      <w:r>
        <w:rPr>
          <w:bCs/>
          <w:kern w:val="28"/>
        </w:rPr>
        <w:t>);</w:t>
      </w:r>
      <w:proofErr w:type="gramEnd"/>
    </w:p>
    <w:p w14:paraId="1DFB67F9" w14:textId="3AE7AE8C" w:rsidR="00D41047" w:rsidRDefault="00D41047" w:rsidP="00D41047">
      <w:pPr>
        <w:pStyle w:val="Bullet"/>
      </w:pPr>
      <w:r>
        <w:rPr>
          <w:bCs/>
          <w:kern w:val="28"/>
        </w:rPr>
        <w:t>Form 588 (Notice to demonstrate why disqualification should not occur under section 206GAA of the Corporations Act)</w:t>
      </w:r>
      <w:r w:rsidR="002054BA">
        <w:rPr>
          <w:bCs/>
          <w:kern w:val="28"/>
        </w:rPr>
        <w:t>,</w:t>
      </w:r>
      <w:r>
        <w:rPr>
          <w:bCs/>
          <w:kern w:val="28"/>
        </w:rPr>
        <w:t xml:space="preserve"> prescribed in Schedule 2 to the Corporations Regulations.</w:t>
      </w:r>
    </w:p>
    <w:p w14:paraId="68428FFB" w14:textId="4B3A9E81" w:rsidR="00C44A9D" w:rsidRDefault="00E1341C" w:rsidP="00647BB7">
      <w:pPr>
        <w:spacing w:before="240"/>
      </w:pPr>
      <w:r>
        <w:t>The Regulations also make minor changes to the numbering and text of the forms.</w:t>
      </w:r>
    </w:p>
    <w:p w14:paraId="22546F24" w14:textId="4C1F5C1C" w:rsidR="00F109D4" w:rsidRDefault="00B70C6A" w:rsidP="00647BB7">
      <w:pPr>
        <w:spacing w:before="240"/>
      </w:pPr>
      <w:r>
        <w:t>Consultation: with States and Territories under intergovernmental agreements (excl. GST)</w:t>
      </w:r>
    </w:p>
    <w:p w14:paraId="35014F9B" w14:textId="761648FA" w:rsidR="002C226C" w:rsidRDefault="002C226C" w:rsidP="002C226C">
      <w:pPr>
        <w:spacing w:before="240"/>
      </w:pPr>
      <w:r>
        <w:t xml:space="preserve">Details of the </w:t>
      </w:r>
      <w:r w:rsidR="00EB2AEF">
        <w:t>Regulations are set out in</w:t>
      </w:r>
      <w:r w:rsidR="00C5462D">
        <w:t xml:space="preserve"> </w:t>
      </w:r>
      <w:r w:rsidRPr="00317816">
        <w:rPr>
          <w:u w:val="single"/>
        </w:rPr>
        <w:t>Attachment</w:t>
      </w:r>
      <w:r w:rsidR="00C5462D">
        <w:rPr>
          <w:u w:val="single"/>
        </w:rPr>
        <w:t xml:space="preserve"> A</w:t>
      </w:r>
      <w:r w:rsidR="00871033">
        <w:t>.</w:t>
      </w:r>
    </w:p>
    <w:p w14:paraId="0E57B0AC" w14:textId="77777777" w:rsidR="002C226C" w:rsidRDefault="002C226C" w:rsidP="00647BB7">
      <w:pPr>
        <w:spacing w:before="240"/>
      </w:pPr>
      <w:r>
        <w:t>The</w:t>
      </w:r>
      <w:r w:rsidRPr="00D3322F">
        <w:t xml:space="preserve"> Regulation</w:t>
      </w:r>
      <w:r>
        <w:t>s are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</w:p>
    <w:p w14:paraId="4560DFF3" w14:textId="77777777" w:rsidR="003E1664" w:rsidRDefault="003E1664" w:rsidP="003E1664">
      <w:pPr>
        <w:spacing w:before="240" w:after="240"/>
        <w:ind w:right="91"/>
      </w:pPr>
      <w:r>
        <w:t xml:space="preserve">Schedule 1 to the Regulations commences on the later of the day after the instrument is registered and the day Schedule 1 to the Amendment Act commences. However, if </w:t>
      </w:r>
      <w:r>
        <w:lastRenderedPageBreak/>
        <w:t>Schedule 1 to the Amendment Act does not commence, the Schedule 1 to the Regulations does not commence at all.</w:t>
      </w:r>
    </w:p>
    <w:p w14:paraId="6202E94E" w14:textId="1D2AC547" w:rsidR="00044173" w:rsidRPr="00871033" w:rsidRDefault="00044173" w:rsidP="00647BB7">
      <w:pPr>
        <w:spacing w:before="240"/>
      </w:pPr>
      <w:r w:rsidRPr="00044173">
        <w:t>There are no compliance costs or additional regulatory burdens associated with the Regulations.</w:t>
      </w:r>
    </w:p>
    <w:p w14:paraId="2338F32F" w14:textId="1C27E6C4" w:rsidR="00EA4DD8" w:rsidRDefault="00EA4DD8" w:rsidP="00EA4DD8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>ATTACHMENT</w:t>
      </w:r>
      <w:r w:rsidR="00C5462D">
        <w:rPr>
          <w:b/>
          <w:u w:val="single"/>
        </w:rPr>
        <w:t xml:space="preserve"> A</w:t>
      </w:r>
    </w:p>
    <w:p w14:paraId="5AD616EF" w14:textId="6ACE5D37" w:rsidR="00EA4DD8" w:rsidRDefault="00EA4DD8" w:rsidP="00EA4DD8">
      <w:pPr>
        <w:spacing w:before="240"/>
        <w:ind w:right="91"/>
        <w:rPr>
          <w:b/>
          <w:bCs/>
          <w:szCs w:val="24"/>
          <w:u w:val="single"/>
        </w:rPr>
      </w:pPr>
      <w:r>
        <w:rPr>
          <w:b/>
          <w:bCs/>
          <w:u w:val="single"/>
        </w:rPr>
        <w:t xml:space="preserve">Details of the </w:t>
      </w:r>
      <w:r w:rsidR="00B70C6A">
        <w:rPr>
          <w:b/>
          <w:i/>
          <w:u w:val="single"/>
        </w:rPr>
        <w:t>Treasury Laws Amendment (Modernising Business Communications) Regulations 2022</w:t>
      </w:r>
      <w:r>
        <w:rPr>
          <w:b/>
          <w:bCs/>
          <w:u w:val="single"/>
        </w:rPr>
        <w:t xml:space="preserve"> </w:t>
      </w:r>
    </w:p>
    <w:p w14:paraId="7D112E64" w14:textId="33A09554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2</w:t>
      </w:r>
      <w:r w:rsidR="003E1664">
        <w:rPr>
          <w:u w:val="single"/>
        </w:rPr>
        <w:t>—</w:t>
      </w:r>
      <w:r>
        <w:rPr>
          <w:u w:val="single"/>
        </w:rPr>
        <w:t>Commencement</w:t>
      </w:r>
    </w:p>
    <w:p w14:paraId="4C847EF6" w14:textId="4BEEB43B" w:rsidR="00672C9E" w:rsidRDefault="00EA4DD8" w:rsidP="0005387D">
      <w:pPr>
        <w:spacing w:before="240" w:after="240"/>
        <w:ind w:right="91"/>
      </w:pPr>
      <w:r>
        <w:t>Schedule 1</w:t>
      </w:r>
      <w:r w:rsidR="00B70C6A">
        <w:t xml:space="preserve"> </w:t>
      </w:r>
      <w:r>
        <w:t xml:space="preserve">to the Regulations </w:t>
      </w:r>
      <w:r w:rsidR="0005387D">
        <w:t>commences</w:t>
      </w:r>
      <w:r w:rsidR="00ED1949">
        <w:t xml:space="preserve"> on</w:t>
      </w:r>
      <w:r w:rsidR="0005387D">
        <w:t xml:space="preserve"> </w:t>
      </w:r>
      <w:r w:rsidR="00672C9E">
        <w:t>the later of th</w:t>
      </w:r>
      <w:r w:rsidR="00ED1949">
        <w:t>e day after the instrument is registered and the day Schedule 1 to the Amendment Act commences. However, if Schedule 1 to the Amendment Act does not commence, the Schedule 1 to the Regulations does not commence at all.</w:t>
      </w:r>
    </w:p>
    <w:p w14:paraId="2B575500" w14:textId="1D2846C5" w:rsidR="00EA4DD8" w:rsidRPr="008422E5" w:rsidRDefault="00EA4DD8" w:rsidP="00A107D0">
      <w:pPr>
        <w:spacing w:after="0"/>
        <w:ind w:right="91"/>
        <w:rPr>
          <w:color w:val="FF0000"/>
        </w:rPr>
      </w:pPr>
      <w:r>
        <w:rPr>
          <w:u w:val="single"/>
        </w:rPr>
        <w:t>Schedule 1</w:t>
      </w:r>
      <w:r w:rsidR="001B3F0F">
        <w:rPr>
          <w:u w:val="single"/>
        </w:rPr>
        <w:t>—Updating forms</w:t>
      </w:r>
      <w:r>
        <w:rPr>
          <w:u w:val="single"/>
        </w:rPr>
        <w:t xml:space="preserve"> </w:t>
      </w:r>
    </w:p>
    <w:p w14:paraId="0D44E3A0" w14:textId="4E4CA96A" w:rsidR="00482B81" w:rsidRPr="00810AC3" w:rsidRDefault="00A107D0" w:rsidP="00A107D0">
      <w:pPr>
        <w:spacing w:before="240" w:after="0"/>
        <w:rPr>
          <w:bCs/>
          <w:i/>
          <w:iCs/>
          <w:kern w:val="28"/>
        </w:rPr>
      </w:pPr>
      <w:r w:rsidRPr="00810AC3">
        <w:rPr>
          <w:bCs/>
          <w:i/>
          <w:iCs/>
          <w:kern w:val="28"/>
        </w:rPr>
        <w:t>Australian Securities and Investments Commission Regulations 2001</w:t>
      </w:r>
    </w:p>
    <w:p w14:paraId="6517622B" w14:textId="5E11E330" w:rsidR="008153DB" w:rsidRDefault="00A107D0" w:rsidP="00FC56B5">
      <w:pPr>
        <w:spacing w:before="240" w:after="0"/>
        <w:rPr>
          <w:bCs/>
          <w:kern w:val="28"/>
        </w:rPr>
      </w:pPr>
      <w:r>
        <w:rPr>
          <w:bCs/>
          <w:kern w:val="28"/>
        </w:rPr>
        <w:t>Item 1</w:t>
      </w:r>
      <w:r w:rsidR="001C418B">
        <w:rPr>
          <w:bCs/>
          <w:kern w:val="28"/>
        </w:rPr>
        <w:t xml:space="preserve"> </w:t>
      </w:r>
      <w:r w:rsidR="00D41047">
        <w:rPr>
          <w:bCs/>
          <w:kern w:val="28"/>
        </w:rPr>
        <w:t>replaces</w:t>
      </w:r>
      <w:r w:rsidR="00FC56B5">
        <w:rPr>
          <w:bCs/>
          <w:kern w:val="28"/>
        </w:rPr>
        <w:t xml:space="preserve"> </w:t>
      </w:r>
      <w:r w:rsidR="001C418B">
        <w:rPr>
          <w:bCs/>
          <w:kern w:val="28"/>
        </w:rPr>
        <w:t>Form 1</w:t>
      </w:r>
      <w:r w:rsidR="00AA0141">
        <w:rPr>
          <w:bCs/>
          <w:kern w:val="28"/>
        </w:rPr>
        <w:t xml:space="preserve"> </w:t>
      </w:r>
      <w:r w:rsidR="001C418B">
        <w:rPr>
          <w:bCs/>
          <w:kern w:val="28"/>
        </w:rPr>
        <w:t xml:space="preserve">in Schedule 1 </w:t>
      </w:r>
      <w:r w:rsidR="00DE083F">
        <w:rPr>
          <w:bCs/>
          <w:kern w:val="28"/>
        </w:rPr>
        <w:t>to</w:t>
      </w:r>
      <w:r w:rsidR="001C418B">
        <w:rPr>
          <w:bCs/>
          <w:kern w:val="28"/>
        </w:rPr>
        <w:t xml:space="preserve"> the ASIC Regulations</w:t>
      </w:r>
      <w:r w:rsidR="008153DB">
        <w:rPr>
          <w:bCs/>
          <w:kern w:val="28"/>
        </w:rPr>
        <w:t xml:space="preserve"> with a new form</w:t>
      </w:r>
      <w:r w:rsidR="00B42533">
        <w:rPr>
          <w:bCs/>
          <w:kern w:val="28"/>
        </w:rPr>
        <w:t xml:space="preserve">. The new form has been updated to </w:t>
      </w:r>
      <w:r w:rsidR="008153DB">
        <w:rPr>
          <w:bCs/>
          <w:kern w:val="28"/>
        </w:rPr>
        <w:t>account for hearings held using virtual enquiry technology.</w:t>
      </w:r>
    </w:p>
    <w:p w14:paraId="1184FB34" w14:textId="65AE1068" w:rsidR="00A107D0" w:rsidRPr="00810AC3" w:rsidRDefault="00A107D0" w:rsidP="00A107D0">
      <w:pPr>
        <w:spacing w:before="240" w:after="0"/>
        <w:rPr>
          <w:bCs/>
          <w:i/>
          <w:iCs/>
          <w:kern w:val="28"/>
        </w:rPr>
      </w:pPr>
      <w:r w:rsidRPr="00810AC3">
        <w:rPr>
          <w:bCs/>
          <w:i/>
          <w:iCs/>
          <w:kern w:val="28"/>
        </w:rPr>
        <w:t>Corporations Regulations 2001</w:t>
      </w:r>
    </w:p>
    <w:p w14:paraId="1149AC4B" w14:textId="24CF6BEF" w:rsidR="006B57EE" w:rsidRDefault="006B57EE" w:rsidP="006B57EE">
      <w:pPr>
        <w:spacing w:before="240" w:after="0"/>
        <w:rPr>
          <w:bCs/>
          <w:kern w:val="28"/>
        </w:rPr>
      </w:pPr>
      <w:r>
        <w:rPr>
          <w:bCs/>
          <w:kern w:val="28"/>
        </w:rPr>
        <w:t xml:space="preserve">Item </w:t>
      </w:r>
      <w:r w:rsidR="0005387D">
        <w:rPr>
          <w:bCs/>
          <w:kern w:val="28"/>
        </w:rPr>
        <w:t>5</w:t>
      </w:r>
      <w:r>
        <w:rPr>
          <w:bCs/>
          <w:kern w:val="28"/>
        </w:rPr>
        <w:t xml:space="preserve"> amends column 4 of item 3 </w:t>
      </w:r>
      <w:r w:rsidR="00AA0141">
        <w:rPr>
          <w:bCs/>
          <w:kern w:val="28"/>
        </w:rPr>
        <w:t>in</w:t>
      </w:r>
      <w:r>
        <w:rPr>
          <w:bCs/>
          <w:kern w:val="28"/>
        </w:rPr>
        <w:t xml:space="preserve"> the table </w:t>
      </w:r>
      <w:r w:rsidR="00064E24">
        <w:rPr>
          <w:bCs/>
          <w:kern w:val="28"/>
        </w:rPr>
        <w:t>in</w:t>
      </w:r>
      <w:r>
        <w:rPr>
          <w:bCs/>
          <w:kern w:val="28"/>
        </w:rPr>
        <w:t xml:space="preserve"> Schedule 1 </w:t>
      </w:r>
      <w:r w:rsidR="00DE083F">
        <w:rPr>
          <w:bCs/>
          <w:kern w:val="28"/>
        </w:rPr>
        <w:t>to</w:t>
      </w:r>
      <w:r>
        <w:rPr>
          <w:bCs/>
          <w:kern w:val="28"/>
        </w:rPr>
        <w:t xml:space="preserve"> the Corporations Regulations to renumber Form 5249</w:t>
      </w:r>
      <w:r w:rsidR="00AA0141">
        <w:rPr>
          <w:bCs/>
          <w:kern w:val="28"/>
        </w:rPr>
        <w:t xml:space="preserve"> </w:t>
      </w:r>
      <w:r>
        <w:rPr>
          <w:bCs/>
          <w:kern w:val="28"/>
        </w:rPr>
        <w:t>to Form 586 so it becomes part of the same sequence of forms.</w:t>
      </w:r>
    </w:p>
    <w:p w14:paraId="4B6860A9" w14:textId="58A6FDDE" w:rsidR="004F16B3" w:rsidRDefault="004F16B3" w:rsidP="006B57EE">
      <w:pPr>
        <w:spacing w:before="240" w:after="0"/>
        <w:rPr>
          <w:bCs/>
          <w:kern w:val="28"/>
        </w:rPr>
      </w:pPr>
      <w:r>
        <w:rPr>
          <w:bCs/>
          <w:kern w:val="28"/>
        </w:rPr>
        <w:t xml:space="preserve">Item </w:t>
      </w:r>
      <w:r w:rsidR="0005387D">
        <w:rPr>
          <w:bCs/>
          <w:kern w:val="28"/>
        </w:rPr>
        <w:t>10</w:t>
      </w:r>
      <w:r>
        <w:rPr>
          <w:bCs/>
          <w:kern w:val="28"/>
        </w:rPr>
        <w:t xml:space="preserve"> repeals Form 5249 in Schedule 2 to the Corporations Regulations.</w:t>
      </w:r>
    </w:p>
    <w:p w14:paraId="22C67E88" w14:textId="3110F4A3" w:rsidR="004F16B3" w:rsidRDefault="004F16B3" w:rsidP="006B57EE">
      <w:pPr>
        <w:spacing w:before="240" w:after="0"/>
        <w:rPr>
          <w:bCs/>
          <w:kern w:val="28"/>
        </w:rPr>
      </w:pPr>
      <w:r>
        <w:rPr>
          <w:bCs/>
          <w:kern w:val="28"/>
        </w:rPr>
        <w:t xml:space="preserve">Item </w:t>
      </w:r>
      <w:r w:rsidR="0005387D">
        <w:rPr>
          <w:bCs/>
          <w:kern w:val="28"/>
        </w:rPr>
        <w:t>15</w:t>
      </w:r>
      <w:r>
        <w:rPr>
          <w:bCs/>
          <w:kern w:val="28"/>
        </w:rPr>
        <w:t xml:space="preserve"> inserts a new Form 586</w:t>
      </w:r>
      <w:r w:rsidR="002E1207">
        <w:rPr>
          <w:bCs/>
          <w:kern w:val="28"/>
        </w:rPr>
        <w:t xml:space="preserve"> in Schedule 2 to the Corporations Regulations</w:t>
      </w:r>
      <w:r w:rsidR="00B42533">
        <w:rPr>
          <w:bCs/>
          <w:kern w:val="28"/>
        </w:rPr>
        <w:t xml:space="preserve">. The new form, which is an updated version of the previous Form 5249, accounts for hearings </w:t>
      </w:r>
      <w:r w:rsidR="00CE7E34">
        <w:rPr>
          <w:bCs/>
          <w:kern w:val="28"/>
        </w:rPr>
        <w:t>that take place at</w:t>
      </w:r>
      <w:r w:rsidR="002E1207">
        <w:rPr>
          <w:bCs/>
          <w:kern w:val="28"/>
        </w:rPr>
        <w:t xml:space="preserve"> one or more physical venues and/or by means of </w:t>
      </w:r>
      <w:r w:rsidR="00064E24">
        <w:rPr>
          <w:bCs/>
          <w:kern w:val="28"/>
        </w:rPr>
        <w:t>virtual enquiry technology.</w:t>
      </w:r>
    </w:p>
    <w:p w14:paraId="7D0A1B6A" w14:textId="39B2A6ED" w:rsidR="001B3F0F" w:rsidRPr="00AA0141" w:rsidRDefault="00FC56B5" w:rsidP="00AA0141">
      <w:pPr>
        <w:spacing w:before="240" w:after="0"/>
        <w:rPr>
          <w:bCs/>
          <w:kern w:val="28"/>
        </w:rPr>
      </w:pPr>
      <w:r>
        <w:rPr>
          <w:bCs/>
          <w:kern w:val="28"/>
        </w:rPr>
        <w:t xml:space="preserve">Item </w:t>
      </w:r>
      <w:r w:rsidR="0005387D">
        <w:rPr>
          <w:bCs/>
          <w:kern w:val="28"/>
        </w:rPr>
        <w:t>20</w:t>
      </w:r>
      <w:r>
        <w:rPr>
          <w:bCs/>
          <w:kern w:val="28"/>
        </w:rPr>
        <w:t xml:space="preserve"> </w:t>
      </w:r>
      <w:r w:rsidR="00D41047">
        <w:rPr>
          <w:bCs/>
          <w:kern w:val="28"/>
        </w:rPr>
        <w:t>replaces</w:t>
      </w:r>
      <w:r>
        <w:rPr>
          <w:bCs/>
          <w:kern w:val="28"/>
        </w:rPr>
        <w:t xml:space="preserve"> Form 588</w:t>
      </w:r>
      <w:r w:rsidR="006B57EE">
        <w:rPr>
          <w:bCs/>
          <w:kern w:val="28"/>
        </w:rPr>
        <w:t xml:space="preserve"> in Schedule 2 </w:t>
      </w:r>
      <w:r w:rsidR="003F0D65">
        <w:rPr>
          <w:bCs/>
          <w:kern w:val="28"/>
        </w:rPr>
        <w:t>to</w:t>
      </w:r>
      <w:r w:rsidR="006B57EE">
        <w:rPr>
          <w:bCs/>
          <w:kern w:val="28"/>
        </w:rPr>
        <w:t xml:space="preserve"> the Corporations Regulations</w:t>
      </w:r>
      <w:r w:rsidR="00D41047">
        <w:rPr>
          <w:bCs/>
          <w:kern w:val="28"/>
        </w:rPr>
        <w:t xml:space="preserve"> with a new form</w:t>
      </w:r>
      <w:r w:rsidR="00B42533">
        <w:rPr>
          <w:bCs/>
          <w:kern w:val="28"/>
        </w:rPr>
        <w:t>. The new form</w:t>
      </w:r>
      <w:r w:rsidR="008153DB">
        <w:rPr>
          <w:bCs/>
          <w:kern w:val="28"/>
        </w:rPr>
        <w:t xml:space="preserve"> </w:t>
      </w:r>
      <w:r w:rsidR="00B42533">
        <w:rPr>
          <w:bCs/>
          <w:kern w:val="28"/>
        </w:rPr>
        <w:t>has been updated so that the text under the heading</w:t>
      </w:r>
      <w:r w:rsidR="008153DB">
        <w:rPr>
          <w:bCs/>
          <w:kern w:val="28"/>
        </w:rPr>
        <w:t xml:space="preserve"> ‘Opportunity to be heard’ is consistent with Form 586.</w:t>
      </w:r>
    </w:p>
    <w:sectPr w:rsidR="001B3F0F" w:rsidRPr="00AA0141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AF2B" w14:textId="77777777" w:rsidR="00104542" w:rsidRDefault="00104542" w:rsidP="00954679">
      <w:pPr>
        <w:spacing w:before="0" w:after="0"/>
      </w:pPr>
      <w:r>
        <w:separator/>
      </w:r>
    </w:p>
  </w:endnote>
  <w:endnote w:type="continuationSeparator" w:id="0">
    <w:p w14:paraId="4569A0D9" w14:textId="77777777" w:rsidR="00104542" w:rsidRDefault="00104542" w:rsidP="00954679">
      <w:pPr>
        <w:spacing w:before="0" w:after="0"/>
      </w:pPr>
      <w:r>
        <w:continuationSeparator/>
      </w:r>
    </w:p>
  </w:endnote>
  <w:endnote w:type="continuationNotice" w:id="1">
    <w:p w14:paraId="13258CD4" w14:textId="77777777" w:rsidR="00104542" w:rsidRDefault="001045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2823E1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E147" w14:textId="77777777" w:rsidR="00104542" w:rsidRDefault="00104542" w:rsidP="00954679">
      <w:pPr>
        <w:spacing w:before="0" w:after="0"/>
      </w:pPr>
      <w:r>
        <w:separator/>
      </w:r>
    </w:p>
  </w:footnote>
  <w:footnote w:type="continuationSeparator" w:id="0">
    <w:p w14:paraId="13AC6AC9" w14:textId="77777777" w:rsidR="00104542" w:rsidRDefault="00104542" w:rsidP="00954679">
      <w:pPr>
        <w:spacing w:before="0" w:after="0"/>
      </w:pPr>
      <w:r>
        <w:continuationSeparator/>
      </w:r>
    </w:p>
  </w:footnote>
  <w:footnote w:type="continuationNotice" w:id="1">
    <w:p w14:paraId="28A6505C" w14:textId="77777777" w:rsidR="00104542" w:rsidRDefault="0010454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4AC23991"/>
    <w:multiLevelType w:val="hybridMultilevel"/>
    <w:tmpl w:val="EA2C3252"/>
    <w:lvl w:ilvl="0" w:tplc="50E85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43C0B"/>
    <w:multiLevelType w:val="multilevel"/>
    <w:tmpl w:val="5DF28B9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55"/>
    <w:rsid w:val="00013390"/>
    <w:rsid w:val="000161CA"/>
    <w:rsid w:val="00016EA2"/>
    <w:rsid w:val="00044173"/>
    <w:rsid w:val="00052A55"/>
    <w:rsid w:val="0005387D"/>
    <w:rsid w:val="00064E24"/>
    <w:rsid w:val="00076178"/>
    <w:rsid w:val="00095211"/>
    <w:rsid w:val="000B101B"/>
    <w:rsid w:val="000B39A1"/>
    <w:rsid w:val="000C10DF"/>
    <w:rsid w:val="000C6935"/>
    <w:rsid w:val="000E32E3"/>
    <w:rsid w:val="00104542"/>
    <w:rsid w:val="00112392"/>
    <w:rsid w:val="00112A66"/>
    <w:rsid w:val="00113B45"/>
    <w:rsid w:val="0011695B"/>
    <w:rsid w:val="00117C02"/>
    <w:rsid w:val="001B3F0F"/>
    <w:rsid w:val="001B7535"/>
    <w:rsid w:val="001C418B"/>
    <w:rsid w:val="001E5886"/>
    <w:rsid w:val="001E6A74"/>
    <w:rsid w:val="001F41D0"/>
    <w:rsid w:val="001F67C4"/>
    <w:rsid w:val="002054BA"/>
    <w:rsid w:val="00220F16"/>
    <w:rsid w:val="00254C5B"/>
    <w:rsid w:val="00256D46"/>
    <w:rsid w:val="00274D3F"/>
    <w:rsid w:val="002A7E1F"/>
    <w:rsid w:val="002C226C"/>
    <w:rsid w:val="002E1207"/>
    <w:rsid w:val="002F022D"/>
    <w:rsid w:val="003041FA"/>
    <w:rsid w:val="00313A8C"/>
    <w:rsid w:val="00334211"/>
    <w:rsid w:val="003342CD"/>
    <w:rsid w:val="00335042"/>
    <w:rsid w:val="00362B70"/>
    <w:rsid w:val="00392BBA"/>
    <w:rsid w:val="003954FD"/>
    <w:rsid w:val="003A6531"/>
    <w:rsid w:val="003C7907"/>
    <w:rsid w:val="003D60D7"/>
    <w:rsid w:val="003E1664"/>
    <w:rsid w:val="003E1CE3"/>
    <w:rsid w:val="003F0D65"/>
    <w:rsid w:val="00462095"/>
    <w:rsid w:val="00472088"/>
    <w:rsid w:val="00482B81"/>
    <w:rsid w:val="00482D4C"/>
    <w:rsid w:val="004B3C0F"/>
    <w:rsid w:val="004C05E4"/>
    <w:rsid w:val="004E39E1"/>
    <w:rsid w:val="004F16B3"/>
    <w:rsid w:val="004F56D0"/>
    <w:rsid w:val="00503E44"/>
    <w:rsid w:val="00515283"/>
    <w:rsid w:val="00533926"/>
    <w:rsid w:val="0055675D"/>
    <w:rsid w:val="00566E8F"/>
    <w:rsid w:val="0057422E"/>
    <w:rsid w:val="005833BE"/>
    <w:rsid w:val="0058662A"/>
    <w:rsid w:val="005D7D5A"/>
    <w:rsid w:val="005E4443"/>
    <w:rsid w:val="005E4BAC"/>
    <w:rsid w:val="0060130D"/>
    <w:rsid w:val="006100E5"/>
    <w:rsid w:val="006408AE"/>
    <w:rsid w:val="0064129F"/>
    <w:rsid w:val="00647BB7"/>
    <w:rsid w:val="00672C9E"/>
    <w:rsid w:val="00680297"/>
    <w:rsid w:val="006873CE"/>
    <w:rsid w:val="006A0786"/>
    <w:rsid w:val="006B57EE"/>
    <w:rsid w:val="006E5A7C"/>
    <w:rsid w:val="00710E94"/>
    <w:rsid w:val="00727D8A"/>
    <w:rsid w:val="00731FEA"/>
    <w:rsid w:val="00736F61"/>
    <w:rsid w:val="00742253"/>
    <w:rsid w:val="007579E9"/>
    <w:rsid w:val="007662C7"/>
    <w:rsid w:val="00774E8A"/>
    <w:rsid w:val="00776306"/>
    <w:rsid w:val="007A55A7"/>
    <w:rsid w:val="007B1F10"/>
    <w:rsid w:val="007B335E"/>
    <w:rsid w:val="007C3036"/>
    <w:rsid w:val="007C7D64"/>
    <w:rsid w:val="007E018D"/>
    <w:rsid w:val="007F1B71"/>
    <w:rsid w:val="007F559B"/>
    <w:rsid w:val="00807E7D"/>
    <w:rsid w:val="00810AC3"/>
    <w:rsid w:val="008153DB"/>
    <w:rsid w:val="00831675"/>
    <w:rsid w:val="00841BE8"/>
    <w:rsid w:val="00871033"/>
    <w:rsid w:val="0088467C"/>
    <w:rsid w:val="00890F4B"/>
    <w:rsid w:val="00894579"/>
    <w:rsid w:val="008A5B67"/>
    <w:rsid w:val="008A5CCD"/>
    <w:rsid w:val="008D16F7"/>
    <w:rsid w:val="008E1427"/>
    <w:rsid w:val="009143A0"/>
    <w:rsid w:val="00936902"/>
    <w:rsid w:val="00952D5D"/>
    <w:rsid w:val="00954679"/>
    <w:rsid w:val="009C6A1E"/>
    <w:rsid w:val="009E2F86"/>
    <w:rsid w:val="00A107D0"/>
    <w:rsid w:val="00A12209"/>
    <w:rsid w:val="00A34CA4"/>
    <w:rsid w:val="00A36DF3"/>
    <w:rsid w:val="00A532DD"/>
    <w:rsid w:val="00A573BF"/>
    <w:rsid w:val="00A72534"/>
    <w:rsid w:val="00A80BCF"/>
    <w:rsid w:val="00A8369C"/>
    <w:rsid w:val="00AA0141"/>
    <w:rsid w:val="00AA1689"/>
    <w:rsid w:val="00AA5770"/>
    <w:rsid w:val="00AC1D15"/>
    <w:rsid w:val="00B07B0C"/>
    <w:rsid w:val="00B16586"/>
    <w:rsid w:val="00B24FBA"/>
    <w:rsid w:val="00B25563"/>
    <w:rsid w:val="00B26D48"/>
    <w:rsid w:val="00B42533"/>
    <w:rsid w:val="00B42EE1"/>
    <w:rsid w:val="00B70C6A"/>
    <w:rsid w:val="00B8293D"/>
    <w:rsid w:val="00B92478"/>
    <w:rsid w:val="00BA6188"/>
    <w:rsid w:val="00BD61A2"/>
    <w:rsid w:val="00BE2E30"/>
    <w:rsid w:val="00BE484D"/>
    <w:rsid w:val="00BE5272"/>
    <w:rsid w:val="00C37E05"/>
    <w:rsid w:val="00C44A9D"/>
    <w:rsid w:val="00C47789"/>
    <w:rsid w:val="00C52835"/>
    <w:rsid w:val="00C5462D"/>
    <w:rsid w:val="00C55D29"/>
    <w:rsid w:val="00CA0BE9"/>
    <w:rsid w:val="00CA138D"/>
    <w:rsid w:val="00CC7641"/>
    <w:rsid w:val="00CE7E34"/>
    <w:rsid w:val="00D13794"/>
    <w:rsid w:val="00D24052"/>
    <w:rsid w:val="00D24386"/>
    <w:rsid w:val="00D31575"/>
    <w:rsid w:val="00D34626"/>
    <w:rsid w:val="00D34FB4"/>
    <w:rsid w:val="00D41047"/>
    <w:rsid w:val="00D4257A"/>
    <w:rsid w:val="00D471BF"/>
    <w:rsid w:val="00D6215C"/>
    <w:rsid w:val="00D62665"/>
    <w:rsid w:val="00D66C71"/>
    <w:rsid w:val="00D82E47"/>
    <w:rsid w:val="00DC0CDE"/>
    <w:rsid w:val="00DC179B"/>
    <w:rsid w:val="00DC4D72"/>
    <w:rsid w:val="00DE083F"/>
    <w:rsid w:val="00E0624D"/>
    <w:rsid w:val="00E1341C"/>
    <w:rsid w:val="00E353A3"/>
    <w:rsid w:val="00E4438C"/>
    <w:rsid w:val="00E457F3"/>
    <w:rsid w:val="00E64B69"/>
    <w:rsid w:val="00E8735C"/>
    <w:rsid w:val="00EA4DD8"/>
    <w:rsid w:val="00EB2AEF"/>
    <w:rsid w:val="00EB7E71"/>
    <w:rsid w:val="00EC4161"/>
    <w:rsid w:val="00ED1949"/>
    <w:rsid w:val="00F109D4"/>
    <w:rsid w:val="00F15EE9"/>
    <w:rsid w:val="00F47585"/>
    <w:rsid w:val="00F85E6F"/>
    <w:rsid w:val="00FC56B5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39EB2"/>
  <w15:docId w15:val="{CB044C59-0B5C-4465-96B1-FE6C8D8E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E6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935D0CF8835BE447895972B43AB8EC93" ma:contentTypeVersion="49178" ma:contentTypeDescription=" " ma:contentTypeScope="" ma:versionID="cf9e19fb207a34ac71cb05c4fa549fe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http://schemas.microsoft.com/sharepoint/v4" targetNamespace="http://schemas.microsoft.com/office/2006/metadata/properties" ma:root="true" ma:fieldsID="2c8535b94b0076d8c56fa48f59093e42" ns1:_="" ns2:_="" ns3:_="" ns4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  <xsd:element ref="ns3:SecurityClassification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7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4dd4adf-ddb3-46a3-8d7c-fab3fb2a6bc7" xsi:nil="true"/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2022MG-90-37267</_dlc_DocId>
    <_dlc_DocIdUrl xmlns="0f563589-9cf9-4143-b1eb-fb0534803d38">
      <Url>http://tweb/sites/mg/fsd/_layouts/15/DocIdRedir.aspx?ID=2022MG-90-37267</Url>
      <Description>2022MG-90-37267</Description>
    </_dlc_DocIdUrl>
  </documentManagement>
</p:properties>
</file>

<file path=customXml/itemProps1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7C6DF-4D59-4AA2-9106-EDF8769904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1EFDEF-1C82-4EA9-85AB-AF59F40F7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8111AC-EEA6-4836-A475-903639E27F8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D3B9290-DF09-4BD3-8650-C54A909017B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http://schemas.microsoft.com/sharepoint/v4"/>
    <ds:schemaRef ds:uri="0f563589-9cf9-4143-b1eb-fb0534803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2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Explanatory Statement - Australian Securities and Investments Commission Act 2001; Corporations Act 2001; Treasury Laws Amendment (Modernising Business Communications) Regulations 2022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Explanatory Statement - Australian Securities and Investments Commission Act 2001; Corporations Act 2001; Treasury Laws Amendment (Modernising Business Communications) Regulations 2022</dc:title>
  <dc:creator>Australian Government</dc:creator>
  <cp:lastModifiedBy>Smith, Matthew</cp:lastModifiedBy>
  <cp:revision>7</cp:revision>
  <cp:lastPrinted>2022-08-26T05:46:00Z</cp:lastPrinted>
  <dcterms:created xsi:type="dcterms:W3CDTF">2022-08-26T04:55:00Z</dcterms:created>
  <dcterms:modified xsi:type="dcterms:W3CDTF">2022-08-26T08:22:00Z</dcterms:modified>
</cp:coreProperties>
</file>