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07914320" w:displacedByCustomXml="next"/>
    <w:bookmarkStart w:id="2" w:name="_Toc107836053" w:displacedByCustomXml="next"/>
    <w:bookmarkStart w:id="3" w:name="_Toc106967933" w:displacedByCustomXml="next"/>
    <w:bookmarkStart w:id="4" w:name="_Toc104034121" w:displacedByCustomXml="next"/>
    <w:bookmarkStart w:id="5" w:name="_Toc102551976" w:displacedByCustomXml="next"/>
    <w:bookmarkStart w:id="6" w:name="_Toc102553897" w:displacedByCustomXml="next"/>
    <w:sdt>
      <w:sdtPr>
        <w:rPr>
          <w:rFonts w:asciiTheme="minorHAnsi" w:hAnsiTheme="minorHAnsi" w:cstheme="minorHAnsi"/>
          <w:b w:val="0"/>
          <w:bCs/>
          <w:color w:val="FFFFFF" w:themeColor="background1"/>
          <w:kern w:val="0"/>
          <w:sz w:val="22"/>
          <w:szCs w:val="20"/>
        </w:rPr>
        <w:id w:val="-385645642"/>
        <w:docPartObj>
          <w:docPartGallery w:val="Cover Pages"/>
          <w:docPartUnique/>
        </w:docPartObj>
      </w:sdtPr>
      <w:sdtEndPr>
        <w:rPr>
          <w:bCs w:val="0"/>
          <w:noProof/>
          <w:color w:val="262626" w:themeColor="text1" w:themeTint="D9"/>
        </w:rPr>
      </w:sdtEndPr>
      <w:sdtContent>
        <w:p w14:paraId="01228277" w14:textId="27ABAEC8" w:rsidR="00A537DF" w:rsidRPr="005B329C" w:rsidRDefault="00073D99" w:rsidP="00A26B5B">
          <w:pPr>
            <w:pStyle w:val="Heading1"/>
            <w:spacing w:before="0"/>
            <w:rPr>
              <w:rStyle w:val="TitleChar"/>
              <w:b/>
              <w:bCs/>
            </w:rPr>
          </w:pPr>
          <w:r w:rsidRPr="005B329C">
            <w:rPr>
              <w:rStyle w:val="TitleChar"/>
              <w:b/>
              <w:bCs/>
            </w:rPr>
            <w:t xml:space="preserve">Applications </w:t>
          </w:r>
          <w:r w:rsidR="00F92AB4" w:rsidRPr="005B329C">
            <w:rPr>
              <w:rStyle w:val="TitleChar"/>
              <w:b/>
              <w:bCs/>
            </w:rPr>
            <w:t>and</w:t>
          </w:r>
          <w:r w:rsidRPr="005B329C">
            <w:rPr>
              <w:rStyle w:val="TitleChar"/>
              <w:b/>
              <w:bCs/>
            </w:rPr>
            <w:t xml:space="preserve"> </w:t>
          </w:r>
          <w:r w:rsidR="00F92AB4" w:rsidRPr="005B329C">
            <w:rPr>
              <w:rStyle w:val="TitleChar"/>
              <w:b/>
              <w:bCs/>
            </w:rPr>
            <w:t>n</w:t>
          </w:r>
          <w:r w:rsidRPr="005B329C">
            <w:rPr>
              <w:rStyle w:val="TitleChar"/>
              <w:b/>
              <w:bCs/>
            </w:rPr>
            <w:t>otifications</w:t>
          </w:r>
          <w:bookmarkEnd w:id="6"/>
          <w:bookmarkEnd w:id="5"/>
          <w:bookmarkEnd w:id="4"/>
          <w:bookmarkEnd w:id="3"/>
          <w:r w:rsidR="00A26B5B">
            <w:rPr>
              <w:rStyle w:val="TitleChar"/>
              <w:b/>
              <w:bCs/>
            </w:rPr>
            <w:t xml:space="preserve"> </w:t>
          </w:r>
          <w:r w:rsidR="00A26B5B" w:rsidRPr="00A26B5B">
            <w:rPr>
              <w:rStyle w:val="TitleChar"/>
              <w:b/>
              <w:bCs/>
              <w:color w:val="FF0000"/>
            </w:rPr>
            <w:t>(DRAFT)</w:t>
          </w:r>
          <w:bookmarkEnd w:id="2"/>
          <w:bookmarkEnd w:id="1"/>
        </w:p>
        <w:p w14:paraId="0A0251AC" w14:textId="468618C0" w:rsidR="00492B84" w:rsidRPr="00A04429" w:rsidRDefault="00F92AB4" w:rsidP="005B329C">
          <w:pPr>
            <w:pStyle w:val="Subtitle"/>
          </w:pPr>
          <w:bookmarkStart w:id="7" w:name="_Toc104034122"/>
          <w:r>
            <w:t>GUIDANCE NOTE 3</w:t>
          </w:r>
          <w:bookmarkEnd w:id="7"/>
        </w:p>
        <w:p w14:paraId="16DA84BE" w14:textId="6F554281" w:rsidR="00604EEF" w:rsidRPr="006079BC" w:rsidRDefault="0045075C" w:rsidP="009D1A57">
          <w:pPr>
            <w:pStyle w:val="ReportDate"/>
            <w:tabs>
              <w:tab w:val="right" w:pos="9070"/>
            </w:tabs>
            <w:spacing w:before="240" w:after="240"/>
            <w:rPr>
              <w:rFonts w:asciiTheme="minorHAnsi" w:hAnsiTheme="minorHAnsi" w:cstheme="minorHAnsi"/>
            </w:rPr>
          </w:pPr>
          <w:r>
            <w:rPr>
              <w:rStyle w:val="ReportDateChar"/>
              <w:rFonts w:asciiTheme="minorHAnsi" w:hAnsiTheme="minorHAnsi" w:cstheme="minorHAnsi"/>
            </w:rPr>
            <w:t xml:space="preserve">Draft guidance issued for public consultation on 22 July 2022 </w:t>
          </w:r>
        </w:p>
        <w:tbl>
          <w:tblPr>
            <w:tblStyle w:val="TableGrid"/>
            <w:tblW w:w="0" w:type="auto"/>
            <w:tblBorders>
              <w:top w:val="single" w:sz="6" w:space="0" w:color="auto"/>
              <w:left w:val="single" w:sz="8" w:space="0" w:color="auto"/>
              <w:bottom w:val="single" w:sz="8" w:space="0" w:color="auto"/>
              <w:right w:val="single" w:sz="8"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9050"/>
          </w:tblGrid>
          <w:tr w:rsidR="00CA399F" w14:paraId="0FE150A4" w14:textId="77777777" w:rsidTr="00745615">
            <w:tc>
              <w:tcPr>
                <w:tcW w:w="9070" w:type="dxa"/>
                <w:shd w:val="clear" w:color="auto" w:fill="2C384A"/>
              </w:tcPr>
              <w:p w14:paraId="158E51B5" w14:textId="6C98245C" w:rsidR="00CA399F" w:rsidRDefault="00CA399F" w:rsidP="00B437F0">
                <w:pPr>
                  <w:pStyle w:val="Heading2"/>
                  <w:tabs>
                    <w:tab w:val="center" w:pos="4417"/>
                  </w:tabs>
                  <w:spacing w:before="0" w:after="0"/>
                  <w:outlineLvl w:val="1"/>
                </w:pPr>
                <w:bookmarkStart w:id="8" w:name="_Toc104034123"/>
                <w:bookmarkStart w:id="9" w:name="_Toc106967934"/>
                <w:bookmarkStart w:id="10" w:name="_Toc107836054"/>
                <w:bookmarkStart w:id="11" w:name="_Toc107914321"/>
                <w:r w:rsidRPr="00B437F0">
                  <w:rPr>
                    <w:color w:val="auto"/>
                  </w:rPr>
                  <w:t xml:space="preserve">About this </w:t>
                </w:r>
                <w:bookmarkEnd w:id="8"/>
                <w:r w:rsidR="004D0D91">
                  <w:rPr>
                    <w:color w:val="auto"/>
                  </w:rPr>
                  <w:t>guidance note</w:t>
                </w:r>
                <w:bookmarkEnd w:id="9"/>
                <w:bookmarkEnd w:id="10"/>
                <w:bookmarkEnd w:id="11"/>
                <w:r w:rsidR="00B437F0">
                  <w:rPr>
                    <w:color w:val="auto"/>
                  </w:rPr>
                  <w:tab/>
                </w:r>
              </w:p>
            </w:tc>
          </w:tr>
          <w:tr w:rsidR="00CA399F" w14:paraId="035D2042" w14:textId="77777777" w:rsidTr="00745615">
            <w:tc>
              <w:tcPr>
                <w:tcW w:w="9070" w:type="dxa"/>
                <w:shd w:val="clear" w:color="auto" w:fill="FFFFFF" w:themeFill="background1"/>
              </w:tcPr>
              <w:p w14:paraId="5C46CA3A" w14:textId="54E607C7" w:rsidR="00CA399F" w:rsidRPr="00340009" w:rsidRDefault="00CA399F" w:rsidP="001B2726">
                <w:pPr>
                  <w:jc w:val="left"/>
                  <w:rPr>
                    <w:sz w:val="22"/>
                    <w:szCs w:val="22"/>
                  </w:rPr>
                </w:pPr>
                <w:r w:rsidRPr="00340009">
                  <w:rPr>
                    <w:sz w:val="22"/>
                    <w:szCs w:val="22"/>
                  </w:rPr>
                  <w:t xml:space="preserve">This guide is for </w:t>
                </w:r>
                <w:r w:rsidR="00A02053">
                  <w:rPr>
                    <w:sz w:val="22"/>
                    <w:szCs w:val="22"/>
                  </w:rPr>
                  <w:t xml:space="preserve">reporting entities </w:t>
                </w:r>
                <w:r w:rsidRPr="00340009">
                  <w:rPr>
                    <w:sz w:val="22"/>
                    <w:szCs w:val="22"/>
                  </w:rPr>
                  <w:t xml:space="preserve">under the </w:t>
                </w:r>
                <w:hyperlink r:id="rId8" w:history="1">
                  <w:r w:rsidRPr="001B2726">
                    <w:rPr>
                      <w:rStyle w:val="Hyperlink"/>
                      <w:i/>
                      <w:iCs/>
                      <w:szCs w:val="22"/>
                    </w:rPr>
                    <w:t>Payment Times Reporting Act 2020</w:t>
                  </w:r>
                </w:hyperlink>
                <w:r w:rsidRPr="00340009">
                  <w:rPr>
                    <w:sz w:val="22"/>
                    <w:szCs w:val="22"/>
                  </w:rPr>
                  <w:t xml:space="preserve"> </w:t>
                </w:r>
                <w:r w:rsidR="00A02053">
                  <w:rPr>
                    <w:sz w:val="22"/>
                    <w:szCs w:val="22"/>
                  </w:rPr>
                  <w:t>and entities that would like to volunteer as reporting entities</w:t>
                </w:r>
                <w:r w:rsidRPr="00340009">
                  <w:rPr>
                    <w:sz w:val="22"/>
                    <w:szCs w:val="22"/>
                  </w:rPr>
                  <w:t>.</w:t>
                </w:r>
              </w:p>
              <w:p w14:paraId="51DF6CC8" w14:textId="4A914A10" w:rsidR="00CA399F" w:rsidRDefault="00FE2FD7" w:rsidP="001B2726">
                <w:pPr>
                  <w:jc w:val="left"/>
                </w:pPr>
                <w:r>
                  <w:rPr>
                    <w:sz w:val="22"/>
                    <w:szCs w:val="22"/>
                  </w:rPr>
                  <w:t>It</w:t>
                </w:r>
                <w:r w:rsidR="00A54947">
                  <w:rPr>
                    <w:sz w:val="22"/>
                    <w:szCs w:val="22"/>
                  </w:rPr>
                  <w:t xml:space="preserve"> </w:t>
                </w:r>
                <w:r w:rsidR="004D0D91">
                  <w:rPr>
                    <w:sz w:val="22"/>
                    <w:szCs w:val="22"/>
                  </w:rPr>
                  <w:t xml:space="preserve">provides guidance on the </w:t>
                </w:r>
                <w:r w:rsidR="005A107C">
                  <w:rPr>
                    <w:sz w:val="22"/>
                    <w:szCs w:val="22"/>
                  </w:rPr>
                  <w:t xml:space="preserve">process and </w:t>
                </w:r>
                <w:r w:rsidR="00CA399F" w:rsidRPr="00340009">
                  <w:rPr>
                    <w:sz w:val="22"/>
                    <w:szCs w:val="22"/>
                  </w:rPr>
                  <w:t xml:space="preserve">content </w:t>
                </w:r>
                <w:r w:rsidR="00A82B37">
                  <w:rPr>
                    <w:sz w:val="22"/>
                    <w:szCs w:val="22"/>
                  </w:rPr>
                  <w:t xml:space="preserve">for </w:t>
                </w:r>
                <w:r w:rsidR="00CA399F" w:rsidRPr="00340009">
                  <w:rPr>
                    <w:sz w:val="22"/>
                    <w:szCs w:val="22"/>
                  </w:rPr>
                  <w:t xml:space="preserve">applications </w:t>
                </w:r>
                <w:r w:rsidR="00F41D38">
                  <w:rPr>
                    <w:sz w:val="22"/>
                    <w:szCs w:val="22"/>
                  </w:rPr>
                  <w:t xml:space="preserve">and notifications </w:t>
                </w:r>
                <w:r w:rsidR="00CA399F" w:rsidRPr="00340009">
                  <w:rPr>
                    <w:sz w:val="22"/>
                    <w:szCs w:val="22"/>
                  </w:rPr>
                  <w:t>made to the Regulator</w:t>
                </w:r>
                <w:r w:rsidR="00782D69">
                  <w:rPr>
                    <w:sz w:val="22"/>
                    <w:szCs w:val="22"/>
                  </w:rPr>
                  <w:t xml:space="preserve">. </w:t>
                </w:r>
                <w:r w:rsidR="00F41D38">
                  <w:rPr>
                    <w:sz w:val="22"/>
                    <w:szCs w:val="22"/>
                  </w:rPr>
                  <w:t xml:space="preserve">It also details the </w:t>
                </w:r>
                <w:r w:rsidR="005A107C">
                  <w:rPr>
                    <w:sz w:val="22"/>
                    <w:szCs w:val="22"/>
                  </w:rPr>
                  <w:t xml:space="preserve">principles </w:t>
                </w:r>
                <w:r w:rsidR="00A71C18">
                  <w:rPr>
                    <w:sz w:val="22"/>
                    <w:szCs w:val="22"/>
                  </w:rPr>
                  <w:t xml:space="preserve">the Regulator </w:t>
                </w:r>
                <w:r w:rsidR="005A107C">
                  <w:rPr>
                    <w:sz w:val="22"/>
                    <w:szCs w:val="22"/>
                  </w:rPr>
                  <w:t>applie</w:t>
                </w:r>
                <w:r w:rsidR="00A71C18">
                  <w:rPr>
                    <w:sz w:val="22"/>
                    <w:szCs w:val="22"/>
                  </w:rPr>
                  <w:t>s</w:t>
                </w:r>
                <w:r w:rsidR="005A107C">
                  <w:rPr>
                    <w:sz w:val="22"/>
                    <w:szCs w:val="22"/>
                  </w:rPr>
                  <w:t xml:space="preserve"> </w:t>
                </w:r>
                <w:r w:rsidR="00A54947">
                  <w:rPr>
                    <w:sz w:val="22"/>
                    <w:szCs w:val="22"/>
                  </w:rPr>
                  <w:t>when assessing applications.</w:t>
                </w:r>
                <w:r w:rsidR="00F41D38">
                  <w:rPr>
                    <w:sz w:val="22"/>
                    <w:szCs w:val="22"/>
                  </w:rPr>
                  <w:t xml:space="preserve"> </w:t>
                </w:r>
              </w:p>
            </w:tc>
          </w:tr>
        </w:tbl>
        <w:p w14:paraId="59D53574" w14:textId="3C50B582" w:rsidR="00DA0A99" w:rsidRPr="00DA0A99" w:rsidRDefault="009E16AB" w:rsidP="00B67103">
          <w:pPr>
            <w:pStyle w:val="Heading1"/>
            <w:spacing w:before="240"/>
          </w:pPr>
          <w:bookmarkStart w:id="12" w:name="_Toc106967935"/>
          <w:bookmarkStart w:id="13" w:name="_Toc107836055"/>
          <w:bookmarkStart w:id="14" w:name="_Toc107914322"/>
          <w:r>
            <w:t>Our</w:t>
          </w:r>
          <w:r w:rsidR="00DA0A99" w:rsidRPr="00DA0A99">
            <w:t xml:space="preserve"> documents</w:t>
          </w:r>
          <w:bookmarkEnd w:id="12"/>
          <w:bookmarkEnd w:id="13"/>
          <w:bookmarkEnd w:id="14"/>
          <w:r w:rsidR="00B437F0">
            <w:tab/>
          </w:r>
        </w:p>
        <w:p w14:paraId="65CD4E3C" w14:textId="77777777" w:rsidR="00A71C18" w:rsidRDefault="004A695F" w:rsidP="00073D99">
          <w:r>
            <w:t>We provide information to reporting entities and other stakeholders to</w:t>
          </w:r>
          <w:r w:rsidR="00A71C18">
            <w:t>:</w:t>
          </w:r>
        </w:p>
        <w:p w14:paraId="53ED3550" w14:textId="42D31AC2" w:rsidR="00A71C18" w:rsidRDefault="00323ECB" w:rsidP="00745615">
          <w:pPr>
            <w:pStyle w:val="ListParagraph"/>
          </w:pPr>
          <w:r>
            <w:t>allow contribution to policy development</w:t>
          </w:r>
        </w:p>
        <w:p w14:paraId="6BD86579" w14:textId="659DF522" w:rsidR="00A71C18" w:rsidRDefault="00323ECB" w:rsidP="00745615">
          <w:pPr>
            <w:pStyle w:val="ListParagraph"/>
          </w:pPr>
          <w:r>
            <w:t>inform stakeholders of how we administer the Act</w:t>
          </w:r>
        </w:p>
        <w:p w14:paraId="201E0141" w14:textId="6ABD360D" w:rsidR="00323ECB" w:rsidRDefault="00323ECB" w:rsidP="00745615">
          <w:pPr>
            <w:pStyle w:val="ListParagraph"/>
          </w:pPr>
          <w:r>
            <w:t>provide guidance to assist reporting entities to comply with their obligations</w:t>
          </w:r>
          <w:r w:rsidR="004A695F">
            <w:t>.</w:t>
          </w:r>
        </w:p>
        <w:p w14:paraId="06ABD7BF" w14:textId="094AB54C" w:rsidR="00DA0A99" w:rsidRDefault="00323ECB" w:rsidP="00073D99">
          <w:r w:rsidRPr="00745615">
            <w:rPr>
              <w:rStyle w:val="Strong"/>
            </w:rPr>
            <w:t>Consultation papers</w:t>
          </w:r>
          <w:r>
            <w:t xml:space="preserve"> </w:t>
          </w:r>
          <w:r w:rsidR="00340009">
            <w:t xml:space="preserve">seek </w:t>
          </w:r>
          <w:r>
            <w:t>feedback from regulated entities and other stakeholders on how we administer the Act</w:t>
          </w:r>
          <w:r w:rsidR="00A71C18">
            <w:t xml:space="preserve"> or intend to administer the Act</w:t>
          </w:r>
          <w:r>
            <w:t>.</w:t>
          </w:r>
        </w:p>
        <w:p w14:paraId="1BD7457B" w14:textId="467DB11F" w:rsidR="007177FD" w:rsidRDefault="00323ECB" w:rsidP="00073D99">
          <w:r w:rsidRPr="00745615">
            <w:rPr>
              <w:rStyle w:val="Strong"/>
            </w:rPr>
            <w:t>Guidance notes</w:t>
          </w:r>
          <w:r>
            <w:t xml:space="preserve"> </w:t>
          </w:r>
          <w:r w:rsidR="00307167">
            <w:t xml:space="preserve">explain how the law operates generally and outline our administrative approach. These documents also provide practical examples that may assist in navigating regulated processes. Examples in this </w:t>
          </w:r>
          <w:r w:rsidR="00891810">
            <w:t>g</w:t>
          </w:r>
          <w:r w:rsidR="00307167">
            <w:t xml:space="preserve">uidance </w:t>
          </w:r>
          <w:r w:rsidR="00891810">
            <w:t>n</w:t>
          </w:r>
          <w:r w:rsidR="00307167">
            <w:t xml:space="preserve">ote are purely for illustration; they are not exhaustive and are not intended to impose or imply particular rules or requirements. </w:t>
          </w:r>
        </w:p>
        <w:p w14:paraId="79083004" w14:textId="4FF2F0FE" w:rsidR="00CA399F" w:rsidRDefault="00CA399F" w:rsidP="00073D99">
          <w:r w:rsidRPr="00745615">
            <w:rPr>
              <w:rStyle w:val="Strong"/>
            </w:rPr>
            <w:t>Information sheets</w:t>
          </w:r>
          <w:r>
            <w:t xml:space="preserve"> are short guidance documents on a specific process or function. </w:t>
          </w:r>
        </w:p>
        <w:p w14:paraId="0E51CB0F" w14:textId="50B0324E" w:rsidR="00DA0A99" w:rsidRPr="007B5D3D" w:rsidRDefault="00A71C18" w:rsidP="00A26B5B">
          <w:pPr>
            <w:pStyle w:val="Heading1"/>
            <w:spacing w:before="240"/>
          </w:pPr>
          <w:bookmarkStart w:id="15" w:name="_Toc106967936"/>
          <w:bookmarkStart w:id="16" w:name="_Toc107836056"/>
          <w:bookmarkStart w:id="17" w:name="_Toc107914323"/>
          <w:r>
            <w:t>Version</w:t>
          </w:r>
          <w:r w:rsidR="00DA0A99">
            <w:t xml:space="preserve"> </w:t>
          </w:r>
          <w:r>
            <w:t>h</w:t>
          </w:r>
          <w:r w:rsidR="00DA0A99">
            <w:t>istory</w:t>
          </w:r>
          <w:bookmarkEnd w:id="15"/>
          <w:bookmarkEnd w:id="16"/>
          <w:bookmarkEnd w:id="17"/>
        </w:p>
        <w:p w14:paraId="72E7B1D9" w14:textId="2CF07A55" w:rsidR="00DA0A99" w:rsidRDefault="004A695F" w:rsidP="00DA0A99">
          <w:r>
            <w:t xml:space="preserve">This guidance note was first published </w:t>
          </w:r>
          <w:r w:rsidR="00A71C18">
            <w:t>o</w:t>
          </w:r>
          <w:r>
            <w:t xml:space="preserve">n </w:t>
          </w:r>
          <w:r w:rsidR="0045075C">
            <w:t xml:space="preserve">22 July 2022 for public consultation </w:t>
          </w:r>
          <w:r w:rsidR="00B437F0" w:rsidRPr="00694A07">
            <w:t xml:space="preserve">and based on the </w:t>
          </w:r>
          <w:hyperlink r:id="rId9" w:history="1">
            <w:r w:rsidR="00B437F0" w:rsidRPr="00694A07">
              <w:rPr>
                <w:rStyle w:val="Hyperlink"/>
                <w:i/>
                <w:iCs/>
              </w:rPr>
              <w:t>Payment Times Reporting Act 2020</w:t>
            </w:r>
          </w:hyperlink>
          <w:r w:rsidR="00B437F0" w:rsidRPr="00694A07">
            <w:t xml:space="preserve"> and </w:t>
          </w:r>
          <w:hyperlink r:id="rId10" w:history="1">
            <w:r w:rsidR="00B437F0" w:rsidRPr="00694A07">
              <w:rPr>
                <w:rStyle w:val="Hyperlink"/>
              </w:rPr>
              <w:t>Payment Times Reporting Rules 2020</w:t>
            </w:r>
          </w:hyperlink>
          <w:r w:rsidR="00B437F0">
            <w:t xml:space="preserve"> </w:t>
          </w:r>
          <w:r w:rsidR="00A71C18">
            <w:t>(</w:t>
          </w:r>
          <w:r w:rsidR="00A71C18" w:rsidRPr="00782D69">
            <w:rPr>
              <w:rStyle w:val="Strong"/>
            </w:rPr>
            <w:t>the Rules</w:t>
          </w:r>
          <w:r w:rsidR="005D089C">
            <w:t xml:space="preserve">) </w:t>
          </w:r>
          <w:r w:rsidR="00B437F0">
            <w:t>as of that date.</w:t>
          </w:r>
        </w:p>
        <w:p w14:paraId="656DDDA5" w14:textId="2C7E8B29" w:rsidR="007B5D3D" w:rsidRPr="007B5D3D" w:rsidRDefault="007B5D3D" w:rsidP="00A26B5B">
          <w:pPr>
            <w:pStyle w:val="Heading1"/>
            <w:spacing w:before="240"/>
          </w:pPr>
          <w:bookmarkStart w:id="18" w:name="_Toc106967937"/>
          <w:bookmarkStart w:id="19" w:name="_Toc107836057"/>
          <w:bookmarkStart w:id="20" w:name="_Toc107914324"/>
          <w:r w:rsidRPr="007B5D3D">
            <w:t>Disclaimer</w:t>
          </w:r>
          <w:bookmarkEnd w:id="18"/>
          <w:bookmarkEnd w:id="19"/>
          <w:bookmarkEnd w:id="20"/>
        </w:p>
        <w:p w14:paraId="5DFC406B" w14:textId="0442D4BB" w:rsidR="00307167" w:rsidRDefault="00307167" w:rsidP="00307167">
          <w:r>
            <w:t xml:space="preserve">This </w:t>
          </w:r>
          <w:r w:rsidR="00DE15C7">
            <w:t>g</w:t>
          </w:r>
          <w:r>
            <w:t xml:space="preserve">uidance </w:t>
          </w:r>
          <w:r w:rsidR="00DE15C7">
            <w:t>n</w:t>
          </w:r>
          <w:r>
            <w:t xml:space="preserve">ote does not constitute legal or professional advice and it should not be relied on as such. You should seek your own legal or professional advice to find out how the </w:t>
          </w:r>
          <w:hyperlink r:id="rId11" w:history="1">
            <w:r w:rsidRPr="00694A07">
              <w:rPr>
                <w:rStyle w:val="Hyperlink"/>
                <w:i/>
                <w:iCs/>
              </w:rPr>
              <w:t>Payment Times Reporting Act 2020</w:t>
            </w:r>
          </w:hyperlink>
          <w:r>
            <w:t xml:space="preserve"> and other applicable laws apply to your organisation, because you are responsible for determining your obligations.</w:t>
          </w:r>
        </w:p>
        <w:sdt>
          <w:sdtPr>
            <w:rPr>
              <w:rFonts w:ascii="Calibri" w:eastAsia="Times New Roman" w:hAnsi="Calibri" w:cs="Times New Roman"/>
              <w:b w:val="0"/>
              <w:color w:val="auto"/>
              <w:sz w:val="22"/>
              <w:szCs w:val="20"/>
              <w:lang w:val="en-AU" w:eastAsia="en-AU"/>
            </w:rPr>
            <w:id w:val="1403715325"/>
            <w:docPartObj>
              <w:docPartGallery w:val="Table of Contents"/>
              <w:docPartUnique/>
            </w:docPartObj>
          </w:sdtPr>
          <w:sdtEndPr>
            <w:rPr>
              <w:bCs/>
              <w:noProof/>
              <w:color w:val="262626" w:themeColor="text1" w:themeTint="D9"/>
            </w:rPr>
          </w:sdtEndPr>
          <w:sdtContent>
            <w:p w14:paraId="24BF691B" w14:textId="77777777" w:rsidR="007E4D5D" w:rsidRDefault="00CE3D0C" w:rsidP="005D1AC3">
              <w:pPr>
                <w:pStyle w:val="TOCHeading"/>
                <w:rPr>
                  <w:noProof/>
                </w:rPr>
              </w:pPr>
              <w:r>
                <w:t>C</w:t>
              </w:r>
              <w:r w:rsidR="00553C26">
                <w:t>ontents</w:t>
              </w:r>
              <w:r w:rsidR="00553C26">
                <w:rPr>
                  <w:color w:val="002C47" w:themeColor="accent1"/>
                  <w:szCs w:val="22"/>
                </w:rPr>
                <w:fldChar w:fldCharType="begin"/>
              </w:r>
              <w:r w:rsidR="00553C26">
                <w:instrText xml:space="preserve"> TOC \o "1-3" \h \z \u </w:instrText>
              </w:r>
              <w:r w:rsidR="00553C26">
                <w:rPr>
                  <w:color w:val="002C47" w:themeColor="accent1"/>
                  <w:szCs w:val="22"/>
                </w:rPr>
                <w:fldChar w:fldCharType="separate"/>
              </w:r>
            </w:p>
            <w:p w14:paraId="3D4FDEA5" w14:textId="34860D80" w:rsidR="007E4D5D" w:rsidRDefault="00E8035E">
              <w:pPr>
                <w:pStyle w:val="TOC1"/>
                <w:rPr>
                  <w:rFonts w:asciiTheme="minorHAnsi" w:eastAsiaTheme="minorEastAsia" w:hAnsiTheme="minorHAnsi" w:cstheme="minorBidi"/>
                  <w:b w:val="0"/>
                  <w:color w:val="auto"/>
                </w:rPr>
              </w:pPr>
              <w:hyperlink w:anchor="_Toc107914325" w:history="1">
                <w:r w:rsidR="007E4D5D" w:rsidRPr="001D0420">
                  <w:rPr>
                    <w:rStyle w:val="Hyperlink"/>
                    <w:lang w:eastAsia="en-US"/>
                  </w:rPr>
                  <w:t>Applications</w:t>
                </w:r>
                <w:r w:rsidR="007E4D5D">
                  <w:rPr>
                    <w:webHidden/>
                  </w:rPr>
                  <w:tab/>
                </w:r>
                <w:r w:rsidR="007E4D5D">
                  <w:rPr>
                    <w:webHidden/>
                  </w:rPr>
                  <w:fldChar w:fldCharType="begin"/>
                </w:r>
                <w:r w:rsidR="007E4D5D">
                  <w:rPr>
                    <w:webHidden/>
                  </w:rPr>
                  <w:instrText xml:space="preserve"> PAGEREF _Toc107914325 \h </w:instrText>
                </w:r>
                <w:r w:rsidR="007E4D5D">
                  <w:rPr>
                    <w:webHidden/>
                  </w:rPr>
                </w:r>
                <w:r w:rsidR="007E4D5D">
                  <w:rPr>
                    <w:webHidden/>
                  </w:rPr>
                  <w:fldChar w:fldCharType="separate"/>
                </w:r>
                <w:r w:rsidR="005B73F4">
                  <w:rPr>
                    <w:webHidden/>
                  </w:rPr>
                  <w:t>3</w:t>
                </w:r>
                <w:r w:rsidR="007E4D5D">
                  <w:rPr>
                    <w:webHidden/>
                  </w:rPr>
                  <w:fldChar w:fldCharType="end"/>
                </w:r>
              </w:hyperlink>
            </w:p>
            <w:p w14:paraId="3C1D2A45" w14:textId="5EF95657" w:rsidR="007E4D5D" w:rsidRDefault="00E8035E">
              <w:pPr>
                <w:pStyle w:val="TOC2"/>
                <w:rPr>
                  <w:rFonts w:asciiTheme="minorHAnsi" w:eastAsiaTheme="minorEastAsia" w:hAnsiTheme="minorHAnsi" w:cstheme="minorBidi"/>
                  <w:color w:val="auto"/>
                  <w:szCs w:val="22"/>
                </w:rPr>
              </w:pPr>
              <w:hyperlink w:anchor="_Toc107914326" w:history="1">
                <w:r w:rsidR="007E4D5D" w:rsidRPr="001D0420">
                  <w:rPr>
                    <w:rStyle w:val="Hyperlink"/>
                    <w:lang w:eastAsia="en-US"/>
                  </w:rPr>
                  <w:t>Extension of time to lodge a payment times report</w:t>
                </w:r>
                <w:r w:rsidR="007E4D5D">
                  <w:rPr>
                    <w:webHidden/>
                  </w:rPr>
                  <w:tab/>
                </w:r>
                <w:r w:rsidR="007E4D5D">
                  <w:rPr>
                    <w:webHidden/>
                  </w:rPr>
                  <w:fldChar w:fldCharType="begin"/>
                </w:r>
                <w:r w:rsidR="007E4D5D">
                  <w:rPr>
                    <w:webHidden/>
                  </w:rPr>
                  <w:instrText xml:space="preserve"> PAGEREF _Toc107914326 \h </w:instrText>
                </w:r>
                <w:r w:rsidR="007E4D5D">
                  <w:rPr>
                    <w:webHidden/>
                  </w:rPr>
                </w:r>
                <w:r w:rsidR="007E4D5D">
                  <w:rPr>
                    <w:webHidden/>
                  </w:rPr>
                  <w:fldChar w:fldCharType="separate"/>
                </w:r>
                <w:r w:rsidR="005B73F4">
                  <w:rPr>
                    <w:webHidden/>
                  </w:rPr>
                  <w:t>3</w:t>
                </w:r>
                <w:r w:rsidR="007E4D5D">
                  <w:rPr>
                    <w:webHidden/>
                  </w:rPr>
                  <w:fldChar w:fldCharType="end"/>
                </w:r>
              </w:hyperlink>
            </w:p>
            <w:p w14:paraId="45EB7A19" w14:textId="694FA21D" w:rsidR="007E4D5D" w:rsidRDefault="00E8035E">
              <w:pPr>
                <w:pStyle w:val="TOC3"/>
                <w:rPr>
                  <w:rFonts w:asciiTheme="minorHAnsi" w:eastAsiaTheme="minorEastAsia" w:hAnsiTheme="minorHAnsi" w:cstheme="minorBidi"/>
                  <w:color w:val="auto"/>
                  <w:szCs w:val="22"/>
                </w:rPr>
              </w:pPr>
              <w:hyperlink w:anchor="_Toc107914327" w:history="1">
                <w:r w:rsidR="007E4D5D" w:rsidRPr="001D0420">
                  <w:rPr>
                    <w:rStyle w:val="Hyperlink"/>
                  </w:rPr>
                  <w:t>Key points</w:t>
                </w:r>
                <w:r w:rsidR="007E4D5D">
                  <w:rPr>
                    <w:webHidden/>
                  </w:rPr>
                  <w:tab/>
                </w:r>
                <w:r w:rsidR="007E4D5D">
                  <w:rPr>
                    <w:webHidden/>
                  </w:rPr>
                  <w:fldChar w:fldCharType="begin"/>
                </w:r>
                <w:r w:rsidR="007E4D5D">
                  <w:rPr>
                    <w:webHidden/>
                  </w:rPr>
                  <w:instrText xml:space="preserve"> PAGEREF _Toc107914327 \h </w:instrText>
                </w:r>
                <w:r w:rsidR="007E4D5D">
                  <w:rPr>
                    <w:webHidden/>
                  </w:rPr>
                </w:r>
                <w:r w:rsidR="007E4D5D">
                  <w:rPr>
                    <w:webHidden/>
                  </w:rPr>
                  <w:fldChar w:fldCharType="separate"/>
                </w:r>
                <w:r w:rsidR="005B73F4">
                  <w:rPr>
                    <w:webHidden/>
                  </w:rPr>
                  <w:t>3</w:t>
                </w:r>
                <w:r w:rsidR="007E4D5D">
                  <w:rPr>
                    <w:webHidden/>
                  </w:rPr>
                  <w:fldChar w:fldCharType="end"/>
                </w:r>
              </w:hyperlink>
            </w:p>
            <w:p w14:paraId="75B7F389" w14:textId="79141AE1" w:rsidR="007E4D5D" w:rsidRDefault="00E8035E">
              <w:pPr>
                <w:pStyle w:val="TOC3"/>
                <w:rPr>
                  <w:rFonts w:asciiTheme="minorHAnsi" w:eastAsiaTheme="minorEastAsia" w:hAnsiTheme="minorHAnsi" w:cstheme="minorBidi"/>
                  <w:color w:val="auto"/>
                  <w:szCs w:val="22"/>
                </w:rPr>
              </w:pPr>
              <w:hyperlink w:anchor="_Toc107914328" w:history="1">
                <w:r w:rsidR="007E4D5D" w:rsidRPr="001D0420">
                  <w:rPr>
                    <w:rStyle w:val="Hyperlink"/>
                  </w:rPr>
                  <w:t>When we can give an extension</w:t>
                </w:r>
                <w:r w:rsidR="007E4D5D">
                  <w:rPr>
                    <w:webHidden/>
                  </w:rPr>
                  <w:tab/>
                </w:r>
                <w:r w:rsidR="007E4D5D">
                  <w:rPr>
                    <w:webHidden/>
                  </w:rPr>
                  <w:fldChar w:fldCharType="begin"/>
                </w:r>
                <w:r w:rsidR="007E4D5D">
                  <w:rPr>
                    <w:webHidden/>
                  </w:rPr>
                  <w:instrText xml:space="preserve"> PAGEREF _Toc107914328 \h </w:instrText>
                </w:r>
                <w:r w:rsidR="007E4D5D">
                  <w:rPr>
                    <w:webHidden/>
                  </w:rPr>
                </w:r>
                <w:r w:rsidR="007E4D5D">
                  <w:rPr>
                    <w:webHidden/>
                  </w:rPr>
                  <w:fldChar w:fldCharType="separate"/>
                </w:r>
                <w:r w:rsidR="005B73F4">
                  <w:rPr>
                    <w:webHidden/>
                  </w:rPr>
                  <w:t>3</w:t>
                </w:r>
                <w:r w:rsidR="007E4D5D">
                  <w:rPr>
                    <w:webHidden/>
                  </w:rPr>
                  <w:fldChar w:fldCharType="end"/>
                </w:r>
              </w:hyperlink>
            </w:p>
            <w:p w14:paraId="2D06C289" w14:textId="6D998C2C" w:rsidR="007E4D5D" w:rsidRDefault="00E8035E">
              <w:pPr>
                <w:pStyle w:val="TOC3"/>
                <w:rPr>
                  <w:rFonts w:asciiTheme="minorHAnsi" w:eastAsiaTheme="minorEastAsia" w:hAnsiTheme="minorHAnsi" w:cstheme="minorBidi"/>
                  <w:color w:val="auto"/>
                  <w:szCs w:val="22"/>
                </w:rPr>
              </w:pPr>
              <w:hyperlink w:anchor="_Toc107914329" w:history="1">
                <w:r w:rsidR="007E4D5D" w:rsidRPr="001D0420">
                  <w:rPr>
                    <w:rStyle w:val="Hyperlink"/>
                    <w:lang w:eastAsia="en-US"/>
                  </w:rPr>
                  <w:t>Circumstances that are exceptional or outside an entity’s control</w:t>
                </w:r>
                <w:r w:rsidR="007E4D5D">
                  <w:rPr>
                    <w:webHidden/>
                  </w:rPr>
                  <w:tab/>
                </w:r>
                <w:r w:rsidR="007E4D5D">
                  <w:rPr>
                    <w:webHidden/>
                  </w:rPr>
                  <w:fldChar w:fldCharType="begin"/>
                </w:r>
                <w:r w:rsidR="007E4D5D">
                  <w:rPr>
                    <w:webHidden/>
                  </w:rPr>
                  <w:instrText xml:space="preserve"> PAGEREF _Toc107914329 \h </w:instrText>
                </w:r>
                <w:r w:rsidR="007E4D5D">
                  <w:rPr>
                    <w:webHidden/>
                  </w:rPr>
                </w:r>
                <w:r w:rsidR="007E4D5D">
                  <w:rPr>
                    <w:webHidden/>
                  </w:rPr>
                  <w:fldChar w:fldCharType="separate"/>
                </w:r>
                <w:r w:rsidR="005B73F4">
                  <w:rPr>
                    <w:webHidden/>
                  </w:rPr>
                  <w:t>3</w:t>
                </w:r>
                <w:r w:rsidR="007E4D5D">
                  <w:rPr>
                    <w:webHidden/>
                  </w:rPr>
                  <w:fldChar w:fldCharType="end"/>
                </w:r>
              </w:hyperlink>
            </w:p>
            <w:p w14:paraId="7761CDAB" w14:textId="5801ADC4" w:rsidR="007E4D5D" w:rsidRDefault="00E8035E">
              <w:pPr>
                <w:pStyle w:val="TOC3"/>
                <w:rPr>
                  <w:rFonts w:asciiTheme="minorHAnsi" w:eastAsiaTheme="minorEastAsia" w:hAnsiTheme="minorHAnsi" w:cstheme="minorBidi"/>
                  <w:color w:val="auto"/>
                  <w:szCs w:val="22"/>
                </w:rPr>
              </w:pPr>
              <w:hyperlink w:anchor="_Toc107914330" w:history="1">
                <w:r w:rsidR="007E4D5D" w:rsidRPr="001D0420">
                  <w:rPr>
                    <w:rStyle w:val="Hyperlink"/>
                    <w:lang w:eastAsia="en-US"/>
                  </w:rPr>
                  <w:t>Severity of circumstances</w:t>
                </w:r>
                <w:r w:rsidR="007E4D5D">
                  <w:rPr>
                    <w:webHidden/>
                  </w:rPr>
                  <w:tab/>
                </w:r>
                <w:r w:rsidR="007E4D5D">
                  <w:rPr>
                    <w:webHidden/>
                  </w:rPr>
                  <w:fldChar w:fldCharType="begin"/>
                </w:r>
                <w:r w:rsidR="007E4D5D">
                  <w:rPr>
                    <w:webHidden/>
                  </w:rPr>
                  <w:instrText xml:space="preserve"> PAGEREF _Toc107914330 \h </w:instrText>
                </w:r>
                <w:r w:rsidR="007E4D5D">
                  <w:rPr>
                    <w:webHidden/>
                  </w:rPr>
                </w:r>
                <w:r w:rsidR="007E4D5D">
                  <w:rPr>
                    <w:webHidden/>
                  </w:rPr>
                  <w:fldChar w:fldCharType="separate"/>
                </w:r>
                <w:r w:rsidR="005B73F4">
                  <w:rPr>
                    <w:webHidden/>
                  </w:rPr>
                  <w:t>4</w:t>
                </w:r>
                <w:r w:rsidR="007E4D5D">
                  <w:rPr>
                    <w:webHidden/>
                  </w:rPr>
                  <w:fldChar w:fldCharType="end"/>
                </w:r>
              </w:hyperlink>
            </w:p>
            <w:p w14:paraId="7E1C1965" w14:textId="77654633" w:rsidR="007E4D5D" w:rsidRDefault="00E8035E">
              <w:pPr>
                <w:pStyle w:val="TOC3"/>
                <w:rPr>
                  <w:rFonts w:asciiTheme="minorHAnsi" w:eastAsiaTheme="minorEastAsia" w:hAnsiTheme="minorHAnsi" w:cstheme="minorBidi"/>
                  <w:color w:val="auto"/>
                  <w:szCs w:val="22"/>
                </w:rPr>
              </w:pPr>
              <w:hyperlink w:anchor="_Toc107914331" w:history="1">
                <w:r w:rsidR="007E4D5D" w:rsidRPr="001D0420">
                  <w:rPr>
                    <w:rStyle w:val="Hyperlink"/>
                    <w:lang w:eastAsia="en-US"/>
                  </w:rPr>
                  <w:t>Length of extension</w:t>
                </w:r>
                <w:r w:rsidR="007E4D5D">
                  <w:rPr>
                    <w:webHidden/>
                  </w:rPr>
                  <w:tab/>
                </w:r>
                <w:r w:rsidR="007E4D5D">
                  <w:rPr>
                    <w:webHidden/>
                  </w:rPr>
                  <w:fldChar w:fldCharType="begin"/>
                </w:r>
                <w:r w:rsidR="007E4D5D">
                  <w:rPr>
                    <w:webHidden/>
                  </w:rPr>
                  <w:instrText xml:space="preserve"> PAGEREF _Toc107914331 \h </w:instrText>
                </w:r>
                <w:r w:rsidR="007E4D5D">
                  <w:rPr>
                    <w:webHidden/>
                  </w:rPr>
                </w:r>
                <w:r w:rsidR="007E4D5D">
                  <w:rPr>
                    <w:webHidden/>
                  </w:rPr>
                  <w:fldChar w:fldCharType="separate"/>
                </w:r>
                <w:r w:rsidR="005B73F4">
                  <w:rPr>
                    <w:webHidden/>
                  </w:rPr>
                  <w:t>5</w:t>
                </w:r>
                <w:r w:rsidR="007E4D5D">
                  <w:rPr>
                    <w:webHidden/>
                  </w:rPr>
                  <w:fldChar w:fldCharType="end"/>
                </w:r>
              </w:hyperlink>
            </w:p>
            <w:p w14:paraId="170736B3" w14:textId="69E69A14" w:rsidR="007E4D5D" w:rsidRDefault="00E8035E">
              <w:pPr>
                <w:pStyle w:val="TOC3"/>
                <w:rPr>
                  <w:rFonts w:asciiTheme="minorHAnsi" w:eastAsiaTheme="minorEastAsia" w:hAnsiTheme="minorHAnsi" w:cstheme="minorBidi"/>
                  <w:color w:val="auto"/>
                  <w:szCs w:val="22"/>
                </w:rPr>
              </w:pPr>
              <w:hyperlink w:anchor="_Toc107914332" w:history="1">
                <w:r w:rsidR="007E4D5D" w:rsidRPr="001D0420">
                  <w:rPr>
                    <w:rStyle w:val="Hyperlink"/>
                    <w:lang w:eastAsia="en-US"/>
                  </w:rPr>
                  <w:t>Applying for an extension</w:t>
                </w:r>
                <w:r w:rsidR="007E4D5D">
                  <w:rPr>
                    <w:webHidden/>
                  </w:rPr>
                  <w:tab/>
                </w:r>
                <w:r w:rsidR="007E4D5D">
                  <w:rPr>
                    <w:webHidden/>
                  </w:rPr>
                  <w:fldChar w:fldCharType="begin"/>
                </w:r>
                <w:r w:rsidR="007E4D5D">
                  <w:rPr>
                    <w:webHidden/>
                  </w:rPr>
                  <w:instrText xml:space="preserve"> PAGEREF _Toc107914332 \h </w:instrText>
                </w:r>
                <w:r w:rsidR="007E4D5D">
                  <w:rPr>
                    <w:webHidden/>
                  </w:rPr>
                </w:r>
                <w:r w:rsidR="007E4D5D">
                  <w:rPr>
                    <w:webHidden/>
                  </w:rPr>
                  <w:fldChar w:fldCharType="separate"/>
                </w:r>
                <w:r w:rsidR="005B73F4">
                  <w:rPr>
                    <w:webHidden/>
                  </w:rPr>
                  <w:t>5</w:t>
                </w:r>
                <w:r w:rsidR="007E4D5D">
                  <w:rPr>
                    <w:webHidden/>
                  </w:rPr>
                  <w:fldChar w:fldCharType="end"/>
                </w:r>
              </w:hyperlink>
            </w:p>
            <w:p w14:paraId="0ACA2003" w14:textId="6E1B9A69" w:rsidR="007E4D5D" w:rsidRDefault="00E8035E">
              <w:pPr>
                <w:pStyle w:val="TOC3"/>
                <w:rPr>
                  <w:rFonts w:asciiTheme="minorHAnsi" w:eastAsiaTheme="minorEastAsia" w:hAnsiTheme="minorHAnsi" w:cstheme="minorBidi"/>
                  <w:color w:val="auto"/>
                  <w:szCs w:val="22"/>
                </w:rPr>
              </w:pPr>
              <w:hyperlink w:anchor="_Toc107914333" w:history="1">
                <w:r w:rsidR="007E4D5D" w:rsidRPr="001D0420">
                  <w:rPr>
                    <w:rStyle w:val="Hyperlink"/>
                    <w:lang w:eastAsia="en-US"/>
                  </w:rPr>
                  <w:t>Assessing your application</w:t>
                </w:r>
                <w:r w:rsidR="007E4D5D">
                  <w:rPr>
                    <w:webHidden/>
                  </w:rPr>
                  <w:tab/>
                </w:r>
                <w:r w:rsidR="007E4D5D">
                  <w:rPr>
                    <w:webHidden/>
                  </w:rPr>
                  <w:fldChar w:fldCharType="begin"/>
                </w:r>
                <w:r w:rsidR="007E4D5D">
                  <w:rPr>
                    <w:webHidden/>
                  </w:rPr>
                  <w:instrText xml:space="preserve"> PAGEREF _Toc107914333 \h </w:instrText>
                </w:r>
                <w:r w:rsidR="007E4D5D">
                  <w:rPr>
                    <w:webHidden/>
                  </w:rPr>
                </w:r>
                <w:r w:rsidR="007E4D5D">
                  <w:rPr>
                    <w:webHidden/>
                  </w:rPr>
                  <w:fldChar w:fldCharType="separate"/>
                </w:r>
                <w:r w:rsidR="005B73F4">
                  <w:rPr>
                    <w:webHidden/>
                  </w:rPr>
                  <w:t>7</w:t>
                </w:r>
                <w:r w:rsidR="007E4D5D">
                  <w:rPr>
                    <w:webHidden/>
                  </w:rPr>
                  <w:fldChar w:fldCharType="end"/>
                </w:r>
              </w:hyperlink>
            </w:p>
            <w:p w14:paraId="073AC24C" w14:textId="3D89D034" w:rsidR="007E4D5D" w:rsidRDefault="00E8035E">
              <w:pPr>
                <w:pStyle w:val="TOC3"/>
                <w:rPr>
                  <w:rFonts w:asciiTheme="minorHAnsi" w:eastAsiaTheme="minorEastAsia" w:hAnsiTheme="minorHAnsi" w:cstheme="minorBidi"/>
                  <w:color w:val="auto"/>
                  <w:szCs w:val="22"/>
                </w:rPr>
              </w:pPr>
              <w:hyperlink w:anchor="_Toc107914334" w:history="1">
                <w:r w:rsidR="007E4D5D" w:rsidRPr="001D0420">
                  <w:rPr>
                    <w:rStyle w:val="Hyperlink"/>
                    <w:lang w:eastAsia="en-US"/>
                  </w:rPr>
                  <w:t>Review of decision</w:t>
                </w:r>
                <w:r w:rsidR="007E4D5D">
                  <w:rPr>
                    <w:webHidden/>
                  </w:rPr>
                  <w:tab/>
                </w:r>
                <w:r w:rsidR="007E4D5D">
                  <w:rPr>
                    <w:webHidden/>
                  </w:rPr>
                  <w:fldChar w:fldCharType="begin"/>
                </w:r>
                <w:r w:rsidR="007E4D5D">
                  <w:rPr>
                    <w:webHidden/>
                  </w:rPr>
                  <w:instrText xml:space="preserve"> PAGEREF _Toc107914334 \h </w:instrText>
                </w:r>
                <w:r w:rsidR="007E4D5D">
                  <w:rPr>
                    <w:webHidden/>
                  </w:rPr>
                </w:r>
                <w:r w:rsidR="007E4D5D">
                  <w:rPr>
                    <w:webHidden/>
                  </w:rPr>
                  <w:fldChar w:fldCharType="separate"/>
                </w:r>
                <w:r w:rsidR="005B73F4">
                  <w:rPr>
                    <w:webHidden/>
                  </w:rPr>
                  <w:t>7</w:t>
                </w:r>
                <w:r w:rsidR="007E4D5D">
                  <w:rPr>
                    <w:webHidden/>
                  </w:rPr>
                  <w:fldChar w:fldCharType="end"/>
                </w:r>
              </w:hyperlink>
            </w:p>
            <w:p w14:paraId="743CA1B7" w14:textId="6B0D3AC6" w:rsidR="007E4D5D" w:rsidRDefault="00E8035E">
              <w:pPr>
                <w:pStyle w:val="TOC2"/>
                <w:rPr>
                  <w:rFonts w:asciiTheme="minorHAnsi" w:eastAsiaTheme="minorEastAsia" w:hAnsiTheme="minorHAnsi" w:cstheme="minorBidi"/>
                  <w:color w:val="auto"/>
                  <w:szCs w:val="22"/>
                </w:rPr>
              </w:pPr>
              <w:hyperlink w:anchor="_Toc107914335" w:history="1">
                <w:r w:rsidR="007E4D5D" w:rsidRPr="001D0420">
                  <w:rPr>
                    <w:rStyle w:val="Hyperlink"/>
                    <w:lang w:eastAsia="en-US"/>
                  </w:rPr>
                  <w:t>Cease to be a reporting entity</w:t>
                </w:r>
                <w:r w:rsidR="007E4D5D">
                  <w:rPr>
                    <w:webHidden/>
                  </w:rPr>
                  <w:tab/>
                </w:r>
                <w:r w:rsidR="007E4D5D">
                  <w:rPr>
                    <w:webHidden/>
                  </w:rPr>
                  <w:fldChar w:fldCharType="begin"/>
                </w:r>
                <w:r w:rsidR="007E4D5D">
                  <w:rPr>
                    <w:webHidden/>
                  </w:rPr>
                  <w:instrText xml:space="preserve"> PAGEREF _Toc107914335 \h </w:instrText>
                </w:r>
                <w:r w:rsidR="007E4D5D">
                  <w:rPr>
                    <w:webHidden/>
                  </w:rPr>
                </w:r>
                <w:r w:rsidR="007E4D5D">
                  <w:rPr>
                    <w:webHidden/>
                  </w:rPr>
                  <w:fldChar w:fldCharType="separate"/>
                </w:r>
                <w:r w:rsidR="005B73F4">
                  <w:rPr>
                    <w:webHidden/>
                  </w:rPr>
                  <w:t>8</w:t>
                </w:r>
                <w:r w:rsidR="007E4D5D">
                  <w:rPr>
                    <w:webHidden/>
                  </w:rPr>
                  <w:fldChar w:fldCharType="end"/>
                </w:r>
              </w:hyperlink>
            </w:p>
            <w:p w14:paraId="5514EDF4" w14:textId="07FB29AC" w:rsidR="007E4D5D" w:rsidRDefault="00E8035E">
              <w:pPr>
                <w:pStyle w:val="TOC3"/>
                <w:rPr>
                  <w:rFonts w:asciiTheme="minorHAnsi" w:eastAsiaTheme="minorEastAsia" w:hAnsiTheme="minorHAnsi" w:cstheme="minorBidi"/>
                  <w:color w:val="auto"/>
                  <w:szCs w:val="22"/>
                </w:rPr>
              </w:pPr>
              <w:hyperlink w:anchor="_Toc107914336" w:history="1">
                <w:r w:rsidR="007E4D5D" w:rsidRPr="001D0420">
                  <w:rPr>
                    <w:rStyle w:val="Hyperlink"/>
                  </w:rPr>
                  <w:t>Key points</w:t>
                </w:r>
                <w:r w:rsidR="007E4D5D">
                  <w:rPr>
                    <w:webHidden/>
                  </w:rPr>
                  <w:tab/>
                </w:r>
                <w:r w:rsidR="007E4D5D">
                  <w:rPr>
                    <w:webHidden/>
                  </w:rPr>
                  <w:fldChar w:fldCharType="begin"/>
                </w:r>
                <w:r w:rsidR="007E4D5D">
                  <w:rPr>
                    <w:webHidden/>
                  </w:rPr>
                  <w:instrText xml:space="preserve"> PAGEREF _Toc107914336 \h </w:instrText>
                </w:r>
                <w:r w:rsidR="007E4D5D">
                  <w:rPr>
                    <w:webHidden/>
                  </w:rPr>
                </w:r>
                <w:r w:rsidR="007E4D5D">
                  <w:rPr>
                    <w:webHidden/>
                  </w:rPr>
                  <w:fldChar w:fldCharType="separate"/>
                </w:r>
                <w:r w:rsidR="005B73F4">
                  <w:rPr>
                    <w:webHidden/>
                  </w:rPr>
                  <w:t>8</w:t>
                </w:r>
                <w:r w:rsidR="007E4D5D">
                  <w:rPr>
                    <w:webHidden/>
                  </w:rPr>
                  <w:fldChar w:fldCharType="end"/>
                </w:r>
              </w:hyperlink>
            </w:p>
            <w:p w14:paraId="1EF988E0" w14:textId="57931850" w:rsidR="007E4D5D" w:rsidRDefault="00E8035E">
              <w:pPr>
                <w:pStyle w:val="TOC3"/>
                <w:rPr>
                  <w:rFonts w:asciiTheme="minorHAnsi" w:eastAsiaTheme="minorEastAsia" w:hAnsiTheme="minorHAnsi" w:cstheme="minorBidi"/>
                  <w:color w:val="auto"/>
                  <w:szCs w:val="22"/>
                </w:rPr>
              </w:pPr>
              <w:hyperlink w:anchor="_Toc107914337" w:history="1">
                <w:r w:rsidR="007E4D5D" w:rsidRPr="001D0420">
                  <w:rPr>
                    <w:rStyle w:val="Hyperlink"/>
                    <w:lang w:eastAsia="en-US"/>
                  </w:rPr>
                  <w:t>Eligibility for a determination to cease being a reporting entity</w:t>
                </w:r>
                <w:r w:rsidR="007E4D5D">
                  <w:rPr>
                    <w:webHidden/>
                  </w:rPr>
                  <w:tab/>
                </w:r>
                <w:r w:rsidR="007E4D5D">
                  <w:rPr>
                    <w:webHidden/>
                  </w:rPr>
                  <w:fldChar w:fldCharType="begin"/>
                </w:r>
                <w:r w:rsidR="007E4D5D">
                  <w:rPr>
                    <w:webHidden/>
                  </w:rPr>
                  <w:instrText xml:space="preserve"> PAGEREF _Toc107914337 \h </w:instrText>
                </w:r>
                <w:r w:rsidR="007E4D5D">
                  <w:rPr>
                    <w:webHidden/>
                  </w:rPr>
                </w:r>
                <w:r w:rsidR="007E4D5D">
                  <w:rPr>
                    <w:webHidden/>
                  </w:rPr>
                  <w:fldChar w:fldCharType="separate"/>
                </w:r>
                <w:r w:rsidR="005B73F4">
                  <w:rPr>
                    <w:webHidden/>
                  </w:rPr>
                  <w:t>8</w:t>
                </w:r>
                <w:r w:rsidR="007E4D5D">
                  <w:rPr>
                    <w:webHidden/>
                  </w:rPr>
                  <w:fldChar w:fldCharType="end"/>
                </w:r>
              </w:hyperlink>
            </w:p>
            <w:p w14:paraId="6604CE0B" w14:textId="1F1195B1" w:rsidR="007E4D5D" w:rsidRDefault="00E8035E">
              <w:pPr>
                <w:pStyle w:val="TOC3"/>
                <w:rPr>
                  <w:rFonts w:asciiTheme="minorHAnsi" w:eastAsiaTheme="minorEastAsia" w:hAnsiTheme="minorHAnsi" w:cstheme="minorBidi"/>
                  <w:color w:val="auto"/>
                  <w:szCs w:val="22"/>
                </w:rPr>
              </w:pPr>
              <w:hyperlink w:anchor="_Toc107914338" w:history="1">
                <w:r w:rsidR="007E4D5D" w:rsidRPr="001D0420">
                  <w:rPr>
                    <w:rStyle w:val="Hyperlink"/>
                    <w:lang w:eastAsia="en-US"/>
                  </w:rPr>
                  <w:t>Applying</w:t>
                </w:r>
                <w:r w:rsidR="007E4D5D" w:rsidRPr="001D0420">
                  <w:rPr>
                    <w:rStyle w:val="Hyperlink"/>
                  </w:rPr>
                  <w:t xml:space="preserve"> for a determination to cease being a reporting entity</w:t>
                </w:r>
                <w:r w:rsidR="007E4D5D">
                  <w:rPr>
                    <w:webHidden/>
                  </w:rPr>
                  <w:tab/>
                </w:r>
                <w:r w:rsidR="007E4D5D">
                  <w:rPr>
                    <w:webHidden/>
                  </w:rPr>
                  <w:fldChar w:fldCharType="begin"/>
                </w:r>
                <w:r w:rsidR="007E4D5D">
                  <w:rPr>
                    <w:webHidden/>
                  </w:rPr>
                  <w:instrText xml:space="preserve"> PAGEREF _Toc107914338 \h </w:instrText>
                </w:r>
                <w:r w:rsidR="007E4D5D">
                  <w:rPr>
                    <w:webHidden/>
                  </w:rPr>
                </w:r>
                <w:r w:rsidR="007E4D5D">
                  <w:rPr>
                    <w:webHidden/>
                  </w:rPr>
                  <w:fldChar w:fldCharType="separate"/>
                </w:r>
                <w:r w:rsidR="005B73F4">
                  <w:rPr>
                    <w:webHidden/>
                  </w:rPr>
                  <w:t>8</w:t>
                </w:r>
                <w:r w:rsidR="007E4D5D">
                  <w:rPr>
                    <w:webHidden/>
                  </w:rPr>
                  <w:fldChar w:fldCharType="end"/>
                </w:r>
              </w:hyperlink>
            </w:p>
            <w:p w14:paraId="61615F93" w14:textId="03944D44" w:rsidR="007E4D5D" w:rsidRDefault="00E8035E">
              <w:pPr>
                <w:pStyle w:val="TOC3"/>
                <w:rPr>
                  <w:rFonts w:asciiTheme="minorHAnsi" w:eastAsiaTheme="minorEastAsia" w:hAnsiTheme="minorHAnsi" w:cstheme="minorBidi"/>
                  <w:color w:val="auto"/>
                  <w:szCs w:val="22"/>
                </w:rPr>
              </w:pPr>
              <w:hyperlink w:anchor="_Toc107914339" w:history="1">
                <w:r w:rsidR="007E4D5D" w:rsidRPr="001D0420">
                  <w:rPr>
                    <w:rStyle w:val="Hyperlink"/>
                    <w:lang w:eastAsia="en-US"/>
                  </w:rPr>
                  <w:t>Assessing your application</w:t>
                </w:r>
                <w:r w:rsidR="007E4D5D">
                  <w:rPr>
                    <w:webHidden/>
                  </w:rPr>
                  <w:tab/>
                </w:r>
                <w:r w:rsidR="007E4D5D">
                  <w:rPr>
                    <w:webHidden/>
                  </w:rPr>
                  <w:fldChar w:fldCharType="begin"/>
                </w:r>
                <w:r w:rsidR="007E4D5D">
                  <w:rPr>
                    <w:webHidden/>
                  </w:rPr>
                  <w:instrText xml:space="preserve"> PAGEREF _Toc107914339 \h </w:instrText>
                </w:r>
                <w:r w:rsidR="007E4D5D">
                  <w:rPr>
                    <w:webHidden/>
                  </w:rPr>
                </w:r>
                <w:r w:rsidR="007E4D5D">
                  <w:rPr>
                    <w:webHidden/>
                  </w:rPr>
                  <w:fldChar w:fldCharType="separate"/>
                </w:r>
                <w:r w:rsidR="005B73F4">
                  <w:rPr>
                    <w:webHidden/>
                  </w:rPr>
                  <w:t>10</w:t>
                </w:r>
                <w:r w:rsidR="007E4D5D">
                  <w:rPr>
                    <w:webHidden/>
                  </w:rPr>
                  <w:fldChar w:fldCharType="end"/>
                </w:r>
              </w:hyperlink>
            </w:p>
            <w:p w14:paraId="6F9C7399" w14:textId="737323FA" w:rsidR="007E4D5D" w:rsidRDefault="00E8035E">
              <w:pPr>
                <w:pStyle w:val="TOC3"/>
                <w:rPr>
                  <w:rFonts w:asciiTheme="minorHAnsi" w:eastAsiaTheme="minorEastAsia" w:hAnsiTheme="minorHAnsi" w:cstheme="minorBidi"/>
                  <w:color w:val="auto"/>
                  <w:szCs w:val="22"/>
                </w:rPr>
              </w:pPr>
              <w:hyperlink w:anchor="_Toc107914340" w:history="1">
                <w:r w:rsidR="007E4D5D" w:rsidRPr="001D0420">
                  <w:rPr>
                    <w:rStyle w:val="Hyperlink"/>
                    <w:lang w:eastAsia="en-US"/>
                  </w:rPr>
                  <w:t>Effect of determination</w:t>
                </w:r>
                <w:r w:rsidR="007E4D5D">
                  <w:rPr>
                    <w:webHidden/>
                  </w:rPr>
                  <w:tab/>
                </w:r>
                <w:r w:rsidR="007E4D5D">
                  <w:rPr>
                    <w:webHidden/>
                  </w:rPr>
                  <w:fldChar w:fldCharType="begin"/>
                </w:r>
                <w:r w:rsidR="007E4D5D">
                  <w:rPr>
                    <w:webHidden/>
                  </w:rPr>
                  <w:instrText xml:space="preserve"> PAGEREF _Toc107914340 \h </w:instrText>
                </w:r>
                <w:r w:rsidR="007E4D5D">
                  <w:rPr>
                    <w:webHidden/>
                  </w:rPr>
                </w:r>
                <w:r w:rsidR="007E4D5D">
                  <w:rPr>
                    <w:webHidden/>
                  </w:rPr>
                  <w:fldChar w:fldCharType="separate"/>
                </w:r>
                <w:r w:rsidR="005B73F4">
                  <w:rPr>
                    <w:webHidden/>
                  </w:rPr>
                  <w:t>12</w:t>
                </w:r>
                <w:r w:rsidR="007E4D5D">
                  <w:rPr>
                    <w:webHidden/>
                  </w:rPr>
                  <w:fldChar w:fldCharType="end"/>
                </w:r>
              </w:hyperlink>
            </w:p>
            <w:p w14:paraId="600BB5AF" w14:textId="5C0EDFF7" w:rsidR="007E4D5D" w:rsidRDefault="00E8035E">
              <w:pPr>
                <w:pStyle w:val="TOC3"/>
                <w:rPr>
                  <w:rFonts w:asciiTheme="minorHAnsi" w:eastAsiaTheme="minorEastAsia" w:hAnsiTheme="minorHAnsi" w:cstheme="minorBidi"/>
                  <w:color w:val="auto"/>
                  <w:szCs w:val="22"/>
                </w:rPr>
              </w:pPr>
              <w:hyperlink w:anchor="_Toc107914341" w:history="1">
                <w:r w:rsidR="007E4D5D" w:rsidRPr="001D0420">
                  <w:rPr>
                    <w:rStyle w:val="Hyperlink"/>
                    <w:lang w:eastAsia="en-US"/>
                  </w:rPr>
                  <w:t>Review of decision</w:t>
                </w:r>
                <w:r w:rsidR="007E4D5D">
                  <w:rPr>
                    <w:webHidden/>
                  </w:rPr>
                  <w:tab/>
                </w:r>
                <w:r w:rsidR="007E4D5D">
                  <w:rPr>
                    <w:webHidden/>
                  </w:rPr>
                  <w:fldChar w:fldCharType="begin"/>
                </w:r>
                <w:r w:rsidR="007E4D5D">
                  <w:rPr>
                    <w:webHidden/>
                  </w:rPr>
                  <w:instrText xml:space="preserve"> PAGEREF _Toc107914341 \h </w:instrText>
                </w:r>
                <w:r w:rsidR="007E4D5D">
                  <w:rPr>
                    <w:webHidden/>
                  </w:rPr>
                </w:r>
                <w:r w:rsidR="007E4D5D">
                  <w:rPr>
                    <w:webHidden/>
                  </w:rPr>
                  <w:fldChar w:fldCharType="separate"/>
                </w:r>
                <w:r w:rsidR="005B73F4">
                  <w:rPr>
                    <w:webHidden/>
                  </w:rPr>
                  <w:t>12</w:t>
                </w:r>
                <w:r w:rsidR="007E4D5D">
                  <w:rPr>
                    <w:webHidden/>
                  </w:rPr>
                  <w:fldChar w:fldCharType="end"/>
                </w:r>
              </w:hyperlink>
            </w:p>
            <w:p w14:paraId="3C45D337" w14:textId="772AB06C" w:rsidR="007E4D5D" w:rsidRDefault="00E8035E">
              <w:pPr>
                <w:pStyle w:val="TOC2"/>
                <w:rPr>
                  <w:rFonts w:asciiTheme="minorHAnsi" w:eastAsiaTheme="minorEastAsia" w:hAnsiTheme="minorHAnsi" w:cstheme="minorBidi"/>
                  <w:color w:val="auto"/>
                  <w:szCs w:val="22"/>
                </w:rPr>
              </w:pPr>
              <w:hyperlink w:anchor="_Toc107914342" w:history="1">
                <w:r w:rsidR="007E4D5D" w:rsidRPr="001D0420">
                  <w:rPr>
                    <w:rStyle w:val="Hyperlink"/>
                    <w:lang w:eastAsia="en-US"/>
                  </w:rPr>
                  <w:t>Revised payment times reports</w:t>
                </w:r>
                <w:r w:rsidR="007E4D5D">
                  <w:rPr>
                    <w:webHidden/>
                  </w:rPr>
                  <w:tab/>
                </w:r>
                <w:r w:rsidR="007E4D5D">
                  <w:rPr>
                    <w:webHidden/>
                  </w:rPr>
                  <w:fldChar w:fldCharType="begin"/>
                </w:r>
                <w:r w:rsidR="007E4D5D">
                  <w:rPr>
                    <w:webHidden/>
                  </w:rPr>
                  <w:instrText xml:space="preserve"> PAGEREF _Toc107914342 \h </w:instrText>
                </w:r>
                <w:r w:rsidR="007E4D5D">
                  <w:rPr>
                    <w:webHidden/>
                  </w:rPr>
                </w:r>
                <w:r w:rsidR="007E4D5D">
                  <w:rPr>
                    <w:webHidden/>
                  </w:rPr>
                  <w:fldChar w:fldCharType="separate"/>
                </w:r>
                <w:r w:rsidR="005B73F4">
                  <w:rPr>
                    <w:webHidden/>
                  </w:rPr>
                  <w:t>12</w:t>
                </w:r>
                <w:r w:rsidR="007E4D5D">
                  <w:rPr>
                    <w:webHidden/>
                  </w:rPr>
                  <w:fldChar w:fldCharType="end"/>
                </w:r>
              </w:hyperlink>
            </w:p>
            <w:p w14:paraId="5DC4BA3F" w14:textId="7C645905" w:rsidR="007E4D5D" w:rsidRDefault="00E8035E">
              <w:pPr>
                <w:pStyle w:val="TOC3"/>
                <w:rPr>
                  <w:rFonts w:asciiTheme="minorHAnsi" w:eastAsiaTheme="minorEastAsia" w:hAnsiTheme="minorHAnsi" w:cstheme="minorBidi"/>
                  <w:color w:val="auto"/>
                  <w:szCs w:val="22"/>
                </w:rPr>
              </w:pPr>
              <w:hyperlink w:anchor="_Toc107914343" w:history="1">
                <w:r w:rsidR="007E4D5D" w:rsidRPr="001D0420">
                  <w:rPr>
                    <w:rStyle w:val="Hyperlink"/>
                  </w:rPr>
                  <w:t>Key points</w:t>
                </w:r>
                <w:r w:rsidR="007E4D5D">
                  <w:rPr>
                    <w:webHidden/>
                  </w:rPr>
                  <w:tab/>
                </w:r>
                <w:r w:rsidR="007E4D5D">
                  <w:rPr>
                    <w:webHidden/>
                  </w:rPr>
                  <w:fldChar w:fldCharType="begin"/>
                </w:r>
                <w:r w:rsidR="007E4D5D">
                  <w:rPr>
                    <w:webHidden/>
                  </w:rPr>
                  <w:instrText xml:space="preserve"> PAGEREF _Toc107914343 \h </w:instrText>
                </w:r>
                <w:r w:rsidR="007E4D5D">
                  <w:rPr>
                    <w:webHidden/>
                  </w:rPr>
                </w:r>
                <w:r w:rsidR="007E4D5D">
                  <w:rPr>
                    <w:webHidden/>
                  </w:rPr>
                  <w:fldChar w:fldCharType="separate"/>
                </w:r>
                <w:r w:rsidR="005B73F4">
                  <w:rPr>
                    <w:webHidden/>
                  </w:rPr>
                  <w:t>12</w:t>
                </w:r>
                <w:r w:rsidR="007E4D5D">
                  <w:rPr>
                    <w:webHidden/>
                  </w:rPr>
                  <w:fldChar w:fldCharType="end"/>
                </w:r>
              </w:hyperlink>
            </w:p>
            <w:p w14:paraId="5F29F7D9" w14:textId="4B928513" w:rsidR="007E4D5D" w:rsidRDefault="00E8035E">
              <w:pPr>
                <w:pStyle w:val="TOC3"/>
                <w:rPr>
                  <w:rFonts w:asciiTheme="minorHAnsi" w:eastAsiaTheme="minorEastAsia" w:hAnsiTheme="minorHAnsi" w:cstheme="minorBidi"/>
                  <w:color w:val="auto"/>
                  <w:szCs w:val="22"/>
                </w:rPr>
              </w:pPr>
              <w:hyperlink w:anchor="_Toc107914344" w:history="1">
                <w:r w:rsidR="007E4D5D" w:rsidRPr="001D0420">
                  <w:rPr>
                    <w:rStyle w:val="Hyperlink"/>
                    <w:lang w:eastAsia="en-US"/>
                  </w:rPr>
                  <w:t>When to give a revised report</w:t>
                </w:r>
                <w:r w:rsidR="007E4D5D">
                  <w:rPr>
                    <w:webHidden/>
                  </w:rPr>
                  <w:tab/>
                </w:r>
                <w:r w:rsidR="007E4D5D">
                  <w:rPr>
                    <w:webHidden/>
                  </w:rPr>
                  <w:fldChar w:fldCharType="begin"/>
                </w:r>
                <w:r w:rsidR="007E4D5D">
                  <w:rPr>
                    <w:webHidden/>
                  </w:rPr>
                  <w:instrText xml:space="preserve"> PAGEREF _Toc107914344 \h </w:instrText>
                </w:r>
                <w:r w:rsidR="007E4D5D">
                  <w:rPr>
                    <w:webHidden/>
                  </w:rPr>
                </w:r>
                <w:r w:rsidR="007E4D5D">
                  <w:rPr>
                    <w:webHidden/>
                  </w:rPr>
                  <w:fldChar w:fldCharType="separate"/>
                </w:r>
                <w:r w:rsidR="005B73F4">
                  <w:rPr>
                    <w:webHidden/>
                  </w:rPr>
                  <w:t>12</w:t>
                </w:r>
                <w:r w:rsidR="007E4D5D">
                  <w:rPr>
                    <w:webHidden/>
                  </w:rPr>
                  <w:fldChar w:fldCharType="end"/>
                </w:r>
              </w:hyperlink>
            </w:p>
            <w:p w14:paraId="68162E6D" w14:textId="03742E11" w:rsidR="007E4D5D" w:rsidRDefault="00E8035E">
              <w:pPr>
                <w:pStyle w:val="TOC3"/>
                <w:rPr>
                  <w:rFonts w:asciiTheme="minorHAnsi" w:eastAsiaTheme="minorEastAsia" w:hAnsiTheme="minorHAnsi" w:cstheme="minorBidi"/>
                  <w:color w:val="auto"/>
                  <w:szCs w:val="22"/>
                </w:rPr>
              </w:pPr>
              <w:hyperlink w:anchor="_Toc107914345" w:history="1">
                <w:r w:rsidR="007E4D5D" w:rsidRPr="001D0420">
                  <w:rPr>
                    <w:rStyle w:val="Hyperlink"/>
                    <w:lang w:eastAsia="en-US"/>
                  </w:rPr>
                  <w:t>Applying to register a revised report</w:t>
                </w:r>
                <w:r w:rsidR="007E4D5D">
                  <w:rPr>
                    <w:webHidden/>
                  </w:rPr>
                  <w:tab/>
                </w:r>
                <w:r w:rsidR="007E4D5D">
                  <w:rPr>
                    <w:webHidden/>
                  </w:rPr>
                  <w:fldChar w:fldCharType="begin"/>
                </w:r>
                <w:r w:rsidR="007E4D5D">
                  <w:rPr>
                    <w:webHidden/>
                  </w:rPr>
                  <w:instrText xml:space="preserve"> PAGEREF _Toc107914345 \h </w:instrText>
                </w:r>
                <w:r w:rsidR="007E4D5D">
                  <w:rPr>
                    <w:webHidden/>
                  </w:rPr>
                </w:r>
                <w:r w:rsidR="007E4D5D">
                  <w:rPr>
                    <w:webHidden/>
                  </w:rPr>
                  <w:fldChar w:fldCharType="separate"/>
                </w:r>
                <w:r w:rsidR="005B73F4">
                  <w:rPr>
                    <w:webHidden/>
                  </w:rPr>
                  <w:t>13</w:t>
                </w:r>
                <w:r w:rsidR="007E4D5D">
                  <w:rPr>
                    <w:webHidden/>
                  </w:rPr>
                  <w:fldChar w:fldCharType="end"/>
                </w:r>
              </w:hyperlink>
            </w:p>
            <w:p w14:paraId="35FFE955" w14:textId="005D21F2" w:rsidR="007E4D5D" w:rsidRDefault="00E8035E">
              <w:pPr>
                <w:pStyle w:val="TOC3"/>
                <w:rPr>
                  <w:rFonts w:asciiTheme="minorHAnsi" w:eastAsiaTheme="minorEastAsia" w:hAnsiTheme="minorHAnsi" w:cstheme="minorBidi"/>
                  <w:color w:val="auto"/>
                  <w:szCs w:val="22"/>
                </w:rPr>
              </w:pPr>
              <w:hyperlink w:anchor="_Toc107914346" w:history="1">
                <w:r w:rsidR="007E4D5D" w:rsidRPr="001D0420">
                  <w:rPr>
                    <w:rStyle w:val="Hyperlink"/>
                    <w:lang w:eastAsia="en-US"/>
                  </w:rPr>
                  <w:t>Assessing your application</w:t>
                </w:r>
                <w:r w:rsidR="007E4D5D">
                  <w:rPr>
                    <w:webHidden/>
                  </w:rPr>
                  <w:tab/>
                </w:r>
                <w:r w:rsidR="007E4D5D">
                  <w:rPr>
                    <w:webHidden/>
                  </w:rPr>
                  <w:fldChar w:fldCharType="begin"/>
                </w:r>
                <w:r w:rsidR="007E4D5D">
                  <w:rPr>
                    <w:webHidden/>
                  </w:rPr>
                  <w:instrText xml:space="preserve"> PAGEREF _Toc107914346 \h </w:instrText>
                </w:r>
                <w:r w:rsidR="007E4D5D">
                  <w:rPr>
                    <w:webHidden/>
                  </w:rPr>
                </w:r>
                <w:r w:rsidR="007E4D5D">
                  <w:rPr>
                    <w:webHidden/>
                  </w:rPr>
                  <w:fldChar w:fldCharType="separate"/>
                </w:r>
                <w:r w:rsidR="005B73F4">
                  <w:rPr>
                    <w:webHidden/>
                  </w:rPr>
                  <w:t>13</w:t>
                </w:r>
                <w:r w:rsidR="007E4D5D">
                  <w:rPr>
                    <w:webHidden/>
                  </w:rPr>
                  <w:fldChar w:fldCharType="end"/>
                </w:r>
              </w:hyperlink>
            </w:p>
            <w:p w14:paraId="35A744A3" w14:textId="5684AA3F" w:rsidR="007E4D5D" w:rsidRDefault="00E8035E">
              <w:pPr>
                <w:pStyle w:val="TOC2"/>
                <w:rPr>
                  <w:rFonts w:asciiTheme="minorHAnsi" w:eastAsiaTheme="minorEastAsia" w:hAnsiTheme="minorHAnsi" w:cstheme="minorBidi"/>
                  <w:color w:val="auto"/>
                  <w:szCs w:val="22"/>
                </w:rPr>
              </w:pPr>
              <w:hyperlink w:anchor="_Toc107914347" w:history="1">
                <w:r w:rsidR="007E4D5D" w:rsidRPr="001D0420">
                  <w:rPr>
                    <w:rStyle w:val="Hyperlink"/>
                    <w:lang w:eastAsia="en-US"/>
                  </w:rPr>
                  <w:t>Redaction of commercial-in-confidence information</w:t>
                </w:r>
                <w:r w:rsidR="007E4D5D">
                  <w:rPr>
                    <w:webHidden/>
                  </w:rPr>
                  <w:tab/>
                </w:r>
                <w:r w:rsidR="007E4D5D">
                  <w:rPr>
                    <w:webHidden/>
                  </w:rPr>
                  <w:fldChar w:fldCharType="begin"/>
                </w:r>
                <w:r w:rsidR="007E4D5D">
                  <w:rPr>
                    <w:webHidden/>
                  </w:rPr>
                  <w:instrText xml:space="preserve"> PAGEREF _Toc107914347 \h </w:instrText>
                </w:r>
                <w:r w:rsidR="007E4D5D">
                  <w:rPr>
                    <w:webHidden/>
                  </w:rPr>
                </w:r>
                <w:r w:rsidR="007E4D5D">
                  <w:rPr>
                    <w:webHidden/>
                  </w:rPr>
                  <w:fldChar w:fldCharType="separate"/>
                </w:r>
                <w:r w:rsidR="005B73F4">
                  <w:rPr>
                    <w:webHidden/>
                  </w:rPr>
                  <w:t>14</w:t>
                </w:r>
                <w:r w:rsidR="007E4D5D">
                  <w:rPr>
                    <w:webHidden/>
                  </w:rPr>
                  <w:fldChar w:fldCharType="end"/>
                </w:r>
              </w:hyperlink>
            </w:p>
            <w:p w14:paraId="6D00E420" w14:textId="7CBEC7E4" w:rsidR="007E4D5D" w:rsidRDefault="00E8035E">
              <w:pPr>
                <w:pStyle w:val="TOC3"/>
                <w:rPr>
                  <w:rFonts w:asciiTheme="minorHAnsi" w:eastAsiaTheme="minorEastAsia" w:hAnsiTheme="minorHAnsi" w:cstheme="minorBidi"/>
                  <w:color w:val="auto"/>
                  <w:szCs w:val="22"/>
                </w:rPr>
              </w:pPr>
              <w:hyperlink w:anchor="_Toc107914348" w:history="1">
                <w:r w:rsidR="007E4D5D" w:rsidRPr="001D0420">
                  <w:rPr>
                    <w:rStyle w:val="Hyperlink"/>
                  </w:rPr>
                  <w:t>Key points</w:t>
                </w:r>
                <w:r w:rsidR="007E4D5D">
                  <w:rPr>
                    <w:webHidden/>
                  </w:rPr>
                  <w:tab/>
                </w:r>
                <w:r w:rsidR="007E4D5D">
                  <w:rPr>
                    <w:webHidden/>
                  </w:rPr>
                  <w:fldChar w:fldCharType="begin"/>
                </w:r>
                <w:r w:rsidR="007E4D5D">
                  <w:rPr>
                    <w:webHidden/>
                  </w:rPr>
                  <w:instrText xml:space="preserve"> PAGEREF _Toc107914348 \h </w:instrText>
                </w:r>
                <w:r w:rsidR="007E4D5D">
                  <w:rPr>
                    <w:webHidden/>
                  </w:rPr>
                </w:r>
                <w:r w:rsidR="007E4D5D">
                  <w:rPr>
                    <w:webHidden/>
                  </w:rPr>
                  <w:fldChar w:fldCharType="separate"/>
                </w:r>
                <w:r w:rsidR="005B73F4">
                  <w:rPr>
                    <w:webHidden/>
                  </w:rPr>
                  <w:t>14</w:t>
                </w:r>
                <w:r w:rsidR="007E4D5D">
                  <w:rPr>
                    <w:webHidden/>
                  </w:rPr>
                  <w:fldChar w:fldCharType="end"/>
                </w:r>
              </w:hyperlink>
            </w:p>
            <w:p w14:paraId="563C8155" w14:textId="3A4C8CB5" w:rsidR="007E4D5D" w:rsidRDefault="00E8035E">
              <w:pPr>
                <w:pStyle w:val="TOC3"/>
                <w:rPr>
                  <w:rFonts w:asciiTheme="minorHAnsi" w:eastAsiaTheme="minorEastAsia" w:hAnsiTheme="minorHAnsi" w:cstheme="minorBidi"/>
                  <w:color w:val="auto"/>
                  <w:szCs w:val="22"/>
                </w:rPr>
              </w:pPr>
              <w:hyperlink w:anchor="_Toc107914349" w:history="1">
                <w:r w:rsidR="007E4D5D" w:rsidRPr="001D0420">
                  <w:rPr>
                    <w:rStyle w:val="Hyperlink"/>
                    <w:lang w:eastAsia="en-US"/>
                  </w:rPr>
                  <w:t>Requesting a redaction</w:t>
                </w:r>
                <w:r w:rsidR="007E4D5D">
                  <w:rPr>
                    <w:webHidden/>
                  </w:rPr>
                  <w:tab/>
                </w:r>
                <w:r w:rsidR="007E4D5D">
                  <w:rPr>
                    <w:webHidden/>
                  </w:rPr>
                  <w:fldChar w:fldCharType="begin"/>
                </w:r>
                <w:r w:rsidR="007E4D5D">
                  <w:rPr>
                    <w:webHidden/>
                  </w:rPr>
                  <w:instrText xml:space="preserve"> PAGEREF _Toc107914349 \h </w:instrText>
                </w:r>
                <w:r w:rsidR="007E4D5D">
                  <w:rPr>
                    <w:webHidden/>
                  </w:rPr>
                </w:r>
                <w:r w:rsidR="007E4D5D">
                  <w:rPr>
                    <w:webHidden/>
                  </w:rPr>
                  <w:fldChar w:fldCharType="separate"/>
                </w:r>
                <w:r w:rsidR="005B73F4">
                  <w:rPr>
                    <w:webHidden/>
                  </w:rPr>
                  <w:t>14</w:t>
                </w:r>
                <w:r w:rsidR="007E4D5D">
                  <w:rPr>
                    <w:webHidden/>
                  </w:rPr>
                  <w:fldChar w:fldCharType="end"/>
                </w:r>
              </w:hyperlink>
            </w:p>
            <w:p w14:paraId="6A3A6E52" w14:textId="251BE69F" w:rsidR="007E4D5D" w:rsidRDefault="00E8035E">
              <w:pPr>
                <w:pStyle w:val="TOC3"/>
                <w:rPr>
                  <w:rFonts w:asciiTheme="minorHAnsi" w:eastAsiaTheme="minorEastAsia" w:hAnsiTheme="minorHAnsi" w:cstheme="minorBidi"/>
                  <w:color w:val="auto"/>
                  <w:szCs w:val="22"/>
                </w:rPr>
              </w:pPr>
              <w:hyperlink w:anchor="_Toc107914350" w:history="1">
                <w:r w:rsidR="007E4D5D" w:rsidRPr="001D0420">
                  <w:rPr>
                    <w:rStyle w:val="Hyperlink"/>
                    <w:lang w:eastAsia="en-US"/>
                  </w:rPr>
                  <w:t>Assessing your request</w:t>
                </w:r>
                <w:r w:rsidR="007E4D5D">
                  <w:rPr>
                    <w:webHidden/>
                  </w:rPr>
                  <w:tab/>
                </w:r>
                <w:r w:rsidR="007E4D5D">
                  <w:rPr>
                    <w:webHidden/>
                  </w:rPr>
                  <w:fldChar w:fldCharType="begin"/>
                </w:r>
                <w:r w:rsidR="007E4D5D">
                  <w:rPr>
                    <w:webHidden/>
                  </w:rPr>
                  <w:instrText xml:space="preserve"> PAGEREF _Toc107914350 \h </w:instrText>
                </w:r>
                <w:r w:rsidR="007E4D5D">
                  <w:rPr>
                    <w:webHidden/>
                  </w:rPr>
                </w:r>
                <w:r w:rsidR="007E4D5D">
                  <w:rPr>
                    <w:webHidden/>
                  </w:rPr>
                  <w:fldChar w:fldCharType="separate"/>
                </w:r>
                <w:r w:rsidR="005B73F4">
                  <w:rPr>
                    <w:webHidden/>
                  </w:rPr>
                  <w:t>15</w:t>
                </w:r>
                <w:r w:rsidR="007E4D5D">
                  <w:rPr>
                    <w:webHidden/>
                  </w:rPr>
                  <w:fldChar w:fldCharType="end"/>
                </w:r>
              </w:hyperlink>
            </w:p>
            <w:p w14:paraId="5EA734D3" w14:textId="66D8D8C4" w:rsidR="007E4D5D" w:rsidRDefault="00E8035E">
              <w:pPr>
                <w:pStyle w:val="TOC1"/>
                <w:rPr>
                  <w:rFonts w:asciiTheme="minorHAnsi" w:eastAsiaTheme="minorEastAsia" w:hAnsiTheme="minorHAnsi" w:cstheme="minorBidi"/>
                  <w:b w:val="0"/>
                  <w:color w:val="auto"/>
                </w:rPr>
              </w:pPr>
              <w:hyperlink w:anchor="_Toc107914351" w:history="1">
                <w:r w:rsidR="007E4D5D" w:rsidRPr="001D0420">
                  <w:rPr>
                    <w:rStyle w:val="Hyperlink"/>
                    <w:lang w:eastAsia="en-US"/>
                  </w:rPr>
                  <w:t>Notifications</w:t>
                </w:r>
                <w:r w:rsidR="007E4D5D">
                  <w:rPr>
                    <w:webHidden/>
                  </w:rPr>
                  <w:tab/>
                </w:r>
                <w:r w:rsidR="007E4D5D">
                  <w:rPr>
                    <w:webHidden/>
                  </w:rPr>
                  <w:fldChar w:fldCharType="begin"/>
                </w:r>
                <w:r w:rsidR="007E4D5D">
                  <w:rPr>
                    <w:webHidden/>
                  </w:rPr>
                  <w:instrText xml:space="preserve"> PAGEREF _Toc107914351 \h </w:instrText>
                </w:r>
                <w:r w:rsidR="007E4D5D">
                  <w:rPr>
                    <w:webHidden/>
                  </w:rPr>
                </w:r>
                <w:r w:rsidR="007E4D5D">
                  <w:rPr>
                    <w:webHidden/>
                  </w:rPr>
                  <w:fldChar w:fldCharType="separate"/>
                </w:r>
                <w:r w:rsidR="005B73F4">
                  <w:rPr>
                    <w:webHidden/>
                  </w:rPr>
                  <w:t>15</w:t>
                </w:r>
                <w:r w:rsidR="007E4D5D">
                  <w:rPr>
                    <w:webHidden/>
                  </w:rPr>
                  <w:fldChar w:fldCharType="end"/>
                </w:r>
              </w:hyperlink>
            </w:p>
            <w:p w14:paraId="4FA27837" w14:textId="29EA2668" w:rsidR="007E4D5D" w:rsidRDefault="00E8035E">
              <w:pPr>
                <w:pStyle w:val="TOC2"/>
                <w:rPr>
                  <w:rFonts w:asciiTheme="minorHAnsi" w:eastAsiaTheme="minorEastAsia" w:hAnsiTheme="minorHAnsi" w:cstheme="minorBidi"/>
                  <w:color w:val="auto"/>
                  <w:szCs w:val="22"/>
                </w:rPr>
              </w:pPr>
              <w:hyperlink w:anchor="_Toc107914352" w:history="1">
                <w:r w:rsidR="007E4D5D" w:rsidRPr="001D0420">
                  <w:rPr>
                    <w:rStyle w:val="Hyperlink"/>
                    <w:lang w:eastAsia="en-US"/>
                  </w:rPr>
                  <w:t>Volunteering entities</w:t>
                </w:r>
                <w:r w:rsidR="007E4D5D">
                  <w:rPr>
                    <w:webHidden/>
                  </w:rPr>
                  <w:tab/>
                </w:r>
                <w:r w:rsidR="007E4D5D">
                  <w:rPr>
                    <w:webHidden/>
                  </w:rPr>
                  <w:fldChar w:fldCharType="begin"/>
                </w:r>
                <w:r w:rsidR="007E4D5D">
                  <w:rPr>
                    <w:webHidden/>
                  </w:rPr>
                  <w:instrText xml:space="preserve"> PAGEREF _Toc107914352 \h </w:instrText>
                </w:r>
                <w:r w:rsidR="007E4D5D">
                  <w:rPr>
                    <w:webHidden/>
                  </w:rPr>
                </w:r>
                <w:r w:rsidR="007E4D5D">
                  <w:rPr>
                    <w:webHidden/>
                  </w:rPr>
                  <w:fldChar w:fldCharType="separate"/>
                </w:r>
                <w:r w:rsidR="005B73F4">
                  <w:rPr>
                    <w:webHidden/>
                  </w:rPr>
                  <w:t>15</w:t>
                </w:r>
                <w:r w:rsidR="007E4D5D">
                  <w:rPr>
                    <w:webHidden/>
                  </w:rPr>
                  <w:fldChar w:fldCharType="end"/>
                </w:r>
              </w:hyperlink>
            </w:p>
            <w:p w14:paraId="26EAAF99" w14:textId="11D1A90A" w:rsidR="007E4D5D" w:rsidRDefault="00E8035E">
              <w:pPr>
                <w:pStyle w:val="TOC3"/>
                <w:rPr>
                  <w:rFonts w:asciiTheme="minorHAnsi" w:eastAsiaTheme="minorEastAsia" w:hAnsiTheme="minorHAnsi" w:cstheme="minorBidi"/>
                  <w:color w:val="auto"/>
                  <w:szCs w:val="22"/>
                </w:rPr>
              </w:pPr>
              <w:hyperlink w:anchor="_Toc107914353" w:history="1">
                <w:r w:rsidR="007E4D5D" w:rsidRPr="001D0420">
                  <w:rPr>
                    <w:rStyle w:val="Hyperlink"/>
                  </w:rPr>
                  <w:t>Key points</w:t>
                </w:r>
                <w:r w:rsidR="007E4D5D">
                  <w:rPr>
                    <w:webHidden/>
                  </w:rPr>
                  <w:tab/>
                </w:r>
                <w:r w:rsidR="007E4D5D">
                  <w:rPr>
                    <w:webHidden/>
                  </w:rPr>
                  <w:fldChar w:fldCharType="begin"/>
                </w:r>
                <w:r w:rsidR="007E4D5D">
                  <w:rPr>
                    <w:webHidden/>
                  </w:rPr>
                  <w:instrText xml:space="preserve"> PAGEREF _Toc107914353 \h </w:instrText>
                </w:r>
                <w:r w:rsidR="007E4D5D">
                  <w:rPr>
                    <w:webHidden/>
                  </w:rPr>
                </w:r>
                <w:r w:rsidR="007E4D5D">
                  <w:rPr>
                    <w:webHidden/>
                  </w:rPr>
                  <w:fldChar w:fldCharType="separate"/>
                </w:r>
                <w:r w:rsidR="005B73F4">
                  <w:rPr>
                    <w:webHidden/>
                  </w:rPr>
                  <w:t>15</w:t>
                </w:r>
                <w:r w:rsidR="007E4D5D">
                  <w:rPr>
                    <w:webHidden/>
                  </w:rPr>
                  <w:fldChar w:fldCharType="end"/>
                </w:r>
              </w:hyperlink>
            </w:p>
            <w:p w14:paraId="145F3D5A" w14:textId="0492CE74" w:rsidR="007E4D5D" w:rsidRDefault="00E8035E">
              <w:pPr>
                <w:pStyle w:val="TOC2"/>
                <w:rPr>
                  <w:rFonts w:asciiTheme="minorHAnsi" w:eastAsiaTheme="minorEastAsia" w:hAnsiTheme="minorHAnsi" w:cstheme="minorBidi"/>
                  <w:color w:val="auto"/>
                  <w:szCs w:val="22"/>
                </w:rPr>
              </w:pPr>
              <w:hyperlink w:anchor="_Toc107914354" w:history="1">
                <w:r w:rsidR="007E4D5D" w:rsidRPr="001D0420">
                  <w:rPr>
                    <w:rStyle w:val="Hyperlink"/>
                    <w:lang w:eastAsia="en-US"/>
                  </w:rPr>
                  <w:t>Notifiable events</w:t>
                </w:r>
                <w:r w:rsidR="007E4D5D">
                  <w:rPr>
                    <w:webHidden/>
                  </w:rPr>
                  <w:tab/>
                </w:r>
                <w:r w:rsidR="007E4D5D">
                  <w:rPr>
                    <w:webHidden/>
                  </w:rPr>
                  <w:fldChar w:fldCharType="begin"/>
                </w:r>
                <w:r w:rsidR="007E4D5D">
                  <w:rPr>
                    <w:webHidden/>
                  </w:rPr>
                  <w:instrText xml:space="preserve"> PAGEREF _Toc107914354 \h </w:instrText>
                </w:r>
                <w:r w:rsidR="007E4D5D">
                  <w:rPr>
                    <w:webHidden/>
                  </w:rPr>
                </w:r>
                <w:r w:rsidR="007E4D5D">
                  <w:rPr>
                    <w:webHidden/>
                  </w:rPr>
                  <w:fldChar w:fldCharType="separate"/>
                </w:r>
                <w:r w:rsidR="005B73F4">
                  <w:rPr>
                    <w:webHidden/>
                  </w:rPr>
                  <w:t>16</w:t>
                </w:r>
                <w:r w:rsidR="007E4D5D">
                  <w:rPr>
                    <w:webHidden/>
                  </w:rPr>
                  <w:fldChar w:fldCharType="end"/>
                </w:r>
              </w:hyperlink>
            </w:p>
            <w:p w14:paraId="2D253E62" w14:textId="4098FAF0" w:rsidR="00553C26" w:rsidRDefault="00553C26">
              <w:r>
                <w:rPr>
                  <w:b/>
                  <w:bCs/>
                  <w:noProof/>
                </w:rPr>
                <w:fldChar w:fldCharType="end"/>
              </w:r>
            </w:p>
          </w:sdtContent>
        </w:sdt>
        <w:p w14:paraId="4A2E8FD7" w14:textId="6103856A" w:rsidR="00755B0D" w:rsidRDefault="00755B0D" w:rsidP="003829B0">
          <w:r>
            <w:br w:type="page"/>
          </w:r>
        </w:p>
        <w:p w14:paraId="514AC2AB" w14:textId="683E069A" w:rsidR="00DA0A99" w:rsidRDefault="00DA0A99" w:rsidP="00DA0A99">
          <w:pPr>
            <w:pStyle w:val="Heading1"/>
            <w:rPr>
              <w:lang w:eastAsia="en-US"/>
            </w:rPr>
          </w:pPr>
          <w:bookmarkStart w:id="21" w:name="_Toc107914325"/>
          <w:r>
            <w:rPr>
              <w:lang w:eastAsia="en-US"/>
            </w:rPr>
            <w:lastRenderedPageBreak/>
            <w:t>Applications</w:t>
          </w:r>
          <w:bookmarkEnd w:id="21"/>
        </w:p>
        <w:p w14:paraId="1664933C" w14:textId="4518FB8D" w:rsidR="00340009" w:rsidRDefault="00340009" w:rsidP="00340009">
          <w:pPr>
            <w:pStyle w:val="Heading2"/>
            <w:rPr>
              <w:lang w:eastAsia="en-US"/>
            </w:rPr>
          </w:pPr>
          <w:bookmarkStart w:id="22" w:name="_Toc107914326"/>
          <w:r>
            <w:rPr>
              <w:lang w:eastAsia="en-US"/>
            </w:rPr>
            <w:t xml:space="preserve">Extension of time to </w:t>
          </w:r>
          <w:r w:rsidR="004351D0">
            <w:rPr>
              <w:lang w:eastAsia="en-US"/>
            </w:rPr>
            <w:t xml:space="preserve">lodge </w:t>
          </w:r>
          <w:r>
            <w:rPr>
              <w:lang w:eastAsia="en-US"/>
            </w:rPr>
            <w:t>a payment times report</w:t>
          </w:r>
          <w:bookmarkEnd w:id="22"/>
        </w:p>
        <w:tbl>
          <w:tblPr>
            <w:tblStyle w:val="TableGrid"/>
            <w:tblW w:w="0" w:type="auto"/>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CellMar>
              <w:top w:w="113" w:type="dxa"/>
              <w:bottom w:w="113" w:type="dxa"/>
            </w:tblCellMar>
            <w:tblLook w:val="04A0" w:firstRow="1" w:lastRow="0" w:firstColumn="1" w:lastColumn="0" w:noHBand="0" w:noVBand="1"/>
          </w:tblPr>
          <w:tblGrid>
            <w:gridCol w:w="9054"/>
          </w:tblGrid>
          <w:tr w:rsidR="009E16AB" w14:paraId="7B7E34F7" w14:textId="77777777" w:rsidTr="00962264">
            <w:tc>
              <w:tcPr>
                <w:tcW w:w="9070" w:type="dxa"/>
                <w:shd w:val="clear" w:color="auto" w:fill="2C384A"/>
              </w:tcPr>
              <w:p w14:paraId="6F17B4C1" w14:textId="516736BA" w:rsidR="009E16AB" w:rsidRDefault="009E16AB" w:rsidP="00962264">
                <w:pPr>
                  <w:pStyle w:val="Heading3"/>
                  <w:spacing w:before="0" w:line="259" w:lineRule="auto"/>
                  <w:outlineLvl w:val="2"/>
                </w:pPr>
                <w:bookmarkStart w:id="23" w:name="_Toc107914327"/>
                <w:r w:rsidRPr="00782D69">
                  <w:rPr>
                    <w:color w:val="FFFFFF" w:themeColor="background1"/>
                  </w:rPr>
                  <w:t xml:space="preserve">Key </w:t>
                </w:r>
                <w:r w:rsidR="008909AA" w:rsidRPr="00782D69">
                  <w:rPr>
                    <w:color w:val="FFFFFF" w:themeColor="background1"/>
                  </w:rPr>
                  <w:t>p</w:t>
                </w:r>
                <w:r w:rsidRPr="00782D69">
                  <w:rPr>
                    <w:color w:val="FFFFFF" w:themeColor="background1"/>
                  </w:rPr>
                  <w:t>oints</w:t>
                </w:r>
                <w:bookmarkEnd w:id="23"/>
                <w:r w:rsidRPr="009E16AB">
                  <w:tab/>
                </w:r>
              </w:p>
            </w:tc>
          </w:tr>
          <w:tr w:rsidR="009E16AB" w14:paraId="15E86ED4" w14:textId="77777777" w:rsidTr="00962264">
            <w:tc>
              <w:tcPr>
                <w:tcW w:w="9070" w:type="dxa"/>
                <w:shd w:val="clear" w:color="auto" w:fill="FFFFFF" w:themeFill="background1"/>
              </w:tcPr>
              <w:p w14:paraId="35826708" w14:textId="095B1E2F" w:rsidR="00B1585F" w:rsidRPr="00962264" w:rsidRDefault="00B1585F" w:rsidP="00962264">
                <w:pPr>
                  <w:pStyle w:val="ListParagraph"/>
                  <w:ind w:left="451" w:hanging="425"/>
                  <w:rPr>
                    <w:sz w:val="22"/>
                    <w:szCs w:val="24"/>
                  </w:rPr>
                </w:pPr>
                <w:r w:rsidRPr="00962264">
                  <w:rPr>
                    <w:sz w:val="22"/>
                    <w:szCs w:val="24"/>
                  </w:rPr>
                  <w:t xml:space="preserve">We can only give an extension of time </w:t>
                </w:r>
                <w:r w:rsidR="0031431B" w:rsidRPr="00962264">
                  <w:rPr>
                    <w:sz w:val="22"/>
                    <w:szCs w:val="24"/>
                  </w:rPr>
                  <w:t xml:space="preserve">to lodge a payment times report where </w:t>
                </w:r>
                <w:r w:rsidR="00215FED" w:rsidRPr="00962264">
                  <w:rPr>
                    <w:sz w:val="22"/>
                    <w:szCs w:val="24"/>
                  </w:rPr>
                  <w:t>a</w:t>
                </w:r>
                <w:r w:rsidRPr="00962264">
                  <w:rPr>
                    <w:sz w:val="22"/>
                    <w:szCs w:val="24"/>
                  </w:rPr>
                  <w:t xml:space="preserve"> reporting entity is experiencing circumstances that are exceptional or outside of its control</w:t>
                </w:r>
                <w:r w:rsidR="00215FED" w:rsidRPr="00962264">
                  <w:rPr>
                    <w:sz w:val="22"/>
                    <w:szCs w:val="24"/>
                  </w:rPr>
                  <w:t>.</w:t>
                </w:r>
              </w:p>
              <w:p w14:paraId="5ECF05F2" w14:textId="60DA8BBD" w:rsidR="009E16AB" w:rsidRPr="00962264" w:rsidRDefault="00112101" w:rsidP="00962264">
                <w:pPr>
                  <w:pStyle w:val="ListParagraph"/>
                  <w:ind w:left="451" w:hanging="425"/>
                  <w:rPr>
                    <w:sz w:val="22"/>
                    <w:szCs w:val="24"/>
                  </w:rPr>
                </w:pPr>
                <w:r w:rsidRPr="00962264">
                  <w:rPr>
                    <w:sz w:val="22"/>
                    <w:szCs w:val="24"/>
                  </w:rPr>
                  <w:t>We take a principles-based approach to assess</w:t>
                </w:r>
                <w:r w:rsidR="00784C70" w:rsidRPr="00962264">
                  <w:rPr>
                    <w:sz w:val="22"/>
                    <w:szCs w:val="24"/>
                  </w:rPr>
                  <w:t xml:space="preserve">ing </w:t>
                </w:r>
                <w:r w:rsidRPr="00962264">
                  <w:rPr>
                    <w:sz w:val="22"/>
                    <w:szCs w:val="24"/>
                  </w:rPr>
                  <w:t xml:space="preserve">applications and </w:t>
                </w:r>
                <w:r w:rsidR="007C4F50" w:rsidRPr="00962264">
                  <w:rPr>
                    <w:sz w:val="22"/>
                    <w:szCs w:val="24"/>
                  </w:rPr>
                  <w:t xml:space="preserve">cannot </w:t>
                </w:r>
                <w:r w:rsidRPr="00962264">
                  <w:rPr>
                    <w:sz w:val="22"/>
                    <w:szCs w:val="24"/>
                  </w:rPr>
                  <w:t>give an extension for a period longer than appropriate for the circumstances.</w:t>
                </w:r>
              </w:p>
              <w:p w14:paraId="05D9F9CC" w14:textId="0CCD27F4" w:rsidR="00DF04E6" w:rsidRPr="00962264" w:rsidRDefault="004268A1" w:rsidP="00962264">
                <w:pPr>
                  <w:pStyle w:val="ListParagraph"/>
                  <w:ind w:left="451" w:hanging="425"/>
                  <w:rPr>
                    <w:sz w:val="22"/>
                    <w:szCs w:val="24"/>
                  </w:rPr>
                </w:pPr>
                <w:r w:rsidRPr="00962264">
                  <w:rPr>
                    <w:sz w:val="22"/>
                    <w:szCs w:val="24"/>
                  </w:rPr>
                  <w:t xml:space="preserve">Entities </w:t>
                </w:r>
                <w:r w:rsidR="00175B20" w:rsidRPr="00962264">
                  <w:rPr>
                    <w:sz w:val="22"/>
                    <w:szCs w:val="24"/>
                  </w:rPr>
                  <w:t xml:space="preserve">should </w:t>
                </w:r>
                <w:r w:rsidRPr="00962264">
                  <w:rPr>
                    <w:sz w:val="22"/>
                    <w:szCs w:val="24"/>
                  </w:rPr>
                  <w:t>apply</w:t>
                </w:r>
                <w:r w:rsidR="00DF04E6" w:rsidRPr="00962264">
                  <w:rPr>
                    <w:sz w:val="22"/>
                    <w:szCs w:val="24"/>
                  </w:rPr>
                  <w:t xml:space="preserve"> as soon as </w:t>
                </w:r>
                <w:r w:rsidRPr="00962264">
                  <w:rPr>
                    <w:sz w:val="22"/>
                    <w:szCs w:val="24"/>
                  </w:rPr>
                  <w:t>they</w:t>
                </w:r>
                <w:r w:rsidR="00784C70" w:rsidRPr="00962264">
                  <w:rPr>
                    <w:sz w:val="22"/>
                    <w:szCs w:val="24"/>
                  </w:rPr>
                  <w:t xml:space="preserve"> </w:t>
                </w:r>
                <w:r w:rsidR="00DF04E6" w:rsidRPr="00962264">
                  <w:rPr>
                    <w:sz w:val="22"/>
                    <w:szCs w:val="24"/>
                  </w:rPr>
                  <w:t>becom</w:t>
                </w:r>
                <w:r w:rsidR="00784C70" w:rsidRPr="00962264">
                  <w:rPr>
                    <w:sz w:val="22"/>
                    <w:szCs w:val="24"/>
                  </w:rPr>
                  <w:t>e</w:t>
                </w:r>
                <w:r w:rsidR="00DF04E6" w:rsidRPr="00962264">
                  <w:rPr>
                    <w:sz w:val="22"/>
                    <w:szCs w:val="24"/>
                  </w:rPr>
                  <w:t xml:space="preserve"> aware </w:t>
                </w:r>
                <w:r w:rsidR="00784C70" w:rsidRPr="00962264">
                  <w:rPr>
                    <w:sz w:val="22"/>
                    <w:szCs w:val="24"/>
                  </w:rPr>
                  <w:t>of the</w:t>
                </w:r>
                <w:r w:rsidR="00DF04E6" w:rsidRPr="00962264">
                  <w:rPr>
                    <w:sz w:val="22"/>
                    <w:szCs w:val="24"/>
                  </w:rPr>
                  <w:t xml:space="preserve"> need for an extension</w:t>
                </w:r>
                <w:r w:rsidR="00782D69" w:rsidRPr="00962264">
                  <w:rPr>
                    <w:sz w:val="22"/>
                    <w:szCs w:val="24"/>
                  </w:rPr>
                  <w:t xml:space="preserve">. </w:t>
                </w:r>
                <w:r w:rsidR="00636F4D" w:rsidRPr="00962264">
                  <w:rPr>
                    <w:sz w:val="22"/>
                    <w:szCs w:val="24"/>
                  </w:rPr>
                  <w:t>An extension cannot be given if an application is received more than 3 months from the end of the relevant reporting period.</w:t>
                </w:r>
              </w:p>
              <w:p w14:paraId="545D2F32" w14:textId="2A6DA784" w:rsidR="004351D0" w:rsidRPr="002126AA" w:rsidRDefault="00DB1BC6" w:rsidP="00962264">
                <w:pPr>
                  <w:pStyle w:val="ListParagraph"/>
                  <w:spacing w:after="0"/>
                  <w:ind w:left="451" w:hanging="425"/>
                </w:pPr>
                <w:r w:rsidRPr="00962264">
                  <w:rPr>
                    <w:sz w:val="22"/>
                    <w:szCs w:val="24"/>
                  </w:rPr>
                  <w:t>A</w:t>
                </w:r>
                <w:r w:rsidR="00636F4D" w:rsidRPr="00962264">
                  <w:rPr>
                    <w:sz w:val="22"/>
                    <w:szCs w:val="24"/>
                  </w:rPr>
                  <w:t>pplication</w:t>
                </w:r>
                <w:r w:rsidRPr="00962264">
                  <w:rPr>
                    <w:sz w:val="22"/>
                    <w:szCs w:val="24"/>
                  </w:rPr>
                  <w:t>s</w:t>
                </w:r>
                <w:r w:rsidR="00636F4D" w:rsidRPr="00962264">
                  <w:rPr>
                    <w:sz w:val="22"/>
                    <w:szCs w:val="24"/>
                  </w:rPr>
                  <w:t xml:space="preserve"> </w:t>
                </w:r>
                <w:r w:rsidRPr="00962264">
                  <w:rPr>
                    <w:sz w:val="22"/>
                    <w:szCs w:val="24"/>
                  </w:rPr>
                  <w:t>are</w:t>
                </w:r>
                <w:r w:rsidR="00636F4D" w:rsidRPr="00962264">
                  <w:rPr>
                    <w:sz w:val="22"/>
                    <w:szCs w:val="24"/>
                  </w:rPr>
                  <w:t xml:space="preserve"> made </w:t>
                </w:r>
                <w:r w:rsidR="002126AA" w:rsidRPr="00962264">
                  <w:rPr>
                    <w:sz w:val="22"/>
                    <w:szCs w:val="24"/>
                  </w:rPr>
                  <w:t xml:space="preserve">on </w:t>
                </w:r>
                <w:r w:rsidR="00175B20" w:rsidRPr="00962264">
                  <w:rPr>
                    <w:sz w:val="22"/>
                    <w:szCs w:val="24"/>
                  </w:rPr>
                  <w:t xml:space="preserve">the </w:t>
                </w:r>
                <w:hyperlink r:id="rId12" w:history="1">
                  <w:r w:rsidR="00175B20" w:rsidRPr="00962264">
                    <w:rPr>
                      <w:rStyle w:val="Hyperlink"/>
                    </w:rPr>
                    <w:t>Payment Times Reporting Portal</w:t>
                  </w:r>
                </w:hyperlink>
                <w:r w:rsidR="00175B20" w:rsidRPr="00962264">
                  <w:rPr>
                    <w:rStyle w:val="Hyperlink"/>
                    <w:color w:val="262626" w:themeColor="text1" w:themeTint="D9"/>
                    <w:szCs w:val="24"/>
                  </w:rPr>
                  <w:t xml:space="preserve"> </w:t>
                </w:r>
                <w:r w:rsidR="00175B20" w:rsidRPr="00962264">
                  <w:rPr>
                    <w:sz w:val="22"/>
                    <w:szCs w:val="24"/>
                  </w:rPr>
                  <w:t xml:space="preserve">and </w:t>
                </w:r>
                <w:r w:rsidR="002126AA" w:rsidRPr="00962264">
                  <w:rPr>
                    <w:sz w:val="22"/>
                    <w:szCs w:val="24"/>
                  </w:rPr>
                  <w:t xml:space="preserve">should </w:t>
                </w:r>
                <w:r w:rsidR="00175B20" w:rsidRPr="00962264">
                  <w:rPr>
                    <w:sz w:val="22"/>
                    <w:szCs w:val="24"/>
                  </w:rPr>
                  <w:t xml:space="preserve">include </w:t>
                </w:r>
                <w:r w:rsidR="00215FED" w:rsidRPr="00962264">
                  <w:rPr>
                    <w:sz w:val="22"/>
                    <w:szCs w:val="24"/>
                  </w:rPr>
                  <w:t xml:space="preserve">a cover letter </w:t>
                </w:r>
                <w:r w:rsidR="002126AA" w:rsidRPr="00962264">
                  <w:rPr>
                    <w:sz w:val="22"/>
                    <w:szCs w:val="24"/>
                  </w:rPr>
                  <w:t xml:space="preserve">containing </w:t>
                </w:r>
                <w:r w:rsidR="00215FED" w:rsidRPr="00962264">
                  <w:rPr>
                    <w:sz w:val="22"/>
                    <w:szCs w:val="24"/>
                  </w:rPr>
                  <w:t>the detail</w:t>
                </w:r>
                <w:r w:rsidR="002126AA" w:rsidRPr="00962264">
                  <w:rPr>
                    <w:sz w:val="22"/>
                    <w:szCs w:val="24"/>
                  </w:rPr>
                  <w:t>s</w:t>
                </w:r>
                <w:r w:rsidR="00215FED" w:rsidRPr="00962264">
                  <w:rPr>
                    <w:sz w:val="22"/>
                    <w:szCs w:val="24"/>
                  </w:rPr>
                  <w:t xml:space="preserve"> set out in </w:t>
                </w:r>
                <w:hyperlink w:anchor="_Table_1:_Cover" w:history="1">
                  <w:r w:rsidR="00215FED" w:rsidRPr="00962264">
                    <w:rPr>
                      <w:rStyle w:val="Hyperlink"/>
                    </w:rPr>
                    <w:t>Table 1</w:t>
                  </w:r>
                </w:hyperlink>
                <w:r w:rsidR="00215FED" w:rsidRPr="00962264">
                  <w:rPr>
                    <w:sz w:val="22"/>
                    <w:szCs w:val="24"/>
                  </w:rPr>
                  <w:t xml:space="preserve"> and supporting documentary evidence.</w:t>
                </w:r>
              </w:p>
            </w:tc>
          </w:tr>
        </w:tbl>
        <w:p w14:paraId="68DD75ED" w14:textId="184CB15D" w:rsidR="00112101" w:rsidRPr="00CA06B6" w:rsidRDefault="00AB7931" w:rsidP="00CA06B6">
          <w:pPr>
            <w:pStyle w:val="Heading3"/>
          </w:pPr>
          <w:bookmarkStart w:id="24" w:name="_Toc107914328"/>
          <w:r w:rsidRPr="00CA06B6">
            <w:t>Whe</w:t>
          </w:r>
          <w:r w:rsidR="00FF7668">
            <w:t>n</w:t>
          </w:r>
          <w:r w:rsidRPr="00CA06B6">
            <w:t xml:space="preserve"> </w:t>
          </w:r>
          <w:r w:rsidR="00FF7668">
            <w:t xml:space="preserve">we </w:t>
          </w:r>
          <w:r w:rsidR="008909AA">
            <w:t xml:space="preserve">can </w:t>
          </w:r>
          <w:r w:rsidRPr="00CA06B6">
            <w:t>give an extension</w:t>
          </w:r>
          <w:bookmarkEnd w:id="24"/>
        </w:p>
        <w:p w14:paraId="5A96EA40" w14:textId="1305ECCD" w:rsidR="00AB7931" w:rsidRDefault="00521FD4" w:rsidP="001B2726">
          <w:pPr>
            <w:pStyle w:val="Bullet"/>
            <w:numPr>
              <w:ilvl w:val="0"/>
              <w:numId w:val="30"/>
            </w:numPr>
            <w:ind w:left="993" w:hanging="993"/>
            <w:rPr>
              <w:lang w:eastAsia="en-US"/>
            </w:rPr>
          </w:pPr>
          <w:r>
            <w:rPr>
              <w:lang w:eastAsia="en-US"/>
            </w:rPr>
            <w:t xml:space="preserve">We have </w:t>
          </w:r>
          <w:r w:rsidR="00D34EBE">
            <w:rPr>
              <w:lang w:eastAsia="en-US"/>
            </w:rPr>
            <w:t xml:space="preserve">discretionary powers </w:t>
          </w:r>
          <w:r w:rsidR="00AB7931">
            <w:rPr>
              <w:lang w:eastAsia="en-US"/>
            </w:rPr>
            <w:t xml:space="preserve">to </w:t>
          </w:r>
          <w:r w:rsidR="00C25443">
            <w:rPr>
              <w:lang w:eastAsia="en-US"/>
            </w:rPr>
            <w:t xml:space="preserve">grant </w:t>
          </w:r>
          <w:r w:rsidR="00AB7931">
            <w:rPr>
              <w:lang w:eastAsia="en-US"/>
            </w:rPr>
            <w:t xml:space="preserve">an extension of time to </w:t>
          </w:r>
          <w:r w:rsidR="00EC7C84">
            <w:rPr>
              <w:lang w:eastAsia="en-US"/>
            </w:rPr>
            <w:t xml:space="preserve">lodge </w:t>
          </w:r>
          <w:r w:rsidR="00AB7931">
            <w:rPr>
              <w:lang w:eastAsia="en-US"/>
            </w:rPr>
            <w:t xml:space="preserve">a payment times report </w:t>
          </w:r>
          <w:r w:rsidR="00EC7C84">
            <w:rPr>
              <w:lang w:eastAsia="en-US"/>
            </w:rPr>
            <w:t xml:space="preserve">if a reporting entity </w:t>
          </w:r>
          <w:r w:rsidR="00060C34">
            <w:rPr>
              <w:lang w:eastAsia="en-US"/>
            </w:rPr>
            <w:t>applies</w:t>
          </w:r>
          <w:r w:rsidR="005217DF">
            <w:rPr>
              <w:lang w:eastAsia="en-US"/>
            </w:rPr>
            <w:t>,</w:t>
          </w:r>
          <w:r w:rsidR="00CC51D8">
            <w:rPr>
              <w:lang w:eastAsia="en-US"/>
            </w:rPr>
            <w:t xml:space="preserve"> </w:t>
          </w:r>
          <w:r w:rsidR="00EC7C84">
            <w:rPr>
              <w:lang w:eastAsia="en-US"/>
            </w:rPr>
            <w:t xml:space="preserve">and we are </w:t>
          </w:r>
          <w:r w:rsidR="00AB7931">
            <w:rPr>
              <w:lang w:eastAsia="en-US"/>
            </w:rPr>
            <w:t xml:space="preserve">satisfied </w:t>
          </w:r>
          <w:r w:rsidR="00CC51D8">
            <w:rPr>
              <w:lang w:eastAsia="en-US"/>
            </w:rPr>
            <w:t xml:space="preserve">the entity is experiencing </w:t>
          </w:r>
          <w:r w:rsidR="00AB7931">
            <w:rPr>
              <w:lang w:eastAsia="en-US"/>
            </w:rPr>
            <w:t xml:space="preserve">circumstances that are exceptional or outside </w:t>
          </w:r>
          <w:r w:rsidR="006C2436">
            <w:rPr>
              <w:lang w:eastAsia="en-US"/>
            </w:rPr>
            <w:t>its</w:t>
          </w:r>
          <w:r w:rsidR="00AB7931">
            <w:rPr>
              <w:lang w:eastAsia="en-US"/>
            </w:rPr>
            <w:t xml:space="preserve"> control</w:t>
          </w:r>
          <w:r w:rsidR="006C2436">
            <w:rPr>
              <w:lang w:eastAsia="en-US"/>
            </w:rPr>
            <w:t>,</w:t>
          </w:r>
          <w:r w:rsidR="00AB7931">
            <w:rPr>
              <w:lang w:eastAsia="en-US"/>
            </w:rPr>
            <w:t xml:space="preserve"> result</w:t>
          </w:r>
          <w:r w:rsidR="009F2C7D">
            <w:rPr>
              <w:lang w:eastAsia="en-US"/>
            </w:rPr>
            <w:t>ing</w:t>
          </w:r>
          <w:r w:rsidR="00AB7931">
            <w:rPr>
              <w:lang w:eastAsia="en-US"/>
            </w:rPr>
            <w:t xml:space="preserve"> in a need for further time.</w:t>
          </w:r>
          <w:r w:rsidR="009F0356">
            <w:rPr>
              <w:rStyle w:val="FootnoteReference"/>
              <w:lang w:eastAsia="en-US"/>
            </w:rPr>
            <w:footnoteReference w:id="2"/>
          </w:r>
        </w:p>
        <w:p w14:paraId="384C5214" w14:textId="79FE6E30" w:rsidR="00CE18C8" w:rsidRDefault="00CE18C8" w:rsidP="001B2726">
          <w:pPr>
            <w:pStyle w:val="Bullet"/>
            <w:numPr>
              <w:ilvl w:val="0"/>
              <w:numId w:val="30"/>
            </w:numPr>
            <w:ind w:left="993" w:hanging="993"/>
            <w:rPr>
              <w:lang w:eastAsia="en-US"/>
            </w:rPr>
          </w:pPr>
          <w:r>
            <w:rPr>
              <w:lang w:eastAsia="en-US"/>
            </w:rPr>
            <w:t xml:space="preserve">For us to consider </w:t>
          </w:r>
          <w:r w:rsidR="000362BB">
            <w:rPr>
              <w:lang w:eastAsia="en-US"/>
            </w:rPr>
            <w:t xml:space="preserve">granting an </w:t>
          </w:r>
          <w:r w:rsidR="00CC51D8">
            <w:rPr>
              <w:lang w:eastAsia="en-US"/>
            </w:rPr>
            <w:t>extension</w:t>
          </w:r>
          <w:r w:rsidR="000362BB">
            <w:rPr>
              <w:lang w:eastAsia="en-US"/>
            </w:rPr>
            <w:t>,</w:t>
          </w:r>
          <w:r w:rsidR="00CC51D8">
            <w:rPr>
              <w:lang w:eastAsia="en-US"/>
            </w:rPr>
            <w:t xml:space="preserve"> a reporting entity </w:t>
          </w:r>
          <w:r>
            <w:rPr>
              <w:lang w:eastAsia="en-US"/>
            </w:rPr>
            <w:t>must:</w:t>
          </w:r>
          <w:r w:rsidR="000362BB">
            <w:rPr>
              <w:rStyle w:val="FootnoteReference"/>
              <w:lang w:eastAsia="en-US"/>
            </w:rPr>
            <w:footnoteReference w:id="3"/>
          </w:r>
        </w:p>
        <w:p w14:paraId="754FBEEA" w14:textId="30938B00" w:rsidR="00CE18C8" w:rsidRDefault="00CE18C8" w:rsidP="005217DF">
          <w:pPr>
            <w:pStyle w:val="ListParagraph"/>
            <w:numPr>
              <w:ilvl w:val="1"/>
              <w:numId w:val="67"/>
            </w:numPr>
          </w:pPr>
          <w:r>
            <w:t>appl</w:t>
          </w:r>
          <w:r w:rsidR="00060C34">
            <w:t>y</w:t>
          </w:r>
          <w:r>
            <w:t xml:space="preserve"> </w:t>
          </w:r>
          <w:r w:rsidRPr="001B2726">
            <w:t>within 3 months of the end of the reporting period</w:t>
          </w:r>
          <w:r w:rsidR="00060C34">
            <w:t xml:space="preserve"> </w:t>
          </w:r>
          <w:r w:rsidR="009F2C7D">
            <w:t xml:space="preserve">(see </w:t>
          </w:r>
          <w:r w:rsidR="009F2C7D" w:rsidRPr="009F2C7D">
            <w:t xml:space="preserve">Guidance </w:t>
          </w:r>
          <w:r w:rsidR="00060C34">
            <w:t>n</w:t>
          </w:r>
          <w:r w:rsidR="009F2C7D" w:rsidRPr="009F2C7D">
            <w:t>ote 2: Preparing a payment times report</w:t>
          </w:r>
          <w:r w:rsidR="009F2C7D">
            <w:t>)</w:t>
          </w:r>
        </w:p>
        <w:p w14:paraId="66FF280A" w14:textId="2ABA28D8" w:rsidR="00CE18C8" w:rsidRDefault="000362BB" w:rsidP="005217DF">
          <w:pPr>
            <w:pStyle w:val="ListParagraph"/>
            <w:numPr>
              <w:ilvl w:val="1"/>
              <w:numId w:val="67"/>
            </w:numPr>
          </w:pPr>
          <w:r>
            <w:t>d</w:t>
          </w:r>
          <w:r w:rsidR="00CE18C8">
            <w:t>escribe the circumstances that are exceptional or outside the entity’s control</w:t>
          </w:r>
        </w:p>
        <w:p w14:paraId="34513FBF" w14:textId="42BDA7F5" w:rsidR="00CE18C8" w:rsidRDefault="000362BB" w:rsidP="005217DF">
          <w:pPr>
            <w:pStyle w:val="ListParagraph"/>
            <w:numPr>
              <w:ilvl w:val="1"/>
              <w:numId w:val="67"/>
            </w:numPr>
          </w:pPr>
          <w:r>
            <w:t>p</w:t>
          </w:r>
          <w:r w:rsidR="00CE18C8">
            <w:t>rovide evidence of th</w:t>
          </w:r>
          <w:r w:rsidR="003E58FD">
            <w:t>ose</w:t>
          </w:r>
          <w:r w:rsidR="00CE18C8">
            <w:t xml:space="preserve"> circumstances.</w:t>
          </w:r>
        </w:p>
        <w:p w14:paraId="629ED845" w14:textId="6D0E3EC4" w:rsidR="00C25443" w:rsidRDefault="000F175B" w:rsidP="001B2726">
          <w:pPr>
            <w:pStyle w:val="Bullet"/>
            <w:numPr>
              <w:ilvl w:val="0"/>
              <w:numId w:val="30"/>
            </w:numPr>
            <w:ind w:left="993" w:hanging="993"/>
            <w:rPr>
              <w:lang w:eastAsia="en-US"/>
            </w:rPr>
          </w:pPr>
          <w:r>
            <w:rPr>
              <w:lang w:eastAsia="en-US"/>
            </w:rPr>
            <w:t>We cannot grant an extension where an application is made more than 3 months after the end of the relevant reporting period.</w:t>
          </w:r>
          <w:r>
            <w:rPr>
              <w:rStyle w:val="FootnoteReference"/>
              <w:lang w:eastAsia="en-US"/>
            </w:rPr>
            <w:footnoteReference w:id="4"/>
          </w:r>
          <w:r>
            <w:rPr>
              <w:lang w:eastAsia="en-US"/>
            </w:rPr>
            <w:t xml:space="preserve">  If an application is made after this </w:t>
          </w:r>
          <w:r w:rsidR="001C73AC">
            <w:rPr>
              <w:lang w:eastAsia="en-US"/>
            </w:rPr>
            <w:t>time,</w:t>
          </w:r>
          <w:r>
            <w:rPr>
              <w:lang w:eastAsia="en-US"/>
            </w:rPr>
            <w:t xml:space="preserve"> we may refuse the application without seeking further information.</w:t>
          </w:r>
        </w:p>
        <w:p w14:paraId="4B3485AD" w14:textId="3763CCB4" w:rsidR="00112101" w:rsidRDefault="00C47CB7" w:rsidP="00CA06B6">
          <w:pPr>
            <w:pStyle w:val="Heading3"/>
            <w:rPr>
              <w:lang w:eastAsia="en-US"/>
            </w:rPr>
          </w:pPr>
          <w:bookmarkStart w:id="25" w:name="_Toc107914329"/>
          <w:r>
            <w:rPr>
              <w:lang w:eastAsia="en-US"/>
            </w:rPr>
            <w:t>Circumstances that are</w:t>
          </w:r>
          <w:r w:rsidR="00FF7668">
            <w:rPr>
              <w:lang w:eastAsia="en-US"/>
            </w:rPr>
            <w:t xml:space="preserve"> e</w:t>
          </w:r>
          <w:r w:rsidR="00112101">
            <w:rPr>
              <w:lang w:eastAsia="en-US"/>
            </w:rPr>
            <w:t>xceptional or outside an entity’s control</w:t>
          </w:r>
          <w:bookmarkEnd w:id="25"/>
        </w:p>
        <w:p w14:paraId="44F378F4" w14:textId="284399F5" w:rsidR="007B7EAA" w:rsidRDefault="006F1DBE" w:rsidP="001B2726">
          <w:pPr>
            <w:pStyle w:val="Bullet"/>
            <w:numPr>
              <w:ilvl w:val="0"/>
              <w:numId w:val="30"/>
            </w:numPr>
            <w:ind w:left="993" w:hanging="993"/>
            <w:rPr>
              <w:lang w:eastAsia="en-US"/>
            </w:rPr>
          </w:pPr>
          <w:r>
            <w:rPr>
              <w:lang w:eastAsia="en-US"/>
            </w:rPr>
            <w:t xml:space="preserve">We </w:t>
          </w:r>
          <w:r w:rsidR="00AB4283">
            <w:rPr>
              <w:lang w:eastAsia="en-US"/>
            </w:rPr>
            <w:t>may</w:t>
          </w:r>
          <w:r>
            <w:rPr>
              <w:lang w:eastAsia="en-US"/>
            </w:rPr>
            <w:t xml:space="preserve"> grant an extension if circumstances</w:t>
          </w:r>
          <w:r w:rsidR="005F3D39">
            <w:rPr>
              <w:lang w:eastAsia="en-US"/>
            </w:rPr>
            <w:t xml:space="preserve"> resulting in the need for extra time</w:t>
          </w:r>
          <w:r>
            <w:rPr>
              <w:lang w:eastAsia="en-US"/>
            </w:rPr>
            <w:t xml:space="preserve"> are exceptional, outside the entity’s control, or both.</w:t>
          </w:r>
          <w:r w:rsidR="00B833DC">
            <w:rPr>
              <w:rStyle w:val="FootnoteReference"/>
              <w:lang w:eastAsia="en-US"/>
            </w:rPr>
            <w:footnoteReference w:id="5"/>
          </w:r>
          <w:r w:rsidR="00266A30">
            <w:rPr>
              <w:lang w:eastAsia="en-US"/>
            </w:rPr>
            <w:t xml:space="preserve"> </w:t>
          </w:r>
          <w:r w:rsidR="00875D1B">
            <w:rPr>
              <w:lang w:eastAsia="en-US"/>
            </w:rPr>
            <w:t>W</w:t>
          </w:r>
          <w:r w:rsidR="0051617E">
            <w:rPr>
              <w:lang w:eastAsia="en-US"/>
            </w:rPr>
            <w:t>e do not have the power to grant an extension for other circumstances</w:t>
          </w:r>
          <w:r w:rsidR="00875D1B">
            <w:rPr>
              <w:lang w:eastAsia="en-US"/>
            </w:rPr>
            <w:t>,</w:t>
          </w:r>
          <w:r w:rsidR="00C75735">
            <w:rPr>
              <w:lang w:eastAsia="en-US"/>
            </w:rPr>
            <w:t xml:space="preserve"> such as general hardship</w:t>
          </w:r>
          <w:r w:rsidR="0051617E">
            <w:rPr>
              <w:lang w:eastAsia="en-US"/>
            </w:rPr>
            <w:t>.</w:t>
          </w:r>
        </w:p>
        <w:p w14:paraId="464785C0" w14:textId="2C77DD7B" w:rsidR="00BB383B" w:rsidRDefault="00771798" w:rsidP="001B2726">
          <w:pPr>
            <w:pStyle w:val="Bullet"/>
            <w:numPr>
              <w:ilvl w:val="0"/>
              <w:numId w:val="30"/>
            </w:numPr>
            <w:ind w:left="993" w:hanging="993"/>
            <w:rPr>
              <w:lang w:eastAsia="en-US"/>
            </w:rPr>
          </w:pPr>
          <w:r>
            <w:rPr>
              <w:lang w:eastAsia="en-US"/>
            </w:rPr>
            <w:t xml:space="preserve">Whether circumstances are exceptional or outside an entity’s control are specific to </w:t>
          </w:r>
          <w:r w:rsidR="0046453C">
            <w:rPr>
              <w:lang w:eastAsia="en-US"/>
            </w:rPr>
            <w:t xml:space="preserve">a </w:t>
          </w:r>
          <w:r>
            <w:rPr>
              <w:lang w:eastAsia="en-US"/>
            </w:rPr>
            <w:t>reporting entity</w:t>
          </w:r>
          <w:r w:rsidR="00782D69">
            <w:rPr>
              <w:lang w:eastAsia="en-US"/>
            </w:rPr>
            <w:t xml:space="preserve">. </w:t>
          </w:r>
          <w:r w:rsidR="00D66C9D">
            <w:rPr>
              <w:lang w:eastAsia="en-US"/>
            </w:rPr>
            <w:t>S</w:t>
          </w:r>
          <w:r w:rsidR="00834635">
            <w:rPr>
              <w:lang w:eastAsia="en-US"/>
            </w:rPr>
            <w:t xml:space="preserve">imilar </w:t>
          </w:r>
          <w:r w:rsidR="00F03EE5">
            <w:rPr>
              <w:lang w:eastAsia="en-US"/>
            </w:rPr>
            <w:t xml:space="preserve">circumstances can have differing impacts </w:t>
          </w:r>
          <w:r w:rsidR="00D66C9D">
            <w:rPr>
              <w:lang w:eastAsia="en-US"/>
            </w:rPr>
            <w:t xml:space="preserve">depending on an entity’s </w:t>
          </w:r>
          <w:r w:rsidR="00F03EE5">
            <w:rPr>
              <w:lang w:eastAsia="en-US"/>
            </w:rPr>
            <w:t xml:space="preserve">business, </w:t>
          </w:r>
          <w:r w:rsidR="00CE2DDF">
            <w:rPr>
              <w:lang w:eastAsia="en-US"/>
            </w:rPr>
            <w:t xml:space="preserve">organisational </w:t>
          </w:r>
          <w:r w:rsidR="006C2436">
            <w:rPr>
              <w:lang w:eastAsia="en-US"/>
            </w:rPr>
            <w:t>structure</w:t>
          </w:r>
          <w:r w:rsidR="00F03EE5">
            <w:rPr>
              <w:lang w:eastAsia="en-US"/>
            </w:rPr>
            <w:t xml:space="preserve"> </w:t>
          </w:r>
          <w:r w:rsidR="008C32F0">
            <w:rPr>
              <w:lang w:eastAsia="en-US"/>
            </w:rPr>
            <w:t xml:space="preserve">and </w:t>
          </w:r>
          <w:r w:rsidR="008E2A39">
            <w:rPr>
              <w:lang w:eastAsia="en-US"/>
            </w:rPr>
            <w:t>other matter</w:t>
          </w:r>
          <w:r w:rsidR="00CE2DDF">
            <w:rPr>
              <w:lang w:eastAsia="en-US"/>
            </w:rPr>
            <w:t>s</w:t>
          </w:r>
          <w:r w:rsidR="008E2A39">
            <w:rPr>
              <w:lang w:eastAsia="en-US"/>
            </w:rPr>
            <w:t xml:space="preserve"> specific to </w:t>
          </w:r>
          <w:r w:rsidR="00AB4283">
            <w:rPr>
              <w:lang w:eastAsia="en-US"/>
            </w:rPr>
            <w:t>the entity</w:t>
          </w:r>
          <w:r w:rsidR="00782D69">
            <w:rPr>
              <w:lang w:eastAsia="en-US"/>
            </w:rPr>
            <w:t xml:space="preserve">. </w:t>
          </w:r>
        </w:p>
        <w:p w14:paraId="439EE99D" w14:textId="30EF61F4" w:rsidR="003D373B" w:rsidRDefault="00AB4283" w:rsidP="001B2726">
          <w:pPr>
            <w:pStyle w:val="Bullet"/>
            <w:numPr>
              <w:ilvl w:val="0"/>
              <w:numId w:val="30"/>
            </w:numPr>
            <w:ind w:left="993" w:hanging="993"/>
            <w:rPr>
              <w:lang w:eastAsia="en-US"/>
            </w:rPr>
          </w:pPr>
          <w:r>
            <w:rPr>
              <w:lang w:eastAsia="en-US"/>
            </w:rPr>
            <w:lastRenderedPageBreak/>
            <w:t>W</w:t>
          </w:r>
          <w:r w:rsidR="00974938">
            <w:rPr>
              <w:lang w:eastAsia="en-US"/>
            </w:rPr>
            <w:t xml:space="preserve">e do not prescribe or </w:t>
          </w:r>
          <w:r w:rsidR="00781774">
            <w:rPr>
              <w:lang w:eastAsia="en-US"/>
            </w:rPr>
            <w:t xml:space="preserve">pre-determine </w:t>
          </w:r>
          <w:r w:rsidR="00173245">
            <w:rPr>
              <w:lang w:eastAsia="en-US"/>
            </w:rPr>
            <w:t xml:space="preserve">what </w:t>
          </w:r>
          <w:r w:rsidR="00781774">
            <w:rPr>
              <w:lang w:eastAsia="en-US"/>
            </w:rPr>
            <w:t xml:space="preserve">circumstances </w:t>
          </w:r>
          <w:r w:rsidR="00BB383B">
            <w:rPr>
              <w:lang w:eastAsia="en-US"/>
            </w:rPr>
            <w:t>are exceptional or outside an entity’s</w:t>
          </w:r>
          <w:r w:rsidR="000348B2">
            <w:rPr>
              <w:lang w:eastAsia="en-US"/>
            </w:rPr>
            <w:t xml:space="preserve"> </w:t>
          </w:r>
          <w:r w:rsidR="00BB383B">
            <w:rPr>
              <w:lang w:eastAsia="en-US"/>
            </w:rPr>
            <w:t>control</w:t>
          </w:r>
          <w:r w:rsidR="00782D69">
            <w:rPr>
              <w:lang w:eastAsia="en-US"/>
            </w:rPr>
            <w:t xml:space="preserve">. </w:t>
          </w:r>
          <w:r w:rsidR="008C32F0">
            <w:rPr>
              <w:lang w:eastAsia="en-US"/>
            </w:rPr>
            <w:t xml:space="preserve">This </w:t>
          </w:r>
          <w:r w:rsidR="002F04B0">
            <w:rPr>
              <w:lang w:eastAsia="en-US"/>
            </w:rPr>
            <w:t xml:space="preserve">assessment </w:t>
          </w:r>
          <w:r w:rsidR="008C32F0">
            <w:rPr>
              <w:lang w:eastAsia="en-US"/>
            </w:rPr>
            <w:t xml:space="preserve">is made </w:t>
          </w:r>
          <w:r w:rsidR="000348B2">
            <w:rPr>
              <w:lang w:eastAsia="en-US"/>
            </w:rPr>
            <w:t>on a case-by-case basis</w:t>
          </w:r>
          <w:r w:rsidR="00AB2422">
            <w:rPr>
              <w:lang w:eastAsia="en-US"/>
            </w:rPr>
            <w:t xml:space="preserve"> </w:t>
          </w:r>
          <w:r w:rsidR="003D373B">
            <w:rPr>
              <w:lang w:eastAsia="en-US"/>
            </w:rPr>
            <w:t xml:space="preserve">and informed by </w:t>
          </w:r>
          <w:r w:rsidR="00AB2422">
            <w:rPr>
              <w:lang w:eastAsia="en-US"/>
            </w:rPr>
            <w:t xml:space="preserve">the </w:t>
          </w:r>
          <w:r w:rsidR="00B4249A">
            <w:rPr>
              <w:lang w:eastAsia="en-US"/>
            </w:rPr>
            <w:t xml:space="preserve">facts </w:t>
          </w:r>
          <w:r w:rsidR="00AB2422">
            <w:rPr>
              <w:lang w:eastAsia="en-US"/>
            </w:rPr>
            <w:t>and submissions provided</w:t>
          </w:r>
          <w:r w:rsidR="0040350C">
            <w:rPr>
              <w:lang w:eastAsia="en-US"/>
            </w:rPr>
            <w:t xml:space="preserve"> by the applicant</w:t>
          </w:r>
          <w:r w:rsidR="00782D69">
            <w:rPr>
              <w:lang w:eastAsia="en-US"/>
            </w:rPr>
            <w:t xml:space="preserve">. </w:t>
          </w:r>
        </w:p>
        <w:p w14:paraId="52A39E71" w14:textId="143CF7F6" w:rsidR="009C0E2D" w:rsidRPr="009C0E2D" w:rsidRDefault="009C0E2D" w:rsidP="001B2726">
          <w:pPr>
            <w:pStyle w:val="Heading4"/>
            <w:rPr>
              <w:lang w:eastAsia="en-US"/>
            </w:rPr>
          </w:pPr>
          <w:r w:rsidRPr="009C0E2D">
            <w:rPr>
              <w:lang w:eastAsia="en-US"/>
            </w:rPr>
            <w:t>Exceptional circumstances</w:t>
          </w:r>
        </w:p>
        <w:p w14:paraId="4EC36800" w14:textId="254869E1" w:rsidR="000100F8" w:rsidRDefault="00EC4AA6" w:rsidP="000100F8">
          <w:pPr>
            <w:pStyle w:val="Bullet"/>
            <w:numPr>
              <w:ilvl w:val="0"/>
              <w:numId w:val="30"/>
            </w:numPr>
            <w:ind w:left="993" w:hanging="993"/>
            <w:rPr>
              <w:lang w:eastAsia="en-US"/>
            </w:rPr>
          </w:pPr>
          <w:r>
            <w:rPr>
              <w:lang w:eastAsia="en-US"/>
            </w:rPr>
            <w:t xml:space="preserve">Circumstances </w:t>
          </w:r>
          <w:r w:rsidR="005F3D39">
            <w:rPr>
              <w:lang w:eastAsia="en-US"/>
            </w:rPr>
            <w:t xml:space="preserve">may be considered </w:t>
          </w:r>
          <w:r>
            <w:rPr>
              <w:lang w:eastAsia="en-US"/>
            </w:rPr>
            <w:t xml:space="preserve">exceptional if they are </w:t>
          </w:r>
          <w:r w:rsidR="00ED26E4">
            <w:rPr>
              <w:lang w:eastAsia="en-US"/>
            </w:rPr>
            <w:t xml:space="preserve">uncommon, </w:t>
          </w:r>
          <w:r>
            <w:rPr>
              <w:lang w:eastAsia="en-US"/>
            </w:rPr>
            <w:t xml:space="preserve">outside the ordinary, </w:t>
          </w:r>
          <w:r w:rsidR="007A2064">
            <w:rPr>
              <w:lang w:eastAsia="en-US"/>
            </w:rPr>
            <w:t>or not regular or routine</w:t>
          </w:r>
          <w:r w:rsidR="0040350C">
            <w:rPr>
              <w:lang w:eastAsia="en-US"/>
            </w:rPr>
            <w:t>.</w:t>
          </w:r>
          <w:r w:rsidR="00793BB7">
            <w:rPr>
              <w:lang w:eastAsia="en-US"/>
            </w:rPr>
            <w:t xml:space="preserve"> This </w:t>
          </w:r>
          <w:r w:rsidR="003321DE">
            <w:rPr>
              <w:lang w:eastAsia="en-US"/>
            </w:rPr>
            <w:t xml:space="preserve">will </w:t>
          </w:r>
          <w:r w:rsidR="00416678">
            <w:rPr>
              <w:lang w:eastAsia="en-US"/>
            </w:rPr>
            <w:t xml:space="preserve">generally not </w:t>
          </w:r>
          <w:r w:rsidR="00175BBF">
            <w:t xml:space="preserve">apply </w:t>
          </w:r>
          <w:r w:rsidR="000100F8">
            <w:t>to:</w:t>
          </w:r>
        </w:p>
        <w:p w14:paraId="708A0B30" w14:textId="0308BCD7" w:rsidR="000100F8" w:rsidRPr="00DA3F57" w:rsidRDefault="000100F8" w:rsidP="00DA3F57">
          <w:pPr>
            <w:pStyle w:val="ListParagraph"/>
            <w:numPr>
              <w:ilvl w:val="1"/>
              <w:numId w:val="68"/>
            </w:numPr>
          </w:pPr>
          <w:r w:rsidRPr="00DA3F57">
            <w:t xml:space="preserve">foreseeable </w:t>
          </w:r>
          <w:r w:rsidR="00793BB7" w:rsidRPr="00DA3F57">
            <w:t xml:space="preserve">circumstances </w:t>
          </w:r>
          <w:r w:rsidRPr="00DA3F57">
            <w:t>that</w:t>
          </w:r>
          <w:r w:rsidR="00E61285" w:rsidRPr="00DA3F57">
            <w:t xml:space="preserve"> arise in the ordinary course of business</w:t>
          </w:r>
          <w:r w:rsidR="006B48C4" w:rsidRPr="00DA3F57">
            <w:t>,</w:t>
          </w:r>
          <w:r w:rsidR="00BB26EE" w:rsidRPr="00DA3F57">
            <w:t xml:space="preserve"> such as staff illness</w:t>
          </w:r>
          <w:r w:rsidR="00785EB3" w:rsidRPr="00DA3F57">
            <w:t xml:space="preserve"> and turnover</w:t>
          </w:r>
          <w:r w:rsidRPr="00DA3F57">
            <w:t>,</w:t>
          </w:r>
          <w:r w:rsidR="00AA7D1E" w:rsidRPr="00DA3F57">
            <w:t xml:space="preserve"> </w:t>
          </w:r>
          <w:r w:rsidR="00785EB3" w:rsidRPr="00DA3F57">
            <w:t>or</w:t>
          </w:r>
        </w:p>
        <w:p w14:paraId="1BC4E5FD" w14:textId="01414765" w:rsidR="00E137AC" w:rsidRPr="00DA3F57" w:rsidRDefault="00D31DCD" w:rsidP="00DA3F57">
          <w:pPr>
            <w:pStyle w:val="ListParagraph"/>
            <w:numPr>
              <w:ilvl w:val="1"/>
              <w:numId w:val="68"/>
            </w:numPr>
          </w:pPr>
          <w:r w:rsidRPr="00DA3F57">
            <w:t xml:space="preserve">the need to </w:t>
          </w:r>
          <w:r w:rsidR="00785EB3" w:rsidRPr="00DA3F57">
            <w:t xml:space="preserve">obtain third party advice or support to </w:t>
          </w:r>
          <w:r w:rsidR="00E137AC" w:rsidRPr="00DA3F57">
            <w:t>prepare a report.</w:t>
          </w:r>
        </w:p>
        <w:p w14:paraId="0BEABFFD" w14:textId="1F6CEB7F" w:rsidR="00956596" w:rsidRDefault="008B459E" w:rsidP="001B2726">
          <w:pPr>
            <w:pStyle w:val="Bullet"/>
            <w:numPr>
              <w:ilvl w:val="0"/>
              <w:numId w:val="30"/>
            </w:numPr>
            <w:ind w:left="993" w:hanging="993"/>
            <w:rPr>
              <w:lang w:eastAsia="en-US"/>
            </w:rPr>
          </w:pPr>
          <w:r>
            <w:rPr>
              <w:lang w:eastAsia="en-US"/>
            </w:rPr>
            <w:t>C</w:t>
          </w:r>
          <w:r w:rsidR="00E137AC">
            <w:rPr>
              <w:lang w:eastAsia="en-US"/>
            </w:rPr>
            <w:t>ircumstances that are on</w:t>
          </w:r>
          <w:r w:rsidR="00AA7D1E">
            <w:rPr>
              <w:lang w:eastAsia="en-US"/>
            </w:rPr>
            <w:t>e</w:t>
          </w:r>
          <w:r w:rsidR="00E137AC">
            <w:rPr>
              <w:lang w:eastAsia="en-US"/>
            </w:rPr>
            <w:t>-off</w:t>
          </w:r>
          <w:r w:rsidR="00540121">
            <w:rPr>
              <w:lang w:eastAsia="en-US"/>
            </w:rPr>
            <w:t xml:space="preserve"> </w:t>
          </w:r>
          <w:r w:rsidR="00222290">
            <w:rPr>
              <w:lang w:eastAsia="en-US"/>
            </w:rPr>
            <w:t xml:space="preserve">or impact an entity as a </w:t>
          </w:r>
          <w:r w:rsidR="002134EA">
            <w:rPr>
              <w:lang w:eastAsia="en-US"/>
            </w:rPr>
            <w:t>‘</w:t>
          </w:r>
          <w:r w:rsidR="00222290">
            <w:rPr>
              <w:lang w:eastAsia="en-US"/>
            </w:rPr>
            <w:t>going concern</w:t>
          </w:r>
          <w:r w:rsidR="002134EA">
            <w:rPr>
              <w:lang w:eastAsia="en-US"/>
            </w:rPr>
            <w:t>’</w:t>
          </w:r>
          <w:r w:rsidR="00540121">
            <w:rPr>
              <w:lang w:eastAsia="en-US"/>
            </w:rPr>
            <w:t xml:space="preserve"> </w:t>
          </w:r>
          <w:r w:rsidR="00F83851">
            <w:rPr>
              <w:lang w:eastAsia="en-US"/>
            </w:rPr>
            <w:t xml:space="preserve">are more likely to be </w:t>
          </w:r>
          <w:r w:rsidR="00941F97">
            <w:rPr>
              <w:lang w:eastAsia="en-US"/>
            </w:rPr>
            <w:t>exceptional.</w:t>
          </w:r>
          <w:r w:rsidR="00AA7D1E">
            <w:rPr>
              <w:lang w:eastAsia="en-US"/>
            </w:rPr>
            <w:t xml:space="preserve"> Examples may </w:t>
          </w:r>
          <w:r w:rsidR="00897CB3">
            <w:rPr>
              <w:lang w:eastAsia="en-US"/>
            </w:rPr>
            <w:t>include</w:t>
          </w:r>
          <w:r w:rsidR="00AA7D1E">
            <w:rPr>
              <w:lang w:eastAsia="en-US"/>
            </w:rPr>
            <w:t xml:space="preserve"> a control transaction</w:t>
          </w:r>
          <w:r w:rsidR="00540121">
            <w:rPr>
              <w:lang w:eastAsia="en-US"/>
            </w:rPr>
            <w:t xml:space="preserve"> </w:t>
          </w:r>
          <w:r w:rsidR="006C2436">
            <w:rPr>
              <w:lang w:eastAsia="en-US"/>
            </w:rPr>
            <w:t xml:space="preserve">(such as a change of control in a company) </w:t>
          </w:r>
          <w:r w:rsidR="00540121">
            <w:rPr>
              <w:lang w:eastAsia="en-US"/>
            </w:rPr>
            <w:t xml:space="preserve">or </w:t>
          </w:r>
          <w:r w:rsidR="00250CF0">
            <w:rPr>
              <w:lang w:eastAsia="en-US"/>
            </w:rPr>
            <w:t>enter</w:t>
          </w:r>
          <w:r w:rsidR="006911E9">
            <w:rPr>
              <w:lang w:eastAsia="en-US"/>
            </w:rPr>
            <w:t>ing</w:t>
          </w:r>
          <w:r w:rsidR="00250CF0">
            <w:rPr>
              <w:lang w:eastAsia="en-US"/>
            </w:rPr>
            <w:t xml:space="preserve"> </w:t>
          </w:r>
          <w:r w:rsidR="00540121">
            <w:rPr>
              <w:lang w:eastAsia="en-US"/>
            </w:rPr>
            <w:t xml:space="preserve">administration under </w:t>
          </w:r>
          <w:r w:rsidR="00250CF0">
            <w:rPr>
              <w:lang w:eastAsia="en-US"/>
            </w:rPr>
            <w:t xml:space="preserve">Chapter 5 of </w:t>
          </w:r>
          <w:r w:rsidR="00540121">
            <w:rPr>
              <w:lang w:eastAsia="en-US"/>
            </w:rPr>
            <w:t xml:space="preserve">the </w:t>
          </w:r>
          <w:hyperlink r:id="rId13" w:history="1">
            <w:r w:rsidR="00540121" w:rsidRPr="006911E9">
              <w:rPr>
                <w:rStyle w:val="Hyperlink"/>
                <w:i/>
                <w:iCs/>
                <w:lang w:eastAsia="en-US"/>
              </w:rPr>
              <w:t>Corporations Act 2001</w:t>
            </w:r>
          </w:hyperlink>
          <w:r w:rsidR="00540121">
            <w:rPr>
              <w:lang w:eastAsia="en-US"/>
            </w:rPr>
            <w:t>.</w:t>
          </w:r>
        </w:p>
        <w:p w14:paraId="07FB014E" w14:textId="60C7C6B9" w:rsidR="009C0E2D" w:rsidRPr="009C0E2D" w:rsidRDefault="009C0E2D" w:rsidP="001B2726">
          <w:pPr>
            <w:pStyle w:val="Heading4"/>
            <w:rPr>
              <w:lang w:eastAsia="en-US"/>
            </w:rPr>
          </w:pPr>
          <w:r w:rsidRPr="009C0E2D">
            <w:rPr>
              <w:lang w:eastAsia="en-US"/>
            </w:rPr>
            <w:t>Circumstances outside an entity’s control</w:t>
          </w:r>
        </w:p>
        <w:p w14:paraId="087178C0" w14:textId="55BE77F3" w:rsidR="00125F08" w:rsidRDefault="00125F08" w:rsidP="001B2726">
          <w:pPr>
            <w:pStyle w:val="Bullet"/>
            <w:numPr>
              <w:ilvl w:val="0"/>
              <w:numId w:val="30"/>
            </w:numPr>
            <w:ind w:left="993" w:hanging="993"/>
            <w:rPr>
              <w:lang w:eastAsia="en-US"/>
            </w:rPr>
          </w:pPr>
          <w:r>
            <w:rPr>
              <w:lang w:eastAsia="en-US"/>
            </w:rPr>
            <w:t xml:space="preserve">Circumstances </w:t>
          </w:r>
          <w:r w:rsidR="005F3D39">
            <w:rPr>
              <w:lang w:eastAsia="en-US"/>
            </w:rPr>
            <w:t xml:space="preserve">may be considered to be </w:t>
          </w:r>
          <w:r>
            <w:rPr>
              <w:lang w:eastAsia="en-US"/>
            </w:rPr>
            <w:t xml:space="preserve">outside an entity’s control if external factors impact </w:t>
          </w:r>
          <w:r w:rsidR="00C76593">
            <w:rPr>
              <w:lang w:eastAsia="en-US"/>
            </w:rPr>
            <w:t>the entity’s</w:t>
          </w:r>
          <w:r>
            <w:rPr>
              <w:lang w:eastAsia="en-US"/>
            </w:rPr>
            <w:t xml:space="preserve"> ability to report.</w:t>
          </w:r>
          <w:r w:rsidR="00E27D09">
            <w:rPr>
              <w:lang w:eastAsia="en-US"/>
            </w:rPr>
            <w:t xml:space="preserve"> </w:t>
          </w:r>
          <w:r w:rsidR="008A261E">
            <w:rPr>
              <w:lang w:eastAsia="en-US"/>
            </w:rPr>
            <w:t>Applica</w:t>
          </w:r>
          <w:r w:rsidR="002A25C5">
            <w:rPr>
              <w:lang w:eastAsia="en-US"/>
            </w:rPr>
            <w:t>tions</w:t>
          </w:r>
          <w:r w:rsidR="008A261E">
            <w:rPr>
              <w:lang w:eastAsia="en-US"/>
            </w:rPr>
            <w:t xml:space="preserve"> should clear</w:t>
          </w:r>
          <w:r w:rsidR="007D1BBB">
            <w:rPr>
              <w:lang w:eastAsia="en-US"/>
            </w:rPr>
            <w:t>ly</w:t>
          </w:r>
          <w:r w:rsidR="008A261E">
            <w:rPr>
              <w:lang w:eastAsia="en-US"/>
            </w:rPr>
            <w:t xml:space="preserve"> </w:t>
          </w:r>
          <w:r w:rsidR="002A25C5">
            <w:rPr>
              <w:lang w:eastAsia="en-US"/>
            </w:rPr>
            <w:t xml:space="preserve">describe </w:t>
          </w:r>
          <w:r w:rsidR="008A261E">
            <w:rPr>
              <w:lang w:eastAsia="en-US"/>
            </w:rPr>
            <w:t xml:space="preserve">the external factors </w:t>
          </w:r>
          <w:r w:rsidR="002802DA">
            <w:rPr>
              <w:lang w:eastAsia="en-US"/>
            </w:rPr>
            <w:t>and why they were outside the entity’s management and influence.</w:t>
          </w:r>
        </w:p>
        <w:p w14:paraId="02CB6AAF" w14:textId="19B6C12E" w:rsidR="00297207" w:rsidRDefault="00FA647A" w:rsidP="001B2726">
          <w:pPr>
            <w:pStyle w:val="Bullet"/>
            <w:numPr>
              <w:ilvl w:val="0"/>
              <w:numId w:val="30"/>
            </w:numPr>
            <w:ind w:left="993" w:hanging="993"/>
            <w:rPr>
              <w:lang w:eastAsia="en-US"/>
            </w:rPr>
          </w:pPr>
          <w:r>
            <w:rPr>
              <w:lang w:eastAsia="en-US"/>
            </w:rPr>
            <w:t xml:space="preserve">The fact that a reporting entity </w:t>
          </w:r>
          <w:r w:rsidR="00155302">
            <w:rPr>
              <w:lang w:eastAsia="en-US"/>
            </w:rPr>
            <w:t>requires or relies on advice or support from a third party would not</w:t>
          </w:r>
          <w:r w:rsidR="00BB4977">
            <w:rPr>
              <w:lang w:eastAsia="en-US"/>
            </w:rPr>
            <w:t xml:space="preserve"> </w:t>
          </w:r>
          <w:r w:rsidR="004D17C8">
            <w:rPr>
              <w:lang w:eastAsia="en-US"/>
            </w:rPr>
            <w:t xml:space="preserve">generally </w:t>
          </w:r>
          <w:r w:rsidR="00347995">
            <w:rPr>
              <w:lang w:eastAsia="en-US"/>
            </w:rPr>
            <w:t>be sufficient to demonstrate a circumstance is outside an entity’s control</w:t>
          </w:r>
          <w:r w:rsidR="00782D69">
            <w:rPr>
              <w:lang w:eastAsia="en-US"/>
            </w:rPr>
            <w:t xml:space="preserve">. </w:t>
          </w:r>
        </w:p>
        <w:p w14:paraId="782B0345" w14:textId="135ABEC2" w:rsidR="00A01823" w:rsidRDefault="00851669" w:rsidP="001B2726">
          <w:pPr>
            <w:pStyle w:val="Bullet"/>
            <w:numPr>
              <w:ilvl w:val="0"/>
              <w:numId w:val="30"/>
            </w:numPr>
            <w:ind w:left="993" w:hanging="993"/>
            <w:rPr>
              <w:lang w:eastAsia="en-US"/>
            </w:rPr>
          </w:pPr>
          <w:r>
            <w:rPr>
              <w:lang w:eastAsia="en-US"/>
            </w:rPr>
            <w:t xml:space="preserve">Where an </w:t>
          </w:r>
          <w:r w:rsidR="00EA39DA">
            <w:rPr>
              <w:lang w:eastAsia="en-US"/>
            </w:rPr>
            <w:t xml:space="preserve">extension is </w:t>
          </w:r>
          <w:r>
            <w:rPr>
              <w:lang w:eastAsia="en-US"/>
            </w:rPr>
            <w:t xml:space="preserve">sought </w:t>
          </w:r>
          <w:r w:rsidR="00297207">
            <w:rPr>
              <w:lang w:eastAsia="en-US"/>
            </w:rPr>
            <w:t xml:space="preserve">because of delay or non-delivery of a service by a third party, including </w:t>
          </w:r>
          <w:r w:rsidR="00831276">
            <w:rPr>
              <w:lang w:eastAsia="en-US"/>
            </w:rPr>
            <w:t xml:space="preserve">the </w:t>
          </w:r>
          <w:r w:rsidR="00ED26E4">
            <w:rPr>
              <w:lang w:eastAsia="en-US"/>
            </w:rPr>
            <w:t xml:space="preserve">Australian Taxation Office </w:t>
          </w:r>
          <w:r w:rsidR="004D17C8">
            <w:rPr>
              <w:lang w:eastAsia="en-US"/>
            </w:rPr>
            <w:t>regarding</w:t>
          </w:r>
          <w:r w:rsidR="00CE1E61">
            <w:rPr>
              <w:lang w:eastAsia="en-US"/>
            </w:rPr>
            <w:t xml:space="preserve"> access to a Digital Identity</w:t>
          </w:r>
          <w:r w:rsidR="00297207">
            <w:rPr>
              <w:lang w:eastAsia="en-US"/>
            </w:rPr>
            <w:t xml:space="preserve">, the applicant </w:t>
          </w:r>
          <w:r w:rsidR="00A01823">
            <w:rPr>
              <w:lang w:eastAsia="en-US"/>
            </w:rPr>
            <w:t xml:space="preserve">should </w:t>
          </w:r>
          <w:r w:rsidR="004A04B7">
            <w:rPr>
              <w:lang w:eastAsia="en-US"/>
            </w:rPr>
            <w:t xml:space="preserve">detail </w:t>
          </w:r>
          <w:r w:rsidR="00A01823">
            <w:rPr>
              <w:lang w:eastAsia="en-US"/>
            </w:rPr>
            <w:t xml:space="preserve">the </w:t>
          </w:r>
          <w:r w:rsidR="00297207">
            <w:rPr>
              <w:lang w:eastAsia="en-US"/>
            </w:rPr>
            <w:t>efforts made to ensure timely delivery of the service</w:t>
          </w:r>
          <w:r w:rsidR="00A01823">
            <w:rPr>
              <w:lang w:eastAsia="en-US"/>
            </w:rPr>
            <w:t xml:space="preserve"> in </w:t>
          </w:r>
          <w:r w:rsidR="002A25C5">
            <w:rPr>
              <w:lang w:eastAsia="en-US"/>
            </w:rPr>
            <w:t>their</w:t>
          </w:r>
          <w:r w:rsidR="00A01823">
            <w:rPr>
              <w:lang w:eastAsia="en-US"/>
            </w:rPr>
            <w:t xml:space="preserve"> application</w:t>
          </w:r>
          <w:r w:rsidR="00782D69">
            <w:rPr>
              <w:lang w:eastAsia="en-US"/>
            </w:rPr>
            <w:t xml:space="preserve">. </w:t>
          </w:r>
        </w:p>
        <w:p w14:paraId="44178330" w14:textId="6F933B26" w:rsidR="00CA03FE" w:rsidRDefault="003C1048" w:rsidP="001B2726">
          <w:pPr>
            <w:pStyle w:val="Bullet"/>
            <w:numPr>
              <w:ilvl w:val="0"/>
              <w:numId w:val="30"/>
            </w:numPr>
            <w:ind w:left="993" w:hanging="993"/>
            <w:rPr>
              <w:lang w:eastAsia="en-US"/>
            </w:rPr>
          </w:pPr>
          <w:r>
            <w:rPr>
              <w:lang w:eastAsia="en-US"/>
            </w:rPr>
            <w:t xml:space="preserve">We may </w:t>
          </w:r>
          <w:r w:rsidR="007C2BE0">
            <w:rPr>
              <w:lang w:eastAsia="en-US"/>
            </w:rPr>
            <w:t xml:space="preserve">not be satisfied circumstances are outside an entity’s control if </w:t>
          </w:r>
          <w:r w:rsidR="003C4889">
            <w:rPr>
              <w:lang w:eastAsia="en-US"/>
            </w:rPr>
            <w:t>the</w:t>
          </w:r>
          <w:r w:rsidR="007C2BE0">
            <w:rPr>
              <w:lang w:eastAsia="en-US"/>
            </w:rPr>
            <w:t xml:space="preserve"> </w:t>
          </w:r>
          <w:r>
            <w:rPr>
              <w:lang w:eastAsia="en-US"/>
            </w:rPr>
            <w:t xml:space="preserve">applicant </w:t>
          </w:r>
          <w:r w:rsidR="00151264">
            <w:rPr>
              <w:lang w:eastAsia="en-US"/>
            </w:rPr>
            <w:t xml:space="preserve">has not </w:t>
          </w:r>
          <w:r w:rsidR="00A0413E">
            <w:rPr>
              <w:lang w:eastAsia="en-US"/>
            </w:rPr>
            <w:t>attempt</w:t>
          </w:r>
          <w:r w:rsidR="003C4889">
            <w:rPr>
              <w:lang w:eastAsia="en-US"/>
            </w:rPr>
            <w:t>ed</w:t>
          </w:r>
          <w:r w:rsidR="00A0413E">
            <w:rPr>
              <w:lang w:eastAsia="en-US"/>
            </w:rPr>
            <w:t xml:space="preserve"> </w:t>
          </w:r>
          <w:r w:rsidR="00151264">
            <w:rPr>
              <w:lang w:eastAsia="en-US"/>
            </w:rPr>
            <w:t xml:space="preserve">to manage and </w:t>
          </w:r>
          <w:r w:rsidR="00600BF8">
            <w:rPr>
              <w:lang w:eastAsia="en-US"/>
            </w:rPr>
            <w:t xml:space="preserve">influence </w:t>
          </w:r>
          <w:r w:rsidR="00151264">
            <w:rPr>
              <w:lang w:eastAsia="en-US"/>
            </w:rPr>
            <w:t>delivery of require</w:t>
          </w:r>
          <w:r w:rsidR="00081DA1">
            <w:rPr>
              <w:lang w:eastAsia="en-US"/>
            </w:rPr>
            <w:t>d</w:t>
          </w:r>
          <w:r w:rsidR="00151264">
            <w:rPr>
              <w:lang w:eastAsia="en-US"/>
            </w:rPr>
            <w:t xml:space="preserve"> third part</w:t>
          </w:r>
          <w:r w:rsidR="00600BF8">
            <w:rPr>
              <w:lang w:eastAsia="en-US"/>
            </w:rPr>
            <w:t>y services</w:t>
          </w:r>
          <w:r w:rsidR="00151264">
            <w:rPr>
              <w:lang w:eastAsia="en-US"/>
            </w:rPr>
            <w:t>.</w:t>
          </w:r>
        </w:p>
        <w:p w14:paraId="1D83202E" w14:textId="309319F0" w:rsidR="00192D88" w:rsidRDefault="003C4889" w:rsidP="001B2726">
          <w:pPr>
            <w:pStyle w:val="Bullet"/>
            <w:numPr>
              <w:ilvl w:val="0"/>
              <w:numId w:val="30"/>
            </w:numPr>
            <w:ind w:left="993" w:hanging="993"/>
            <w:rPr>
              <w:lang w:eastAsia="en-US"/>
            </w:rPr>
          </w:pPr>
          <w:r>
            <w:rPr>
              <w:lang w:eastAsia="en-US"/>
            </w:rPr>
            <w:t>C</w:t>
          </w:r>
          <w:r w:rsidR="00192D88">
            <w:rPr>
              <w:lang w:eastAsia="en-US"/>
            </w:rPr>
            <w:t>ircumstances may be both exceptional and outside an entity’s control</w:t>
          </w:r>
          <w:r w:rsidR="008453F3">
            <w:rPr>
              <w:lang w:eastAsia="en-US"/>
            </w:rPr>
            <w:t>,</w:t>
          </w:r>
          <w:r w:rsidR="00873464">
            <w:rPr>
              <w:lang w:eastAsia="en-US"/>
            </w:rPr>
            <w:t xml:space="preserve"> </w:t>
          </w:r>
          <w:r>
            <w:rPr>
              <w:lang w:eastAsia="en-US"/>
            </w:rPr>
            <w:t>for example,</w:t>
          </w:r>
          <w:r w:rsidR="00873464">
            <w:rPr>
              <w:lang w:eastAsia="en-US"/>
            </w:rPr>
            <w:t xml:space="preserve"> </w:t>
          </w:r>
          <w:r w:rsidR="007D4082">
            <w:rPr>
              <w:lang w:eastAsia="en-US"/>
            </w:rPr>
            <w:t>natural disasters</w:t>
          </w:r>
          <w:r w:rsidR="00873464">
            <w:rPr>
              <w:lang w:eastAsia="en-US"/>
            </w:rPr>
            <w:t xml:space="preserve"> and </w:t>
          </w:r>
          <w:r w:rsidR="008453F3">
            <w:rPr>
              <w:lang w:eastAsia="en-US"/>
            </w:rPr>
            <w:t>cyber-attacks</w:t>
          </w:r>
          <w:r w:rsidR="00782D69">
            <w:rPr>
              <w:lang w:eastAsia="en-US"/>
            </w:rPr>
            <w:t xml:space="preserve">. </w:t>
          </w:r>
          <w:r w:rsidR="00790DBC">
            <w:rPr>
              <w:lang w:eastAsia="en-US"/>
            </w:rPr>
            <w:t>If this is the case</w:t>
          </w:r>
          <w:r>
            <w:rPr>
              <w:lang w:eastAsia="en-US"/>
            </w:rPr>
            <w:t>,</w:t>
          </w:r>
          <w:r w:rsidR="00790DBC">
            <w:rPr>
              <w:lang w:eastAsia="en-US"/>
            </w:rPr>
            <w:t xml:space="preserve"> </w:t>
          </w:r>
          <w:r>
            <w:rPr>
              <w:lang w:eastAsia="en-US"/>
            </w:rPr>
            <w:t>the</w:t>
          </w:r>
          <w:r w:rsidR="00790DBC">
            <w:rPr>
              <w:lang w:eastAsia="en-US"/>
            </w:rPr>
            <w:t xml:space="preserve"> application should clearly state </w:t>
          </w:r>
          <w:r w:rsidR="00B624F9">
            <w:rPr>
              <w:lang w:eastAsia="en-US"/>
            </w:rPr>
            <w:t>that both criteria apply</w:t>
          </w:r>
          <w:r w:rsidR="00790DBC">
            <w:rPr>
              <w:lang w:eastAsia="en-US"/>
            </w:rPr>
            <w:t>.</w:t>
          </w:r>
        </w:p>
        <w:p w14:paraId="04DC0D06" w14:textId="46FDEED4" w:rsidR="00112101" w:rsidRDefault="00112101" w:rsidP="00CA06B6">
          <w:pPr>
            <w:pStyle w:val="Heading3"/>
            <w:rPr>
              <w:lang w:eastAsia="en-US"/>
            </w:rPr>
          </w:pPr>
          <w:bookmarkStart w:id="26" w:name="_Toc107914330"/>
          <w:r>
            <w:rPr>
              <w:lang w:eastAsia="en-US"/>
            </w:rPr>
            <w:t>Severity of circumstances</w:t>
          </w:r>
          <w:bookmarkEnd w:id="26"/>
        </w:p>
        <w:p w14:paraId="34286D5A" w14:textId="3CC95B3F" w:rsidR="00973C6D" w:rsidRDefault="000349B6" w:rsidP="001B2726">
          <w:pPr>
            <w:pStyle w:val="Bullet"/>
            <w:numPr>
              <w:ilvl w:val="0"/>
              <w:numId w:val="30"/>
            </w:numPr>
            <w:ind w:left="993" w:hanging="993"/>
            <w:rPr>
              <w:lang w:eastAsia="en-US"/>
            </w:rPr>
          </w:pPr>
          <w:r>
            <w:rPr>
              <w:lang w:eastAsia="en-US"/>
            </w:rPr>
            <w:t>We m</w:t>
          </w:r>
          <w:r w:rsidR="00973C6D">
            <w:rPr>
              <w:lang w:eastAsia="en-US"/>
            </w:rPr>
            <w:t xml:space="preserve">ay </w:t>
          </w:r>
          <w:r w:rsidR="00655025">
            <w:rPr>
              <w:lang w:eastAsia="en-US"/>
            </w:rPr>
            <w:t xml:space="preserve">assess </w:t>
          </w:r>
          <w:r w:rsidR="00973C6D">
            <w:rPr>
              <w:lang w:eastAsia="en-US"/>
            </w:rPr>
            <w:t xml:space="preserve">circumstances </w:t>
          </w:r>
          <w:r w:rsidR="00655025">
            <w:rPr>
              <w:lang w:eastAsia="en-US"/>
            </w:rPr>
            <w:t xml:space="preserve">as </w:t>
          </w:r>
          <w:r w:rsidR="00973C6D">
            <w:rPr>
              <w:lang w:eastAsia="en-US"/>
            </w:rPr>
            <w:t xml:space="preserve">exceptional or outside the entity’s control </w:t>
          </w:r>
          <w:r w:rsidR="00794B11">
            <w:rPr>
              <w:lang w:eastAsia="en-US"/>
            </w:rPr>
            <w:t>but</w:t>
          </w:r>
          <w:r w:rsidR="00F132CC">
            <w:rPr>
              <w:lang w:eastAsia="en-US"/>
            </w:rPr>
            <w:t xml:space="preserve"> not </w:t>
          </w:r>
          <w:r w:rsidR="00973C6D">
            <w:rPr>
              <w:lang w:eastAsia="en-US"/>
            </w:rPr>
            <w:t xml:space="preserve">sufficiently severe to </w:t>
          </w:r>
          <w:r w:rsidR="00F132CC">
            <w:rPr>
              <w:lang w:eastAsia="en-US"/>
            </w:rPr>
            <w:t xml:space="preserve">need </w:t>
          </w:r>
          <w:r w:rsidR="00973C6D">
            <w:rPr>
              <w:lang w:eastAsia="en-US"/>
            </w:rPr>
            <w:t>an extension of time.</w:t>
          </w:r>
        </w:p>
        <w:p w14:paraId="54659659" w14:textId="1B54C6EF" w:rsidR="00FB12B1" w:rsidRPr="00FB597B" w:rsidRDefault="00FB597B" w:rsidP="001B2726">
          <w:pPr>
            <w:pStyle w:val="Bullet"/>
            <w:numPr>
              <w:ilvl w:val="0"/>
              <w:numId w:val="30"/>
            </w:numPr>
            <w:ind w:left="993" w:hanging="993"/>
            <w:rPr>
              <w:lang w:eastAsia="en-US"/>
            </w:rPr>
          </w:pPr>
          <w:r>
            <w:rPr>
              <w:lang w:eastAsia="en-US"/>
            </w:rPr>
            <w:t>The</w:t>
          </w:r>
          <w:r w:rsidR="008A49DB" w:rsidRPr="00FB597B">
            <w:rPr>
              <w:lang w:eastAsia="en-US"/>
            </w:rPr>
            <w:t xml:space="preserve"> severity of </w:t>
          </w:r>
          <w:r w:rsidR="001A7673" w:rsidRPr="00FB597B">
            <w:rPr>
              <w:lang w:eastAsia="en-US"/>
            </w:rPr>
            <w:t>circumstances</w:t>
          </w:r>
          <w:r w:rsidR="004566DC" w:rsidRPr="00FB597B">
            <w:rPr>
              <w:lang w:eastAsia="en-US"/>
            </w:rPr>
            <w:t xml:space="preserve"> </w:t>
          </w:r>
          <w:r w:rsidR="008A49DB" w:rsidRPr="00FB597B">
            <w:rPr>
              <w:lang w:eastAsia="en-US"/>
            </w:rPr>
            <w:t>support</w:t>
          </w:r>
          <w:r w:rsidR="0066408A">
            <w:rPr>
              <w:lang w:eastAsia="en-US"/>
            </w:rPr>
            <w:t>ing</w:t>
          </w:r>
          <w:r w:rsidR="008A49DB" w:rsidRPr="00FB597B">
            <w:rPr>
              <w:lang w:eastAsia="en-US"/>
            </w:rPr>
            <w:t xml:space="preserve"> </w:t>
          </w:r>
          <w:r w:rsidR="00716E14" w:rsidRPr="00FB597B">
            <w:rPr>
              <w:lang w:eastAsia="en-US"/>
            </w:rPr>
            <w:t>an extension</w:t>
          </w:r>
          <w:r>
            <w:rPr>
              <w:lang w:eastAsia="en-US"/>
            </w:rPr>
            <w:t xml:space="preserve"> application are</w:t>
          </w:r>
          <w:r w:rsidR="00716E14" w:rsidRPr="00FB597B">
            <w:rPr>
              <w:lang w:eastAsia="en-US"/>
            </w:rPr>
            <w:t xml:space="preserve"> </w:t>
          </w:r>
          <w:r w:rsidR="00C25E94" w:rsidRPr="00FB597B">
            <w:rPr>
              <w:lang w:eastAsia="en-US"/>
            </w:rPr>
            <w:t>assessed on a case-by-case basis</w:t>
          </w:r>
          <w:r>
            <w:rPr>
              <w:lang w:eastAsia="en-US"/>
            </w:rPr>
            <w:t xml:space="preserve">. </w:t>
          </w:r>
          <w:r w:rsidR="007223D7">
            <w:rPr>
              <w:lang w:eastAsia="en-US"/>
            </w:rPr>
            <w:t>We a</w:t>
          </w:r>
          <w:r>
            <w:rPr>
              <w:lang w:eastAsia="en-US"/>
            </w:rPr>
            <w:t>ssess the circumstances</w:t>
          </w:r>
          <w:r w:rsidR="0066408A">
            <w:rPr>
              <w:lang w:eastAsia="en-US"/>
            </w:rPr>
            <w:t>’</w:t>
          </w:r>
          <w:r>
            <w:rPr>
              <w:lang w:eastAsia="en-US"/>
            </w:rPr>
            <w:t xml:space="preserve"> severity </w:t>
          </w:r>
          <w:r w:rsidR="00600B63" w:rsidRPr="00FB597B">
            <w:rPr>
              <w:lang w:eastAsia="en-US"/>
            </w:rPr>
            <w:t xml:space="preserve">based on the </w:t>
          </w:r>
          <w:r w:rsidR="00FB12B1" w:rsidRPr="00FB597B">
            <w:rPr>
              <w:lang w:eastAsia="en-US"/>
            </w:rPr>
            <w:t>impact</w:t>
          </w:r>
          <w:r>
            <w:rPr>
              <w:lang w:eastAsia="en-US"/>
            </w:rPr>
            <w:t xml:space="preserve"> </w:t>
          </w:r>
          <w:r w:rsidR="00CE1E61">
            <w:rPr>
              <w:lang w:eastAsia="en-US"/>
            </w:rPr>
            <w:t>they</w:t>
          </w:r>
          <w:r w:rsidR="00CE1E61" w:rsidRPr="00FB597B">
            <w:rPr>
              <w:lang w:eastAsia="en-US"/>
            </w:rPr>
            <w:t xml:space="preserve"> have</w:t>
          </w:r>
          <w:r w:rsidR="001A0009" w:rsidRPr="00FB597B">
            <w:rPr>
              <w:lang w:eastAsia="en-US"/>
            </w:rPr>
            <w:t xml:space="preserve"> </w:t>
          </w:r>
          <w:r w:rsidR="00FB12B1" w:rsidRPr="00FB597B">
            <w:rPr>
              <w:lang w:eastAsia="en-US"/>
            </w:rPr>
            <w:t xml:space="preserve">on </w:t>
          </w:r>
          <w:r w:rsidR="00600B63" w:rsidRPr="00FB597B">
            <w:rPr>
              <w:lang w:eastAsia="en-US"/>
            </w:rPr>
            <w:t xml:space="preserve">a reporting entity’s </w:t>
          </w:r>
          <w:r w:rsidR="00806763" w:rsidRPr="00FB597B">
            <w:rPr>
              <w:lang w:eastAsia="en-US"/>
            </w:rPr>
            <w:t xml:space="preserve">ability </w:t>
          </w:r>
          <w:r w:rsidR="00FB12B1" w:rsidRPr="00FB597B">
            <w:rPr>
              <w:lang w:eastAsia="en-US"/>
            </w:rPr>
            <w:t>to prepare a report.</w:t>
          </w:r>
        </w:p>
        <w:p w14:paraId="70C3B902" w14:textId="0DF4DFEB" w:rsidR="00D91772" w:rsidRDefault="00FB12B1" w:rsidP="001B2726">
          <w:pPr>
            <w:pStyle w:val="Bullet"/>
            <w:numPr>
              <w:ilvl w:val="0"/>
              <w:numId w:val="30"/>
            </w:numPr>
            <w:ind w:left="993" w:hanging="993"/>
            <w:rPr>
              <w:lang w:eastAsia="en-US"/>
            </w:rPr>
          </w:pPr>
          <w:r>
            <w:rPr>
              <w:lang w:eastAsia="en-US"/>
            </w:rPr>
            <w:t xml:space="preserve">Applicants should </w:t>
          </w:r>
          <w:r w:rsidR="00DD6126">
            <w:rPr>
              <w:lang w:eastAsia="en-US"/>
            </w:rPr>
            <w:t xml:space="preserve">clearly explain </w:t>
          </w:r>
          <w:r>
            <w:rPr>
              <w:lang w:eastAsia="en-US"/>
            </w:rPr>
            <w:t>how the circumstances directly</w:t>
          </w:r>
          <w:r w:rsidR="00B77FF4">
            <w:rPr>
              <w:lang w:eastAsia="en-US"/>
            </w:rPr>
            <w:t>,</w:t>
          </w:r>
          <w:r>
            <w:rPr>
              <w:lang w:eastAsia="en-US"/>
            </w:rPr>
            <w:t xml:space="preserve"> or indirectly</w:t>
          </w:r>
          <w:r w:rsidR="00B77FF4">
            <w:rPr>
              <w:lang w:eastAsia="en-US"/>
            </w:rPr>
            <w:t>,</w:t>
          </w:r>
          <w:r>
            <w:rPr>
              <w:lang w:eastAsia="en-US"/>
            </w:rPr>
            <w:t xml:space="preserve"> impact</w:t>
          </w:r>
          <w:r w:rsidR="00B77FF4">
            <w:rPr>
              <w:lang w:eastAsia="en-US"/>
            </w:rPr>
            <w:t>ed</w:t>
          </w:r>
          <w:r>
            <w:rPr>
              <w:lang w:eastAsia="en-US"/>
            </w:rPr>
            <w:t xml:space="preserve"> </w:t>
          </w:r>
          <w:r w:rsidR="00BC5AF8">
            <w:rPr>
              <w:lang w:eastAsia="en-US"/>
            </w:rPr>
            <w:t>the entity’s</w:t>
          </w:r>
          <w:r>
            <w:rPr>
              <w:lang w:eastAsia="en-US"/>
            </w:rPr>
            <w:t xml:space="preserve"> ability to </w:t>
          </w:r>
          <w:r w:rsidR="00B77FF4">
            <w:rPr>
              <w:lang w:eastAsia="en-US"/>
            </w:rPr>
            <w:t>lodge a report on time</w:t>
          </w:r>
          <w:r w:rsidR="00782D69">
            <w:rPr>
              <w:lang w:eastAsia="en-US"/>
            </w:rPr>
            <w:t xml:space="preserve">. </w:t>
          </w:r>
          <w:r w:rsidR="00ED2663">
            <w:rPr>
              <w:lang w:eastAsia="en-US"/>
            </w:rPr>
            <w:t>Applications</w:t>
          </w:r>
          <w:r w:rsidR="00DD6126">
            <w:rPr>
              <w:lang w:eastAsia="en-US"/>
            </w:rPr>
            <w:t xml:space="preserve"> should not be limited </w:t>
          </w:r>
          <w:r w:rsidR="00AE48CF">
            <w:rPr>
              <w:lang w:eastAsia="en-US"/>
            </w:rPr>
            <w:t xml:space="preserve">to </w:t>
          </w:r>
          <w:r>
            <w:rPr>
              <w:lang w:eastAsia="en-US"/>
            </w:rPr>
            <w:t xml:space="preserve">general business impacts or </w:t>
          </w:r>
          <w:r w:rsidR="00D91772">
            <w:rPr>
              <w:lang w:eastAsia="en-US"/>
            </w:rPr>
            <w:t xml:space="preserve">inferences on how circumstances </w:t>
          </w:r>
          <w:r w:rsidR="00AE48CF">
            <w:rPr>
              <w:lang w:eastAsia="en-US"/>
            </w:rPr>
            <w:t xml:space="preserve">affected </w:t>
          </w:r>
          <w:r w:rsidR="00ED2663">
            <w:rPr>
              <w:lang w:eastAsia="en-US"/>
            </w:rPr>
            <w:t>the</w:t>
          </w:r>
          <w:r w:rsidR="00D91772">
            <w:rPr>
              <w:lang w:eastAsia="en-US"/>
            </w:rPr>
            <w:t xml:space="preserve"> business.</w:t>
          </w:r>
        </w:p>
        <w:p w14:paraId="01035CD8" w14:textId="5B4E8625" w:rsidR="00291E80" w:rsidRDefault="004268A1" w:rsidP="00291E80">
          <w:pPr>
            <w:pStyle w:val="Bullet"/>
            <w:numPr>
              <w:ilvl w:val="0"/>
              <w:numId w:val="30"/>
            </w:numPr>
            <w:ind w:left="993" w:hanging="993"/>
            <w:rPr>
              <w:lang w:eastAsia="en-US"/>
            </w:rPr>
          </w:pPr>
          <w:r>
            <w:rPr>
              <w:lang w:eastAsia="en-US"/>
            </w:rPr>
            <w:t>A</w:t>
          </w:r>
          <w:r w:rsidR="00BB4B2C">
            <w:rPr>
              <w:lang w:eastAsia="en-US"/>
            </w:rPr>
            <w:t xml:space="preserve">pplicants should </w:t>
          </w:r>
          <w:r w:rsidR="00C473EA">
            <w:rPr>
              <w:lang w:eastAsia="en-US"/>
            </w:rPr>
            <w:t>consider providing</w:t>
          </w:r>
          <w:r w:rsidR="009E484B">
            <w:rPr>
              <w:lang w:eastAsia="en-US"/>
            </w:rPr>
            <w:t xml:space="preserve"> </w:t>
          </w:r>
          <w:r>
            <w:rPr>
              <w:lang w:eastAsia="en-US"/>
            </w:rPr>
            <w:t xml:space="preserve">supporting </w:t>
          </w:r>
          <w:r w:rsidR="009E484B">
            <w:rPr>
              <w:lang w:eastAsia="en-US"/>
            </w:rPr>
            <w:t xml:space="preserve">details </w:t>
          </w:r>
          <w:r w:rsidR="00C473EA">
            <w:rPr>
              <w:lang w:eastAsia="en-US"/>
            </w:rPr>
            <w:t xml:space="preserve">on </w:t>
          </w:r>
          <w:r w:rsidR="00C24B65">
            <w:rPr>
              <w:lang w:eastAsia="en-US"/>
            </w:rPr>
            <w:t xml:space="preserve">how the circumstances </w:t>
          </w:r>
          <w:r w:rsidR="00700514">
            <w:rPr>
              <w:lang w:eastAsia="en-US"/>
            </w:rPr>
            <w:t xml:space="preserve">have impacted </w:t>
          </w:r>
          <w:r w:rsidR="00C24B65">
            <w:rPr>
              <w:lang w:eastAsia="en-US"/>
            </w:rPr>
            <w:t xml:space="preserve">other </w:t>
          </w:r>
          <w:r w:rsidR="006743B5">
            <w:rPr>
              <w:lang w:eastAsia="en-US"/>
            </w:rPr>
            <w:t xml:space="preserve">reporting </w:t>
          </w:r>
          <w:r w:rsidR="00CB6E1A">
            <w:rPr>
              <w:lang w:eastAsia="en-US"/>
            </w:rPr>
            <w:t>obligations</w:t>
          </w:r>
          <w:r w:rsidR="006743B5">
            <w:rPr>
              <w:lang w:eastAsia="en-US"/>
            </w:rPr>
            <w:t>, such as</w:t>
          </w:r>
          <w:r w:rsidR="00291E80">
            <w:rPr>
              <w:lang w:eastAsia="en-US"/>
            </w:rPr>
            <w:t>:</w:t>
          </w:r>
        </w:p>
        <w:p w14:paraId="0751ADB0" w14:textId="6E7D14B4" w:rsidR="00291E80" w:rsidRDefault="006743B5" w:rsidP="00CE1E61">
          <w:pPr>
            <w:pStyle w:val="ListParagraph"/>
            <w:numPr>
              <w:ilvl w:val="1"/>
              <w:numId w:val="69"/>
            </w:numPr>
          </w:pPr>
          <w:r>
            <w:t>business activity statement lodgements</w:t>
          </w:r>
        </w:p>
        <w:p w14:paraId="74E4BA51" w14:textId="4F902EC2" w:rsidR="00291E80" w:rsidRDefault="00FF1572" w:rsidP="00CE1E61">
          <w:pPr>
            <w:pStyle w:val="ListParagraph"/>
            <w:numPr>
              <w:ilvl w:val="1"/>
              <w:numId w:val="69"/>
            </w:numPr>
          </w:pPr>
          <w:r>
            <w:t>g</w:t>
          </w:r>
          <w:r w:rsidRPr="00FF1572">
            <w:t>oods and services tax</w:t>
          </w:r>
          <w:r>
            <w:t xml:space="preserve"> (</w:t>
          </w:r>
          <w:r w:rsidR="006743B5">
            <w:t>GST</w:t>
          </w:r>
          <w:r>
            <w:t>)</w:t>
          </w:r>
          <w:r w:rsidR="006743B5">
            <w:t xml:space="preserve"> </w:t>
          </w:r>
          <w:r w:rsidR="006D225A">
            <w:t>returns</w:t>
          </w:r>
        </w:p>
        <w:p w14:paraId="2DB9EF61" w14:textId="6D831ABC" w:rsidR="007A01B5" w:rsidRDefault="006743B5" w:rsidP="00CE1E61">
          <w:pPr>
            <w:pStyle w:val="ListParagraph"/>
            <w:numPr>
              <w:ilvl w:val="1"/>
              <w:numId w:val="69"/>
            </w:numPr>
          </w:pPr>
          <w:r>
            <w:lastRenderedPageBreak/>
            <w:t xml:space="preserve">financial reporting </w:t>
          </w:r>
          <w:r w:rsidR="00ED66BD">
            <w:t>requirements</w:t>
          </w:r>
          <w:r w:rsidR="001F4F5E">
            <w:t>.</w:t>
          </w:r>
        </w:p>
        <w:p w14:paraId="1BD6E621" w14:textId="143C3A6B" w:rsidR="00C24B65" w:rsidRDefault="001F4F5E" w:rsidP="001B2726">
          <w:pPr>
            <w:pStyle w:val="Bullet"/>
            <w:numPr>
              <w:ilvl w:val="0"/>
              <w:numId w:val="0"/>
            </w:numPr>
            <w:ind w:left="993"/>
            <w:rPr>
              <w:lang w:eastAsia="en-US"/>
            </w:rPr>
          </w:pPr>
          <w:r>
            <w:rPr>
              <w:lang w:eastAsia="en-US"/>
            </w:rPr>
            <w:t xml:space="preserve">This </w:t>
          </w:r>
          <w:r w:rsidR="0072632D">
            <w:rPr>
              <w:lang w:eastAsia="en-US"/>
            </w:rPr>
            <w:t>will</w:t>
          </w:r>
          <w:r>
            <w:rPr>
              <w:lang w:eastAsia="en-US"/>
            </w:rPr>
            <w:t xml:space="preserve"> assist us to understand the impacts of the circumstances and ensure the inability to lodge a report on time is not </w:t>
          </w:r>
          <w:r w:rsidR="007A01B5">
            <w:rPr>
              <w:lang w:eastAsia="en-US"/>
            </w:rPr>
            <w:t>due</w:t>
          </w:r>
          <w:r w:rsidR="0072632D">
            <w:rPr>
              <w:lang w:eastAsia="en-US"/>
            </w:rPr>
            <w:t xml:space="preserve"> </w:t>
          </w:r>
          <w:r w:rsidR="007A01B5">
            <w:rPr>
              <w:lang w:eastAsia="en-US"/>
            </w:rPr>
            <w:t xml:space="preserve">to </w:t>
          </w:r>
          <w:r w:rsidR="0072632D">
            <w:rPr>
              <w:lang w:eastAsia="en-US"/>
            </w:rPr>
            <w:t xml:space="preserve">the applicant’s </w:t>
          </w:r>
          <w:r w:rsidR="009D6132">
            <w:rPr>
              <w:lang w:eastAsia="en-US"/>
            </w:rPr>
            <w:t>prioriti</w:t>
          </w:r>
          <w:r w:rsidR="007A01B5">
            <w:rPr>
              <w:lang w:eastAsia="en-US"/>
            </w:rPr>
            <w:t>s</w:t>
          </w:r>
          <w:r w:rsidR="009D6132">
            <w:rPr>
              <w:lang w:eastAsia="en-US"/>
            </w:rPr>
            <w:t>ation of</w:t>
          </w:r>
          <w:r w:rsidR="00067AFA">
            <w:rPr>
              <w:lang w:eastAsia="en-US"/>
            </w:rPr>
            <w:t xml:space="preserve"> other</w:t>
          </w:r>
          <w:r w:rsidR="009D6132">
            <w:rPr>
              <w:lang w:eastAsia="en-US"/>
            </w:rPr>
            <w:t xml:space="preserve"> obligations.</w:t>
          </w:r>
        </w:p>
        <w:p w14:paraId="432520A5" w14:textId="15ACB95F" w:rsidR="008274CD" w:rsidRDefault="00700514" w:rsidP="001B2726">
          <w:pPr>
            <w:pStyle w:val="Bullet"/>
            <w:numPr>
              <w:ilvl w:val="0"/>
              <w:numId w:val="30"/>
            </w:numPr>
            <w:ind w:left="993" w:hanging="993"/>
            <w:rPr>
              <w:lang w:eastAsia="en-US"/>
            </w:rPr>
          </w:pPr>
          <w:r>
            <w:rPr>
              <w:lang w:eastAsia="en-US"/>
            </w:rPr>
            <w:t>W</w:t>
          </w:r>
          <w:r w:rsidR="008274CD" w:rsidRPr="008454A4">
            <w:rPr>
              <w:lang w:eastAsia="en-US"/>
            </w:rPr>
            <w:t xml:space="preserve">e do not require </w:t>
          </w:r>
          <w:r w:rsidR="008274CD">
            <w:rPr>
              <w:lang w:eastAsia="en-US"/>
            </w:rPr>
            <w:t xml:space="preserve">evidence </w:t>
          </w:r>
          <w:r w:rsidR="008274CD" w:rsidRPr="008454A4">
            <w:rPr>
              <w:lang w:eastAsia="en-US"/>
            </w:rPr>
            <w:t xml:space="preserve">of mitigation </w:t>
          </w:r>
          <w:r w:rsidR="008274CD">
            <w:rPr>
              <w:lang w:eastAsia="en-US"/>
            </w:rPr>
            <w:t xml:space="preserve">to limit the impact of </w:t>
          </w:r>
          <w:r w:rsidR="008274CD" w:rsidRPr="008454A4">
            <w:rPr>
              <w:lang w:eastAsia="en-US"/>
            </w:rPr>
            <w:t>circumstances</w:t>
          </w:r>
          <w:r w:rsidR="00782D69">
            <w:rPr>
              <w:lang w:eastAsia="en-US"/>
            </w:rPr>
            <w:t xml:space="preserve">. </w:t>
          </w:r>
          <w:r>
            <w:rPr>
              <w:lang w:eastAsia="en-US"/>
            </w:rPr>
            <w:t xml:space="preserve">However, </w:t>
          </w:r>
          <w:r w:rsidR="004268A1">
            <w:rPr>
              <w:lang w:eastAsia="en-US"/>
            </w:rPr>
            <w:t xml:space="preserve">we may refuse </w:t>
          </w:r>
          <w:r w:rsidR="008274CD">
            <w:rPr>
              <w:lang w:eastAsia="en-US"/>
            </w:rPr>
            <w:t xml:space="preserve">applications that indicate </w:t>
          </w:r>
          <w:r w:rsidR="00E24D27">
            <w:rPr>
              <w:lang w:eastAsia="en-US"/>
            </w:rPr>
            <w:t>a</w:t>
          </w:r>
          <w:r w:rsidR="001D3560">
            <w:rPr>
              <w:lang w:eastAsia="en-US"/>
            </w:rPr>
            <w:t>n</w:t>
          </w:r>
          <w:r w:rsidR="001A3386">
            <w:rPr>
              <w:lang w:eastAsia="en-US"/>
            </w:rPr>
            <w:t xml:space="preserve"> </w:t>
          </w:r>
          <w:r w:rsidR="00D75AD6">
            <w:rPr>
              <w:lang w:eastAsia="en-US"/>
            </w:rPr>
            <w:t xml:space="preserve">indifference or </w:t>
          </w:r>
          <w:r w:rsidR="008274CD" w:rsidRPr="008454A4">
            <w:rPr>
              <w:lang w:eastAsia="en-US"/>
            </w:rPr>
            <w:t xml:space="preserve">unwillingness </w:t>
          </w:r>
          <w:r w:rsidR="001B2A6F">
            <w:rPr>
              <w:lang w:eastAsia="en-US"/>
            </w:rPr>
            <w:t>o</w:t>
          </w:r>
          <w:r w:rsidR="00D00198">
            <w:rPr>
              <w:lang w:eastAsia="en-US"/>
            </w:rPr>
            <w:t>f</w:t>
          </w:r>
          <w:r w:rsidR="001B2A6F">
            <w:rPr>
              <w:lang w:eastAsia="en-US"/>
            </w:rPr>
            <w:t xml:space="preserve"> the applicant </w:t>
          </w:r>
          <w:r w:rsidR="008274CD" w:rsidRPr="008454A4">
            <w:rPr>
              <w:lang w:eastAsia="en-US"/>
            </w:rPr>
            <w:t xml:space="preserve">to </w:t>
          </w:r>
          <w:r w:rsidR="001A3386">
            <w:rPr>
              <w:lang w:eastAsia="en-US"/>
            </w:rPr>
            <w:t xml:space="preserve">take </w:t>
          </w:r>
          <w:r w:rsidR="001D3560">
            <w:rPr>
              <w:lang w:eastAsia="en-US"/>
            </w:rPr>
            <w:t xml:space="preserve">practical steps to meet their </w:t>
          </w:r>
          <w:r w:rsidR="001B2A6F">
            <w:rPr>
              <w:lang w:eastAsia="en-US"/>
            </w:rPr>
            <w:t>obligations</w:t>
          </w:r>
          <w:r w:rsidR="00782D69">
            <w:rPr>
              <w:lang w:eastAsia="en-US"/>
            </w:rPr>
            <w:t xml:space="preserve">. </w:t>
          </w:r>
          <w:r w:rsidR="008274CD">
            <w:rPr>
              <w:lang w:eastAsia="en-US"/>
            </w:rPr>
            <w:t xml:space="preserve">We will not </w:t>
          </w:r>
          <w:r w:rsidR="008274CD" w:rsidRPr="008454A4">
            <w:rPr>
              <w:lang w:eastAsia="en-US"/>
            </w:rPr>
            <w:t xml:space="preserve">facilitate </w:t>
          </w:r>
          <w:r w:rsidR="00646136">
            <w:rPr>
              <w:lang w:eastAsia="en-US"/>
            </w:rPr>
            <w:t xml:space="preserve">conduct by a </w:t>
          </w:r>
          <w:r w:rsidR="008E67E4">
            <w:rPr>
              <w:lang w:eastAsia="en-US"/>
            </w:rPr>
            <w:t>reporting entit</w:t>
          </w:r>
          <w:r w:rsidR="00D00198">
            <w:rPr>
              <w:lang w:eastAsia="en-US"/>
            </w:rPr>
            <w:t xml:space="preserve">y </w:t>
          </w:r>
          <w:r w:rsidR="00452CE4">
            <w:rPr>
              <w:lang w:eastAsia="en-US"/>
            </w:rPr>
            <w:t xml:space="preserve">that </w:t>
          </w:r>
          <w:r w:rsidR="004D2212">
            <w:rPr>
              <w:lang w:eastAsia="en-US"/>
            </w:rPr>
            <w:t>intend</w:t>
          </w:r>
          <w:r w:rsidR="00D00198">
            <w:rPr>
              <w:lang w:eastAsia="en-US"/>
            </w:rPr>
            <w:t>s</w:t>
          </w:r>
          <w:r w:rsidR="004D2212">
            <w:rPr>
              <w:lang w:eastAsia="en-US"/>
            </w:rPr>
            <w:t xml:space="preserve"> </w:t>
          </w:r>
          <w:r w:rsidR="00D00198">
            <w:rPr>
              <w:lang w:eastAsia="en-US"/>
            </w:rPr>
            <w:t>to</w:t>
          </w:r>
          <w:r w:rsidR="00646136">
            <w:rPr>
              <w:lang w:eastAsia="en-US"/>
            </w:rPr>
            <w:t>,</w:t>
          </w:r>
          <w:r w:rsidR="00D00198">
            <w:rPr>
              <w:lang w:eastAsia="en-US"/>
            </w:rPr>
            <w:t xml:space="preserve"> </w:t>
          </w:r>
          <w:r w:rsidR="00452CE4">
            <w:rPr>
              <w:lang w:eastAsia="en-US"/>
            </w:rPr>
            <w:t xml:space="preserve">or </w:t>
          </w:r>
          <w:r w:rsidR="00D00198">
            <w:rPr>
              <w:lang w:eastAsia="en-US"/>
            </w:rPr>
            <w:t>results in</w:t>
          </w:r>
          <w:r w:rsidR="00646136">
            <w:rPr>
              <w:lang w:eastAsia="en-US"/>
            </w:rPr>
            <w:t>,</w:t>
          </w:r>
          <w:r w:rsidR="00D00198">
            <w:rPr>
              <w:lang w:eastAsia="en-US"/>
            </w:rPr>
            <w:t xml:space="preserve"> </w:t>
          </w:r>
          <w:r w:rsidR="004D2212">
            <w:rPr>
              <w:lang w:eastAsia="en-US"/>
            </w:rPr>
            <w:t>avoid</w:t>
          </w:r>
          <w:r w:rsidR="00452CE4">
            <w:rPr>
              <w:lang w:eastAsia="en-US"/>
            </w:rPr>
            <w:t>ing</w:t>
          </w:r>
          <w:r w:rsidR="004D2212">
            <w:rPr>
              <w:lang w:eastAsia="en-US"/>
            </w:rPr>
            <w:t xml:space="preserve"> or delay</w:t>
          </w:r>
          <w:r w:rsidR="00452CE4">
            <w:rPr>
              <w:lang w:eastAsia="en-US"/>
            </w:rPr>
            <w:t>ing</w:t>
          </w:r>
          <w:r w:rsidR="004D2212">
            <w:rPr>
              <w:lang w:eastAsia="en-US"/>
            </w:rPr>
            <w:t xml:space="preserve"> </w:t>
          </w:r>
          <w:r w:rsidR="008274CD" w:rsidRPr="008454A4">
            <w:rPr>
              <w:lang w:eastAsia="en-US"/>
            </w:rPr>
            <w:t>reporting obligations.</w:t>
          </w:r>
        </w:p>
        <w:p w14:paraId="73373E09" w14:textId="64FD4F43" w:rsidR="00A97045" w:rsidRDefault="00A97045" w:rsidP="00CA06B6">
          <w:pPr>
            <w:pStyle w:val="Heading3"/>
            <w:rPr>
              <w:lang w:eastAsia="en-US"/>
            </w:rPr>
          </w:pPr>
          <w:bookmarkStart w:id="27" w:name="_Toc107914331"/>
          <w:r>
            <w:rPr>
              <w:lang w:eastAsia="en-US"/>
            </w:rPr>
            <w:t>Length of extension</w:t>
          </w:r>
          <w:bookmarkEnd w:id="27"/>
        </w:p>
        <w:p w14:paraId="6D080D4A" w14:textId="638F96D7" w:rsidR="00B624F9" w:rsidRDefault="00E46983" w:rsidP="001B2726">
          <w:pPr>
            <w:pStyle w:val="Bullet"/>
            <w:numPr>
              <w:ilvl w:val="0"/>
              <w:numId w:val="30"/>
            </w:numPr>
            <w:ind w:left="993" w:hanging="993"/>
            <w:rPr>
              <w:lang w:eastAsia="en-US"/>
            </w:rPr>
          </w:pPr>
          <w:r>
            <w:rPr>
              <w:lang w:eastAsia="en-US"/>
            </w:rPr>
            <w:t xml:space="preserve">We </w:t>
          </w:r>
          <w:r w:rsidR="00B624F9">
            <w:rPr>
              <w:lang w:eastAsia="en-US"/>
            </w:rPr>
            <w:t xml:space="preserve">will generally </w:t>
          </w:r>
          <w:r>
            <w:rPr>
              <w:lang w:eastAsia="en-US"/>
            </w:rPr>
            <w:t>only grant one extension</w:t>
          </w:r>
          <w:r w:rsidR="00B624F9">
            <w:rPr>
              <w:lang w:eastAsia="en-US"/>
            </w:rPr>
            <w:t xml:space="preserve"> and cannot grant an extension i</w:t>
          </w:r>
          <w:r w:rsidR="002134EA">
            <w:rPr>
              <w:lang w:eastAsia="en-US"/>
            </w:rPr>
            <w:t>f</w:t>
          </w:r>
          <w:r w:rsidR="00B624F9">
            <w:rPr>
              <w:lang w:eastAsia="en-US"/>
            </w:rPr>
            <w:t xml:space="preserve"> an application is made more than 3 months from the end of a reporting period</w:t>
          </w:r>
          <w:r w:rsidR="004268A1">
            <w:rPr>
              <w:lang w:eastAsia="en-US"/>
            </w:rPr>
            <w:t xml:space="preserve">. </w:t>
          </w:r>
        </w:p>
        <w:p w14:paraId="57595BB9" w14:textId="2BA827B5" w:rsidR="00A97045" w:rsidRDefault="004268A1" w:rsidP="001B2726">
          <w:pPr>
            <w:pStyle w:val="Bullet"/>
            <w:numPr>
              <w:ilvl w:val="0"/>
              <w:numId w:val="30"/>
            </w:numPr>
            <w:ind w:left="993" w:hanging="993"/>
            <w:rPr>
              <w:lang w:eastAsia="en-US"/>
            </w:rPr>
          </w:pPr>
          <w:r>
            <w:rPr>
              <w:lang w:eastAsia="en-US"/>
            </w:rPr>
            <w:t>T</w:t>
          </w:r>
          <w:r w:rsidR="00EA4BC9">
            <w:rPr>
              <w:lang w:eastAsia="en-US"/>
            </w:rPr>
            <w:t xml:space="preserve">he maximum </w:t>
          </w:r>
          <w:r w:rsidR="00E46983">
            <w:rPr>
              <w:lang w:eastAsia="en-US"/>
            </w:rPr>
            <w:t xml:space="preserve">length of time </w:t>
          </w:r>
          <w:r w:rsidR="002E6D76">
            <w:rPr>
              <w:lang w:eastAsia="en-US"/>
            </w:rPr>
            <w:t xml:space="preserve">granted </w:t>
          </w:r>
          <w:r>
            <w:rPr>
              <w:lang w:eastAsia="en-US"/>
            </w:rPr>
            <w:t xml:space="preserve">will </w:t>
          </w:r>
          <w:r w:rsidR="00EA4BC9">
            <w:rPr>
              <w:lang w:eastAsia="en-US"/>
            </w:rPr>
            <w:t xml:space="preserve">be </w:t>
          </w:r>
          <w:r w:rsidR="002E6D76">
            <w:rPr>
              <w:lang w:eastAsia="en-US"/>
            </w:rPr>
            <w:t>appropriate for</w:t>
          </w:r>
          <w:r w:rsidR="00E46983">
            <w:rPr>
              <w:lang w:eastAsia="en-US"/>
            </w:rPr>
            <w:t xml:space="preserve"> the severity of the circumstances and supporting evidence.</w:t>
          </w:r>
          <w:r w:rsidR="00D75AD6">
            <w:rPr>
              <w:rStyle w:val="FootnoteReference"/>
              <w:lang w:eastAsia="en-US"/>
            </w:rPr>
            <w:footnoteReference w:id="6"/>
          </w:r>
          <w:r w:rsidR="00736BEF">
            <w:rPr>
              <w:lang w:eastAsia="en-US"/>
            </w:rPr>
            <w:t xml:space="preserve">  </w:t>
          </w:r>
          <w:r w:rsidR="00224778">
            <w:rPr>
              <w:lang w:eastAsia="en-US"/>
            </w:rPr>
            <w:t>This mean</w:t>
          </w:r>
          <w:r w:rsidR="00EA4BC9">
            <w:rPr>
              <w:lang w:eastAsia="en-US"/>
            </w:rPr>
            <w:t>s</w:t>
          </w:r>
          <w:r w:rsidR="00224778">
            <w:rPr>
              <w:lang w:eastAsia="en-US"/>
            </w:rPr>
            <w:t xml:space="preserve"> we </w:t>
          </w:r>
          <w:r w:rsidR="001861D9">
            <w:rPr>
              <w:lang w:eastAsia="en-US"/>
            </w:rPr>
            <w:t xml:space="preserve">may </w:t>
          </w:r>
          <w:r w:rsidR="00833883">
            <w:rPr>
              <w:lang w:eastAsia="en-US"/>
            </w:rPr>
            <w:t xml:space="preserve">grant </w:t>
          </w:r>
          <w:r w:rsidR="00224778">
            <w:rPr>
              <w:lang w:eastAsia="en-US"/>
            </w:rPr>
            <w:t xml:space="preserve">an extension </w:t>
          </w:r>
          <w:r w:rsidR="00833883">
            <w:rPr>
              <w:lang w:eastAsia="en-US"/>
            </w:rPr>
            <w:t xml:space="preserve">for </w:t>
          </w:r>
          <w:r w:rsidR="00D539B5">
            <w:rPr>
              <w:lang w:eastAsia="en-US"/>
            </w:rPr>
            <w:t xml:space="preserve">a </w:t>
          </w:r>
          <w:r w:rsidR="00224778">
            <w:rPr>
              <w:lang w:eastAsia="en-US"/>
            </w:rPr>
            <w:t xml:space="preserve">period </w:t>
          </w:r>
          <w:r w:rsidR="001861D9">
            <w:rPr>
              <w:lang w:eastAsia="en-US"/>
            </w:rPr>
            <w:t xml:space="preserve">that is shorter </w:t>
          </w:r>
          <w:r w:rsidR="00224778">
            <w:rPr>
              <w:lang w:eastAsia="en-US"/>
            </w:rPr>
            <w:t xml:space="preserve">than </w:t>
          </w:r>
          <w:r w:rsidR="000E18ED">
            <w:rPr>
              <w:lang w:eastAsia="en-US"/>
            </w:rPr>
            <w:t>requested by an applicant</w:t>
          </w:r>
          <w:r w:rsidR="00224778">
            <w:rPr>
              <w:lang w:eastAsia="en-US"/>
            </w:rPr>
            <w:t>.</w:t>
          </w:r>
        </w:p>
        <w:p w14:paraId="30D3CDA5" w14:textId="4E9C6FF6" w:rsidR="00B157EB" w:rsidRDefault="002E6D76" w:rsidP="001B2726">
          <w:pPr>
            <w:pStyle w:val="Bullet"/>
            <w:numPr>
              <w:ilvl w:val="0"/>
              <w:numId w:val="30"/>
            </w:numPr>
            <w:ind w:left="993" w:hanging="993"/>
            <w:rPr>
              <w:lang w:eastAsia="en-US"/>
            </w:rPr>
          </w:pPr>
          <w:r>
            <w:rPr>
              <w:lang w:eastAsia="en-US"/>
            </w:rPr>
            <w:t>We recognise that c</w:t>
          </w:r>
          <w:r w:rsidR="00B157EB">
            <w:rPr>
              <w:lang w:eastAsia="en-US"/>
            </w:rPr>
            <w:t xml:space="preserve">ircumstances </w:t>
          </w:r>
          <w:r>
            <w:rPr>
              <w:lang w:eastAsia="en-US"/>
            </w:rPr>
            <w:t>may</w:t>
          </w:r>
          <w:r w:rsidR="00B157EB">
            <w:rPr>
              <w:lang w:eastAsia="en-US"/>
            </w:rPr>
            <w:t xml:space="preserve"> change over time</w:t>
          </w:r>
          <w:r w:rsidR="00B624F9">
            <w:rPr>
              <w:lang w:eastAsia="en-US"/>
            </w:rPr>
            <w:t xml:space="preserve"> and</w:t>
          </w:r>
          <w:r w:rsidR="008751DD">
            <w:rPr>
              <w:lang w:eastAsia="en-US"/>
            </w:rPr>
            <w:t xml:space="preserve"> </w:t>
          </w:r>
          <w:r w:rsidR="00730191">
            <w:rPr>
              <w:lang w:eastAsia="en-US"/>
            </w:rPr>
            <w:t xml:space="preserve">make our best assessment on the appropriate length of </w:t>
          </w:r>
          <w:r w:rsidR="00EB05AA">
            <w:rPr>
              <w:lang w:eastAsia="en-US"/>
            </w:rPr>
            <w:t xml:space="preserve">extension based on the information provided in </w:t>
          </w:r>
          <w:r w:rsidR="007F3B41">
            <w:rPr>
              <w:lang w:eastAsia="en-US"/>
            </w:rPr>
            <w:t xml:space="preserve">support of an </w:t>
          </w:r>
          <w:r w:rsidR="00EB05AA">
            <w:rPr>
              <w:lang w:eastAsia="en-US"/>
            </w:rPr>
            <w:t>application.</w:t>
          </w:r>
        </w:p>
        <w:p w14:paraId="06E03EB9" w14:textId="6FF80FB9" w:rsidR="00F8712B" w:rsidRDefault="00A811BC" w:rsidP="001B2726">
          <w:pPr>
            <w:pStyle w:val="Bullet"/>
            <w:numPr>
              <w:ilvl w:val="0"/>
              <w:numId w:val="30"/>
            </w:numPr>
            <w:ind w:left="993" w:hanging="993"/>
            <w:rPr>
              <w:lang w:eastAsia="en-US"/>
            </w:rPr>
          </w:pPr>
          <w:r>
            <w:rPr>
              <w:lang w:eastAsia="en-US"/>
            </w:rPr>
            <w:t>C</w:t>
          </w:r>
          <w:r w:rsidR="00F8712B">
            <w:rPr>
              <w:lang w:eastAsia="en-US"/>
            </w:rPr>
            <w:t>ommon reason</w:t>
          </w:r>
          <w:r>
            <w:rPr>
              <w:lang w:eastAsia="en-US"/>
            </w:rPr>
            <w:t xml:space="preserve">s </w:t>
          </w:r>
          <w:r w:rsidR="00B624F9">
            <w:rPr>
              <w:lang w:eastAsia="en-US"/>
            </w:rPr>
            <w:t xml:space="preserve">we will grant </w:t>
          </w:r>
          <w:r w:rsidR="00F8712B">
            <w:rPr>
              <w:lang w:eastAsia="en-US"/>
            </w:rPr>
            <w:t>a</w:t>
          </w:r>
          <w:r w:rsidR="000A582C">
            <w:rPr>
              <w:lang w:eastAsia="en-US"/>
            </w:rPr>
            <w:t xml:space="preserve">n extension </w:t>
          </w:r>
          <w:r w:rsidR="00F8712B">
            <w:rPr>
              <w:lang w:eastAsia="en-US"/>
            </w:rPr>
            <w:t>shorter than requested are</w:t>
          </w:r>
          <w:r>
            <w:rPr>
              <w:lang w:eastAsia="en-US"/>
            </w:rPr>
            <w:t xml:space="preserve"> where applicant</w:t>
          </w:r>
          <w:r w:rsidR="00904624">
            <w:rPr>
              <w:lang w:eastAsia="en-US"/>
            </w:rPr>
            <w:t>s</w:t>
          </w:r>
          <w:r w:rsidR="00F8712B">
            <w:rPr>
              <w:lang w:eastAsia="en-US"/>
            </w:rPr>
            <w:t>:</w:t>
          </w:r>
        </w:p>
        <w:p w14:paraId="608CB7AA" w14:textId="2AB13F87" w:rsidR="00A811BC" w:rsidRDefault="00A811BC" w:rsidP="00695D5C">
          <w:pPr>
            <w:pStyle w:val="ListParagraph"/>
            <w:numPr>
              <w:ilvl w:val="1"/>
              <w:numId w:val="70"/>
            </w:numPr>
          </w:pPr>
          <w:r>
            <w:t xml:space="preserve">provide </w:t>
          </w:r>
          <w:r w:rsidR="00342CAE">
            <w:t>limited documentary evidence</w:t>
          </w:r>
          <w:r w:rsidR="00EB2F5D">
            <w:t xml:space="preserve"> of the impact of circumstances on ability to report</w:t>
          </w:r>
          <w:r w:rsidR="00286784">
            <w:t>, or</w:t>
          </w:r>
        </w:p>
        <w:p w14:paraId="4C500B31" w14:textId="7A1362B6" w:rsidR="00342CAE" w:rsidRDefault="0065001C" w:rsidP="00695D5C">
          <w:pPr>
            <w:pStyle w:val="ListParagraph"/>
            <w:numPr>
              <w:ilvl w:val="1"/>
              <w:numId w:val="70"/>
            </w:numPr>
          </w:pPr>
          <w:r>
            <w:t>prioritis</w:t>
          </w:r>
          <w:r w:rsidR="004E3DC9">
            <w:t>e</w:t>
          </w:r>
          <w:r>
            <w:t xml:space="preserve"> other obligations or business needs over </w:t>
          </w:r>
          <w:r w:rsidR="005E5A2D">
            <w:t>lodgement of its report</w:t>
          </w:r>
          <w:r w:rsidR="00286784">
            <w:t>.</w:t>
          </w:r>
        </w:p>
        <w:p w14:paraId="143CAC96" w14:textId="54575F08" w:rsidR="00EB2F5D" w:rsidRDefault="007F58BC" w:rsidP="001B2726">
          <w:pPr>
            <w:pStyle w:val="Bullet"/>
            <w:numPr>
              <w:ilvl w:val="0"/>
              <w:numId w:val="30"/>
            </w:numPr>
            <w:ind w:left="993" w:hanging="993"/>
            <w:rPr>
              <w:lang w:eastAsia="en-US"/>
            </w:rPr>
          </w:pPr>
          <w:r>
            <w:rPr>
              <w:lang w:eastAsia="en-US"/>
            </w:rPr>
            <w:t xml:space="preserve">Applicants should only </w:t>
          </w:r>
          <w:r w:rsidR="00D539B5">
            <w:rPr>
              <w:lang w:eastAsia="en-US"/>
            </w:rPr>
            <w:t xml:space="preserve">request </w:t>
          </w:r>
          <w:r w:rsidR="009035DA">
            <w:rPr>
              <w:lang w:eastAsia="en-US"/>
            </w:rPr>
            <w:t>a</w:t>
          </w:r>
          <w:r w:rsidR="00B165AC">
            <w:rPr>
              <w:lang w:eastAsia="en-US"/>
            </w:rPr>
            <w:t>n</w:t>
          </w:r>
          <w:r>
            <w:rPr>
              <w:lang w:eastAsia="en-US"/>
            </w:rPr>
            <w:t xml:space="preserve"> extension over 3 months</w:t>
          </w:r>
          <w:r w:rsidR="00646136">
            <w:rPr>
              <w:lang w:eastAsia="en-US"/>
            </w:rPr>
            <w:t xml:space="preserve"> </w:t>
          </w:r>
          <w:r>
            <w:rPr>
              <w:lang w:eastAsia="en-US"/>
            </w:rPr>
            <w:t xml:space="preserve">where circumstances have a severe impact </w:t>
          </w:r>
          <w:r w:rsidR="00CE6259">
            <w:rPr>
              <w:lang w:eastAsia="en-US"/>
            </w:rPr>
            <w:t xml:space="preserve">on their ability to give a report, </w:t>
          </w:r>
          <w:r>
            <w:rPr>
              <w:lang w:eastAsia="en-US"/>
            </w:rPr>
            <w:t>such as</w:t>
          </w:r>
          <w:r w:rsidR="007B1D7E">
            <w:rPr>
              <w:lang w:eastAsia="en-US"/>
            </w:rPr>
            <w:t xml:space="preserve"> total loss of financial records or the entity </w:t>
          </w:r>
          <w:r w:rsidR="002E15F2">
            <w:rPr>
              <w:lang w:eastAsia="en-US"/>
            </w:rPr>
            <w:t>entering</w:t>
          </w:r>
          <w:r w:rsidR="007B1D7E">
            <w:rPr>
              <w:lang w:eastAsia="en-US"/>
            </w:rPr>
            <w:t xml:space="preserve"> administration or liquidation</w:t>
          </w:r>
          <w:r w:rsidR="00CE6259">
            <w:rPr>
              <w:lang w:eastAsia="en-US"/>
            </w:rPr>
            <w:t>.</w:t>
          </w:r>
        </w:p>
        <w:p w14:paraId="7D8B71E3" w14:textId="6CABF2AB" w:rsidR="00112101" w:rsidRDefault="004A101D" w:rsidP="00CA06B6">
          <w:pPr>
            <w:pStyle w:val="Heading3"/>
            <w:rPr>
              <w:lang w:eastAsia="en-US"/>
            </w:rPr>
          </w:pPr>
          <w:bookmarkStart w:id="28" w:name="_Toc107914332"/>
          <w:r>
            <w:rPr>
              <w:lang w:eastAsia="en-US"/>
            </w:rPr>
            <w:t>A</w:t>
          </w:r>
          <w:r w:rsidR="00C97E84">
            <w:rPr>
              <w:lang w:eastAsia="en-US"/>
            </w:rPr>
            <w:t>ppl</w:t>
          </w:r>
          <w:r>
            <w:rPr>
              <w:lang w:eastAsia="en-US"/>
            </w:rPr>
            <w:t>ying for an extension</w:t>
          </w:r>
          <w:bookmarkEnd w:id="28"/>
        </w:p>
        <w:p w14:paraId="73A30699" w14:textId="26BC3D50" w:rsidR="00111116" w:rsidRDefault="00D04017" w:rsidP="001B2726">
          <w:pPr>
            <w:pStyle w:val="Bullet"/>
            <w:numPr>
              <w:ilvl w:val="0"/>
              <w:numId w:val="30"/>
            </w:numPr>
            <w:ind w:left="993" w:hanging="993"/>
            <w:rPr>
              <w:lang w:eastAsia="en-US"/>
            </w:rPr>
          </w:pPr>
          <w:r>
            <w:rPr>
              <w:lang w:eastAsia="en-US"/>
            </w:rPr>
            <w:t>Reporting entities should appl</w:t>
          </w:r>
          <w:r w:rsidR="00D47FDB">
            <w:rPr>
              <w:lang w:eastAsia="en-US"/>
            </w:rPr>
            <w:t>y</w:t>
          </w:r>
          <w:r>
            <w:rPr>
              <w:lang w:eastAsia="en-US"/>
            </w:rPr>
            <w:t xml:space="preserve"> </w:t>
          </w:r>
          <w:r w:rsidR="00646136">
            <w:rPr>
              <w:lang w:eastAsia="en-US"/>
            </w:rPr>
            <w:t xml:space="preserve">for an extension </w:t>
          </w:r>
          <w:r>
            <w:rPr>
              <w:lang w:eastAsia="en-US"/>
            </w:rPr>
            <w:t xml:space="preserve">as soon as </w:t>
          </w:r>
          <w:r w:rsidR="002E6D76">
            <w:rPr>
              <w:lang w:eastAsia="en-US"/>
            </w:rPr>
            <w:t>they</w:t>
          </w:r>
          <w:r>
            <w:rPr>
              <w:lang w:eastAsia="en-US"/>
            </w:rPr>
            <w:t xml:space="preserve"> </w:t>
          </w:r>
          <w:r w:rsidR="00111116">
            <w:rPr>
              <w:lang w:eastAsia="en-US"/>
            </w:rPr>
            <w:t xml:space="preserve">become aware </w:t>
          </w:r>
          <w:r w:rsidR="002E6D76">
            <w:rPr>
              <w:lang w:eastAsia="en-US"/>
            </w:rPr>
            <w:t xml:space="preserve">that they need </w:t>
          </w:r>
          <w:r w:rsidR="00B67AF5">
            <w:rPr>
              <w:lang w:eastAsia="en-US"/>
            </w:rPr>
            <w:t xml:space="preserve">additional time </w:t>
          </w:r>
          <w:r w:rsidR="002E15F2">
            <w:rPr>
              <w:lang w:eastAsia="en-US"/>
            </w:rPr>
            <w:t xml:space="preserve">to lodge a </w:t>
          </w:r>
          <w:r w:rsidR="00B67AF5">
            <w:rPr>
              <w:lang w:eastAsia="en-US"/>
            </w:rPr>
            <w:t>report</w:t>
          </w:r>
          <w:r w:rsidR="00782D69">
            <w:rPr>
              <w:lang w:eastAsia="en-US"/>
            </w:rPr>
            <w:t xml:space="preserve">. </w:t>
          </w:r>
        </w:p>
        <w:p w14:paraId="7539CF09" w14:textId="44539D28" w:rsidR="00D20F49" w:rsidRDefault="00D20F49" w:rsidP="001B2726">
          <w:pPr>
            <w:pStyle w:val="Bullet"/>
            <w:numPr>
              <w:ilvl w:val="0"/>
              <w:numId w:val="30"/>
            </w:numPr>
            <w:ind w:left="993" w:hanging="993"/>
            <w:rPr>
              <w:lang w:eastAsia="en-US"/>
            </w:rPr>
          </w:pPr>
          <w:r>
            <w:rPr>
              <w:lang w:eastAsia="en-US"/>
            </w:rPr>
            <w:t xml:space="preserve">Applications </w:t>
          </w:r>
          <w:r w:rsidR="00887DB1">
            <w:rPr>
              <w:lang w:eastAsia="en-US"/>
            </w:rPr>
            <w:t xml:space="preserve">are </w:t>
          </w:r>
          <w:r w:rsidR="00C97E84">
            <w:rPr>
              <w:lang w:eastAsia="en-US"/>
            </w:rPr>
            <w:t xml:space="preserve">made via the </w:t>
          </w:r>
          <w:hyperlink r:id="rId14" w:history="1">
            <w:r w:rsidR="00C97E84" w:rsidRPr="00695D5C">
              <w:rPr>
                <w:rStyle w:val="Hyperlink"/>
                <w:rFonts w:ascii="Calibri" w:hAnsi="Calibri"/>
                <w:lang w:eastAsia="en-US"/>
              </w:rPr>
              <w:t>Payment Times Reporting Portal</w:t>
            </w:r>
          </w:hyperlink>
          <w:r w:rsidR="00782D69">
            <w:rPr>
              <w:lang w:eastAsia="en-US"/>
            </w:rPr>
            <w:t xml:space="preserve">. </w:t>
          </w:r>
          <w:r w:rsidR="002F7441">
            <w:rPr>
              <w:lang w:eastAsia="en-US"/>
            </w:rPr>
            <w:t xml:space="preserve">If </w:t>
          </w:r>
          <w:r w:rsidR="00D47FDB">
            <w:rPr>
              <w:lang w:eastAsia="en-US"/>
            </w:rPr>
            <w:t xml:space="preserve">seeking </w:t>
          </w:r>
          <w:r w:rsidR="002F7441">
            <w:rPr>
              <w:lang w:eastAsia="en-US"/>
            </w:rPr>
            <w:t xml:space="preserve">an </w:t>
          </w:r>
          <w:r w:rsidR="00887DB1">
            <w:rPr>
              <w:lang w:eastAsia="en-US"/>
            </w:rPr>
            <w:t xml:space="preserve">extension </w:t>
          </w:r>
          <w:r w:rsidR="002F7441">
            <w:rPr>
              <w:lang w:eastAsia="en-US"/>
            </w:rPr>
            <w:t xml:space="preserve">for </w:t>
          </w:r>
          <w:r w:rsidR="007C69A5">
            <w:rPr>
              <w:lang w:eastAsia="en-US"/>
            </w:rPr>
            <w:t xml:space="preserve">multiple </w:t>
          </w:r>
          <w:r w:rsidR="002F7441">
            <w:rPr>
              <w:lang w:eastAsia="en-US"/>
            </w:rPr>
            <w:t xml:space="preserve">entities in a group, </w:t>
          </w:r>
          <w:r w:rsidR="00CF6EF5">
            <w:rPr>
              <w:lang w:eastAsia="en-US"/>
            </w:rPr>
            <w:t>a</w:t>
          </w:r>
          <w:r w:rsidR="00067AFA">
            <w:rPr>
              <w:lang w:eastAsia="en-US"/>
            </w:rPr>
            <w:t xml:space="preserve"> separate</w:t>
          </w:r>
          <w:r w:rsidR="00CF6EF5">
            <w:rPr>
              <w:lang w:eastAsia="en-US"/>
            </w:rPr>
            <w:t xml:space="preserve"> </w:t>
          </w:r>
          <w:r w:rsidR="002F7441">
            <w:rPr>
              <w:lang w:eastAsia="en-US"/>
            </w:rPr>
            <w:t>application</w:t>
          </w:r>
          <w:r w:rsidR="00CF6EF5">
            <w:rPr>
              <w:lang w:eastAsia="en-US"/>
            </w:rPr>
            <w:t xml:space="preserve"> needs </w:t>
          </w:r>
          <w:r w:rsidR="002F7441">
            <w:rPr>
              <w:lang w:eastAsia="en-US"/>
            </w:rPr>
            <w:t xml:space="preserve">be made for </w:t>
          </w:r>
          <w:r w:rsidR="007C69A5">
            <w:rPr>
              <w:lang w:eastAsia="en-US"/>
            </w:rPr>
            <w:t>each entity</w:t>
          </w:r>
          <w:r w:rsidR="00782D69">
            <w:rPr>
              <w:lang w:eastAsia="en-US"/>
            </w:rPr>
            <w:t xml:space="preserve">. </w:t>
          </w:r>
          <w:r w:rsidR="00C90571">
            <w:rPr>
              <w:lang w:eastAsia="en-US"/>
            </w:rPr>
            <w:t xml:space="preserve">An application </w:t>
          </w:r>
          <w:r w:rsidR="00067AFA">
            <w:rPr>
              <w:lang w:eastAsia="en-US"/>
            </w:rPr>
            <w:t xml:space="preserve">made by a </w:t>
          </w:r>
          <w:r w:rsidR="00C90571">
            <w:rPr>
              <w:lang w:eastAsia="en-US"/>
            </w:rPr>
            <w:t xml:space="preserve">controlling corporation </w:t>
          </w:r>
          <w:r w:rsidR="00067AFA">
            <w:rPr>
              <w:lang w:eastAsia="en-US"/>
            </w:rPr>
            <w:t xml:space="preserve">or head entity </w:t>
          </w:r>
          <w:r w:rsidR="00C90571">
            <w:rPr>
              <w:lang w:eastAsia="en-US"/>
            </w:rPr>
            <w:t xml:space="preserve">will not automatically extend to its </w:t>
          </w:r>
          <w:r w:rsidR="00E06174">
            <w:rPr>
              <w:lang w:eastAsia="en-US"/>
            </w:rPr>
            <w:t xml:space="preserve">member </w:t>
          </w:r>
          <w:r w:rsidR="00067AFA">
            <w:rPr>
              <w:lang w:eastAsia="en-US"/>
            </w:rPr>
            <w:t xml:space="preserve">and subsidiary </w:t>
          </w:r>
          <w:r w:rsidR="00E06174">
            <w:rPr>
              <w:lang w:eastAsia="en-US"/>
            </w:rPr>
            <w:t>entities.</w:t>
          </w:r>
        </w:p>
        <w:p w14:paraId="489C4558" w14:textId="561C8BDE" w:rsidR="00BD6200" w:rsidRDefault="00BD6200" w:rsidP="001B2726">
          <w:pPr>
            <w:pStyle w:val="Bullet"/>
            <w:numPr>
              <w:ilvl w:val="0"/>
              <w:numId w:val="30"/>
            </w:numPr>
            <w:ind w:left="993" w:hanging="993"/>
            <w:rPr>
              <w:lang w:eastAsia="en-US"/>
            </w:rPr>
          </w:pPr>
          <w:r>
            <w:rPr>
              <w:lang w:eastAsia="en-US"/>
            </w:rPr>
            <w:t>In addition to the information requ</w:t>
          </w:r>
          <w:r w:rsidR="00D47FDB">
            <w:rPr>
              <w:lang w:eastAsia="en-US"/>
            </w:rPr>
            <w:t>ested</w:t>
          </w:r>
          <w:r w:rsidR="00D34A51">
            <w:rPr>
              <w:lang w:eastAsia="en-US"/>
            </w:rPr>
            <w:t xml:space="preserve"> in the </w:t>
          </w:r>
          <w:r w:rsidR="00D47FDB">
            <w:rPr>
              <w:lang w:eastAsia="en-US"/>
            </w:rPr>
            <w:t>r</w:t>
          </w:r>
          <w:r>
            <w:rPr>
              <w:lang w:eastAsia="en-US"/>
            </w:rPr>
            <w:t xml:space="preserve">eporting </w:t>
          </w:r>
          <w:r w:rsidR="00D47FDB">
            <w:rPr>
              <w:lang w:eastAsia="en-US"/>
            </w:rPr>
            <w:t>p</w:t>
          </w:r>
          <w:r>
            <w:rPr>
              <w:lang w:eastAsia="en-US"/>
            </w:rPr>
            <w:t>ortal</w:t>
          </w:r>
          <w:r w:rsidR="00D47FDB">
            <w:rPr>
              <w:lang w:eastAsia="en-US"/>
            </w:rPr>
            <w:t>,</w:t>
          </w:r>
          <w:r w:rsidR="00E102EB">
            <w:rPr>
              <w:lang w:eastAsia="en-US"/>
            </w:rPr>
            <w:t xml:space="preserve"> </w:t>
          </w:r>
          <w:r w:rsidR="009C582F">
            <w:rPr>
              <w:lang w:eastAsia="en-US"/>
            </w:rPr>
            <w:t xml:space="preserve">applicants </w:t>
          </w:r>
          <w:r w:rsidR="00E102EB">
            <w:rPr>
              <w:lang w:eastAsia="en-US"/>
            </w:rPr>
            <w:t xml:space="preserve">should attach a </w:t>
          </w:r>
          <w:r w:rsidR="000B48CB">
            <w:rPr>
              <w:lang w:eastAsia="en-US"/>
            </w:rPr>
            <w:t xml:space="preserve">cover </w:t>
          </w:r>
          <w:r w:rsidR="00E102EB">
            <w:rPr>
              <w:lang w:eastAsia="en-US"/>
            </w:rPr>
            <w:t xml:space="preserve">letter setting out the </w:t>
          </w:r>
          <w:r w:rsidR="00BC5DB6">
            <w:rPr>
              <w:lang w:eastAsia="en-US"/>
            </w:rPr>
            <w:t xml:space="preserve">reasons </w:t>
          </w:r>
          <w:r w:rsidR="00D47FDB">
            <w:rPr>
              <w:lang w:eastAsia="en-US"/>
            </w:rPr>
            <w:t xml:space="preserve">they require </w:t>
          </w:r>
          <w:r w:rsidR="00BC5DB6">
            <w:rPr>
              <w:lang w:eastAsia="en-US"/>
            </w:rPr>
            <w:t>an extension</w:t>
          </w:r>
          <w:r w:rsidR="00782D69">
            <w:rPr>
              <w:lang w:eastAsia="en-US"/>
            </w:rPr>
            <w:t xml:space="preserve">. </w:t>
          </w:r>
          <w:hyperlink w:anchor="_Table_1:_Cover" w:history="1">
            <w:r w:rsidR="000B48CB" w:rsidRPr="00695D5C">
              <w:rPr>
                <w:rStyle w:val="Hyperlink"/>
                <w:rFonts w:ascii="Calibri" w:hAnsi="Calibri"/>
                <w:lang w:eastAsia="en-US"/>
              </w:rPr>
              <w:t>Table 1</w:t>
            </w:r>
          </w:hyperlink>
          <w:r w:rsidR="000B48CB">
            <w:rPr>
              <w:lang w:eastAsia="en-US"/>
            </w:rPr>
            <w:t xml:space="preserve"> </w:t>
          </w:r>
          <w:r w:rsidR="00B15196">
            <w:rPr>
              <w:lang w:eastAsia="en-US"/>
            </w:rPr>
            <w:t xml:space="preserve">sets out the </w:t>
          </w:r>
          <w:r w:rsidR="001A470D">
            <w:rPr>
              <w:lang w:eastAsia="en-US"/>
            </w:rPr>
            <w:t xml:space="preserve">information that </w:t>
          </w:r>
          <w:r w:rsidR="000B48CB">
            <w:rPr>
              <w:lang w:eastAsia="en-US"/>
            </w:rPr>
            <w:t xml:space="preserve">should be </w:t>
          </w:r>
          <w:r w:rsidR="00B15196">
            <w:rPr>
              <w:lang w:eastAsia="en-US"/>
            </w:rPr>
            <w:t xml:space="preserve">included </w:t>
          </w:r>
          <w:r w:rsidR="000B48CB">
            <w:rPr>
              <w:lang w:eastAsia="en-US"/>
            </w:rPr>
            <w:t>in the cover letter.</w:t>
          </w:r>
          <w:r w:rsidR="00067AFA">
            <w:rPr>
              <w:lang w:eastAsia="en-US"/>
            </w:rPr>
            <w:t xml:space="preserve">  A single cover letter can be prepared for multiple entities, but an application is required to be made for each entity separately in the </w:t>
          </w:r>
          <w:hyperlink r:id="rId15" w:history="1">
            <w:r w:rsidR="00067AFA" w:rsidRPr="00695D5C">
              <w:rPr>
                <w:rStyle w:val="Hyperlink"/>
                <w:rFonts w:ascii="Calibri" w:hAnsi="Calibri"/>
                <w:lang w:eastAsia="en-US"/>
              </w:rPr>
              <w:t>Payment Times Reporting Portal</w:t>
            </w:r>
          </w:hyperlink>
          <w:r w:rsidR="00067AFA">
            <w:rPr>
              <w:rStyle w:val="Hyperlink"/>
              <w:rFonts w:ascii="Calibri" w:hAnsi="Calibri"/>
              <w:lang w:eastAsia="en-US"/>
            </w:rPr>
            <w:t>.</w:t>
          </w:r>
        </w:p>
        <w:p w14:paraId="0D2DFE45" w14:textId="686C0366" w:rsidR="00A34BCC" w:rsidRPr="001B2726" w:rsidRDefault="00695D5C" w:rsidP="00962264">
          <w:pPr>
            <w:pStyle w:val="Heading4"/>
            <w:rPr>
              <w:lang w:eastAsia="en-US"/>
            </w:rPr>
          </w:pPr>
          <w:bookmarkStart w:id="29" w:name="_Table_1:_Cover"/>
          <w:bookmarkEnd w:id="29"/>
          <w:r>
            <w:rPr>
              <w:lang w:eastAsia="en-US"/>
            </w:rPr>
            <w:br w:type="page"/>
          </w:r>
          <w:bookmarkStart w:id="30" w:name="_Table_1:_Cover_1"/>
          <w:bookmarkEnd w:id="30"/>
          <w:r w:rsidR="00A34BCC" w:rsidRPr="001B2726">
            <w:rPr>
              <w:lang w:eastAsia="en-US"/>
            </w:rPr>
            <w:lastRenderedPageBreak/>
            <w:t xml:space="preserve">Table 1: </w:t>
          </w:r>
          <w:r w:rsidR="00307595" w:rsidRPr="001B2726">
            <w:rPr>
              <w:lang w:eastAsia="en-US"/>
            </w:rPr>
            <w:t>Cover letter content</w:t>
          </w:r>
          <w:r w:rsidR="004A101D" w:rsidRPr="001B2726">
            <w:rPr>
              <w:lang w:eastAsia="en-US"/>
            </w:rPr>
            <w:t xml:space="preserve"> to support an application for an extension of time</w:t>
          </w:r>
        </w:p>
        <w:tbl>
          <w:tblPr>
            <w:tblStyle w:val="TableGrid"/>
            <w:tblW w:w="0" w:type="auto"/>
            <w:tblCellMar>
              <w:top w:w="113" w:type="dxa"/>
              <w:bottom w:w="113" w:type="dxa"/>
            </w:tblCellMar>
            <w:tblLook w:val="04A0" w:firstRow="1" w:lastRow="0" w:firstColumn="1" w:lastColumn="0" w:noHBand="0" w:noVBand="1"/>
          </w:tblPr>
          <w:tblGrid>
            <w:gridCol w:w="2542"/>
            <w:gridCol w:w="6508"/>
          </w:tblGrid>
          <w:tr w:rsidR="00382F63" w:rsidRPr="00695D5C" w14:paraId="141FB5B9" w14:textId="4450E6CC" w:rsidTr="00C15E5B">
            <w:tc>
              <w:tcPr>
                <w:tcW w:w="2542" w:type="dxa"/>
                <w:tcBorders>
                  <w:top w:val="single" w:sz="6" w:space="0" w:color="auto"/>
                  <w:left w:val="single" w:sz="8" w:space="0" w:color="auto"/>
                  <w:bottom w:val="single" w:sz="6" w:space="0" w:color="auto"/>
                  <w:right w:val="single" w:sz="8" w:space="0" w:color="auto"/>
                </w:tcBorders>
                <w:shd w:val="clear" w:color="auto" w:fill="2C384A"/>
              </w:tcPr>
              <w:p w14:paraId="0EB014EE" w14:textId="21DE8F88" w:rsidR="00382F63" w:rsidRPr="00695D5C" w:rsidRDefault="00382F63" w:rsidP="00C15E5B">
                <w:pPr>
                  <w:spacing w:before="0" w:after="0"/>
                  <w:rPr>
                    <w:b/>
                    <w:bCs/>
                    <w:color w:val="FFFFFF" w:themeColor="background1"/>
                    <w:sz w:val="22"/>
                    <w:szCs w:val="22"/>
                  </w:rPr>
                </w:pPr>
                <w:r w:rsidRPr="00695D5C">
                  <w:rPr>
                    <w:b/>
                    <w:bCs/>
                    <w:color w:val="FFFFFF" w:themeColor="background1"/>
                    <w:sz w:val="22"/>
                    <w:szCs w:val="22"/>
                  </w:rPr>
                  <w:t>Content</w:t>
                </w:r>
                <w:r w:rsidRPr="00695D5C">
                  <w:rPr>
                    <w:b/>
                    <w:bCs/>
                    <w:color w:val="FFFFFF" w:themeColor="background1"/>
                    <w:sz w:val="22"/>
                    <w:szCs w:val="22"/>
                  </w:rPr>
                  <w:tab/>
                </w:r>
              </w:p>
            </w:tc>
            <w:tc>
              <w:tcPr>
                <w:tcW w:w="6508" w:type="dxa"/>
                <w:tcBorders>
                  <w:top w:val="single" w:sz="6" w:space="0" w:color="auto"/>
                  <w:left w:val="single" w:sz="8" w:space="0" w:color="auto"/>
                  <w:bottom w:val="single" w:sz="6" w:space="0" w:color="auto"/>
                  <w:right w:val="single" w:sz="8" w:space="0" w:color="auto"/>
                </w:tcBorders>
                <w:shd w:val="clear" w:color="auto" w:fill="2C384A"/>
              </w:tcPr>
              <w:p w14:paraId="6EB2FB72" w14:textId="52968B26" w:rsidR="00382F63" w:rsidRPr="00695D5C" w:rsidRDefault="00382F63" w:rsidP="00C15E5B">
                <w:pPr>
                  <w:spacing w:before="0" w:after="0"/>
                  <w:rPr>
                    <w:b/>
                    <w:bCs/>
                    <w:color w:val="FFFFFF" w:themeColor="background1"/>
                    <w:sz w:val="22"/>
                    <w:szCs w:val="22"/>
                  </w:rPr>
                </w:pPr>
                <w:r w:rsidRPr="00695D5C">
                  <w:rPr>
                    <w:b/>
                    <w:bCs/>
                    <w:color w:val="FFFFFF" w:themeColor="background1"/>
                    <w:sz w:val="22"/>
                    <w:szCs w:val="22"/>
                  </w:rPr>
                  <w:t>Details</w:t>
                </w:r>
              </w:p>
            </w:tc>
          </w:tr>
          <w:tr w:rsidR="00382F63" w:rsidRPr="00695D5C" w14:paraId="25930176" w14:textId="7C36F924" w:rsidTr="00C15E5B">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64261F7E" w14:textId="2699934F" w:rsidR="00382F63" w:rsidRPr="00695D5C" w:rsidRDefault="00307595" w:rsidP="00C15E5B">
                <w:pPr>
                  <w:spacing w:before="0" w:after="0"/>
                  <w:jc w:val="left"/>
                  <w:rPr>
                    <w:sz w:val="22"/>
                    <w:szCs w:val="22"/>
                  </w:rPr>
                </w:pPr>
                <w:r w:rsidRPr="00695D5C">
                  <w:rPr>
                    <w:sz w:val="22"/>
                    <w:szCs w:val="22"/>
                  </w:rPr>
                  <w:t>Applicant details</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578C4376" w14:textId="77777777" w:rsidR="00307595" w:rsidRPr="00014867" w:rsidRDefault="00307595" w:rsidP="00C15E5B">
                <w:pPr>
                  <w:pStyle w:val="ListParagraph"/>
                  <w:ind w:left="465" w:hanging="425"/>
                  <w:rPr>
                    <w:sz w:val="22"/>
                    <w:szCs w:val="24"/>
                  </w:rPr>
                </w:pPr>
                <w:r w:rsidRPr="00014867">
                  <w:rPr>
                    <w:sz w:val="22"/>
                    <w:szCs w:val="24"/>
                  </w:rPr>
                  <w:t>Entity name and ABN/ACN</w:t>
                </w:r>
              </w:p>
              <w:p w14:paraId="6400CA3E" w14:textId="58DA1FF6" w:rsidR="00D00CA0" w:rsidRPr="00014867" w:rsidRDefault="004A101D" w:rsidP="00C15E5B">
                <w:pPr>
                  <w:pStyle w:val="ListParagraph"/>
                  <w:spacing w:after="0"/>
                  <w:ind w:left="465" w:hanging="425"/>
                  <w:rPr>
                    <w:sz w:val="22"/>
                    <w:szCs w:val="24"/>
                  </w:rPr>
                </w:pPr>
                <w:r w:rsidRPr="00014867">
                  <w:rPr>
                    <w:sz w:val="22"/>
                    <w:szCs w:val="24"/>
                  </w:rPr>
                  <w:t>Name of a</w:t>
                </w:r>
                <w:r w:rsidR="00D00CA0" w:rsidRPr="00014867">
                  <w:rPr>
                    <w:sz w:val="22"/>
                    <w:szCs w:val="24"/>
                  </w:rPr>
                  <w:t xml:space="preserve">ll entities </w:t>
                </w:r>
                <w:r w:rsidRPr="00014867">
                  <w:rPr>
                    <w:sz w:val="22"/>
                    <w:szCs w:val="24"/>
                  </w:rPr>
                  <w:t>the application is for</w:t>
                </w:r>
              </w:p>
            </w:tc>
          </w:tr>
          <w:tr w:rsidR="0039206D" w:rsidRPr="00695D5C" w14:paraId="3FB11CEA" w14:textId="77777777" w:rsidTr="00C15E5B">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13C661B5" w14:textId="7D887284" w:rsidR="0039206D" w:rsidRPr="00695D5C" w:rsidRDefault="0039206D" w:rsidP="00C15E5B">
                <w:pPr>
                  <w:spacing w:before="0" w:after="0"/>
                  <w:jc w:val="left"/>
                  <w:rPr>
                    <w:sz w:val="22"/>
                    <w:szCs w:val="22"/>
                  </w:rPr>
                </w:pPr>
                <w:r w:rsidRPr="00695D5C">
                  <w:rPr>
                    <w:sz w:val="22"/>
                    <w:szCs w:val="22"/>
                  </w:rPr>
                  <w:t>Application details</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49EB8AE9" w14:textId="5D75558E" w:rsidR="00677E55" w:rsidRPr="00014867" w:rsidRDefault="00677E55" w:rsidP="00C15E5B">
                <w:pPr>
                  <w:pStyle w:val="ListParagraph"/>
                  <w:ind w:left="465" w:hanging="425"/>
                  <w:jc w:val="left"/>
                  <w:rPr>
                    <w:sz w:val="22"/>
                    <w:szCs w:val="24"/>
                  </w:rPr>
                </w:pPr>
                <w:r w:rsidRPr="00014867">
                  <w:rPr>
                    <w:sz w:val="22"/>
                    <w:szCs w:val="24"/>
                  </w:rPr>
                  <w:t>The date of the application</w:t>
                </w:r>
              </w:p>
              <w:p w14:paraId="5478C492" w14:textId="1F2BC085" w:rsidR="00B84D29" w:rsidRPr="00014867" w:rsidRDefault="004A101D" w:rsidP="00C15E5B">
                <w:pPr>
                  <w:pStyle w:val="ListParagraph"/>
                  <w:ind w:left="465" w:hanging="425"/>
                  <w:jc w:val="left"/>
                  <w:rPr>
                    <w:sz w:val="22"/>
                    <w:szCs w:val="24"/>
                  </w:rPr>
                </w:pPr>
                <w:r w:rsidRPr="00014867">
                  <w:rPr>
                    <w:sz w:val="22"/>
                    <w:szCs w:val="24"/>
                  </w:rPr>
                  <w:t>T</w:t>
                </w:r>
                <w:r w:rsidR="00B833EF" w:rsidRPr="00014867">
                  <w:rPr>
                    <w:sz w:val="22"/>
                    <w:szCs w:val="24"/>
                  </w:rPr>
                  <w:t xml:space="preserve">he </w:t>
                </w:r>
                <w:r w:rsidR="00D00CA0" w:rsidRPr="00014867">
                  <w:rPr>
                    <w:sz w:val="22"/>
                    <w:szCs w:val="24"/>
                  </w:rPr>
                  <w:t xml:space="preserve">reporting period </w:t>
                </w:r>
                <w:r w:rsidR="00726229" w:rsidRPr="00014867">
                  <w:rPr>
                    <w:sz w:val="22"/>
                    <w:szCs w:val="24"/>
                  </w:rPr>
                  <w:t xml:space="preserve">for which the extension is needed and </w:t>
                </w:r>
                <w:r w:rsidR="00067AFA">
                  <w:rPr>
                    <w:sz w:val="22"/>
                    <w:szCs w:val="24"/>
                  </w:rPr>
                  <w:t xml:space="preserve">the </w:t>
                </w:r>
                <w:r w:rsidR="00726229" w:rsidRPr="00014867">
                  <w:rPr>
                    <w:sz w:val="22"/>
                    <w:szCs w:val="24"/>
                  </w:rPr>
                  <w:t>due date</w:t>
                </w:r>
                <w:r w:rsidR="00067AFA">
                  <w:rPr>
                    <w:sz w:val="22"/>
                    <w:szCs w:val="24"/>
                  </w:rPr>
                  <w:t xml:space="preserve"> of the report</w:t>
                </w:r>
              </w:p>
              <w:p w14:paraId="04181C5D" w14:textId="66D73C77" w:rsidR="00D00CA0" w:rsidRPr="00014867" w:rsidRDefault="00DC2A0E" w:rsidP="00C15E5B">
                <w:pPr>
                  <w:pStyle w:val="ListParagraph"/>
                  <w:ind w:left="465" w:hanging="425"/>
                  <w:jc w:val="left"/>
                  <w:rPr>
                    <w:sz w:val="22"/>
                    <w:szCs w:val="24"/>
                  </w:rPr>
                </w:pPr>
                <w:r w:rsidRPr="00014867">
                  <w:rPr>
                    <w:sz w:val="22"/>
                    <w:szCs w:val="24"/>
                  </w:rPr>
                  <w:t xml:space="preserve">The extension </w:t>
                </w:r>
                <w:r w:rsidR="004A101D" w:rsidRPr="00014867">
                  <w:rPr>
                    <w:sz w:val="22"/>
                    <w:szCs w:val="24"/>
                  </w:rPr>
                  <w:t xml:space="preserve">date being </w:t>
                </w:r>
                <w:r w:rsidRPr="00014867">
                  <w:rPr>
                    <w:sz w:val="22"/>
                    <w:szCs w:val="24"/>
                  </w:rPr>
                  <w:t>sough</w:t>
                </w:r>
                <w:r w:rsidR="00E23B6B" w:rsidRPr="00014867">
                  <w:rPr>
                    <w:sz w:val="22"/>
                    <w:szCs w:val="24"/>
                  </w:rPr>
                  <w:t>t</w:t>
                </w:r>
                <w:r w:rsidRPr="00014867">
                  <w:rPr>
                    <w:sz w:val="22"/>
                    <w:szCs w:val="24"/>
                  </w:rPr>
                  <w:t xml:space="preserve"> </w:t>
                </w:r>
              </w:p>
              <w:p w14:paraId="3C9F2091" w14:textId="6C8569E2" w:rsidR="00E23B6B" w:rsidRPr="00014867" w:rsidRDefault="00E23B6B" w:rsidP="00C15E5B">
                <w:pPr>
                  <w:pStyle w:val="ListParagraph"/>
                  <w:spacing w:after="0"/>
                  <w:ind w:left="465" w:hanging="425"/>
                  <w:jc w:val="left"/>
                  <w:rPr>
                    <w:sz w:val="22"/>
                    <w:szCs w:val="24"/>
                  </w:rPr>
                </w:pPr>
                <w:r w:rsidRPr="00014867">
                  <w:rPr>
                    <w:sz w:val="22"/>
                    <w:szCs w:val="24"/>
                  </w:rPr>
                  <w:t>The name, position</w:t>
                </w:r>
                <w:r w:rsidR="00067AFA">
                  <w:rPr>
                    <w:sz w:val="22"/>
                    <w:szCs w:val="24"/>
                  </w:rPr>
                  <w:t xml:space="preserve">, email and direct phone number </w:t>
                </w:r>
                <w:r w:rsidRPr="00014867">
                  <w:rPr>
                    <w:sz w:val="22"/>
                    <w:szCs w:val="24"/>
                  </w:rPr>
                  <w:t xml:space="preserve">of </w:t>
                </w:r>
                <w:r w:rsidR="0004462F" w:rsidRPr="00014867">
                  <w:rPr>
                    <w:sz w:val="22"/>
                    <w:szCs w:val="24"/>
                  </w:rPr>
                  <w:t xml:space="preserve">the </w:t>
                </w:r>
                <w:r w:rsidRPr="00014867">
                  <w:rPr>
                    <w:sz w:val="22"/>
                    <w:szCs w:val="24"/>
                  </w:rPr>
                  <w:t xml:space="preserve">person </w:t>
                </w:r>
                <w:r w:rsidR="0004462F" w:rsidRPr="00014867">
                  <w:rPr>
                    <w:sz w:val="22"/>
                    <w:szCs w:val="24"/>
                  </w:rPr>
                  <w:t>applying</w:t>
                </w:r>
              </w:p>
            </w:tc>
          </w:tr>
          <w:tr w:rsidR="00815D60" w:rsidRPr="00695D5C" w14:paraId="7FEC3123" w14:textId="77777777" w:rsidTr="00C15E5B">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1174E0B5" w14:textId="10778B6B" w:rsidR="00815D60" w:rsidRPr="00695D5C" w:rsidRDefault="00D81FA4" w:rsidP="00C15E5B">
                <w:pPr>
                  <w:spacing w:before="0" w:after="0"/>
                  <w:jc w:val="left"/>
                  <w:rPr>
                    <w:sz w:val="22"/>
                    <w:szCs w:val="22"/>
                  </w:rPr>
                </w:pPr>
                <w:r w:rsidRPr="00695D5C">
                  <w:rPr>
                    <w:sz w:val="22"/>
                    <w:szCs w:val="22"/>
                  </w:rPr>
                  <w:t>C</w:t>
                </w:r>
                <w:r w:rsidR="00815D60" w:rsidRPr="00695D5C">
                  <w:rPr>
                    <w:sz w:val="22"/>
                    <w:szCs w:val="22"/>
                  </w:rPr>
                  <w:t>ircumstances</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138BCE34" w14:textId="77777777" w:rsidR="002B567A" w:rsidRPr="004D64C5" w:rsidRDefault="00336F3E" w:rsidP="00C15E5B">
                <w:pPr>
                  <w:pStyle w:val="ListParagraph"/>
                  <w:ind w:left="465" w:hanging="425"/>
                  <w:jc w:val="left"/>
                  <w:rPr>
                    <w:sz w:val="22"/>
                    <w:szCs w:val="24"/>
                  </w:rPr>
                </w:pPr>
                <w:r w:rsidRPr="004D64C5">
                  <w:rPr>
                    <w:sz w:val="22"/>
                    <w:szCs w:val="24"/>
                  </w:rPr>
                  <w:t>Describe the circumstances including</w:t>
                </w:r>
                <w:r w:rsidR="002B567A" w:rsidRPr="004D64C5">
                  <w:rPr>
                    <w:sz w:val="22"/>
                    <w:szCs w:val="24"/>
                  </w:rPr>
                  <w:t>:</w:t>
                </w:r>
              </w:p>
              <w:p w14:paraId="188129EC" w14:textId="552C4443" w:rsidR="002B567A" w:rsidRPr="004D64C5" w:rsidRDefault="002B567A" w:rsidP="00C15E5B">
                <w:pPr>
                  <w:pStyle w:val="ListParagraph"/>
                  <w:numPr>
                    <w:ilvl w:val="0"/>
                    <w:numId w:val="79"/>
                  </w:numPr>
                  <w:ind w:left="1032" w:hanging="284"/>
                  <w:jc w:val="left"/>
                  <w:rPr>
                    <w:sz w:val="22"/>
                    <w:szCs w:val="24"/>
                  </w:rPr>
                </w:pPr>
                <w:r w:rsidRPr="004D64C5">
                  <w:rPr>
                    <w:sz w:val="22"/>
                    <w:szCs w:val="24"/>
                  </w:rPr>
                  <w:t xml:space="preserve">when the circumstances </w:t>
                </w:r>
                <w:r w:rsidR="0004462F" w:rsidRPr="004D64C5">
                  <w:rPr>
                    <w:sz w:val="22"/>
                    <w:szCs w:val="24"/>
                  </w:rPr>
                  <w:t>started</w:t>
                </w:r>
              </w:p>
              <w:p w14:paraId="218C7A82" w14:textId="77777777" w:rsidR="002B567A" w:rsidRPr="004D64C5" w:rsidRDefault="002B567A" w:rsidP="00C15E5B">
                <w:pPr>
                  <w:pStyle w:val="ListParagraph"/>
                  <w:numPr>
                    <w:ilvl w:val="0"/>
                    <w:numId w:val="79"/>
                  </w:numPr>
                  <w:ind w:left="1032" w:hanging="284"/>
                  <w:jc w:val="left"/>
                  <w:rPr>
                    <w:sz w:val="22"/>
                    <w:szCs w:val="24"/>
                  </w:rPr>
                </w:pPr>
                <w:r w:rsidRPr="004D64C5">
                  <w:rPr>
                    <w:sz w:val="22"/>
                    <w:szCs w:val="24"/>
                  </w:rPr>
                  <w:t>when the entity became aware of the circumstances</w:t>
                </w:r>
              </w:p>
              <w:p w14:paraId="0BE4B806" w14:textId="490F1EBD" w:rsidR="00294472" w:rsidRPr="004D64C5" w:rsidRDefault="00002FFF" w:rsidP="00C15E5B">
                <w:pPr>
                  <w:pStyle w:val="ListParagraph"/>
                  <w:numPr>
                    <w:ilvl w:val="0"/>
                    <w:numId w:val="79"/>
                  </w:numPr>
                  <w:ind w:left="1032" w:hanging="284"/>
                  <w:jc w:val="left"/>
                  <w:rPr>
                    <w:sz w:val="22"/>
                    <w:szCs w:val="24"/>
                  </w:rPr>
                </w:pPr>
                <w:r w:rsidRPr="004D64C5">
                  <w:rPr>
                    <w:sz w:val="22"/>
                    <w:szCs w:val="24"/>
                  </w:rPr>
                  <w:t>when the circumstances are expected to be resolved</w:t>
                </w:r>
              </w:p>
              <w:p w14:paraId="599621C9" w14:textId="248213BE" w:rsidR="003A1678" w:rsidRPr="004D64C5" w:rsidRDefault="003A1678" w:rsidP="00C15E5B">
                <w:pPr>
                  <w:pStyle w:val="ListParagraph"/>
                  <w:numPr>
                    <w:ilvl w:val="0"/>
                    <w:numId w:val="79"/>
                  </w:numPr>
                  <w:ind w:left="1032" w:hanging="284"/>
                  <w:jc w:val="left"/>
                  <w:rPr>
                    <w:sz w:val="22"/>
                    <w:szCs w:val="24"/>
                  </w:rPr>
                </w:pPr>
                <w:r w:rsidRPr="004D64C5">
                  <w:rPr>
                    <w:sz w:val="22"/>
                    <w:szCs w:val="24"/>
                  </w:rPr>
                  <w:t>what is required for the entity to remediate the circumstances</w:t>
                </w:r>
              </w:p>
              <w:p w14:paraId="44E222A8" w14:textId="47337510" w:rsidR="00294472" w:rsidRPr="004D64C5" w:rsidRDefault="00F668B6" w:rsidP="00C15E5B">
                <w:pPr>
                  <w:pStyle w:val="ListParagraph"/>
                  <w:numPr>
                    <w:ilvl w:val="0"/>
                    <w:numId w:val="79"/>
                  </w:numPr>
                  <w:ind w:left="1032" w:hanging="284"/>
                  <w:jc w:val="left"/>
                  <w:rPr>
                    <w:sz w:val="22"/>
                    <w:szCs w:val="24"/>
                  </w:rPr>
                </w:pPr>
                <w:r w:rsidRPr="004D64C5">
                  <w:rPr>
                    <w:sz w:val="22"/>
                    <w:szCs w:val="24"/>
                  </w:rPr>
                  <w:t>whether the circumstances are exceptional, outside the entity’s control, or both</w:t>
                </w:r>
                <w:r w:rsidR="0063107A" w:rsidRPr="004D64C5">
                  <w:rPr>
                    <w:sz w:val="22"/>
                    <w:szCs w:val="24"/>
                  </w:rPr>
                  <w:t>.</w:t>
                </w:r>
              </w:p>
              <w:p w14:paraId="4BDD32A1" w14:textId="2D3C3478" w:rsidR="00815D60" w:rsidRPr="004D64C5" w:rsidRDefault="00027FF2" w:rsidP="00C15E5B">
                <w:pPr>
                  <w:pStyle w:val="ListParagraph"/>
                  <w:spacing w:after="0"/>
                  <w:ind w:left="465" w:hanging="425"/>
                  <w:jc w:val="left"/>
                  <w:rPr>
                    <w:sz w:val="22"/>
                    <w:szCs w:val="24"/>
                  </w:rPr>
                </w:pPr>
                <w:r w:rsidRPr="004D64C5">
                  <w:rPr>
                    <w:sz w:val="22"/>
                    <w:szCs w:val="24"/>
                  </w:rPr>
                  <w:t xml:space="preserve">If there are multiple circumstances </w:t>
                </w:r>
                <w:r w:rsidR="003A1678" w:rsidRPr="004D64C5">
                  <w:rPr>
                    <w:sz w:val="22"/>
                    <w:szCs w:val="24"/>
                  </w:rPr>
                  <w:t>that impact the applicant</w:t>
                </w:r>
                <w:r w:rsidR="0063107A" w:rsidRPr="004D64C5">
                  <w:rPr>
                    <w:sz w:val="22"/>
                    <w:szCs w:val="24"/>
                  </w:rPr>
                  <w:t>’</w:t>
                </w:r>
                <w:r w:rsidR="003A1678" w:rsidRPr="004D64C5">
                  <w:rPr>
                    <w:sz w:val="22"/>
                    <w:szCs w:val="24"/>
                  </w:rPr>
                  <w:t>s ability to report</w:t>
                </w:r>
                <w:r w:rsidR="0004462F" w:rsidRPr="004D64C5">
                  <w:rPr>
                    <w:sz w:val="22"/>
                    <w:szCs w:val="24"/>
                  </w:rPr>
                  <w:t>,</w:t>
                </w:r>
                <w:r w:rsidR="003A1678" w:rsidRPr="004D64C5">
                  <w:rPr>
                    <w:sz w:val="22"/>
                    <w:szCs w:val="24"/>
                  </w:rPr>
                  <w:t xml:space="preserve"> </w:t>
                </w:r>
                <w:r w:rsidR="0004462F" w:rsidRPr="004D64C5">
                  <w:rPr>
                    <w:sz w:val="22"/>
                    <w:szCs w:val="24"/>
                  </w:rPr>
                  <w:t xml:space="preserve">provide </w:t>
                </w:r>
                <w:r w:rsidRPr="004D64C5">
                  <w:rPr>
                    <w:sz w:val="22"/>
                    <w:szCs w:val="24"/>
                  </w:rPr>
                  <w:t xml:space="preserve">details for each </w:t>
                </w:r>
                <w:r w:rsidR="003A1678" w:rsidRPr="004D64C5">
                  <w:rPr>
                    <w:sz w:val="22"/>
                    <w:szCs w:val="24"/>
                  </w:rPr>
                  <w:t xml:space="preserve">circumstance </w:t>
                </w:r>
                <w:r w:rsidRPr="004D64C5">
                  <w:rPr>
                    <w:sz w:val="22"/>
                    <w:szCs w:val="24"/>
                  </w:rPr>
                  <w:t>separately</w:t>
                </w:r>
                <w:r w:rsidR="0056238E" w:rsidRPr="004D64C5">
                  <w:rPr>
                    <w:sz w:val="22"/>
                    <w:szCs w:val="24"/>
                  </w:rPr>
                  <w:t>.</w:t>
                </w:r>
              </w:p>
            </w:tc>
          </w:tr>
          <w:tr w:rsidR="00DC2A0E" w:rsidRPr="00695D5C" w14:paraId="24D74B82" w14:textId="77777777" w:rsidTr="00C15E5B">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2E373979" w14:textId="20E0C962" w:rsidR="00DC2A0E" w:rsidRPr="00695D5C" w:rsidRDefault="00743C52" w:rsidP="00C15E5B">
                <w:pPr>
                  <w:spacing w:before="0" w:after="0"/>
                  <w:jc w:val="left"/>
                  <w:rPr>
                    <w:sz w:val="22"/>
                    <w:szCs w:val="22"/>
                  </w:rPr>
                </w:pPr>
                <w:r w:rsidRPr="00695D5C">
                  <w:rPr>
                    <w:sz w:val="22"/>
                    <w:szCs w:val="22"/>
                  </w:rPr>
                  <w:t>Impact on preparing a report</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35B717E5" w14:textId="17F1CED1" w:rsidR="00DC2A0E" w:rsidRPr="004D64C5" w:rsidRDefault="001A5CBA" w:rsidP="00C15E5B">
                <w:pPr>
                  <w:pStyle w:val="ListParagraph"/>
                  <w:ind w:left="465" w:hanging="425"/>
                  <w:jc w:val="left"/>
                  <w:rPr>
                    <w:sz w:val="22"/>
                    <w:szCs w:val="24"/>
                  </w:rPr>
                </w:pPr>
                <w:r w:rsidRPr="004D64C5">
                  <w:rPr>
                    <w:sz w:val="22"/>
                    <w:szCs w:val="24"/>
                  </w:rPr>
                  <w:t xml:space="preserve">Describe how the circumstances impact </w:t>
                </w:r>
                <w:r w:rsidR="00B32EA9" w:rsidRPr="004D64C5">
                  <w:rPr>
                    <w:sz w:val="22"/>
                    <w:szCs w:val="24"/>
                  </w:rPr>
                  <w:t xml:space="preserve">the ability to </w:t>
                </w:r>
                <w:r w:rsidR="009B61EB" w:rsidRPr="004D64C5">
                  <w:rPr>
                    <w:sz w:val="22"/>
                    <w:szCs w:val="24"/>
                  </w:rPr>
                  <w:t xml:space="preserve">lodge </w:t>
                </w:r>
                <w:r w:rsidR="00B32EA9" w:rsidRPr="004D64C5">
                  <w:rPr>
                    <w:sz w:val="22"/>
                    <w:szCs w:val="24"/>
                  </w:rPr>
                  <w:t>a report</w:t>
                </w:r>
                <w:r w:rsidR="00594113">
                  <w:rPr>
                    <w:sz w:val="22"/>
                    <w:szCs w:val="24"/>
                  </w:rPr>
                  <w:t xml:space="preserve"> including</w:t>
                </w:r>
                <w:r w:rsidR="00B32EA9" w:rsidRPr="004D64C5">
                  <w:rPr>
                    <w:sz w:val="22"/>
                    <w:szCs w:val="24"/>
                  </w:rPr>
                  <w:t>:</w:t>
                </w:r>
              </w:p>
              <w:p w14:paraId="42AB6103" w14:textId="63EEBFCC" w:rsidR="00743C52" w:rsidRPr="004D64C5" w:rsidRDefault="00594113" w:rsidP="00C0424F">
                <w:pPr>
                  <w:pStyle w:val="ListParagraph"/>
                  <w:numPr>
                    <w:ilvl w:val="1"/>
                    <w:numId w:val="80"/>
                  </w:numPr>
                  <w:ind w:left="1022"/>
                  <w:jc w:val="left"/>
                  <w:rPr>
                    <w:sz w:val="22"/>
                    <w:szCs w:val="24"/>
                  </w:rPr>
                </w:pPr>
                <w:r>
                  <w:rPr>
                    <w:sz w:val="22"/>
                    <w:szCs w:val="24"/>
                  </w:rPr>
                  <w:t xml:space="preserve">an explanation </w:t>
                </w:r>
                <w:r w:rsidR="002A1370" w:rsidRPr="004D64C5">
                  <w:rPr>
                    <w:sz w:val="22"/>
                    <w:szCs w:val="24"/>
                  </w:rPr>
                  <w:t xml:space="preserve">how the circumstances relate to the resources, information or </w:t>
                </w:r>
                <w:r w:rsidR="00D278B0" w:rsidRPr="004D64C5">
                  <w:rPr>
                    <w:sz w:val="22"/>
                    <w:szCs w:val="24"/>
                  </w:rPr>
                  <w:t xml:space="preserve">other requirements </w:t>
                </w:r>
                <w:r w:rsidR="00254202" w:rsidRPr="004D64C5">
                  <w:rPr>
                    <w:sz w:val="22"/>
                    <w:szCs w:val="24"/>
                  </w:rPr>
                  <w:t>needed to prepare a report</w:t>
                </w:r>
              </w:p>
              <w:p w14:paraId="49335688" w14:textId="179FAE4F" w:rsidR="00B32EA9" w:rsidRPr="004D64C5" w:rsidRDefault="00594113" w:rsidP="00C0424F">
                <w:pPr>
                  <w:pStyle w:val="ListParagraph"/>
                  <w:numPr>
                    <w:ilvl w:val="1"/>
                    <w:numId w:val="80"/>
                  </w:numPr>
                  <w:ind w:left="1022"/>
                  <w:jc w:val="left"/>
                  <w:rPr>
                    <w:sz w:val="22"/>
                    <w:szCs w:val="24"/>
                  </w:rPr>
                </w:pPr>
                <w:r>
                  <w:rPr>
                    <w:sz w:val="22"/>
                    <w:szCs w:val="24"/>
                  </w:rPr>
                  <w:t xml:space="preserve">a description </w:t>
                </w:r>
                <w:r w:rsidR="00B32EA9" w:rsidRPr="004D64C5">
                  <w:rPr>
                    <w:sz w:val="22"/>
                    <w:szCs w:val="24"/>
                  </w:rPr>
                  <w:t xml:space="preserve">how circumstances have impacted other reporting obligations, </w:t>
                </w:r>
                <w:r w:rsidR="00E06832" w:rsidRPr="004D64C5">
                  <w:rPr>
                    <w:sz w:val="22"/>
                    <w:szCs w:val="24"/>
                  </w:rPr>
                  <w:t>for example</w:t>
                </w:r>
                <w:r w:rsidR="000170EF" w:rsidRPr="004D64C5">
                  <w:rPr>
                    <w:sz w:val="22"/>
                    <w:szCs w:val="24"/>
                  </w:rPr>
                  <w:t>,</w:t>
                </w:r>
                <w:r w:rsidR="00B32EA9" w:rsidRPr="004D64C5">
                  <w:rPr>
                    <w:sz w:val="22"/>
                    <w:szCs w:val="24"/>
                  </w:rPr>
                  <w:t xml:space="preserve"> </w:t>
                </w:r>
                <w:r w:rsidR="00C5309F" w:rsidRPr="004D64C5">
                  <w:rPr>
                    <w:sz w:val="22"/>
                    <w:szCs w:val="24"/>
                  </w:rPr>
                  <w:t>business activity statement (</w:t>
                </w:r>
                <w:r w:rsidR="00B32EA9" w:rsidRPr="004D64C5">
                  <w:rPr>
                    <w:sz w:val="22"/>
                    <w:szCs w:val="24"/>
                  </w:rPr>
                  <w:t>BAS</w:t>
                </w:r>
                <w:r w:rsidR="00C5309F" w:rsidRPr="004D64C5">
                  <w:rPr>
                    <w:sz w:val="22"/>
                    <w:szCs w:val="24"/>
                  </w:rPr>
                  <w:t>)</w:t>
                </w:r>
                <w:r w:rsidR="00B32EA9" w:rsidRPr="004D64C5">
                  <w:rPr>
                    <w:sz w:val="22"/>
                    <w:szCs w:val="24"/>
                  </w:rPr>
                  <w:t>, income tax, GST and financial reporting</w:t>
                </w:r>
              </w:p>
              <w:p w14:paraId="2A738D4C" w14:textId="1490F1FA" w:rsidR="00B32EA9" w:rsidRPr="004D64C5" w:rsidRDefault="00594113" w:rsidP="00C0424F">
                <w:pPr>
                  <w:pStyle w:val="ListParagraph"/>
                  <w:numPr>
                    <w:ilvl w:val="1"/>
                    <w:numId w:val="80"/>
                  </w:numPr>
                  <w:ind w:left="1022"/>
                  <w:jc w:val="left"/>
                  <w:rPr>
                    <w:sz w:val="22"/>
                    <w:szCs w:val="24"/>
                  </w:rPr>
                </w:pPr>
                <w:r>
                  <w:rPr>
                    <w:sz w:val="22"/>
                    <w:szCs w:val="24"/>
                  </w:rPr>
                  <w:t xml:space="preserve">details of </w:t>
                </w:r>
                <w:r w:rsidR="00C61AE9" w:rsidRPr="004D64C5">
                  <w:rPr>
                    <w:sz w:val="22"/>
                    <w:szCs w:val="24"/>
                  </w:rPr>
                  <w:t xml:space="preserve">the efforts made by the applicant to manage and influence </w:t>
                </w:r>
                <w:r w:rsidR="00C5309F" w:rsidRPr="004D64C5">
                  <w:rPr>
                    <w:sz w:val="22"/>
                    <w:szCs w:val="24"/>
                  </w:rPr>
                  <w:t xml:space="preserve">the </w:t>
                </w:r>
                <w:r w:rsidR="00C61AE9" w:rsidRPr="004D64C5">
                  <w:rPr>
                    <w:sz w:val="22"/>
                    <w:szCs w:val="24"/>
                  </w:rPr>
                  <w:t xml:space="preserve">circumstances to comply with </w:t>
                </w:r>
                <w:r w:rsidR="00C5309F" w:rsidRPr="004D64C5">
                  <w:rPr>
                    <w:sz w:val="22"/>
                    <w:szCs w:val="24"/>
                  </w:rPr>
                  <w:t>their</w:t>
                </w:r>
                <w:r w:rsidR="00C61AE9" w:rsidRPr="004D64C5">
                  <w:rPr>
                    <w:sz w:val="22"/>
                    <w:szCs w:val="24"/>
                  </w:rPr>
                  <w:t xml:space="preserve"> obligations</w:t>
                </w:r>
                <w:r w:rsidR="00C5309F" w:rsidRPr="004D64C5">
                  <w:rPr>
                    <w:sz w:val="22"/>
                    <w:szCs w:val="24"/>
                  </w:rPr>
                  <w:t>.</w:t>
                </w:r>
              </w:p>
              <w:p w14:paraId="17A4B598" w14:textId="36B3125F" w:rsidR="00EC265B" w:rsidRPr="004D64C5" w:rsidRDefault="00C5309F" w:rsidP="00C15E5B">
                <w:pPr>
                  <w:pStyle w:val="ListParagraph"/>
                  <w:spacing w:after="0"/>
                  <w:ind w:left="465" w:hanging="425"/>
                  <w:jc w:val="left"/>
                  <w:rPr>
                    <w:sz w:val="22"/>
                    <w:szCs w:val="24"/>
                  </w:rPr>
                </w:pPr>
                <w:r w:rsidRPr="004D64C5">
                  <w:rPr>
                    <w:sz w:val="22"/>
                    <w:szCs w:val="24"/>
                  </w:rPr>
                  <w:t>Any a</w:t>
                </w:r>
                <w:r w:rsidR="00C91E03" w:rsidRPr="004D64C5">
                  <w:rPr>
                    <w:sz w:val="22"/>
                    <w:szCs w:val="24"/>
                  </w:rPr>
                  <w:t xml:space="preserve">dditional information that </w:t>
                </w:r>
                <w:r w:rsidR="000E2F57" w:rsidRPr="004D64C5">
                  <w:rPr>
                    <w:sz w:val="22"/>
                    <w:szCs w:val="24"/>
                  </w:rPr>
                  <w:t xml:space="preserve">will </w:t>
                </w:r>
                <w:r w:rsidR="00EC265B" w:rsidRPr="004D64C5">
                  <w:rPr>
                    <w:sz w:val="22"/>
                    <w:szCs w:val="24"/>
                  </w:rPr>
                  <w:t>assist us to understand the impact of circumstances</w:t>
                </w:r>
                <w:r w:rsidR="001133C7" w:rsidRPr="004D64C5">
                  <w:rPr>
                    <w:sz w:val="22"/>
                    <w:szCs w:val="24"/>
                  </w:rPr>
                  <w:t xml:space="preserve"> on the entity</w:t>
                </w:r>
                <w:r w:rsidRPr="004D64C5">
                  <w:rPr>
                    <w:sz w:val="22"/>
                    <w:szCs w:val="24"/>
                  </w:rPr>
                  <w:t>.</w:t>
                </w:r>
              </w:p>
            </w:tc>
          </w:tr>
          <w:tr w:rsidR="00D81FA4" w:rsidRPr="00695D5C" w14:paraId="2987B3FC" w14:textId="77777777" w:rsidTr="00C15E5B">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712FFB0B" w14:textId="0D0A2B72" w:rsidR="00D81FA4" w:rsidRPr="00695D5C" w:rsidRDefault="00D81FA4" w:rsidP="00C15E5B">
                <w:pPr>
                  <w:spacing w:before="0" w:after="0"/>
                  <w:jc w:val="left"/>
                  <w:rPr>
                    <w:sz w:val="22"/>
                    <w:szCs w:val="22"/>
                  </w:rPr>
                </w:pPr>
                <w:r w:rsidRPr="00695D5C">
                  <w:rPr>
                    <w:sz w:val="22"/>
                    <w:szCs w:val="22"/>
                  </w:rPr>
                  <w:t>Supporting evidence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58BEC490" w14:textId="011F6B9F" w:rsidR="00D81FA4" w:rsidRPr="00014867" w:rsidRDefault="00D81FA4" w:rsidP="00C15E5B">
                <w:pPr>
                  <w:pStyle w:val="ListParagraph"/>
                  <w:spacing w:after="0"/>
                  <w:ind w:left="465" w:hanging="425"/>
                  <w:jc w:val="left"/>
                  <w:rPr>
                    <w:sz w:val="22"/>
                    <w:szCs w:val="24"/>
                  </w:rPr>
                </w:pPr>
                <w:r w:rsidRPr="00014867">
                  <w:rPr>
                    <w:sz w:val="22"/>
                    <w:szCs w:val="24"/>
                  </w:rPr>
                  <w:t>A list of the documents provided in support of the application.</w:t>
                </w:r>
              </w:p>
            </w:tc>
          </w:tr>
        </w:tbl>
        <w:p w14:paraId="212B016E" w14:textId="77777777" w:rsidR="004A17D3" w:rsidRDefault="004A17D3" w:rsidP="00111116">
          <w:pPr>
            <w:pStyle w:val="Bullet"/>
            <w:numPr>
              <w:ilvl w:val="0"/>
              <w:numId w:val="0"/>
            </w:numPr>
            <w:rPr>
              <w:lang w:eastAsia="en-US"/>
            </w:rPr>
          </w:pPr>
        </w:p>
        <w:p w14:paraId="4978264F" w14:textId="30AACC82" w:rsidR="004E4792" w:rsidRDefault="00C1128E" w:rsidP="001B2726">
          <w:pPr>
            <w:pStyle w:val="DoubleDot"/>
            <w:numPr>
              <w:ilvl w:val="0"/>
              <w:numId w:val="30"/>
            </w:numPr>
            <w:ind w:left="993" w:hanging="993"/>
            <w:rPr>
              <w:lang w:eastAsia="en-US"/>
            </w:rPr>
          </w:pPr>
          <w:r>
            <w:rPr>
              <w:lang w:eastAsia="en-US"/>
            </w:rPr>
            <w:t>In addition to the cover letter</w:t>
          </w:r>
          <w:r w:rsidR="00C5309F">
            <w:rPr>
              <w:lang w:eastAsia="en-US"/>
            </w:rPr>
            <w:t>,</w:t>
          </w:r>
          <w:r>
            <w:rPr>
              <w:lang w:eastAsia="en-US"/>
            </w:rPr>
            <w:t xml:space="preserve"> </w:t>
          </w:r>
          <w:r w:rsidR="001133C7">
            <w:rPr>
              <w:lang w:eastAsia="en-US"/>
            </w:rPr>
            <w:t xml:space="preserve">applications need to include </w:t>
          </w:r>
          <w:r w:rsidR="005C665D" w:rsidRPr="00041952">
            <w:rPr>
              <w:lang w:eastAsia="en-US"/>
            </w:rPr>
            <w:t xml:space="preserve">documentary </w:t>
          </w:r>
          <w:r w:rsidR="00340009" w:rsidRPr="00041952">
            <w:rPr>
              <w:lang w:eastAsia="en-US"/>
            </w:rPr>
            <w:t xml:space="preserve">evidence that supports </w:t>
          </w:r>
          <w:r w:rsidR="00C5309F">
            <w:rPr>
              <w:lang w:eastAsia="en-US"/>
            </w:rPr>
            <w:t>the</w:t>
          </w:r>
          <w:r w:rsidR="0095660C">
            <w:rPr>
              <w:lang w:eastAsia="en-US"/>
            </w:rPr>
            <w:t>ir</w:t>
          </w:r>
          <w:r>
            <w:rPr>
              <w:lang w:eastAsia="en-US"/>
            </w:rPr>
            <w:t xml:space="preserve"> </w:t>
          </w:r>
          <w:r w:rsidR="00340009" w:rsidRPr="00041952">
            <w:rPr>
              <w:lang w:eastAsia="en-US"/>
            </w:rPr>
            <w:t>submissions</w:t>
          </w:r>
          <w:r>
            <w:rPr>
              <w:lang w:eastAsia="en-US"/>
            </w:rPr>
            <w:t>.</w:t>
          </w:r>
          <w:r w:rsidR="001133C7">
            <w:rPr>
              <w:rStyle w:val="FootnoteReference"/>
              <w:lang w:eastAsia="en-US"/>
            </w:rPr>
            <w:footnoteReference w:id="7"/>
          </w:r>
          <w:r>
            <w:rPr>
              <w:lang w:eastAsia="en-US"/>
            </w:rPr>
            <w:t xml:space="preserve"> Documentary evidence </w:t>
          </w:r>
          <w:r w:rsidR="00340009" w:rsidRPr="00041952">
            <w:rPr>
              <w:lang w:eastAsia="en-US"/>
            </w:rPr>
            <w:t xml:space="preserve">may include incident reports, </w:t>
          </w:r>
          <w:r w:rsidR="00340009" w:rsidRPr="00041952">
            <w:rPr>
              <w:lang w:eastAsia="en-US"/>
            </w:rPr>
            <w:lastRenderedPageBreak/>
            <w:t>insurance claims, external advisor reports, correspondence with third parties, internal decision minutes</w:t>
          </w:r>
          <w:r w:rsidR="005C665D" w:rsidRPr="00041952">
            <w:rPr>
              <w:lang w:eastAsia="en-US"/>
            </w:rPr>
            <w:t xml:space="preserve">, </w:t>
          </w:r>
          <w:r w:rsidR="00340009" w:rsidRPr="00041952">
            <w:rPr>
              <w:lang w:eastAsia="en-US"/>
            </w:rPr>
            <w:t>board papers</w:t>
          </w:r>
          <w:r w:rsidR="005C665D" w:rsidRPr="00041952">
            <w:rPr>
              <w:lang w:eastAsia="en-US"/>
            </w:rPr>
            <w:t xml:space="preserve"> or a</w:t>
          </w:r>
          <w:r w:rsidR="00340009" w:rsidRPr="00041952">
            <w:rPr>
              <w:lang w:eastAsia="en-US"/>
            </w:rPr>
            <w:t xml:space="preserve">ny other </w:t>
          </w:r>
          <w:r w:rsidR="005C6175">
            <w:rPr>
              <w:lang w:eastAsia="en-US"/>
            </w:rPr>
            <w:t xml:space="preserve">document verifying </w:t>
          </w:r>
          <w:r w:rsidR="00C91E03">
            <w:rPr>
              <w:lang w:eastAsia="en-US"/>
            </w:rPr>
            <w:t xml:space="preserve">claims made in </w:t>
          </w:r>
          <w:r w:rsidR="005C6175">
            <w:rPr>
              <w:lang w:eastAsia="en-US"/>
            </w:rPr>
            <w:t>a submission</w:t>
          </w:r>
          <w:r w:rsidR="00782D69">
            <w:rPr>
              <w:lang w:eastAsia="en-US"/>
            </w:rPr>
            <w:t xml:space="preserve">. </w:t>
          </w:r>
        </w:p>
        <w:p w14:paraId="7E2494A6" w14:textId="3746F1BB" w:rsidR="0095660C" w:rsidRDefault="000E2F57">
          <w:pPr>
            <w:pStyle w:val="DoubleDot"/>
            <w:numPr>
              <w:ilvl w:val="0"/>
              <w:numId w:val="30"/>
            </w:numPr>
            <w:ind w:left="993" w:hanging="993"/>
            <w:rPr>
              <w:lang w:eastAsia="en-US"/>
            </w:rPr>
          </w:pPr>
          <w:r>
            <w:rPr>
              <w:lang w:eastAsia="en-US"/>
            </w:rPr>
            <w:t xml:space="preserve">If an application is submitted with </w:t>
          </w:r>
          <w:r w:rsidR="0095660C">
            <w:rPr>
              <w:lang w:eastAsia="en-US"/>
            </w:rPr>
            <w:t xml:space="preserve">insufficient or no </w:t>
          </w:r>
          <w:r>
            <w:rPr>
              <w:lang w:eastAsia="en-US"/>
            </w:rPr>
            <w:t>supporting eviden</w:t>
          </w:r>
          <w:r w:rsidR="0095660C">
            <w:rPr>
              <w:lang w:eastAsia="en-US"/>
            </w:rPr>
            <w:t>ce, we may:</w:t>
          </w:r>
        </w:p>
        <w:p w14:paraId="0D94550F" w14:textId="57ABF4F4" w:rsidR="0095660C" w:rsidRDefault="00710ABE" w:rsidP="00C15E5B">
          <w:pPr>
            <w:pStyle w:val="ListParagraph"/>
            <w:numPr>
              <w:ilvl w:val="1"/>
              <w:numId w:val="71"/>
            </w:numPr>
          </w:pPr>
          <w:r>
            <w:t>request additional information and documents</w:t>
          </w:r>
        </w:p>
        <w:p w14:paraId="7F8B6CF6" w14:textId="74FDE7C3" w:rsidR="000E2F57" w:rsidRDefault="00D14DF9" w:rsidP="00C15E5B">
          <w:pPr>
            <w:pStyle w:val="ListParagraph"/>
            <w:numPr>
              <w:ilvl w:val="1"/>
              <w:numId w:val="71"/>
            </w:numPr>
          </w:pPr>
          <w:r>
            <w:t xml:space="preserve">refuse </w:t>
          </w:r>
          <w:r w:rsidR="0095660C">
            <w:t>the application.</w:t>
          </w:r>
        </w:p>
        <w:p w14:paraId="67C5B958" w14:textId="6E854833" w:rsidR="00112101" w:rsidRDefault="005D4AA3" w:rsidP="00CA06B6">
          <w:pPr>
            <w:pStyle w:val="Heading3"/>
            <w:rPr>
              <w:lang w:eastAsia="en-US"/>
            </w:rPr>
          </w:pPr>
          <w:bookmarkStart w:id="31" w:name="_Toc107914333"/>
          <w:r>
            <w:rPr>
              <w:lang w:eastAsia="en-US"/>
            </w:rPr>
            <w:t xml:space="preserve">Assessing </w:t>
          </w:r>
          <w:r w:rsidR="00112101">
            <w:rPr>
              <w:lang w:eastAsia="en-US"/>
            </w:rPr>
            <w:t>your application</w:t>
          </w:r>
          <w:bookmarkEnd w:id="31"/>
        </w:p>
        <w:p w14:paraId="43AFC4CD" w14:textId="2B5D97C1" w:rsidR="00476E7B" w:rsidRDefault="006173CC" w:rsidP="001B2726">
          <w:pPr>
            <w:pStyle w:val="Bullet"/>
            <w:numPr>
              <w:ilvl w:val="0"/>
              <w:numId w:val="30"/>
            </w:numPr>
            <w:ind w:left="993" w:hanging="993"/>
            <w:rPr>
              <w:lang w:eastAsia="en-US"/>
            </w:rPr>
          </w:pPr>
          <w:r w:rsidRPr="001B2726">
            <w:rPr>
              <w:lang w:eastAsia="en-US"/>
            </w:rPr>
            <w:t>We initially</w:t>
          </w:r>
          <w:r w:rsidR="00A81612" w:rsidRPr="001B2726">
            <w:rPr>
              <w:lang w:eastAsia="en-US"/>
            </w:rPr>
            <w:t xml:space="preserve"> </w:t>
          </w:r>
          <w:r w:rsidR="00F0632D" w:rsidRPr="001B2726">
            <w:rPr>
              <w:lang w:eastAsia="en-US"/>
            </w:rPr>
            <w:t>screen</w:t>
          </w:r>
          <w:r w:rsidR="0095660C">
            <w:rPr>
              <w:lang w:eastAsia="en-US"/>
            </w:rPr>
            <w:t xml:space="preserve"> applications</w:t>
          </w:r>
          <w:r w:rsidR="00F0632D" w:rsidRPr="00F569AE">
            <w:rPr>
              <w:lang w:eastAsia="en-US"/>
            </w:rPr>
            <w:t xml:space="preserve"> </w:t>
          </w:r>
          <w:r w:rsidR="00A81612" w:rsidRPr="00F569AE">
            <w:rPr>
              <w:lang w:eastAsia="en-US"/>
            </w:rPr>
            <w:t xml:space="preserve">to ensure </w:t>
          </w:r>
          <w:r w:rsidR="00C91E03" w:rsidRPr="00F569AE">
            <w:rPr>
              <w:lang w:eastAsia="en-US"/>
            </w:rPr>
            <w:t>they</w:t>
          </w:r>
          <w:r w:rsidR="00307818" w:rsidRPr="00F569AE">
            <w:rPr>
              <w:lang w:eastAsia="en-US"/>
            </w:rPr>
            <w:t xml:space="preserve"> are </w:t>
          </w:r>
          <w:r w:rsidR="00A81612" w:rsidRPr="00F569AE">
            <w:rPr>
              <w:lang w:eastAsia="en-US"/>
            </w:rPr>
            <w:t xml:space="preserve">made within </w:t>
          </w:r>
          <w:r w:rsidR="00307818" w:rsidRPr="00F569AE">
            <w:rPr>
              <w:lang w:eastAsia="en-US"/>
            </w:rPr>
            <w:t xml:space="preserve">3 months </w:t>
          </w:r>
          <w:r w:rsidR="0020429B" w:rsidRPr="00F569AE">
            <w:rPr>
              <w:lang w:eastAsia="en-US"/>
            </w:rPr>
            <w:t>from</w:t>
          </w:r>
          <w:r w:rsidR="00905EB6">
            <w:rPr>
              <w:lang w:eastAsia="en-US"/>
            </w:rPr>
            <w:t xml:space="preserve"> </w:t>
          </w:r>
          <w:r w:rsidR="00307818" w:rsidRPr="00F569AE">
            <w:rPr>
              <w:lang w:eastAsia="en-US"/>
            </w:rPr>
            <w:t>the end of the relevant reporting period</w:t>
          </w:r>
          <w:r w:rsidR="0020429B" w:rsidRPr="00F569AE">
            <w:rPr>
              <w:lang w:eastAsia="en-US"/>
            </w:rPr>
            <w:t xml:space="preserve"> (during the reporting window)</w:t>
          </w:r>
          <w:r w:rsidR="00307818" w:rsidRPr="00F569AE">
            <w:rPr>
              <w:lang w:eastAsia="en-US"/>
            </w:rPr>
            <w:t xml:space="preserve"> </w:t>
          </w:r>
          <w:r w:rsidR="00A81612" w:rsidRPr="00F569AE">
            <w:rPr>
              <w:lang w:eastAsia="en-US"/>
            </w:rPr>
            <w:t>and</w:t>
          </w:r>
          <w:r w:rsidR="00A81612" w:rsidRPr="001B2726">
            <w:rPr>
              <w:lang w:eastAsia="en-US"/>
            </w:rPr>
            <w:t xml:space="preserve"> contain the information required </w:t>
          </w:r>
          <w:r w:rsidR="00A81612" w:rsidRPr="00F569AE">
            <w:rPr>
              <w:szCs w:val="22"/>
              <w:lang w:eastAsia="en-US"/>
            </w:rPr>
            <w:t>by the Act</w:t>
          </w:r>
          <w:r w:rsidR="00782D69" w:rsidRPr="00F569AE">
            <w:rPr>
              <w:szCs w:val="22"/>
              <w:lang w:eastAsia="en-US"/>
            </w:rPr>
            <w:t xml:space="preserve">. </w:t>
          </w:r>
          <w:r w:rsidR="00335557" w:rsidRPr="00F569AE">
            <w:rPr>
              <w:szCs w:val="22"/>
              <w:lang w:eastAsia="en-US"/>
            </w:rPr>
            <w:t>We</w:t>
          </w:r>
          <w:r w:rsidR="00335557">
            <w:rPr>
              <w:lang w:eastAsia="en-US"/>
            </w:rPr>
            <w:t xml:space="preserve"> may </w:t>
          </w:r>
          <w:r w:rsidR="00FF655E">
            <w:rPr>
              <w:lang w:eastAsia="en-US"/>
            </w:rPr>
            <w:t xml:space="preserve">refuse </w:t>
          </w:r>
          <w:r w:rsidR="00335557">
            <w:rPr>
              <w:lang w:eastAsia="en-US"/>
            </w:rPr>
            <w:t>a</w:t>
          </w:r>
          <w:r w:rsidR="00476E7B">
            <w:rPr>
              <w:lang w:eastAsia="en-US"/>
            </w:rPr>
            <w:t xml:space="preserve">pplications </w:t>
          </w:r>
          <w:r w:rsidR="00596E9F">
            <w:rPr>
              <w:lang w:eastAsia="en-US"/>
            </w:rPr>
            <w:t xml:space="preserve">that </w:t>
          </w:r>
          <w:r w:rsidR="00825E78">
            <w:rPr>
              <w:lang w:eastAsia="en-US"/>
            </w:rPr>
            <w:t xml:space="preserve">do not pass </w:t>
          </w:r>
          <w:r w:rsidR="00F0632D">
            <w:rPr>
              <w:lang w:eastAsia="en-US"/>
            </w:rPr>
            <w:t xml:space="preserve">screening </w:t>
          </w:r>
          <w:r w:rsidR="00FF655E">
            <w:rPr>
              <w:lang w:eastAsia="en-US"/>
            </w:rPr>
            <w:t>without seeking additional information</w:t>
          </w:r>
          <w:r w:rsidR="00476E7B">
            <w:rPr>
              <w:lang w:eastAsia="en-US"/>
            </w:rPr>
            <w:t>.</w:t>
          </w:r>
        </w:p>
        <w:p w14:paraId="75343BB0" w14:textId="547DF061" w:rsidR="005D3070" w:rsidRDefault="00CF6EF5" w:rsidP="001B2726">
          <w:pPr>
            <w:pStyle w:val="Bullet"/>
            <w:numPr>
              <w:ilvl w:val="0"/>
              <w:numId w:val="30"/>
            </w:numPr>
            <w:ind w:left="993" w:hanging="993"/>
            <w:rPr>
              <w:lang w:eastAsia="en-US"/>
            </w:rPr>
          </w:pPr>
          <w:r>
            <w:rPr>
              <w:lang w:eastAsia="en-US"/>
            </w:rPr>
            <w:t>W</w:t>
          </w:r>
          <w:r w:rsidR="006074E8">
            <w:rPr>
              <w:lang w:eastAsia="en-US"/>
            </w:rPr>
            <w:t>e assess your application</w:t>
          </w:r>
          <w:r w:rsidRPr="00CF6EF5">
            <w:rPr>
              <w:lang w:eastAsia="en-US"/>
            </w:rPr>
            <w:t xml:space="preserve"> </w:t>
          </w:r>
          <w:r>
            <w:rPr>
              <w:lang w:eastAsia="en-US"/>
            </w:rPr>
            <w:t>following screening</w:t>
          </w:r>
          <w:r w:rsidR="00782D69">
            <w:rPr>
              <w:lang w:eastAsia="en-US"/>
            </w:rPr>
            <w:t xml:space="preserve">. </w:t>
          </w:r>
          <w:r w:rsidR="00444661">
            <w:rPr>
              <w:lang w:eastAsia="en-US"/>
            </w:rPr>
            <w:t>Th</w:t>
          </w:r>
          <w:r w:rsidR="00905EB6">
            <w:rPr>
              <w:lang w:eastAsia="en-US"/>
            </w:rPr>
            <w:t>is</w:t>
          </w:r>
          <w:r w:rsidR="0020429B">
            <w:rPr>
              <w:lang w:eastAsia="en-US"/>
            </w:rPr>
            <w:t xml:space="preserve"> assessment may be informed</w:t>
          </w:r>
          <w:r w:rsidR="00444661">
            <w:rPr>
              <w:lang w:eastAsia="en-US"/>
            </w:rPr>
            <w:t xml:space="preserve"> by a review of the applicant’s compliance history</w:t>
          </w:r>
          <w:r w:rsidR="00BA2313">
            <w:rPr>
              <w:lang w:eastAsia="en-US"/>
            </w:rPr>
            <w:t xml:space="preserve"> </w:t>
          </w:r>
          <w:r w:rsidR="00444661">
            <w:rPr>
              <w:lang w:eastAsia="en-US"/>
            </w:rPr>
            <w:t>and</w:t>
          </w:r>
          <w:r w:rsidR="00BA2313">
            <w:rPr>
              <w:lang w:eastAsia="en-US"/>
            </w:rPr>
            <w:t xml:space="preserve"> </w:t>
          </w:r>
          <w:r w:rsidR="00905EB6">
            <w:rPr>
              <w:lang w:eastAsia="en-US"/>
            </w:rPr>
            <w:t>whether</w:t>
          </w:r>
          <w:r w:rsidR="00444661">
            <w:rPr>
              <w:lang w:eastAsia="en-US"/>
            </w:rPr>
            <w:t xml:space="preserve"> they have</w:t>
          </w:r>
          <w:r w:rsidR="00947679">
            <w:rPr>
              <w:lang w:eastAsia="en-US"/>
            </w:rPr>
            <w:t xml:space="preserve"> </w:t>
          </w:r>
          <w:r w:rsidR="00A0491F">
            <w:rPr>
              <w:lang w:eastAsia="en-US"/>
            </w:rPr>
            <w:t>repeatedly sought extensions</w:t>
          </w:r>
          <w:r w:rsidR="00BA2313">
            <w:rPr>
              <w:lang w:eastAsia="en-US"/>
            </w:rPr>
            <w:t xml:space="preserve"> of time</w:t>
          </w:r>
          <w:r w:rsidR="00947679">
            <w:rPr>
              <w:lang w:eastAsia="en-US"/>
            </w:rPr>
            <w:t>.</w:t>
          </w:r>
        </w:p>
        <w:p w14:paraId="507C7D70" w14:textId="7E7B988B" w:rsidR="00476E7B" w:rsidRDefault="00D054D9" w:rsidP="001B2726">
          <w:pPr>
            <w:pStyle w:val="Bullet"/>
            <w:numPr>
              <w:ilvl w:val="0"/>
              <w:numId w:val="30"/>
            </w:numPr>
            <w:ind w:left="993" w:hanging="993"/>
            <w:rPr>
              <w:lang w:eastAsia="en-US"/>
            </w:rPr>
          </w:pPr>
          <w:r>
            <w:rPr>
              <w:lang w:eastAsia="en-US"/>
            </w:rPr>
            <w:t xml:space="preserve">On completion of the </w:t>
          </w:r>
          <w:r w:rsidR="00905EB6">
            <w:rPr>
              <w:lang w:eastAsia="en-US"/>
            </w:rPr>
            <w:t>assessment,</w:t>
          </w:r>
          <w:r>
            <w:rPr>
              <w:lang w:eastAsia="en-US"/>
            </w:rPr>
            <w:t xml:space="preserve"> we may</w:t>
          </w:r>
          <w:r w:rsidR="00D35B37">
            <w:rPr>
              <w:lang w:eastAsia="en-US"/>
            </w:rPr>
            <w:t>:</w:t>
          </w:r>
        </w:p>
        <w:p w14:paraId="1C63C9BE" w14:textId="7851049F" w:rsidR="00D35B37" w:rsidRDefault="000A05CB" w:rsidP="00F569AE">
          <w:pPr>
            <w:pStyle w:val="ListParagraph"/>
            <w:numPr>
              <w:ilvl w:val="1"/>
              <w:numId w:val="72"/>
            </w:numPr>
          </w:pPr>
          <w:r>
            <w:t xml:space="preserve">grant </w:t>
          </w:r>
          <w:r w:rsidR="00BE6C25">
            <w:t>an extension</w:t>
          </w:r>
        </w:p>
        <w:p w14:paraId="7BEC55F1" w14:textId="5E9062E7" w:rsidR="00C647E5" w:rsidRDefault="00C647E5" w:rsidP="00F569AE">
          <w:pPr>
            <w:pStyle w:val="ListParagraph"/>
            <w:numPr>
              <w:ilvl w:val="1"/>
              <w:numId w:val="72"/>
            </w:numPr>
          </w:pPr>
          <w:r>
            <w:t>request additional information, or</w:t>
          </w:r>
        </w:p>
        <w:p w14:paraId="2F8B6FF2" w14:textId="1B8BDB71" w:rsidR="000A05CB" w:rsidRDefault="000A05CB" w:rsidP="00F569AE">
          <w:pPr>
            <w:pStyle w:val="ListParagraph"/>
            <w:numPr>
              <w:ilvl w:val="1"/>
              <w:numId w:val="72"/>
            </w:numPr>
          </w:pPr>
          <w:r>
            <w:t xml:space="preserve">refuse </w:t>
          </w:r>
          <w:r w:rsidR="00693475">
            <w:t>to give an extension</w:t>
          </w:r>
          <w:r>
            <w:t>.</w:t>
          </w:r>
        </w:p>
        <w:p w14:paraId="44C863BA" w14:textId="42E3FB7F" w:rsidR="000A05CB" w:rsidRDefault="000A05CB" w:rsidP="001B2726">
          <w:pPr>
            <w:pStyle w:val="Bullet"/>
            <w:numPr>
              <w:ilvl w:val="0"/>
              <w:numId w:val="30"/>
            </w:numPr>
            <w:ind w:left="993" w:hanging="993"/>
            <w:rPr>
              <w:lang w:eastAsia="en-US"/>
            </w:rPr>
          </w:pPr>
          <w:r>
            <w:rPr>
              <w:lang w:eastAsia="en-US"/>
            </w:rPr>
            <w:t xml:space="preserve">Prior to refusing an application we </w:t>
          </w:r>
          <w:r w:rsidR="005F3D39">
            <w:rPr>
              <w:lang w:eastAsia="en-US"/>
            </w:rPr>
            <w:t>may</w:t>
          </w:r>
          <w:r w:rsidR="007A01D4">
            <w:rPr>
              <w:lang w:eastAsia="en-US"/>
            </w:rPr>
            <w:t xml:space="preserve"> </w:t>
          </w:r>
          <w:r w:rsidR="00905EB6">
            <w:rPr>
              <w:lang w:eastAsia="en-US"/>
            </w:rPr>
            <w:t>notify the applicant of</w:t>
          </w:r>
          <w:r w:rsidR="00932E29">
            <w:rPr>
              <w:lang w:eastAsia="en-US"/>
            </w:rPr>
            <w:t xml:space="preserve"> </w:t>
          </w:r>
          <w:r w:rsidR="00905EB6">
            <w:rPr>
              <w:lang w:eastAsia="en-US"/>
            </w:rPr>
            <w:t>our intention</w:t>
          </w:r>
          <w:r w:rsidR="00BD35EE">
            <w:rPr>
              <w:lang w:eastAsia="en-US"/>
            </w:rPr>
            <w:t xml:space="preserve"> to refuse and </w:t>
          </w:r>
          <w:r w:rsidR="001E19E8">
            <w:rPr>
              <w:lang w:eastAsia="en-US"/>
            </w:rPr>
            <w:t xml:space="preserve">give </w:t>
          </w:r>
          <w:r w:rsidR="00905EB6">
            <w:rPr>
              <w:lang w:eastAsia="en-US"/>
            </w:rPr>
            <w:t>them</w:t>
          </w:r>
          <w:r w:rsidR="001E19E8">
            <w:rPr>
              <w:lang w:eastAsia="en-US"/>
            </w:rPr>
            <w:t xml:space="preserve"> an </w:t>
          </w:r>
          <w:r w:rsidR="00BD35EE">
            <w:rPr>
              <w:lang w:eastAsia="en-US"/>
            </w:rPr>
            <w:t xml:space="preserve">opportunity </w:t>
          </w:r>
          <w:r w:rsidR="001E19E8">
            <w:rPr>
              <w:lang w:eastAsia="en-US"/>
            </w:rPr>
            <w:t xml:space="preserve">to provide </w:t>
          </w:r>
          <w:r w:rsidR="00C647E5">
            <w:rPr>
              <w:lang w:eastAsia="en-US"/>
            </w:rPr>
            <w:t xml:space="preserve">additional </w:t>
          </w:r>
          <w:r w:rsidR="001E19E8">
            <w:rPr>
              <w:lang w:eastAsia="en-US"/>
            </w:rPr>
            <w:t xml:space="preserve">submissions </w:t>
          </w:r>
          <w:r w:rsidR="00C647E5">
            <w:rPr>
              <w:lang w:eastAsia="en-US"/>
            </w:rPr>
            <w:t>and evidence.</w:t>
          </w:r>
        </w:p>
        <w:p w14:paraId="546C98E8" w14:textId="5D158375" w:rsidR="0045636A" w:rsidRDefault="00905EB6" w:rsidP="001B2726">
          <w:pPr>
            <w:pStyle w:val="Bullet"/>
            <w:numPr>
              <w:ilvl w:val="0"/>
              <w:numId w:val="30"/>
            </w:numPr>
            <w:ind w:left="993" w:hanging="993"/>
            <w:rPr>
              <w:lang w:eastAsia="en-US"/>
            </w:rPr>
          </w:pPr>
          <w:r>
            <w:rPr>
              <w:lang w:eastAsia="en-US"/>
            </w:rPr>
            <w:t>Entities</w:t>
          </w:r>
          <w:r w:rsidR="00F22858">
            <w:rPr>
              <w:lang w:eastAsia="en-US"/>
            </w:rPr>
            <w:t xml:space="preserve"> are not required to </w:t>
          </w:r>
          <w:r w:rsidR="001D1C59">
            <w:rPr>
              <w:lang w:eastAsia="en-US"/>
            </w:rPr>
            <w:t xml:space="preserve">give a </w:t>
          </w:r>
          <w:r w:rsidR="00F22858">
            <w:rPr>
              <w:lang w:eastAsia="en-US"/>
            </w:rPr>
            <w:t xml:space="preserve">report while we consider </w:t>
          </w:r>
          <w:r>
            <w:rPr>
              <w:lang w:eastAsia="en-US"/>
            </w:rPr>
            <w:t>their</w:t>
          </w:r>
          <w:r w:rsidR="00F22858">
            <w:rPr>
              <w:lang w:eastAsia="en-US"/>
            </w:rPr>
            <w:t xml:space="preserve"> application</w:t>
          </w:r>
          <w:r w:rsidR="00823068">
            <w:rPr>
              <w:lang w:eastAsia="en-US"/>
            </w:rPr>
            <w:t xml:space="preserve"> for an extension</w:t>
          </w:r>
          <w:r w:rsidR="00782D69">
            <w:rPr>
              <w:lang w:eastAsia="en-US"/>
            </w:rPr>
            <w:t xml:space="preserve">. </w:t>
          </w:r>
          <w:r>
            <w:rPr>
              <w:lang w:eastAsia="en-US"/>
            </w:rPr>
            <w:t>Applicants</w:t>
          </w:r>
          <w:r w:rsidR="00C14584">
            <w:rPr>
              <w:lang w:eastAsia="en-US"/>
            </w:rPr>
            <w:t xml:space="preserve"> can withdraw </w:t>
          </w:r>
          <w:r>
            <w:rPr>
              <w:lang w:eastAsia="en-US"/>
            </w:rPr>
            <w:t>their</w:t>
          </w:r>
          <w:r w:rsidR="00C14584">
            <w:rPr>
              <w:lang w:eastAsia="en-US"/>
            </w:rPr>
            <w:t xml:space="preserve"> application at any time prior to a decision being made</w:t>
          </w:r>
          <w:r w:rsidR="00782D69">
            <w:rPr>
              <w:lang w:eastAsia="en-US"/>
            </w:rPr>
            <w:t xml:space="preserve">. </w:t>
          </w:r>
          <w:r w:rsidR="00984C4C">
            <w:rPr>
              <w:lang w:eastAsia="en-US"/>
            </w:rPr>
            <w:t>A</w:t>
          </w:r>
          <w:r w:rsidR="006F4D62">
            <w:rPr>
              <w:lang w:eastAsia="en-US"/>
            </w:rPr>
            <w:t xml:space="preserve">pplicants should note that if their application is </w:t>
          </w:r>
          <w:r w:rsidR="008065AC">
            <w:rPr>
              <w:lang w:eastAsia="en-US"/>
            </w:rPr>
            <w:t>refused</w:t>
          </w:r>
          <w:r w:rsidR="00984C4C">
            <w:rPr>
              <w:lang w:eastAsia="en-US"/>
            </w:rPr>
            <w:t>,</w:t>
          </w:r>
          <w:r w:rsidR="008065AC">
            <w:rPr>
              <w:lang w:eastAsia="en-US"/>
            </w:rPr>
            <w:t xml:space="preserve"> their report may be </w:t>
          </w:r>
          <w:r w:rsidR="00983C4B">
            <w:rPr>
              <w:lang w:eastAsia="en-US"/>
            </w:rPr>
            <w:t>late,</w:t>
          </w:r>
          <w:r w:rsidR="008065AC">
            <w:rPr>
              <w:lang w:eastAsia="en-US"/>
            </w:rPr>
            <w:t xml:space="preserve"> and </w:t>
          </w:r>
          <w:r w:rsidR="00594113">
            <w:rPr>
              <w:lang w:eastAsia="en-US"/>
            </w:rPr>
            <w:t xml:space="preserve">they may be </w:t>
          </w:r>
          <w:r w:rsidR="008065AC">
            <w:rPr>
              <w:lang w:eastAsia="en-US"/>
            </w:rPr>
            <w:t xml:space="preserve">non-compliant. </w:t>
          </w:r>
        </w:p>
        <w:p w14:paraId="38B69522" w14:textId="25C59D92" w:rsidR="0019512C" w:rsidRDefault="005F3D39" w:rsidP="001B2726">
          <w:pPr>
            <w:pStyle w:val="Bullet"/>
            <w:numPr>
              <w:ilvl w:val="0"/>
              <w:numId w:val="30"/>
            </w:numPr>
            <w:ind w:left="993" w:hanging="993"/>
            <w:rPr>
              <w:lang w:eastAsia="en-US"/>
            </w:rPr>
          </w:pPr>
          <w:r>
            <w:rPr>
              <w:lang w:eastAsia="en-US"/>
            </w:rPr>
            <w:t xml:space="preserve">Because we </w:t>
          </w:r>
          <w:r w:rsidR="005154DD">
            <w:rPr>
              <w:lang w:eastAsia="en-US"/>
            </w:rPr>
            <w:t xml:space="preserve">can </w:t>
          </w:r>
          <w:r>
            <w:rPr>
              <w:lang w:eastAsia="en-US"/>
            </w:rPr>
            <w:t>experience periods with high volumes of applications</w:t>
          </w:r>
          <w:r w:rsidR="00A27F76">
            <w:rPr>
              <w:lang w:eastAsia="en-US"/>
            </w:rPr>
            <w:t xml:space="preserve"> (</w:t>
          </w:r>
          <w:r>
            <w:rPr>
              <w:lang w:eastAsia="en-US"/>
            </w:rPr>
            <w:t xml:space="preserve">particularly at the end of reporting windows </w:t>
          </w:r>
          <w:r w:rsidR="00A27F76">
            <w:rPr>
              <w:lang w:eastAsia="en-US"/>
            </w:rPr>
            <w:t xml:space="preserve">in March and September </w:t>
          </w:r>
          <w:r>
            <w:rPr>
              <w:lang w:eastAsia="en-US"/>
            </w:rPr>
            <w:t>for conventional income years</w:t>
          </w:r>
          <w:r w:rsidR="00A27F76">
            <w:rPr>
              <w:lang w:eastAsia="en-US"/>
            </w:rPr>
            <w:t>)</w:t>
          </w:r>
          <w:r>
            <w:rPr>
              <w:lang w:eastAsia="en-US"/>
            </w:rPr>
            <w:t xml:space="preserve"> decisions on applications for </w:t>
          </w:r>
          <w:r w:rsidR="005154DD">
            <w:rPr>
              <w:lang w:eastAsia="en-US"/>
            </w:rPr>
            <w:t xml:space="preserve">an extension made near the end of a reporting window </w:t>
          </w:r>
          <w:r>
            <w:rPr>
              <w:lang w:eastAsia="en-US"/>
            </w:rPr>
            <w:t xml:space="preserve">may not be </w:t>
          </w:r>
          <w:r w:rsidR="005154DD">
            <w:rPr>
              <w:lang w:eastAsia="en-US"/>
            </w:rPr>
            <w:t>decided before the end of the reporting window</w:t>
          </w:r>
          <w:r>
            <w:rPr>
              <w:lang w:eastAsia="en-US"/>
            </w:rPr>
            <w:t xml:space="preserve">. </w:t>
          </w:r>
          <w:r w:rsidR="00736FF8">
            <w:rPr>
              <w:lang w:eastAsia="en-US"/>
            </w:rPr>
            <w:t xml:space="preserve">Applicants </w:t>
          </w:r>
          <w:r>
            <w:rPr>
              <w:lang w:eastAsia="en-US"/>
            </w:rPr>
            <w:t xml:space="preserve">should continue to take steps to ensure their report can be submitted as soon as practicable </w:t>
          </w:r>
          <w:r w:rsidR="00736FF8">
            <w:rPr>
              <w:lang w:eastAsia="en-US"/>
            </w:rPr>
            <w:t xml:space="preserve">while </w:t>
          </w:r>
          <w:r w:rsidR="00D43E0C">
            <w:rPr>
              <w:lang w:eastAsia="en-US"/>
            </w:rPr>
            <w:t>their</w:t>
          </w:r>
          <w:r w:rsidR="00736FF8">
            <w:rPr>
              <w:lang w:eastAsia="en-US"/>
            </w:rPr>
            <w:t xml:space="preserve"> application is being assessed</w:t>
          </w:r>
          <w:r w:rsidR="00782D69">
            <w:rPr>
              <w:lang w:eastAsia="en-US"/>
            </w:rPr>
            <w:t xml:space="preserve">. </w:t>
          </w:r>
        </w:p>
        <w:p w14:paraId="2BBFEAE6" w14:textId="7CC5BEFA" w:rsidR="009921F3" w:rsidRPr="000B677D" w:rsidRDefault="00FC5577" w:rsidP="00F569AE">
          <w:pPr>
            <w:pStyle w:val="Bullet"/>
            <w:numPr>
              <w:ilvl w:val="0"/>
              <w:numId w:val="30"/>
            </w:numPr>
            <w:ind w:left="993" w:hanging="993"/>
            <w:rPr>
              <w:lang w:eastAsia="en-US"/>
            </w:rPr>
          </w:pPr>
          <w:r w:rsidRPr="001B2726">
            <w:rPr>
              <w:lang w:eastAsia="en-US"/>
            </w:rPr>
            <w:t>To ensure your application is actioned in a timely manner it should be submitted as early as possible.</w:t>
          </w:r>
        </w:p>
        <w:p w14:paraId="1EC623E8" w14:textId="77777777" w:rsidR="00277D37" w:rsidRPr="00267B20" w:rsidRDefault="00277D37" w:rsidP="00CA06B6">
          <w:pPr>
            <w:pStyle w:val="Heading3"/>
            <w:rPr>
              <w:highlight w:val="yellow"/>
              <w:lang w:eastAsia="en-US"/>
            </w:rPr>
          </w:pPr>
          <w:bookmarkStart w:id="32" w:name="_Toc107914334"/>
          <w:r>
            <w:rPr>
              <w:lang w:eastAsia="en-US"/>
            </w:rPr>
            <w:t>Review of decision</w:t>
          </w:r>
          <w:bookmarkEnd w:id="32"/>
        </w:p>
        <w:p w14:paraId="325C338E" w14:textId="01A3DC39" w:rsidR="00277D37" w:rsidRDefault="00277D37" w:rsidP="001B2726">
          <w:pPr>
            <w:pStyle w:val="Bullet"/>
            <w:numPr>
              <w:ilvl w:val="0"/>
              <w:numId w:val="30"/>
            </w:numPr>
            <w:ind w:left="993" w:hanging="993"/>
            <w:rPr>
              <w:lang w:eastAsia="en-US"/>
            </w:rPr>
          </w:pPr>
          <w:r>
            <w:rPr>
              <w:lang w:eastAsia="en-US"/>
            </w:rPr>
            <w:t xml:space="preserve">If we refuse to grant an extension of time </w:t>
          </w:r>
          <w:r w:rsidR="00537EEA">
            <w:rPr>
              <w:lang w:eastAsia="en-US"/>
            </w:rPr>
            <w:t>to give a report,</w:t>
          </w:r>
          <w:r>
            <w:rPr>
              <w:lang w:eastAsia="en-US"/>
            </w:rPr>
            <w:t xml:space="preserve"> </w:t>
          </w:r>
          <w:r w:rsidR="00984C4C">
            <w:rPr>
              <w:lang w:eastAsia="en-US"/>
            </w:rPr>
            <w:t>entities</w:t>
          </w:r>
          <w:r>
            <w:rPr>
              <w:lang w:eastAsia="en-US"/>
            </w:rPr>
            <w:t xml:space="preserve"> may seek an internal review of our decision.</w:t>
          </w:r>
        </w:p>
        <w:p w14:paraId="163291E0" w14:textId="01303CE7" w:rsidR="00277D37" w:rsidRPr="00F569AE" w:rsidRDefault="0047540B" w:rsidP="001B2726">
          <w:pPr>
            <w:pStyle w:val="Bullet"/>
            <w:numPr>
              <w:ilvl w:val="0"/>
              <w:numId w:val="30"/>
            </w:numPr>
            <w:ind w:left="993" w:hanging="993"/>
            <w:rPr>
              <w:lang w:eastAsia="en-US"/>
            </w:rPr>
          </w:pPr>
          <w:r>
            <w:rPr>
              <w:lang w:eastAsia="en-US"/>
            </w:rPr>
            <w:t>The</w:t>
          </w:r>
          <w:r w:rsidR="00277D37">
            <w:rPr>
              <w:lang w:eastAsia="en-US"/>
            </w:rPr>
            <w:t xml:space="preserve"> notice of our decision will include a statement of our reasons for refusal and your rights to a review</w:t>
          </w:r>
          <w:r w:rsidR="00782D69">
            <w:rPr>
              <w:lang w:eastAsia="en-US"/>
            </w:rPr>
            <w:t xml:space="preserve">. </w:t>
          </w:r>
          <w:r w:rsidR="00277D37">
            <w:rPr>
              <w:lang w:eastAsia="en-US"/>
            </w:rPr>
            <w:t xml:space="preserve">For more information see </w:t>
          </w:r>
          <w:hyperlink r:id="rId16" w:history="1">
            <w:r w:rsidR="008A6D67" w:rsidRPr="000B6CAF">
              <w:rPr>
                <w:rStyle w:val="Hyperlink"/>
                <w:rFonts w:ascii="Calibri" w:hAnsi="Calibri"/>
                <w:lang w:eastAsia="en-US"/>
              </w:rPr>
              <w:t xml:space="preserve">Information </w:t>
            </w:r>
            <w:r w:rsidR="00984C4C" w:rsidRPr="000B6CAF">
              <w:rPr>
                <w:rStyle w:val="Hyperlink"/>
                <w:rFonts w:ascii="Calibri" w:hAnsi="Calibri"/>
                <w:lang w:eastAsia="en-US"/>
              </w:rPr>
              <w:t>s</w:t>
            </w:r>
            <w:r w:rsidR="008A6D67" w:rsidRPr="000B6CAF">
              <w:rPr>
                <w:rStyle w:val="Hyperlink"/>
                <w:rFonts w:ascii="Calibri" w:hAnsi="Calibri"/>
                <w:lang w:eastAsia="en-US"/>
              </w:rPr>
              <w:t xml:space="preserve">heet </w:t>
            </w:r>
            <w:r w:rsidR="00277D37" w:rsidRPr="000B6CAF">
              <w:rPr>
                <w:rStyle w:val="Hyperlink"/>
                <w:rFonts w:ascii="Calibri" w:hAnsi="Calibri"/>
                <w:lang w:eastAsia="en-US"/>
              </w:rPr>
              <w:t xml:space="preserve">2: </w:t>
            </w:r>
            <w:r w:rsidR="008A6D67" w:rsidRPr="000B6CAF">
              <w:rPr>
                <w:rStyle w:val="Hyperlink"/>
                <w:rFonts w:ascii="Calibri" w:hAnsi="Calibri"/>
                <w:lang w:eastAsia="en-US"/>
              </w:rPr>
              <w:t xml:space="preserve">Regulator decisions </w:t>
            </w:r>
            <w:r w:rsidR="00984C4C" w:rsidRPr="000B6CAF">
              <w:rPr>
                <w:rStyle w:val="Hyperlink"/>
                <w:rFonts w:ascii="Calibri" w:hAnsi="Calibri"/>
                <w:lang w:eastAsia="en-US"/>
              </w:rPr>
              <w:t xml:space="preserve">– </w:t>
            </w:r>
            <w:r w:rsidR="00277D37" w:rsidRPr="000B6CAF">
              <w:rPr>
                <w:rStyle w:val="Hyperlink"/>
                <w:rFonts w:ascii="Calibri" w:hAnsi="Calibri"/>
                <w:lang w:eastAsia="en-US"/>
              </w:rPr>
              <w:t>Your rights</w:t>
            </w:r>
          </w:hyperlink>
          <w:r w:rsidR="00277D37" w:rsidRPr="00F569AE">
            <w:rPr>
              <w:lang w:eastAsia="en-US"/>
            </w:rPr>
            <w:t>.</w:t>
          </w:r>
        </w:p>
        <w:p w14:paraId="76BA3C52" w14:textId="668D3F60" w:rsidR="00340009" w:rsidRDefault="0065652B" w:rsidP="00340009">
          <w:pPr>
            <w:pStyle w:val="Heading2"/>
            <w:rPr>
              <w:lang w:eastAsia="en-US"/>
            </w:rPr>
          </w:pPr>
          <w:bookmarkStart w:id="33" w:name="_Cease_to_be"/>
          <w:bookmarkStart w:id="34" w:name="_Toc107914335"/>
          <w:bookmarkStart w:id="35" w:name="_Hlk104161447"/>
          <w:bookmarkEnd w:id="33"/>
          <w:r>
            <w:rPr>
              <w:lang w:eastAsia="en-US"/>
            </w:rPr>
            <w:lastRenderedPageBreak/>
            <w:t>C</w:t>
          </w:r>
          <w:r w:rsidR="008B2E9D">
            <w:rPr>
              <w:lang w:eastAsia="en-US"/>
            </w:rPr>
            <w:t>eas</w:t>
          </w:r>
          <w:r w:rsidR="0064592F">
            <w:rPr>
              <w:lang w:eastAsia="en-US"/>
            </w:rPr>
            <w:t>e</w:t>
          </w:r>
          <w:r w:rsidR="008B2E9D">
            <w:rPr>
              <w:lang w:eastAsia="en-US"/>
            </w:rPr>
            <w:t xml:space="preserve"> </w:t>
          </w:r>
          <w:r w:rsidR="00340009">
            <w:rPr>
              <w:lang w:eastAsia="en-US"/>
            </w:rPr>
            <w:t>to be a reporting entity</w:t>
          </w:r>
          <w:bookmarkEnd w:id="34"/>
        </w:p>
        <w:tbl>
          <w:tblPr>
            <w:tblStyle w:val="TableGrid"/>
            <w:tblW w:w="0" w:type="auto"/>
            <w:tblLook w:val="04A0" w:firstRow="1" w:lastRow="0" w:firstColumn="1" w:lastColumn="0" w:noHBand="0" w:noVBand="1"/>
          </w:tblPr>
          <w:tblGrid>
            <w:gridCol w:w="9050"/>
          </w:tblGrid>
          <w:tr w:rsidR="009E16AB" w14:paraId="3E6AC41A" w14:textId="77777777" w:rsidTr="00C0424F">
            <w:tc>
              <w:tcPr>
                <w:tcW w:w="9070" w:type="dxa"/>
                <w:tcBorders>
                  <w:top w:val="single" w:sz="6" w:space="0" w:color="auto"/>
                  <w:left w:val="single" w:sz="8" w:space="0" w:color="auto"/>
                  <w:bottom w:val="single" w:sz="6" w:space="0" w:color="auto"/>
                  <w:right w:val="single" w:sz="8" w:space="0" w:color="auto"/>
                </w:tcBorders>
                <w:shd w:val="clear" w:color="auto" w:fill="2C384A"/>
              </w:tcPr>
              <w:p w14:paraId="28BB8F07" w14:textId="53C531B2" w:rsidR="009E16AB" w:rsidRDefault="009E16AB" w:rsidP="00C0424F">
                <w:pPr>
                  <w:pStyle w:val="Heading3"/>
                  <w:outlineLvl w:val="2"/>
                </w:pPr>
                <w:bookmarkStart w:id="36" w:name="_Toc107914336"/>
                <w:bookmarkEnd w:id="35"/>
                <w:r w:rsidRPr="00F569AE">
                  <w:rPr>
                    <w:color w:val="FFFFFF" w:themeColor="background1"/>
                  </w:rPr>
                  <w:t xml:space="preserve">Key </w:t>
                </w:r>
                <w:r w:rsidR="0065652B" w:rsidRPr="00F569AE">
                  <w:rPr>
                    <w:color w:val="FFFFFF" w:themeColor="background1"/>
                  </w:rPr>
                  <w:t>p</w:t>
                </w:r>
                <w:r w:rsidRPr="00F569AE">
                  <w:rPr>
                    <w:color w:val="FFFFFF" w:themeColor="background1"/>
                  </w:rPr>
                  <w:t>oints</w:t>
                </w:r>
                <w:bookmarkEnd w:id="36"/>
                <w:r w:rsidRPr="00F569AE">
                  <w:rPr>
                    <w:color w:val="FFFFFF" w:themeColor="background1"/>
                  </w:rPr>
                  <w:tab/>
                </w:r>
              </w:p>
            </w:tc>
          </w:tr>
          <w:tr w:rsidR="009E16AB" w14:paraId="233510EE" w14:textId="77777777" w:rsidTr="00C0424F">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248E1FF5" w14:textId="4ACDF9D5" w:rsidR="00707E98" w:rsidRPr="00C0424F" w:rsidRDefault="00707E98" w:rsidP="005B73F4">
                <w:pPr>
                  <w:pStyle w:val="ListParagraph"/>
                  <w:spacing w:before="120"/>
                  <w:ind w:left="312" w:hanging="284"/>
                  <w:jc w:val="left"/>
                  <w:rPr>
                    <w:sz w:val="22"/>
                    <w:szCs w:val="24"/>
                  </w:rPr>
                </w:pPr>
                <w:r w:rsidRPr="00C0424F">
                  <w:rPr>
                    <w:sz w:val="22"/>
                    <w:szCs w:val="24"/>
                  </w:rPr>
                  <w:t>There are prescribed circumstances where we are required to give a determination an entity has ceased to be a reporting entity.  In other circumstances giving a determination is discretionary.</w:t>
                </w:r>
              </w:p>
              <w:p w14:paraId="5AF637AB" w14:textId="582A3222" w:rsidR="00707E98" w:rsidRPr="00C0424F" w:rsidRDefault="00456E5B" w:rsidP="00C0424F">
                <w:pPr>
                  <w:pStyle w:val="ListParagraph"/>
                  <w:ind w:left="310" w:hanging="284"/>
                  <w:jc w:val="left"/>
                  <w:rPr>
                    <w:sz w:val="22"/>
                    <w:szCs w:val="24"/>
                  </w:rPr>
                </w:pPr>
                <w:r w:rsidRPr="00C0424F">
                  <w:rPr>
                    <w:sz w:val="22"/>
                    <w:szCs w:val="24"/>
                  </w:rPr>
                  <w:t>A determination is unlikely to granted for m</w:t>
                </w:r>
                <w:r w:rsidR="00707E98" w:rsidRPr="00C0424F">
                  <w:rPr>
                    <w:sz w:val="22"/>
                    <w:szCs w:val="24"/>
                  </w:rPr>
                  <w:t>ember entities with income falling below A$10 million for two consecutive income years and entities that cease to exist or cease to be a constitutionally covered entity</w:t>
                </w:r>
                <w:r w:rsidRPr="00C0424F">
                  <w:rPr>
                    <w:sz w:val="22"/>
                    <w:szCs w:val="24"/>
                  </w:rPr>
                  <w:t>.</w:t>
                </w:r>
              </w:p>
              <w:p w14:paraId="5D84DB4F" w14:textId="746C0353" w:rsidR="00456E5B" w:rsidRPr="00C0424F" w:rsidRDefault="00456E5B" w:rsidP="00C0424F">
                <w:pPr>
                  <w:pStyle w:val="ListParagraph"/>
                  <w:ind w:left="310" w:hanging="284"/>
                  <w:jc w:val="left"/>
                  <w:rPr>
                    <w:sz w:val="22"/>
                    <w:szCs w:val="24"/>
                  </w:rPr>
                </w:pPr>
                <w:r w:rsidRPr="00C0424F">
                  <w:rPr>
                    <w:sz w:val="22"/>
                    <w:szCs w:val="24"/>
                  </w:rPr>
                  <w:t>We may not grant a determination if doing so would be inconsistent with the intention or objectives of the Act.</w:t>
                </w:r>
              </w:p>
              <w:p w14:paraId="7E371BDE" w14:textId="44D62D7F" w:rsidR="00813E85" w:rsidRPr="00277D6D" w:rsidRDefault="00813E85" w:rsidP="005B73F4">
                <w:pPr>
                  <w:pStyle w:val="ListParagraph"/>
                  <w:ind w:left="310" w:hanging="284"/>
                  <w:jc w:val="left"/>
                </w:pPr>
                <w:r w:rsidRPr="00C0424F">
                  <w:rPr>
                    <w:sz w:val="22"/>
                    <w:szCs w:val="24"/>
                  </w:rPr>
                  <w:t xml:space="preserve">Applications are made on the </w:t>
                </w:r>
                <w:hyperlink r:id="rId17" w:history="1">
                  <w:r w:rsidRPr="00C0424F">
                    <w:rPr>
                      <w:rStyle w:val="Hyperlink"/>
                      <w:rFonts w:ascii="Calibri" w:hAnsi="Calibri"/>
                    </w:rPr>
                    <w:t>Payment Times Reporting Portal</w:t>
                  </w:r>
                </w:hyperlink>
                <w:r w:rsidRPr="00C0424F">
                  <w:rPr>
                    <w:sz w:val="22"/>
                    <w:szCs w:val="24"/>
                  </w:rPr>
                  <w:t xml:space="preserve"> and should </w:t>
                </w:r>
                <w:r w:rsidR="008901EF" w:rsidRPr="00C0424F">
                  <w:rPr>
                    <w:sz w:val="22"/>
                    <w:szCs w:val="24"/>
                  </w:rPr>
                  <w:t>include</w:t>
                </w:r>
                <w:r w:rsidR="00736FF8">
                  <w:rPr>
                    <w:sz w:val="22"/>
                    <w:szCs w:val="24"/>
                  </w:rPr>
                  <w:t xml:space="preserve"> a cover letter </w:t>
                </w:r>
                <w:r w:rsidR="00736FF8" w:rsidRPr="00962264">
                  <w:rPr>
                    <w:sz w:val="22"/>
                    <w:szCs w:val="24"/>
                  </w:rPr>
                  <w:t xml:space="preserve">containing the details set out in </w:t>
                </w:r>
                <w:hyperlink w:anchor="_Table_3:_Cover" w:history="1">
                  <w:r w:rsidR="00736FF8" w:rsidRPr="00D43E0C">
                    <w:rPr>
                      <w:rStyle w:val="Hyperlink"/>
                      <w:szCs w:val="24"/>
                    </w:rPr>
                    <w:t>Table</w:t>
                  </w:r>
                  <w:r w:rsidR="00736FF8" w:rsidRPr="00D43E0C">
                    <w:rPr>
                      <w:rStyle w:val="Hyperlink"/>
                      <w:sz w:val="24"/>
                      <w:szCs w:val="24"/>
                    </w:rPr>
                    <w:t xml:space="preserve"> </w:t>
                  </w:r>
                  <w:r w:rsidR="00736FF8" w:rsidRPr="00D43E0C">
                    <w:rPr>
                      <w:rStyle w:val="Hyperlink"/>
                    </w:rPr>
                    <w:t>3</w:t>
                  </w:r>
                </w:hyperlink>
                <w:r w:rsidR="00736FF8">
                  <w:rPr>
                    <w:sz w:val="22"/>
                    <w:szCs w:val="24"/>
                  </w:rPr>
                  <w:t xml:space="preserve"> and</w:t>
                </w:r>
                <w:r w:rsidRPr="00C0424F">
                  <w:rPr>
                    <w:sz w:val="22"/>
                    <w:szCs w:val="24"/>
                  </w:rPr>
                  <w:t xml:space="preserve"> supporting documentary evidence</w:t>
                </w:r>
                <w:r w:rsidR="00733343" w:rsidRPr="00C0424F">
                  <w:rPr>
                    <w:sz w:val="22"/>
                    <w:szCs w:val="24"/>
                  </w:rPr>
                  <w:t>.</w:t>
                </w:r>
                <w:r w:rsidRPr="00C0424F">
                  <w:rPr>
                    <w:sz w:val="22"/>
                    <w:szCs w:val="24"/>
                  </w:rPr>
                  <w:t xml:space="preserve"> </w:t>
                </w:r>
              </w:p>
            </w:tc>
          </w:tr>
        </w:tbl>
        <w:p w14:paraId="7F40DAA8" w14:textId="1512886C" w:rsidR="003E2BE2" w:rsidRDefault="006D3AB2" w:rsidP="00F569AE">
          <w:pPr>
            <w:pStyle w:val="Heading3"/>
            <w:spacing w:before="240"/>
            <w:rPr>
              <w:lang w:eastAsia="en-US"/>
            </w:rPr>
          </w:pPr>
          <w:bookmarkStart w:id="37" w:name="_Toc107914337"/>
          <w:r>
            <w:rPr>
              <w:lang w:eastAsia="en-US"/>
            </w:rPr>
            <w:t xml:space="preserve">Eligibility for a </w:t>
          </w:r>
          <w:r w:rsidR="008B2E9D">
            <w:rPr>
              <w:lang w:eastAsia="en-US"/>
            </w:rPr>
            <w:t>determination</w:t>
          </w:r>
          <w:r w:rsidR="00733343">
            <w:rPr>
              <w:lang w:eastAsia="en-US"/>
            </w:rPr>
            <w:t xml:space="preserve"> to cease </w:t>
          </w:r>
          <w:r w:rsidR="0046126E">
            <w:rPr>
              <w:lang w:eastAsia="en-US"/>
            </w:rPr>
            <w:t>being a reporting entity</w:t>
          </w:r>
          <w:bookmarkEnd w:id="37"/>
        </w:p>
        <w:p w14:paraId="75E2220A" w14:textId="32639534" w:rsidR="003E2BE2" w:rsidRDefault="00B90FE4" w:rsidP="001B2726">
          <w:pPr>
            <w:pStyle w:val="ListParagraph"/>
            <w:numPr>
              <w:ilvl w:val="0"/>
              <w:numId w:val="30"/>
            </w:numPr>
            <w:ind w:left="993" w:hanging="993"/>
          </w:pPr>
          <w:r>
            <w:t xml:space="preserve">An entity must be a </w:t>
          </w:r>
          <w:r w:rsidR="001044F3" w:rsidRPr="00E22A2F">
            <w:t>reporting entit</w:t>
          </w:r>
          <w:r>
            <w:t>y</w:t>
          </w:r>
          <w:r w:rsidR="001044F3" w:rsidRPr="00E22A2F">
            <w:t xml:space="preserve"> under section 7 of the Act </w:t>
          </w:r>
          <w:r w:rsidR="009A02B4">
            <w:t xml:space="preserve">to be eligible for a </w:t>
          </w:r>
          <w:r w:rsidR="001044F3" w:rsidRPr="00E22A2F">
            <w:t>determination</w:t>
          </w:r>
          <w:r w:rsidR="00E22A2F" w:rsidRPr="00E22A2F">
            <w:t xml:space="preserve"> to cease be</w:t>
          </w:r>
          <w:r w:rsidR="0046126E">
            <w:t>ing</w:t>
          </w:r>
          <w:r w:rsidR="00E22A2F" w:rsidRPr="00E22A2F">
            <w:t xml:space="preserve"> a reporting entity</w:t>
          </w:r>
          <w:r w:rsidR="00782D69">
            <w:t xml:space="preserve">. </w:t>
          </w:r>
          <w:r w:rsidR="002E11F2">
            <w:t xml:space="preserve">We </w:t>
          </w:r>
          <w:r w:rsidR="00153701">
            <w:t xml:space="preserve">cannot </w:t>
          </w:r>
          <w:r w:rsidR="002E11F2">
            <w:t xml:space="preserve">give a determination </w:t>
          </w:r>
          <w:r w:rsidR="009A02B4">
            <w:t xml:space="preserve">to an entity that is </w:t>
          </w:r>
          <w:r w:rsidR="004C57B0">
            <w:t xml:space="preserve">not </w:t>
          </w:r>
          <w:r w:rsidR="009A02B4">
            <w:t xml:space="preserve">a </w:t>
          </w:r>
          <w:r w:rsidR="004C57B0">
            <w:t xml:space="preserve">reporting </w:t>
          </w:r>
          <w:r w:rsidR="009A02B4">
            <w:t>entity</w:t>
          </w:r>
          <w:r w:rsidR="004C57B0">
            <w:t>.</w:t>
          </w:r>
        </w:p>
        <w:p w14:paraId="301225C4" w14:textId="012E6F94" w:rsidR="004C57B0" w:rsidRDefault="004C57B0" w:rsidP="001B2726">
          <w:pPr>
            <w:pStyle w:val="ListParagraph"/>
            <w:numPr>
              <w:ilvl w:val="0"/>
              <w:numId w:val="30"/>
            </w:numPr>
            <w:ind w:left="993" w:hanging="993"/>
          </w:pPr>
          <w:r>
            <w:t xml:space="preserve">Table 2 provides </w:t>
          </w:r>
          <w:r w:rsidR="009A02B4">
            <w:t xml:space="preserve">guidance for </w:t>
          </w:r>
          <w:r w:rsidR="003B24F1">
            <w:t xml:space="preserve">scenarios where an entity </w:t>
          </w:r>
          <w:r>
            <w:t xml:space="preserve">should not apply for a determination and the </w:t>
          </w:r>
          <w:r w:rsidR="003B24F1">
            <w:t xml:space="preserve">alternative </w:t>
          </w:r>
          <w:r>
            <w:t>course of action th</w:t>
          </w:r>
          <w:r w:rsidR="00733343">
            <w:t>ey</w:t>
          </w:r>
          <w:r>
            <w:t xml:space="preserve"> may take.</w:t>
          </w:r>
        </w:p>
        <w:p w14:paraId="0AD3645D" w14:textId="6D7B3297" w:rsidR="008543B1" w:rsidRPr="001B2726" w:rsidRDefault="008543B1" w:rsidP="00F569AE">
          <w:pPr>
            <w:pStyle w:val="Heading4"/>
            <w:rPr>
              <w:lang w:eastAsia="en-US"/>
            </w:rPr>
          </w:pPr>
          <w:r w:rsidRPr="001B2726">
            <w:rPr>
              <w:lang w:eastAsia="en-US"/>
            </w:rPr>
            <w:t xml:space="preserve">Table </w:t>
          </w:r>
          <w:r w:rsidR="00872B1F" w:rsidRPr="001B2726">
            <w:rPr>
              <w:lang w:eastAsia="en-US"/>
            </w:rPr>
            <w:t>2</w:t>
          </w:r>
          <w:r w:rsidRPr="001B2726">
            <w:rPr>
              <w:lang w:eastAsia="en-US"/>
            </w:rPr>
            <w:t xml:space="preserve">: </w:t>
          </w:r>
          <w:r w:rsidR="002C38BC" w:rsidRPr="001B2726">
            <w:rPr>
              <w:lang w:eastAsia="en-US"/>
            </w:rPr>
            <w:t xml:space="preserve">Entities </w:t>
          </w:r>
          <w:r w:rsidR="00733343" w:rsidRPr="001B2726">
            <w:rPr>
              <w:lang w:eastAsia="en-US"/>
            </w:rPr>
            <w:t>that</w:t>
          </w:r>
          <w:r w:rsidR="002C38BC" w:rsidRPr="001B2726">
            <w:rPr>
              <w:lang w:eastAsia="en-US"/>
            </w:rPr>
            <w:t xml:space="preserve"> should not apply for a determination</w:t>
          </w:r>
        </w:p>
        <w:tbl>
          <w:tblPr>
            <w:tblStyle w:val="TableGrid"/>
            <w:tblW w:w="9922" w:type="dxa"/>
            <w:tblCellMar>
              <w:top w:w="85" w:type="dxa"/>
              <w:bottom w:w="85" w:type="dxa"/>
            </w:tblCellMar>
            <w:tblLook w:val="04A0" w:firstRow="1" w:lastRow="0" w:firstColumn="1" w:lastColumn="0" w:noHBand="0" w:noVBand="1"/>
          </w:tblPr>
          <w:tblGrid>
            <w:gridCol w:w="3005"/>
            <w:gridCol w:w="6917"/>
          </w:tblGrid>
          <w:tr w:rsidR="00962264" w14:paraId="616DAE6C" w14:textId="77777777" w:rsidTr="00962264">
            <w:tc>
              <w:tcPr>
                <w:tcW w:w="3005" w:type="dxa"/>
                <w:tcBorders>
                  <w:top w:val="single" w:sz="6" w:space="0" w:color="auto"/>
                  <w:left w:val="single" w:sz="8" w:space="0" w:color="auto"/>
                  <w:bottom w:val="single" w:sz="6" w:space="0" w:color="auto"/>
                  <w:right w:val="single" w:sz="8" w:space="0" w:color="auto"/>
                </w:tcBorders>
                <w:shd w:val="clear" w:color="auto" w:fill="2C384A"/>
              </w:tcPr>
              <w:p w14:paraId="6ABE02F3" w14:textId="2A50C30B" w:rsidR="008543B1" w:rsidRPr="00895183" w:rsidRDefault="00C117E0" w:rsidP="00DA6EA8">
                <w:pPr>
                  <w:spacing w:before="0" w:after="0"/>
                  <w:rPr>
                    <w:b/>
                    <w:bCs/>
                    <w:color w:val="FFFFFF" w:themeColor="background1"/>
                    <w:sz w:val="22"/>
                    <w:szCs w:val="22"/>
                  </w:rPr>
                </w:pPr>
                <w:r w:rsidRPr="00895183">
                  <w:rPr>
                    <w:b/>
                    <w:bCs/>
                    <w:color w:val="FFFFFF" w:themeColor="background1"/>
                    <w:sz w:val="22"/>
                    <w:szCs w:val="22"/>
                  </w:rPr>
                  <w:t>Entity</w:t>
                </w:r>
                <w:r w:rsidR="008C6532" w:rsidRPr="00895183">
                  <w:rPr>
                    <w:b/>
                    <w:bCs/>
                    <w:color w:val="FFFFFF" w:themeColor="background1"/>
                    <w:sz w:val="22"/>
                    <w:szCs w:val="22"/>
                  </w:rPr>
                  <w:t xml:space="preserve"> </w:t>
                </w:r>
                <w:r w:rsidR="0046126E" w:rsidRPr="00895183">
                  <w:rPr>
                    <w:b/>
                    <w:bCs/>
                    <w:color w:val="FFFFFF" w:themeColor="background1"/>
                    <w:sz w:val="22"/>
                    <w:szCs w:val="22"/>
                  </w:rPr>
                  <w:t>s</w:t>
                </w:r>
                <w:r w:rsidR="003B24F1" w:rsidRPr="00895183">
                  <w:rPr>
                    <w:b/>
                    <w:bCs/>
                    <w:color w:val="FFFFFF" w:themeColor="background1"/>
                    <w:sz w:val="22"/>
                    <w:szCs w:val="22"/>
                  </w:rPr>
                  <w:t>cenario</w:t>
                </w:r>
                <w:r w:rsidR="008543B1" w:rsidRPr="00895183">
                  <w:rPr>
                    <w:b/>
                    <w:bCs/>
                    <w:color w:val="FFFFFF" w:themeColor="background1"/>
                    <w:sz w:val="22"/>
                    <w:szCs w:val="22"/>
                  </w:rPr>
                  <w:tab/>
                </w:r>
              </w:p>
            </w:tc>
            <w:tc>
              <w:tcPr>
                <w:tcW w:w="6917" w:type="dxa"/>
                <w:tcBorders>
                  <w:top w:val="single" w:sz="6" w:space="0" w:color="auto"/>
                  <w:left w:val="single" w:sz="8" w:space="0" w:color="auto"/>
                  <w:bottom w:val="single" w:sz="6" w:space="0" w:color="auto"/>
                  <w:right w:val="single" w:sz="8" w:space="0" w:color="auto"/>
                </w:tcBorders>
                <w:shd w:val="clear" w:color="auto" w:fill="2C384A"/>
              </w:tcPr>
              <w:p w14:paraId="168402D7" w14:textId="7757497F" w:rsidR="008543B1" w:rsidRPr="00895183" w:rsidRDefault="003B24F1" w:rsidP="00DA6EA8">
                <w:pPr>
                  <w:spacing w:before="0" w:after="0"/>
                  <w:rPr>
                    <w:b/>
                    <w:bCs/>
                    <w:color w:val="FFFFFF" w:themeColor="background1"/>
                    <w:sz w:val="22"/>
                    <w:szCs w:val="22"/>
                  </w:rPr>
                </w:pPr>
                <w:r w:rsidRPr="00895183">
                  <w:rPr>
                    <w:b/>
                    <w:bCs/>
                    <w:color w:val="FFFFFF" w:themeColor="background1"/>
                    <w:sz w:val="22"/>
                    <w:szCs w:val="22"/>
                  </w:rPr>
                  <w:t xml:space="preserve">Alternative </w:t>
                </w:r>
                <w:r w:rsidR="0046126E" w:rsidRPr="00895183">
                  <w:rPr>
                    <w:b/>
                    <w:bCs/>
                    <w:color w:val="FFFFFF" w:themeColor="background1"/>
                    <w:sz w:val="22"/>
                    <w:szCs w:val="22"/>
                  </w:rPr>
                  <w:t>a</w:t>
                </w:r>
                <w:r w:rsidR="00C117E0" w:rsidRPr="00895183">
                  <w:rPr>
                    <w:b/>
                    <w:bCs/>
                    <w:color w:val="FFFFFF" w:themeColor="background1"/>
                    <w:sz w:val="22"/>
                    <w:szCs w:val="22"/>
                  </w:rPr>
                  <w:t>ction</w:t>
                </w:r>
              </w:p>
            </w:tc>
          </w:tr>
          <w:tr w:rsidR="00962264" w14:paraId="4BBAB5E2" w14:textId="77777777" w:rsidTr="00962264">
            <w:tc>
              <w:tcPr>
                <w:tcW w:w="3005" w:type="dxa"/>
                <w:tcBorders>
                  <w:top w:val="single" w:sz="6" w:space="0" w:color="auto"/>
                  <w:left w:val="single" w:sz="8" w:space="0" w:color="auto"/>
                  <w:bottom w:val="single" w:sz="6" w:space="0" w:color="auto"/>
                  <w:right w:val="single" w:sz="8" w:space="0" w:color="auto"/>
                </w:tcBorders>
                <w:shd w:val="clear" w:color="auto" w:fill="FFFFFF" w:themeFill="background1"/>
              </w:tcPr>
              <w:p w14:paraId="47C9478A" w14:textId="0514C240" w:rsidR="008543B1" w:rsidRPr="00F569AE" w:rsidRDefault="00C117E0" w:rsidP="00135EB3">
                <w:pPr>
                  <w:spacing w:before="0" w:after="0"/>
                  <w:jc w:val="left"/>
                  <w:rPr>
                    <w:sz w:val="22"/>
                    <w:szCs w:val="22"/>
                  </w:rPr>
                </w:pPr>
                <w:r w:rsidRPr="00F569AE">
                  <w:rPr>
                    <w:sz w:val="22"/>
                    <w:szCs w:val="22"/>
                  </w:rPr>
                  <w:t>Entities that are not reporting entities</w:t>
                </w:r>
                <w:r w:rsidR="009C678F" w:rsidRPr="00F569AE">
                  <w:rPr>
                    <w:sz w:val="22"/>
                    <w:szCs w:val="22"/>
                  </w:rPr>
                  <w:t xml:space="preserve"> </w:t>
                </w:r>
                <w:r w:rsidR="00AC0190" w:rsidRPr="00F569AE">
                  <w:rPr>
                    <w:sz w:val="22"/>
                    <w:szCs w:val="22"/>
                  </w:rPr>
                  <w:t xml:space="preserve">and have </w:t>
                </w:r>
                <w:r w:rsidR="009C678F" w:rsidRPr="00F569AE">
                  <w:rPr>
                    <w:sz w:val="22"/>
                    <w:szCs w:val="22"/>
                  </w:rPr>
                  <w:t xml:space="preserve">mistakenly registered </w:t>
                </w:r>
                <w:r w:rsidR="00AC0190" w:rsidRPr="00F569AE">
                  <w:rPr>
                    <w:sz w:val="22"/>
                    <w:szCs w:val="22"/>
                  </w:rPr>
                  <w:t xml:space="preserve">or </w:t>
                </w:r>
                <w:r w:rsidR="004B67B0" w:rsidRPr="00F569AE">
                  <w:rPr>
                    <w:sz w:val="22"/>
                    <w:szCs w:val="22"/>
                  </w:rPr>
                  <w:t xml:space="preserve">lodged </w:t>
                </w:r>
                <w:r w:rsidR="00B164E3" w:rsidRPr="00F569AE">
                  <w:rPr>
                    <w:sz w:val="22"/>
                    <w:szCs w:val="22"/>
                  </w:rPr>
                  <w:t>a payment times report</w:t>
                </w:r>
                <w:r w:rsidR="0046126E" w:rsidRPr="00F569AE">
                  <w:rPr>
                    <w:sz w:val="22"/>
                    <w:szCs w:val="22"/>
                  </w:rPr>
                  <w:t>.</w:t>
                </w:r>
              </w:p>
            </w:tc>
            <w:tc>
              <w:tcPr>
                <w:tcW w:w="6917" w:type="dxa"/>
                <w:tcBorders>
                  <w:top w:val="single" w:sz="6" w:space="0" w:color="auto"/>
                  <w:left w:val="single" w:sz="8" w:space="0" w:color="auto"/>
                  <w:bottom w:val="single" w:sz="6" w:space="0" w:color="auto"/>
                  <w:right w:val="single" w:sz="8" w:space="0" w:color="auto"/>
                </w:tcBorders>
                <w:shd w:val="clear" w:color="auto" w:fill="FFFFFF" w:themeFill="background1"/>
              </w:tcPr>
              <w:p w14:paraId="5F6B9C2E" w14:textId="4E3B0300" w:rsidR="00B164E3" w:rsidRPr="00F569AE" w:rsidRDefault="00BD5041" w:rsidP="00135EB3">
                <w:pPr>
                  <w:spacing w:before="0"/>
                  <w:jc w:val="left"/>
                  <w:rPr>
                    <w:sz w:val="22"/>
                    <w:szCs w:val="22"/>
                  </w:rPr>
                </w:pPr>
                <w:r w:rsidRPr="00F569AE">
                  <w:rPr>
                    <w:sz w:val="22"/>
                    <w:szCs w:val="22"/>
                  </w:rPr>
                  <w:t xml:space="preserve">Update entity details in the </w:t>
                </w:r>
                <w:hyperlink r:id="rId18" w:history="1">
                  <w:r w:rsidRPr="00F569AE">
                    <w:rPr>
                      <w:rStyle w:val="Hyperlink"/>
                      <w:rFonts w:ascii="Calibri" w:hAnsi="Calibri"/>
                      <w:szCs w:val="22"/>
                    </w:rPr>
                    <w:t>Payment Times Reporting Portal</w:t>
                  </w:r>
                </w:hyperlink>
                <w:r w:rsidR="00782D69" w:rsidRPr="00F569AE">
                  <w:rPr>
                    <w:sz w:val="22"/>
                    <w:szCs w:val="22"/>
                  </w:rPr>
                  <w:t xml:space="preserve">. </w:t>
                </w:r>
              </w:p>
              <w:p w14:paraId="61A9D76F" w14:textId="09BD7667" w:rsidR="008543B1" w:rsidRPr="00F569AE" w:rsidRDefault="00B164E3" w:rsidP="00135EB3">
                <w:pPr>
                  <w:spacing w:before="0" w:after="0"/>
                  <w:jc w:val="left"/>
                  <w:rPr>
                    <w:sz w:val="22"/>
                    <w:szCs w:val="22"/>
                  </w:rPr>
                </w:pPr>
                <w:r w:rsidRPr="00F569AE">
                  <w:rPr>
                    <w:sz w:val="22"/>
                    <w:szCs w:val="22"/>
                  </w:rPr>
                  <w:t>R</w:t>
                </w:r>
                <w:r w:rsidR="008C6532" w:rsidRPr="00F569AE">
                  <w:rPr>
                    <w:sz w:val="22"/>
                    <w:szCs w:val="22"/>
                  </w:rPr>
                  <w:t xml:space="preserve">eports </w:t>
                </w:r>
                <w:r w:rsidR="00C95E5D" w:rsidRPr="00F569AE">
                  <w:rPr>
                    <w:sz w:val="22"/>
                    <w:szCs w:val="22"/>
                  </w:rPr>
                  <w:t xml:space="preserve">registered while not a reporting entity may be removed from the </w:t>
                </w:r>
                <w:hyperlink r:id="rId19" w:history="1">
                  <w:r w:rsidR="0046126E" w:rsidRPr="00F569AE">
                    <w:rPr>
                      <w:rStyle w:val="Hyperlink"/>
                      <w:rFonts w:ascii="Calibri" w:hAnsi="Calibri"/>
                      <w:szCs w:val="22"/>
                    </w:rPr>
                    <w:t>P</w:t>
                  </w:r>
                  <w:r w:rsidR="00C95E5D" w:rsidRPr="00F569AE">
                    <w:rPr>
                      <w:rStyle w:val="Hyperlink"/>
                      <w:rFonts w:ascii="Calibri" w:hAnsi="Calibri"/>
                      <w:szCs w:val="22"/>
                    </w:rPr>
                    <w:t xml:space="preserve">ayment </w:t>
                  </w:r>
                  <w:r w:rsidR="0046126E" w:rsidRPr="00F569AE">
                    <w:rPr>
                      <w:rStyle w:val="Hyperlink"/>
                      <w:rFonts w:ascii="Calibri" w:hAnsi="Calibri"/>
                      <w:szCs w:val="22"/>
                    </w:rPr>
                    <w:t>T</w:t>
                  </w:r>
                  <w:r w:rsidR="00C95E5D" w:rsidRPr="00F569AE">
                    <w:rPr>
                      <w:rStyle w:val="Hyperlink"/>
                      <w:rFonts w:ascii="Calibri" w:hAnsi="Calibri"/>
                      <w:szCs w:val="22"/>
                    </w:rPr>
                    <w:t xml:space="preserve">imes </w:t>
                  </w:r>
                  <w:r w:rsidR="0046126E" w:rsidRPr="00F569AE">
                    <w:rPr>
                      <w:rStyle w:val="Hyperlink"/>
                      <w:rFonts w:ascii="Calibri" w:hAnsi="Calibri"/>
                      <w:szCs w:val="22"/>
                    </w:rPr>
                    <w:t>R</w:t>
                  </w:r>
                  <w:r w:rsidR="00C95E5D" w:rsidRPr="00F569AE">
                    <w:rPr>
                      <w:rStyle w:val="Hyperlink"/>
                      <w:rFonts w:ascii="Calibri" w:hAnsi="Calibri"/>
                      <w:szCs w:val="22"/>
                    </w:rPr>
                    <w:t xml:space="preserve">eports </w:t>
                  </w:r>
                  <w:r w:rsidR="0046126E" w:rsidRPr="00F569AE">
                    <w:rPr>
                      <w:rStyle w:val="Hyperlink"/>
                      <w:rFonts w:ascii="Calibri" w:hAnsi="Calibri"/>
                      <w:szCs w:val="22"/>
                    </w:rPr>
                    <w:t>R</w:t>
                  </w:r>
                  <w:r w:rsidR="00C95E5D" w:rsidRPr="00F569AE">
                    <w:rPr>
                      <w:rStyle w:val="Hyperlink"/>
                      <w:rFonts w:ascii="Calibri" w:hAnsi="Calibri"/>
                      <w:szCs w:val="22"/>
                    </w:rPr>
                    <w:t>egister</w:t>
                  </w:r>
                </w:hyperlink>
                <w:r w:rsidR="00C95E5D" w:rsidRPr="00F569AE">
                  <w:rPr>
                    <w:sz w:val="22"/>
                    <w:szCs w:val="22"/>
                  </w:rPr>
                  <w:t>.</w:t>
                </w:r>
              </w:p>
            </w:tc>
          </w:tr>
          <w:tr w:rsidR="00962264" w14:paraId="5D6C646C" w14:textId="77777777" w:rsidTr="00962264">
            <w:tc>
              <w:tcPr>
                <w:tcW w:w="3005" w:type="dxa"/>
                <w:tcBorders>
                  <w:top w:val="single" w:sz="6" w:space="0" w:color="auto"/>
                  <w:left w:val="single" w:sz="8" w:space="0" w:color="auto"/>
                  <w:bottom w:val="single" w:sz="6" w:space="0" w:color="auto"/>
                  <w:right w:val="single" w:sz="8" w:space="0" w:color="auto"/>
                </w:tcBorders>
                <w:shd w:val="clear" w:color="auto" w:fill="FFFFFF" w:themeFill="background1"/>
              </w:tcPr>
              <w:p w14:paraId="008748CA" w14:textId="086CC973" w:rsidR="00DF2393" w:rsidRPr="00F569AE" w:rsidRDefault="00DF2393" w:rsidP="00135EB3">
                <w:pPr>
                  <w:spacing w:before="0" w:after="0"/>
                  <w:jc w:val="left"/>
                  <w:rPr>
                    <w:sz w:val="22"/>
                    <w:szCs w:val="22"/>
                  </w:rPr>
                </w:pPr>
                <w:r w:rsidRPr="00F569AE">
                  <w:rPr>
                    <w:sz w:val="22"/>
                    <w:szCs w:val="22"/>
                  </w:rPr>
                  <w:t>Entities that have ceased to exist</w:t>
                </w:r>
                <w:r w:rsidR="008C1466" w:rsidRPr="00F569AE">
                  <w:rPr>
                    <w:sz w:val="22"/>
                    <w:szCs w:val="22"/>
                  </w:rPr>
                  <w:t xml:space="preserve"> or ceased to be a constitutionally covered entity (CCE)</w:t>
                </w:r>
                <w:r w:rsidR="0046126E" w:rsidRPr="00F569AE">
                  <w:rPr>
                    <w:sz w:val="22"/>
                    <w:szCs w:val="22"/>
                  </w:rPr>
                  <w:t>.</w:t>
                </w:r>
              </w:p>
            </w:tc>
            <w:tc>
              <w:tcPr>
                <w:tcW w:w="6917" w:type="dxa"/>
                <w:tcBorders>
                  <w:top w:val="single" w:sz="6" w:space="0" w:color="auto"/>
                  <w:left w:val="single" w:sz="8" w:space="0" w:color="auto"/>
                  <w:bottom w:val="single" w:sz="6" w:space="0" w:color="auto"/>
                  <w:right w:val="single" w:sz="8" w:space="0" w:color="auto"/>
                </w:tcBorders>
                <w:shd w:val="clear" w:color="auto" w:fill="FFFFFF" w:themeFill="background1"/>
              </w:tcPr>
              <w:p w14:paraId="3F71F89E" w14:textId="63E86AC2" w:rsidR="000A4F84" w:rsidRPr="00F569AE" w:rsidRDefault="00F26FA0" w:rsidP="00135EB3">
                <w:pPr>
                  <w:spacing w:before="0"/>
                  <w:jc w:val="left"/>
                  <w:rPr>
                    <w:sz w:val="22"/>
                    <w:szCs w:val="22"/>
                  </w:rPr>
                </w:pPr>
                <w:r w:rsidRPr="00F569AE">
                  <w:rPr>
                    <w:sz w:val="22"/>
                    <w:szCs w:val="22"/>
                  </w:rPr>
                  <w:t>A</w:t>
                </w:r>
                <w:r w:rsidR="005F12AE" w:rsidRPr="00F569AE">
                  <w:rPr>
                    <w:sz w:val="22"/>
                    <w:szCs w:val="22"/>
                  </w:rPr>
                  <w:t xml:space="preserve">n officer or other person </w:t>
                </w:r>
                <w:r w:rsidR="00D21AB2" w:rsidRPr="00F569AE">
                  <w:rPr>
                    <w:sz w:val="22"/>
                    <w:szCs w:val="22"/>
                  </w:rPr>
                  <w:t xml:space="preserve">authorised to act for the entity </w:t>
                </w:r>
                <w:r w:rsidRPr="00F569AE">
                  <w:rPr>
                    <w:sz w:val="22"/>
                    <w:szCs w:val="22"/>
                  </w:rPr>
                  <w:t xml:space="preserve">should </w:t>
                </w:r>
                <w:r w:rsidR="005F12AE" w:rsidRPr="00F569AE">
                  <w:rPr>
                    <w:sz w:val="22"/>
                    <w:szCs w:val="22"/>
                  </w:rPr>
                  <w:t>e</w:t>
                </w:r>
                <w:r w:rsidR="00DA667A" w:rsidRPr="00F569AE">
                  <w:rPr>
                    <w:sz w:val="22"/>
                    <w:szCs w:val="22"/>
                  </w:rPr>
                  <w:t xml:space="preserve">mail us at </w:t>
                </w:r>
                <w:hyperlink r:id="rId20" w:history="1">
                  <w:r w:rsidR="00DA667A" w:rsidRPr="00F569AE">
                    <w:rPr>
                      <w:rStyle w:val="Hyperlink"/>
                      <w:szCs w:val="22"/>
                    </w:rPr>
                    <w:t>support@paymenttimes.gov.au</w:t>
                  </w:r>
                </w:hyperlink>
                <w:r w:rsidR="000A4F84" w:rsidRPr="00F569AE">
                  <w:rPr>
                    <w:sz w:val="22"/>
                    <w:szCs w:val="22"/>
                  </w:rPr>
                  <w:t xml:space="preserve"> and </w:t>
                </w:r>
                <w:r w:rsidR="002F2B3B" w:rsidRPr="00F569AE">
                  <w:rPr>
                    <w:sz w:val="22"/>
                    <w:szCs w:val="22"/>
                  </w:rPr>
                  <w:t>provide</w:t>
                </w:r>
                <w:r w:rsidR="000A4F84" w:rsidRPr="00F569AE">
                  <w:rPr>
                    <w:sz w:val="22"/>
                    <w:szCs w:val="22"/>
                  </w:rPr>
                  <w:t>:</w:t>
                </w:r>
              </w:p>
              <w:p w14:paraId="361E6D5B" w14:textId="2CA25C06" w:rsidR="002F2B3B" w:rsidRPr="00F569AE" w:rsidRDefault="000A4F84" w:rsidP="00962264">
                <w:pPr>
                  <w:pStyle w:val="ListParagraph"/>
                  <w:spacing w:after="80"/>
                  <w:jc w:val="left"/>
                  <w:rPr>
                    <w:sz w:val="22"/>
                    <w:szCs w:val="24"/>
                  </w:rPr>
                </w:pPr>
                <w:r w:rsidRPr="00F569AE">
                  <w:rPr>
                    <w:sz w:val="22"/>
                    <w:szCs w:val="24"/>
                  </w:rPr>
                  <w:t xml:space="preserve">the </w:t>
                </w:r>
                <w:r w:rsidR="002F2B3B" w:rsidRPr="00F569AE">
                  <w:rPr>
                    <w:sz w:val="22"/>
                    <w:szCs w:val="24"/>
                  </w:rPr>
                  <w:t>entity name and ABN/</w:t>
                </w:r>
                <w:r w:rsidR="00F569AE">
                  <w:rPr>
                    <w:sz w:val="22"/>
                    <w:szCs w:val="24"/>
                  </w:rPr>
                  <w:t>ACN</w:t>
                </w:r>
                <w:r w:rsidR="002F2B3B" w:rsidRPr="00F569AE">
                  <w:rPr>
                    <w:sz w:val="22"/>
                    <w:szCs w:val="24"/>
                  </w:rPr>
                  <w:t xml:space="preserve"> </w:t>
                </w:r>
              </w:p>
              <w:p w14:paraId="4686054E" w14:textId="5077C6D4" w:rsidR="009B6138" w:rsidRPr="00F569AE" w:rsidRDefault="002F2B3B" w:rsidP="00962264">
                <w:pPr>
                  <w:pStyle w:val="ListParagraph"/>
                  <w:spacing w:after="80"/>
                  <w:jc w:val="left"/>
                  <w:rPr>
                    <w:sz w:val="22"/>
                    <w:szCs w:val="24"/>
                  </w:rPr>
                </w:pPr>
                <w:r w:rsidRPr="00F569AE">
                  <w:rPr>
                    <w:sz w:val="22"/>
                    <w:szCs w:val="24"/>
                  </w:rPr>
                  <w:t>the identi</w:t>
                </w:r>
                <w:r w:rsidR="00F26FA0" w:rsidRPr="00F569AE">
                  <w:rPr>
                    <w:sz w:val="22"/>
                    <w:szCs w:val="24"/>
                  </w:rPr>
                  <w:t>t</w:t>
                </w:r>
                <w:r w:rsidRPr="00F569AE">
                  <w:rPr>
                    <w:sz w:val="22"/>
                    <w:szCs w:val="24"/>
                  </w:rPr>
                  <w:t xml:space="preserve">y </w:t>
                </w:r>
                <w:r w:rsidR="005F12AE" w:rsidRPr="00F569AE">
                  <w:rPr>
                    <w:sz w:val="22"/>
                    <w:szCs w:val="24"/>
                  </w:rPr>
                  <w:t xml:space="preserve">and contact details of the person </w:t>
                </w:r>
                <w:r w:rsidR="009B6138" w:rsidRPr="00F569AE">
                  <w:rPr>
                    <w:sz w:val="22"/>
                    <w:szCs w:val="24"/>
                  </w:rPr>
                  <w:t>giving notice</w:t>
                </w:r>
              </w:p>
              <w:p w14:paraId="13EBD3A2" w14:textId="1E139DDE" w:rsidR="009B6138" w:rsidRPr="00F569AE" w:rsidRDefault="00F26FA0" w:rsidP="00962264">
                <w:pPr>
                  <w:pStyle w:val="ListParagraph"/>
                  <w:spacing w:after="80"/>
                  <w:jc w:val="left"/>
                  <w:rPr>
                    <w:sz w:val="22"/>
                    <w:szCs w:val="24"/>
                  </w:rPr>
                </w:pPr>
                <w:r w:rsidRPr="00F569AE">
                  <w:rPr>
                    <w:sz w:val="22"/>
                    <w:szCs w:val="24"/>
                  </w:rPr>
                  <w:t xml:space="preserve">a </w:t>
                </w:r>
                <w:r w:rsidR="009B6138" w:rsidRPr="00F569AE">
                  <w:rPr>
                    <w:sz w:val="22"/>
                    <w:szCs w:val="24"/>
                  </w:rPr>
                  <w:t>descri</w:t>
                </w:r>
                <w:r w:rsidRPr="00F569AE">
                  <w:rPr>
                    <w:sz w:val="22"/>
                    <w:szCs w:val="24"/>
                  </w:rPr>
                  <w:t>ption</w:t>
                </w:r>
                <w:r w:rsidR="009B6138" w:rsidRPr="00F569AE">
                  <w:rPr>
                    <w:sz w:val="22"/>
                    <w:szCs w:val="24"/>
                  </w:rPr>
                  <w:t xml:space="preserve"> </w:t>
                </w:r>
                <w:r w:rsidRPr="00F569AE">
                  <w:rPr>
                    <w:sz w:val="22"/>
                    <w:szCs w:val="24"/>
                  </w:rPr>
                  <w:t xml:space="preserve">of </w:t>
                </w:r>
                <w:r w:rsidR="009B6138" w:rsidRPr="00F569AE">
                  <w:rPr>
                    <w:sz w:val="22"/>
                    <w:szCs w:val="24"/>
                  </w:rPr>
                  <w:t>the change in circumstances that result</w:t>
                </w:r>
                <w:r w:rsidR="00D21AB2" w:rsidRPr="00F569AE">
                  <w:rPr>
                    <w:sz w:val="22"/>
                    <w:szCs w:val="24"/>
                  </w:rPr>
                  <w:t>ed</w:t>
                </w:r>
                <w:r w:rsidR="009B6138" w:rsidRPr="00F569AE">
                  <w:rPr>
                    <w:sz w:val="22"/>
                    <w:szCs w:val="24"/>
                  </w:rPr>
                  <w:t xml:space="preserve"> in the </w:t>
                </w:r>
                <w:r w:rsidR="00D21AB2" w:rsidRPr="00F569AE">
                  <w:rPr>
                    <w:sz w:val="22"/>
                    <w:szCs w:val="24"/>
                  </w:rPr>
                  <w:t xml:space="preserve">entity </w:t>
                </w:r>
                <w:r w:rsidR="009B6138" w:rsidRPr="00F569AE">
                  <w:rPr>
                    <w:sz w:val="22"/>
                    <w:szCs w:val="24"/>
                  </w:rPr>
                  <w:t>no longer existing or being a CCE</w:t>
                </w:r>
              </w:p>
              <w:p w14:paraId="610023DB" w14:textId="7BC631E7" w:rsidR="00DF2393" w:rsidRPr="00F569AE" w:rsidRDefault="009B6138" w:rsidP="00962264">
                <w:pPr>
                  <w:pStyle w:val="ListParagraph"/>
                  <w:spacing w:after="0"/>
                  <w:jc w:val="left"/>
                </w:pPr>
                <w:r w:rsidRPr="00F569AE">
                  <w:rPr>
                    <w:sz w:val="22"/>
                    <w:szCs w:val="24"/>
                  </w:rPr>
                  <w:t xml:space="preserve">documentary evidence of the circumstances, </w:t>
                </w:r>
                <w:r w:rsidR="008C1466" w:rsidRPr="00F569AE">
                  <w:rPr>
                    <w:sz w:val="22"/>
                    <w:szCs w:val="24"/>
                  </w:rPr>
                  <w:t>such as</w:t>
                </w:r>
                <w:r w:rsidR="00DA667A" w:rsidRPr="00F569AE">
                  <w:rPr>
                    <w:sz w:val="22"/>
                    <w:szCs w:val="24"/>
                  </w:rPr>
                  <w:t xml:space="preserve"> </w:t>
                </w:r>
                <w:r w:rsidR="008C1466" w:rsidRPr="00F569AE">
                  <w:rPr>
                    <w:sz w:val="22"/>
                    <w:szCs w:val="24"/>
                  </w:rPr>
                  <w:t xml:space="preserve">a company extract </w:t>
                </w:r>
                <w:r w:rsidR="006B55EE" w:rsidRPr="00F569AE">
                  <w:rPr>
                    <w:sz w:val="22"/>
                    <w:szCs w:val="24"/>
                  </w:rPr>
                  <w:t>or other evidenc</w:t>
                </w:r>
                <w:r w:rsidR="00F26FA0" w:rsidRPr="00F569AE">
                  <w:rPr>
                    <w:sz w:val="22"/>
                    <w:szCs w:val="24"/>
                  </w:rPr>
                  <w:t>e of</w:t>
                </w:r>
                <w:r w:rsidR="006B55EE" w:rsidRPr="00F569AE">
                  <w:rPr>
                    <w:sz w:val="22"/>
                    <w:szCs w:val="24"/>
                  </w:rPr>
                  <w:t xml:space="preserve"> dissolution or winding up of the entity.</w:t>
                </w:r>
              </w:p>
            </w:tc>
          </w:tr>
          <w:tr w:rsidR="00962264" w14:paraId="5B306B11" w14:textId="77777777" w:rsidTr="00962264">
            <w:tc>
              <w:tcPr>
                <w:tcW w:w="3005" w:type="dxa"/>
                <w:tcBorders>
                  <w:top w:val="single" w:sz="6" w:space="0" w:color="auto"/>
                  <w:left w:val="single" w:sz="8" w:space="0" w:color="auto"/>
                  <w:bottom w:val="single" w:sz="6" w:space="0" w:color="auto"/>
                  <w:right w:val="single" w:sz="8" w:space="0" w:color="auto"/>
                </w:tcBorders>
                <w:shd w:val="clear" w:color="auto" w:fill="FFFFFF" w:themeFill="background1"/>
              </w:tcPr>
              <w:p w14:paraId="4C011EFB" w14:textId="349BBCAA" w:rsidR="00C117E0" w:rsidRPr="00F569AE" w:rsidRDefault="00C117E0" w:rsidP="00135EB3">
                <w:pPr>
                  <w:spacing w:before="0" w:after="0"/>
                  <w:jc w:val="left"/>
                  <w:rPr>
                    <w:sz w:val="22"/>
                    <w:szCs w:val="22"/>
                  </w:rPr>
                </w:pPr>
                <w:r w:rsidRPr="00F569AE">
                  <w:rPr>
                    <w:sz w:val="22"/>
                    <w:szCs w:val="22"/>
                  </w:rPr>
                  <w:t xml:space="preserve">Member entities with income falling below </w:t>
                </w:r>
                <w:r w:rsidR="00736FF8">
                  <w:rPr>
                    <w:sz w:val="22"/>
                    <w:szCs w:val="22"/>
                  </w:rPr>
                  <w:t>A</w:t>
                </w:r>
                <w:r w:rsidRPr="00F569AE">
                  <w:rPr>
                    <w:sz w:val="22"/>
                    <w:szCs w:val="22"/>
                  </w:rPr>
                  <w:t>$10 mi</w:t>
                </w:r>
                <w:r w:rsidR="00AF1E94" w:rsidRPr="00F569AE">
                  <w:rPr>
                    <w:sz w:val="22"/>
                    <w:szCs w:val="22"/>
                  </w:rPr>
                  <w:t xml:space="preserve">llion for </w:t>
                </w:r>
                <w:r w:rsidR="0046126E" w:rsidRPr="00F569AE">
                  <w:rPr>
                    <w:sz w:val="22"/>
                    <w:szCs w:val="22"/>
                  </w:rPr>
                  <w:t>2</w:t>
                </w:r>
                <w:r w:rsidR="00AF1E94" w:rsidRPr="00F569AE">
                  <w:rPr>
                    <w:sz w:val="22"/>
                    <w:szCs w:val="22"/>
                  </w:rPr>
                  <w:t xml:space="preserve"> consecutive income years</w:t>
                </w:r>
                <w:r w:rsidR="0046126E" w:rsidRPr="00F569AE">
                  <w:rPr>
                    <w:sz w:val="22"/>
                    <w:szCs w:val="22"/>
                  </w:rPr>
                  <w:t>.</w:t>
                </w:r>
              </w:p>
            </w:tc>
            <w:tc>
              <w:tcPr>
                <w:tcW w:w="6917" w:type="dxa"/>
                <w:tcBorders>
                  <w:top w:val="single" w:sz="6" w:space="0" w:color="auto"/>
                  <w:left w:val="single" w:sz="8" w:space="0" w:color="auto"/>
                  <w:bottom w:val="single" w:sz="6" w:space="0" w:color="auto"/>
                  <w:right w:val="single" w:sz="8" w:space="0" w:color="auto"/>
                </w:tcBorders>
                <w:shd w:val="clear" w:color="auto" w:fill="FFFFFF" w:themeFill="background1"/>
              </w:tcPr>
              <w:p w14:paraId="14929857" w14:textId="77777777" w:rsidR="00135EB3" w:rsidRDefault="00AF1E94" w:rsidP="00135EB3">
                <w:pPr>
                  <w:spacing w:before="0"/>
                  <w:jc w:val="left"/>
                  <w:rPr>
                    <w:sz w:val="22"/>
                    <w:szCs w:val="22"/>
                  </w:rPr>
                </w:pPr>
                <w:r w:rsidRPr="00F569AE">
                  <w:rPr>
                    <w:sz w:val="22"/>
                    <w:szCs w:val="22"/>
                  </w:rPr>
                  <w:t xml:space="preserve">Give notice of a notifiable event </w:t>
                </w:r>
                <w:r w:rsidR="00F26FA0" w:rsidRPr="00F569AE">
                  <w:rPr>
                    <w:sz w:val="22"/>
                    <w:szCs w:val="22"/>
                  </w:rPr>
                  <w:t xml:space="preserve">in </w:t>
                </w:r>
                <w:r w:rsidR="00153701" w:rsidRPr="00F569AE">
                  <w:rPr>
                    <w:sz w:val="22"/>
                    <w:szCs w:val="22"/>
                  </w:rPr>
                  <w:t>your payment times report</w:t>
                </w:r>
                <w:r w:rsidR="00782D69" w:rsidRPr="00F569AE">
                  <w:rPr>
                    <w:sz w:val="22"/>
                    <w:szCs w:val="22"/>
                  </w:rPr>
                  <w:t xml:space="preserve">. </w:t>
                </w:r>
              </w:p>
              <w:p w14:paraId="620E571A" w14:textId="6CC67AEC" w:rsidR="00C117E0" w:rsidRPr="00F569AE" w:rsidRDefault="00135EB3" w:rsidP="00135EB3">
                <w:pPr>
                  <w:spacing w:before="0" w:after="0"/>
                  <w:jc w:val="left"/>
                  <w:rPr>
                    <w:sz w:val="22"/>
                    <w:szCs w:val="22"/>
                  </w:rPr>
                </w:pPr>
                <w:r>
                  <w:rPr>
                    <w:sz w:val="22"/>
                    <w:szCs w:val="22"/>
                  </w:rPr>
                  <w:t>S</w:t>
                </w:r>
                <w:r w:rsidR="00153701" w:rsidRPr="00F569AE">
                  <w:rPr>
                    <w:sz w:val="22"/>
                    <w:szCs w:val="22"/>
                  </w:rPr>
                  <w:t xml:space="preserve">ee </w:t>
                </w:r>
                <w:r>
                  <w:rPr>
                    <w:sz w:val="22"/>
                    <w:szCs w:val="22"/>
                  </w:rPr>
                  <w:t xml:space="preserve">section </w:t>
                </w:r>
                <w:r w:rsidR="00C95E5D" w:rsidRPr="00F569AE">
                  <w:rPr>
                    <w:sz w:val="22"/>
                    <w:szCs w:val="22"/>
                  </w:rPr>
                  <w:t xml:space="preserve">on </w:t>
                </w:r>
                <w:hyperlink w:anchor="_Notifiable_events" w:history="1">
                  <w:r w:rsidR="00C95E5D" w:rsidRPr="00135EB3">
                    <w:rPr>
                      <w:rStyle w:val="Hyperlink"/>
                      <w:rFonts w:ascii="Calibri" w:hAnsi="Calibri"/>
                      <w:szCs w:val="22"/>
                    </w:rPr>
                    <w:t>notifiable events</w:t>
                  </w:r>
                </w:hyperlink>
                <w:r>
                  <w:rPr>
                    <w:sz w:val="22"/>
                    <w:szCs w:val="22"/>
                  </w:rPr>
                  <w:t>.</w:t>
                </w:r>
              </w:p>
            </w:tc>
          </w:tr>
        </w:tbl>
        <w:p w14:paraId="45F5493C" w14:textId="0DBC6DD6" w:rsidR="00A45DB4" w:rsidRDefault="00F26FA0" w:rsidP="00CA06B6">
          <w:pPr>
            <w:pStyle w:val="Heading3"/>
            <w:rPr>
              <w:lang w:eastAsia="en-US"/>
            </w:rPr>
          </w:pPr>
          <w:bookmarkStart w:id="38" w:name="_Toc107914338"/>
          <w:r>
            <w:rPr>
              <w:lang w:eastAsia="en-US"/>
            </w:rPr>
            <w:t>A</w:t>
          </w:r>
          <w:r w:rsidR="003F5D8A">
            <w:rPr>
              <w:lang w:eastAsia="en-US"/>
            </w:rPr>
            <w:t>ppl</w:t>
          </w:r>
          <w:r>
            <w:rPr>
              <w:lang w:eastAsia="en-US"/>
            </w:rPr>
            <w:t>ying</w:t>
          </w:r>
          <w:r w:rsidRPr="00F26FA0">
            <w:t xml:space="preserve"> </w:t>
          </w:r>
          <w:r>
            <w:t>for a determination to cease being a reporting entity</w:t>
          </w:r>
          <w:bookmarkEnd w:id="38"/>
          <w:r w:rsidDel="00F26FA0">
            <w:rPr>
              <w:lang w:eastAsia="en-US"/>
            </w:rPr>
            <w:t xml:space="preserve"> </w:t>
          </w:r>
        </w:p>
        <w:p w14:paraId="6D743221" w14:textId="2CCF30D6" w:rsidR="00162910" w:rsidRDefault="008502F2" w:rsidP="001B2726">
          <w:pPr>
            <w:pStyle w:val="ListParagraph"/>
            <w:numPr>
              <w:ilvl w:val="0"/>
              <w:numId w:val="30"/>
            </w:numPr>
            <w:ind w:left="993" w:hanging="993"/>
          </w:pPr>
          <w:r>
            <w:t xml:space="preserve">We will only grant a </w:t>
          </w:r>
          <w:r w:rsidR="00162910">
            <w:t>determination in response to an application from a reporting entity</w:t>
          </w:r>
          <w:r w:rsidR="00782D69">
            <w:t xml:space="preserve">. </w:t>
          </w:r>
          <w:r w:rsidR="00162910">
            <w:t xml:space="preserve">We do not </w:t>
          </w:r>
          <w:r w:rsidR="004726E6">
            <w:t>initiate the determination process</w:t>
          </w:r>
          <w:r w:rsidR="00252862">
            <w:t>.</w:t>
          </w:r>
        </w:p>
        <w:p w14:paraId="2AB2C62B" w14:textId="77777777" w:rsidR="001F3B77" w:rsidRDefault="001F1884" w:rsidP="001B2726">
          <w:pPr>
            <w:pStyle w:val="ListParagraph"/>
            <w:numPr>
              <w:ilvl w:val="0"/>
              <w:numId w:val="30"/>
            </w:numPr>
            <w:ind w:left="993" w:hanging="993"/>
          </w:pPr>
          <w:r>
            <w:lastRenderedPageBreak/>
            <w:t xml:space="preserve">Applications </w:t>
          </w:r>
          <w:r w:rsidR="001C2F2D">
            <w:t xml:space="preserve">for a determination can be made through the </w:t>
          </w:r>
          <w:hyperlink r:id="rId21" w:history="1">
            <w:r w:rsidR="001C2F2D" w:rsidRPr="00C85331">
              <w:rPr>
                <w:rStyle w:val="Hyperlink"/>
              </w:rPr>
              <w:t>Payment Times Reporting Portal</w:t>
            </w:r>
          </w:hyperlink>
          <w:r w:rsidR="00782D69">
            <w:t xml:space="preserve">. </w:t>
          </w:r>
          <w:r w:rsidR="009654C6">
            <w:t xml:space="preserve">Applicants must provide </w:t>
          </w:r>
          <w:r w:rsidR="00C817D4">
            <w:t>certain information including the entity name and A</w:t>
          </w:r>
          <w:r w:rsidR="00C85331">
            <w:t>BN/</w:t>
          </w:r>
          <w:r w:rsidR="00C817D4">
            <w:t>ACN</w:t>
          </w:r>
          <w:r w:rsidR="00A9406D">
            <w:t xml:space="preserve">, the income year start date and the reasons </w:t>
          </w:r>
          <w:r w:rsidR="00906BCA">
            <w:t>why the entity is requesting a determination</w:t>
          </w:r>
          <w:r w:rsidR="00A9406D">
            <w:t>.</w:t>
          </w:r>
          <w:r w:rsidR="00CA116A">
            <w:t xml:space="preserve">  </w:t>
          </w:r>
        </w:p>
        <w:p w14:paraId="3810811F" w14:textId="048D3C8D" w:rsidR="00A9406D" w:rsidRDefault="00CA116A" w:rsidP="001B2726">
          <w:pPr>
            <w:pStyle w:val="ListParagraph"/>
            <w:numPr>
              <w:ilvl w:val="0"/>
              <w:numId w:val="30"/>
            </w:numPr>
            <w:ind w:left="993" w:hanging="993"/>
          </w:pPr>
          <w:r>
            <w:t xml:space="preserve">In addition to the information </w:t>
          </w:r>
          <w:r w:rsidR="001F3B77">
            <w:t>requested in the portal</w:t>
          </w:r>
          <w:r>
            <w:t>, applicants should attach a cover letter setting out the basis for the application.</w:t>
          </w:r>
          <w:r w:rsidR="003A423E">
            <w:t xml:space="preserve"> See Table </w:t>
          </w:r>
          <w:r w:rsidR="00C85331">
            <w:t>3</w:t>
          </w:r>
          <w:r w:rsidR="003A423E">
            <w:t xml:space="preserve"> for information on contents of the cover letter.</w:t>
          </w:r>
          <w:r w:rsidR="001F3B77">
            <w:t xml:space="preserve"> A single cover letter can be prepared for multiple entities, but an application is required to be made for each entity separately in the </w:t>
          </w:r>
          <w:hyperlink r:id="rId22" w:history="1">
            <w:r w:rsidR="001F3B77" w:rsidRPr="00695D5C">
              <w:rPr>
                <w:rStyle w:val="Hyperlink"/>
                <w:rFonts w:ascii="Calibri" w:hAnsi="Calibri"/>
              </w:rPr>
              <w:t>Payment Times Reporting Portal</w:t>
            </w:r>
          </w:hyperlink>
          <w:r w:rsidR="001F3B77">
            <w:rPr>
              <w:rStyle w:val="Hyperlink"/>
              <w:rFonts w:ascii="Calibri" w:hAnsi="Calibri"/>
            </w:rPr>
            <w:t>.</w:t>
          </w:r>
        </w:p>
        <w:p w14:paraId="271C1CFB" w14:textId="1087E74E" w:rsidR="003A423E" w:rsidRPr="001B2726" w:rsidRDefault="003A423E" w:rsidP="003A423E">
          <w:pPr>
            <w:pStyle w:val="Heading4"/>
            <w:rPr>
              <w:lang w:eastAsia="en-US"/>
            </w:rPr>
          </w:pPr>
          <w:bookmarkStart w:id="39" w:name="_Table_3:_Cover"/>
          <w:bookmarkEnd w:id="39"/>
          <w:r w:rsidRPr="001B2726">
            <w:rPr>
              <w:lang w:eastAsia="en-US"/>
            </w:rPr>
            <w:t xml:space="preserve">Table </w:t>
          </w:r>
          <w:r w:rsidR="00A44E07">
            <w:rPr>
              <w:lang w:eastAsia="en-US"/>
            </w:rPr>
            <w:t>3</w:t>
          </w:r>
          <w:r w:rsidRPr="001B2726">
            <w:rPr>
              <w:lang w:eastAsia="en-US"/>
            </w:rPr>
            <w:t>: Cover letter content to support an application for a</w:t>
          </w:r>
          <w:r w:rsidR="00FA2C79">
            <w:rPr>
              <w:lang w:eastAsia="en-US"/>
            </w:rPr>
            <w:t xml:space="preserve"> determination</w:t>
          </w:r>
        </w:p>
        <w:tbl>
          <w:tblPr>
            <w:tblStyle w:val="TableGrid"/>
            <w:tblW w:w="0" w:type="auto"/>
            <w:tblCellMar>
              <w:top w:w="113" w:type="dxa"/>
              <w:bottom w:w="113" w:type="dxa"/>
            </w:tblCellMar>
            <w:tblLook w:val="04A0" w:firstRow="1" w:lastRow="0" w:firstColumn="1" w:lastColumn="0" w:noHBand="0" w:noVBand="1"/>
          </w:tblPr>
          <w:tblGrid>
            <w:gridCol w:w="2258"/>
            <w:gridCol w:w="6792"/>
          </w:tblGrid>
          <w:tr w:rsidR="003A423E" w14:paraId="512F9C7A" w14:textId="77777777" w:rsidTr="007E7FBA">
            <w:tc>
              <w:tcPr>
                <w:tcW w:w="2258" w:type="dxa"/>
                <w:tcBorders>
                  <w:top w:val="single" w:sz="6" w:space="0" w:color="auto"/>
                  <w:left w:val="single" w:sz="8" w:space="0" w:color="auto"/>
                  <w:bottom w:val="single" w:sz="6" w:space="0" w:color="auto"/>
                  <w:right w:val="single" w:sz="8" w:space="0" w:color="auto"/>
                </w:tcBorders>
                <w:shd w:val="clear" w:color="auto" w:fill="2C384A"/>
              </w:tcPr>
              <w:p w14:paraId="7C908D37" w14:textId="77777777" w:rsidR="003A423E" w:rsidRPr="00135EB3" w:rsidRDefault="003A423E" w:rsidP="001B3FB1">
                <w:pPr>
                  <w:spacing w:before="0" w:after="0"/>
                  <w:jc w:val="left"/>
                  <w:rPr>
                    <w:b/>
                    <w:bCs/>
                    <w:color w:val="FFFFFF" w:themeColor="background1"/>
                    <w:sz w:val="22"/>
                    <w:szCs w:val="22"/>
                  </w:rPr>
                </w:pPr>
                <w:r w:rsidRPr="00135EB3">
                  <w:rPr>
                    <w:b/>
                    <w:bCs/>
                    <w:color w:val="FFFFFF" w:themeColor="background1"/>
                    <w:sz w:val="22"/>
                    <w:szCs w:val="22"/>
                  </w:rPr>
                  <w:t>Content</w:t>
                </w:r>
                <w:r w:rsidRPr="00135EB3">
                  <w:rPr>
                    <w:b/>
                    <w:bCs/>
                    <w:color w:val="FFFFFF" w:themeColor="background1"/>
                    <w:sz w:val="22"/>
                    <w:szCs w:val="22"/>
                  </w:rPr>
                  <w:tab/>
                </w:r>
              </w:p>
            </w:tc>
            <w:tc>
              <w:tcPr>
                <w:tcW w:w="6792" w:type="dxa"/>
                <w:tcBorders>
                  <w:top w:val="single" w:sz="6" w:space="0" w:color="auto"/>
                  <w:left w:val="single" w:sz="8" w:space="0" w:color="auto"/>
                  <w:bottom w:val="single" w:sz="6" w:space="0" w:color="auto"/>
                  <w:right w:val="single" w:sz="8" w:space="0" w:color="auto"/>
                </w:tcBorders>
                <w:shd w:val="clear" w:color="auto" w:fill="2C384A"/>
              </w:tcPr>
              <w:p w14:paraId="5086747C" w14:textId="77777777" w:rsidR="003A423E" w:rsidRPr="00135EB3" w:rsidRDefault="003A423E" w:rsidP="001B3FB1">
                <w:pPr>
                  <w:spacing w:before="0" w:after="0"/>
                  <w:jc w:val="left"/>
                  <w:rPr>
                    <w:b/>
                    <w:bCs/>
                    <w:color w:val="FFFFFF" w:themeColor="background1"/>
                    <w:sz w:val="22"/>
                    <w:szCs w:val="22"/>
                  </w:rPr>
                </w:pPr>
                <w:r w:rsidRPr="00135EB3">
                  <w:rPr>
                    <w:b/>
                    <w:bCs/>
                    <w:color w:val="FFFFFF" w:themeColor="background1"/>
                    <w:sz w:val="22"/>
                    <w:szCs w:val="22"/>
                  </w:rPr>
                  <w:t>Details</w:t>
                </w:r>
              </w:p>
            </w:tc>
          </w:tr>
          <w:tr w:rsidR="003A423E" w14:paraId="72903E40" w14:textId="77777777" w:rsidTr="007E7FBA">
            <w:tc>
              <w:tcPr>
                <w:tcW w:w="2258" w:type="dxa"/>
                <w:tcBorders>
                  <w:top w:val="single" w:sz="6" w:space="0" w:color="auto"/>
                  <w:left w:val="single" w:sz="8" w:space="0" w:color="auto"/>
                  <w:bottom w:val="single" w:sz="6" w:space="0" w:color="auto"/>
                  <w:right w:val="single" w:sz="8" w:space="0" w:color="auto"/>
                </w:tcBorders>
                <w:shd w:val="clear" w:color="auto" w:fill="FFFFFF" w:themeFill="background1"/>
              </w:tcPr>
              <w:p w14:paraId="2A92CF96" w14:textId="77777777" w:rsidR="003A423E" w:rsidRPr="00135EB3" w:rsidRDefault="003A423E" w:rsidP="001B3FB1">
                <w:pPr>
                  <w:spacing w:before="0"/>
                  <w:jc w:val="left"/>
                  <w:rPr>
                    <w:sz w:val="22"/>
                    <w:szCs w:val="24"/>
                  </w:rPr>
                </w:pPr>
                <w:r w:rsidRPr="00135EB3">
                  <w:rPr>
                    <w:sz w:val="22"/>
                    <w:szCs w:val="24"/>
                  </w:rPr>
                  <w:t>Applicant details</w:t>
                </w:r>
              </w:p>
            </w:tc>
            <w:tc>
              <w:tcPr>
                <w:tcW w:w="6792" w:type="dxa"/>
                <w:tcBorders>
                  <w:top w:val="single" w:sz="6" w:space="0" w:color="auto"/>
                  <w:left w:val="single" w:sz="8" w:space="0" w:color="auto"/>
                  <w:bottom w:val="single" w:sz="6" w:space="0" w:color="auto"/>
                  <w:right w:val="single" w:sz="8" w:space="0" w:color="auto"/>
                </w:tcBorders>
                <w:shd w:val="clear" w:color="auto" w:fill="FFFFFF" w:themeFill="background1"/>
              </w:tcPr>
              <w:p w14:paraId="5D326A1C" w14:textId="52E4A1B0" w:rsidR="003A423E" w:rsidRPr="00135EB3" w:rsidRDefault="003A423E" w:rsidP="001B3FB1">
                <w:pPr>
                  <w:pStyle w:val="ListParagraph"/>
                  <w:ind w:left="323" w:hanging="323"/>
                  <w:jc w:val="left"/>
                  <w:rPr>
                    <w:sz w:val="22"/>
                    <w:szCs w:val="24"/>
                  </w:rPr>
                </w:pPr>
                <w:r w:rsidRPr="00135EB3">
                  <w:rPr>
                    <w:sz w:val="22"/>
                    <w:szCs w:val="24"/>
                  </w:rPr>
                  <w:t>Entity nam</w:t>
                </w:r>
                <w:r w:rsidR="00D81FA4" w:rsidRPr="00135EB3">
                  <w:rPr>
                    <w:sz w:val="22"/>
                    <w:szCs w:val="24"/>
                  </w:rPr>
                  <w:t>e A</w:t>
                </w:r>
                <w:r w:rsidRPr="00135EB3">
                  <w:rPr>
                    <w:sz w:val="22"/>
                    <w:szCs w:val="24"/>
                  </w:rPr>
                  <w:t>BN/</w:t>
                </w:r>
                <w:r w:rsidR="000B6CAF">
                  <w:rPr>
                    <w:sz w:val="22"/>
                    <w:szCs w:val="24"/>
                  </w:rPr>
                  <w:t>A</w:t>
                </w:r>
                <w:r w:rsidR="001B3FB1">
                  <w:rPr>
                    <w:sz w:val="22"/>
                    <w:szCs w:val="24"/>
                  </w:rPr>
                  <w:t>CN.</w:t>
                </w:r>
              </w:p>
              <w:p w14:paraId="25AA2F27" w14:textId="39589888" w:rsidR="003A423E" w:rsidRPr="00135EB3" w:rsidRDefault="003A423E" w:rsidP="001B3FB1">
                <w:pPr>
                  <w:pStyle w:val="ListParagraph"/>
                  <w:ind w:left="323" w:hanging="323"/>
                  <w:jc w:val="left"/>
                  <w:rPr>
                    <w:sz w:val="22"/>
                    <w:szCs w:val="24"/>
                  </w:rPr>
                </w:pPr>
                <w:r w:rsidRPr="00135EB3">
                  <w:rPr>
                    <w:sz w:val="22"/>
                    <w:szCs w:val="24"/>
                  </w:rPr>
                  <w:t xml:space="preserve">Name of all entities </w:t>
                </w:r>
                <w:r w:rsidR="001B3FB1">
                  <w:rPr>
                    <w:sz w:val="22"/>
                    <w:szCs w:val="24"/>
                  </w:rPr>
                  <w:t>covered by the application.</w:t>
                </w:r>
              </w:p>
              <w:p w14:paraId="721D8BFC" w14:textId="2DD8CFEA" w:rsidR="00A44E07" w:rsidRPr="00135EB3" w:rsidRDefault="00A44E07" w:rsidP="001B3FB1">
                <w:pPr>
                  <w:pStyle w:val="ListParagraph"/>
                  <w:spacing w:after="0"/>
                  <w:ind w:left="323" w:hanging="323"/>
                  <w:jc w:val="left"/>
                  <w:rPr>
                    <w:sz w:val="22"/>
                    <w:szCs w:val="24"/>
                  </w:rPr>
                </w:pPr>
                <w:r w:rsidRPr="00135EB3">
                  <w:rPr>
                    <w:sz w:val="22"/>
                    <w:szCs w:val="24"/>
                  </w:rPr>
                  <w:t>Confirm the applicant is a reporting entity under the Act. If applicable, state whether the applicant is a controlling corporation or member entity.</w:t>
                </w:r>
              </w:p>
            </w:tc>
          </w:tr>
          <w:tr w:rsidR="003A423E" w14:paraId="0E69F9C2" w14:textId="77777777" w:rsidTr="007E7FBA">
            <w:tc>
              <w:tcPr>
                <w:tcW w:w="2258" w:type="dxa"/>
                <w:tcBorders>
                  <w:top w:val="single" w:sz="6" w:space="0" w:color="auto"/>
                  <w:left w:val="single" w:sz="8" w:space="0" w:color="auto"/>
                  <w:bottom w:val="single" w:sz="6" w:space="0" w:color="auto"/>
                  <w:right w:val="single" w:sz="8" w:space="0" w:color="auto"/>
                </w:tcBorders>
                <w:shd w:val="clear" w:color="auto" w:fill="FFFFFF" w:themeFill="background1"/>
              </w:tcPr>
              <w:p w14:paraId="73CB06F1" w14:textId="665ABCD5" w:rsidR="003A423E" w:rsidRPr="00135EB3" w:rsidRDefault="003A423E" w:rsidP="001B3FB1">
                <w:pPr>
                  <w:spacing w:before="0"/>
                  <w:jc w:val="left"/>
                  <w:rPr>
                    <w:sz w:val="22"/>
                    <w:szCs w:val="24"/>
                  </w:rPr>
                </w:pPr>
                <w:r w:rsidRPr="00135EB3">
                  <w:rPr>
                    <w:sz w:val="22"/>
                    <w:szCs w:val="24"/>
                  </w:rPr>
                  <w:t>Application details</w:t>
                </w:r>
              </w:p>
            </w:tc>
            <w:tc>
              <w:tcPr>
                <w:tcW w:w="6792" w:type="dxa"/>
                <w:tcBorders>
                  <w:top w:val="single" w:sz="6" w:space="0" w:color="auto"/>
                  <w:left w:val="single" w:sz="8" w:space="0" w:color="auto"/>
                  <w:bottom w:val="single" w:sz="6" w:space="0" w:color="auto"/>
                  <w:right w:val="single" w:sz="8" w:space="0" w:color="auto"/>
                </w:tcBorders>
                <w:shd w:val="clear" w:color="auto" w:fill="FFFFFF" w:themeFill="background1"/>
              </w:tcPr>
              <w:p w14:paraId="4F790C8A" w14:textId="4EEAACC2" w:rsidR="00D81FA4" w:rsidRDefault="00D81FA4" w:rsidP="001B3FB1">
                <w:pPr>
                  <w:pStyle w:val="ListParagraph"/>
                  <w:ind w:left="323" w:hanging="323"/>
                  <w:jc w:val="left"/>
                  <w:rPr>
                    <w:sz w:val="22"/>
                    <w:szCs w:val="24"/>
                  </w:rPr>
                </w:pPr>
                <w:r w:rsidRPr="00135EB3">
                  <w:rPr>
                    <w:sz w:val="22"/>
                    <w:szCs w:val="24"/>
                  </w:rPr>
                  <w:t>The date of the application</w:t>
                </w:r>
                <w:r w:rsidR="001B3FB1">
                  <w:rPr>
                    <w:sz w:val="22"/>
                    <w:szCs w:val="24"/>
                  </w:rPr>
                  <w:t>.</w:t>
                </w:r>
              </w:p>
              <w:p w14:paraId="1BF27415" w14:textId="465B6D3D" w:rsidR="001F3B77" w:rsidRPr="00135EB3" w:rsidRDefault="001F3B77" w:rsidP="001B3FB1">
                <w:pPr>
                  <w:pStyle w:val="ListParagraph"/>
                  <w:ind w:left="323" w:hanging="323"/>
                  <w:jc w:val="left"/>
                  <w:rPr>
                    <w:sz w:val="22"/>
                    <w:szCs w:val="24"/>
                  </w:rPr>
                </w:pPr>
                <w:r w:rsidRPr="00135EB3">
                  <w:rPr>
                    <w:sz w:val="22"/>
                    <w:szCs w:val="24"/>
                  </w:rPr>
                  <w:t>The type of application being made</w:t>
                </w:r>
                <w:r>
                  <w:rPr>
                    <w:sz w:val="22"/>
                    <w:szCs w:val="24"/>
                  </w:rPr>
                  <w:t>.</w:t>
                </w:r>
                <w:r w:rsidRPr="00135EB3">
                  <w:rPr>
                    <w:sz w:val="22"/>
                    <w:szCs w:val="24"/>
                  </w:rPr>
                  <w:t xml:space="preserve"> </w:t>
                </w:r>
                <w:r>
                  <w:rPr>
                    <w:sz w:val="22"/>
                    <w:szCs w:val="24"/>
                  </w:rPr>
                  <w:t>T</w:t>
                </w:r>
                <w:r w:rsidRPr="00135EB3">
                  <w:rPr>
                    <w:sz w:val="22"/>
                    <w:szCs w:val="24"/>
                  </w:rPr>
                  <w:t xml:space="preserve">his is either circumstances prescribed by subsection 7(7) of the Act or circumstances not prescribed by the Act. See </w:t>
                </w:r>
                <w:hyperlink w:anchor="_Table_4:_Determination_1" w:history="1">
                  <w:r w:rsidRPr="001B3FB1">
                    <w:rPr>
                      <w:rStyle w:val="Hyperlink"/>
                      <w:szCs w:val="24"/>
                    </w:rPr>
                    <w:t>Table 4</w:t>
                  </w:r>
                </w:hyperlink>
                <w:r w:rsidRPr="00135EB3">
                  <w:rPr>
                    <w:sz w:val="22"/>
                    <w:szCs w:val="24"/>
                  </w:rPr>
                  <w:t>.</w:t>
                </w:r>
              </w:p>
              <w:p w14:paraId="4ED64D8D" w14:textId="33850AA2" w:rsidR="00A44E07" w:rsidRPr="009D1A57" w:rsidRDefault="00D81FA4" w:rsidP="009D1A57">
                <w:pPr>
                  <w:pStyle w:val="ListParagraph"/>
                  <w:ind w:left="323" w:hanging="323"/>
                  <w:jc w:val="left"/>
                  <w:rPr>
                    <w:sz w:val="22"/>
                    <w:szCs w:val="24"/>
                  </w:rPr>
                </w:pPr>
                <w:r w:rsidRPr="00135EB3">
                  <w:rPr>
                    <w:sz w:val="22"/>
                    <w:szCs w:val="24"/>
                  </w:rPr>
                  <w:t>The name, position</w:t>
                </w:r>
                <w:r w:rsidR="001F3B77">
                  <w:rPr>
                    <w:sz w:val="22"/>
                    <w:szCs w:val="24"/>
                  </w:rPr>
                  <w:t>, email and direct phone number</w:t>
                </w:r>
                <w:r w:rsidRPr="00135EB3">
                  <w:rPr>
                    <w:sz w:val="22"/>
                    <w:szCs w:val="24"/>
                  </w:rPr>
                  <w:t xml:space="preserve"> of the person applying</w:t>
                </w:r>
                <w:r w:rsidR="001B3FB1">
                  <w:rPr>
                    <w:sz w:val="22"/>
                    <w:szCs w:val="24"/>
                  </w:rPr>
                  <w:t>.</w:t>
                </w:r>
              </w:p>
            </w:tc>
          </w:tr>
          <w:tr w:rsidR="003A423E" w14:paraId="4AE75018" w14:textId="77777777" w:rsidTr="007E7FBA">
            <w:tc>
              <w:tcPr>
                <w:tcW w:w="2258" w:type="dxa"/>
                <w:tcBorders>
                  <w:top w:val="single" w:sz="6" w:space="0" w:color="auto"/>
                  <w:left w:val="single" w:sz="8" w:space="0" w:color="auto"/>
                  <w:bottom w:val="single" w:sz="6" w:space="0" w:color="auto"/>
                  <w:right w:val="single" w:sz="8" w:space="0" w:color="auto"/>
                </w:tcBorders>
                <w:shd w:val="clear" w:color="auto" w:fill="FFFFFF" w:themeFill="background1"/>
              </w:tcPr>
              <w:p w14:paraId="2913C933" w14:textId="53DCC02B" w:rsidR="003A423E" w:rsidRPr="00135EB3" w:rsidRDefault="0079426E" w:rsidP="001B3FB1">
                <w:pPr>
                  <w:spacing w:before="0"/>
                  <w:jc w:val="left"/>
                  <w:rPr>
                    <w:sz w:val="22"/>
                    <w:szCs w:val="24"/>
                  </w:rPr>
                </w:pPr>
                <w:r w:rsidRPr="00135EB3">
                  <w:rPr>
                    <w:sz w:val="22"/>
                    <w:szCs w:val="24"/>
                  </w:rPr>
                  <w:t>Supporting submissions</w:t>
                </w:r>
              </w:p>
            </w:tc>
            <w:tc>
              <w:tcPr>
                <w:tcW w:w="6792" w:type="dxa"/>
                <w:tcBorders>
                  <w:top w:val="single" w:sz="6" w:space="0" w:color="auto"/>
                  <w:left w:val="single" w:sz="8" w:space="0" w:color="auto"/>
                  <w:bottom w:val="single" w:sz="6" w:space="0" w:color="auto"/>
                  <w:right w:val="single" w:sz="8" w:space="0" w:color="auto"/>
                </w:tcBorders>
                <w:shd w:val="clear" w:color="auto" w:fill="FFFFFF" w:themeFill="background1"/>
              </w:tcPr>
              <w:p w14:paraId="78388464" w14:textId="278FD936" w:rsidR="00D81FA4" w:rsidRPr="00135EB3" w:rsidRDefault="0079426E" w:rsidP="001B3FB1">
                <w:pPr>
                  <w:pStyle w:val="DoubleDot"/>
                  <w:numPr>
                    <w:ilvl w:val="0"/>
                    <w:numId w:val="0"/>
                  </w:numPr>
                  <w:ind w:left="30" w:hanging="1"/>
                  <w:jc w:val="left"/>
                  <w:rPr>
                    <w:sz w:val="22"/>
                    <w:szCs w:val="24"/>
                    <w:lang w:eastAsia="en-US"/>
                  </w:rPr>
                </w:pPr>
                <w:r w:rsidRPr="00135EB3">
                  <w:rPr>
                    <w:sz w:val="22"/>
                    <w:szCs w:val="24"/>
                    <w:lang w:eastAsia="en-US"/>
                  </w:rPr>
                  <w:t>Provide submissions in support of the application, which should include</w:t>
                </w:r>
                <w:r w:rsidR="00D81FA4" w:rsidRPr="00135EB3">
                  <w:rPr>
                    <w:sz w:val="22"/>
                    <w:szCs w:val="24"/>
                    <w:lang w:eastAsia="en-US"/>
                  </w:rPr>
                  <w:t>:</w:t>
                </w:r>
              </w:p>
              <w:p w14:paraId="54AF45ED" w14:textId="6768B393" w:rsidR="0079426E" w:rsidRPr="009D1A57" w:rsidRDefault="00FA2C79" w:rsidP="009D1A57">
                <w:pPr>
                  <w:pStyle w:val="ListParagraph"/>
                  <w:ind w:left="320" w:hanging="284"/>
                  <w:jc w:val="left"/>
                  <w:rPr>
                    <w:sz w:val="22"/>
                    <w:szCs w:val="24"/>
                  </w:rPr>
                </w:pPr>
                <w:r w:rsidRPr="009D1A57">
                  <w:rPr>
                    <w:sz w:val="22"/>
                    <w:szCs w:val="24"/>
                  </w:rPr>
                  <w:t>a</w:t>
                </w:r>
                <w:r w:rsidR="00EE3435" w:rsidRPr="009D1A57">
                  <w:rPr>
                    <w:sz w:val="22"/>
                    <w:szCs w:val="24"/>
                  </w:rPr>
                  <w:t xml:space="preserve"> description of the circumstances </w:t>
                </w:r>
              </w:p>
              <w:p w14:paraId="2B3BF554" w14:textId="36BDF787" w:rsidR="00D81FA4" w:rsidRPr="009D1A57" w:rsidRDefault="00FA2C79" w:rsidP="009D1A57">
                <w:pPr>
                  <w:pStyle w:val="ListParagraph"/>
                  <w:ind w:left="320" w:hanging="284"/>
                  <w:jc w:val="left"/>
                  <w:rPr>
                    <w:sz w:val="22"/>
                    <w:szCs w:val="24"/>
                  </w:rPr>
                </w:pPr>
                <w:r w:rsidRPr="009D1A57">
                  <w:rPr>
                    <w:sz w:val="22"/>
                    <w:szCs w:val="24"/>
                  </w:rPr>
                  <w:t>r</w:t>
                </w:r>
                <w:r w:rsidR="0079426E" w:rsidRPr="009D1A57">
                  <w:rPr>
                    <w:sz w:val="22"/>
                    <w:szCs w:val="24"/>
                  </w:rPr>
                  <w:t xml:space="preserve">elevant dates, including when events </w:t>
                </w:r>
                <w:r w:rsidR="00895183" w:rsidRPr="009D1A57">
                  <w:rPr>
                    <w:sz w:val="22"/>
                    <w:szCs w:val="24"/>
                  </w:rPr>
                  <w:t>occurred,</w:t>
                </w:r>
                <w:r w:rsidR="0079426E" w:rsidRPr="009D1A57">
                  <w:rPr>
                    <w:sz w:val="22"/>
                    <w:szCs w:val="24"/>
                  </w:rPr>
                  <w:t xml:space="preserve"> or circumstances started</w:t>
                </w:r>
              </w:p>
              <w:p w14:paraId="0072C2DF" w14:textId="146A30A9" w:rsidR="001F3B77" w:rsidRPr="009D1A57" w:rsidRDefault="001F3B77" w:rsidP="009D1A57">
                <w:pPr>
                  <w:pStyle w:val="ListParagraph"/>
                  <w:ind w:left="320" w:hanging="284"/>
                  <w:jc w:val="left"/>
                  <w:rPr>
                    <w:sz w:val="22"/>
                    <w:szCs w:val="24"/>
                  </w:rPr>
                </w:pPr>
                <w:r w:rsidRPr="009D1A57">
                  <w:rPr>
                    <w:sz w:val="22"/>
                    <w:szCs w:val="24"/>
                  </w:rPr>
                  <w:t>for circumstances prescribed under s7(7) of the Act</w:t>
                </w:r>
                <w:r w:rsidR="005B7866" w:rsidRPr="009D1A57">
                  <w:rPr>
                    <w:sz w:val="22"/>
                    <w:szCs w:val="24"/>
                  </w:rPr>
                  <w:t>,</w:t>
                </w:r>
                <w:r w:rsidRPr="009D1A57">
                  <w:rPr>
                    <w:sz w:val="22"/>
                    <w:szCs w:val="24"/>
                  </w:rPr>
                  <w:t xml:space="preserve"> clearly </w:t>
                </w:r>
                <w:r w:rsidR="005B7866" w:rsidRPr="009D1A57">
                  <w:rPr>
                    <w:sz w:val="22"/>
                    <w:szCs w:val="24"/>
                  </w:rPr>
                  <w:t>identify</w:t>
                </w:r>
                <w:r w:rsidRPr="009D1A57">
                  <w:rPr>
                    <w:sz w:val="22"/>
                    <w:szCs w:val="24"/>
                  </w:rPr>
                  <w:t xml:space="preserve"> which prescribed circumstance applies</w:t>
                </w:r>
              </w:p>
              <w:p w14:paraId="771A66D1" w14:textId="1D20C7FB" w:rsidR="003A423E" w:rsidRPr="00135EB3" w:rsidRDefault="00FA2C79" w:rsidP="009D1A57">
                <w:pPr>
                  <w:pStyle w:val="ListParagraph"/>
                  <w:ind w:left="320" w:hanging="284"/>
                  <w:jc w:val="left"/>
                </w:pPr>
                <w:r w:rsidRPr="009D1A57">
                  <w:rPr>
                    <w:sz w:val="22"/>
                    <w:szCs w:val="24"/>
                  </w:rPr>
                  <w:t>f</w:t>
                </w:r>
                <w:r w:rsidR="00EE3435" w:rsidRPr="009D1A57">
                  <w:rPr>
                    <w:sz w:val="22"/>
                    <w:szCs w:val="24"/>
                  </w:rPr>
                  <w:t xml:space="preserve">or circumstances that are not prescribed under s7(7) of the Act, submissions explaining how a determination would be consistent with </w:t>
                </w:r>
                <w:r w:rsidR="001F3B77" w:rsidRPr="009D1A57">
                  <w:rPr>
                    <w:sz w:val="22"/>
                    <w:szCs w:val="24"/>
                  </w:rPr>
                  <w:t xml:space="preserve">the </w:t>
                </w:r>
                <w:r w:rsidR="00EE3435" w:rsidRPr="009D1A57">
                  <w:rPr>
                    <w:sz w:val="22"/>
                    <w:szCs w:val="24"/>
                  </w:rPr>
                  <w:t>objectives and intent of the Act</w:t>
                </w:r>
                <w:r w:rsidR="001B3FB1" w:rsidRPr="009D1A57">
                  <w:rPr>
                    <w:sz w:val="22"/>
                    <w:szCs w:val="24"/>
                  </w:rPr>
                  <w:t>.</w:t>
                </w:r>
              </w:p>
            </w:tc>
          </w:tr>
          <w:tr w:rsidR="00D81FA4" w14:paraId="2A42EA9E" w14:textId="77777777" w:rsidTr="007E7FBA">
            <w:tc>
              <w:tcPr>
                <w:tcW w:w="2258" w:type="dxa"/>
                <w:tcBorders>
                  <w:top w:val="single" w:sz="6" w:space="0" w:color="auto"/>
                  <w:left w:val="single" w:sz="8" w:space="0" w:color="auto"/>
                  <w:bottom w:val="single" w:sz="6" w:space="0" w:color="auto"/>
                  <w:right w:val="single" w:sz="8" w:space="0" w:color="auto"/>
                </w:tcBorders>
                <w:shd w:val="clear" w:color="auto" w:fill="FFFFFF" w:themeFill="background1"/>
              </w:tcPr>
              <w:p w14:paraId="7CA8765A" w14:textId="765599CA" w:rsidR="00D81FA4" w:rsidRPr="00135EB3" w:rsidRDefault="00D81FA4" w:rsidP="001B3FB1">
                <w:pPr>
                  <w:spacing w:before="0"/>
                  <w:jc w:val="left"/>
                  <w:rPr>
                    <w:sz w:val="22"/>
                    <w:szCs w:val="24"/>
                  </w:rPr>
                </w:pPr>
                <w:r w:rsidRPr="00135EB3">
                  <w:rPr>
                    <w:sz w:val="22"/>
                    <w:szCs w:val="24"/>
                  </w:rPr>
                  <w:t>Supporting evidence</w:t>
                </w:r>
              </w:p>
            </w:tc>
            <w:tc>
              <w:tcPr>
                <w:tcW w:w="6792" w:type="dxa"/>
                <w:tcBorders>
                  <w:top w:val="single" w:sz="6" w:space="0" w:color="auto"/>
                  <w:left w:val="single" w:sz="8" w:space="0" w:color="auto"/>
                  <w:bottom w:val="single" w:sz="6" w:space="0" w:color="auto"/>
                  <w:right w:val="single" w:sz="8" w:space="0" w:color="auto"/>
                </w:tcBorders>
                <w:shd w:val="clear" w:color="auto" w:fill="FFFFFF" w:themeFill="background1"/>
              </w:tcPr>
              <w:p w14:paraId="44B14903" w14:textId="77777777" w:rsidR="00D81FA4" w:rsidRPr="00135EB3" w:rsidRDefault="00A44E07" w:rsidP="001B3FB1">
                <w:pPr>
                  <w:pStyle w:val="Bullet"/>
                  <w:numPr>
                    <w:ilvl w:val="0"/>
                    <w:numId w:val="0"/>
                  </w:numPr>
                  <w:ind w:left="284" w:hanging="284"/>
                  <w:jc w:val="left"/>
                  <w:rPr>
                    <w:sz w:val="22"/>
                    <w:szCs w:val="24"/>
                  </w:rPr>
                </w:pPr>
                <w:r w:rsidRPr="00135EB3">
                  <w:rPr>
                    <w:sz w:val="22"/>
                    <w:szCs w:val="24"/>
                  </w:rPr>
                  <w:t>A list of the documents provided in support of the application.</w:t>
                </w:r>
              </w:p>
              <w:p w14:paraId="65D151FB" w14:textId="704CDA2B" w:rsidR="0079426E" w:rsidRPr="00135EB3" w:rsidRDefault="0079426E" w:rsidP="001B3FB1">
                <w:pPr>
                  <w:pStyle w:val="Bullet"/>
                  <w:numPr>
                    <w:ilvl w:val="0"/>
                    <w:numId w:val="0"/>
                  </w:numPr>
                  <w:spacing w:after="0"/>
                  <w:ind w:left="284" w:hanging="284"/>
                  <w:jc w:val="left"/>
                  <w:rPr>
                    <w:sz w:val="22"/>
                    <w:szCs w:val="24"/>
                  </w:rPr>
                </w:pPr>
                <w:r w:rsidRPr="00135EB3">
                  <w:rPr>
                    <w:sz w:val="22"/>
                    <w:szCs w:val="24"/>
                  </w:rPr>
                  <w:t xml:space="preserve">See </w:t>
                </w:r>
                <w:hyperlink w:anchor="_Table_4:_Determination_1" w:history="1">
                  <w:r w:rsidRPr="00135EB3">
                    <w:rPr>
                      <w:rStyle w:val="Hyperlink"/>
                      <w:rFonts w:ascii="Calibri" w:hAnsi="Calibri"/>
                      <w:szCs w:val="24"/>
                    </w:rPr>
                    <w:t>Table</w:t>
                  </w:r>
                  <w:r w:rsidR="00135EB3" w:rsidRPr="00135EB3">
                    <w:rPr>
                      <w:rStyle w:val="Hyperlink"/>
                      <w:rFonts w:ascii="Calibri" w:hAnsi="Calibri"/>
                      <w:szCs w:val="24"/>
                    </w:rPr>
                    <w:t xml:space="preserve"> </w:t>
                  </w:r>
                  <w:r w:rsidR="00A755D3">
                    <w:rPr>
                      <w:rStyle w:val="Hyperlink"/>
                      <w:rFonts w:ascii="Calibri" w:hAnsi="Calibri"/>
                      <w:szCs w:val="24"/>
                    </w:rPr>
                    <w:t>4</w:t>
                  </w:r>
                </w:hyperlink>
                <w:r w:rsidR="00135EB3">
                  <w:rPr>
                    <w:sz w:val="22"/>
                    <w:szCs w:val="24"/>
                  </w:rPr>
                  <w:t xml:space="preserve"> </w:t>
                </w:r>
                <w:r w:rsidRPr="00135EB3">
                  <w:rPr>
                    <w:sz w:val="22"/>
                    <w:szCs w:val="24"/>
                  </w:rPr>
                  <w:t>for recommended supporting evidence</w:t>
                </w:r>
                <w:r w:rsidR="001B3FB1">
                  <w:rPr>
                    <w:sz w:val="22"/>
                    <w:szCs w:val="24"/>
                  </w:rPr>
                  <w:t>.</w:t>
                </w:r>
              </w:p>
            </w:tc>
          </w:tr>
        </w:tbl>
        <w:p w14:paraId="4DF26E2F" w14:textId="1571CB94" w:rsidR="00BB4F75" w:rsidRDefault="0027157C" w:rsidP="005B73F4">
          <w:pPr>
            <w:pStyle w:val="ListParagraph"/>
            <w:numPr>
              <w:ilvl w:val="0"/>
              <w:numId w:val="30"/>
            </w:numPr>
            <w:spacing w:before="120"/>
            <w:ind w:left="992" w:hanging="992"/>
          </w:pPr>
          <w:r>
            <w:t xml:space="preserve">There are </w:t>
          </w:r>
          <w:r w:rsidR="009654C6">
            <w:t>2</w:t>
          </w:r>
          <w:r>
            <w:t xml:space="preserve"> types of </w:t>
          </w:r>
          <w:r w:rsidR="007C76FB">
            <w:t xml:space="preserve">applications for a </w:t>
          </w:r>
          <w:r w:rsidR="003F5D8A">
            <w:t>determination</w:t>
          </w:r>
          <w:r w:rsidR="007C76FB">
            <w:t xml:space="preserve"> to cease to be a reporting entity</w:t>
          </w:r>
          <w:r w:rsidR="003B3D44">
            <w:t>:</w:t>
          </w:r>
          <w:r w:rsidR="00FE7806">
            <w:rPr>
              <w:rStyle w:val="FootnoteReference"/>
            </w:rPr>
            <w:footnoteReference w:id="8"/>
          </w:r>
          <w:r w:rsidR="003B3D44">
            <w:t xml:space="preserve"> </w:t>
          </w:r>
        </w:p>
        <w:p w14:paraId="554E0954" w14:textId="4200AA71" w:rsidR="00BB4F75" w:rsidRDefault="00EA6F15" w:rsidP="00895183">
          <w:pPr>
            <w:pStyle w:val="ListParagraph"/>
            <w:numPr>
              <w:ilvl w:val="1"/>
              <w:numId w:val="73"/>
            </w:numPr>
          </w:pPr>
          <w:r>
            <w:t xml:space="preserve">applications </w:t>
          </w:r>
          <w:r w:rsidR="00976D11">
            <w:t xml:space="preserve">where </w:t>
          </w:r>
          <w:r w:rsidR="003B3D44">
            <w:t>we must give a determination if satisfied of circumstances prescribed by the Act</w:t>
          </w:r>
          <w:r w:rsidR="00685D1E">
            <w:t xml:space="preserve"> </w:t>
          </w:r>
        </w:p>
        <w:p w14:paraId="41B04BE3" w14:textId="2E979921" w:rsidR="00A45DB4" w:rsidRDefault="00685D1E" w:rsidP="00895183">
          <w:pPr>
            <w:pStyle w:val="ListParagraph"/>
            <w:numPr>
              <w:ilvl w:val="1"/>
              <w:numId w:val="73"/>
            </w:numPr>
          </w:pPr>
          <w:r>
            <w:t>applications where we have discretion whether to give a determination.</w:t>
          </w:r>
        </w:p>
        <w:p w14:paraId="1DF030E9" w14:textId="2063961C" w:rsidR="00685D1E" w:rsidRDefault="00E8035E" w:rsidP="009E6925">
          <w:pPr>
            <w:pStyle w:val="ListParagraph"/>
            <w:numPr>
              <w:ilvl w:val="0"/>
              <w:numId w:val="30"/>
            </w:numPr>
            <w:ind w:left="993" w:hanging="993"/>
          </w:pPr>
          <w:hyperlink w:anchor="_Table_4:_Determination_1" w:history="1">
            <w:r w:rsidR="00685D1E" w:rsidRPr="007E7FBA">
              <w:rPr>
                <w:rStyle w:val="Hyperlink"/>
              </w:rPr>
              <w:t xml:space="preserve">Table </w:t>
            </w:r>
            <w:r w:rsidR="00C85331" w:rsidRPr="007E7FBA">
              <w:rPr>
                <w:rStyle w:val="Hyperlink"/>
              </w:rPr>
              <w:t>4</w:t>
            </w:r>
          </w:hyperlink>
          <w:r w:rsidR="00685D1E">
            <w:t xml:space="preserve"> </w:t>
          </w:r>
          <w:r w:rsidR="0041090A">
            <w:t>sets out</w:t>
          </w:r>
          <w:r w:rsidR="00685D1E">
            <w:t xml:space="preserve"> the types of </w:t>
          </w:r>
          <w:r w:rsidR="003F5D8A">
            <w:t xml:space="preserve">applications and </w:t>
          </w:r>
          <w:r w:rsidR="00BB4F75">
            <w:t xml:space="preserve">guidance </w:t>
          </w:r>
          <w:r w:rsidR="00F21D2E">
            <w:t xml:space="preserve">on the </w:t>
          </w:r>
          <w:r w:rsidR="003F5D8A">
            <w:t xml:space="preserve">evidence that </w:t>
          </w:r>
          <w:r w:rsidR="0041090A">
            <w:t xml:space="preserve">applicants </w:t>
          </w:r>
          <w:r w:rsidR="003F5D8A">
            <w:t xml:space="preserve">should </w:t>
          </w:r>
          <w:r w:rsidR="00F21D2E">
            <w:t xml:space="preserve">provide depending on the application </w:t>
          </w:r>
          <w:r w:rsidR="00906BCA">
            <w:t>type</w:t>
          </w:r>
          <w:r w:rsidR="003F5D8A">
            <w:t>.</w:t>
          </w:r>
        </w:p>
        <w:p w14:paraId="38AEC8C5" w14:textId="79628E98" w:rsidR="003F5D8A" w:rsidRPr="00382F63" w:rsidRDefault="003F5D8A" w:rsidP="001B3FB1">
          <w:pPr>
            <w:pStyle w:val="Heading4"/>
            <w:rPr>
              <w:lang w:eastAsia="en-US"/>
            </w:rPr>
          </w:pPr>
          <w:bookmarkStart w:id="40" w:name="_Table_4:_Determination_1"/>
          <w:bookmarkEnd w:id="40"/>
          <w:r w:rsidRPr="00382F63">
            <w:rPr>
              <w:lang w:eastAsia="en-US"/>
            </w:rPr>
            <w:t xml:space="preserve">Table </w:t>
          </w:r>
          <w:r w:rsidR="00A44E07">
            <w:rPr>
              <w:lang w:eastAsia="en-US"/>
            </w:rPr>
            <w:t>4</w:t>
          </w:r>
          <w:r w:rsidRPr="00382F63">
            <w:rPr>
              <w:lang w:eastAsia="en-US"/>
            </w:rPr>
            <w:t xml:space="preserve">: </w:t>
          </w:r>
          <w:r w:rsidR="00F21D2E">
            <w:rPr>
              <w:lang w:eastAsia="en-US"/>
            </w:rPr>
            <w:t>Determination application types</w:t>
          </w:r>
        </w:p>
        <w:tbl>
          <w:tblPr>
            <w:tblStyle w:val="TableGrid"/>
            <w:tblW w:w="9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061"/>
            <w:gridCol w:w="5046"/>
            <w:gridCol w:w="1618"/>
          </w:tblGrid>
          <w:tr w:rsidR="00221B50" w14:paraId="731EFC8F" w14:textId="77777777" w:rsidTr="009D1A57">
            <w:tc>
              <w:tcPr>
                <w:tcW w:w="3061" w:type="dxa"/>
                <w:shd w:val="clear" w:color="auto" w:fill="2C384A"/>
              </w:tcPr>
              <w:p w14:paraId="56DA01FF" w14:textId="00B6DB34" w:rsidR="00221B50" w:rsidRPr="00895183" w:rsidRDefault="00221B50" w:rsidP="009D1A57">
                <w:pPr>
                  <w:spacing w:before="0" w:after="0" w:line="259" w:lineRule="auto"/>
                  <w:rPr>
                    <w:b/>
                    <w:bCs/>
                    <w:color w:val="FFFFFF" w:themeColor="background1"/>
                    <w:sz w:val="22"/>
                    <w:szCs w:val="22"/>
                  </w:rPr>
                </w:pPr>
                <w:r w:rsidRPr="00895183">
                  <w:rPr>
                    <w:b/>
                    <w:bCs/>
                    <w:color w:val="FFFFFF" w:themeColor="background1"/>
                    <w:sz w:val="22"/>
                    <w:szCs w:val="22"/>
                  </w:rPr>
                  <w:t>Circumstance</w:t>
                </w:r>
              </w:p>
            </w:tc>
            <w:tc>
              <w:tcPr>
                <w:tcW w:w="5046" w:type="dxa"/>
                <w:shd w:val="clear" w:color="auto" w:fill="2C384A"/>
              </w:tcPr>
              <w:p w14:paraId="333355FA" w14:textId="54B049D6" w:rsidR="00221B50" w:rsidRPr="00895183" w:rsidRDefault="00221B50" w:rsidP="009D1A57">
                <w:pPr>
                  <w:spacing w:before="0" w:after="0" w:line="259" w:lineRule="auto"/>
                  <w:rPr>
                    <w:b/>
                    <w:bCs/>
                    <w:color w:val="FFFFFF" w:themeColor="background1"/>
                    <w:szCs w:val="22"/>
                  </w:rPr>
                </w:pPr>
                <w:r w:rsidRPr="00895183">
                  <w:rPr>
                    <w:b/>
                    <w:bCs/>
                    <w:color w:val="FFFFFF" w:themeColor="background1"/>
                    <w:sz w:val="22"/>
                    <w:szCs w:val="22"/>
                  </w:rPr>
                  <w:t>Recommended supporting evidence</w:t>
                </w:r>
              </w:p>
            </w:tc>
            <w:tc>
              <w:tcPr>
                <w:tcW w:w="1618" w:type="dxa"/>
                <w:shd w:val="clear" w:color="auto" w:fill="2C384A"/>
              </w:tcPr>
              <w:p w14:paraId="026A9DAE" w14:textId="2AB6B376" w:rsidR="00221B50" w:rsidRPr="00895183" w:rsidRDefault="00221B50" w:rsidP="009D1A57">
                <w:pPr>
                  <w:spacing w:before="0" w:after="0" w:line="259" w:lineRule="auto"/>
                  <w:rPr>
                    <w:b/>
                    <w:bCs/>
                    <w:color w:val="FFFFFF" w:themeColor="background1"/>
                    <w:sz w:val="22"/>
                    <w:szCs w:val="22"/>
                  </w:rPr>
                </w:pPr>
                <w:r w:rsidRPr="00895183">
                  <w:rPr>
                    <w:b/>
                    <w:bCs/>
                    <w:color w:val="FFFFFF" w:themeColor="background1"/>
                    <w:sz w:val="22"/>
                    <w:szCs w:val="22"/>
                  </w:rPr>
                  <w:t>Type</w:t>
                </w:r>
              </w:p>
            </w:tc>
          </w:tr>
          <w:tr w:rsidR="00221B50" w14:paraId="5A78F9C3" w14:textId="77777777" w:rsidTr="009D1A57">
            <w:tc>
              <w:tcPr>
                <w:tcW w:w="3061" w:type="dxa"/>
                <w:shd w:val="clear" w:color="auto" w:fill="FFFFFF" w:themeFill="background1"/>
              </w:tcPr>
              <w:p w14:paraId="06CBF7C2" w14:textId="0BC1C70C" w:rsidR="00221B50" w:rsidRPr="00895183" w:rsidRDefault="005B7866" w:rsidP="009D1A57">
                <w:pPr>
                  <w:spacing w:before="0" w:after="0" w:line="259" w:lineRule="auto"/>
                  <w:jc w:val="left"/>
                  <w:rPr>
                    <w:sz w:val="22"/>
                    <w:szCs w:val="22"/>
                  </w:rPr>
                </w:pPr>
                <w:r>
                  <w:rPr>
                    <w:sz w:val="22"/>
                    <w:szCs w:val="22"/>
                  </w:rPr>
                  <w:t>An entit</w:t>
                </w:r>
                <w:r w:rsidR="00A27F76">
                  <w:rPr>
                    <w:sz w:val="22"/>
                    <w:szCs w:val="22"/>
                  </w:rPr>
                  <w:t xml:space="preserve">y’s </w:t>
                </w:r>
                <w:r>
                  <w:rPr>
                    <w:sz w:val="22"/>
                    <w:szCs w:val="22"/>
                  </w:rPr>
                  <w:t xml:space="preserve">income has fallen below </w:t>
                </w:r>
                <w:r w:rsidR="00736FF8">
                  <w:rPr>
                    <w:sz w:val="22"/>
                    <w:szCs w:val="22"/>
                  </w:rPr>
                  <w:t>A</w:t>
                </w:r>
                <w:r>
                  <w:rPr>
                    <w:sz w:val="22"/>
                    <w:szCs w:val="22"/>
                  </w:rPr>
                  <w:t xml:space="preserve">$100 million for two consecutive income years, or if the entity is a </w:t>
                </w:r>
                <w:r w:rsidR="00221B50" w:rsidRPr="00895183">
                  <w:rPr>
                    <w:sz w:val="22"/>
                    <w:szCs w:val="22"/>
                  </w:rPr>
                  <w:t>controlling corporation</w:t>
                </w:r>
                <w:r>
                  <w:rPr>
                    <w:sz w:val="22"/>
                    <w:szCs w:val="22"/>
                  </w:rPr>
                  <w:t>,</w:t>
                </w:r>
                <w:r w:rsidR="00221B50" w:rsidRPr="00895183">
                  <w:rPr>
                    <w:sz w:val="22"/>
                    <w:szCs w:val="22"/>
                  </w:rPr>
                  <w:t xml:space="preserve"> the controlling corporate group’s combined income has </w:t>
                </w:r>
                <w:r>
                  <w:rPr>
                    <w:sz w:val="22"/>
                    <w:szCs w:val="22"/>
                  </w:rPr>
                  <w:t xml:space="preserve">fallen below </w:t>
                </w:r>
                <w:r w:rsidR="00736FF8">
                  <w:rPr>
                    <w:sz w:val="22"/>
                    <w:szCs w:val="22"/>
                  </w:rPr>
                  <w:t>A</w:t>
                </w:r>
                <w:r w:rsidR="00221B50" w:rsidRPr="00895183">
                  <w:rPr>
                    <w:sz w:val="22"/>
                    <w:szCs w:val="22"/>
                  </w:rPr>
                  <w:t>$100 million for 2 consecutive income years.</w:t>
                </w:r>
              </w:p>
            </w:tc>
            <w:tc>
              <w:tcPr>
                <w:tcW w:w="5046" w:type="dxa"/>
                <w:shd w:val="clear" w:color="auto" w:fill="FFFFFF" w:themeFill="background1"/>
              </w:tcPr>
              <w:p w14:paraId="0A0D82CB" w14:textId="77777777" w:rsidR="00221B50" w:rsidRPr="00221B50" w:rsidRDefault="00221B50" w:rsidP="009D1A57">
                <w:pPr>
                  <w:pStyle w:val="ListParagraph"/>
                  <w:ind w:left="308" w:hanging="308"/>
                  <w:jc w:val="left"/>
                  <w:rPr>
                    <w:sz w:val="22"/>
                    <w:szCs w:val="24"/>
                  </w:rPr>
                </w:pPr>
                <w:r w:rsidRPr="00221B50">
                  <w:rPr>
                    <w:sz w:val="22"/>
                    <w:szCs w:val="24"/>
                  </w:rPr>
                  <w:t>The entity’s 2 most recent tax returns (with the assessment issued by the ATO in response).</w:t>
                </w:r>
              </w:p>
              <w:p w14:paraId="2CAAFCC0" w14:textId="435F5660" w:rsidR="00221B50" w:rsidRPr="00895183" w:rsidRDefault="00221B50" w:rsidP="009D1A57">
                <w:pPr>
                  <w:pStyle w:val="ListParagraph"/>
                  <w:spacing w:after="0"/>
                  <w:ind w:left="308" w:hanging="308"/>
                  <w:jc w:val="left"/>
                </w:pPr>
                <w:r w:rsidRPr="00221B50">
                  <w:rPr>
                    <w:sz w:val="22"/>
                    <w:szCs w:val="24"/>
                  </w:rPr>
                  <w:t>A statutory declaration or letter from a company officer, trustee or other authorised person that the tax returns and assessment have not been modified, re-issued or subject to further review or audit by the ATO</w:t>
                </w:r>
                <w:r w:rsidRPr="00895183">
                  <w:t xml:space="preserve">. </w:t>
                </w:r>
              </w:p>
            </w:tc>
            <w:tc>
              <w:tcPr>
                <w:tcW w:w="1618" w:type="dxa"/>
                <w:vMerge w:val="restart"/>
                <w:shd w:val="clear" w:color="auto" w:fill="FFFFFF" w:themeFill="background1"/>
                <w:vAlign w:val="center"/>
              </w:tcPr>
              <w:p w14:paraId="31CCCA72" w14:textId="1F595B6E" w:rsidR="00221B50" w:rsidRPr="00895183" w:rsidRDefault="00221B50" w:rsidP="009D1A57">
                <w:pPr>
                  <w:spacing w:before="0" w:after="0" w:line="259" w:lineRule="auto"/>
                  <w:jc w:val="left"/>
                  <w:rPr>
                    <w:sz w:val="22"/>
                    <w:szCs w:val="22"/>
                  </w:rPr>
                </w:pPr>
                <w:r w:rsidRPr="00895183">
                  <w:rPr>
                    <w:sz w:val="22"/>
                    <w:szCs w:val="22"/>
                  </w:rPr>
                  <w:t>Prescribed under s7(7) Act: we must give determination if satisfied of circumstances</w:t>
                </w:r>
              </w:p>
            </w:tc>
          </w:tr>
          <w:tr w:rsidR="00221B50" w14:paraId="72B139B1" w14:textId="77777777" w:rsidTr="009D1A57">
            <w:tc>
              <w:tcPr>
                <w:tcW w:w="3061" w:type="dxa"/>
                <w:shd w:val="clear" w:color="auto" w:fill="FFFFFF" w:themeFill="background1"/>
              </w:tcPr>
              <w:p w14:paraId="6E129DEE" w14:textId="2FDF000B" w:rsidR="00221B50" w:rsidRPr="00895183" w:rsidRDefault="00221B50" w:rsidP="009D1A57">
                <w:pPr>
                  <w:spacing w:before="0" w:after="0" w:line="259" w:lineRule="auto"/>
                  <w:jc w:val="left"/>
                  <w:rPr>
                    <w:sz w:val="22"/>
                    <w:szCs w:val="22"/>
                  </w:rPr>
                </w:pPr>
                <w:r w:rsidRPr="00895183">
                  <w:rPr>
                    <w:sz w:val="22"/>
                    <w:szCs w:val="22"/>
                  </w:rPr>
                  <w:t xml:space="preserve">An entity has registered as a charity under the </w:t>
                </w:r>
                <w:hyperlink r:id="rId23" w:history="1">
                  <w:r w:rsidR="007E7FBA" w:rsidRPr="007E7FBA">
                    <w:rPr>
                      <w:rStyle w:val="Hyperlink"/>
                      <w:rFonts w:ascii="Calibri" w:hAnsi="Calibri"/>
                      <w:i/>
                      <w:iCs/>
                      <w:szCs w:val="22"/>
                    </w:rPr>
                    <w:t>Australian Charities and Not-for-profit Commission Act 2012</w:t>
                  </w:r>
                </w:hyperlink>
                <w:r w:rsidRPr="00895183">
                  <w:rPr>
                    <w:sz w:val="22"/>
                    <w:szCs w:val="22"/>
                  </w:rPr>
                  <w:t>.</w:t>
                </w:r>
              </w:p>
            </w:tc>
            <w:tc>
              <w:tcPr>
                <w:tcW w:w="5046" w:type="dxa"/>
                <w:shd w:val="clear" w:color="auto" w:fill="FFFFFF" w:themeFill="background1"/>
              </w:tcPr>
              <w:p w14:paraId="70A8387A" w14:textId="3B81764B" w:rsidR="00221B50" w:rsidRPr="00895183" w:rsidRDefault="00221B50" w:rsidP="009D1A57">
                <w:pPr>
                  <w:spacing w:before="0" w:after="0" w:line="259" w:lineRule="auto"/>
                  <w:jc w:val="left"/>
                  <w:rPr>
                    <w:szCs w:val="22"/>
                  </w:rPr>
                </w:pPr>
                <w:r w:rsidRPr="00895183">
                  <w:rPr>
                    <w:sz w:val="22"/>
                    <w:szCs w:val="22"/>
                  </w:rPr>
                  <w:t>Certificate of registration as a charity.</w:t>
                </w:r>
              </w:p>
            </w:tc>
            <w:tc>
              <w:tcPr>
                <w:tcW w:w="1618" w:type="dxa"/>
                <w:vMerge/>
                <w:shd w:val="clear" w:color="auto" w:fill="FFFFFF" w:themeFill="background1"/>
              </w:tcPr>
              <w:p w14:paraId="32551840" w14:textId="21C7DEBD" w:rsidR="00221B50" w:rsidRPr="00895183" w:rsidRDefault="00221B50" w:rsidP="009D1A57">
                <w:pPr>
                  <w:spacing w:before="0" w:after="0" w:line="259" w:lineRule="auto"/>
                  <w:jc w:val="left"/>
                  <w:rPr>
                    <w:sz w:val="22"/>
                    <w:szCs w:val="22"/>
                  </w:rPr>
                </w:pPr>
              </w:p>
            </w:tc>
          </w:tr>
          <w:tr w:rsidR="00221B50" w14:paraId="1DE76216" w14:textId="77777777" w:rsidTr="009D1A57">
            <w:tc>
              <w:tcPr>
                <w:tcW w:w="3061" w:type="dxa"/>
                <w:shd w:val="clear" w:color="auto" w:fill="FFFFFF" w:themeFill="background1"/>
              </w:tcPr>
              <w:p w14:paraId="13FF2B06" w14:textId="36F4C1B1" w:rsidR="00221B50" w:rsidRPr="00895183" w:rsidRDefault="00221B50" w:rsidP="009D1A57">
                <w:pPr>
                  <w:spacing w:before="0" w:after="0" w:line="259" w:lineRule="auto"/>
                  <w:jc w:val="left"/>
                  <w:rPr>
                    <w:sz w:val="22"/>
                    <w:szCs w:val="22"/>
                  </w:rPr>
                </w:pPr>
                <w:r w:rsidRPr="00895183">
                  <w:rPr>
                    <w:sz w:val="22"/>
                    <w:szCs w:val="22"/>
                  </w:rPr>
                  <w:t>Entity is a volunteering entity and wishes to cease being a reporting entity.</w:t>
                </w:r>
              </w:p>
            </w:tc>
            <w:tc>
              <w:tcPr>
                <w:tcW w:w="5046" w:type="dxa"/>
                <w:shd w:val="clear" w:color="auto" w:fill="FFFFFF" w:themeFill="background1"/>
              </w:tcPr>
              <w:p w14:paraId="0761D988" w14:textId="464A5DFD" w:rsidR="00221B50" w:rsidRPr="007E7FBA" w:rsidRDefault="00221B50" w:rsidP="009D1A57">
                <w:pPr>
                  <w:spacing w:before="0" w:after="0" w:line="259" w:lineRule="auto"/>
                  <w:jc w:val="left"/>
                  <w:rPr>
                    <w:sz w:val="22"/>
                    <w:szCs w:val="22"/>
                  </w:rPr>
                </w:pPr>
                <w:r w:rsidRPr="007E7FBA">
                  <w:rPr>
                    <w:sz w:val="22"/>
                    <w:szCs w:val="22"/>
                  </w:rPr>
                  <w:t xml:space="preserve">A statutory declaration or letter from </w:t>
                </w:r>
                <w:r w:rsidR="00B11BB4">
                  <w:rPr>
                    <w:sz w:val="22"/>
                    <w:szCs w:val="22"/>
                  </w:rPr>
                  <w:t xml:space="preserve">a </w:t>
                </w:r>
                <w:r w:rsidR="005B7866" w:rsidRPr="007E7FBA">
                  <w:rPr>
                    <w:sz w:val="22"/>
                    <w:szCs w:val="22"/>
                  </w:rPr>
                  <w:t xml:space="preserve">responsible member of the entity </w:t>
                </w:r>
                <w:r w:rsidRPr="007E7FBA">
                  <w:rPr>
                    <w:sz w:val="22"/>
                    <w:szCs w:val="22"/>
                  </w:rPr>
                  <w:t>stating the entity is only a reporting entity as a result of volunteering and it has not become a reporting entity under s7(1) of the Act.</w:t>
                </w:r>
              </w:p>
              <w:p w14:paraId="50DCC1A2" w14:textId="77777777" w:rsidR="005B7866" w:rsidRPr="007E7FBA" w:rsidRDefault="005B7866" w:rsidP="009D1A57">
                <w:pPr>
                  <w:spacing w:before="0" w:after="0" w:line="259" w:lineRule="auto"/>
                  <w:jc w:val="left"/>
                  <w:rPr>
                    <w:sz w:val="22"/>
                    <w:szCs w:val="22"/>
                  </w:rPr>
                </w:pPr>
              </w:p>
              <w:p w14:paraId="674755FF" w14:textId="14D4AB24" w:rsidR="005B7866" w:rsidRPr="007E7FBA" w:rsidRDefault="005B7866" w:rsidP="009D1A57">
                <w:pPr>
                  <w:spacing w:before="0" w:after="0" w:line="259" w:lineRule="auto"/>
                  <w:jc w:val="left"/>
                  <w:rPr>
                    <w:sz w:val="22"/>
                    <w:szCs w:val="22"/>
                  </w:rPr>
                </w:pPr>
                <w:r w:rsidRPr="007E7FBA">
                  <w:rPr>
                    <w:sz w:val="22"/>
                    <w:szCs w:val="22"/>
                  </w:rPr>
                  <w:t>For information on responsible members see Guidance Note 1: Key concepts.</w:t>
                </w:r>
              </w:p>
            </w:tc>
            <w:tc>
              <w:tcPr>
                <w:tcW w:w="1618" w:type="dxa"/>
                <w:vMerge/>
                <w:shd w:val="clear" w:color="auto" w:fill="FFFFFF" w:themeFill="background1"/>
              </w:tcPr>
              <w:p w14:paraId="15E87BCB" w14:textId="57D9F6D8" w:rsidR="00221B50" w:rsidRPr="00895183" w:rsidRDefault="00221B50" w:rsidP="009D1A57">
                <w:pPr>
                  <w:spacing w:before="0" w:after="0" w:line="259" w:lineRule="auto"/>
                  <w:jc w:val="left"/>
                  <w:rPr>
                    <w:sz w:val="22"/>
                    <w:szCs w:val="22"/>
                  </w:rPr>
                </w:pPr>
              </w:p>
            </w:tc>
          </w:tr>
          <w:tr w:rsidR="00221B50" w14:paraId="2201EDE6" w14:textId="77777777" w:rsidTr="009D1A57">
            <w:tc>
              <w:tcPr>
                <w:tcW w:w="3061" w:type="dxa"/>
                <w:shd w:val="clear" w:color="auto" w:fill="FFFFFF" w:themeFill="background1"/>
              </w:tcPr>
              <w:p w14:paraId="7D53B74D" w14:textId="1C30F492" w:rsidR="00221B50" w:rsidRPr="00895183" w:rsidRDefault="00221B50" w:rsidP="009D1A57">
                <w:pPr>
                  <w:spacing w:before="0" w:after="0" w:line="259" w:lineRule="auto"/>
                  <w:jc w:val="left"/>
                  <w:rPr>
                    <w:sz w:val="22"/>
                    <w:szCs w:val="22"/>
                  </w:rPr>
                </w:pPr>
                <w:r w:rsidRPr="00895183">
                  <w:rPr>
                    <w:sz w:val="22"/>
                    <w:szCs w:val="22"/>
                  </w:rPr>
                  <w:t xml:space="preserve">Other circumstances (see </w:t>
                </w:r>
                <w:r w:rsidR="00962264">
                  <w:rPr>
                    <w:sz w:val="22"/>
                    <w:szCs w:val="22"/>
                  </w:rPr>
                  <w:br/>
                </w:r>
                <w:hyperlink w:anchor="_Table_4:_Determination" w:history="1">
                  <w:r w:rsidRPr="00A755D3">
                    <w:rPr>
                      <w:rStyle w:val="Hyperlink"/>
                      <w:rFonts w:ascii="Calibri" w:hAnsi="Calibri"/>
                      <w:szCs w:val="22"/>
                    </w:rPr>
                    <w:t xml:space="preserve">Table </w:t>
                  </w:r>
                  <w:r w:rsidR="00A755D3" w:rsidRPr="00A755D3">
                    <w:rPr>
                      <w:rStyle w:val="Hyperlink"/>
                      <w:rFonts w:ascii="Calibri" w:hAnsi="Calibri"/>
                      <w:szCs w:val="22"/>
                    </w:rPr>
                    <w:t>5</w:t>
                  </w:r>
                </w:hyperlink>
                <w:r w:rsidRPr="00895183">
                  <w:rPr>
                    <w:sz w:val="22"/>
                    <w:szCs w:val="22"/>
                  </w:rPr>
                  <w:t xml:space="preserve"> for examples).</w:t>
                </w:r>
              </w:p>
            </w:tc>
            <w:tc>
              <w:tcPr>
                <w:tcW w:w="5046" w:type="dxa"/>
                <w:shd w:val="clear" w:color="auto" w:fill="FFFFFF" w:themeFill="background1"/>
              </w:tcPr>
              <w:p w14:paraId="5D659A02" w14:textId="77777777" w:rsidR="00221B50" w:rsidRPr="00221B50" w:rsidRDefault="00221B50" w:rsidP="009D1A57">
                <w:pPr>
                  <w:pStyle w:val="ListParagraph"/>
                  <w:ind w:left="308" w:hanging="283"/>
                  <w:jc w:val="left"/>
                  <w:rPr>
                    <w:sz w:val="22"/>
                    <w:szCs w:val="24"/>
                  </w:rPr>
                </w:pPr>
                <w:r w:rsidRPr="00221B50">
                  <w:rPr>
                    <w:sz w:val="22"/>
                    <w:szCs w:val="24"/>
                  </w:rPr>
                  <w:t>Submissions that describe the circumstances and how requiring the entity to report would be inconsistent with the intent of the Act.</w:t>
                </w:r>
              </w:p>
              <w:p w14:paraId="0CEA7FCC" w14:textId="1DD21D5D" w:rsidR="00221B50" w:rsidRPr="00895183" w:rsidRDefault="00221B50" w:rsidP="009D1A57">
                <w:pPr>
                  <w:pStyle w:val="ListParagraph"/>
                  <w:spacing w:after="0"/>
                  <w:ind w:left="308" w:hanging="283"/>
                  <w:jc w:val="left"/>
                </w:pPr>
                <w:r w:rsidRPr="00221B50">
                  <w:rPr>
                    <w:sz w:val="22"/>
                    <w:szCs w:val="24"/>
                  </w:rPr>
                  <w:t>Supporting documentation that provide evidence of the circumstances described. This may include sale agreements, share transfer agreements, scheme/takeover disclosure documents, ASIC extracts and board papers.</w:t>
                </w:r>
              </w:p>
            </w:tc>
            <w:tc>
              <w:tcPr>
                <w:tcW w:w="1618" w:type="dxa"/>
                <w:shd w:val="clear" w:color="auto" w:fill="FFFFFF" w:themeFill="background1"/>
              </w:tcPr>
              <w:p w14:paraId="0FAC1045" w14:textId="6D2E2525" w:rsidR="00221B50" w:rsidRPr="00895183" w:rsidRDefault="00221B50" w:rsidP="009D1A57">
                <w:pPr>
                  <w:spacing w:before="0" w:after="0" w:line="259" w:lineRule="auto"/>
                  <w:jc w:val="left"/>
                  <w:rPr>
                    <w:sz w:val="22"/>
                    <w:szCs w:val="22"/>
                  </w:rPr>
                </w:pPr>
                <w:r w:rsidRPr="00895183">
                  <w:rPr>
                    <w:sz w:val="22"/>
                    <w:szCs w:val="22"/>
                  </w:rPr>
                  <w:t>Not prescribed by the Act</w:t>
                </w:r>
                <w:r w:rsidR="00A755D3">
                  <w:rPr>
                    <w:sz w:val="22"/>
                    <w:szCs w:val="22"/>
                  </w:rPr>
                  <w:t>. W</w:t>
                </w:r>
                <w:r w:rsidRPr="00895183">
                  <w:rPr>
                    <w:sz w:val="22"/>
                    <w:szCs w:val="22"/>
                  </w:rPr>
                  <w:t>e may give a determination if satisfied it is appropriate in the circumstances</w:t>
                </w:r>
              </w:p>
            </w:tc>
          </w:tr>
        </w:tbl>
        <w:p w14:paraId="6B61162F" w14:textId="50F7479C" w:rsidR="003F5D8A" w:rsidRDefault="00906BCA" w:rsidP="009D1A57">
          <w:pPr>
            <w:pStyle w:val="ListParagraph"/>
            <w:numPr>
              <w:ilvl w:val="0"/>
              <w:numId w:val="30"/>
            </w:numPr>
            <w:spacing w:before="240"/>
            <w:ind w:left="993" w:hanging="993"/>
          </w:pPr>
          <w:r>
            <w:t>D</w:t>
          </w:r>
          <w:r w:rsidR="00F254D3">
            <w:t>epending on the type of application</w:t>
          </w:r>
          <w:r w:rsidR="003B0AC9">
            <w:t xml:space="preserve"> and circumstances, we </w:t>
          </w:r>
          <w:r w:rsidR="00F254D3">
            <w:t xml:space="preserve">may request other supporting evidence in addition to what is recommended </w:t>
          </w:r>
          <w:r w:rsidR="006968B5">
            <w:t xml:space="preserve">in </w:t>
          </w:r>
          <w:hyperlink w:anchor="_Table_4:_Determination_1" w:history="1">
            <w:r w:rsidR="006968B5" w:rsidRPr="003B0AC9">
              <w:rPr>
                <w:rStyle w:val="Hyperlink"/>
              </w:rPr>
              <w:t xml:space="preserve">Table </w:t>
            </w:r>
            <w:r w:rsidR="00A755D3">
              <w:rPr>
                <w:rStyle w:val="Hyperlink"/>
              </w:rPr>
              <w:t>4</w:t>
            </w:r>
          </w:hyperlink>
          <w:r w:rsidR="00F254D3">
            <w:t>.</w:t>
          </w:r>
        </w:p>
        <w:p w14:paraId="69347E50" w14:textId="041B595A" w:rsidR="00263A36" w:rsidRDefault="00263A36" w:rsidP="00CA06B6">
          <w:pPr>
            <w:pStyle w:val="Heading3"/>
            <w:rPr>
              <w:lang w:eastAsia="en-US"/>
            </w:rPr>
          </w:pPr>
          <w:bookmarkStart w:id="41" w:name="_Toc107914339"/>
          <w:r>
            <w:rPr>
              <w:lang w:eastAsia="en-US"/>
            </w:rPr>
            <w:t xml:space="preserve">Assessing </w:t>
          </w:r>
          <w:r w:rsidR="00FF1F9D">
            <w:rPr>
              <w:lang w:eastAsia="en-US"/>
            </w:rPr>
            <w:t>your</w:t>
          </w:r>
          <w:r>
            <w:rPr>
              <w:lang w:eastAsia="en-US"/>
            </w:rPr>
            <w:t xml:space="preserve"> application</w:t>
          </w:r>
          <w:bookmarkEnd w:id="41"/>
        </w:p>
        <w:p w14:paraId="6B906E43" w14:textId="7E86B0D4" w:rsidR="00FF655E" w:rsidRDefault="00FF655E" w:rsidP="00FF655E">
          <w:pPr>
            <w:pStyle w:val="Bullet"/>
            <w:numPr>
              <w:ilvl w:val="0"/>
              <w:numId w:val="30"/>
            </w:numPr>
            <w:ind w:left="993" w:hanging="993"/>
            <w:rPr>
              <w:lang w:eastAsia="en-US"/>
            </w:rPr>
          </w:pPr>
          <w:r w:rsidRPr="001B2726">
            <w:rPr>
              <w:lang w:eastAsia="en-US"/>
            </w:rPr>
            <w:t>We initially screen</w:t>
          </w:r>
          <w:r>
            <w:rPr>
              <w:lang w:eastAsia="en-US"/>
            </w:rPr>
            <w:t xml:space="preserve"> applications</w:t>
          </w:r>
          <w:r w:rsidRPr="00F569AE">
            <w:rPr>
              <w:lang w:eastAsia="en-US"/>
            </w:rPr>
            <w:t xml:space="preserve"> to ensure they </w:t>
          </w:r>
          <w:r w:rsidRPr="001B2726">
            <w:rPr>
              <w:lang w:eastAsia="en-US"/>
            </w:rPr>
            <w:t xml:space="preserve">contain </w:t>
          </w:r>
          <w:r w:rsidR="00B11BB4">
            <w:rPr>
              <w:lang w:eastAsia="en-US"/>
            </w:rPr>
            <w:t xml:space="preserve">all </w:t>
          </w:r>
          <w:r w:rsidRPr="001B2726">
            <w:rPr>
              <w:lang w:eastAsia="en-US"/>
            </w:rPr>
            <w:t xml:space="preserve">the information required </w:t>
          </w:r>
          <w:r w:rsidRPr="00F569AE">
            <w:rPr>
              <w:szCs w:val="22"/>
              <w:lang w:eastAsia="en-US"/>
            </w:rPr>
            <w:t>by the Act. We</w:t>
          </w:r>
          <w:r>
            <w:rPr>
              <w:lang w:eastAsia="en-US"/>
            </w:rPr>
            <w:t xml:space="preserve"> may refuse applications that do not pass screening without seeking additional information.</w:t>
          </w:r>
        </w:p>
        <w:p w14:paraId="0E99657E" w14:textId="2795E485" w:rsidR="00230564" w:rsidRDefault="00230564" w:rsidP="001B2726">
          <w:pPr>
            <w:pStyle w:val="ListParagraph"/>
            <w:numPr>
              <w:ilvl w:val="0"/>
              <w:numId w:val="30"/>
            </w:numPr>
            <w:ind w:left="993" w:hanging="993"/>
          </w:pPr>
          <w:r>
            <w:t xml:space="preserve">We </w:t>
          </w:r>
          <w:r w:rsidR="0031284E">
            <w:t>aim</w:t>
          </w:r>
          <w:r>
            <w:t xml:space="preserve"> to </w:t>
          </w:r>
          <w:r w:rsidR="00DA3873">
            <w:t>action applications as soon as possible</w:t>
          </w:r>
          <w:r w:rsidR="00782D69">
            <w:t xml:space="preserve">. </w:t>
          </w:r>
          <w:r w:rsidR="004D797C">
            <w:t xml:space="preserve">If </w:t>
          </w:r>
          <w:r w:rsidR="0031284E">
            <w:t>an</w:t>
          </w:r>
          <w:r w:rsidR="00D96DEF">
            <w:t xml:space="preserve"> </w:t>
          </w:r>
          <w:r w:rsidR="00174F24">
            <w:t xml:space="preserve">application is </w:t>
          </w:r>
          <w:r w:rsidR="004D797C">
            <w:t>time sensitive</w:t>
          </w:r>
          <w:r w:rsidR="0031284E">
            <w:t>, applicants</w:t>
          </w:r>
          <w:r w:rsidR="004D797C">
            <w:t xml:space="preserve"> should note</w:t>
          </w:r>
          <w:r w:rsidR="0031284E">
            <w:t xml:space="preserve"> this</w:t>
          </w:r>
          <w:r w:rsidR="004D797C">
            <w:t xml:space="preserve"> in </w:t>
          </w:r>
          <w:r w:rsidR="00A47767">
            <w:t xml:space="preserve">their </w:t>
          </w:r>
          <w:r w:rsidR="00174F24">
            <w:t>submission</w:t>
          </w:r>
          <w:r w:rsidR="00A47767">
            <w:t>. W</w:t>
          </w:r>
          <w:r w:rsidR="00780DF2">
            <w:t>e will work to meet your timing requirements where possible.</w:t>
          </w:r>
        </w:p>
        <w:p w14:paraId="28A84BBF" w14:textId="30493332" w:rsidR="00F4395B" w:rsidRDefault="00D80AA1" w:rsidP="00FF655E">
          <w:pPr>
            <w:pStyle w:val="ListParagraph"/>
            <w:numPr>
              <w:ilvl w:val="0"/>
              <w:numId w:val="30"/>
            </w:numPr>
            <w:ind w:left="993" w:hanging="993"/>
          </w:pPr>
          <w:r>
            <w:lastRenderedPageBreak/>
            <w:t>When assessing</w:t>
          </w:r>
          <w:r w:rsidR="00A47767">
            <w:t xml:space="preserve"> </w:t>
          </w:r>
          <w:r>
            <w:t>application</w:t>
          </w:r>
          <w:r w:rsidR="00FF655E">
            <w:t xml:space="preserve">s where we have discretion </w:t>
          </w:r>
          <w:r w:rsidR="00B11BB4">
            <w:t xml:space="preserve">on </w:t>
          </w:r>
          <w:r w:rsidR="00FF655E">
            <w:t>whether to grant a determination</w:t>
          </w:r>
          <w:r w:rsidR="00A47767">
            <w:t>,</w:t>
          </w:r>
          <w:r>
            <w:t xml:space="preserve"> we </w:t>
          </w:r>
          <w:r w:rsidR="00A47767">
            <w:t>consider</w:t>
          </w:r>
          <w:r>
            <w:t xml:space="preserve"> the intent of the Act</w:t>
          </w:r>
          <w:r w:rsidR="00FF655E">
            <w:t xml:space="preserve">. </w:t>
          </w:r>
          <w:hyperlink w:anchor="_Table_5:_Determination" w:history="1">
            <w:r w:rsidR="003136AE" w:rsidRPr="00B11BB4">
              <w:rPr>
                <w:rStyle w:val="Hyperlink"/>
              </w:rPr>
              <w:t xml:space="preserve">Table </w:t>
            </w:r>
            <w:r w:rsidR="00A755D3" w:rsidRPr="00B11BB4">
              <w:rPr>
                <w:rStyle w:val="Hyperlink"/>
              </w:rPr>
              <w:t>5</w:t>
            </w:r>
          </w:hyperlink>
          <w:r w:rsidR="003136AE">
            <w:t xml:space="preserve"> </w:t>
          </w:r>
          <w:r w:rsidR="00B11BB4">
            <w:t xml:space="preserve">contains guidance and examples </w:t>
          </w:r>
          <w:r w:rsidR="00DD4394">
            <w:t xml:space="preserve">for common scenarios </w:t>
          </w:r>
          <w:r w:rsidR="00627876">
            <w:t>and the principles and legislative intent we may apply</w:t>
          </w:r>
          <w:r w:rsidR="00B11BB4">
            <w:t xml:space="preserve"> when assessing applications</w:t>
          </w:r>
          <w:r w:rsidR="005849D2">
            <w:t>.</w:t>
          </w:r>
        </w:p>
        <w:p w14:paraId="0C6050DF" w14:textId="2D6EF157" w:rsidR="005849D2" w:rsidRPr="001E629D" w:rsidRDefault="005849D2" w:rsidP="00B71966">
          <w:pPr>
            <w:pStyle w:val="Heading4"/>
            <w:rPr>
              <w:lang w:eastAsia="en-US"/>
            </w:rPr>
          </w:pPr>
          <w:bookmarkStart w:id="42" w:name="_Table_4:_Determination"/>
          <w:bookmarkStart w:id="43" w:name="_Table_5:_Determination"/>
          <w:bookmarkEnd w:id="42"/>
          <w:bookmarkEnd w:id="43"/>
          <w:r w:rsidRPr="001E629D">
            <w:rPr>
              <w:lang w:eastAsia="en-US"/>
            </w:rPr>
            <w:t xml:space="preserve">Table </w:t>
          </w:r>
          <w:r w:rsidR="00A755D3">
            <w:rPr>
              <w:lang w:eastAsia="en-US"/>
            </w:rPr>
            <w:t>5</w:t>
          </w:r>
          <w:r w:rsidR="006968B5">
            <w:rPr>
              <w:lang w:eastAsia="en-US"/>
            </w:rPr>
            <w:t>:</w:t>
          </w:r>
          <w:r w:rsidRPr="001E629D">
            <w:rPr>
              <w:lang w:eastAsia="en-US"/>
            </w:rPr>
            <w:t xml:space="preserve"> </w:t>
          </w:r>
          <w:r w:rsidR="00AC0327">
            <w:rPr>
              <w:lang w:eastAsia="en-US"/>
            </w:rPr>
            <w:t xml:space="preserve">Determination </w:t>
          </w:r>
          <w:r w:rsidR="00220F37">
            <w:rPr>
              <w:lang w:eastAsia="en-US"/>
            </w:rPr>
            <w:t>– common scenarios</w:t>
          </w:r>
        </w:p>
        <w:tbl>
          <w:tblPr>
            <w:tblStyle w:val="TableGrid"/>
            <w:tblW w:w="9913" w:type="dxa"/>
            <w:tblCellMar>
              <w:top w:w="113" w:type="dxa"/>
              <w:bottom w:w="113" w:type="dxa"/>
            </w:tblCellMar>
            <w:tblLook w:val="04A0" w:firstRow="1" w:lastRow="0" w:firstColumn="1" w:lastColumn="0" w:noHBand="0" w:noVBand="1"/>
          </w:tblPr>
          <w:tblGrid>
            <w:gridCol w:w="3109"/>
            <w:gridCol w:w="6804"/>
          </w:tblGrid>
          <w:tr w:rsidR="005849D2" w14:paraId="348BEC0A" w14:textId="77777777" w:rsidTr="005D1AC3">
            <w:tc>
              <w:tcPr>
                <w:tcW w:w="3109" w:type="dxa"/>
                <w:tcBorders>
                  <w:top w:val="single" w:sz="6" w:space="0" w:color="auto"/>
                  <w:left w:val="single" w:sz="8" w:space="0" w:color="auto"/>
                  <w:bottom w:val="single" w:sz="6" w:space="0" w:color="auto"/>
                  <w:right w:val="single" w:sz="8" w:space="0" w:color="auto"/>
                </w:tcBorders>
                <w:shd w:val="clear" w:color="auto" w:fill="2C384A"/>
              </w:tcPr>
              <w:p w14:paraId="79472AEA" w14:textId="0DE2D03B" w:rsidR="005849D2" w:rsidRPr="00F7047D" w:rsidRDefault="001E629D" w:rsidP="009D1A57">
                <w:pPr>
                  <w:spacing w:before="0" w:after="0"/>
                  <w:rPr>
                    <w:b/>
                    <w:bCs/>
                    <w:color w:val="FFFFFF" w:themeColor="background1"/>
                    <w:sz w:val="22"/>
                    <w:szCs w:val="22"/>
                  </w:rPr>
                </w:pPr>
                <w:r w:rsidRPr="00F7047D">
                  <w:rPr>
                    <w:b/>
                    <w:bCs/>
                    <w:color w:val="FFFFFF" w:themeColor="background1"/>
                    <w:sz w:val="22"/>
                    <w:szCs w:val="22"/>
                  </w:rPr>
                  <w:t>Scenario</w:t>
                </w:r>
              </w:p>
            </w:tc>
            <w:tc>
              <w:tcPr>
                <w:tcW w:w="6804" w:type="dxa"/>
                <w:tcBorders>
                  <w:top w:val="single" w:sz="6" w:space="0" w:color="auto"/>
                  <w:left w:val="single" w:sz="8" w:space="0" w:color="auto"/>
                  <w:bottom w:val="single" w:sz="6" w:space="0" w:color="auto"/>
                  <w:right w:val="single" w:sz="8" w:space="0" w:color="auto"/>
                </w:tcBorders>
                <w:shd w:val="clear" w:color="auto" w:fill="2C384A"/>
              </w:tcPr>
              <w:p w14:paraId="3A46432D" w14:textId="6107EA90" w:rsidR="005849D2" w:rsidRPr="00F7047D" w:rsidRDefault="00E61629" w:rsidP="009D1A57">
                <w:pPr>
                  <w:spacing w:before="0" w:after="0"/>
                  <w:rPr>
                    <w:b/>
                    <w:bCs/>
                    <w:color w:val="FFFFFF" w:themeColor="background1"/>
                    <w:sz w:val="22"/>
                    <w:szCs w:val="22"/>
                  </w:rPr>
                </w:pPr>
                <w:r w:rsidRPr="00F7047D">
                  <w:rPr>
                    <w:b/>
                    <w:bCs/>
                    <w:color w:val="FFFFFF" w:themeColor="background1"/>
                    <w:sz w:val="22"/>
                    <w:szCs w:val="22"/>
                  </w:rPr>
                  <w:t xml:space="preserve">Our </w:t>
                </w:r>
                <w:r w:rsidR="00F253F6" w:rsidRPr="00F7047D">
                  <w:rPr>
                    <w:b/>
                    <w:bCs/>
                    <w:color w:val="FFFFFF" w:themeColor="background1"/>
                    <w:sz w:val="22"/>
                    <w:szCs w:val="22"/>
                  </w:rPr>
                  <w:t>approach</w:t>
                </w:r>
              </w:p>
            </w:tc>
          </w:tr>
          <w:tr w:rsidR="005849D2" w14:paraId="3B6E6F42" w14:textId="77777777" w:rsidTr="005D1AC3">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76EB1B8A" w14:textId="0AB9A3AC" w:rsidR="005849D2" w:rsidRPr="00F7047D" w:rsidRDefault="001E629D" w:rsidP="009D1A57">
                <w:pPr>
                  <w:spacing w:before="0" w:after="0" w:line="259" w:lineRule="auto"/>
                  <w:jc w:val="left"/>
                  <w:rPr>
                    <w:sz w:val="22"/>
                    <w:szCs w:val="22"/>
                  </w:rPr>
                </w:pPr>
                <w:r w:rsidRPr="00F7047D">
                  <w:rPr>
                    <w:sz w:val="22"/>
                    <w:szCs w:val="22"/>
                  </w:rPr>
                  <w:t xml:space="preserve">Entity </w:t>
                </w:r>
                <w:r w:rsidR="000B2373" w:rsidRPr="00F7047D">
                  <w:rPr>
                    <w:sz w:val="22"/>
                    <w:szCs w:val="22"/>
                  </w:rPr>
                  <w:t xml:space="preserve">is a controlling </w:t>
                </w:r>
                <w:r w:rsidR="001C0D84" w:rsidRPr="00F7047D">
                  <w:rPr>
                    <w:sz w:val="22"/>
                    <w:szCs w:val="22"/>
                  </w:rPr>
                  <w:t>corporation,</w:t>
                </w:r>
                <w:r w:rsidR="000B2373" w:rsidRPr="00F7047D">
                  <w:rPr>
                    <w:sz w:val="22"/>
                    <w:szCs w:val="22"/>
                  </w:rPr>
                  <w:t xml:space="preserve"> and its aggregate corporate group income has fallen</w:t>
                </w:r>
                <w:r w:rsidR="007B2713">
                  <w:rPr>
                    <w:sz w:val="22"/>
                    <w:szCs w:val="22"/>
                  </w:rPr>
                  <w:t xml:space="preserve"> to</w:t>
                </w:r>
                <w:r w:rsidR="000B2373" w:rsidRPr="00F7047D">
                  <w:rPr>
                    <w:sz w:val="22"/>
                    <w:szCs w:val="22"/>
                  </w:rPr>
                  <w:t xml:space="preserve"> </w:t>
                </w:r>
                <w:r w:rsidR="00736FF8">
                  <w:rPr>
                    <w:sz w:val="22"/>
                    <w:szCs w:val="22"/>
                  </w:rPr>
                  <w:t>A</w:t>
                </w:r>
                <w:r w:rsidR="000B2373" w:rsidRPr="00F7047D">
                  <w:rPr>
                    <w:sz w:val="22"/>
                    <w:szCs w:val="22"/>
                  </w:rPr>
                  <w:t>$100</w:t>
                </w:r>
                <w:r w:rsidR="00886D8E" w:rsidRPr="00F7047D">
                  <w:rPr>
                    <w:sz w:val="22"/>
                    <w:szCs w:val="22"/>
                  </w:rPr>
                  <w:t xml:space="preserve"> </w:t>
                </w:r>
                <w:r w:rsidR="000B2373" w:rsidRPr="00F7047D">
                  <w:rPr>
                    <w:sz w:val="22"/>
                    <w:szCs w:val="22"/>
                  </w:rPr>
                  <w:t>m</w:t>
                </w:r>
                <w:r w:rsidR="00886D8E" w:rsidRPr="00F7047D">
                  <w:rPr>
                    <w:sz w:val="22"/>
                    <w:szCs w:val="22"/>
                  </w:rPr>
                  <w:t>illion</w:t>
                </w:r>
                <w:r w:rsidR="000B2373" w:rsidRPr="00F7047D">
                  <w:rPr>
                    <w:sz w:val="22"/>
                    <w:szCs w:val="22"/>
                  </w:rPr>
                  <w:t xml:space="preserve"> </w:t>
                </w:r>
                <w:r w:rsidR="007B2713">
                  <w:rPr>
                    <w:sz w:val="22"/>
                    <w:szCs w:val="22"/>
                  </w:rPr>
                  <w:t xml:space="preserve">or less </w:t>
                </w:r>
                <w:r w:rsidR="000B2373" w:rsidRPr="00F7047D">
                  <w:rPr>
                    <w:sz w:val="22"/>
                    <w:szCs w:val="22"/>
                  </w:rPr>
                  <w:t>for 1 year.</w:t>
                </w:r>
              </w:p>
            </w:tc>
            <w:tc>
              <w:tcPr>
                <w:tcW w:w="6804" w:type="dxa"/>
                <w:tcBorders>
                  <w:top w:val="single" w:sz="6" w:space="0" w:color="auto"/>
                  <w:left w:val="single" w:sz="8" w:space="0" w:color="auto"/>
                  <w:bottom w:val="single" w:sz="6" w:space="0" w:color="auto"/>
                  <w:right w:val="single" w:sz="8" w:space="0" w:color="auto"/>
                </w:tcBorders>
                <w:shd w:val="clear" w:color="auto" w:fill="auto"/>
              </w:tcPr>
              <w:p w14:paraId="3FC2F0DE" w14:textId="7B29ED9E" w:rsidR="00E01D71" w:rsidRPr="001C0D84" w:rsidRDefault="001F5A0F" w:rsidP="009D1A57">
                <w:pPr>
                  <w:spacing w:before="0" w:line="259" w:lineRule="auto"/>
                  <w:jc w:val="left"/>
                  <w:rPr>
                    <w:sz w:val="22"/>
                    <w:szCs w:val="24"/>
                  </w:rPr>
                </w:pPr>
                <w:r w:rsidRPr="001C0D84">
                  <w:rPr>
                    <w:sz w:val="22"/>
                    <w:szCs w:val="22"/>
                  </w:rPr>
                  <w:t>Under t</w:t>
                </w:r>
                <w:r w:rsidR="009D3B1E" w:rsidRPr="001C0D84">
                  <w:rPr>
                    <w:sz w:val="22"/>
                    <w:szCs w:val="22"/>
                  </w:rPr>
                  <w:t>he Act</w:t>
                </w:r>
                <w:r w:rsidR="00FE0FDE">
                  <w:rPr>
                    <w:sz w:val="22"/>
                    <w:szCs w:val="22"/>
                  </w:rPr>
                  <w:t>,</w:t>
                </w:r>
                <w:r w:rsidR="00FF655E">
                  <w:rPr>
                    <w:sz w:val="22"/>
                    <w:szCs w:val="24"/>
                  </w:rPr>
                  <w:t xml:space="preserve"> </w:t>
                </w:r>
                <w:r w:rsidRPr="001C0D84">
                  <w:rPr>
                    <w:sz w:val="22"/>
                    <w:szCs w:val="24"/>
                  </w:rPr>
                  <w:t xml:space="preserve">a </w:t>
                </w:r>
                <w:r w:rsidR="009931D3" w:rsidRPr="001C0D84">
                  <w:rPr>
                    <w:sz w:val="22"/>
                    <w:szCs w:val="24"/>
                  </w:rPr>
                  <w:t>c</w:t>
                </w:r>
                <w:r w:rsidR="009D3B1E" w:rsidRPr="001C0D84">
                  <w:rPr>
                    <w:sz w:val="22"/>
                    <w:szCs w:val="24"/>
                  </w:rPr>
                  <w:t>ontrolling corporation</w:t>
                </w:r>
                <w:r w:rsidRPr="001C0D84">
                  <w:rPr>
                    <w:sz w:val="22"/>
                    <w:szCs w:val="24"/>
                  </w:rPr>
                  <w:t xml:space="preserve"> i</w:t>
                </w:r>
                <w:r w:rsidR="009D3B1E" w:rsidRPr="001C0D84">
                  <w:rPr>
                    <w:sz w:val="22"/>
                    <w:szCs w:val="24"/>
                  </w:rPr>
                  <w:t xml:space="preserve">s entitled to </w:t>
                </w:r>
                <w:r w:rsidR="00E01D71" w:rsidRPr="001C0D84">
                  <w:rPr>
                    <w:sz w:val="22"/>
                    <w:szCs w:val="24"/>
                  </w:rPr>
                  <w:t xml:space="preserve">a determination </w:t>
                </w:r>
                <w:r w:rsidR="00A12289" w:rsidRPr="001C0D84">
                  <w:rPr>
                    <w:sz w:val="22"/>
                    <w:szCs w:val="24"/>
                  </w:rPr>
                  <w:t>t</w:t>
                </w:r>
                <w:r w:rsidR="00E01D71" w:rsidRPr="001C0D84">
                  <w:rPr>
                    <w:sz w:val="22"/>
                    <w:szCs w:val="24"/>
                  </w:rPr>
                  <w:t xml:space="preserve">o cease to be a reporting entity on satisfying </w:t>
                </w:r>
                <w:r w:rsidR="00E74F29" w:rsidRPr="001C0D84">
                  <w:rPr>
                    <w:sz w:val="22"/>
                    <w:szCs w:val="24"/>
                  </w:rPr>
                  <w:t xml:space="preserve">the Regulator </w:t>
                </w:r>
                <w:r w:rsidRPr="001C0D84">
                  <w:rPr>
                    <w:sz w:val="22"/>
                    <w:szCs w:val="24"/>
                  </w:rPr>
                  <w:t xml:space="preserve">that </w:t>
                </w:r>
                <w:r w:rsidR="00E01D71" w:rsidRPr="001C0D84">
                  <w:rPr>
                    <w:sz w:val="22"/>
                    <w:szCs w:val="24"/>
                  </w:rPr>
                  <w:t xml:space="preserve">its </w:t>
                </w:r>
                <w:r w:rsidR="00A47767" w:rsidRPr="001C0D84">
                  <w:rPr>
                    <w:sz w:val="22"/>
                    <w:szCs w:val="24"/>
                  </w:rPr>
                  <w:t>in</w:t>
                </w:r>
                <w:r w:rsidR="00E01D71" w:rsidRPr="001C0D84">
                  <w:rPr>
                    <w:sz w:val="22"/>
                    <w:szCs w:val="24"/>
                  </w:rPr>
                  <w:t xml:space="preserve">come has fallen below </w:t>
                </w:r>
                <w:r w:rsidR="00736FF8">
                  <w:rPr>
                    <w:sz w:val="22"/>
                    <w:szCs w:val="24"/>
                  </w:rPr>
                  <w:t>A</w:t>
                </w:r>
                <w:r w:rsidR="00E01D71" w:rsidRPr="001C0D84">
                  <w:rPr>
                    <w:sz w:val="22"/>
                    <w:szCs w:val="24"/>
                  </w:rPr>
                  <w:t>$100</w:t>
                </w:r>
                <w:r w:rsidRPr="001C0D84">
                  <w:rPr>
                    <w:sz w:val="22"/>
                    <w:szCs w:val="24"/>
                  </w:rPr>
                  <w:t xml:space="preserve"> </w:t>
                </w:r>
                <w:r w:rsidR="00E01D71" w:rsidRPr="001C0D84">
                  <w:rPr>
                    <w:sz w:val="22"/>
                    <w:szCs w:val="24"/>
                  </w:rPr>
                  <w:t>m</w:t>
                </w:r>
                <w:r w:rsidRPr="001C0D84">
                  <w:rPr>
                    <w:sz w:val="22"/>
                    <w:szCs w:val="24"/>
                  </w:rPr>
                  <w:t>illion</w:t>
                </w:r>
                <w:r w:rsidR="00E01D71" w:rsidRPr="001C0D84">
                  <w:rPr>
                    <w:sz w:val="22"/>
                    <w:szCs w:val="24"/>
                  </w:rPr>
                  <w:t xml:space="preserve"> </w:t>
                </w:r>
                <w:r w:rsidR="00E74F29" w:rsidRPr="001C0D84">
                  <w:rPr>
                    <w:sz w:val="22"/>
                    <w:szCs w:val="24"/>
                  </w:rPr>
                  <w:t>in it</w:t>
                </w:r>
                <w:r w:rsidRPr="001C0D84">
                  <w:rPr>
                    <w:sz w:val="22"/>
                    <w:szCs w:val="24"/>
                  </w:rPr>
                  <w:t>s</w:t>
                </w:r>
                <w:r w:rsidR="00E74F29" w:rsidRPr="001C0D84">
                  <w:rPr>
                    <w:sz w:val="22"/>
                    <w:szCs w:val="24"/>
                  </w:rPr>
                  <w:t xml:space="preserve"> </w:t>
                </w:r>
                <w:r w:rsidR="00A47767" w:rsidRPr="001C0D84">
                  <w:rPr>
                    <w:sz w:val="22"/>
                    <w:szCs w:val="24"/>
                  </w:rPr>
                  <w:t>2</w:t>
                </w:r>
                <w:r w:rsidR="00E74F29" w:rsidRPr="001C0D84">
                  <w:rPr>
                    <w:sz w:val="22"/>
                    <w:szCs w:val="24"/>
                  </w:rPr>
                  <w:t xml:space="preserve"> most recent </w:t>
                </w:r>
                <w:r w:rsidR="00E01D71" w:rsidRPr="001C0D84">
                  <w:rPr>
                    <w:sz w:val="22"/>
                    <w:szCs w:val="24"/>
                  </w:rPr>
                  <w:t>income years</w:t>
                </w:r>
                <w:r w:rsidR="00FF655E">
                  <w:rPr>
                    <w:sz w:val="22"/>
                    <w:szCs w:val="24"/>
                  </w:rPr>
                  <w:t>.</w:t>
                </w:r>
                <w:r w:rsidR="00FF655E" w:rsidRPr="001C0D84">
                  <w:rPr>
                    <w:rStyle w:val="FootnoteReference"/>
                    <w:sz w:val="22"/>
                    <w:szCs w:val="22"/>
                  </w:rPr>
                  <w:footnoteReference w:id="9"/>
                </w:r>
              </w:p>
              <w:p w14:paraId="09D13F1A" w14:textId="7C43D726" w:rsidR="005849D2" w:rsidRPr="001C0D84" w:rsidRDefault="005657E0" w:rsidP="009D1A57">
                <w:pPr>
                  <w:pStyle w:val="Bullet"/>
                  <w:numPr>
                    <w:ilvl w:val="0"/>
                    <w:numId w:val="0"/>
                  </w:numPr>
                  <w:spacing w:after="0" w:line="259" w:lineRule="auto"/>
                  <w:jc w:val="left"/>
                  <w:rPr>
                    <w:sz w:val="22"/>
                    <w:szCs w:val="22"/>
                  </w:rPr>
                </w:pPr>
                <w:r w:rsidRPr="001C0D84">
                  <w:rPr>
                    <w:sz w:val="22"/>
                    <w:szCs w:val="22"/>
                  </w:rPr>
                  <w:t xml:space="preserve">We would be unlikely to give a determination where an entity is </w:t>
                </w:r>
                <w:r w:rsidR="00225337" w:rsidRPr="001C0D84">
                  <w:rPr>
                    <w:sz w:val="22"/>
                    <w:szCs w:val="22"/>
                  </w:rPr>
                  <w:t>seeking</w:t>
                </w:r>
                <w:r w:rsidRPr="001C0D84">
                  <w:rPr>
                    <w:sz w:val="22"/>
                    <w:szCs w:val="22"/>
                  </w:rPr>
                  <w:t xml:space="preserve"> to cease t</w:t>
                </w:r>
                <w:r w:rsidR="00C95026" w:rsidRPr="001C0D84">
                  <w:rPr>
                    <w:sz w:val="22"/>
                    <w:szCs w:val="22"/>
                  </w:rPr>
                  <w:t xml:space="preserve">o be a reporting entity based </w:t>
                </w:r>
                <w:r w:rsidR="005D562D" w:rsidRPr="001C0D84">
                  <w:rPr>
                    <w:sz w:val="22"/>
                    <w:szCs w:val="22"/>
                  </w:rPr>
                  <w:t xml:space="preserve">on </w:t>
                </w:r>
                <w:r w:rsidR="001151A7" w:rsidRPr="001C0D84">
                  <w:rPr>
                    <w:sz w:val="22"/>
                    <w:szCs w:val="22"/>
                  </w:rPr>
                  <w:t xml:space="preserve">income </w:t>
                </w:r>
                <w:r w:rsidR="005D562D" w:rsidRPr="001C0D84">
                  <w:rPr>
                    <w:sz w:val="22"/>
                    <w:szCs w:val="22"/>
                  </w:rPr>
                  <w:t xml:space="preserve">falling below financial thresholds for a period less than </w:t>
                </w:r>
                <w:r w:rsidR="001F5A0F" w:rsidRPr="001C0D84">
                  <w:rPr>
                    <w:sz w:val="22"/>
                    <w:szCs w:val="22"/>
                  </w:rPr>
                  <w:t>2</w:t>
                </w:r>
                <w:r w:rsidR="001151A7" w:rsidRPr="001C0D84">
                  <w:rPr>
                    <w:sz w:val="22"/>
                    <w:szCs w:val="22"/>
                  </w:rPr>
                  <w:t xml:space="preserve"> </w:t>
                </w:r>
                <w:r w:rsidR="00225337" w:rsidRPr="001C0D84">
                  <w:rPr>
                    <w:sz w:val="22"/>
                    <w:szCs w:val="22"/>
                  </w:rPr>
                  <w:t xml:space="preserve">consecutive </w:t>
                </w:r>
                <w:r w:rsidR="00F253F6" w:rsidRPr="001C0D84">
                  <w:rPr>
                    <w:sz w:val="22"/>
                    <w:szCs w:val="22"/>
                  </w:rPr>
                  <w:t xml:space="preserve">income </w:t>
                </w:r>
                <w:r w:rsidR="005D562D" w:rsidRPr="001C0D84">
                  <w:rPr>
                    <w:sz w:val="22"/>
                    <w:szCs w:val="22"/>
                  </w:rPr>
                  <w:t>years.</w:t>
                </w:r>
              </w:p>
            </w:tc>
          </w:tr>
          <w:tr w:rsidR="000B2373" w14:paraId="6E2065A9" w14:textId="77777777" w:rsidTr="005D1AC3">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1C1B8837" w14:textId="23FDCDFC" w:rsidR="000B2373" w:rsidRPr="00F7047D" w:rsidRDefault="00A85CA0" w:rsidP="009D1A57">
                <w:pPr>
                  <w:spacing w:before="0" w:after="0" w:line="259" w:lineRule="auto"/>
                  <w:jc w:val="left"/>
                  <w:rPr>
                    <w:sz w:val="22"/>
                    <w:szCs w:val="22"/>
                  </w:rPr>
                </w:pPr>
                <w:r w:rsidRPr="00F7047D">
                  <w:rPr>
                    <w:sz w:val="22"/>
                    <w:szCs w:val="22"/>
                  </w:rPr>
                  <w:t xml:space="preserve">Entity is a member </w:t>
                </w:r>
                <w:r w:rsidR="001C0D84" w:rsidRPr="00F7047D">
                  <w:rPr>
                    <w:sz w:val="22"/>
                    <w:szCs w:val="22"/>
                  </w:rPr>
                  <w:t>entity,</w:t>
                </w:r>
                <w:r w:rsidRPr="00F7047D">
                  <w:rPr>
                    <w:sz w:val="22"/>
                    <w:szCs w:val="22"/>
                  </w:rPr>
                  <w:t xml:space="preserve"> and its income has </w:t>
                </w:r>
                <w:r w:rsidR="006428A7" w:rsidRPr="00F7047D">
                  <w:rPr>
                    <w:sz w:val="22"/>
                    <w:szCs w:val="22"/>
                  </w:rPr>
                  <w:t xml:space="preserve">exceeded </w:t>
                </w:r>
                <w:r w:rsidR="00A27F76">
                  <w:rPr>
                    <w:sz w:val="22"/>
                    <w:szCs w:val="22"/>
                  </w:rPr>
                  <w:br/>
                </w:r>
                <w:r w:rsidR="00736FF8">
                  <w:rPr>
                    <w:sz w:val="22"/>
                    <w:szCs w:val="22"/>
                  </w:rPr>
                  <w:t>A</w:t>
                </w:r>
                <w:r w:rsidRPr="00F7047D">
                  <w:rPr>
                    <w:sz w:val="22"/>
                    <w:szCs w:val="22"/>
                  </w:rPr>
                  <w:t>$10</w:t>
                </w:r>
                <w:r w:rsidR="0090106C" w:rsidRPr="00F7047D">
                  <w:rPr>
                    <w:sz w:val="22"/>
                    <w:szCs w:val="22"/>
                  </w:rPr>
                  <w:t xml:space="preserve"> </w:t>
                </w:r>
                <w:r w:rsidRPr="00F7047D">
                  <w:rPr>
                    <w:sz w:val="22"/>
                    <w:szCs w:val="22"/>
                  </w:rPr>
                  <w:t>m</w:t>
                </w:r>
                <w:r w:rsidR="0090106C" w:rsidRPr="00F7047D">
                  <w:rPr>
                    <w:sz w:val="22"/>
                    <w:szCs w:val="22"/>
                  </w:rPr>
                  <w:t>illion</w:t>
                </w:r>
                <w:r w:rsidRPr="00F7047D">
                  <w:rPr>
                    <w:sz w:val="22"/>
                    <w:szCs w:val="22"/>
                  </w:rPr>
                  <w:t xml:space="preserve"> for </w:t>
                </w:r>
                <w:r w:rsidR="006428A7" w:rsidRPr="00F7047D">
                  <w:rPr>
                    <w:sz w:val="22"/>
                    <w:szCs w:val="22"/>
                  </w:rPr>
                  <w:t xml:space="preserve">one </w:t>
                </w:r>
                <w:r w:rsidR="00CA1D59" w:rsidRPr="00F7047D">
                  <w:rPr>
                    <w:sz w:val="22"/>
                    <w:szCs w:val="22"/>
                  </w:rPr>
                  <w:t>income year</w:t>
                </w:r>
                <w:r w:rsidR="00782D69" w:rsidRPr="00F7047D">
                  <w:rPr>
                    <w:sz w:val="22"/>
                    <w:szCs w:val="22"/>
                  </w:rPr>
                  <w:t xml:space="preserve">. </w:t>
                </w:r>
                <w:r w:rsidR="00CA1D59" w:rsidRPr="00F7047D">
                  <w:rPr>
                    <w:sz w:val="22"/>
                    <w:szCs w:val="22"/>
                  </w:rPr>
                  <w:t xml:space="preserve">It is expected income will fall below </w:t>
                </w:r>
                <w:r w:rsidR="00736FF8">
                  <w:rPr>
                    <w:sz w:val="22"/>
                    <w:szCs w:val="22"/>
                  </w:rPr>
                  <w:t>A</w:t>
                </w:r>
                <w:r w:rsidR="00CA1D59" w:rsidRPr="00F7047D">
                  <w:rPr>
                    <w:sz w:val="22"/>
                    <w:szCs w:val="22"/>
                  </w:rPr>
                  <w:t>$10</w:t>
                </w:r>
                <w:r w:rsidR="0090106C" w:rsidRPr="00F7047D">
                  <w:rPr>
                    <w:sz w:val="22"/>
                    <w:szCs w:val="22"/>
                  </w:rPr>
                  <w:t xml:space="preserve"> </w:t>
                </w:r>
                <w:r w:rsidR="00CA1D59" w:rsidRPr="00F7047D">
                  <w:rPr>
                    <w:sz w:val="22"/>
                    <w:szCs w:val="22"/>
                  </w:rPr>
                  <w:t>m</w:t>
                </w:r>
                <w:r w:rsidR="0090106C" w:rsidRPr="00F7047D">
                  <w:rPr>
                    <w:sz w:val="22"/>
                    <w:szCs w:val="22"/>
                  </w:rPr>
                  <w:t>illion</w:t>
                </w:r>
                <w:r w:rsidR="00CA1D59" w:rsidRPr="00F7047D">
                  <w:rPr>
                    <w:sz w:val="22"/>
                    <w:szCs w:val="22"/>
                  </w:rPr>
                  <w:t xml:space="preserve"> for the foreseeable future.</w:t>
                </w:r>
              </w:p>
            </w:tc>
            <w:tc>
              <w:tcPr>
                <w:tcW w:w="6804" w:type="dxa"/>
                <w:tcBorders>
                  <w:top w:val="single" w:sz="6" w:space="0" w:color="auto"/>
                  <w:left w:val="single" w:sz="8" w:space="0" w:color="auto"/>
                  <w:bottom w:val="single" w:sz="6" w:space="0" w:color="auto"/>
                  <w:right w:val="single" w:sz="8" w:space="0" w:color="auto"/>
                </w:tcBorders>
                <w:shd w:val="clear" w:color="auto" w:fill="FFFFFF" w:themeFill="background1"/>
              </w:tcPr>
              <w:p w14:paraId="656FE426" w14:textId="3F3C8E8A" w:rsidR="000B2373" w:rsidRPr="00F7047D" w:rsidRDefault="0090106C" w:rsidP="009D1A57">
                <w:pPr>
                  <w:spacing w:before="0" w:line="259" w:lineRule="auto"/>
                  <w:jc w:val="left"/>
                  <w:rPr>
                    <w:sz w:val="22"/>
                    <w:szCs w:val="22"/>
                  </w:rPr>
                </w:pPr>
                <w:r w:rsidRPr="00F7047D">
                  <w:rPr>
                    <w:sz w:val="22"/>
                    <w:szCs w:val="22"/>
                  </w:rPr>
                  <w:t>Under t</w:t>
                </w:r>
                <w:r w:rsidR="00225337" w:rsidRPr="00F7047D">
                  <w:rPr>
                    <w:sz w:val="22"/>
                    <w:szCs w:val="22"/>
                  </w:rPr>
                  <w:t>he Act</w:t>
                </w:r>
                <w:r w:rsidRPr="00F7047D">
                  <w:rPr>
                    <w:sz w:val="22"/>
                    <w:szCs w:val="22"/>
                  </w:rPr>
                  <w:t>,</w:t>
                </w:r>
                <w:r w:rsidR="00225337" w:rsidRPr="00F7047D">
                  <w:rPr>
                    <w:sz w:val="22"/>
                    <w:szCs w:val="22"/>
                  </w:rPr>
                  <w:t xml:space="preserve"> </w:t>
                </w:r>
                <w:r w:rsidR="006377DE" w:rsidRPr="00F7047D">
                  <w:rPr>
                    <w:sz w:val="22"/>
                    <w:szCs w:val="22"/>
                  </w:rPr>
                  <w:t xml:space="preserve">a member </w:t>
                </w:r>
                <w:r w:rsidR="007B169A" w:rsidRPr="00F7047D">
                  <w:rPr>
                    <w:sz w:val="22"/>
                    <w:szCs w:val="22"/>
                  </w:rPr>
                  <w:t xml:space="preserve">entity may </w:t>
                </w:r>
                <w:r w:rsidR="006377DE" w:rsidRPr="00F7047D">
                  <w:rPr>
                    <w:sz w:val="22"/>
                    <w:szCs w:val="22"/>
                  </w:rPr>
                  <w:t xml:space="preserve">cease </w:t>
                </w:r>
                <w:r w:rsidR="007B169A" w:rsidRPr="00F7047D">
                  <w:rPr>
                    <w:sz w:val="22"/>
                    <w:szCs w:val="22"/>
                  </w:rPr>
                  <w:t xml:space="preserve">to be a reporting entity </w:t>
                </w:r>
                <w:r w:rsidR="006377DE" w:rsidRPr="00F7047D">
                  <w:rPr>
                    <w:sz w:val="22"/>
                    <w:szCs w:val="22"/>
                  </w:rPr>
                  <w:t xml:space="preserve">by giving notice </w:t>
                </w:r>
                <w:r w:rsidRPr="00F7047D">
                  <w:rPr>
                    <w:sz w:val="22"/>
                    <w:szCs w:val="22"/>
                  </w:rPr>
                  <w:t xml:space="preserve">that </w:t>
                </w:r>
                <w:r w:rsidR="006377DE" w:rsidRPr="00F7047D">
                  <w:rPr>
                    <w:sz w:val="22"/>
                    <w:szCs w:val="22"/>
                  </w:rPr>
                  <w:t xml:space="preserve">its income has fallen below </w:t>
                </w:r>
                <w:r w:rsidR="00736FF8">
                  <w:rPr>
                    <w:sz w:val="22"/>
                    <w:szCs w:val="22"/>
                  </w:rPr>
                  <w:t>A</w:t>
                </w:r>
                <w:r w:rsidR="006377DE" w:rsidRPr="00F7047D">
                  <w:rPr>
                    <w:sz w:val="22"/>
                    <w:szCs w:val="22"/>
                  </w:rPr>
                  <w:t>$10</w:t>
                </w:r>
                <w:r w:rsidRPr="00F7047D">
                  <w:rPr>
                    <w:sz w:val="22"/>
                    <w:szCs w:val="22"/>
                  </w:rPr>
                  <w:t xml:space="preserve"> </w:t>
                </w:r>
                <w:r w:rsidR="006377DE" w:rsidRPr="00F7047D">
                  <w:rPr>
                    <w:sz w:val="22"/>
                    <w:szCs w:val="22"/>
                  </w:rPr>
                  <w:t>m</w:t>
                </w:r>
                <w:r w:rsidRPr="00F7047D">
                  <w:rPr>
                    <w:sz w:val="22"/>
                    <w:szCs w:val="22"/>
                  </w:rPr>
                  <w:t>illion</w:t>
                </w:r>
                <w:r w:rsidR="006377DE" w:rsidRPr="00F7047D">
                  <w:rPr>
                    <w:sz w:val="22"/>
                    <w:szCs w:val="22"/>
                  </w:rPr>
                  <w:t xml:space="preserve"> </w:t>
                </w:r>
                <w:r w:rsidR="007B169A" w:rsidRPr="00F7047D">
                  <w:rPr>
                    <w:sz w:val="22"/>
                    <w:szCs w:val="22"/>
                  </w:rPr>
                  <w:t xml:space="preserve">in its </w:t>
                </w:r>
                <w:r w:rsidR="001F5A0F" w:rsidRPr="00F7047D">
                  <w:rPr>
                    <w:sz w:val="22"/>
                    <w:szCs w:val="22"/>
                  </w:rPr>
                  <w:t>2</w:t>
                </w:r>
                <w:r w:rsidR="007B169A" w:rsidRPr="00F7047D">
                  <w:rPr>
                    <w:sz w:val="22"/>
                    <w:szCs w:val="22"/>
                  </w:rPr>
                  <w:t xml:space="preserve"> most recent income years.</w:t>
                </w:r>
                <w:r w:rsidR="00711A89" w:rsidRPr="00F7047D">
                  <w:rPr>
                    <w:rStyle w:val="FootnoteReference"/>
                    <w:sz w:val="22"/>
                    <w:szCs w:val="22"/>
                  </w:rPr>
                  <w:footnoteReference w:id="10"/>
                </w:r>
              </w:p>
              <w:p w14:paraId="67457182" w14:textId="0F9D1D41" w:rsidR="007B169A" w:rsidRPr="00F7047D" w:rsidRDefault="007B169A" w:rsidP="009D1A57">
                <w:pPr>
                  <w:spacing w:before="0" w:after="0" w:line="259" w:lineRule="auto"/>
                  <w:jc w:val="left"/>
                  <w:rPr>
                    <w:sz w:val="22"/>
                    <w:szCs w:val="22"/>
                  </w:rPr>
                </w:pPr>
                <w:r w:rsidRPr="00F7047D">
                  <w:rPr>
                    <w:sz w:val="22"/>
                    <w:szCs w:val="22"/>
                  </w:rPr>
                  <w:t xml:space="preserve">We would be unlikely to give a determination based on forecast or </w:t>
                </w:r>
                <w:r w:rsidRPr="007B25B8">
                  <w:rPr>
                    <w:sz w:val="22"/>
                    <w:szCs w:val="22"/>
                  </w:rPr>
                  <w:t>projected income</w:t>
                </w:r>
                <w:r w:rsidR="00782D69" w:rsidRPr="007B25B8">
                  <w:rPr>
                    <w:sz w:val="22"/>
                    <w:szCs w:val="22"/>
                  </w:rPr>
                  <w:t xml:space="preserve">. </w:t>
                </w:r>
                <w:r w:rsidR="00360F3C" w:rsidRPr="007B25B8">
                  <w:rPr>
                    <w:sz w:val="22"/>
                    <w:szCs w:val="22"/>
                  </w:rPr>
                  <w:t xml:space="preserve">Determinations on income-based grounds would </w:t>
                </w:r>
                <w:r w:rsidR="00CC27F5" w:rsidRPr="007B25B8">
                  <w:rPr>
                    <w:sz w:val="22"/>
                    <w:szCs w:val="22"/>
                  </w:rPr>
                  <w:t xml:space="preserve">typically </w:t>
                </w:r>
                <w:r w:rsidR="00360F3C" w:rsidRPr="007B25B8">
                  <w:rPr>
                    <w:sz w:val="22"/>
                    <w:szCs w:val="22"/>
                  </w:rPr>
                  <w:t xml:space="preserve">be </w:t>
                </w:r>
                <w:r w:rsidR="00360F3C" w:rsidRPr="00F7047D">
                  <w:rPr>
                    <w:sz w:val="22"/>
                    <w:szCs w:val="22"/>
                  </w:rPr>
                  <w:t>on historical income only.</w:t>
                </w:r>
              </w:p>
            </w:tc>
          </w:tr>
          <w:tr w:rsidR="005849D2" w14:paraId="06E503C4" w14:textId="77777777" w:rsidTr="005D1AC3">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16AF1444" w14:textId="3E62006F" w:rsidR="005849D2" w:rsidRPr="00F7047D" w:rsidRDefault="00CA1D59" w:rsidP="009D1A57">
                <w:pPr>
                  <w:spacing w:before="0" w:after="0" w:line="259" w:lineRule="auto"/>
                  <w:jc w:val="left"/>
                  <w:rPr>
                    <w:sz w:val="22"/>
                    <w:szCs w:val="22"/>
                  </w:rPr>
                </w:pPr>
                <w:r w:rsidRPr="00F7047D">
                  <w:rPr>
                    <w:sz w:val="22"/>
                    <w:szCs w:val="22"/>
                  </w:rPr>
                  <w:t xml:space="preserve">Entity </w:t>
                </w:r>
                <w:r w:rsidR="00376B97" w:rsidRPr="00F7047D">
                  <w:rPr>
                    <w:sz w:val="22"/>
                    <w:szCs w:val="22"/>
                  </w:rPr>
                  <w:t xml:space="preserve">is a </w:t>
                </w:r>
                <w:r w:rsidR="001C0D84" w:rsidRPr="00F7047D">
                  <w:rPr>
                    <w:sz w:val="22"/>
                    <w:szCs w:val="22"/>
                  </w:rPr>
                  <w:t>wholly owned</w:t>
                </w:r>
                <w:r w:rsidR="00376B97" w:rsidRPr="00F7047D">
                  <w:rPr>
                    <w:sz w:val="22"/>
                    <w:szCs w:val="22"/>
                  </w:rPr>
                  <w:t xml:space="preserve"> subsidiary of a</w:t>
                </w:r>
                <w:r w:rsidR="00555FA7" w:rsidRPr="00F7047D">
                  <w:rPr>
                    <w:sz w:val="22"/>
                    <w:szCs w:val="22"/>
                  </w:rPr>
                  <w:t xml:space="preserve">n entity registered under the </w:t>
                </w:r>
                <w:hyperlink r:id="rId24" w:history="1">
                  <w:r w:rsidR="001A7599" w:rsidRPr="001C0D84">
                    <w:rPr>
                      <w:rStyle w:val="Hyperlink"/>
                      <w:rFonts w:ascii="Calibri" w:hAnsi="Calibri"/>
                      <w:i/>
                      <w:iCs/>
                      <w:szCs w:val="22"/>
                    </w:rPr>
                    <w:t>Australian Charities and Not-for-profit Commission Act 2012</w:t>
                  </w:r>
                </w:hyperlink>
                <w:r w:rsidR="001A7599" w:rsidRPr="00F7047D">
                  <w:rPr>
                    <w:sz w:val="22"/>
                    <w:szCs w:val="22"/>
                  </w:rPr>
                  <w:t xml:space="preserve"> </w:t>
                </w:r>
                <w:r w:rsidR="00555FA7" w:rsidRPr="00F7047D">
                  <w:rPr>
                    <w:sz w:val="22"/>
                    <w:szCs w:val="22"/>
                  </w:rPr>
                  <w:t xml:space="preserve">but </w:t>
                </w:r>
                <w:r w:rsidR="001A7599" w:rsidRPr="00F7047D">
                  <w:rPr>
                    <w:sz w:val="22"/>
                    <w:szCs w:val="22"/>
                  </w:rPr>
                  <w:t xml:space="preserve">is </w:t>
                </w:r>
                <w:r w:rsidR="00555FA7" w:rsidRPr="00F7047D">
                  <w:rPr>
                    <w:sz w:val="22"/>
                    <w:szCs w:val="22"/>
                  </w:rPr>
                  <w:t>not registered itself.</w:t>
                </w:r>
              </w:p>
            </w:tc>
            <w:tc>
              <w:tcPr>
                <w:tcW w:w="6804" w:type="dxa"/>
                <w:tcBorders>
                  <w:top w:val="single" w:sz="6" w:space="0" w:color="auto"/>
                  <w:left w:val="single" w:sz="8" w:space="0" w:color="auto"/>
                  <w:bottom w:val="single" w:sz="6" w:space="0" w:color="auto"/>
                  <w:right w:val="single" w:sz="8" w:space="0" w:color="auto"/>
                </w:tcBorders>
                <w:shd w:val="clear" w:color="auto" w:fill="FFFFFF" w:themeFill="background1"/>
              </w:tcPr>
              <w:p w14:paraId="3183E02B" w14:textId="66A51EBF" w:rsidR="005849D2" w:rsidRPr="00F7047D" w:rsidRDefault="00360F3C" w:rsidP="009D1A57">
                <w:pPr>
                  <w:spacing w:before="0" w:after="0" w:line="259" w:lineRule="auto"/>
                  <w:jc w:val="left"/>
                  <w:rPr>
                    <w:sz w:val="22"/>
                    <w:szCs w:val="22"/>
                  </w:rPr>
                </w:pPr>
                <w:r w:rsidRPr="00F7047D">
                  <w:rPr>
                    <w:sz w:val="22"/>
                    <w:szCs w:val="22"/>
                  </w:rPr>
                  <w:t xml:space="preserve">The Act provides that entities registered under the </w:t>
                </w:r>
                <w:hyperlink r:id="rId25" w:history="1">
                  <w:r w:rsidR="00146EDF" w:rsidRPr="001C0D84">
                    <w:rPr>
                      <w:rStyle w:val="Hyperlink"/>
                      <w:rFonts w:ascii="Calibri" w:hAnsi="Calibri"/>
                      <w:i/>
                      <w:iCs/>
                      <w:szCs w:val="22"/>
                    </w:rPr>
                    <w:t>Australian Charities and Not-for-profit Commission Act 2012</w:t>
                  </w:r>
                </w:hyperlink>
                <w:r w:rsidR="00146EDF" w:rsidRPr="00F7047D">
                  <w:rPr>
                    <w:sz w:val="22"/>
                    <w:szCs w:val="22"/>
                  </w:rPr>
                  <w:t xml:space="preserve"> </w:t>
                </w:r>
                <w:r w:rsidRPr="00F7047D">
                  <w:rPr>
                    <w:sz w:val="22"/>
                    <w:szCs w:val="22"/>
                  </w:rPr>
                  <w:t>are not reporting entities</w:t>
                </w:r>
                <w:r w:rsidR="00876D5B" w:rsidRPr="00F7047D">
                  <w:rPr>
                    <w:sz w:val="22"/>
                    <w:szCs w:val="22"/>
                  </w:rPr>
                  <w:t>.</w:t>
                </w:r>
                <w:r w:rsidR="00BF416A" w:rsidRPr="00F7047D">
                  <w:rPr>
                    <w:rStyle w:val="FootnoteReference"/>
                    <w:sz w:val="22"/>
                    <w:szCs w:val="22"/>
                  </w:rPr>
                  <w:footnoteReference w:id="11"/>
                </w:r>
              </w:p>
              <w:p w14:paraId="6F360830" w14:textId="4F489AA4" w:rsidR="00876D5B" w:rsidRPr="00F7047D" w:rsidRDefault="00876D5B" w:rsidP="009D1A57">
                <w:pPr>
                  <w:spacing w:before="0" w:after="0" w:line="259" w:lineRule="auto"/>
                  <w:jc w:val="left"/>
                  <w:rPr>
                    <w:sz w:val="22"/>
                    <w:szCs w:val="22"/>
                  </w:rPr>
                </w:pPr>
                <w:r w:rsidRPr="001C0D84">
                  <w:rPr>
                    <w:sz w:val="22"/>
                    <w:szCs w:val="22"/>
                  </w:rPr>
                  <w:t xml:space="preserve">We </w:t>
                </w:r>
                <w:r w:rsidR="000D1641" w:rsidRPr="001C0D84">
                  <w:rPr>
                    <w:sz w:val="22"/>
                    <w:szCs w:val="22"/>
                  </w:rPr>
                  <w:t xml:space="preserve">may </w:t>
                </w:r>
                <w:r w:rsidRPr="001C0D84">
                  <w:rPr>
                    <w:sz w:val="22"/>
                    <w:szCs w:val="22"/>
                  </w:rPr>
                  <w:t xml:space="preserve">grant </w:t>
                </w:r>
                <w:r w:rsidR="004B6CFA" w:rsidRPr="001C0D84">
                  <w:rPr>
                    <w:sz w:val="22"/>
                    <w:szCs w:val="22"/>
                  </w:rPr>
                  <w:t xml:space="preserve">a determination </w:t>
                </w:r>
                <w:r w:rsidR="000D1641" w:rsidRPr="001C0D84">
                  <w:rPr>
                    <w:sz w:val="22"/>
                    <w:szCs w:val="22"/>
                  </w:rPr>
                  <w:t xml:space="preserve">if the </w:t>
                </w:r>
                <w:r w:rsidR="00C51D44" w:rsidRPr="001C0D84">
                  <w:rPr>
                    <w:sz w:val="22"/>
                    <w:szCs w:val="22"/>
                  </w:rPr>
                  <w:t xml:space="preserve">subsidiary is </w:t>
                </w:r>
                <w:r w:rsidR="000D1641" w:rsidRPr="001C0D84">
                  <w:rPr>
                    <w:sz w:val="22"/>
                    <w:szCs w:val="22"/>
                  </w:rPr>
                  <w:t xml:space="preserve">also </w:t>
                </w:r>
                <w:r w:rsidR="001C6541" w:rsidRPr="001C0D84">
                  <w:rPr>
                    <w:sz w:val="22"/>
                    <w:szCs w:val="22"/>
                  </w:rPr>
                  <w:t>operated for charitable purposes.</w:t>
                </w:r>
              </w:p>
            </w:tc>
          </w:tr>
          <w:tr w:rsidR="00555FA7" w14:paraId="35B92465" w14:textId="77777777" w:rsidTr="005D1AC3">
            <w:tc>
              <w:tcPr>
                <w:tcW w:w="3109" w:type="dxa"/>
                <w:tcBorders>
                  <w:top w:val="single" w:sz="6" w:space="0" w:color="auto"/>
                  <w:left w:val="single" w:sz="8" w:space="0" w:color="auto"/>
                  <w:bottom w:val="single" w:sz="6" w:space="0" w:color="auto"/>
                  <w:right w:val="single" w:sz="8" w:space="0" w:color="auto"/>
                </w:tcBorders>
                <w:shd w:val="clear" w:color="auto" w:fill="FFFFFF" w:themeFill="background1"/>
              </w:tcPr>
              <w:p w14:paraId="6711BA89" w14:textId="04F5815B" w:rsidR="00555FA7" w:rsidRPr="00F7047D" w:rsidRDefault="00555FA7" w:rsidP="009D1A57">
                <w:pPr>
                  <w:spacing w:before="0" w:after="0" w:line="259" w:lineRule="auto"/>
                  <w:jc w:val="left"/>
                  <w:rPr>
                    <w:sz w:val="22"/>
                    <w:szCs w:val="22"/>
                  </w:rPr>
                </w:pPr>
                <w:r w:rsidRPr="00F7047D">
                  <w:rPr>
                    <w:sz w:val="22"/>
                    <w:szCs w:val="22"/>
                  </w:rPr>
                  <w:t xml:space="preserve">A member entity is acquired by another </w:t>
                </w:r>
                <w:r w:rsidR="00BF416A" w:rsidRPr="00F7047D">
                  <w:rPr>
                    <w:sz w:val="22"/>
                    <w:szCs w:val="22"/>
                  </w:rPr>
                  <w:t xml:space="preserve">entity </w:t>
                </w:r>
                <w:r w:rsidR="00FA4D77" w:rsidRPr="00F7047D">
                  <w:rPr>
                    <w:sz w:val="22"/>
                    <w:szCs w:val="22"/>
                  </w:rPr>
                  <w:t>whose corporate group</w:t>
                </w:r>
                <w:r w:rsidR="00146EDF" w:rsidRPr="00F7047D">
                  <w:rPr>
                    <w:sz w:val="22"/>
                    <w:szCs w:val="22"/>
                  </w:rPr>
                  <w:t>’s aggregate</w:t>
                </w:r>
                <w:r w:rsidR="00FA4D77" w:rsidRPr="00F7047D">
                  <w:rPr>
                    <w:sz w:val="22"/>
                    <w:szCs w:val="22"/>
                  </w:rPr>
                  <w:t xml:space="preserve"> income is less than </w:t>
                </w:r>
                <w:r w:rsidR="00736FF8">
                  <w:rPr>
                    <w:sz w:val="22"/>
                    <w:szCs w:val="22"/>
                  </w:rPr>
                  <w:t>A</w:t>
                </w:r>
                <w:r w:rsidR="00FA4D77" w:rsidRPr="00F7047D">
                  <w:rPr>
                    <w:sz w:val="22"/>
                    <w:szCs w:val="22"/>
                  </w:rPr>
                  <w:t>$100</w:t>
                </w:r>
                <w:r w:rsidR="00D21C8B" w:rsidRPr="00F7047D">
                  <w:rPr>
                    <w:sz w:val="22"/>
                    <w:szCs w:val="22"/>
                  </w:rPr>
                  <w:t xml:space="preserve"> </w:t>
                </w:r>
                <w:r w:rsidR="00FA4D77" w:rsidRPr="00F7047D">
                  <w:rPr>
                    <w:sz w:val="22"/>
                    <w:szCs w:val="22"/>
                  </w:rPr>
                  <w:t>m</w:t>
                </w:r>
                <w:r w:rsidR="00D21C8B" w:rsidRPr="00F7047D">
                  <w:rPr>
                    <w:sz w:val="22"/>
                    <w:szCs w:val="22"/>
                  </w:rPr>
                  <w:t>illion</w:t>
                </w:r>
                <w:r w:rsidR="00FA4D77" w:rsidRPr="00F7047D">
                  <w:rPr>
                    <w:sz w:val="22"/>
                    <w:szCs w:val="22"/>
                  </w:rPr>
                  <w:t>.</w:t>
                </w:r>
              </w:p>
            </w:tc>
            <w:tc>
              <w:tcPr>
                <w:tcW w:w="6804" w:type="dxa"/>
                <w:tcBorders>
                  <w:top w:val="single" w:sz="6" w:space="0" w:color="auto"/>
                  <w:left w:val="single" w:sz="8" w:space="0" w:color="auto"/>
                  <w:bottom w:val="single" w:sz="6" w:space="0" w:color="auto"/>
                  <w:right w:val="single" w:sz="8" w:space="0" w:color="auto"/>
                </w:tcBorders>
                <w:shd w:val="clear" w:color="auto" w:fill="FFFFFF" w:themeFill="background1"/>
              </w:tcPr>
              <w:p w14:paraId="2E1E2DBD" w14:textId="1135125C" w:rsidR="009D1A57" w:rsidRDefault="001C6541" w:rsidP="009D1A57">
                <w:pPr>
                  <w:spacing w:before="0" w:line="259" w:lineRule="auto"/>
                  <w:jc w:val="left"/>
                  <w:rPr>
                    <w:sz w:val="22"/>
                    <w:szCs w:val="22"/>
                  </w:rPr>
                </w:pPr>
                <w:r w:rsidRPr="00F7047D">
                  <w:rPr>
                    <w:sz w:val="22"/>
                    <w:szCs w:val="22"/>
                  </w:rPr>
                  <w:t>The Act pr</w:t>
                </w:r>
                <w:r w:rsidR="004B6CFA" w:rsidRPr="00F7047D">
                  <w:rPr>
                    <w:sz w:val="22"/>
                    <w:szCs w:val="22"/>
                  </w:rPr>
                  <w:t xml:space="preserve">ovides that entities are </w:t>
                </w:r>
                <w:r w:rsidR="006E420A" w:rsidRPr="00F7047D">
                  <w:rPr>
                    <w:sz w:val="22"/>
                    <w:szCs w:val="22"/>
                  </w:rPr>
                  <w:t xml:space="preserve">only </w:t>
                </w:r>
                <w:r w:rsidR="004B6CFA" w:rsidRPr="00F7047D">
                  <w:rPr>
                    <w:sz w:val="22"/>
                    <w:szCs w:val="22"/>
                  </w:rPr>
                  <w:t xml:space="preserve">required </w:t>
                </w:r>
                <w:r w:rsidR="003F197D" w:rsidRPr="00F7047D">
                  <w:rPr>
                    <w:sz w:val="22"/>
                    <w:szCs w:val="22"/>
                  </w:rPr>
                  <w:t xml:space="preserve">to report </w:t>
                </w:r>
                <w:r w:rsidR="00487C74" w:rsidRPr="00F7047D">
                  <w:rPr>
                    <w:sz w:val="22"/>
                    <w:szCs w:val="22"/>
                  </w:rPr>
                  <w:t xml:space="preserve">if </w:t>
                </w:r>
                <w:r w:rsidR="00E9430D" w:rsidRPr="00F7047D">
                  <w:rPr>
                    <w:sz w:val="22"/>
                    <w:szCs w:val="22"/>
                  </w:rPr>
                  <w:t>they</w:t>
                </w:r>
                <w:r w:rsidR="00487C74" w:rsidRPr="00F7047D">
                  <w:rPr>
                    <w:sz w:val="22"/>
                    <w:szCs w:val="22"/>
                  </w:rPr>
                  <w:t xml:space="preserve"> or </w:t>
                </w:r>
                <w:r w:rsidR="00E9430D" w:rsidRPr="00F7047D">
                  <w:rPr>
                    <w:sz w:val="22"/>
                    <w:szCs w:val="22"/>
                  </w:rPr>
                  <w:t>their</w:t>
                </w:r>
                <w:r w:rsidR="00487C74" w:rsidRPr="00F7047D">
                  <w:rPr>
                    <w:sz w:val="22"/>
                    <w:szCs w:val="22"/>
                  </w:rPr>
                  <w:t xml:space="preserve"> controlling corporat</w:t>
                </w:r>
                <w:r w:rsidR="002D576D">
                  <w:rPr>
                    <w:sz w:val="22"/>
                    <w:szCs w:val="22"/>
                  </w:rPr>
                  <w:t>ion’s</w:t>
                </w:r>
                <w:r w:rsidR="00487C74" w:rsidRPr="00F7047D">
                  <w:rPr>
                    <w:sz w:val="22"/>
                    <w:szCs w:val="22"/>
                  </w:rPr>
                  <w:t xml:space="preserve"> group have income over </w:t>
                </w:r>
                <w:r w:rsidR="00736FF8">
                  <w:rPr>
                    <w:sz w:val="22"/>
                    <w:szCs w:val="22"/>
                  </w:rPr>
                  <w:t>A</w:t>
                </w:r>
                <w:r w:rsidR="00487C74" w:rsidRPr="00F7047D">
                  <w:rPr>
                    <w:sz w:val="22"/>
                    <w:szCs w:val="22"/>
                  </w:rPr>
                  <w:t>$100</w:t>
                </w:r>
                <w:r w:rsidR="00E9430D" w:rsidRPr="00F7047D">
                  <w:rPr>
                    <w:sz w:val="22"/>
                    <w:szCs w:val="22"/>
                  </w:rPr>
                  <w:t xml:space="preserve"> </w:t>
                </w:r>
                <w:r w:rsidR="00487C74" w:rsidRPr="00F7047D">
                  <w:rPr>
                    <w:sz w:val="22"/>
                    <w:szCs w:val="22"/>
                  </w:rPr>
                  <w:t>m</w:t>
                </w:r>
                <w:r w:rsidR="00E9430D" w:rsidRPr="00F7047D">
                  <w:rPr>
                    <w:sz w:val="22"/>
                    <w:szCs w:val="22"/>
                  </w:rPr>
                  <w:t>illion</w:t>
                </w:r>
                <w:r w:rsidR="00487C74" w:rsidRPr="00F7047D">
                  <w:rPr>
                    <w:sz w:val="22"/>
                    <w:szCs w:val="22"/>
                  </w:rPr>
                  <w:t>.</w:t>
                </w:r>
                <w:r w:rsidR="00650147" w:rsidRPr="00F7047D">
                  <w:rPr>
                    <w:rStyle w:val="FootnoteReference"/>
                    <w:sz w:val="22"/>
                    <w:szCs w:val="22"/>
                  </w:rPr>
                  <w:footnoteReference w:id="12"/>
                </w:r>
                <w:r w:rsidR="006E420A" w:rsidRPr="00F7047D">
                  <w:rPr>
                    <w:sz w:val="22"/>
                    <w:szCs w:val="22"/>
                  </w:rPr>
                  <w:t xml:space="preserve"> </w:t>
                </w:r>
                <w:bookmarkStart w:id="44" w:name="_Hlk106735172"/>
              </w:p>
              <w:p w14:paraId="2E2DFFC0" w14:textId="3C0E1F2D" w:rsidR="004B6CFA" w:rsidRPr="00F7047D" w:rsidRDefault="004B6CFA" w:rsidP="009D1A57">
                <w:pPr>
                  <w:spacing w:before="0" w:after="0" w:line="259" w:lineRule="auto"/>
                  <w:jc w:val="left"/>
                  <w:rPr>
                    <w:sz w:val="22"/>
                    <w:szCs w:val="22"/>
                  </w:rPr>
                </w:pPr>
                <w:r w:rsidRPr="002D576D">
                  <w:rPr>
                    <w:sz w:val="22"/>
                    <w:szCs w:val="22"/>
                  </w:rPr>
                  <w:t xml:space="preserve">We may grant a determination </w:t>
                </w:r>
                <w:r w:rsidR="003F0D76" w:rsidRPr="002D576D">
                  <w:rPr>
                    <w:sz w:val="22"/>
                    <w:szCs w:val="22"/>
                  </w:rPr>
                  <w:t xml:space="preserve">because the new </w:t>
                </w:r>
                <w:r w:rsidR="003F197D" w:rsidRPr="002D576D">
                  <w:rPr>
                    <w:sz w:val="22"/>
                    <w:szCs w:val="22"/>
                  </w:rPr>
                  <w:t xml:space="preserve">controlling </w:t>
                </w:r>
                <w:r w:rsidR="001633CA" w:rsidRPr="002D576D">
                  <w:rPr>
                    <w:sz w:val="22"/>
                    <w:szCs w:val="22"/>
                  </w:rPr>
                  <w:t>corporation</w:t>
                </w:r>
                <w:r w:rsidR="003F0D76" w:rsidRPr="002D576D">
                  <w:rPr>
                    <w:sz w:val="22"/>
                    <w:szCs w:val="22"/>
                  </w:rPr>
                  <w:t xml:space="preserve">, </w:t>
                </w:r>
                <w:r w:rsidR="007529AD" w:rsidRPr="002D576D">
                  <w:rPr>
                    <w:sz w:val="22"/>
                    <w:szCs w:val="22"/>
                  </w:rPr>
                  <w:t xml:space="preserve">and </w:t>
                </w:r>
                <w:r w:rsidR="003F0D76" w:rsidRPr="002D576D">
                  <w:rPr>
                    <w:sz w:val="22"/>
                    <w:szCs w:val="22"/>
                  </w:rPr>
                  <w:t xml:space="preserve">its members, </w:t>
                </w:r>
                <w:r w:rsidR="007529AD" w:rsidRPr="002D576D">
                  <w:rPr>
                    <w:sz w:val="22"/>
                    <w:szCs w:val="22"/>
                  </w:rPr>
                  <w:t xml:space="preserve">have </w:t>
                </w:r>
                <w:r w:rsidR="00487F45" w:rsidRPr="002D576D">
                  <w:rPr>
                    <w:sz w:val="22"/>
                    <w:szCs w:val="22"/>
                  </w:rPr>
                  <w:t xml:space="preserve">aggregate income under </w:t>
                </w:r>
                <w:r w:rsidR="00736FF8">
                  <w:rPr>
                    <w:sz w:val="22"/>
                    <w:szCs w:val="22"/>
                  </w:rPr>
                  <w:t>A</w:t>
                </w:r>
                <w:r w:rsidR="00487F45" w:rsidRPr="002D576D">
                  <w:rPr>
                    <w:sz w:val="22"/>
                    <w:szCs w:val="22"/>
                  </w:rPr>
                  <w:t>$100 million</w:t>
                </w:r>
                <w:r w:rsidR="007529AD" w:rsidRPr="002D576D">
                  <w:rPr>
                    <w:sz w:val="22"/>
                    <w:szCs w:val="22"/>
                  </w:rPr>
                  <w:t xml:space="preserve"> and would not be required to </w:t>
                </w:r>
                <w:r w:rsidR="003F0D76" w:rsidRPr="002D576D">
                  <w:rPr>
                    <w:sz w:val="22"/>
                    <w:szCs w:val="22"/>
                  </w:rPr>
                  <w:t>report under the Act.</w:t>
                </w:r>
                <w:bookmarkEnd w:id="44"/>
              </w:p>
            </w:tc>
          </w:tr>
        </w:tbl>
        <w:p w14:paraId="196C4C5E" w14:textId="57D64CB9" w:rsidR="00E734BA" w:rsidRDefault="00E734BA" w:rsidP="005B73F4">
          <w:pPr>
            <w:pStyle w:val="Bullet"/>
            <w:numPr>
              <w:ilvl w:val="0"/>
              <w:numId w:val="30"/>
            </w:numPr>
            <w:spacing w:before="120"/>
            <w:ind w:left="992" w:hanging="992"/>
            <w:rPr>
              <w:lang w:eastAsia="en-US"/>
            </w:rPr>
          </w:pPr>
          <w:r>
            <w:rPr>
              <w:lang w:eastAsia="en-US"/>
            </w:rPr>
            <w:t xml:space="preserve">On completion of the </w:t>
          </w:r>
          <w:r w:rsidR="002D576D">
            <w:rPr>
              <w:lang w:eastAsia="en-US"/>
            </w:rPr>
            <w:t>assessment,</w:t>
          </w:r>
          <w:r>
            <w:rPr>
              <w:lang w:eastAsia="en-US"/>
            </w:rPr>
            <w:t xml:space="preserve"> we may:</w:t>
          </w:r>
        </w:p>
        <w:p w14:paraId="6ABA66E5" w14:textId="534A418D" w:rsidR="00E734BA" w:rsidRDefault="00E734BA" w:rsidP="00F7047D">
          <w:pPr>
            <w:pStyle w:val="ListParagraph"/>
            <w:numPr>
              <w:ilvl w:val="1"/>
              <w:numId w:val="74"/>
            </w:numPr>
          </w:pPr>
          <w:r>
            <w:t>grant a determination</w:t>
          </w:r>
        </w:p>
        <w:p w14:paraId="0C0A5A9A" w14:textId="77777777" w:rsidR="00E734BA" w:rsidRDefault="00E734BA" w:rsidP="00F7047D">
          <w:pPr>
            <w:pStyle w:val="ListParagraph"/>
            <w:numPr>
              <w:ilvl w:val="1"/>
              <w:numId w:val="74"/>
            </w:numPr>
          </w:pPr>
          <w:r>
            <w:t>request additional information, or</w:t>
          </w:r>
        </w:p>
        <w:p w14:paraId="04427FA5" w14:textId="7887B829" w:rsidR="00E734BA" w:rsidRDefault="00E734BA" w:rsidP="00F7047D">
          <w:pPr>
            <w:pStyle w:val="ListParagraph"/>
            <w:numPr>
              <w:ilvl w:val="1"/>
              <w:numId w:val="74"/>
            </w:numPr>
          </w:pPr>
          <w:r>
            <w:t>refuse to give a determination.</w:t>
          </w:r>
        </w:p>
        <w:p w14:paraId="06278B2D" w14:textId="19781058" w:rsidR="00E734BA" w:rsidRDefault="00E734BA" w:rsidP="001B2726">
          <w:pPr>
            <w:pStyle w:val="Bullet"/>
            <w:numPr>
              <w:ilvl w:val="0"/>
              <w:numId w:val="30"/>
            </w:numPr>
            <w:ind w:left="993" w:hanging="993"/>
            <w:rPr>
              <w:lang w:eastAsia="en-US"/>
            </w:rPr>
          </w:pPr>
          <w:r>
            <w:rPr>
              <w:lang w:eastAsia="en-US"/>
            </w:rPr>
            <w:t xml:space="preserve">Prior to refusing an application we </w:t>
          </w:r>
          <w:r w:rsidR="000662C6">
            <w:rPr>
              <w:lang w:eastAsia="en-US"/>
            </w:rPr>
            <w:t>may</w:t>
          </w:r>
          <w:r>
            <w:rPr>
              <w:lang w:eastAsia="en-US"/>
            </w:rPr>
            <w:t xml:space="preserve"> communicate that we </w:t>
          </w:r>
          <w:r w:rsidR="00E9430D">
            <w:rPr>
              <w:lang w:eastAsia="en-US"/>
            </w:rPr>
            <w:t>intend</w:t>
          </w:r>
          <w:r>
            <w:rPr>
              <w:lang w:eastAsia="en-US"/>
            </w:rPr>
            <w:t xml:space="preserve"> to refuse and give </w:t>
          </w:r>
          <w:r w:rsidR="00E9430D">
            <w:rPr>
              <w:lang w:eastAsia="en-US"/>
            </w:rPr>
            <w:t>the applicant</w:t>
          </w:r>
          <w:r>
            <w:rPr>
              <w:lang w:eastAsia="en-US"/>
            </w:rPr>
            <w:t xml:space="preserve"> an opportunity to provide additional submissions and evidence.</w:t>
          </w:r>
        </w:p>
        <w:p w14:paraId="058543C3" w14:textId="5D489B02" w:rsidR="008C3058" w:rsidRPr="00267B20" w:rsidRDefault="008C3058" w:rsidP="00CA06B6">
          <w:pPr>
            <w:pStyle w:val="Heading3"/>
            <w:rPr>
              <w:highlight w:val="yellow"/>
              <w:lang w:eastAsia="en-US"/>
            </w:rPr>
          </w:pPr>
          <w:bookmarkStart w:id="45" w:name="_Toc107914340"/>
          <w:r>
            <w:rPr>
              <w:lang w:eastAsia="en-US"/>
            </w:rPr>
            <w:lastRenderedPageBreak/>
            <w:t>Effect of determination</w:t>
          </w:r>
          <w:bookmarkEnd w:id="45"/>
        </w:p>
        <w:p w14:paraId="6A9CAECE" w14:textId="6490EF7A" w:rsidR="009C4771" w:rsidRDefault="00F05519" w:rsidP="001B2726">
          <w:pPr>
            <w:pStyle w:val="Bullet"/>
            <w:numPr>
              <w:ilvl w:val="0"/>
              <w:numId w:val="30"/>
            </w:numPr>
            <w:ind w:left="993" w:hanging="993"/>
            <w:rPr>
              <w:lang w:eastAsia="en-US"/>
            </w:rPr>
          </w:pPr>
          <w:r>
            <w:rPr>
              <w:lang w:eastAsia="en-US"/>
            </w:rPr>
            <w:t xml:space="preserve">A determination has effect </w:t>
          </w:r>
          <w:r w:rsidR="00F30899">
            <w:rPr>
              <w:lang w:eastAsia="en-US"/>
            </w:rPr>
            <w:t>from the beginning of the income year in which it is given</w:t>
          </w:r>
          <w:r w:rsidR="00782D69">
            <w:rPr>
              <w:lang w:eastAsia="en-US"/>
            </w:rPr>
            <w:t xml:space="preserve">. </w:t>
          </w:r>
          <w:r w:rsidR="001B2838">
            <w:rPr>
              <w:lang w:eastAsia="en-US"/>
            </w:rPr>
            <w:t xml:space="preserve">This means an entity given a determination </w:t>
          </w:r>
          <w:r w:rsidR="001543BE">
            <w:rPr>
              <w:lang w:eastAsia="en-US"/>
            </w:rPr>
            <w:t xml:space="preserve">may retrospectively have not been a </w:t>
          </w:r>
          <w:r w:rsidR="001B2838">
            <w:rPr>
              <w:lang w:eastAsia="en-US"/>
            </w:rPr>
            <w:t>reporting entity in prior reporting periods</w:t>
          </w:r>
          <w:r w:rsidR="00782D69">
            <w:rPr>
              <w:lang w:eastAsia="en-US"/>
            </w:rPr>
            <w:t xml:space="preserve">. </w:t>
          </w:r>
        </w:p>
        <w:p w14:paraId="5AF6C806" w14:textId="5DC3234E" w:rsidR="00F05519" w:rsidRDefault="004940C0" w:rsidP="001B2726">
          <w:pPr>
            <w:pStyle w:val="Bullet"/>
            <w:numPr>
              <w:ilvl w:val="0"/>
              <w:numId w:val="30"/>
            </w:numPr>
            <w:ind w:left="993" w:hanging="993"/>
            <w:rPr>
              <w:lang w:eastAsia="en-US"/>
            </w:rPr>
          </w:pPr>
          <w:r>
            <w:rPr>
              <w:lang w:eastAsia="en-US"/>
            </w:rPr>
            <w:t xml:space="preserve">As an example, </w:t>
          </w:r>
          <w:r w:rsidR="00E86599">
            <w:rPr>
              <w:lang w:eastAsia="en-US"/>
            </w:rPr>
            <w:t xml:space="preserve">an entity with an income year ending 30 June </w:t>
          </w:r>
          <w:r w:rsidR="00560604">
            <w:rPr>
              <w:lang w:eastAsia="en-US"/>
            </w:rPr>
            <w:t xml:space="preserve">that </w:t>
          </w:r>
          <w:r w:rsidR="00514E58">
            <w:rPr>
              <w:lang w:eastAsia="en-US"/>
            </w:rPr>
            <w:t>receive</w:t>
          </w:r>
          <w:r w:rsidR="00560604">
            <w:rPr>
              <w:lang w:eastAsia="en-US"/>
            </w:rPr>
            <w:t xml:space="preserve">d </w:t>
          </w:r>
          <w:r w:rsidR="00E86599">
            <w:rPr>
              <w:lang w:eastAsia="en-US"/>
            </w:rPr>
            <w:t xml:space="preserve">a determination on 1 June </w:t>
          </w:r>
          <w:r>
            <w:rPr>
              <w:lang w:eastAsia="en-US"/>
            </w:rPr>
            <w:t xml:space="preserve">may have </w:t>
          </w:r>
          <w:r w:rsidR="00E86599">
            <w:rPr>
              <w:lang w:eastAsia="en-US"/>
            </w:rPr>
            <w:t xml:space="preserve">already </w:t>
          </w:r>
          <w:r w:rsidR="00560604">
            <w:rPr>
              <w:lang w:eastAsia="en-US"/>
            </w:rPr>
            <w:t>ha</w:t>
          </w:r>
          <w:r>
            <w:rPr>
              <w:lang w:eastAsia="en-US"/>
            </w:rPr>
            <w:t>d</w:t>
          </w:r>
          <w:r w:rsidR="00560604">
            <w:rPr>
              <w:lang w:eastAsia="en-US"/>
            </w:rPr>
            <w:t xml:space="preserve"> a </w:t>
          </w:r>
          <w:r w:rsidR="00E86599">
            <w:rPr>
              <w:lang w:eastAsia="en-US"/>
            </w:rPr>
            <w:t xml:space="preserve">report </w:t>
          </w:r>
          <w:r w:rsidR="00560604">
            <w:rPr>
              <w:lang w:eastAsia="en-US"/>
            </w:rPr>
            <w:t xml:space="preserve">registered </w:t>
          </w:r>
          <w:r w:rsidR="00E86599">
            <w:rPr>
              <w:lang w:eastAsia="en-US"/>
            </w:rPr>
            <w:t xml:space="preserve">for the </w:t>
          </w:r>
          <w:r w:rsidR="00514E58">
            <w:rPr>
              <w:lang w:eastAsia="en-US"/>
            </w:rPr>
            <w:t xml:space="preserve">prior reporting </w:t>
          </w:r>
          <w:r w:rsidR="00E86599">
            <w:rPr>
              <w:lang w:eastAsia="en-US"/>
            </w:rPr>
            <w:t xml:space="preserve">period ending </w:t>
          </w:r>
          <w:r w:rsidR="006B59B1">
            <w:rPr>
              <w:lang w:eastAsia="en-US"/>
            </w:rPr>
            <w:t>31 December</w:t>
          </w:r>
          <w:r w:rsidR="00782D69">
            <w:rPr>
              <w:lang w:eastAsia="en-US"/>
            </w:rPr>
            <w:t xml:space="preserve">. </w:t>
          </w:r>
          <w:r w:rsidR="006B59B1">
            <w:rPr>
              <w:lang w:eastAsia="en-US"/>
            </w:rPr>
            <w:t xml:space="preserve">In </w:t>
          </w:r>
          <w:r>
            <w:rPr>
              <w:lang w:eastAsia="en-US"/>
            </w:rPr>
            <w:t>this</w:t>
          </w:r>
          <w:r w:rsidR="009C4771">
            <w:rPr>
              <w:lang w:eastAsia="en-US"/>
            </w:rPr>
            <w:t xml:space="preserve"> </w:t>
          </w:r>
          <w:r w:rsidR="006B59B1">
            <w:rPr>
              <w:lang w:eastAsia="en-US"/>
            </w:rPr>
            <w:t>case</w:t>
          </w:r>
          <w:r>
            <w:rPr>
              <w:lang w:eastAsia="en-US"/>
            </w:rPr>
            <w:t>,</w:t>
          </w:r>
          <w:r w:rsidR="006B59B1">
            <w:rPr>
              <w:lang w:eastAsia="en-US"/>
            </w:rPr>
            <w:t xml:space="preserve"> the report for the period ending 31 December will be removed from the </w:t>
          </w:r>
          <w:hyperlink r:id="rId26" w:history="1">
            <w:r w:rsidR="00457597" w:rsidRPr="002D576D">
              <w:rPr>
                <w:rStyle w:val="Hyperlink"/>
                <w:rFonts w:ascii="Calibri" w:hAnsi="Calibri"/>
                <w:lang w:eastAsia="en-US"/>
              </w:rPr>
              <w:t>P</w:t>
            </w:r>
            <w:r w:rsidR="006B59B1" w:rsidRPr="002D576D">
              <w:rPr>
                <w:rStyle w:val="Hyperlink"/>
                <w:rFonts w:ascii="Calibri" w:hAnsi="Calibri"/>
                <w:lang w:eastAsia="en-US"/>
              </w:rPr>
              <w:t xml:space="preserve">ayment </w:t>
            </w:r>
            <w:r w:rsidR="00457597" w:rsidRPr="002D576D">
              <w:rPr>
                <w:rStyle w:val="Hyperlink"/>
                <w:rFonts w:ascii="Calibri" w:hAnsi="Calibri"/>
                <w:lang w:eastAsia="en-US"/>
              </w:rPr>
              <w:t>T</w:t>
            </w:r>
            <w:r w:rsidR="006B59B1" w:rsidRPr="002D576D">
              <w:rPr>
                <w:rStyle w:val="Hyperlink"/>
                <w:rFonts w:ascii="Calibri" w:hAnsi="Calibri"/>
                <w:lang w:eastAsia="en-US"/>
              </w:rPr>
              <w:t xml:space="preserve">imes </w:t>
            </w:r>
            <w:r w:rsidR="00457597" w:rsidRPr="002D576D">
              <w:rPr>
                <w:rStyle w:val="Hyperlink"/>
                <w:rFonts w:ascii="Calibri" w:hAnsi="Calibri"/>
                <w:lang w:eastAsia="en-US"/>
              </w:rPr>
              <w:t>R</w:t>
            </w:r>
            <w:r w:rsidR="006B59B1" w:rsidRPr="002D576D">
              <w:rPr>
                <w:rStyle w:val="Hyperlink"/>
                <w:rFonts w:ascii="Calibri" w:hAnsi="Calibri"/>
                <w:lang w:eastAsia="en-US"/>
              </w:rPr>
              <w:t>eport</w:t>
            </w:r>
            <w:r w:rsidR="00457597" w:rsidRPr="002D576D">
              <w:rPr>
                <w:rStyle w:val="Hyperlink"/>
                <w:rFonts w:ascii="Calibri" w:hAnsi="Calibri"/>
                <w:lang w:eastAsia="en-US"/>
              </w:rPr>
              <w:t>s</w:t>
            </w:r>
            <w:r w:rsidR="006B59B1" w:rsidRPr="002D576D">
              <w:rPr>
                <w:rStyle w:val="Hyperlink"/>
                <w:rFonts w:ascii="Calibri" w:hAnsi="Calibri"/>
                <w:lang w:eastAsia="en-US"/>
              </w:rPr>
              <w:t xml:space="preserve"> </w:t>
            </w:r>
            <w:r w:rsidR="00457597" w:rsidRPr="002D576D">
              <w:rPr>
                <w:rStyle w:val="Hyperlink"/>
                <w:rFonts w:ascii="Calibri" w:hAnsi="Calibri"/>
                <w:lang w:eastAsia="en-US"/>
              </w:rPr>
              <w:t>R</w:t>
            </w:r>
            <w:r w:rsidR="006B59B1" w:rsidRPr="002D576D">
              <w:rPr>
                <w:rStyle w:val="Hyperlink"/>
                <w:rFonts w:ascii="Calibri" w:hAnsi="Calibri"/>
                <w:lang w:eastAsia="en-US"/>
              </w:rPr>
              <w:t>egister</w:t>
            </w:r>
          </w:hyperlink>
          <w:r w:rsidR="006B59B1">
            <w:rPr>
              <w:lang w:eastAsia="en-US"/>
            </w:rPr>
            <w:t xml:space="preserve"> </w:t>
          </w:r>
          <w:r w:rsidR="00604A93">
            <w:rPr>
              <w:lang w:eastAsia="en-US"/>
            </w:rPr>
            <w:t xml:space="preserve">because the </w:t>
          </w:r>
          <w:r w:rsidR="00FE0FDE">
            <w:rPr>
              <w:lang w:eastAsia="en-US"/>
            </w:rPr>
            <w:t xml:space="preserve">effect of the determination is that the </w:t>
          </w:r>
          <w:r w:rsidR="00047FB6">
            <w:rPr>
              <w:lang w:eastAsia="en-US"/>
            </w:rPr>
            <w:t>entity was not a reporting entity for that period.</w:t>
          </w:r>
        </w:p>
        <w:p w14:paraId="281C94E0" w14:textId="27A6D809" w:rsidR="00CC27F5" w:rsidRDefault="00CC27F5" w:rsidP="00CC27F5">
          <w:pPr>
            <w:pStyle w:val="Bullet"/>
            <w:numPr>
              <w:ilvl w:val="0"/>
              <w:numId w:val="30"/>
            </w:numPr>
            <w:ind w:left="993" w:hanging="993"/>
            <w:rPr>
              <w:lang w:eastAsia="en-US"/>
            </w:rPr>
          </w:pPr>
          <w:r w:rsidRPr="002D576D">
            <w:rPr>
              <w:lang w:eastAsia="en-US"/>
            </w:rPr>
            <w:t>A determination is given at a point in time. Entities are still required to determine whether they are a reporting entity for the purposes of the Act at the start of each income year</w:t>
          </w:r>
          <w:r>
            <w:rPr>
              <w:lang w:eastAsia="en-US"/>
            </w:rPr>
            <w:t>.</w:t>
          </w:r>
          <w:r>
            <w:rPr>
              <w:rStyle w:val="FootnoteReference"/>
              <w:lang w:eastAsia="en-US"/>
            </w:rPr>
            <w:footnoteReference w:id="13"/>
          </w:r>
          <w:r>
            <w:rPr>
              <w:lang w:eastAsia="en-US"/>
            </w:rPr>
            <w:t xml:space="preserve"> An entity that receives a determination ceases to be a reporting entity until it again becomes a reporting entity under the Act in future income years</w:t>
          </w:r>
          <w:r w:rsidR="00FE0FDE">
            <w:rPr>
              <w:lang w:eastAsia="en-US"/>
            </w:rPr>
            <w:t xml:space="preserve"> or it volunteers to report</w:t>
          </w:r>
          <w:r>
            <w:rPr>
              <w:lang w:eastAsia="en-US"/>
            </w:rPr>
            <w:t xml:space="preserve">. </w:t>
          </w:r>
        </w:p>
        <w:p w14:paraId="0E18D7A9" w14:textId="66E2DD49" w:rsidR="005A1B19" w:rsidRPr="00267B20" w:rsidRDefault="005A1B19" w:rsidP="00CA06B6">
          <w:pPr>
            <w:pStyle w:val="Heading3"/>
            <w:rPr>
              <w:highlight w:val="yellow"/>
              <w:lang w:eastAsia="en-US"/>
            </w:rPr>
          </w:pPr>
          <w:bookmarkStart w:id="46" w:name="_Toc107914341"/>
          <w:r>
            <w:rPr>
              <w:lang w:eastAsia="en-US"/>
            </w:rPr>
            <w:t>Review of decision</w:t>
          </w:r>
          <w:bookmarkEnd w:id="46"/>
        </w:p>
        <w:p w14:paraId="0D6AD0E4" w14:textId="2F4F1DC2" w:rsidR="005A1B19" w:rsidRDefault="005A1B19" w:rsidP="001B2726">
          <w:pPr>
            <w:pStyle w:val="Bullet"/>
            <w:numPr>
              <w:ilvl w:val="0"/>
              <w:numId w:val="30"/>
            </w:numPr>
            <w:ind w:left="993" w:hanging="993"/>
            <w:rPr>
              <w:lang w:eastAsia="en-US"/>
            </w:rPr>
          </w:pPr>
          <w:r>
            <w:rPr>
              <w:lang w:eastAsia="en-US"/>
            </w:rPr>
            <w:t>If we refuse to grant your app</w:t>
          </w:r>
          <w:r w:rsidR="005C13F0">
            <w:rPr>
              <w:lang w:eastAsia="en-US"/>
            </w:rPr>
            <w:t>lication to cease to be a reporting entity, you may seek an internal review of our decision.</w:t>
          </w:r>
        </w:p>
        <w:p w14:paraId="093572EC" w14:textId="637FA634" w:rsidR="005C13F0" w:rsidRPr="002D576D" w:rsidRDefault="005C13F0" w:rsidP="001B2726">
          <w:pPr>
            <w:pStyle w:val="Bullet"/>
            <w:numPr>
              <w:ilvl w:val="0"/>
              <w:numId w:val="30"/>
            </w:numPr>
            <w:ind w:left="993" w:hanging="993"/>
            <w:rPr>
              <w:lang w:eastAsia="en-US"/>
            </w:rPr>
          </w:pPr>
          <w:r>
            <w:rPr>
              <w:lang w:eastAsia="en-US"/>
            </w:rPr>
            <w:t xml:space="preserve">Your notice of our decision will include a statement of our reasons for refusal and </w:t>
          </w:r>
          <w:r w:rsidR="00277D37">
            <w:rPr>
              <w:lang w:eastAsia="en-US"/>
            </w:rPr>
            <w:t>your rights to a review</w:t>
          </w:r>
          <w:r w:rsidR="00782D69">
            <w:rPr>
              <w:lang w:eastAsia="en-US"/>
            </w:rPr>
            <w:t xml:space="preserve">. </w:t>
          </w:r>
          <w:r w:rsidR="008542B5">
            <w:rPr>
              <w:lang w:eastAsia="en-US"/>
            </w:rPr>
            <w:t xml:space="preserve">For more information see </w:t>
          </w:r>
          <w:hyperlink r:id="rId27" w:history="1">
            <w:r w:rsidR="008542B5" w:rsidRPr="000B6CAF">
              <w:rPr>
                <w:rStyle w:val="Hyperlink"/>
                <w:rFonts w:ascii="Calibri" w:hAnsi="Calibri"/>
                <w:lang w:eastAsia="en-US"/>
              </w:rPr>
              <w:t xml:space="preserve">Information </w:t>
            </w:r>
            <w:r w:rsidR="00457597" w:rsidRPr="000B6CAF">
              <w:rPr>
                <w:rStyle w:val="Hyperlink"/>
                <w:rFonts w:ascii="Calibri" w:hAnsi="Calibri"/>
                <w:lang w:eastAsia="en-US"/>
              </w:rPr>
              <w:t>s</w:t>
            </w:r>
            <w:r w:rsidR="008542B5" w:rsidRPr="000B6CAF">
              <w:rPr>
                <w:rStyle w:val="Hyperlink"/>
                <w:rFonts w:ascii="Calibri" w:hAnsi="Calibri"/>
                <w:lang w:eastAsia="en-US"/>
              </w:rPr>
              <w:t xml:space="preserve">heet 2: Regulator decisions </w:t>
            </w:r>
            <w:r w:rsidR="00457597" w:rsidRPr="000B6CAF">
              <w:rPr>
                <w:rStyle w:val="Hyperlink"/>
                <w:rFonts w:ascii="Calibri" w:hAnsi="Calibri"/>
                <w:lang w:eastAsia="en-US"/>
              </w:rPr>
              <w:t>–</w:t>
            </w:r>
            <w:r w:rsidR="008542B5" w:rsidRPr="000B6CAF">
              <w:rPr>
                <w:rStyle w:val="Hyperlink"/>
                <w:rFonts w:ascii="Calibri" w:hAnsi="Calibri"/>
                <w:lang w:eastAsia="en-US"/>
              </w:rPr>
              <w:t xml:space="preserve"> Your rights</w:t>
            </w:r>
          </w:hyperlink>
          <w:r w:rsidR="008542B5" w:rsidRPr="002D576D">
            <w:rPr>
              <w:lang w:eastAsia="en-US"/>
            </w:rPr>
            <w:t>.</w:t>
          </w:r>
        </w:p>
        <w:p w14:paraId="48ACD7C7" w14:textId="25824574" w:rsidR="00340009" w:rsidRDefault="00340009" w:rsidP="00340009">
          <w:pPr>
            <w:pStyle w:val="Heading2"/>
            <w:rPr>
              <w:lang w:eastAsia="en-US"/>
            </w:rPr>
          </w:pPr>
          <w:bookmarkStart w:id="47" w:name="_Revised_payment_times"/>
          <w:bookmarkStart w:id="48" w:name="_Toc107914342"/>
          <w:bookmarkEnd w:id="47"/>
          <w:r w:rsidRPr="00C3785D">
            <w:rPr>
              <w:lang w:eastAsia="en-US"/>
            </w:rPr>
            <w:t xml:space="preserve">Revised </w:t>
          </w:r>
          <w:r w:rsidR="00457597">
            <w:rPr>
              <w:lang w:eastAsia="en-US"/>
            </w:rPr>
            <w:t>p</w:t>
          </w:r>
          <w:r w:rsidRPr="00C3785D">
            <w:rPr>
              <w:lang w:eastAsia="en-US"/>
            </w:rPr>
            <w:t xml:space="preserve">ayment </w:t>
          </w:r>
          <w:r w:rsidR="00457597">
            <w:rPr>
              <w:lang w:eastAsia="en-US"/>
            </w:rPr>
            <w:t>t</w:t>
          </w:r>
          <w:r w:rsidRPr="00C3785D">
            <w:rPr>
              <w:lang w:eastAsia="en-US"/>
            </w:rPr>
            <w:t>ime</w:t>
          </w:r>
          <w:r w:rsidR="00457597">
            <w:rPr>
              <w:lang w:eastAsia="en-US"/>
            </w:rPr>
            <w:t>s</w:t>
          </w:r>
          <w:r w:rsidRPr="00C3785D">
            <w:rPr>
              <w:lang w:eastAsia="en-US"/>
            </w:rPr>
            <w:t xml:space="preserve"> </w:t>
          </w:r>
          <w:r w:rsidR="00457597">
            <w:rPr>
              <w:lang w:eastAsia="en-US"/>
            </w:rPr>
            <w:t>r</w:t>
          </w:r>
          <w:r w:rsidRPr="00C3785D">
            <w:rPr>
              <w:lang w:eastAsia="en-US"/>
            </w:rPr>
            <w:t>eports</w:t>
          </w:r>
          <w:bookmarkEnd w:id="48"/>
        </w:p>
        <w:tbl>
          <w:tblPr>
            <w:tblStyle w:val="TableGrid"/>
            <w:tblW w:w="0" w:type="auto"/>
            <w:tblCellMar>
              <w:top w:w="113" w:type="dxa"/>
              <w:bottom w:w="113" w:type="dxa"/>
            </w:tblCellMar>
            <w:tblLook w:val="04A0" w:firstRow="1" w:lastRow="0" w:firstColumn="1" w:lastColumn="0" w:noHBand="0" w:noVBand="1"/>
          </w:tblPr>
          <w:tblGrid>
            <w:gridCol w:w="9050"/>
          </w:tblGrid>
          <w:tr w:rsidR="009E16AB" w14:paraId="0AE329A2" w14:textId="77777777" w:rsidTr="00BC0714">
            <w:tc>
              <w:tcPr>
                <w:tcW w:w="9050" w:type="dxa"/>
                <w:tcBorders>
                  <w:top w:val="single" w:sz="6" w:space="0" w:color="auto"/>
                  <w:left w:val="single" w:sz="8" w:space="0" w:color="auto"/>
                  <w:bottom w:val="single" w:sz="6" w:space="0" w:color="auto"/>
                  <w:right w:val="single" w:sz="8" w:space="0" w:color="auto"/>
                </w:tcBorders>
                <w:shd w:val="clear" w:color="auto" w:fill="2C384A"/>
              </w:tcPr>
              <w:p w14:paraId="2D7F6219" w14:textId="11AF4318" w:rsidR="009E16AB" w:rsidRDefault="009E16AB" w:rsidP="00BC0714">
                <w:pPr>
                  <w:pStyle w:val="Heading3"/>
                  <w:spacing w:before="0" w:after="0"/>
                  <w:outlineLvl w:val="2"/>
                </w:pPr>
                <w:bookmarkStart w:id="49" w:name="_Toc107914343"/>
                <w:r w:rsidRPr="00BC0714">
                  <w:rPr>
                    <w:color w:val="FFFFFF" w:themeColor="background1"/>
                  </w:rPr>
                  <w:t xml:space="preserve">Key </w:t>
                </w:r>
                <w:r w:rsidR="00457597" w:rsidRPr="00BC0714">
                  <w:rPr>
                    <w:color w:val="FFFFFF" w:themeColor="background1"/>
                  </w:rPr>
                  <w:t>p</w:t>
                </w:r>
                <w:r w:rsidRPr="00BC0714">
                  <w:rPr>
                    <w:color w:val="FFFFFF" w:themeColor="background1"/>
                  </w:rPr>
                  <w:t>oints</w:t>
                </w:r>
                <w:bookmarkEnd w:id="49"/>
                <w:r w:rsidRPr="00BC0714">
                  <w:rPr>
                    <w:color w:val="FFFFFF" w:themeColor="background1"/>
                  </w:rPr>
                  <w:tab/>
                </w:r>
              </w:p>
            </w:tc>
          </w:tr>
          <w:tr w:rsidR="009E16AB" w14:paraId="7BF2C110" w14:textId="77777777" w:rsidTr="00BC0714">
            <w:tc>
              <w:tcPr>
                <w:tcW w:w="9050" w:type="dxa"/>
                <w:tcBorders>
                  <w:top w:val="single" w:sz="6" w:space="0" w:color="auto"/>
                  <w:left w:val="single" w:sz="8" w:space="0" w:color="auto"/>
                  <w:bottom w:val="single" w:sz="8" w:space="0" w:color="auto"/>
                  <w:right w:val="single" w:sz="8" w:space="0" w:color="auto"/>
                </w:tcBorders>
                <w:shd w:val="clear" w:color="auto" w:fill="FFFFFF" w:themeFill="background1"/>
              </w:tcPr>
              <w:p w14:paraId="4E48E490" w14:textId="5AD3FFFB" w:rsidR="009864E7" w:rsidRPr="00BC0714" w:rsidRDefault="00AE3E7A" w:rsidP="00BC0714">
                <w:pPr>
                  <w:pStyle w:val="ListParagraph"/>
                  <w:ind w:left="306" w:hanging="284"/>
                  <w:jc w:val="left"/>
                  <w:rPr>
                    <w:sz w:val="22"/>
                    <w:szCs w:val="24"/>
                  </w:rPr>
                </w:pPr>
                <w:r w:rsidRPr="00BC0714">
                  <w:rPr>
                    <w:sz w:val="22"/>
                    <w:szCs w:val="24"/>
                  </w:rPr>
                  <w:t>A reporting entity may apply</w:t>
                </w:r>
                <w:r w:rsidR="009864E7" w:rsidRPr="00BC0714">
                  <w:rPr>
                    <w:sz w:val="22"/>
                    <w:szCs w:val="24"/>
                  </w:rPr>
                  <w:t xml:space="preserve"> to the Regulator to register a revised report that correct</w:t>
                </w:r>
                <w:r w:rsidR="00457597" w:rsidRPr="00BC0714">
                  <w:rPr>
                    <w:sz w:val="22"/>
                    <w:szCs w:val="24"/>
                  </w:rPr>
                  <w:t>s</w:t>
                </w:r>
                <w:r w:rsidR="009864E7" w:rsidRPr="00BC0714">
                  <w:rPr>
                    <w:sz w:val="22"/>
                    <w:szCs w:val="24"/>
                  </w:rPr>
                  <w:t xml:space="preserve"> substantial errors or omissions </w:t>
                </w:r>
                <w:r w:rsidR="00FE0FDE">
                  <w:rPr>
                    <w:sz w:val="22"/>
                    <w:szCs w:val="24"/>
                  </w:rPr>
                  <w:t xml:space="preserve">its most recently </w:t>
                </w:r>
                <w:r w:rsidR="009864E7" w:rsidRPr="00BC0714">
                  <w:rPr>
                    <w:sz w:val="22"/>
                    <w:szCs w:val="24"/>
                  </w:rPr>
                  <w:t>registered report.</w:t>
                </w:r>
              </w:p>
              <w:p w14:paraId="2C618268" w14:textId="020C7C6A" w:rsidR="00AE3E7A" w:rsidRPr="00BC0714" w:rsidRDefault="00AE3E7A" w:rsidP="00BC0714">
                <w:pPr>
                  <w:pStyle w:val="ListParagraph"/>
                  <w:ind w:left="306" w:hanging="284"/>
                  <w:jc w:val="left"/>
                  <w:rPr>
                    <w:sz w:val="22"/>
                    <w:szCs w:val="24"/>
                  </w:rPr>
                </w:pPr>
                <w:r w:rsidRPr="00BC0714">
                  <w:rPr>
                    <w:sz w:val="22"/>
                    <w:szCs w:val="24"/>
                  </w:rPr>
                  <w:t xml:space="preserve">Applications to submit a revised report are made on the </w:t>
                </w:r>
                <w:hyperlink r:id="rId28" w:history="1">
                  <w:r w:rsidRPr="00BC0714">
                    <w:rPr>
                      <w:rStyle w:val="Hyperlink"/>
                      <w:szCs w:val="24"/>
                    </w:rPr>
                    <w:t>Payment Times Reporting Portal</w:t>
                  </w:r>
                </w:hyperlink>
                <w:r w:rsidRPr="00BC0714">
                  <w:rPr>
                    <w:sz w:val="22"/>
                    <w:szCs w:val="24"/>
                  </w:rPr>
                  <w:t xml:space="preserve"> and should include the revised report, responsible member declaration, and a</w:t>
                </w:r>
                <w:r w:rsidR="004C6533" w:rsidRPr="00BC0714">
                  <w:rPr>
                    <w:sz w:val="22"/>
                    <w:szCs w:val="24"/>
                  </w:rPr>
                  <w:t xml:space="preserve"> description</w:t>
                </w:r>
                <w:r w:rsidRPr="00BC0714">
                  <w:rPr>
                    <w:sz w:val="22"/>
                    <w:szCs w:val="24"/>
                  </w:rPr>
                  <w:t xml:space="preserve"> of the changes to the revised report.</w:t>
                </w:r>
              </w:p>
              <w:p w14:paraId="4EC879BA" w14:textId="3D1E3D76" w:rsidR="007510FE" w:rsidRDefault="007510FE" w:rsidP="00BC0714">
                <w:pPr>
                  <w:pStyle w:val="ListParagraph"/>
                  <w:spacing w:after="0"/>
                  <w:ind w:left="306" w:hanging="284"/>
                  <w:jc w:val="left"/>
                </w:pPr>
                <w:r w:rsidRPr="00BC0714">
                  <w:rPr>
                    <w:sz w:val="22"/>
                    <w:szCs w:val="24"/>
                  </w:rPr>
                  <w:t xml:space="preserve">Revised reports must comply with the requirements of section 14 of the </w:t>
                </w:r>
                <w:hyperlink r:id="rId29" w:history="1">
                  <w:r w:rsidRPr="00BC0714">
                    <w:rPr>
                      <w:rStyle w:val="Hyperlink"/>
                      <w:i/>
                      <w:iCs/>
                      <w:szCs w:val="24"/>
                    </w:rPr>
                    <w:t>Payment Times Reporting Act 2020</w:t>
                  </w:r>
                </w:hyperlink>
                <w:r w:rsidRPr="00BC0714">
                  <w:rPr>
                    <w:sz w:val="22"/>
                    <w:szCs w:val="24"/>
                  </w:rPr>
                  <w:t xml:space="preserve"> or the Regulator may refuse to register the revised report.</w:t>
                </w:r>
              </w:p>
            </w:tc>
          </w:tr>
        </w:tbl>
        <w:p w14:paraId="15BCF85F" w14:textId="40EDEE96" w:rsidR="00446793" w:rsidRDefault="003A6480" w:rsidP="00CA06B6">
          <w:pPr>
            <w:pStyle w:val="Heading3"/>
            <w:rPr>
              <w:lang w:eastAsia="en-US"/>
            </w:rPr>
          </w:pPr>
          <w:bookmarkStart w:id="50" w:name="_Toc107914344"/>
          <w:r>
            <w:rPr>
              <w:lang w:eastAsia="en-US"/>
            </w:rPr>
            <w:t>When to give a revised report</w:t>
          </w:r>
          <w:bookmarkEnd w:id="50"/>
        </w:p>
        <w:p w14:paraId="08876A1F" w14:textId="18D113F4" w:rsidR="00585FF5" w:rsidRDefault="00FB29DF" w:rsidP="001B2726">
          <w:pPr>
            <w:pStyle w:val="ListParagraph"/>
            <w:numPr>
              <w:ilvl w:val="0"/>
              <w:numId w:val="30"/>
            </w:numPr>
            <w:ind w:left="993" w:hanging="993"/>
          </w:pPr>
          <w:r>
            <w:t xml:space="preserve">After </w:t>
          </w:r>
          <w:r w:rsidR="00562E73">
            <w:t>a report has been registered</w:t>
          </w:r>
          <w:r w:rsidR="00F80945">
            <w:t>,</w:t>
          </w:r>
          <w:r w:rsidR="00562E73">
            <w:t xml:space="preserve"> it </w:t>
          </w:r>
          <w:r w:rsidR="009360E2">
            <w:t>can only be amended by applying for registration of a revised report</w:t>
          </w:r>
          <w:r w:rsidR="00782D69">
            <w:t xml:space="preserve">. </w:t>
          </w:r>
        </w:p>
        <w:p w14:paraId="61A7FDB1" w14:textId="49999282" w:rsidR="00675EDA" w:rsidRDefault="00675EDA" w:rsidP="001B2726">
          <w:pPr>
            <w:pStyle w:val="ListParagraph"/>
            <w:numPr>
              <w:ilvl w:val="0"/>
              <w:numId w:val="30"/>
            </w:numPr>
            <w:ind w:left="993" w:hanging="993"/>
          </w:pPr>
          <w:r>
            <w:t xml:space="preserve">A revised report will be registered </w:t>
          </w:r>
          <w:r w:rsidR="009324C2">
            <w:t xml:space="preserve">if it </w:t>
          </w:r>
          <w:r w:rsidR="006D4825">
            <w:t>correct</w:t>
          </w:r>
          <w:r w:rsidR="009324C2">
            <w:t>s</w:t>
          </w:r>
          <w:r w:rsidR="006D4825">
            <w:t xml:space="preserve"> any substantial error or omission in </w:t>
          </w:r>
          <w:r w:rsidR="00CC27F5">
            <w:t xml:space="preserve">the most recently </w:t>
          </w:r>
          <w:r w:rsidR="009324C2">
            <w:t>registered report.</w:t>
          </w:r>
          <w:r w:rsidR="00A066C4">
            <w:rPr>
              <w:rStyle w:val="FootnoteReference"/>
            </w:rPr>
            <w:footnoteReference w:id="14"/>
          </w:r>
          <w:r w:rsidR="005F56D2">
            <w:t xml:space="preserve"> </w:t>
          </w:r>
          <w:hyperlink w:anchor="_Table_5:_Guidance" w:history="1">
            <w:r w:rsidR="00F05118" w:rsidRPr="00D21AFB">
              <w:rPr>
                <w:rStyle w:val="Hyperlink"/>
              </w:rPr>
              <w:t xml:space="preserve">Table </w:t>
            </w:r>
            <w:r w:rsidR="00DD49A8">
              <w:rPr>
                <w:rStyle w:val="Hyperlink"/>
              </w:rPr>
              <w:t>6</w:t>
            </w:r>
          </w:hyperlink>
          <w:r w:rsidR="00F05118">
            <w:t xml:space="preserve"> provides </w:t>
          </w:r>
          <w:r w:rsidR="00585FF5">
            <w:t xml:space="preserve">guidance on what may be </w:t>
          </w:r>
          <w:r w:rsidR="00A066C4">
            <w:t xml:space="preserve">considered a </w:t>
          </w:r>
          <w:r w:rsidR="00A066C4" w:rsidRPr="00D21AFB">
            <w:rPr>
              <w:rStyle w:val="Strong"/>
            </w:rPr>
            <w:t>substantial</w:t>
          </w:r>
          <w:r w:rsidR="00A066C4">
            <w:t xml:space="preserve"> </w:t>
          </w:r>
          <w:r w:rsidR="005F56D2">
            <w:t>error or omission.</w:t>
          </w:r>
        </w:p>
        <w:p w14:paraId="43C38DA1" w14:textId="4DFDEB9E" w:rsidR="005F56D2" w:rsidRPr="001E629D" w:rsidRDefault="005F56D2" w:rsidP="00D21AFB">
          <w:pPr>
            <w:pStyle w:val="Heading4"/>
            <w:rPr>
              <w:lang w:eastAsia="en-US"/>
            </w:rPr>
          </w:pPr>
          <w:bookmarkStart w:id="51" w:name="_Table_5:_Guidance"/>
          <w:bookmarkEnd w:id="51"/>
          <w:r w:rsidRPr="001E629D">
            <w:rPr>
              <w:lang w:eastAsia="en-US"/>
            </w:rPr>
            <w:lastRenderedPageBreak/>
            <w:t xml:space="preserve">Table </w:t>
          </w:r>
          <w:r w:rsidR="00DD49A8">
            <w:rPr>
              <w:lang w:eastAsia="en-US"/>
            </w:rPr>
            <w:t>6</w:t>
          </w:r>
          <w:r w:rsidR="00173291">
            <w:rPr>
              <w:lang w:eastAsia="en-US"/>
            </w:rPr>
            <w:t>:</w:t>
          </w:r>
          <w:r w:rsidRPr="001E629D">
            <w:rPr>
              <w:lang w:eastAsia="en-US"/>
            </w:rPr>
            <w:t xml:space="preserve"> </w:t>
          </w:r>
          <w:r w:rsidR="00A066C4">
            <w:rPr>
              <w:lang w:eastAsia="en-US"/>
            </w:rPr>
            <w:t xml:space="preserve">Guidance for </w:t>
          </w:r>
          <w:r>
            <w:rPr>
              <w:lang w:eastAsia="en-US"/>
            </w:rPr>
            <w:t>substantial errors and omissions</w:t>
          </w:r>
        </w:p>
        <w:tbl>
          <w:tblPr>
            <w:tblStyle w:val="TableGrid"/>
            <w:tblW w:w="0" w:type="auto"/>
            <w:tblCellMar>
              <w:top w:w="113" w:type="dxa"/>
              <w:bottom w:w="113" w:type="dxa"/>
            </w:tblCellMar>
            <w:tblLook w:val="04A0" w:firstRow="1" w:lastRow="0" w:firstColumn="1" w:lastColumn="0" w:noHBand="0" w:noVBand="1"/>
          </w:tblPr>
          <w:tblGrid>
            <w:gridCol w:w="4385"/>
            <w:gridCol w:w="4665"/>
          </w:tblGrid>
          <w:tr w:rsidR="005F56D2" w14:paraId="3551C693" w14:textId="77777777" w:rsidTr="00D21AFB">
            <w:tc>
              <w:tcPr>
                <w:tcW w:w="4385" w:type="dxa"/>
                <w:tcBorders>
                  <w:top w:val="single" w:sz="6" w:space="0" w:color="auto"/>
                  <w:left w:val="single" w:sz="8" w:space="0" w:color="auto"/>
                  <w:bottom w:val="single" w:sz="6" w:space="0" w:color="auto"/>
                  <w:right w:val="single" w:sz="8" w:space="0" w:color="auto"/>
                </w:tcBorders>
                <w:shd w:val="clear" w:color="auto" w:fill="2C384A"/>
              </w:tcPr>
              <w:p w14:paraId="401D2D55" w14:textId="0579FEBE" w:rsidR="005F56D2" w:rsidRPr="00D21AFB" w:rsidRDefault="005F56D2" w:rsidP="00D21AFB">
                <w:pPr>
                  <w:spacing w:before="0" w:after="0"/>
                  <w:rPr>
                    <w:b/>
                    <w:bCs/>
                    <w:color w:val="FFFFFF" w:themeColor="background1"/>
                    <w:sz w:val="22"/>
                    <w:szCs w:val="24"/>
                  </w:rPr>
                </w:pPr>
                <w:r w:rsidRPr="00D21AFB">
                  <w:rPr>
                    <w:b/>
                    <w:bCs/>
                    <w:color w:val="FFFFFF" w:themeColor="background1"/>
                    <w:sz w:val="22"/>
                    <w:szCs w:val="24"/>
                  </w:rPr>
                  <w:t xml:space="preserve">Likely to be </w:t>
                </w:r>
                <w:r w:rsidR="00280CFF" w:rsidRPr="00D21AFB">
                  <w:rPr>
                    <w:b/>
                    <w:bCs/>
                    <w:color w:val="FFFFFF" w:themeColor="background1"/>
                    <w:sz w:val="22"/>
                    <w:szCs w:val="24"/>
                  </w:rPr>
                  <w:t>‘</w:t>
                </w:r>
                <w:r w:rsidRPr="00D21AFB">
                  <w:rPr>
                    <w:b/>
                    <w:bCs/>
                    <w:color w:val="FFFFFF" w:themeColor="background1"/>
                    <w:sz w:val="22"/>
                    <w:szCs w:val="24"/>
                  </w:rPr>
                  <w:t>substantial</w:t>
                </w:r>
                <w:r w:rsidR="00280CFF" w:rsidRPr="00D21AFB">
                  <w:rPr>
                    <w:b/>
                    <w:bCs/>
                    <w:color w:val="FFFFFF" w:themeColor="background1"/>
                    <w:sz w:val="22"/>
                    <w:szCs w:val="24"/>
                  </w:rPr>
                  <w:t>’</w:t>
                </w:r>
              </w:p>
            </w:tc>
            <w:tc>
              <w:tcPr>
                <w:tcW w:w="4665" w:type="dxa"/>
                <w:tcBorders>
                  <w:top w:val="single" w:sz="6" w:space="0" w:color="auto"/>
                  <w:left w:val="single" w:sz="8" w:space="0" w:color="auto"/>
                  <w:bottom w:val="single" w:sz="6" w:space="0" w:color="auto"/>
                  <w:right w:val="single" w:sz="8" w:space="0" w:color="auto"/>
                </w:tcBorders>
                <w:shd w:val="clear" w:color="auto" w:fill="2C384A"/>
              </w:tcPr>
              <w:p w14:paraId="3A60F989" w14:textId="394E9AA6" w:rsidR="005F56D2" w:rsidRPr="00D21AFB" w:rsidRDefault="005F56D2" w:rsidP="00D21AFB">
                <w:pPr>
                  <w:spacing w:before="0" w:after="0"/>
                  <w:rPr>
                    <w:b/>
                    <w:bCs/>
                    <w:color w:val="FFFFFF" w:themeColor="background1"/>
                    <w:sz w:val="22"/>
                    <w:szCs w:val="24"/>
                  </w:rPr>
                </w:pPr>
                <w:r w:rsidRPr="00D21AFB">
                  <w:rPr>
                    <w:b/>
                    <w:bCs/>
                    <w:color w:val="FFFFFF" w:themeColor="background1"/>
                    <w:sz w:val="22"/>
                    <w:szCs w:val="24"/>
                  </w:rPr>
                  <w:t xml:space="preserve">Unlikely to be </w:t>
                </w:r>
                <w:r w:rsidR="00280CFF" w:rsidRPr="00D21AFB">
                  <w:rPr>
                    <w:b/>
                    <w:bCs/>
                    <w:color w:val="FFFFFF" w:themeColor="background1"/>
                    <w:sz w:val="22"/>
                    <w:szCs w:val="24"/>
                  </w:rPr>
                  <w:t>‘</w:t>
                </w:r>
                <w:r w:rsidRPr="00D21AFB">
                  <w:rPr>
                    <w:b/>
                    <w:bCs/>
                    <w:color w:val="FFFFFF" w:themeColor="background1"/>
                    <w:sz w:val="22"/>
                    <w:szCs w:val="24"/>
                  </w:rPr>
                  <w:t>substantial</w:t>
                </w:r>
                <w:r w:rsidR="00280CFF" w:rsidRPr="00D21AFB">
                  <w:rPr>
                    <w:b/>
                    <w:bCs/>
                    <w:color w:val="FFFFFF" w:themeColor="background1"/>
                    <w:sz w:val="22"/>
                    <w:szCs w:val="24"/>
                  </w:rPr>
                  <w:t>’</w:t>
                </w:r>
              </w:p>
            </w:tc>
          </w:tr>
          <w:tr w:rsidR="005F56D2" w14:paraId="4AE31C6D" w14:textId="77777777" w:rsidTr="00D21AFB">
            <w:tc>
              <w:tcPr>
                <w:tcW w:w="4385" w:type="dxa"/>
                <w:tcBorders>
                  <w:top w:val="single" w:sz="6" w:space="0" w:color="auto"/>
                  <w:left w:val="single" w:sz="8" w:space="0" w:color="auto"/>
                  <w:bottom w:val="single" w:sz="6" w:space="0" w:color="auto"/>
                  <w:right w:val="single" w:sz="8" w:space="0" w:color="auto"/>
                </w:tcBorders>
                <w:shd w:val="clear" w:color="auto" w:fill="FFFFFF" w:themeFill="background1"/>
              </w:tcPr>
              <w:p w14:paraId="56FB9DFA" w14:textId="6933C2E3" w:rsidR="005F56D2" w:rsidRPr="00D21AFB" w:rsidRDefault="005F56D2" w:rsidP="00D21AFB">
                <w:pPr>
                  <w:pStyle w:val="ListParagraph"/>
                  <w:ind w:left="306" w:hanging="284"/>
                  <w:jc w:val="left"/>
                  <w:rPr>
                    <w:sz w:val="22"/>
                    <w:szCs w:val="24"/>
                  </w:rPr>
                </w:pPr>
                <w:r w:rsidRPr="00D21AFB">
                  <w:rPr>
                    <w:sz w:val="22"/>
                    <w:szCs w:val="24"/>
                  </w:rPr>
                  <w:t>Correction of a payment times reporting measure (days, value, proportion)</w:t>
                </w:r>
                <w:r w:rsidR="00173291" w:rsidRPr="00D21AFB">
                  <w:rPr>
                    <w:sz w:val="22"/>
                    <w:szCs w:val="24"/>
                  </w:rPr>
                  <w:t>.</w:t>
                </w:r>
              </w:p>
              <w:p w14:paraId="0DE87084" w14:textId="0BCE8E4B" w:rsidR="005F56D2" w:rsidRPr="00D21AFB" w:rsidRDefault="005F56D2" w:rsidP="00D21AFB">
                <w:pPr>
                  <w:pStyle w:val="ListParagraph"/>
                  <w:ind w:left="306" w:hanging="284"/>
                  <w:jc w:val="left"/>
                  <w:rPr>
                    <w:sz w:val="22"/>
                    <w:szCs w:val="24"/>
                  </w:rPr>
                </w:pPr>
                <w:r w:rsidRPr="00D21AFB">
                  <w:rPr>
                    <w:sz w:val="22"/>
                    <w:szCs w:val="24"/>
                  </w:rPr>
                  <w:t>Correction of details of business identifiers such as name, ABN or ACN to match registered company details</w:t>
                </w:r>
                <w:r w:rsidR="00173291" w:rsidRPr="00D21AFB">
                  <w:rPr>
                    <w:sz w:val="22"/>
                    <w:szCs w:val="24"/>
                  </w:rPr>
                  <w:t>.</w:t>
                </w:r>
              </w:p>
              <w:p w14:paraId="293132A0" w14:textId="41294098" w:rsidR="005F56D2" w:rsidRPr="00D21AFB" w:rsidRDefault="005F56D2" w:rsidP="00D21AFB">
                <w:pPr>
                  <w:pStyle w:val="ListParagraph"/>
                  <w:ind w:left="306" w:hanging="284"/>
                  <w:jc w:val="left"/>
                  <w:rPr>
                    <w:sz w:val="22"/>
                    <w:szCs w:val="24"/>
                  </w:rPr>
                </w:pPr>
                <w:r w:rsidRPr="00D21AFB">
                  <w:rPr>
                    <w:sz w:val="22"/>
                    <w:szCs w:val="24"/>
                  </w:rPr>
                  <w:t>Correction of reporting period dates</w:t>
                </w:r>
                <w:r w:rsidR="00173291" w:rsidRPr="00D21AFB">
                  <w:rPr>
                    <w:sz w:val="22"/>
                    <w:szCs w:val="24"/>
                  </w:rPr>
                  <w:t>.</w:t>
                </w:r>
              </w:p>
              <w:p w14:paraId="5F6FE037" w14:textId="77F732DE" w:rsidR="005F56D2" w:rsidRPr="00D21AFB" w:rsidRDefault="005F56D2" w:rsidP="00D21AFB">
                <w:pPr>
                  <w:pStyle w:val="ListParagraph"/>
                  <w:ind w:left="306" w:hanging="284"/>
                  <w:jc w:val="left"/>
                  <w:rPr>
                    <w:sz w:val="22"/>
                    <w:szCs w:val="24"/>
                  </w:rPr>
                </w:pPr>
                <w:r w:rsidRPr="00D21AFB">
                  <w:rPr>
                    <w:sz w:val="22"/>
                    <w:szCs w:val="24"/>
                  </w:rPr>
                  <w:t xml:space="preserve">Factual accuracy corrections to explanations or statements in the original </w:t>
                </w:r>
                <w:r w:rsidR="003D0883" w:rsidRPr="00D21AFB">
                  <w:rPr>
                    <w:sz w:val="22"/>
                    <w:szCs w:val="24"/>
                  </w:rPr>
                  <w:t>report</w:t>
                </w:r>
                <w:r w:rsidR="00173291" w:rsidRPr="00D21AFB">
                  <w:rPr>
                    <w:sz w:val="22"/>
                    <w:szCs w:val="24"/>
                  </w:rPr>
                  <w:t>.</w:t>
                </w:r>
              </w:p>
              <w:p w14:paraId="61F991BE" w14:textId="6DFF098C" w:rsidR="005F56D2" w:rsidRPr="00D21AFB" w:rsidRDefault="005F56D2" w:rsidP="00D21AFB">
                <w:pPr>
                  <w:pStyle w:val="ListParagraph"/>
                  <w:ind w:left="306" w:hanging="284"/>
                  <w:jc w:val="left"/>
                  <w:rPr>
                    <w:sz w:val="22"/>
                    <w:szCs w:val="24"/>
                  </w:rPr>
                </w:pPr>
                <w:r w:rsidRPr="00D21AFB">
                  <w:rPr>
                    <w:sz w:val="22"/>
                    <w:szCs w:val="24"/>
                  </w:rPr>
                  <w:t>Addition of details of a notifiable event</w:t>
                </w:r>
                <w:r w:rsidR="00173291" w:rsidRPr="00D21AFB">
                  <w:rPr>
                    <w:sz w:val="22"/>
                    <w:szCs w:val="24"/>
                  </w:rPr>
                  <w:t>.</w:t>
                </w:r>
              </w:p>
              <w:p w14:paraId="1D3BCC06" w14:textId="6167596B" w:rsidR="005F56D2" w:rsidRPr="00D21AFB" w:rsidRDefault="005F56D2" w:rsidP="00D21AFB">
                <w:pPr>
                  <w:pStyle w:val="ListParagraph"/>
                  <w:spacing w:after="0"/>
                  <w:ind w:left="306" w:hanging="284"/>
                  <w:jc w:val="left"/>
                </w:pPr>
                <w:r w:rsidRPr="00D21AFB">
                  <w:rPr>
                    <w:sz w:val="22"/>
                    <w:szCs w:val="24"/>
                  </w:rPr>
                  <w:t xml:space="preserve">Addition of content required by the Act but not provided in the original </w:t>
                </w:r>
                <w:r w:rsidR="003D0883" w:rsidRPr="00D21AFB">
                  <w:rPr>
                    <w:sz w:val="22"/>
                    <w:szCs w:val="24"/>
                  </w:rPr>
                  <w:t>report</w:t>
                </w:r>
                <w:r w:rsidR="00173291" w:rsidRPr="00D21AFB">
                  <w:rPr>
                    <w:sz w:val="22"/>
                    <w:szCs w:val="24"/>
                  </w:rPr>
                  <w:t>.</w:t>
                </w:r>
              </w:p>
            </w:tc>
            <w:tc>
              <w:tcPr>
                <w:tcW w:w="4665" w:type="dxa"/>
                <w:tcBorders>
                  <w:top w:val="single" w:sz="6" w:space="0" w:color="auto"/>
                  <w:left w:val="single" w:sz="8" w:space="0" w:color="auto"/>
                  <w:bottom w:val="single" w:sz="6" w:space="0" w:color="auto"/>
                  <w:right w:val="single" w:sz="8" w:space="0" w:color="auto"/>
                </w:tcBorders>
                <w:shd w:val="clear" w:color="auto" w:fill="FFFFFF" w:themeFill="background1"/>
              </w:tcPr>
              <w:p w14:paraId="6529D066" w14:textId="61F68852" w:rsidR="00670DB2" w:rsidRPr="00D21AFB" w:rsidRDefault="00670DB2" w:rsidP="00D21AFB">
                <w:pPr>
                  <w:pStyle w:val="ListParagraph"/>
                  <w:ind w:left="321" w:hanging="321"/>
                  <w:jc w:val="left"/>
                  <w:rPr>
                    <w:sz w:val="22"/>
                    <w:szCs w:val="24"/>
                  </w:rPr>
                </w:pPr>
                <w:r w:rsidRPr="00D21AFB">
                  <w:rPr>
                    <w:sz w:val="22"/>
                    <w:szCs w:val="24"/>
                  </w:rPr>
                  <w:t>Correction of contact details (which are not published to the register)</w:t>
                </w:r>
                <w:r w:rsidR="00173291" w:rsidRPr="00D21AFB">
                  <w:rPr>
                    <w:sz w:val="22"/>
                    <w:szCs w:val="24"/>
                  </w:rPr>
                  <w:t>.</w:t>
                </w:r>
              </w:p>
              <w:p w14:paraId="102CD464" w14:textId="030A356C" w:rsidR="00670DB2" w:rsidRPr="00D21AFB" w:rsidRDefault="00670DB2" w:rsidP="00D21AFB">
                <w:pPr>
                  <w:pStyle w:val="ListParagraph"/>
                  <w:ind w:left="321" w:hanging="321"/>
                  <w:jc w:val="left"/>
                  <w:rPr>
                    <w:sz w:val="22"/>
                    <w:szCs w:val="24"/>
                  </w:rPr>
                </w:pPr>
                <w:r w:rsidRPr="00D21AFB">
                  <w:rPr>
                    <w:sz w:val="22"/>
                    <w:szCs w:val="24"/>
                  </w:rPr>
                  <w:t xml:space="preserve">Correction of typographical </w:t>
                </w:r>
                <w:r w:rsidR="00F9658E" w:rsidRPr="00D21AFB">
                  <w:rPr>
                    <w:sz w:val="22"/>
                    <w:szCs w:val="24"/>
                  </w:rPr>
                  <w:t xml:space="preserve">errors </w:t>
                </w:r>
                <w:r w:rsidRPr="00D21AFB">
                  <w:rPr>
                    <w:sz w:val="22"/>
                    <w:szCs w:val="24"/>
                  </w:rPr>
                  <w:t>and spelling mistakes</w:t>
                </w:r>
                <w:r w:rsidR="00173291" w:rsidRPr="00D21AFB">
                  <w:rPr>
                    <w:sz w:val="22"/>
                    <w:szCs w:val="24"/>
                  </w:rPr>
                  <w:t>.</w:t>
                </w:r>
              </w:p>
              <w:p w14:paraId="48464573" w14:textId="703C3B91" w:rsidR="005F56D2" w:rsidRPr="00D21AFB" w:rsidRDefault="00670DB2" w:rsidP="00D21AFB">
                <w:pPr>
                  <w:pStyle w:val="ListParagraph"/>
                  <w:ind w:left="321" w:hanging="321"/>
                  <w:jc w:val="left"/>
                  <w:rPr>
                    <w:sz w:val="22"/>
                    <w:szCs w:val="24"/>
                  </w:rPr>
                </w:pPr>
                <w:r w:rsidRPr="00D21AFB">
                  <w:rPr>
                    <w:sz w:val="22"/>
                    <w:szCs w:val="24"/>
                  </w:rPr>
                  <w:t>Addition of extraneous details not required by the Act</w:t>
                </w:r>
                <w:r w:rsidR="00173291" w:rsidRPr="00D21AFB">
                  <w:rPr>
                    <w:sz w:val="22"/>
                    <w:szCs w:val="24"/>
                  </w:rPr>
                  <w:t>.</w:t>
                </w:r>
              </w:p>
            </w:tc>
          </w:tr>
        </w:tbl>
        <w:p w14:paraId="266D63BF" w14:textId="4D4B0829" w:rsidR="00BF0924" w:rsidRDefault="006C71CD" w:rsidP="00D21AFB">
          <w:pPr>
            <w:pStyle w:val="ListParagraph"/>
            <w:numPr>
              <w:ilvl w:val="0"/>
              <w:numId w:val="30"/>
            </w:numPr>
            <w:spacing w:before="240"/>
            <w:ind w:left="993" w:hanging="993"/>
          </w:pPr>
          <w:r>
            <w:t xml:space="preserve">The need to give a revised </w:t>
          </w:r>
          <w:r w:rsidR="006D4825">
            <w:t>report</w:t>
          </w:r>
          <w:r w:rsidR="00396BD1">
            <w:t xml:space="preserve"> may be </w:t>
          </w:r>
          <w:r w:rsidR="00BF0924">
            <w:t>initiated</w:t>
          </w:r>
          <w:r w:rsidR="00802081">
            <w:t xml:space="preserve"> from an internal review </w:t>
          </w:r>
          <w:r>
            <w:t xml:space="preserve">by a reporting </w:t>
          </w:r>
          <w:r w:rsidR="00D21AFB">
            <w:t>entity or</w:t>
          </w:r>
          <w:r w:rsidR="00802081">
            <w:t xml:space="preserve"> </w:t>
          </w:r>
          <w:r w:rsidR="00BF0924">
            <w:t>following compliance activity initiated by us</w:t>
          </w:r>
          <w:r w:rsidR="00782D69">
            <w:t xml:space="preserve">. </w:t>
          </w:r>
        </w:p>
        <w:p w14:paraId="491C6157" w14:textId="1CE6CB00" w:rsidR="003A47B5" w:rsidRDefault="006A6DE6" w:rsidP="001B2726">
          <w:pPr>
            <w:pStyle w:val="ListParagraph"/>
            <w:numPr>
              <w:ilvl w:val="0"/>
              <w:numId w:val="30"/>
            </w:numPr>
            <w:ind w:left="993" w:hanging="993"/>
          </w:pPr>
          <w:r>
            <w:t>A</w:t>
          </w:r>
          <w:r w:rsidR="00661483">
            <w:t xml:space="preserve"> </w:t>
          </w:r>
          <w:r w:rsidR="006C71CD">
            <w:t xml:space="preserve">revised </w:t>
          </w:r>
          <w:r w:rsidR="00661483">
            <w:t xml:space="preserve">report may </w:t>
          </w:r>
          <w:r w:rsidR="003A47B5">
            <w:t xml:space="preserve">be given for any </w:t>
          </w:r>
          <w:r>
            <w:t xml:space="preserve">reporting period </w:t>
          </w:r>
          <w:r w:rsidR="004051F1">
            <w:t xml:space="preserve">where a report has already been registered, including to correct </w:t>
          </w:r>
          <w:r w:rsidR="003D0883">
            <w:t xml:space="preserve">substantial </w:t>
          </w:r>
          <w:r w:rsidR="004051F1">
            <w:t>errors or omissions in a previous</w:t>
          </w:r>
          <w:r w:rsidR="00173291">
            <w:t>ly</w:t>
          </w:r>
          <w:r w:rsidR="004051F1">
            <w:t xml:space="preserve"> revised report.</w:t>
          </w:r>
          <w:r w:rsidR="006C71CD">
            <w:t xml:space="preserve"> </w:t>
          </w:r>
        </w:p>
        <w:p w14:paraId="633A990C" w14:textId="766EB112" w:rsidR="003A47B5" w:rsidRDefault="003D0883" w:rsidP="00CA06B6">
          <w:pPr>
            <w:pStyle w:val="Heading3"/>
            <w:rPr>
              <w:lang w:eastAsia="en-US"/>
            </w:rPr>
          </w:pPr>
          <w:bookmarkStart w:id="52" w:name="_Toc107914345"/>
          <w:r>
            <w:rPr>
              <w:lang w:eastAsia="en-US"/>
            </w:rPr>
            <w:t>A</w:t>
          </w:r>
          <w:r w:rsidR="00B96E99">
            <w:rPr>
              <w:lang w:eastAsia="en-US"/>
            </w:rPr>
            <w:t>ppl</w:t>
          </w:r>
          <w:r>
            <w:rPr>
              <w:lang w:eastAsia="en-US"/>
            </w:rPr>
            <w:t>ying to register a revised report</w:t>
          </w:r>
          <w:bookmarkEnd w:id="52"/>
        </w:p>
        <w:p w14:paraId="07EB26C2" w14:textId="1FF773C7" w:rsidR="003A47B5" w:rsidRDefault="003A47B5" w:rsidP="001B2726">
          <w:pPr>
            <w:pStyle w:val="ListParagraph"/>
            <w:numPr>
              <w:ilvl w:val="0"/>
              <w:numId w:val="30"/>
            </w:numPr>
            <w:ind w:left="993" w:hanging="993"/>
          </w:pPr>
          <w:r>
            <w:t>A</w:t>
          </w:r>
          <w:r w:rsidR="00FD2AA6">
            <w:t>n application to register a</w:t>
          </w:r>
          <w:r>
            <w:t xml:space="preserve"> revised report </w:t>
          </w:r>
          <w:r w:rsidR="009D3161">
            <w:t xml:space="preserve">can be made on the </w:t>
          </w:r>
          <w:hyperlink r:id="rId30" w:history="1">
            <w:r w:rsidR="009D3161" w:rsidRPr="00D21AFB">
              <w:rPr>
                <w:rStyle w:val="Hyperlink"/>
              </w:rPr>
              <w:t>Payment Times Reporting Portal</w:t>
            </w:r>
          </w:hyperlink>
          <w:r w:rsidR="00782D69">
            <w:t xml:space="preserve">. </w:t>
          </w:r>
          <w:r w:rsidR="009D3161">
            <w:t xml:space="preserve">The application </w:t>
          </w:r>
          <w:r>
            <w:t xml:space="preserve">must </w:t>
          </w:r>
          <w:r w:rsidR="00974403">
            <w:t>include</w:t>
          </w:r>
          <w:r w:rsidR="00B7405F">
            <w:rPr>
              <w:rStyle w:val="FootnoteReference"/>
            </w:rPr>
            <w:footnoteReference w:id="15"/>
          </w:r>
          <w:r>
            <w:t>:</w:t>
          </w:r>
        </w:p>
        <w:p w14:paraId="05D65201" w14:textId="4FDF489B" w:rsidR="007744D4" w:rsidRDefault="003D0883" w:rsidP="00D21AFB">
          <w:pPr>
            <w:pStyle w:val="ListParagraph"/>
            <w:numPr>
              <w:ilvl w:val="1"/>
              <w:numId w:val="75"/>
            </w:numPr>
          </w:pPr>
          <w:r>
            <w:t>t</w:t>
          </w:r>
          <w:r w:rsidR="007744D4">
            <w:t>he date of the revised report</w:t>
          </w:r>
        </w:p>
        <w:p w14:paraId="6F494674" w14:textId="19BCC28C" w:rsidR="002B5BFF" w:rsidRDefault="003D0883" w:rsidP="00D21AFB">
          <w:pPr>
            <w:pStyle w:val="ListParagraph"/>
            <w:numPr>
              <w:ilvl w:val="1"/>
              <w:numId w:val="75"/>
            </w:numPr>
          </w:pPr>
          <w:r>
            <w:t>a</w:t>
          </w:r>
          <w:r w:rsidR="003A47B5">
            <w:t>n updated report</w:t>
          </w:r>
          <w:r w:rsidR="00664B32">
            <w:t xml:space="preserve"> </w:t>
          </w:r>
          <w:r w:rsidR="002B5BFF">
            <w:t>with responsible member declaration</w:t>
          </w:r>
        </w:p>
        <w:p w14:paraId="0EE8ADB0" w14:textId="660DD49E" w:rsidR="00F50A3D" w:rsidRDefault="003D0883" w:rsidP="00D21AFB">
          <w:pPr>
            <w:pStyle w:val="ListParagraph"/>
            <w:numPr>
              <w:ilvl w:val="1"/>
              <w:numId w:val="75"/>
            </w:numPr>
          </w:pPr>
          <w:r>
            <w:t>a</w:t>
          </w:r>
          <w:r w:rsidR="0075263C">
            <w:t xml:space="preserve"> </w:t>
          </w:r>
          <w:r w:rsidR="00B8280F">
            <w:t xml:space="preserve">concise </w:t>
          </w:r>
          <w:r w:rsidR="0075263C">
            <w:t>description of the changes</w:t>
          </w:r>
          <w:r w:rsidR="00615C30">
            <w:t xml:space="preserve"> to the most recently registered version of the report</w:t>
          </w:r>
          <w:r w:rsidR="00782D69">
            <w:t xml:space="preserve">. </w:t>
          </w:r>
          <w:r w:rsidR="00F50A3D">
            <w:t xml:space="preserve">This should identify </w:t>
          </w:r>
          <w:r w:rsidR="00DE2676">
            <w:t>the fields change</w:t>
          </w:r>
          <w:r w:rsidR="00F50A3D">
            <w:t>d</w:t>
          </w:r>
          <w:r>
            <w:t>,</w:t>
          </w:r>
          <w:r w:rsidR="00DE2676">
            <w:t xml:space="preserve"> the </w:t>
          </w:r>
          <w:r w:rsidR="00007F72">
            <w:t>nature of the change</w:t>
          </w:r>
          <w:r w:rsidR="008D31EC">
            <w:t xml:space="preserve"> and whether it is a first, second or later revision of a report.</w:t>
          </w:r>
        </w:p>
        <w:p w14:paraId="3F020804" w14:textId="2398A20E" w:rsidR="009D3161" w:rsidRDefault="009D3161" w:rsidP="009D3161">
          <w:pPr>
            <w:pStyle w:val="Heading3"/>
            <w:rPr>
              <w:lang w:eastAsia="en-US"/>
            </w:rPr>
          </w:pPr>
          <w:bookmarkStart w:id="53" w:name="_Toc107914346"/>
          <w:r>
            <w:rPr>
              <w:lang w:eastAsia="en-US"/>
            </w:rPr>
            <w:t>Assessing your application</w:t>
          </w:r>
          <w:bookmarkEnd w:id="53"/>
        </w:p>
        <w:p w14:paraId="02B2F596" w14:textId="019B95D8" w:rsidR="003703F3" w:rsidRDefault="00E00E8B" w:rsidP="001B2726">
          <w:pPr>
            <w:pStyle w:val="Bullet"/>
            <w:numPr>
              <w:ilvl w:val="0"/>
              <w:numId w:val="30"/>
            </w:numPr>
            <w:ind w:left="993" w:hanging="993"/>
            <w:rPr>
              <w:lang w:eastAsia="en-US"/>
            </w:rPr>
          </w:pPr>
          <w:r>
            <w:rPr>
              <w:lang w:eastAsia="en-US"/>
            </w:rPr>
            <w:t xml:space="preserve">We will only register a revised report if it </w:t>
          </w:r>
          <w:r w:rsidR="00CC27F5">
            <w:rPr>
              <w:lang w:eastAsia="en-US"/>
            </w:rPr>
            <w:t xml:space="preserve">corrects substantial errors or omissions and </w:t>
          </w:r>
          <w:r>
            <w:rPr>
              <w:lang w:eastAsia="en-US"/>
            </w:rPr>
            <w:t xml:space="preserve">complies with the content requirements set out in </w:t>
          </w:r>
          <w:r w:rsidR="007744D4">
            <w:rPr>
              <w:lang w:eastAsia="en-US"/>
            </w:rPr>
            <w:t>section 14 of the Act.</w:t>
          </w:r>
          <w:r w:rsidR="00FD7F57">
            <w:rPr>
              <w:rStyle w:val="FootnoteReference"/>
              <w:lang w:eastAsia="en-US"/>
            </w:rPr>
            <w:footnoteReference w:id="16"/>
          </w:r>
          <w:r w:rsidR="007744D4">
            <w:rPr>
              <w:lang w:eastAsia="en-US"/>
            </w:rPr>
            <w:t xml:space="preserve"> </w:t>
          </w:r>
          <w:r w:rsidR="0064630A">
            <w:rPr>
              <w:lang w:eastAsia="en-US"/>
            </w:rPr>
            <w:t>This</w:t>
          </w:r>
          <w:r w:rsidR="003703F3">
            <w:rPr>
              <w:lang w:eastAsia="en-US"/>
            </w:rPr>
            <w:t xml:space="preserve"> sets out the content requirements for reports. For more information see </w:t>
          </w:r>
          <w:r w:rsidR="003703F3" w:rsidRPr="0054749D">
            <w:rPr>
              <w:lang w:eastAsia="en-US"/>
            </w:rPr>
            <w:t xml:space="preserve">Guidance </w:t>
          </w:r>
          <w:r w:rsidR="003D0883" w:rsidRPr="0054749D">
            <w:rPr>
              <w:lang w:eastAsia="en-US"/>
            </w:rPr>
            <w:t>n</w:t>
          </w:r>
          <w:r w:rsidR="003703F3" w:rsidRPr="0054749D">
            <w:rPr>
              <w:lang w:eastAsia="en-US"/>
            </w:rPr>
            <w:t>ote 2: Preparing a payment times report</w:t>
          </w:r>
          <w:r w:rsidR="003703F3">
            <w:rPr>
              <w:lang w:eastAsia="en-US"/>
            </w:rPr>
            <w:t>.</w:t>
          </w:r>
        </w:p>
        <w:p w14:paraId="184BDC00" w14:textId="7098D0BD" w:rsidR="00C87F4E" w:rsidRDefault="00AC2BB6" w:rsidP="001B2726">
          <w:pPr>
            <w:pStyle w:val="Bullet"/>
            <w:numPr>
              <w:ilvl w:val="0"/>
              <w:numId w:val="30"/>
            </w:numPr>
            <w:ind w:left="993" w:hanging="993"/>
            <w:rPr>
              <w:lang w:eastAsia="en-US"/>
            </w:rPr>
          </w:pPr>
          <w:r>
            <w:rPr>
              <w:lang w:eastAsia="en-US"/>
            </w:rPr>
            <w:t xml:space="preserve">Reports that are incomplete or incorrectly populated will not be </w:t>
          </w:r>
          <w:r w:rsidR="00815F0B">
            <w:rPr>
              <w:lang w:eastAsia="en-US"/>
            </w:rPr>
            <w:t>registered</w:t>
          </w:r>
          <w:r w:rsidR="00782D69">
            <w:rPr>
              <w:lang w:eastAsia="en-US"/>
            </w:rPr>
            <w:t xml:space="preserve">. </w:t>
          </w:r>
          <w:r w:rsidR="00C87F4E">
            <w:rPr>
              <w:lang w:eastAsia="en-US"/>
            </w:rPr>
            <w:t xml:space="preserve">If </w:t>
          </w:r>
          <w:r w:rsidR="00F2679D">
            <w:rPr>
              <w:lang w:eastAsia="en-US"/>
            </w:rPr>
            <w:t xml:space="preserve">we are concerned </w:t>
          </w:r>
          <w:r w:rsidR="00C87F4E">
            <w:rPr>
              <w:lang w:eastAsia="en-US"/>
            </w:rPr>
            <w:t xml:space="preserve">a revised report </w:t>
          </w:r>
          <w:r w:rsidR="00F2679D">
            <w:rPr>
              <w:lang w:eastAsia="en-US"/>
            </w:rPr>
            <w:t xml:space="preserve">does not comply </w:t>
          </w:r>
          <w:r w:rsidR="00C87F4E">
            <w:rPr>
              <w:lang w:eastAsia="en-US"/>
            </w:rPr>
            <w:t xml:space="preserve">with section 14 of the </w:t>
          </w:r>
          <w:r w:rsidR="00983C4B">
            <w:rPr>
              <w:lang w:eastAsia="en-US"/>
            </w:rPr>
            <w:t>Act,</w:t>
          </w:r>
          <w:r w:rsidR="00C87F4E">
            <w:rPr>
              <w:lang w:eastAsia="en-US"/>
            </w:rPr>
            <w:t xml:space="preserve"> we may seek additional information or refuse to register the revised report.</w:t>
          </w:r>
        </w:p>
        <w:p w14:paraId="5FDF458D" w14:textId="5B11FFE2" w:rsidR="008D31EC" w:rsidRPr="00DA6EA8" w:rsidRDefault="003C7FE8" w:rsidP="001B2726">
          <w:pPr>
            <w:pStyle w:val="Bullet"/>
            <w:numPr>
              <w:ilvl w:val="0"/>
              <w:numId w:val="30"/>
            </w:numPr>
            <w:ind w:left="993" w:hanging="993"/>
          </w:pPr>
          <w:r w:rsidRPr="00DA6EA8">
            <w:lastRenderedPageBreak/>
            <w:t>It is intended that revised reports be transparent on the</w:t>
          </w:r>
          <w:r w:rsidR="00A12D56" w:rsidRPr="00DA6EA8">
            <w:t xml:space="preserve"> </w:t>
          </w:r>
          <w:hyperlink r:id="rId31" w:history="1">
            <w:r w:rsidR="00BF4F90" w:rsidRPr="00DA6EA8">
              <w:rPr>
                <w:rStyle w:val="Hyperlink"/>
                <w:rFonts w:ascii="Calibri" w:hAnsi="Calibri"/>
              </w:rPr>
              <w:t>P</w:t>
            </w:r>
            <w:r w:rsidR="00A12D56" w:rsidRPr="00DA6EA8">
              <w:rPr>
                <w:rStyle w:val="Hyperlink"/>
                <w:rFonts w:ascii="Calibri" w:hAnsi="Calibri"/>
              </w:rPr>
              <w:t xml:space="preserve">ayment </w:t>
            </w:r>
            <w:r w:rsidR="00BF4F90" w:rsidRPr="00DA6EA8">
              <w:rPr>
                <w:rStyle w:val="Hyperlink"/>
                <w:rFonts w:ascii="Calibri" w:hAnsi="Calibri"/>
              </w:rPr>
              <w:t>T</w:t>
            </w:r>
            <w:r w:rsidR="00A12D56" w:rsidRPr="00DA6EA8">
              <w:rPr>
                <w:rStyle w:val="Hyperlink"/>
                <w:rFonts w:ascii="Calibri" w:hAnsi="Calibri"/>
              </w:rPr>
              <w:t xml:space="preserve">imes </w:t>
            </w:r>
            <w:r w:rsidR="00BF4F90" w:rsidRPr="00DA6EA8">
              <w:rPr>
                <w:rStyle w:val="Hyperlink"/>
                <w:rFonts w:ascii="Calibri" w:hAnsi="Calibri"/>
              </w:rPr>
              <w:t>R</w:t>
            </w:r>
            <w:r w:rsidR="00A12D56" w:rsidRPr="00DA6EA8">
              <w:rPr>
                <w:rStyle w:val="Hyperlink"/>
                <w:rFonts w:ascii="Calibri" w:hAnsi="Calibri"/>
              </w:rPr>
              <w:t>eports</w:t>
            </w:r>
            <w:r w:rsidRPr="00DA6EA8">
              <w:rPr>
                <w:rStyle w:val="Hyperlink"/>
                <w:rFonts w:ascii="Calibri" w:hAnsi="Calibri"/>
              </w:rPr>
              <w:t xml:space="preserve"> </w:t>
            </w:r>
            <w:r w:rsidR="00BF4F90" w:rsidRPr="00DA6EA8">
              <w:rPr>
                <w:rStyle w:val="Hyperlink"/>
                <w:rFonts w:ascii="Calibri" w:hAnsi="Calibri"/>
              </w:rPr>
              <w:t>R</w:t>
            </w:r>
            <w:r w:rsidRPr="00DA6EA8">
              <w:rPr>
                <w:rStyle w:val="Hyperlink"/>
                <w:rFonts w:ascii="Calibri" w:hAnsi="Calibri"/>
              </w:rPr>
              <w:t>egister</w:t>
            </w:r>
          </w:hyperlink>
          <w:r w:rsidRPr="00DA6EA8">
            <w:t>, with users able to see any changes</w:t>
          </w:r>
          <w:r w:rsidR="00A12D56" w:rsidRPr="00DA6EA8">
            <w:t>.</w:t>
          </w:r>
          <w:r w:rsidR="00A12D56" w:rsidRPr="00DA6EA8">
            <w:rPr>
              <w:rStyle w:val="FootnoteReference"/>
            </w:rPr>
            <w:footnoteReference w:id="17"/>
          </w:r>
          <w:r w:rsidR="00FB1F3E" w:rsidRPr="00DA6EA8">
            <w:t xml:space="preserve"> </w:t>
          </w:r>
          <w:r w:rsidR="006C0BB5" w:rsidRPr="00DA6EA8">
            <w:t xml:space="preserve">Revised reports </w:t>
          </w:r>
          <w:r w:rsidR="00D539FB" w:rsidRPr="00DA6EA8">
            <w:t>may identif</w:t>
          </w:r>
          <w:r w:rsidR="006C0BB5" w:rsidRPr="00DA6EA8">
            <w:t>iable</w:t>
          </w:r>
          <w:r w:rsidR="00D539FB" w:rsidRPr="00DA6EA8">
            <w:t xml:space="preserve"> as revised reports on the register</w:t>
          </w:r>
          <w:r w:rsidR="00511AFF" w:rsidRPr="00DA6EA8">
            <w:t xml:space="preserve"> and include</w:t>
          </w:r>
          <w:r w:rsidR="00FE0FDE">
            <w:t xml:space="preserve"> the</w:t>
          </w:r>
          <w:r w:rsidR="00511AFF" w:rsidRPr="00DA6EA8">
            <w:t xml:space="preserve"> details of the changes from </w:t>
          </w:r>
          <w:r w:rsidR="008D31EC" w:rsidRPr="00DA6EA8">
            <w:t>previously registered reports</w:t>
          </w:r>
          <w:r w:rsidR="00FE0FDE">
            <w:t xml:space="preserve"> provided in the application</w:t>
          </w:r>
          <w:r w:rsidR="008D31EC" w:rsidRPr="00DA6EA8">
            <w:t>.</w:t>
          </w:r>
        </w:p>
        <w:p w14:paraId="4A578034" w14:textId="196B6283" w:rsidR="003905A7" w:rsidRDefault="003905A7" w:rsidP="003905A7">
          <w:pPr>
            <w:pStyle w:val="Heading2"/>
            <w:rPr>
              <w:lang w:eastAsia="en-US"/>
            </w:rPr>
          </w:pPr>
          <w:bookmarkStart w:id="54" w:name="_Toc107914347"/>
          <w:r>
            <w:rPr>
              <w:lang w:eastAsia="en-US"/>
            </w:rPr>
            <w:t xml:space="preserve">Redaction of </w:t>
          </w:r>
          <w:r w:rsidR="00941DEE">
            <w:rPr>
              <w:lang w:eastAsia="en-US"/>
            </w:rPr>
            <w:t>commercial-in-confidence information</w:t>
          </w:r>
          <w:bookmarkEnd w:id="54"/>
        </w:p>
        <w:tbl>
          <w:tblPr>
            <w:tblStyle w:val="TableGrid"/>
            <w:tblW w:w="0" w:type="auto"/>
            <w:tblCellMar>
              <w:top w:w="113" w:type="dxa"/>
              <w:bottom w:w="113" w:type="dxa"/>
            </w:tblCellMar>
            <w:tblLook w:val="04A0" w:firstRow="1" w:lastRow="0" w:firstColumn="1" w:lastColumn="0" w:noHBand="0" w:noVBand="1"/>
          </w:tblPr>
          <w:tblGrid>
            <w:gridCol w:w="9050"/>
          </w:tblGrid>
          <w:tr w:rsidR="003905A7" w14:paraId="7834429F" w14:textId="77777777" w:rsidTr="0054749D">
            <w:tc>
              <w:tcPr>
                <w:tcW w:w="9070" w:type="dxa"/>
                <w:tcBorders>
                  <w:top w:val="single" w:sz="6" w:space="0" w:color="auto"/>
                  <w:left w:val="single" w:sz="8" w:space="0" w:color="auto"/>
                  <w:bottom w:val="single" w:sz="6" w:space="0" w:color="auto"/>
                  <w:right w:val="single" w:sz="8" w:space="0" w:color="auto"/>
                </w:tcBorders>
                <w:shd w:val="clear" w:color="auto" w:fill="2C384A"/>
              </w:tcPr>
              <w:p w14:paraId="19DE1765" w14:textId="6BAB98BE" w:rsidR="003905A7" w:rsidRDefault="003905A7" w:rsidP="0054749D">
                <w:pPr>
                  <w:pStyle w:val="Heading3"/>
                  <w:spacing w:before="0" w:after="0"/>
                  <w:outlineLvl w:val="2"/>
                </w:pPr>
                <w:bookmarkStart w:id="55" w:name="_Toc107914348"/>
                <w:r w:rsidRPr="0054749D">
                  <w:rPr>
                    <w:color w:val="FFFFFF" w:themeColor="background1"/>
                  </w:rPr>
                  <w:t xml:space="preserve">Key </w:t>
                </w:r>
                <w:r w:rsidR="00D17D2D">
                  <w:rPr>
                    <w:color w:val="FFFFFF" w:themeColor="background1"/>
                  </w:rPr>
                  <w:t>p</w:t>
                </w:r>
                <w:r w:rsidRPr="0054749D">
                  <w:rPr>
                    <w:color w:val="FFFFFF" w:themeColor="background1"/>
                  </w:rPr>
                  <w:t>oints</w:t>
                </w:r>
                <w:bookmarkEnd w:id="55"/>
                <w:r w:rsidRPr="0054749D">
                  <w:rPr>
                    <w:color w:val="FFFFFF" w:themeColor="background1"/>
                  </w:rPr>
                  <w:tab/>
                </w:r>
              </w:p>
            </w:tc>
          </w:tr>
          <w:tr w:rsidR="003905A7" w14:paraId="0084A88F" w14:textId="77777777" w:rsidTr="0054749D">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F1C4384" w14:textId="7BBBAAB2" w:rsidR="00435D65" w:rsidRPr="0054749D" w:rsidRDefault="00435D65" w:rsidP="0054749D">
                <w:pPr>
                  <w:pStyle w:val="ListParagraph"/>
                  <w:ind w:left="306" w:hanging="284"/>
                  <w:jc w:val="left"/>
                  <w:rPr>
                    <w:sz w:val="22"/>
                    <w:szCs w:val="24"/>
                  </w:rPr>
                </w:pPr>
                <w:r w:rsidRPr="0054749D">
                  <w:rPr>
                    <w:sz w:val="22"/>
                    <w:szCs w:val="24"/>
                  </w:rPr>
                  <w:t xml:space="preserve">The Regulator </w:t>
                </w:r>
                <w:r w:rsidR="0064630A" w:rsidRPr="0054749D">
                  <w:rPr>
                    <w:sz w:val="22"/>
                    <w:szCs w:val="24"/>
                  </w:rPr>
                  <w:t>may</w:t>
                </w:r>
                <w:r w:rsidRPr="0054749D">
                  <w:rPr>
                    <w:sz w:val="22"/>
                    <w:szCs w:val="24"/>
                  </w:rPr>
                  <w:t xml:space="preserve"> decide not to publish information under section 20(1) of the Act if they consider making the information publicly available would be contrary to the public interest</w:t>
                </w:r>
                <w:r w:rsidR="00AE2992" w:rsidRPr="0054749D">
                  <w:rPr>
                    <w:sz w:val="22"/>
                    <w:szCs w:val="24"/>
                  </w:rPr>
                  <w:t>.</w:t>
                </w:r>
                <w:r w:rsidRPr="0054749D">
                  <w:rPr>
                    <w:sz w:val="22"/>
                    <w:szCs w:val="24"/>
                  </w:rPr>
                  <w:t xml:space="preserve"> </w:t>
                </w:r>
              </w:p>
              <w:p w14:paraId="077ABE28" w14:textId="3C463E0C" w:rsidR="00AE2992" w:rsidRPr="0054749D" w:rsidRDefault="00AE2992" w:rsidP="0054749D">
                <w:pPr>
                  <w:pStyle w:val="ListParagraph"/>
                  <w:ind w:left="306" w:hanging="284"/>
                  <w:jc w:val="left"/>
                  <w:rPr>
                    <w:sz w:val="22"/>
                    <w:szCs w:val="24"/>
                  </w:rPr>
                </w:pPr>
                <w:r w:rsidRPr="0054749D">
                  <w:rPr>
                    <w:sz w:val="22"/>
                    <w:szCs w:val="24"/>
                  </w:rPr>
                  <w:t>An entity may request redaction of information in a report on the grounds it is commercial-in-confidence</w:t>
                </w:r>
                <w:r w:rsidR="00FE464C" w:rsidRPr="0054749D">
                  <w:rPr>
                    <w:sz w:val="22"/>
                    <w:szCs w:val="24"/>
                  </w:rPr>
                  <w:t>.</w:t>
                </w:r>
                <w:r w:rsidRPr="0054749D" w:rsidDel="002073F0">
                  <w:rPr>
                    <w:sz w:val="22"/>
                    <w:szCs w:val="24"/>
                  </w:rPr>
                  <w:t xml:space="preserve"> </w:t>
                </w:r>
              </w:p>
              <w:p w14:paraId="2347473D" w14:textId="6405B776" w:rsidR="003905A7" w:rsidRPr="002073F0" w:rsidRDefault="00AE2992" w:rsidP="0054749D">
                <w:pPr>
                  <w:pStyle w:val="ListParagraph"/>
                  <w:spacing w:after="0"/>
                  <w:ind w:left="306" w:hanging="284"/>
                  <w:jc w:val="left"/>
                </w:pPr>
                <w:r w:rsidRPr="0054749D">
                  <w:rPr>
                    <w:sz w:val="22"/>
                    <w:szCs w:val="24"/>
                  </w:rPr>
                  <w:t xml:space="preserve">When the Regulator makes a decision not to publish certain information, </w:t>
                </w:r>
                <w:r w:rsidR="0064630A" w:rsidRPr="0054749D">
                  <w:rPr>
                    <w:sz w:val="22"/>
                    <w:szCs w:val="24"/>
                  </w:rPr>
                  <w:t xml:space="preserve">the </w:t>
                </w:r>
                <w:r w:rsidRPr="0054749D">
                  <w:rPr>
                    <w:sz w:val="22"/>
                    <w:szCs w:val="24"/>
                  </w:rPr>
                  <w:t>affected entity will be notified of the redaction and encouraged to contact the Regulator if they have concerns with information being redacted</w:t>
                </w:r>
                <w:r w:rsidR="00AF46A9" w:rsidRPr="0054749D">
                  <w:rPr>
                    <w:sz w:val="22"/>
                    <w:szCs w:val="24"/>
                  </w:rPr>
                  <w:t>.</w:t>
                </w:r>
                <w:r w:rsidRPr="0054749D" w:rsidDel="002073F0">
                  <w:rPr>
                    <w:sz w:val="22"/>
                    <w:szCs w:val="24"/>
                  </w:rPr>
                  <w:t xml:space="preserve"> </w:t>
                </w:r>
              </w:p>
            </w:tc>
          </w:tr>
        </w:tbl>
        <w:p w14:paraId="29E4769E" w14:textId="34173F3A" w:rsidR="000B6CAF" w:rsidRDefault="000662C6" w:rsidP="000B6CAF">
          <w:pPr>
            <w:pStyle w:val="Bullet"/>
            <w:numPr>
              <w:ilvl w:val="0"/>
              <w:numId w:val="30"/>
            </w:numPr>
            <w:spacing w:before="240"/>
            <w:ind w:left="993" w:hanging="993"/>
            <w:rPr>
              <w:lang w:eastAsia="en-US"/>
            </w:rPr>
          </w:pPr>
          <w:r w:rsidRPr="00A27DAE">
            <w:rPr>
              <w:lang w:eastAsia="en-US"/>
            </w:rPr>
            <w:t xml:space="preserve">The Regulator </w:t>
          </w:r>
          <w:r>
            <w:rPr>
              <w:lang w:eastAsia="en-US"/>
            </w:rPr>
            <w:t xml:space="preserve">is required to publish </w:t>
          </w:r>
          <w:r w:rsidRPr="00A27DAE">
            <w:rPr>
              <w:lang w:eastAsia="en-US"/>
            </w:rPr>
            <w:t>payment times report</w:t>
          </w:r>
          <w:r>
            <w:rPr>
              <w:lang w:eastAsia="en-US"/>
            </w:rPr>
            <w:t>s</w:t>
          </w:r>
          <w:r w:rsidRPr="00A27DAE">
            <w:rPr>
              <w:lang w:eastAsia="en-US"/>
            </w:rPr>
            <w:t xml:space="preserve"> given to the</w:t>
          </w:r>
          <w:r>
            <w:rPr>
              <w:lang w:eastAsia="en-US"/>
            </w:rPr>
            <w:t>m</w:t>
          </w:r>
          <w:r w:rsidRPr="00A27DAE">
            <w:rPr>
              <w:lang w:eastAsia="en-US"/>
            </w:rPr>
            <w:t xml:space="preserve"> in accordance with</w:t>
          </w:r>
          <w:r>
            <w:rPr>
              <w:lang w:eastAsia="en-US"/>
            </w:rPr>
            <w:t xml:space="preserve"> the Act. However, w</w:t>
          </w:r>
          <w:r w:rsidRPr="00A55414">
            <w:rPr>
              <w:lang w:eastAsia="en-US"/>
            </w:rPr>
            <w:t xml:space="preserve">e </w:t>
          </w:r>
          <w:r>
            <w:rPr>
              <w:lang w:eastAsia="en-US"/>
            </w:rPr>
            <w:t>review</w:t>
          </w:r>
          <w:r w:rsidRPr="00A55414">
            <w:rPr>
              <w:lang w:eastAsia="en-US"/>
            </w:rPr>
            <w:t xml:space="preserve"> </w:t>
          </w:r>
          <w:r>
            <w:rPr>
              <w:lang w:eastAsia="en-US"/>
            </w:rPr>
            <w:t xml:space="preserve">published </w:t>
          </w:r>
          <w:r w:rsidRPr="00A55414">
            <w:rPr>
              <w:lang w:eastAsia="en-US"/>
            </w:rPr>
            <w:t xml:space="preserve">reports for information that may be contrary to the public interest to publish on the </w:t>
          </w:r>
          <w:hyperlink r:id="rId32" w:history="1">
            <w:r w:rsidR="000B6CAF" w:rsidRPr="000B6CAF">
              <w:rPr>
                <w:rStyle w:val="Hyperlink"/>
                <w:rFonts w:ascii="Calibri" w:hAnsi="Calibri"/>
                <w:lang w:eastAsia="en-US"/>
              </w:rPr>
              <w:t>P</w:t>
            </w:r>
            <w:r w:rsidRPr="000B6CAF">
              <w:rPr>
                <w:rStyle w:val="Hyperlink"/>
                <w:rFonts w:ascii="Calibri" w:hAnsi="Calibri"/>
                <w:lang w:eastAsia="en-US"/>
              </w:rPr>
              <w:t xml:space="preserve">ayment </w:t>
            </w:r>
            <w:r w:rsidR="000B6CAF" w:rsidRPr="000B6CAF">
              <w:rPr>
                <w:rStyle w:val="Hyperlink"/>
                <w:rFonts w:ascii="Calibri" w:hAnsi="Calibri"/>
                <w:lang w:eastAsia="en-US"/>
              </w:rPr>
              <w:t>T</w:t>
            </w:r>
            <w:r w:rsidRPr="000B6CAF">
              <w:rPr>
                <w:rStyle w:val="Hyperlink"/>
                <w:rFonts w:ascii="Calibri" w:hAnsi="Calibri"/>
                <w:lang w:eastAsia="en-US"/>
              </w:rPr>
              <w:t xml:space="preserve">imes </w:t>
            </w:r>
            <w:r w:rsidR="000B6CAF" w:rsidRPr="000B6CAF">
              <w:rPr>
                <w:rStyle w:val="Hyperlink"/>
                <w:rFonts w:ascii="Calibri" w:hAnsi="Calibri"/>
                <w:lang w:eastAsia="en-US"/>
              </w:rPr>
              <w:t>R</w:t>
            </w:r>
            <w:r w:rsidRPr="000B6CAF">
              <w:rPr>
                <w:rStyle w:val="Hyperlink"/>
                <w:rFonts w:ascii="Calibri" w:hAnsi="Calibri"/>
                <w:lang w:eastAsia="en-US"/>
              </w:rPr>
              <w:t xml:space="preserve">eports </w:t>
            </w:r>
            <w:r w:rsidR="000B6CAF" w:rsidRPr="000B6CAF">
              <w:rPr>
                <w:rStyle w:val="Hyperlink"/>
                <w:rFonts w:ascii="Calibri" w:hAnsi="Calibri"/>
                <w:lang w:eastAsia="en-US"/>
              </w:rPr>
              <w:t>R</w:t>
            </w:r>
            <w:r w:rsidRPr="000B6CAF">
              <w:rPr>
                <w:rStyle w:val="Hyperlink"/>
                <w:rFonts w:ascii="Calibri" w:hAnsi="Calibri"/>
                <w:lang w:eastAsia="en-US"/>
              </w:rPr>
              <w:t>egister</w:t>
            </w:r>
          </w:hyperlink>
          <w:r>
            <w:rPr>
              <w:lang w:eastAsia="en-US"/>
            </w:rPr>
            <w:t xml:space="preserve">. If we identify information that is contrary to the public interest to publish on the register, such as defamatory or </w:t>
          </w:r>
          <w:r w:rsidR="00CC27F5">
            <w:rPr>
              <w:lang w:eastAsia="en-US"/>
            </w:rPr>
            <w:t xml:space="preserve">offensive </w:t>
          </w:r>
          <w:r>
            <w:rPr>
              <w:lang w:eastAsia="en-US"/>
            </w:rPr>
            <w:t xml:space="preserve">information, we have the power to redact this information from publication.  </w:t>
          </w:r>
        </w:p>
        <w:p w14:paraId="07DD72E1" w14:textId="57A9DC12" w:rsidR="000662C6" w:rsidRDefault="000662C6" w:rsidP="000662C6">
          <w:pPr>
            <w:pStyle w:val="Bullet"/>
            <w:numPr>
              <w:ilvl w:val="0"/>
              <w:numId w:val="30"/>
            </w:numPr>
            <w:ind w:left="993" w:hanging="993"/>
            <w:rPr>
              <w:lang w:eastAsia="en-US"/>
            </w:rPr>
          </w:pPr>
          <w:r>
            <w:rPr>
              <w:lang w:eastAsia="en-US"/>
            </w:rPr>
            <w:t>In considering whether it is contrary to the public interest to include information in a report on the register we are required to consider, among other things</w:t>
          </w:r>
          <w:r w:rsidR="00D86733">
            <w:rPr>
              <w:lang w:eastAsia="en-US"/>
            </w:rPr>
            <w:t>,</w:t>
          </w:r>
          <w:r>
            <w:rPr>
              <w:lang w:eastAsia="en-US"/>
            </w:rPr>
            <w:t xml:space="preserve"> whether the information is </w:t>
          </w:r>
          <w:r w:rsidR="00CC27F5">
            <w:rPr>
              <w:lang w:eastAsia="en-US"/>
            </w:rPr>
            <w:t xml:space="preserve">irrelevant, </w:t>
          </w:r>
          <w:r>
            <w:rPr>
              <w:lang w:eastAsia="en-US"/>
            </w:rPr>
            <w:t xml:space="preserve">personal information or commercial-in-confidence. For more information on our screening see </w:t>
          </w:r>
          <w:hyperlink r:id="rId33" w:history="1">
            <w:r w:rsidRPr="000B6CAF">
              <w:rPr>
                <w:rStyle w:val="Hyperlink"/>
                <w:rFonts w:ascii="Calibri" w:hAnsi="Calibri"/>
                <w:lang w:eastAsia="en-US"/>
              </w:rPr>
              <w:t>Information Sheet 1: Our approach to regulation</w:t>
            </w:r>
          </w:hyperlink>
          <w:r>
            <w:rPr>
              <w:lang w:eastAsia="en-US"/>
            </w:rPr>
            <w:t>.</w:t>
          </w:r>
        </w:p>
        <w:p w14:paraId="0495EFEC" w14:textId="7AE16A4F" w:rsidR="004C0283" w:rsidRDefault="00360A1F" w:rsidP="001B2726">
          <w:pPr>
            <w:pStyle w:val="Bullet"/>
            <w:numPr>
              <w:ilvl w:val="0"/>
              <w:numId w:val="30"/>
            </w:numPr>
            <w:ind w:left="993" w:hanging="993"/>
            <w:rPr>
              <w:lang w:eastAsia="en-US"/>
            </w:rPr>
          </w:pPr>
          <w:r>
            <w:rPr>
              <w:lang w:eastAsia="en-US"/>
            </w:rPr>
            <w:t xml:space="preserve">We may </w:t>
          </w:r>
          <w:r w:rsidR="003E1A51">
            <w:rPr>
              <w:lang w:eastAsia="en-US"/>
            </w:rPr>
            <w:t xml:space="preserve">use </w:t>
          </w:r>
          <w:r>
            <w:rPr>
              <w:lang w:eastAsia="en-US"/>
            </w:rPr>
            <w:t xml:space="preserve">redaction powers at the request of a reporting entity </w:t>
          </w:r>
          <w:r w:rsidR="00BD301A">
            <w:rPr>
              <w:lang w:eastAsia="en-US"/>
            </w:rPr>
            <w:t xml:space="preserve">where it </w:t>
          </w:r>
          <w:r w:rsidR="003E1A51">
            <w:rPr>
              <w:lang w:eastAsia="en-US"/>
            </w:rPr>
            <w:t xml:space="preserve">is </w:t>
          </w:r>
          <w:r w:rsidR="00BD301A">
            <w:rPr>
              <w:lang w:eastAsia="en-US"/>
            </w:rPr>
            <w:t>demonstrate</w:t>
          </w:r>
          <w:r w:rsidR="003E1A51">
            <w:rPr>
              <w:lang w:eastAsia="en-US"/>
            </w:rPr>
            <w:t>d</w:t>
          </w:r>
          <w:r w:rsidR="00BD301A">
            <w:rPr>
              <w:lang w:eastAsia="en-US"/>
            </w:rPr>
            <w:t xml:space="preserve"> </w:t>
          </w:r>
          <w:r w:rsidR="000474B6">
            <w:rPr>
              <w:lang w:eastAsia="en-US"/>
            </w:rPr>
            <w:t xml:space="preserve">the report </w:t>
          </w:r>
          <w:r w:rsidR="003E1A51">
            <w:rPr>
              <w:lang w:eastAsia="en-US"/>
            </w:rPr>
            <w:t xml:space="preserve">contains </w:t>
          </w:r>
          <w:r w:rsidR="000474B6">
            <w:rPr>
              <w:lang w:eastAsia="en-US"/>
            </w:rPr>
            <w:t>information that is commercial-in-confidence</w:t>
          </w:r>
          <w:r w:rsidR="00782D69">
            <w:rPr>
              <w:lang w:eastAsia="en-US"/>
            </w:rPr>
            <w:t xml:space="preserve">. </w:t>
          </w:r>
        </w:p>
        <w:p w14:paraId="6F8D6B27" w14:textId="51516765" w:rsidR="00BD301A" w:rsidRDefault="00CE2D76" w:rsidP="001B2726">
          <w:pPr>
            <w:pStyle w:val="Bullet"/>
            <w:numPr>
              <w:ilvl w:val="0"/>
              <w:numId w:val="30"/>
            </w:numPr>
            <w:ind w:left="993" w:hanging="993"/>
            <w:rPr>
              <w:lang w:eastAsia="en-US"/>
            </w:rPr>
          </w:pPr>
          <w:r>
            <w:rPr>
              <w:lang w:eastAsia="en-US"/>
            </w:rPr>
            <w:t>I</w:t>
          </w:r>
          <w:r w:rsidR="003E1A51">
            <w:rPr>
              <w:lang w:eastAsia="en-US"/>
            </w:rPr>
            <w:t>nformation is commercial-in</w:t>
          </w:r>
          <w:r w:rsidR="00017F5A">
            <w:rPr>
              <w:lang w:eastAsia="en-US"/>
            </w:rPr>
            <w:t xml:space="preserve">-confidence if release of the information would cause </w:t>
          </w:r>
          <w:r w:rsidR="004C0283">
            <w:rPr>
              <w:lang w:eastAsia="en-US"/>
            </w:rPr>
            <w:t>competitive</w:t>
          </w:r>
          <w:r w:rsidR="00017F5A">
            <w:rPr>
              <w:lang w:eastAsia="en-US"/>
            </w:rPr>
            <w:t xml:space="preserve"> </w:t>
          </w:r>
          <w:r w:rsidR="004C0283">
            <w:rPr>
              <w:lang w:eastAsia="en-US"/>
            </w:rPr>
            <w:t>d</w:t>
          </w:r>
          <w:r w:rsidR="00017F5A">
            <w:rPr>
              <w:lang w:eastAsia="en-US"/>
            </w:rPr>
            <w:t>etriment</w:t>
          </w:r>
          <w:r w:rsidR="004C0283">
            <w:rPr>
              <w:lang w:eastAsia="en-US"/>
            </w:rPr>
            <w:t xml:space="preserve"> and the information is not readily discoverable, in the public domain or required to be disclosed under another Australian law.</w:t>
          </w:r>
          <w:r w:rsidR="0024486C">
            <w:rPr>
              <w:rStyle w:val="FootnoteReference"/>
              <w:lang w:eastAsia="en-US"/>
            </w:rPr>
            <w:footnoteReference w:id="18"/>
          </w:r>
        </w:p>
        <w:p w14:paraId="69A1A543" w14:textId="20EC39BC" w:rsidR="00381B08" w:rsidRDefault="0064630A" w:rsidP="001B2726">
          <w:pPr>
            <w:pStyle w:val="Bullet"/>
            <w:numPr>
              <w:ilvl w:val="0"/>
              <w:numId w:val="30"/>
            </w:numPr>
            <w:ind w:left="993" w:hanging="993"/>
            <w:rPr>
              <w:lang w:eastAsia="en-US"/>
            </w:rPr>
          </w:pPr>
          <w:r>
            <w:rPr>
              <w:lang w:eastAsia="en-US"/>
            </w:rPr>
            <w:t>We are</w:t>
          </w:r>
          <w:r w:rsidR="005726B1">
            <w:rPr>
              <w:lang w:eastAsia="en-US"/>
            </w:rPr>
            <w:t xml:space="preserve"> unlikely </w:t>
          </w:r>
          <w:r>
            <w:rPr>
              <w:lang w:eastAsia="en-US"/>
            </w:rPr>
            <w:t xml:space="preserve">to </w:t>
          </w:r>
          <w:r w:rsidR="00DA611D">
            <w:rPr>
              <w:lang w:eastAsia="en-US"/>
            </w:rPr>
            <w:t xml:space="preserve">have sufficient information about a </w:t>
          </w:r>
          <w:r w:rsidR="00D86733">
            <w:rPr>
              <w:lang w:eastAsia="en-US"/>
            </w:rPr>
            <w:t xml:space="preserve">reporting entity </w:t>
          </w:r>
          <w:r w:rsidR="00DD750A">
            <w:rPr>
              <w:lang w:eastAsia="en-US"/>
            </w:rPr>
            <w:t xml:space="preserve">and its </w:t>
          </w:r>
          <w:r w:rsidR="002D075C">
            <w:rPr>
              <w:lang w:eastAsia="en-US"/>
            </w:rPr>
            <w:t xml:space="preserve">supply chain practices and arrangements to assess whether </w:t>
          </w:r>
          <w:r w:rsidR="005726B1">
            <w:rPr>
              <w:lang w:eastAsia="en-US"/>
            </w:rPr>
            <w:t>a report contains information that is commercial-in-confidence</w:t>
          </w:r>
          <w:r w:rsidR="00782D69">
            <w:rPr>
              <w:lang w:eastAsia="en-US"/>
            </w:rPr>
            <w:t xml:space="preserve">. </w:t>
          </w:r>
          <w:r w:rsidR="0092359D">
            <w:rPr>
              <w:lang w:eastAsia="en-US"/>
            </w:rPr>
            <w:t>Because of this</w:t>
          </w:r>
          <w:r>
            <w:rPr>
              <w:lang w:eastAsia="en-US"/>
            </w:rPr>
            <w:t>,</w:t>
          </w:r>
          <w:r w:rsidR="0092359D">
            <w:rPr>
              <w:lang w:eastAsia="en-US"/>
            </w:rPr>
            <w:t xml:space="preserve"> we </w:t>
          </w:r>
          <w:r w:rsidR="00CE2D76">
            <w:rPr>
              <w:lang w:eastAsia="en-US"/>
            </w:rPr>
            <w:t xml:space="preserve">will </w:t>
          </w:r>
          <w:r w:rsidR="00381B08">
            <w:rPr>
              <w:lang w:eastAsia="en-US"/>
            </w:rPr>
            <w:t xml:space="preserve">generally </w:t>
          </w:r>
          <w:r w:rsidR="001A7459">
            <w:rPr>
              <w:lang w:eastAsia="en-US"/>
            </w:rPr>
            <w:t xml:space="preserve">only </w:t>
          </w:r>
          <w:r w:rsidR="00381B08">
            <w:rPr>
              <w:lang w:eastAsia="en-US"/>
            </w:rPr>
            <w:t>redact commercial-in-</w:t>
          </w:r>
          <w:r w:rsidR="00841EB7">
            <w:rPr>
              <w:lang w:eastAsia="en-US"/>
            </w:rPr>
            <w:t>confidence</w:t>
          </w:r>
          <w:r w:rsidR="00381B08">
            <w:rPr>
              <w:lang w:eastAsia="en-US"/>
            </w:rPr>
            <w:t xml:space="preserve"> information at the request of a reporting entity.</w:t>
          </w:r>
        </w:p>
        <w:p w14:paraId="04464020" w14:textId="375CEEF8" w:rsidR="00FD402F" w:rsidRDefault="00FD402F" w:rsidP="00FD402F">
          <w:pPr>
            <w:pStyle w:val="Heading3"/>
            <w:rPr>
              <w:lang w:eastAsia="en-US"/>
            </w:rPr>
          </w:pPr>
          <w:bookmarkStart w:id="56" w:name="_Toc107914349"/>
          <w:r>
            <w:rPr>
              <w:lang w:eastAsia="en-US"/>
            </w:rPr>
            <w:t>Requesting a redaction</w:t>
          </w:r>
          <w:bookmarkEnd w:id="56"/>
        </w:p>
        <w:p w14:paraId="142AEA29" w14:textId="58DA4959" w:rsidR="00153DE0" w:rsidRDefault="0064630A" w:rsidP="001B2726">
          <w:pPr>
            <w:pStyle w:val="Bullet"/>
            <w:numPr>
              <w:ilvl w:val="0"/>
              <w:numId w:val="30"/>
            </w:numPr>
            <w:ind w:left="993" w:hanging="993"/>
            <w:rPr>
              <w:lang w:eastAsia="en-US"/>
            </w:rPr>
          </w:pPr>
          <w:r>
            <w:rPr>
              <w:lang w:eastAsia="en-US"/>
            </w:rPr>
            <w:t>To</w:t>
          </w:r>
          <w:r w:rsidR="00153DE0">
            <w:rPr>
              <w:lang w:eastAsia="en-US"/>
            </w:rPr>
            <w:t xml:space="preserve"> request redaction of information in a report </w:t>
          </w:r>
          <w:r w:rsidR="00D528DB">
            <w:rPr>
              <w:lang w:eastAsia="en-US"/>
            </w:rPr>
            <w:t>on the grounds it is</w:t>
          </w:r>
          <w:r w:rsidR="00153DE0">
            <w:rPr>
              <w:lang w:eastAsia="en-US"/>
            </w:rPr>
            <w:t xml:space="preserve"> commercial-in-confidence</w:t>
          </w:r>
          <w:r w:rsidR="00775DF4">
            <w:rPr>
              <w:lang w:eastAsia="en-US"/>
            </w:rPr>
            <w:t xml:space="preserve"> </w:t>
          </w:r>
          <w:r>
            <w:rPr>
              <w:lang w:eastAsia="en-US"/>
            </w:rPr>
            <w:t>entities</w:t>
          </w:r>
          <w:r w:rsidR="00775DF4">
            <w:rPr>
              <w:lang w:eastAsia="en-US"/>
            </w:rPr>
            <w:t xml:space="preserve"> should email </w:t>
          </w:r>
          <w:r w:rsidR="003571C3">
            <w:rPr>
              <w:lang w:eastAsia="en-US"/>
            </w:rPr>
            <w:t xml:space="preserve">us at </w:t>
          </w:r>
          <w:hyperlink r:id="rId34" w:history="1">
            <w:r w:rsidR="003571C3" w:rsidRPr="00EB0F87">
              <w:rPr>
                <w:rStyle w:val="Hyperlink"/>
                <w:lang w:eastAsia="en-US"/>
              </w:rPr>
              <w:t>support@paymenttimes.gov.au</w:t>
            </w:r>
          </w:hyperlink>
          <w:r w:rsidR="00775DF4">
            <w:rPr>
              <w:lang w:eastAsia="en-US"/>
            </w:rPr>
            <w:t xml:space="preserve"> </w:t>
          </w:r>
          <w:r w:rsidR="00855AA1">
            <w:rPr>
              <w:lang w:eastAsia="en-US"/>
            </w:rPr>
            <w:t xml:space="preserve">at least 7 days </w:t>
          </w:r>
          <w:r w:rsidR="003571C3">
            <w:rPr>
              <w:lang w:eastAsia="en-US"/>
            </w:rPr>
            <w:t xml:space="preserve">prior to lodging </w:t>
          </w:r>
          <w:r w:rsidR="00916842">
            <w:rPr>
              <w:lang w:eastAsia="en-US"/>
            </w:rPr>
            <w:t>their</w:t>
          </w:r>
          <w:r w:rsidR="00775DF4">
            <w:rPr>
              <w:lang w:eastAsia="en-US"/>
            </w:rPr>
            <w:t xml:space="preserve"> report and provide:</w:t>
          </w:r>
        </w:p>
        <w:p w14:paraId="517B8930" w14:textId="77777777" w:rsidR="00572EBC" w:rsidRPr="003641F6" w:rsidRDefault="00572EBC" w:rsidP="003641F6">
          <w:pPr>
            <w:pStyle w:val="ListParagraph"/>
            <w:numPr>
              <w:ilvl w:val="1"/>
              <w:numId w:val="82"/>
            </w:numPr>
          </w:pPr>
          <w:r w:rsidRPr="003641F6">
            <w:lastRenderedPageBreak/>
            <w:t>the entity name, ABN/ACN, reporting period end date and expected lodgement date</w:t>
          </w:r>
        </w:p>
        <w:p w14:paraId="0B4ACC16" w14:textId="77777777" w:rsidR="00572EBC" w:rsidRPr="003641F6" w:rsidRDefault="00572EBC" w:rsidP="003641F6">
          <w:pPr>
            <w:pStyle w:val="ListParagraph"/>
            <w:numPr>
              <w:ilvl w:val="1"/>
              <w:numId w:val="82"/>
            </w:numPr>
          </w:pPr>
          <w:r w:rsidRPr="003641F6">
            <w:t>identification of the information that will be in the report that is considered commercial-in-confidence. We will not redact reports in full</w:t>
          </w:r>
        </w:p>
        <w:p w14:paraId="4F840CB5" w14:textId="77777777" w:rsidR="00572EBC" w:rsidRPr="003641F6" w:rsidRDefault="00572EBC" w:rsidP="003641F6">
          <w:pPr>
            <w:pStyle w:val="ListParagraph"/>
            <w:numPr>
              <w:ilvl w:val="1"/>
              <w:numId w:val="82"/>
            </w:numPr>
          </w:pPr>
          <w:r w:rsidRPr="003641F6">
            <w:t>confirmation that the information is not readily discoverable, available in the public domain or required to be disclosed under another Australian law</w:t>
          </w:r>
        </w:p>
        <w:p w14:paraId="493CB060" w14:textId="63DDEC64" w:rsidR="00B71D3A" w:rsidRPr="003641F6" w:rsidRDefault="00572EBC" w:rsidP="003641F6">
          <w:pPr>
            <w:pStyle w:val="ListParagraph"/>
            <w:numPr>
              <w:ilvl w:val="1"/>
              <w:numId w:val="82"/>
            </w:numPr>
          </w:pPr>
          <w:r w:rsidRPr="003641F6">
            <w:t>submissions on how publication of the information would cause competitive detriment. Submissions should be specific and identify the harm or detriment the entity will suffer from reporting. We will not redact information merely on the basis it is unfavourable and may cause detriment when compared to competitors.</w:t>
          </w:r>
        </w:p>
        <w:p w14:paraId="45C6A877" w14:textId="14797DAB" w:rsidR="00B71D3A" w:rsidRDefault="00572EBC" w:rsidP="001B2726">
          <w:pPr>
            <w:pStyle w:val="Bullet"/>
            <w:numPr>
              <w:ilvl w:val="0"/>
              <w:numId w:val="30"/>
            </w:numPr>
            <w:ind w:left="993" w:hanging="993"/>
            <w:rPr>
              <w:lang w:eastAsia="en-US"/>
            </w:rPr>
          </w:pPr>
          <w:r>
            <w:rPr>
              <w:lang w:eastAsia="en-US"/>
            </w:rPr>
            <w:t xml:space="preserve">We are less likely to redact information on the grounds it is commercial-in-confidence where a request is made after </w:t>
          </w:r>
          <w:r w:rsidR="00B71D3A">
            <w:rPr>
              <w:lang w:eastAsia="en-US"/>
            </w:rPr>
            <w:t>a report has been screened and registered</w:t>
          </w:r>
          <w:r>
            <w:rPr>
              <w:lang w:eastAsia="en-US"/>
            </w:rPr>
            <w:t>.</w:t>
          </w:r>
        </w:p>
        <w:p w14:paraId="50116991" w14:textId="32099884" w:rsidR="00635934" w:rsidRDefault="00635934" w:rsidP="00635934">
          <w:pPr>
            <w:pStyle w:val="Heading3"/>
            <w:rPr>
              <w:lang w:eastAsia="en-US"/>
            </w:rPr>
          </w:pPr>
          <w:bookmarkStart w:id="57" w:name="_Toc107914350"/>
          <w:r>
            <w:rPr>
              <w:lang w:eastAsia="en-US"/>
            </w:rPr>
            <w:t>Assessing your request</w:t>
          </w:r>
          <w:bookmarkEnd w:id="57"/>
        </w:p>
        <w:p w14:paraId="2740F67D" w14:textId="79030C6D" w:rsidR="008E4ED3" w:rsidRDefault="003D50D8" w:rsidP="001B2726">
          <w:pPr>
            <w:pStyle w:val="Dash"/>
            <w:numPr>
              <w:ilvl w:val="0"/>
              <w:numId w:val="30"/>
            </w:numPr>
            <w:ind w:left="993" w:hanging="993"/>
            <w:rPr>
              <w:lang w:eastAsia="en-US"/>
            </w:rPr>
          </w:pPr>
          <w:r>
            <w:rPr>
              <w:lang w:eastAsia="en-US"/>
            </w:rPr>
            <w:t xml:space="preserve">We </w:t>
          </w:r>
          <w:r w:rsidR="00B0315A">
            <w:rPr>
              <w:lang w:eastAsia="en-US"/>
            </w:rPr>
            <w:t xml:space="preserve">are </w:t>
          </w:r>
          <w:r>
            <w:rPr>
              <w:lang w:eastAsia="en-US"/>
            </w:rPr>
            <w:t>less likely to redact information on an entity</w:t>
          </w:r>
          <w:r w:rsidR="00916842">
            <w:rPr>
              <w:lang w:eastAsia="en-US"/>
            </w:rPr>
            <w:t>’s request</w:t>
          </w:r>
          <w:r>
            <w:rPr>
              <w:lang w:eastAsia="en-US"/>
            </w:rPr>
            <w:t xml:space="preserve"> where the likelihood of detriment is </w:t>
          </w:r>
          <w:r w:rsidR="000B6CAF">
            <w:rPr>
              <w:lang w:eastAsia="en-US"/>
            </w:rPr>
            <w:t>remote,</w:t>
          </w:r>
          <w:r w:rsidR="008E4ED3">
            <w:rPr>
              <w:lang w:eastAsia="en-US"/>
            </w:rPr>
            <w:t xml:space="preserve"> or </w:t>
          </w:r>
          <w:r w:rsidR="00E90BA5">
            <w:rPr>
              <w:lang w:eastAsia="en-US"/>
            </w:rPr>
            <w:t xml:space="preserve">the identification of </w:t>
          </w:r>
          <w:r w:rsidR="008E4ED3">
            <w:rPr>
              <w:lang w:eastAsia="en-US"/>
            </w:rPr>
            <w:t xml:space="preserve">commercial-in-confidence information requires </w:t>
          </w:r>
          <w:r w:rsidR="000662C6">
            <w:rPr>
              <w:lang w:eastAsia="en-US"/>
            </w:rPr>
            <w:t xml:space="preserve">complex </w:t>
          </w:r>
          <w:r w:rsidR="008E4ED3">
            <w:rPr>
              <w:lang w:eastAsia="en-US"/>
            </w:rPr>
            <w:t xml:space="preserve">reverse calculation </w:t>
          </w:r>
          <w:r w:rsidR="00E90BA5">
            <w:rPr>
              <w:lang w:eastAsia="en-US"/>
            </w:rPr>
            <w:t xml:space="preserve">or the user to </w:t>
          </w:r>
          <w:r w:rsidR="000E77AE">
            <w:rPr>
              <w:lang w:eastAsia="en-US"/>
            </w:rPr>
            <w:t xml:space="preserve">make </w:t>
          </w:r>
          <w:r w:rsidR="008E4ED3">
            <w:rPr>
              <w:lang w:eastAsia="en-US"/>
            </w:rPr>
            <w:t>assumptions</w:t>
          </w:r>
          <w:r w:rsidR="00200122">
            <w:rPr>
              <w:lang w:eastAsia="en-US"/>
            </w:rPr>
            <w:t xml:space="preserve"> </w:t>
          </w:r>
          <w:r w:rsidR="000E77AE">
            <w:rPr>
              <w:lang w:eastAsia="en-US"/>
            </w:rPr>
            <w:t>or inferences to identify the information</w:t>
          </w:r>
          <w:r w:rsidR="00C754FC">
            <w:rPr>
              <w:lang w:eastAsia="en-US"/>
            </w:rPr>
            <w:t xml:space="preserve">. </w:t>
          </w:r>
        </w:p>
        <w:p w14:paraId="19CF81A2" w14:textId="7D8FE69B" w:rsidR="00340009" w:rsidRDefault="002D53CE" w:rsidP="001B2726">
          <w:pPr>
            <w:pStyle w:val="Dash"/>
            <w:numPr>
              <w:ilvl w:val="0"/>
              <w:numId w:val="30"/>
            </w:numPr>
            <w:ind w:left="993" w:hanging="993"/>
            <w:rPr>
              <w:lang w:eastAsia="en-US"/>
            </w:rPr>
          </w:pPr>
          <w:r>
            <w:rPr>
              <w:lang w:eastAsia="en-US"/>
            </w:rPr>
            <w:t>Our decisions to redact information from payment times</w:t>
          </w:r>
          <w:r w:rsidR="000662C6">
            <w:rPr>
              <w:lang w:eastAsia="en-US"/>
            </w:rPr>
            <w:t xml:space="preserve"> reports</w:t>
          </w:r>
          <w:r>
            <w:rPr>
              <w:lang w:eastAsia="en-US"/>
            </w:rPr>
            <w:t xml:space="preserve"> </w:t>
          </w:r>
          <w:r w:rsidR="00F34DFD">
            <w:rPr>
              <w:lang w:eastAsia="en-US"/>
            </w:rPr>
            <w:t xml:space="preserve">is discretionary and we may still publish information if we consider, on balance, </w:t>
          </w:r>
          <w:r w:rsidR="007C3EC2">
            <w:rPr>
              <w:lang w:eastAsia="en-US"/>
            </w:rPr>
            <w:t xml:space="preserve">the benefits of publishing </w:t>
          </w:r>
          <w:r w:rsidR="007836B1">
            <w:rPr>
              <w:lang w:eastAsia="en-US"/>
            </w:rPr>
            <w:t>the information outweigh potential detriment that could be suffered by a reporting entity.</w:t>
          </w:r>
        </w:p>
        <w:p w14:paraId="04E1E221" w14:textId="237F68C8" w:rsidR="00340009" w:rsidRDefault="00340009" w:rsidP="00340009">
          <w:pPr>
            <w:pStyle w:val="Heading1"/>
            <w:rPr>
              <w:lang w:eastAsia="en-US"/>
            </w:rPr>
          </w:pPr>
          <w:bookmarkStart w:id="58" w:name="_Toc107914351"/>
          <w:r>
            <w:rPr>
              <w:lang w:eastAsia="en-US"/>
            </w:rPr>
            <w:t>Notifications</w:t>
          </w:r>
          <w:bookmarkEnd w:id="58"/>
        </w:p>
        <w:p w14:paraId="53423A37" w14:textId="2AE5839E" w:rsidR="00932FF9" w:rsidRDefault="007D5BB2" w:rsidP="00F653F7">
          <w:pPr>
            <w:pStyle w:val="Heading2"/>
            <w:rPr>
              <w:lang w:eastAsia="en-US"/>
            </w:rPr>
          </w:pPr>
          <w:bookmarkStart w:id="59" w:name="_Toc107914352"/>
          <w:r>
            <w:rPr>
              <w:lang w:eastAsia="en-US"/>
            </w:rPr>
            <w:t>Volunteering entities</w:t>
          </w:r>
          <w:bookmarkEnd w:id="59"/>
        </w:p>
        <w:tbl>
          <w:tblPr>
            <w:tblStyle w:val="TableGrid"/>
            <w:tblW w:w="0" w:type="auto"/>
            <w:tblCellMar>
              <w:top w:w="113" w:type="dxa"/>
              <w:bottom w:w="113" w:type="dxa"/>
            </w:tblCellMar>
            <w:tblLook w:val="04A0" w:firstRow="1" w:lastRow="0" w:firstColumn="1" w:lastColumn="0" w:noHBand="0" w:noVBand="1"/>
          </w:tblPr>
          <w:tblGrid>
            <w:gridCol w:w="9050"/>
          </w:tblGrid>
          <w:tr w:rsidR="009E16AB" w14:paraId="2FF8D631" w14:textId="77777777" w:rsidTr="00084BE2">
            <w:tc>
              <w:tcPr>
                <w:tcW w:w="9070" w:type="dxa"/>
                <w:tcBorders>
                  <w:top w:val="single" w:sz="6" w:space="0" w:color="auto"/>
                  <w:left w:val="single" w:sz="8" w:space="0" w:color="auto"/>
                  <w:bottom w:val="single" w:sz="6" w:space="0" w:color="auto"/>
                  <w:right w:val="single" w:sz="8" w:space="0" w:color="auto"/>
                </w:tcBorders>
                <w:shd w:val="clear" w:color="auto" w:fill="2C384A"/>
              </w:tcPr>
              <w:p w14:paraId="3BF48E03" w14:textId="73B95526" w:rsidR="009E16AB" w:rsidRDefault="009E16AB" w:rsidP="00084BE2">
                <w:pPr>
                  <w:pStyle w:val="Heading3"/>
                  <w:spacing w:before="0" w:after="0"/>
                  <w:outlineLvl w:val="2"/>
                </w:pPr>
                <w:bookmarkStart w:id="60" w:name="_Toc107914353"/>
                <w:r w:rsidRPr="00084BE2">
                  <w:rPr>
                    <w:color w:val="FFFFFF" w:themeColor="background1"/>
                  </w:rPr>
                  <w:t xml:space="preserve">Key </w:t>
                </w:r>
                <w:r w:rsidR="00916842" w:rsidRPr="00084BE2">
                  <w:rPr>
                    <w:color w:val="FFFFFF" w:themeColor="background1"/>
                  </w:rPr>
                  <w:t>p</w:t>
                </w:r>
                <w:r w:rsidRPr="00084BE2">
                  <w:rPr>
                    <w:color w:val="FFFFFF" w:themeColor="background1"/>
                  </w:rPr>
                  <w:t>oints</w:t>
                </w:r>
                <w:bookmarkEnd w:id="60"/>
                <w:r w:rsidRPr="00084BE2">
                  <w:rPr>
                    <w:color w:val="FFFFFF" w:themeColor="background1"/>
                  </w:rPr>
                  <w:tab/>
                </w:r>
              </w:p>
            </w:tc>
          </w:tr>
          <w:tr w:rsidR="009E16AB" w14:paraId="38D057DB" w14:textId="77777777" w:rsidTr="00084BE2">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45427A0" w14:textId="148EBB54" w:rsidR="008A2479" w:rsidRPr="00084BE2" w:rsidRDefault="008A2479" w:rsidP="00084BE2">
                <w:pPr>
                  <w:pStyle w:val="ListParagraph"/>
                  <w:ind w:left="306" w:hanging="284"/>
                  <w:rPr>
                    <w:sz w:val="22"/>
                    <w:szCs w:val="24"/>
                  </w:rPr>
                </w:pPr>
                <w:r w:rsidRPr="00084BE2">
                  <w:rPr>
                    <w:sz w:val="22"/>
                    <w:szCs w:val="24"/>
                  </w:rPr>
                  <w:t xml:space="preserve">A constitutionally covered entity that does not already meet the eligibility requirements for the scheme can </w:t>
                </w:r>
                <w:r w:rsidR="00855AA1">
                  <w:rPr>
                    <w:sz w:val="22"/>
                    <w:szCs w:val="24"/>
                  </w:rPr>
                  <w:t>notify</w:t>
                </w:r>
                <w:r w:rsidR="00855AA1" w:rsidRPr="00084BE2">
                  <w:rPr>
                    <w:sz w:val="22"/>
                    <w:szCs w:val="24"/>
                  </w:rPr>
                  <w:t xml:space="preserve"> </w:t>
                </w:r>
                <w:r w:rsidRPr="00084BE2">
                  <w:rPr>
                    <w:sz w:val="22"/>
                    <w:szCs w:val="24"/>
                  </w:rPr>
                  <w:t>to be a volunteer reporting entity (volunteering entity).</w:t>
                </w:r>
              </w:p>
              <w:p w14:paraId="0E3CD83B" w14:textId="3C4FC5D8" w:rsidR="00E06B02" w:rsidRPr="00084BE2" w:rsidRDefault="00855AA1" w:rsidP="00084BE2">
                <w:pPr>
                  <w:pStyle w:val="ListParagraph"/>
                  <w:ind w:left="306" w:hanging="284"/>
                  <w:rPr>
                    <w:sz w:val="22"/>
                    <w:szCs w:val="24"/>
                  </w:rPr>
                </w:pPr>
                <w:r>
                  <w:rPr>
                    <w:sz w:val="22"/>
                    <w:szCs w:val="24"/>
                  </w:rPr>
                  <w:t>Notifications</w:t>
                </w:r>
                <w:r w:rsidRPr="00084BE2">
                  <w:rPr>
                    <w:sz w:val="22"/>
                    <w:szCs w:val="24"/>
                  </w:rPr>
                  <w:t xml:space="preserve"> </w:t>
                </w:r>
                <w:r w:rsidR="008A2479" w:rsidRPr="00084BE2">
                  <w:rPr>
                    <w:sz w:val="22"/>
                    <w:szCs w:val="24"/>
                  </w:rPr>
                  <w:t xml:space="preserve">to be a volunteering entity are </w:t>
                </w:r>
                <w:r>
                  <w:rPr>
                    <w:sz w:val="22"/>
                    <w:szCs w:val="24"/>
                  </w:rPr>
                  <w:t>submitted</w:t>
                </w:r>
                <w:r w:rsidRPr="00084BE2">
                  <w:rPr>
                    <w:sz w:val="22"/>
                    <w:szCs w:val="24"/>
                  </w:rPr>
                  <w:t xml:space="preserve"> </w:t>
                </w:r>
                <w:r w:rsidR="008A2479" w:rsidRPr="00084BE2">
                  <w:rPr>
                    <w:sz w:val="22"/>
                    <w:szCs w:val="24"/>
                  </w:rPr>
                  <w:t xml:space="preserve">on the </w:t>
                </w:r>
                <w:hyperlink r:id="rId35" w:history="1">
                  <w:r w:rsidR="008A2479" w:rsidRPr="00084BE2">
                    <w:rPr>
                      <w:rStyle w:val="Hyperlink"/>
                      <w:szCs w:val="24"/>
                    </w:rPr>
                    <w:t>Payment Times Reporting Portal</w:t>
                  </w:r>
                </w:hyperlink>
                <w:r w:rsidR="008A2479" w:rsidRPr="00084BE2">
                  <w:rPr>
                    <w:sz w:val="22"/>
                    <w:szCs w:val="24"/>
                  </w:rPr>
                  <w:t>.</w:t>
                </w:r>
              </w:p>
              <w:p w14:paraId="7A981E53" w14:textId="401AE9AB" w:rsidR="009E16AB" w:rsidRPr="00AE5643" w:rsidRDefault="00E06B02" w:rsidP="00084BE2">
                <w:pPr>
                  <w:pStyle w:val="ListParagraph"/>
                  <w:spacing w:after="0"/>
                  <w:ind w:left="306" w:hanging="284"/>
                </w:pPr>
                <w:r w:rsidRPr="00084BE2">
                  <w:rPr>
                    <w:sz w:val="22"/>
                    <w:szCs w:val="24"/>
                  </w:rPr>
                  <w:t>An entity becomes a volunteering entity from the time it submits its notice to volunteer.</w:t>
                </w:r>
              </w:p>
            </w:tc>
          </w:tr>
        </w:tbl>
        <w:p w14:paraId="097D4C17" w14:textId="53274608" w:rsidR="007624CD" w:rsidRDefault="007624CD" w:rsidP="005D1AC3">
          <w:pPr>
            <w:pStyle w:val="Bullet"/>
            <w:numPr>
              <w:ilvl w:val="0"/>
              <w:numId w:val="30"/>
            </w:numPr>
            <w:spacing w:before="240"/>
            <w:ind w:left="993" w:hanging="993"/>
            <w:rPr>
              <w:lang w:eastAsia="en-US"/>
            </w:rPr>
          </w:pPr>
          <w:r>
            <w:rPr>
              <w:lang w:eastAsia="en-US"/>
            </w:rPr>
            <w:t>An entity can volunteer to report under the Act if:</w:t>
          </w:r>
        </w:p>
        <w:p w14:paraId="6CC6314A" w14:textId="73772E16" w:rsidR="004D4189" w:rsidRDefault="005C651B" w:rsidP="00084BE2">
          <w:pPr>
            <w:pStyle w:val="ListParagraph"/>
            <w:numPr>
              <w:ilvl w:val="1"/>
              <w:numId w:val="77"/>
            </w:numPr>
          </w:pPr>
          <w:r>
            <w:t>i</w:t>
          </w:r>
          <w:r w:rsidR="004D4189">
            <w:t>t is not already a reporting entity under the Act, and</w:t>
          </w:r>
        </w:p>
        <w:p w14:paraId="730F1F76" w14:textId="0FCDC4CB" w:rsidR="004D4189" w:rsidRDefault="004E691F" w:rsidP="00084BE2">
          <w:pPr>
            <w:pStyle w:val="ListParagraph"/>
            <w:numPr>
              <w:ilvl w:val="1"/>
              <w:numId w:val="77"/>
            </w:numPr>
          </w:pPr>
          <w:r w:rsidRPr="00646136">
            <w:t xml:space="preserve">it </w:t>
          </w:r>
          <w:r w:rsidR="004D4189" w:rsidRPr="00646136">
            <w:t>is a con</w:t>
          </w:r>
          <w:r w:rsidR="004D4189">
            <w:t>stitutionally covered entity.</w:t>
          </w:r>
        </w:p>
        <w:p w14:paraId="080B70A2" w14:textId="7000913B" w:rsidR="004F7264" w:rsidRDefault="004E691F" w:rsidP="001B2726">
          <w:pPr>
            <w:pStyle w:val="Dash"/>
            <w:numPr>
              <w:ilvl w:val="0"/>
              <w:numId w:val="30"/>
            </w:numPr>
            <w:ind w:left="993" w:hanging="993"/>
            <w:rPr>
              <w:lang w:eastAsia="en-US"/>
            </w:rPr>
          </w:pPr>
          <w:r>
            <w:rPr>
              <w:lang w:eastAsia="en-US"/>
            </w:rPr>
            <w:t xml:space="preserve">Entities </w:t>
          </w:r>
          <w:r w:rsidR="00354090">
            <w:rPr>
              <w:lang w:eastAsia="en-US"/>
            </w:rPr>
            <w:t xml:space="preserve">can give notice to volunteer as a reporting entity </w:t>
          </w:r>
          <w:r w:rsidR="006959F9">
            <w:rPr>
              <w:lang w:eastAsia="en-US"/>
            </w:rPr>
            <w:t xml:space="preserve">via the </w:t>
          </w:r>
          <w:hyperlink r:id="rId36" w:history="1">
            <w:r w:rsidR="006959F9" w:rsidRPr="00084BE2">
              <w:rPr>
                <w:rStyle w:val="Hyperlink"/>
                <w:rFonts w:ascii="Calibri" w:hAnsi="Calibri"/>
                <w:lang w:eastAsia="en-US"/>
              </w:rPr>
              <w:t>Payment Times Reporting Portal</w:t>
            </w:r>
          </w:hyperlink>
          <w:r w:rsidR="00782D69">
            <w:rPr>
              <w:lang w:eastAsia="en-US"/>
            </w:rPr>
            <w:t xml:space="preserve">. </w:t>
          </w:r>
          <w:r w:rsidR="006959F9">
            <w:rPr>
              <w:lang w:eastAsia="en-US"/>
            </w:rPr>
            <w:t xml:space="preserve">When giving notice </w:t>
          </w:r>
          <w:r>
            <w:rPr>
              <w:lang w:eastAsia="en-US"/>
            </w:rPr>
            <w:t>they</w:t>
          </w:r>
          <w:r w:rsidR="006959F9">
            <w:rPr>
              <w:lang w:eastAsia="en-US"/>
            </w:rPr>
            <w:t xml:space="preserve"> will be </w:t>
          </w:r>
          <w:r w:rsidR="00E97910">
            <w:rPr>
              <w:lang w:eastAsia="en-US"/>
            </w:rPr>
            <w:t xml:space="preserve">asked </w:t>
          </w:r>
          <w:r w:rsidR="00784B66">
            <w:rPr>
              <w:lang w:eastAsia="en-US"/>
            </w:rPr>
            <w:t xml:space="preserve">to confirm </w:t>
          </w:r>
          <w:r w:rsidR="002B7679">
            <w:rPr>
              <w:lang w:eastAsia="en-US"/>
            </w:rPr>
            <w:t xml:space="preserve">the entity is a </w:t>
          </w:r>
          <w:r w:rsidR="005C651B">
            <w:rPr>
              <w:lang w:eastAsia="en-US"/>
            </w:rPr>
            <w:t xml:space="preserve">constitutionally covered entity </w:t>
          </w:r>
          <w:r w:rsidR="00E97910">
            <w:rPr>
              <w:lang w:eastAsia="en-US"/>
            </w:rPr>
            <w:t xml:space="preserve">and </w:t>
          </w:r>
          <w:r w:rsidR="00784B66">
            <w:rPr>
              <w:lang w:eastAsia="en-US"/>
            </w:rPr>
            <w:t>not already a reporting entity under the Act</w:t>
          </w:r>
          <w:r w:rsidR="00782D69">
            <w:rPr>
              <w:lang w:eastAsia="en-US"/>
            </w:rPr>
            <w:t xml:space="preserve">. </w:t>
          </w:r>
          <w:r>
            <w:rPr>
              <w:lang w:eastAsia="en-US"/>
            </w:rPr>
            <w:t>They</w:t>
          </w:r>
          <w:r w:rsidR="00E97910">
            <w:rPr>
              <w:lang w:eastAsia="en-US"/>
            </w:rPr>
            <w:t xml:space="preserve"> will also be asked to provide</w:t>
          </w:r>
          <w:r w:rsidR="000F19BF">
            <w:rPr>
              <w:lang w:eastAsia="en-US"/>
            </w:rPr>
            <w:t xml:space="preserve"> mandatory</w:t>
          </w:r>
          <w:r w:rsidR="00E97910">
            <w:rPr>
              <w:lang w:eastAsia="en-US"/>
            </w:rPr>
            <w:t xml:space="preserve"> details</w:t>
          </w:r>
          <w:r w:rsidR="000F19BF">
            <w:rPr>
              <w:lang w:eastAsia="en-US"/>
            </w:rPr>
            <w:t xml:space="preserve">, including the name </w:t>
          </w:r>
          <w:r w:rsidR="00E97910">
            <w:rPr>
              <w:lang w:eastAsia="en-US"/>
            </w:rPr>
            <w:t xml:space="preserve">of the </w:t>
          </w:r>
          <w:r w:rsidR="00DB085A">
            <w:rPr>
              <w:lang w:eastAsia="en-US"/>
            </w:rPr>
            <w:t>offic</w:t>
          </w:r>
          <w:r w:rsidR="007F009A">
            <w:rPr>
              <w:lang w:eastAsia="en-US"/>
            </w:rPr>
            <w:t xml:space="preserve">er authorised by the entity to submit </w:t>
          </w:r>
          <w:r w:rsidR="000F19BF">
            <w:rPr>
              <w:lang w:eastAsia="en-US"/>
            </w:rPr>
            <w:t>the notice.</w:t>
          </w:r>
        </w:p>
        <w:p w14:paraId="01B8131B" w14:textId="3C481E03" w:rsidR="0052310E" w:rsidRDefault="00546BB3" w:rsidP="001B2726">
          <w:pPr>
            <w:pStyle w:val="Dash"/>
            <w:numPr>
              <w:ilvl w:val="0"/>
              <w:numId w:val="30"/>
            </w:numPr>
            <w:ind w:left="993" w:hanging="993"/>
            <w:rPr>
              <w:lang w:eastAsia="en-US"/>
            </w:rPr>
          </w:pPr>
          <w:r>
            <w:rPr>
              <w:lang w:eastAsia="en-US"/>
            </w:rPr>
            <w:lastRenderedPageBreak/>
            <w:t xml:space="preserve">We </w:t>
          </w:r>
          <w:r w:rsidR="004E691F">
            <w:rPr>
              <w:lang w:eastAsia="en-US"/>
            </w:rPr>
            <w:t>d</w:t>
          </w:r>
          <w:r>
            <w:rPr>
              <w:lang w:eastAsia="en-US"/>
            </w:rPr>
            <w:t xml:space="preserve">o not review or </w:t>
          </w:r>
          <w:r w:rsidR="00DE0EF9">
            <w:rPr>
              <w:lang w:eastAsia="en-US"/>
            </w:rPr>
            <w:t>assess notices to volunteer</w:t>
          </w:r>
          <w:r w:rsidR="004E691F">
            <w:rPr>
              <w:lang w:eastAsia="en-US"/>
            </w:rPr>
            <w:t>. The</w:t>
          </w:r>
          <w:r w:rsidR="002B7679">
            <w:rPr>
              <w:lang w:eastAsia="en-US"/>
            </w:rPr>
            <w:t xml:space="preserve"> </w:t>
          </w:r>
          <w:r w:rsidR="004E691F">
            <w:rPr>
              <w:lang w:eastAsia="en-US"/>
            </w:rPr>
            <w:t xml:space="preserve">entity’s </w:t>
          </w:r>
          <w:r w:rsidR="002B7679">
            <w:rPr>
              <w:lang w:eastAsia="en-US"/>
            </w:rPr>
            <w:t xml:space="preserve">notice will be effective as soon as it is </w:t>
          </w:r>
          <w:r w:rsidR="0052310E">
            <w:rPr>
              <w:lang w:eastAsia="en-US"/>
            </w:rPr>
            <w:t>given</w:t>
          </w:r>
          <w:r w:rsidR="00782D69">
            <w:rPr>
              <w:lang w:eastAsia="en-US"/>
            </w:rPr>
            <w:t xml:space="preserve">. </w:t>
          </w:r>
          <w:r w:rsidR="00ED6BDF">
            <w:rPr>
              <w:lang w:eastAsia="en-US"/>
            </w:rPr>
            <w:t xml:space="preserve">We will </w:t>
          </w:r>
          <w:r w:rsidR="003026E1">
            <w:rPr>
              <w:lang w:eastAsia="en-US"/>
            </w:rPr>
            <w:t xml:space="preserve">register </w:t>
          </w:r>
          <w:r w:rsidR="00ED6BDF">
            <w:rPr>
              <w:lang w:eastAsia="en-US"/>
            </w:rPr>
            <w:t>payment times report</w:t>
          </w:r>
          <w:r w:rsidR="004E691F">
            <w:rPr>
              <w:lang w:eastAsia="en-US"/>
            </w:rPr>
            <w:t>s</w:t>
          </w:r>
          <w:r w:rsidR="00ED6BDF">
            <w:rPr>
              <w:lang w:eastAsia="en-US"/>
            </w:rPr>
            <w:t xml:space="preserve"> from a volunteering entity </w:t>
          </w:r>
          <w:r w:rsidR="003026E1">
            <w:rPr>
              <w:lang w:eastAsia="en-US"/>
            </w:rPr>
            <w:t xml:space="preserve">for any </w:t>
          </w:r>
          <w:r w:rsidR="00D86733">
            <w:rPr>
              <w:lang w:eastAsia="en-US"/>
            </w:rPr>
            <w:t xml:space="preserve">reporting </w:t>
          </w:r>
          <w:r w:rsidR="003026E1">
            <w:rPr>
              <w:lang w:eastAsia="en-US"/>
            </w:rPr>
            <w:t xml:space="preserve">period </w:t>
          </w:r>
          <w:r w:rsidR="00D86733">
            <w:rPr>
              <w:lang w:eastAsia="en-US"/>
            </w:rPr>
            <w:t xml:space="preserve">commencing </w:t>
          </w:r>
          <w:r w:rsidR="00E852D8">
            <w:rPr>
              <w:lang w:eastAsia="en-US"/>
            </w:rPr>
            <w:t>after the date the notice is given</w:t>
          </w:r>
          <w:r w:rsidR="00AE623B">
            <w:rPr>
              <w:lang w:eastAsia="en-US"/>
            </w:rPr>
            <w:t>.</w:t>
          </w:r>
        </w:p>
        <w:p w14:paraId="2D5A7207" w14:textId="19931B87" w:rsidR="00AE623B" w:rsidRDefault="00162C84" w:rsidP="001B2726">
          <w:pPr>
            <w:pStyle w:val="Dash"/>
            <w:numPr>
              <w:ilvl w:val="0"/>
              <w:numId w:val="30"/>
            </w:numPr>
            <w:ind w:left="993" w:hanging="993"/>
            <w:rPr>
              <w:lang w:eastAsia="en-US"/>
            </w:rPr>
          </w:pPr>
          <w:r>
            <w:rPr>
              <w:lang w:eastAsia="en-US"/>
            </w:rPr>
            <w:t>A volunteering entity continues to be a reporting entity until it obtains a cease to report determination under subsection 7(</w:t>
          </w:r>
          <w:r w:rsidR="00C118ED">
            <w:rPr>
              <w:lang w:eastAsia="en-US"/>
            </w:rPr>
            <w:t>3</w:t>
          </w:r>
          <w:r>
            <w:rPr>
              <w:lang w:eastAsia="en-US"/>
            </w:rPr>
            <w:t>) of the Act</w:t>
          </w:r>
          <w:r w:rsidR="00782D69">
            <w:rPr>
              <w:lang w:eastAsia="en-US"/>
            </w:rPr>
            <w:t xml:space="preserve">. </w:t>
          </w:r>
          <w:r w:rsidR="00F42A86">
            <w:rPr>
              <w:lang w:eastAsia="en-US"/>
            </w:rPr>
            <w:t xml:space="preserve">See </w:t>
          </w:r>
          <w:hyperlink w:anchor="_Cease_to_be" w:history="1">
            <w:r w:rsidR="002D2C78" w:rsidRPr="00084BE2">
              <w:rPr>
                <w:rStyle w:val="Hyperlink"/>
                <w:rFonts w:ascii="Calibri" w:hAnsi="Calibri"/>
                <w:lang w:eastAsia="en-US"/>
              </w:rPr>
              <w:t>C</w:t>
            </w:r>
            <w:r w:rsidR="00CE4843" w:rsidRPr="00084BE2">
              <w:rPr>
                <w:rStyle w:val="Hyperlink"/>
                <w:rFonts w:ascii="Calibri" w:hAnsi="Calibri"/>
                <w:lang w:eastAsia="en-US"/>
              </w:rPr>
              <w:t>eas</w:t>
            </w:r>
            <w:r w:rsidR="007E4D5D">
              <w:rPr>
                <w:rStyle w:val="Hyperlink"/>
                <w:rFonts w:ascii="Calibri" w:hAnsi="Calibri"/>
                <w:lang w:eastAsia="en-US"/>
              </w:rPr>
              <w:t>e</w:t>
            </w:r>
            <w:r w:rsidR="00CE4843" w:rsidRPr="00084BE2">
              <w:rPr>
                <w:rStyle w:val="Hyperlink"/>
                <w:rFonts w:ascii="Calibri" w:hAnsi="Calibri"/>
                <w:lang w:eastAsia="en-US"/>
              </w:rPr>
              <w:t xml:space="preserve"> to be a reporting entity</w:t>
            </w:r>
          </w:hyperlink>
          <w:r w:rsidR="00CE4843" w:rsidRPr="00CE4843">
            <w:rPr>
              <w:lang w:eastAsia="en-US"/>
            </w:rPr>
            <w:t xml:space="preserve"> </w:t>
          </w:r>
          <w:r w:rsidR="00B210C8">
            <w:rPr>
              <w:lang w:eastAsia="en-US"/>
            </w:rPr>
            <w:t xml:space="preserve">for </w:t>
          </w:r>
          <w:r w:rsidR="00F42A86">
            <w:rPr>
              <w:lang w:eastAsia="en-US"/>
            </w:rPr>
            <w:t xml:space="preserve">information </w:t>
          </w:r>
          <w:r w:rsidR="008063A9">
            <w:rPr>
              <w:lang w:eastAsia="en-US"/>
            </w:rPr>
            <w:t>on</w:t>
          </w:r>
          <w:r w:rsidR="00F42A86">
            <w:rPr>
              <w:lang w:eastAsia="en-US"/>
            </w:rPr>
            <w:t xml:space="preserve"> how to apply for a determination.</w:t>
          </w:r>
        </w:p>
        <w:p w14:paraId="33C0DF4A" w14:textId="6A2AF5E8" w:rsidR="00F42A86" w:rsidRDefault="0036278D" w:rsidP="001B2726">
          <w:pPr>
            <w:pStyle w:val="Dash"/>
            <w:numPr>
              <w:ilvl w:val="0"/>
              <w:numId w:val="30"/>
            </w:numPr>
            <w:ind w:left="993" w:hanging="993"/>
            <w:rPr>
              <w:lang w:eastAsia="en-US"/>
            </w:rPr>
          </w:pPr>
          <w:r>
            <w:rPr>
              <w:lang w:eastAsia="en-US"/>
            </w:rPr>
            <w:t xml:space="preserve">If an entity volunteered under s7(1A) of the Act but later </w:t>
          </w:r>
          <w:r w:rsidR="00D304F4">
            <w:rPr>
              <w:lang w:eastAsia="en-US"/>
            </w:rPr>
            <w:t xml:space="preserve">becomes a reporting entity under s7(1) </w:t>
          </w:r>
          <w:r w:rsidR="0033591B">
            <w:rPr>
              <w:lang w:eastAsia="en-US"/>
            </w:rPr>
            <w:t xml:space="preserve">of the Act it should </w:t>
          </w:r>
          <w:r w:rsidR="00ED526A">
            <w:rPr>
              <w:lang w:eastAsia="en-US"/>
            </w:rPr>
            <w:t xml:space="preserve">report this </w:t>
          </w:r>
          <w:r w:rsidR="007B2713">
            <w:rPr>
              <w:lang w:eastAsia="en-US"/>
            </w:rPr>
            <w:t xml:space="preserve">in the comments of </w:t>
          </w:r>
          <w:r w:rsidR="00ED526A">
            <w:rPr>
              <w:lang w:eastAsia="en-US"/>
            </w:rPr>
            <w:t>the relevant payment times report.</w:t>
          </w:r>
        </w:p>
        <w:p w14:paraId="42EEABD2" w14:textId="1DBBC622" w:rsidR="00751125" w:rsidRDefault="00D9673A" w:rsidP="00751125">
          <w:pPr>
            <w:pStyle w:val="Heading2"/>
            <w:rPr>
              <w:lang w:eastAsia="en-US"/>
            </w:rPr>
          </w:pPr>
          <w:bookmarkStart w:id="61" w:name="_Notifiable_events"/>
          <w:bookmarkStart w:id="62" w:name="_Toc107914354"/>
          <w:bookmarkEnd w:id="61"/>
          <w:r>
            <w:rPr>
              <w:lang w:eastAsia="en-US"/>
            </w:rPr>
            <w:t>Notifiable events</w:t>
          </w:r>
          <w:bookmarkEnd w:id="62"/>
        </w:p>
        <w:p w14:paraId="2E634449" w14:textId="7E70A46B" w:rsidR="007750E2" w:rsidRDefault="008063A9" w:rsidP="001B2726">
          <w:pPr>
            <w:pStyle w:val="Bullet"/>
            <w:numPr>
              <w:ilvl w:val="0"/>
              <w:numId w:val="30"/>
            </w:numPr>
            <w:ind w:left="993" w:hanging="993"/>
            <w:rPr>
              <w:lang w:eastAsia="en-US"/>
            </w:rPr>
          </w:pPr>
          <w:r>
            <w:rPr>
              <w:lang w:eastAsia="en-US"/>
            </w:rPr>
            <w:t>The Act prescribe</w:t>
          </w:r>
          <w:r w:rsidR="002D2C78">
            <w:rPr>
              <w:lang w:eastAsia="en-US"/>
            </w:rPr>
            <w:t>s</w:t>
          </w:r>
          <w:r>
            <w:rPr>
              <w:lang w:eastAsia="en-US"/>
            </w:rPr>
            <w:t xml:space="preserve"> some events as</w:t>
          </w:r>
          <w:r w:rsidR="002D2C78">
            <w:rPr>
              <w:b/>
              <w:bCs/>
              <w:lang w:eastAsia="en-US"/>
            </w:rPr>
            <w:t xml:space="preserve"> </w:t>
          </w:r>
          <w:r w:rsidRPr="00084BE2">
            <w:rPr>
              <w:rStyle w:val="Strong"/>
            </w:rPr>
            <w:t>notifiable events</w:t>
          </w:r>
          <w:r w:rsidR="009550DE">
            <w:rPr>
              <w:lang w:eastAsia="en-US"/>
            </w:rPr>
            <w:t xml:space="preserve"> which are reported in payment times reports</w:t>
          </w:r>
          <w:r w:rsidR="00782D69">
            <w:rPr>
              <w:lang w:eastAsia="en-US"/>
            </w:rPr>
            <w:t xml:space="preserve">. </w:t>
          </w:r>
          <w:hyperlink w:anchor="_Table_7:_Guidance" w:history="1">
            <w:r w:rsidR="009550DE" w:rsidRPr="00084BE2">
              <w:rPr>
                <w:rStyle w:val="Hyperlink"/>
                <w:rFonts w:ascii="Calibri" w:hAnsi="Calibri"/>
                <w:lang w:eastAsia="en-US"/>
              </w:rPr>
              <w:t xml:space="preserve">Table </w:t>
            </w:r>
            <w:r w:rsidR="00DD49A8">
              <w:rPr>
                <w:rStyle w:val="Hyperlink"/>
                <w:rFonts w:ascii="Calibri" w:hAnsi="Calibri"/>
                <w:lang w:eastAsia="en-US"/>
              </w:rPr>
              <w:t>7</w:t>
            </w:r>
          </w:hyperlink>
          <w:r w:rsidR="009550DE">
            <w:rPr>
              <w:lang w:eastAsia="en-US"/>
            </w:rPr>
            <w:t xml:space="preserve"> provides guidance on the information that should be provided when giving these notifications.</w:t>
          </w:r>
        </w:p>
        <w:p w14:paraId="7A7EF355" w14:textId="6546DF48" w:rsidR="009550DE" w:rsidRPr="001B2726" w:rsidRDefault="009550DE" w:rsidP="00885CC1">
          <w:pPr>
            <w:pStyle w:val="Heading3"/>
            <w:rPr>
              <w:lang w:eastAsia="en-US"/>
            </w:rPr>
          </w:pPr>
          <w:bookmarkStart w:id="63" w:name="_Table_6:_Guidance"/>
          <w:bookmarkStart w:id="64" w:name="_Table_7:_Guidance"/>
          <w:bookmarkStart w:id="65" w:name="_Toc107914355"/>
          <w:bookmarkEnd w:id="63"/>
          <w:bookmarkEnd w:id="64"/>
          <w:r w:rsidRPr="001B2726">
            <w:rPr>
              <w:lang w:eastAsia="en-US"/>
            </w:rPr>
            <w:t xml:space="preserve">Table </w:t>
          </w:r>
          <w:r w:rsidR="00DD49A8">
            <w:rPr>
              <w:lang w:eastAsia="en-US"/>
            </w:rPr>
            <w:t>7</w:t>
          </w:r>
          <w:r w:rsidR="008025D2">
            <w:rPr>
              <w:lang w:eastAsia="en-US"/>
            </w:rPr>
            <w:t>:</w:t>
          </w:r>
          <w:r w:rsidRPr="001B2726">
            <w:rPr>
              <w:lang w:eastAsia="en-US"/>
            </w:rPr>
            <w:t xml:space="preserve"> </w:t>
          </w:r>
          <w:r w:rsidR="007E5DB4" w:rsidRPr="001B2726">
            <w:rPr>
              <w:lang w:eastAsia="en-US"/>
            </w:rPr>
            <w:t>Guidance for reporting n</w:t>
          </w:r>
          <w:r w:rsidRPr="001B2726">
            <w:rPr>
              <w:lang w:eastAsia="en-US"/>
            </w:rPr>
            <w:t>otifiable event</w:t>
          </w:r>
          <w:r w:rsidR="007E5DB4" w:rsidRPr="001B2726">
            <w:rPr>
              <w:lang w:eastAsia="en-US"/>
            </w:rPr>
            <w:t>s</w:t>
          </w:r>
          <w:bookmarkEnd w:id="65"/>
        </w:p>
        <w:tbl>
          <w:tblPr>
            <w:tblStyle w:val="TableGrid"/>
            <w:tblW w:w="0" w:type="auto"/>
            <w:tblCellMar>
              <w:top w:w="113" w:type="dxa"/>
              <w:bottom w:w="113" w:type="dxa"/>
            </w:tblCellMar>
            <w:tblLook w:val="04A0" w:firstRow="1" w:lastRow="0" w:firstColumn="1" w:lastColumn="0" w:noHBand="0" w:noVBand="1"/>
          </w:tblPr>
          <w:tblGrid>
            <w:gridCol w:w="4385"/>
            <w:gridCol w:w="4665"/>
          </w:tblGrid>
          <w:tr w:rsidR="009550DE" w14:paraId="7CBB26FD" w14:textId="77777777" w:rsidTr="00084BE2">
            <w:tc>
              <w:tcPr>
                <w:tcW w:w="4385" w:type="dxa"/>
                <w:tcBorders>
                  <w:top w:val="single" w:sz="6" w:space="0" w:color="auto"/>
                  <w:left w:val="single" w:sz="8" w:space="0" w:color="auto"/>
                  <w:bottom w:val="single" w:sz="6" w:space="0" w:color="auto"/>
                  <w:right w:val="single" w:sz="8" w:space="0" w:color="auto"/>
                </w:tcBorders>
                <w:shd w:val="clear" w:color="auto" w:fill="2C384A"/>
              </w:tcPr>
              <w:p w14:paraId="7349FB63" w14:textId="3DCA3DC1" w:rsidR="009550DE" w:rsidRPr="00084BE2" w:rsidRDefault="009550DE" w:rsidP="00084BE2">
                <w:pPr>
                  <w:spacing w:before="0" w:after="0"/>
                  <w:rPr>
                    <w:b/>
                    <w:bCs/>
                    <w:color w:val="FFFFFF" w:themeColor="background1"/>
                    <w:sz w:val="22"/>
                    <w:szCs w:val="22"/>
                  </w:rPr>
                </w:pPr>
                <w:r w:rsidRPr="00084BE2">
                  <w:rPr>
                    <w:b/>
                    <w:bCs/>
                    <w:color w:val="FFFFFF" w:themeColor="background1"/>
                    <w:sz w:val="22"/>
                    <w:szCs w:val="22"/>
                  </w:rPr>
                  <w:t>Notifiable event</w:t>
                </w:r>
              </w:p>
            </w:tc>
            <w:tc>
              <w:tcPr>
                <w:tcW w:w="4665" w:type="dxa"/>
                <w:tcBorders>
                  <w:top w:val="single" w:sz="6" w:space="0" w:color="auto"/>
                  <w:left w:val="single" w:sz="8" w:space="0" w:color="auto"/>
                  <w:bottom w:val="single" w:sz="6" w:space="0" w:color="auto"/>
                  <w:right w:val="single" w:sz="8" w:space="0" w:color="auto"/>
                </w:tcBorders>
                <w:shd w:val="clear" w:color="auto" w:fill="2C384A"/>
              </w:tcPr>
              <w:p w14:paraId="783DFA60" w14:textId="06B89013" w:rsidR="009550DE" w:rsidRPr="00084BE2" w:rsidRDefault="009550DE" w:rsidP="00084BE2">
                <w:pPr>
                  <w:spacing w:before="0" w:after="0"/>
                  <w:rPr>
                    <w:b/>
                    <w:bCs/>
                    <w:color w:val="FFFFFF" w:themeColor="background1"/>
                    <w:sz w:val="22"/>
                    <w:szCs w:val="22"/>
                  </w:rPr>
                </w:pPr>
                <w:r w:rsidRPr="00084BE2">
                  <w:rPr>
                    <w:b/>
                    <w:bCs/>
                    <w:color w:val="FFFFFF" w:themeColor="background1"/>
                    <w:sz w:val="22"/>
                    <w:szCs w:val="22"/>
                  </w:rPr>
                  <w:t xml:space="preserve">Information </w:t>
                </w:r>
                <w:r w:rsidR="002D2C78" w:rsidRPr="00084BE2">
                  <w:rPr>
                    <w:b/>
                    <w:bCs/>
                    <w:color w:val="FFFFFF" w:themeColor="background1"/>
                    <w:sz w:val="22"/>
                    <w:szCs w:val="22"/>
                  </w:rPr>
                  <w:t xml:space="preserve">to </w:t>
                </w:r>
                <w:r w:rsidRPr="00084BE2">
                  <w:rPr>
                    <w:b/>
                    <w:bCs/>
                    <w:color w:val="FFFFFF" w:themeColor="background1"/>
                    <w:sz w:val="22"/>
                    <w:szCs w:val="22"/>
                  </w:rPr>
                  <w:t>provide</w:t>
                </w:r>
              </w:p>
            </w:tc>
          </w:tr>
          <w:tr w:rsidR="00383907" w14:paraId="04D73544" w14:textId="77777777" w:rsidTr="00084BE2">
            <w:tc>
              <w:tcPr>
                <w:tcW w:w="4385" w:type="dxa"/>
                <w:tcBorders>
                  <w:top w:val="single" w:sz="6" w:space="0" w:color="auto"/>
                  <w:left w:val="single" w:sz="8" w:space="0" w:color="auto"/>
                  <w:bottom w:val="single" w:sz="6" w:space="0" w:color="auto"/>
                  <w:right w:val="single" w:sz="8" w:space="0" w:color="auto"/>
                </w:tcBorders>
                <w:shd w:val="clear" w:color="auto" w:fill="FFFFFF" w:themeFill="background1"/>
              </w:tcPr>
              <w:p w14:paraId="497B9A0F" w14:textId="717BEECF" w:rsidR="00383907" w:rsidRPr="00084BE2" w:rsidRDefault="00E60124" w:rsidP="00084BE2">
                <w:pPr>
                  <w:spacing w:before="0" w:after="0"/>
                  <w:jc w:val="left"/>
                  <w:rPr>
                    <w:sz w:val="22"/>
                    <w:szCs w:val="22"/>
                    <w:lang w:eastAsia="en-US"/>
                  </w:rPr>
                </w:pPr>
                <w:r w:rsidRPr="00084BE2">
                  <w:rPr>
                    <w:sz w:val="22"/>
                    <w:szCs w:val="22"/>
                    <w:lang w:eastAsia="en-US"/>
                  </w:rPr>
                  <w:t>An entity change</w:t>
                </w:r>
                <w:r w:rsidR="00D210CE" w:rsidRPr="00084BE2">
                  <w:rPr>
                    <w:sz w:val="22"/>
                    <w:szCs w:val="22"/>
                    <w:lang w:eastAsia="en-US"/>
                  </w:rPr>
                  <w:t xml:space="preserve">s </w:t>
                </w:r>
                <w:r w:rsidR="008025D2" w:rsidRPr="00084BE2">
                  <w:rPr>
                    <w:sz w:val="22"/>
                    <w:szCs w:val="22"/>
                    <w:lang w:eastAsia="en-US"/>
                  </w:rPr>
                  <w:t>i</w:t>
                </w:r>
                <w:r w:rsidR="00D210CE" w:rsidRPr="00084BE2">
                  <w:rPr>
                    <w:sz w:val="22"/>
                    <w:szCs w:val="22"/>
                    <w:lang w:eastAsia="en-US"/>
                  </w:rPr>
                  <w:t xml:space="preserve">ts accounting period under section 18 or 18A or the </w:t>
                </w:r>
                <w:hyperlink r:id="rId37" w:history="1">
                  <w:r w:rsidR="002D2C78" w:rsidRPr="00084BE2">
                    <w:rPr>
                      <w:rStyle w:val="Hyperlink"/>
                      <w:i/>
                      <w:iCs/>
                      <w:szCs w:val="22"/>
                    </w:rPr>
                    <w:t>Income</w:t>
                  </w:r>
                  <w:r w:rsidR="002D2C78" w:rsidRPr="00084BE2">
                    <w:rPr>
                      <w:rStyle w:val="Hyperlink"/>
                      <w:szCs w:val="22"/>
                      <w:lang w:eastAsia="en-US"/>
                    </w:rPr>
                    <w:t xml:space="preserve"> </w:t>
                  </w:r>
                  <w:r w:rsidR="00D210CE" w:rsidRPr="00084BE2">
                    <w:rPr>
                      <w:rStyle w:val="Hyperlink"/>
                      <w:i/>
                      <w:iCs/>
                      <w:szCs w:val="22"/>
                    </w:rPr>
                    <w:t>Tax Assessment Act 1936</w:t>
                  </w:r>
                </w:hyperlink>
                <w:r w:rsidR="008025D2" w:rsidRPr="00084BE2">
                  <w:rPr>
                    <w:sz w:val="22"/>
                    <w:szCs w:val="22"/>
                    <w:lang w:eastAsia="en-US"/>
                  </w:rPr>
                  <w:t>.</w:t>
                </w:r>
              </w:p>
            </w:tc>
            <w:tc>
              <w:tcPr>
                <w:tcW w:w="4665" w:type="dxa"/>
                <w:tcBorders>
                  <w:top w:val="single" w:sz="6" w:space="0" w:color="auto"/>
                  <w:left w:val="single" w:sz="8" w:space="0" w:color="auto"/>
                  <w:bottom w:val="single" w:sz="6" w:space="0" w:color="auto"/>
                  <w:right w:val="single" w:sz="8" w:space="0" w:color="auto"/>
                </w:tcBorders>
                <w:shd w:val="clear" w:color="auto" w:fill="FFFFFF" w:themeFill="background1"/>
              </w:tcPr>
              <w:p w14:paraId="25D20359" w14:textId="4F4D35A9" w:rsidR="00383907" w:rsidRPr="00084BE2" w:rsidRDefault="002D2C78" w:rsidP="00084BE2">
                <w:pPr>
                  <w:spacing w:before="0" w:after="0"/>
                  <w:jc w:val="left"/>
                  <w:rPr>
                    <w:sz w:val="22"/>
                    <w:szCs w:val="22"/>
                  </w:rPr>
                </w:pPr>
                <w:r w:rsidRPr="00084BE2">
                  <w:rPr>
                    <w:sz w:val="22"/>
                    <w:szCs w:val="22"/>
                  </w:rPr>
                  <w:t>D</w:t>
                </w:r>
                <w:r w:rsidR="000951B2" w:rsidRPr="00084BE2">
                  <w:rPr>
                    <w:sz w:val="22"/>
                    <w:szCs w:val="22"/>
                  </w:rPr>
                  <w:t xml:space="preserve">etails of the previous tax year, the new tax year and any transitional reporting requirements </w:t>
                </w:r>
                <w:r w:rsidR="00DB1E4C" w:rsidRPr="00084BE2">
                  <w:rPr>
                    <w:sz w:val="22"/>
                    <w:szCs w:val="22"/>
                  </w:rPr>
                  <w:t>(</w:t>
                </w:r>
                <w:r w:rsidRPr="00084BE2">
                  <w:rPr>
                    <w:sz w:val="22"/>
                    <w:szCs w:val="22"/>
                  </w:rPr>
                  <w:t>such as</w:t>
                </w:r>
                <w:r w:rsidR="00DB1E4C" w:rsidRPr="00084BE2">
                  <w:rPr>
                    <w:sz w:val="22"/>
                    <w:szCs w:val="22"/>
                  </w:rPr>
                  <w:t xml:space="preserve"> stub </w:t>
                </w:r>
                <w:r w:rsidR="00CD11C4" w:rsidRPr="00084BE2">
                  <w:rPr>
                    <w:sz w:val="22"/>
                    <w:szCs w:val="22"/>
                  </w:rPr>
                  <w:t>periods)</w:t>
                </w:r>
                <w:r w:rsidR="008025D2" w:rsidRPr="00084BE2">
                  <w:rPr>
                    <w:sz w:val="22"/>
                    <w:szCs w:val="22"/>
                  </w:rPr>
                  <w:t>.</w:t>
                </w:r>
              </w:p>
            </w:tc>
          </w:tr>
          <w:tr w:rsidR="00E60124" w14:paraId="4B635E0F" w14:textId="77777777" w:rsidTr="00084BE2">
            <w:tc>
              <w:tcPr>
                <w:tcW w:w="4385" w:type="dxa"/>
                <w:tcBorders>
                  <w:top w:val="single" w:sz="6" w:space="0" w:color="auto"/>
                  <w:left w:val="single" w:sz="8" w:space="0" w:color="auto"/>
                  <w:bottom w:val="single" w:sz="6" w:space="0" w:color="auto"/>
                  <w:right w:val="single" w:sz="8" w:space="0" w:color="auto"/>
                </w:tcBorders>
                <w:shd w:val="clear" w:color="auto" w:fill="FFFFFF" w:themeFill="background1"/>
              </w:tcPr>
              <w:p w14:paraId="391DC5B9" w14:textId="6426236E" w:rsidR="00E60124" w:rsidRPr="00084BE2" w:rsidRDefault="00E60124" w:rsidP="00084BE2">
                <w:pPr>
                  <w:spacing w:before="0" w:after="0"/>
                  <w:jc w:val="left"/>
                  <w:rPr>
                    <w:sz w:val="22"/>
                    <w:szCs w:val="22"/>
                    <w:lang w:eastAsia="en-US"/>
                  </w:rPr>
                </w:pPr>
                <w:r w:rsidRPr="00084BE2">
                  <w:rPr>
                    <w:sz w:val="22"/>
                    <w:szCs w:val="22"/>
                    <w:lang w:eastAsia="en-US"/>
                  </w:rPr>
                  <w:t>Entity notified</w:t>
                </w:r>
                <w:r w:rsidR="00855AA1">
                  <w:rPr>
                    <w:sz w:val="22"/>
                    <w:szCs w:val="22"/>
                    <w:lang w:eastAsia="en-US"/>
                  </w:rPr>
                  <w:t xml:space="preserve"> that</w:t>
                </w:r>
                <w:r w:rsidRPr="00084BE2">
                  <w:rPr>
                    <w:sz w:val="22"/>
                    <w:szCs w:val="22"/>
                    <w:lang w:eastAsia="en-US"/>
                  </w:rPr>
                  <w:t xml:space="preserve"> a business name, or different business name, has become registered on the </w:t>
                </w:r>
                <w:hyperlink r:id="rId38" w:history="1">
                  <w:r w:rsidRPr="00084BE2">
                    <w:rPr>
                      <w:rStyle w:val="Hyperlink"/>
                      <w:rFonts w:ascii="Calibri" w:hAnsi="Calibri"/>
                      <w:szCs w:val="22"/>
                      <w:lang w:eastAsia="en-US"/>
                    </w:rPr>
                    <w:t>Business Names Register</w:t>
                  </w:r>
                </w:hyperlink>
                <w:r w:rsidR="008025D2" w:rsidRPr="00084BE2">
                  <w:rPr>
                    <w:sz w:val="22"/>
                    <w:szCs w:val="22"/>
                    <w:lang w:eastAsia="en-US"/>
                  </w:rPr>
                  <w:t>.</w:t>
                </w:r>
              </w:p>
            </w:tc>
            <w:tc>
              <w:tcPr>
                <w:tcW w:w="4665" w:type="dxa"/>
                <w:tcBorders>
                  <w:top w:val="single" w:sz="6" w:space="0" w:color="auto"/>
                  <w:left w:val="single" w:sz="8" w:space="0" w:color="auto"/>
                  <w:bottom w:val="single" w:sz="6" w:space="0" w:color="auto"/>
                  <w:right w:val="single" w:sz="8" w:space="0" w:color="auto"/>
                </w:tcBorders>
                <w:shd w:val="clear" w:color="auto" w:fill="FFFFFF" w:themeFill="background1"/>
              </w:tcPr>
              <w:p w14:paraId="46371D14" w14:textId="3CAB5B72" w:rsidR="00E60124" w:rsidRPr="00084BE2" w:rsidRDefault="004D656A" w:rsidP="00084BE2">
                <w:pPr>
                  <w:spacing w:before="0" w:after="0"/>
                  <w:jc w:val="left"/>
                  <w:rPr>
                    <w:sz w:val="22"/>
                    <w:szCs w:val="22"/>
                  </w:rPr>
                </w:pPr>
                <w:r w:rsidRPr="00084BE2">
                  <w:rPr>
                    <w:sz w:val="22"/>
                    <w:szCs w:val="22"/>
                  </w:rPr>
                  <w:t>The new business name and date of registration</w:t>
                </w:r>
                <w:r w:rsidR="00782D69" w:rsidRPr="00084BE2">
                  <w:rPr>
                    <w:sz w:val="22"/>
                    <w:szCs w:val="22"/>
                  </w:rPr>
                  <w:t xml:space="preserve">. </w:t>
                </w:r>
                <w:r w:rsidR="00020F2B" w:rsidRPr="00084BE2">
                  <w:rPr>
                    <w:sz w:val="22"/>
                    <w:szCs w:val="22"/>
                  </w:rPr>
                  <w:t>W</w:t>
                </w:r>
                <w:r w:rsidR="00AA4E80" w:rsidRPr="00084BE2">
                  <w:rPr>
                    <w:sz w:val="22"/>
                    <w:szCs w:val="22"/>
                  </w:rPr>
                  <w:t xml:space="preserve">hether prior name/s are </w:t>
                </w:r>
                <w:r w:rsidRPr="00084BE2">
                  <w:rPr>
                    <w:sz w:val="22"/>
                    <w:szCs w:val="22"/>
                  </w:rPr>
                  <w:t xml:space="preserve">no longer </w:t>
                </w:r>
                <w:r w:rsidR="00020F2B" w:rsidRPr="00084BE2">
                  <w:rPr>
                    <w:sz w:val="22"/>
                    <w:szCs w:val="22"/>
                  </w:rPr>
                  <w:t>use</w:t>
                </w:r>
                <w:r w:rsidR="00AA4E80" w:rsidRPr="00084BE2">
                  <w:rPr>
                    <w:sz w:val="22"/>
                    <w:szCs w:val="22"/>
                  </w:rPr>
                  <w:t>d by the entity.</w:t>
                </w:r>
                <w:r w:rsidRPr="00084BE2">
                  <w:rPr>
                    <w:sz w:val="22"/>
                    <w:szCs w:val="22"/>
                  </w:rPr>
                  <w:t xml:space="preserve"> </w:t>
                </w:r>
              </w:p>
            </w:tc>
          </w:tr>
          <w:tr w:rsidR="00845C8A" w14:paraId="12157DF6" w14:textId="77777777" w:rsidTr="00084BE2">
            <w:tc>
              <w:tcPr>
                <w:tcW w:w="4385" w:type="dxa"/>
                <w:tcBorders>
                  <w:top w:val="single" w:sz="6" w:space="0" w:color="auto"/>
                  <w:left w:val="single" w:sz="8" w:space="0" w:color="auto"/>
                  <w:bottom w:val="single" w:sz="6" w:space="0" w:color="auto"/>
                  <w:right w:val="single" w:sz="8" w:space="0" w:color="auto"/>
                </w:tcBorders>
                <w:shd w:val="clear" w:color="auto" w:fill="FFFFFF" w:themeFill="background1"/>
              </w:tcPr>
              <w:p w14:paraId="1383A78B" w14:textId="1A2A90E7" w:rsidR="00845C8A" w:rsidRPr="00084BE2" w:rsidRDefault="008C4DCD" w:rsidP="00084BE2">
                <w:pPr>
                  <w:spacing w:before="0" w:after="0"/>
                  <w:jc w:val="left"/>
                  <w:rPr>
                    <w:sz w:val="22"/>
                    <w:szCs w:val="22"/>
                    <w:lang w:eastAsia="en-US"/>
                  </w:rPr>
                </w:pPr>
                <w:r w:rsidRPr="00084BE2">
                  <w:rPr>
                    <w:sz w:val="22"/>
                    <w:szCs w:val="22"/>
                    <w:lang w:eastAsia="en-US"/>
                  </w:rPr>
                  <w:t>A m</w:t>
                </w:r>
                <w:r w:rsidR="00AA2251" w:rsidRPr="00084BE2">
                  <w:rPr>
                    <w:sz w:val="22"/>
                    <w:szCs w:val="22"/>
                    <w:lang w:eastAsia="en-US"/>
                  </w:rPr>
                  <w:t xml:space="preserve">ember entity </w:t>
                </w:r>
                <w:r w:rsidR="007906F5" w:rsidRPr="00084BE2">
                  <w:rPr>
                    <w:sz w:val="22"/>
                    <w:szCs w:val="22"/>
                    <w:lang w:eastAsia="en-US"/>
                  </w:rPr>
                  <w:t xml:space="preserve">has </w:t>
                </w:r>
                <w:r w:rsidR="00E60124" w:rsidRPr="00084BE2">
                  <w:rPr>
                    <w:sz w:val="22"/>
                    <w:szCs w:val="22"/>
                    <w:lang w:eastAsia="en-US"/>
                  </w:rPr>
                  <w:t xml:space="preserve">less than </w:t>
                </w:r>
                <w:r w:rsidR="00D86733">
                  <w:rPr>
                    <w:sz w:val="22"/>
                    <w:szCs w:val="22"/>
                    <w:lang w:eastAsia="en-US"/>
                  </w:rPr>
                  <w:t>A</w:t>
                </w:r>
                <w:r w:rsidR="00E60124" w:rsidRPr="00084BE2">
                  <w:rPr>
                    <w:sz w:val="22"/>
                    <w:szCs w:val="22"/>
                    <w:lang w:eastAsia="en-US"/>
                  </w:rPr>
                  <w:t xml:space="preserve">$10 million in </w:t>
                </w:r>
                <w:r w:rsidRPr="00084BE2">
                  <w:rPr>
                    <w:sz w:val="22"/>
                    <w:szCs w:val="22"/>
                    <w:lang w:eastAsia="en-US"/>
                  </w:rPr>
                  <w:t xml:space="preserve">total income for each of its </w:t>
                </w:r>
                <w:r w:rsidR="00020F2B" w:rsidRPr="00084BE2">
                  <w:rPr>
                    <w:sz w:val="22"/>
                    <w:szCs w:val="22"/>
                    <w:lang w:eastAsia="en-US"/>
                  </w:rPr>
                  <w:t>2</w:t>
                </w:r>
                <w:r w:rsidRPr="00084BE2">
                  <w:rPr>
                    <w:sz w:val="22"/>
                    <w:szCs w:val="22"/>
                    <w:lang w:eastAsia="en-US"/>
                  </w:rPr>
                  <w:t xml:space="preserve"> most recent income years</w:t>
                </w:r>
                <w:r w:rsidR="00E60124" w:rsidRPr="00084BE2">
                  <w:rPr>
                    <w:sz w:val="22"/>
                    <w:szCs w:val="22"/>
                    <w:lang w:eastAsia="en-US"/>
                  </w:rPr>
                  <w:t>.</w:t>
                </w:r>
              </w:p>
            </w:tc>
            <w:tc>
              <w:tcPr>
                <w:tcW w:w="4665" w:type="dxa"/>
                <w:tcBorders>
                  <w:top w:val="single" w:sz="6" w:space="0" w:color="auto"/>
                  <w:left w:val="single" w:sz="8" w:space="0" w:color="auto"/>
                  <w:bottom w:val="single" w:sz="6" w:space="0" w:color="auto"/>
                  <w:right w:val="single" w:sz="8" w:space="0" w:color="auto"/>
                </w:tcBorders>
                <w:shd w:val="clear" w:color="auto" w:fill="FFFFFF" w:themeFill="background1"/>
              </w:tcPr>
              <w:p w14:paraId="072B609C" w14:textId="3FB6B241" w:rsidR="000F611F" w:rsidRPr="00084BE2" w:rsidRDefault="000F611F" w:rsidP="00084BE2">
                <w:pPr>
                  <w:spacing w:before="0"/>
                  <w:jc w:val="left"/>
                  <w:rPr>
                    <w:sz w:val="22"/>
                    <w:szCs w:val="22"/>
                  </w:rPr>
                </w:pPr>
                <w:r w:rsidRPr="00084BE2">
                  <w:rPr>
                    <w:sz w:val="22"/>
                    <w:szCs w:val="22"/>
                  </w:rPr>
                  <w:t>State</w:t>
                </w:r>
                <w:r w:rsidR="00C5246F" w:rsidRPr="00084BE2">
                  <w:rPr>
                    <w:sz w:val="22"/>
                    <w:szCs w:val="22"/>
                  </w:rPr>
                  <w:t xml:space="preserve"> the following</w:t>
                </w:r>
                <w:r w:rsidRPr="00084BE2">
                  <w:rPr>
                    <w:sz w:val="22"/>
                    <w:szCs w:val="22"/>
                  </w:rPr>
                  <w:t>:</w:t>
                </w:r>
              </w:p>
              <w:p w14:paraId="3CBF4DB9" w14:textId="4073126F" w:rsidR="00845C8A" w:rsidRPr="00084BE2" w:rsidRDefault="00D17D2D" w:rsidP="00084BE2">
                <w:pPr>
                  <w:spacing w:before="0" w:after="0"/>
                  <w:jc w:val="left"/>
                  <w:rPr>
                    <w:i/>
                    <w:iCs/>
                    <w:sz w:val="22"/>
                    <w:szCs w:val="22"/>
                  </w:rPr>
                </w:pPr>
                <w:r>
                  <w:rPr>
                    <w:i/>
                    <w:iCs/>
                    <w:sz w:val="22"/>
                    <w:szCs w:val="22"/>
                  </w:rPr>
                  <w:t>‘</w:t>
                </w:r>
                <w:r w:rsidR="000F611F" w:rsidRPr="00084BE2">
                  <w:rPr>
                    <w:i/>
                    <w:iCs/>
                    <w:sz w:val="22"/>
                    <w:szCs w:val="22"/>
                  </w:rPr>
                  <w:t xml:space="preserve">This entity last had income greater than </w:t>
                </w:r>
                <w:r w:rsidR="00AE5F2E">
                  <w:rPr>
                    <w:i/>
                    <w:iCs/>
                    <w:sz w:val="22"/>
                    <w:szCs w:val="22"/>
                  </w:rPr>
                  <w:br/>
                </w:r>
                <w:r w:rsidR="00D86733">
                  <w:rPr>
                    <w:i/>
                    <w:iCs/>
                    <w:sz w:val="22"/>
                    <w:szCs w:val="22"/>
                  </w:rPr>
                  <w:t>A</w:t>
                </w:r>
                <w:r w:rsidR="000F611F" w:rsidRPr="00084BE2">
                  <w:rPr>
                    <w:i/>
                    <w:iCs/>
                    <w:sz w:val="22"/>
                    <w:szCs w:val="22"/>
                  </w:rPr>
                  <w:t>$10 million in its income year ending [</w:t>
                </w:r>
                <w:r w:rsidR="00B832F0" w:rsidRPr="00084BE2">
                  <w:rPr>
                    <w:i/>
                    <w:iCs/>
                    <w:sz w:val="22"/>
                    <w:szCs w:val="22"/>
                  </w:rPr>
                  <w:t>date of period]</w:t>
                </w:r>
                <w:r w:rsidR="00782D69" w:rsidRPr="00084BE2">
                  <w:rPr>
                    <w:i/>
                    <w:iCs/>
                    <w:sz w:val="22"/>
                    <w:szCs w:val="22"/>
                  </w:rPr>
                  <w:t xml:space="preserve">. </w:t>
                </w:r>
                <w:r w:rsidR="00B832F0" w:rsidRPr="00084BE2">
                  <w:rPr>
                    <w:i/>
                    <w:iCs/>
                    <w:sz w:val="22"/>
                    <w:szCs w:val="22"/>
                  </w:rPr>
                  <w:t xml:space="preserve">The entity’s income for the </w:t>
                </w:r>
                <w:r w:rsidR="00020F2B" w:rsidRPr="00084BE2">
                  <w:rPr>
                    <w:i/>
                    <w:iCs/>
                    <w:sz w:val="22"/>
                    <w:szCs w:val="22"/>
                  </w:rPr>
                  <w:t>2</w:t>
                </w:r>
                <w:r w:rsidR="00B832F0" w:rsidRPr="00084BE2">
                  <w:rPr>
                    <w:i/>
                    <w:iCs/>
                    <w:sz w:val="22"/>
                    <w:szCs w:val="22"/>
                  </w:rPr>
                  <w:t xml:space="preserve"> most recent income years has been less than </w:t>
                </w:r>
                <w:r w:rsidR="00D86733">
                  <w:rPr>
                    <w:i/>
                    <w:iCs/>
                    <w:sz w:val="22"/>
                    <w:szCs w:val="22"/>
                  </w:rPr>
                  <w:t>A</w:t>
                </w:r>
                <w:r w:rsidR="00B832F0" w:rsidRPr="00084BE2">
                  <w:rPr>
                    <w:i/>
                    <w:iCs/>
                    <w:sz w:val="22"/>
                    <w:szCs w:val="22"/>
                  </w:rPr>
                  <w:t>$10 million</w:t>
                </w:r>
                <w:r w:rsidR="00020F2B" w:rsidRPr="00084BE2">
                  <w:rPr>
                    <w:i/>
                    <w:iCs/>
                    <w:sz w:val="22"/>
                    <w:szCs w:val="22"/>
                  </w:rPr>
                  <w:t>.</w:t>
                </w:r>
                <w:r>
                  <w:rPr>
                    <w:i/>
                    <w:iCs/>
                    <w:sz w:val="22"/>
                    <w:szCs w:val="22"/>
                  </w:rPr>
                  <w:t>’</w:t>
                </w:r>
                <w:r w:rsidR="000F611F" w:rsidRPr="00084BE2">
                  <w:rPr>
                    <w:i/>
                    <w:iCs/>
                    <w:sz w:val="22"/>
                    <w:szCs w:val="22"/>
                  </w:rPr>
                  <w:t xml:space="preserve"> </w:t>
                </w:r>
              </w:p>
            </w:tc>
          </w:tr>
        </w:tbl>
        <w:p w14:paraId="0BCB3BDE" w14:textId="539D565E" w:rsidR="00CC1665" w:rsidRDefault="0044263D" w:rsidP="00084BE2">
          <w:pPr>
            <w:pStyle w:val="Bullet"/>
            <w:numPr>
              <w:ilvl w:val="0"/>
              <w:numId w:val="30"/>
            </w:numPr>
            <w:spacing w:before="240"/>
            <w:ind w:left="993" w:hanging="993"/>
            <w:rPr>
              <w:lang w:eastAsia="en-US"/>
            </w:rPr>
          </w:pPr>
          <w:bookmarkStart w:id="66" w:name="_Hlk106732001"/>
          <w:r>
            <w:rPr>
              <w:lang w:eastAsia="en-US"/>
            </w:rPr>
            <w:t xml:space="preserve">If a reporting entity fails to report a notifiable event </w:t>
          </w:r>
          <w:r w:rsidR="00CA4C6D">
            <w:rPr>
              <w:lang w:eastAsia="en-US"/>
            </w:rPr>
            <w:t xml:space="preserve">it may </w:t>
          </w:r>
          <w:r w:rsidR="00D86733">
            <w:rPr>
              <w:lang w:eastAsia="en-US"/>
            </w:rPr>
            <w:t xml:space="preserve">result in </w:t>
          </w:r>
          <w:r w:rsidR="001F6324">
            <w:rPr>
              <w:lang w:eastAsia="en-US"/>
            </w:rPr>
            <w:t xml:space="preserve">a </w:t>
          </w:r>
          <w:r w:rsidR="00D86733">
            <w:rPr>
              <w:lang w:eastAsia="en-US"/>
            </w:rPr>
            <w:t xml:space="preserve">report being false or misleading and require lodgement of </w:t>
          </w:r>
          <w:r w:rsidR="00CA4C6D">
            <w:rPr>
              <w:lang w:eastAsia="en-US"/>
            </w:rPr>
            <w:t>a revised report with information regarding the noti</w:t>
          </w:r>
          <w:r w:rsidR="00CC1665">
            <w:rPr>
              <w:lang w:eastAsia="en-US"/>
            </w:rPr>
            <w:t xml:space="preserve">fiable event. This may </w:t>
          </w:r>
          <w:r w:rsidR="001F6324">
            <w:rPr>
              <w:lang w:eastAsia="en-US"/>
            </w:rPr>
            <w:t xml:space="preserve">still be the case </w:t>
          </w:r>
          <w:r w:rsidR="00CC1665">
            <w:rPr>
              <w:lang w:eastAsia="en-US"/>
            </w:rPr>
            <w:t xml:space="preserve">even where a reporting entity only becomes aware of the notifiable event after lodgement. For more information see </w:t>
          </w:r>
          <w:hyperlink w:anchor="_Revised_payment_times" w:history="1">
            <w:r w:rsidR="00CC1665" w:rsidRPr="00551345">
              <w:rPr>
                <w:rStyle w:val="Hyperlink"/>
                <w:rFonts w:ascii="Calibri" w:hAnsi="Calibri"/>
                <w:lang w:eastAsia="en-US"/>
              </w:rPr>
              <w:t xml:space="preserve">Revised </w:t>
            </w:r>
            <w:r w:rsidR="00551345">
              <w:rPr>
                <w:rStyle w:val="Hyperlink"/>
                <w:rFonts w:ascii="Calibri" w:hAnsi="Calibri"/>
                <w:lang w:eastAsia="en-US"/>
              </w:rPr>
              <w:t xml:space="preserve">payment times </w:t>
            </w:r>
            <w:r w:rsidR="00CC1665" w:rsidRPr="00551345">
              <w:rPr>
                <w:rStyle w:val="Hyperlink"/>
                <w:rFonts w:ascii="Calibri" w:hAnsi="Calibri"/>
                <w:lang w:eastAsia="en-US"/>
              </w:rPr>
              <w:t>reports</w:t>
            </w:r>
          </w:hyperlink>
          <w:r w:rsidR="00CC1665">
            <w:rPr>
              <w:lang w:eastAsia="en-US"/>
            </w:rPr>
            <w:t>.</w:t>
          </w:r>
        </w:p>
        <w:p w14:paraId="69AD1C9A" w14:textId="5A0520EE" w:rsidR="00295573" w:rsidRPr="009012FF" w:rsidRDefault="00CC1665" w:rsidP="009012FF">
          <w:pPr>
            <w:pStyle w:val="Bullet"/>
            <w:numPr>
              <w:ilvl w:val="0"/>
              <w:numId w:val="30"/>
            </w:numPr>
            <w:spacing w:before="160" w:after="160"/>
            <w:ind w:left="993" w:hanging="993"/>
            <w:rPr>
              <w:rFonts w:asciiTheme="minorHAnsi" w:hAnsiTheme="minorHAnsi" w:cstheme="minorHAnsi"/>
              <w:noProof/>
            </w:rPr>
          </w:pPr>
          <w:r>
            <w:rPr>
              <w:lang w:eastAsia="en-US"/>
            </w:rPr>
            <w:t xml:space="preserve">If a member entity fails to give notice of its income falling below </w:t>
          </w:r>
          <w:r w:rsidR="001F6324">
            <w:rPr>
              <w:lang w:eastAsia="en-US"/>
            </w:rPr>
            <w:t>A</w:t>
          </w:r>
          <w:r>
            <w:rPr>
              <w:lang w:eastAsia="en-US"/>
            </w:rPr>
            <w:t>$10 million for each of its 2 most recent income years</w:t>
          </w:r>
          <w:r w:rsidR="00551345">
            <w:rPr>
              <w:lang w:eastAsia="en-US"/>
            </w:rPr>
            <w:t>,</w:t>
          </w:r>
          <w:r>
            <w:rPr>
              <w:lang w:eastAsia="en-US"/>
            </w:rPr>
            <w:t xml:space="preserve"> and continues to submit payment times reports while not a reporting entity, we may remove these reports from the </w:t>
          </w:r>
          <w:hyperlink r:id="rId39" w:history="1">
            <w:r w:rsidRPr="00DD49A8">
              <w:rPr>
                <w:rStyle w:val="Hyperlink"/>
                <w:rFonts w:ascii="Calibri" w:hAnsi="Calibri"/>
                <w:lang w:eastAsia="en-US"/>
              </w:rPr>
              <w:t>Payment Times Report</w:t>
            </w:r>
            <w:r w:rsidR="00D17D2D" w:rsidRPr="00DD49A8">
              <w:rPr>
                <w:rStyle w:val="Hyperlink"/>
                <w:rFonts w:ascii="Calibri" w:hAnsi="Calibri"/>
                <w:lang w:eastAsia="en-US"/>
              </w:rPr>
              <w:t>s</w:t>
            </w:r>
            <w:r w:rsidRPr="00DD49A8">
              <w:rPr>
                <w:rStyle w:val="Hyperlink"/>
                <w:rFonts w:ascii="Calibri" w:hAnsi="Calibri"/>
                <w:lang w:eastAsia="en-US"/>
              </w:rPr>
              <w:t xml:space="preserve"> Register</w:t>
            </w:r>
          </w:hyperlink>
          <w:r>
            <w:rPr>
              <w:lang w:eastAsia="en-US"/>
            </w:rPr>
            <w:t xml:space="preserve"> after the notifiable event is reported. </w:t>
          </w:r>
        </w:p>
        <w:bookmarkEnd w:id="66" w:displacedByCustomXml="next"/>
      </w:sdtContent>
    </w:sdt>
    <w:sectPr w:rsidR="00295573" w:rsidRPr="009012FF" w:rsidSect="00962264">
      <w:headerReference w:type="even" r:id="rId40"/>
      <w:headerReference w:type="default" r:id="rId41"/>
      <w:footerReference w:type="even" r:id="rId42"/>
      <w:footerReference w:type="default" r:id="rId43"/>
      <w:headerReference w:type="first" r:id="rId44"/>
      <w:pgSz w:w="11906" w:h="16838" w:code="9"/>
      <w:pgMar w:top="1559" w:right="1418" w:bottom="1134"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E5F84" w14:textId="77777777" w:rsidR="00B7109E" w:rsidRDefault="00B7109E">
      <w:pPr>
        <w:spacing w:before="0" w:after="0"/>
      </w:pPr>
      <w:r>
        <w:separator/>
      </w:r>
    </w:p>
  </w:endnote>
  <w:endnote w:type="continuationSeparator" w:id="0">
    <w:p w14:paraId="4D70D93C" w14:textId="77777777" w:rsidR="00B7109E" w:rsidRDefault="00B7109E">
      <w:pPr>
        <w:spacing w:before="0" w:after="0"/>
      </w:pPr>
      <w:r>
        <w:continuationSeparator/>
      </w:r>
    </w:p>
  </w:endnote>
  <w:endnote w:type="continuationNotice" w:id="1">
    <w:p w14:paraId="343B217C" w14:textId="77777777" w:rsidR="00467446" w:rsidRDefault="004674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2298" w14:textId="77777777" w:rsidR="00EF145E" w:rsidRPr="00E77C89" w:rsidRDefault="00EF145E" w:rsidP="00EE1447">
    <w:pPr>
      <w:pStyle w:val="FooterEven"/>
    </w:pPr>
    <w:r>
      <w:fldChar w:fldCharType="begin"/>
    </w:r>
    <w:r>
      <w:instrText xml:space="preserve"> PAGE  \* Arabic  \* MERGEFORMAT </w:instrText>
    </w:r>
    <w:r>
      <w:fldChar w:fldCharType="separate"/>
    </w:r>
    <w:r w:rsidR="00DC6379">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0" w:type="dxa"/>
      <w:tblLook w:val="04A0" w:firstRow="1" w:lastRow="0" w:firstColumn="1" w:lastColumn="0" w:noHBand="0" w:noVBand="1"/>
    </w:tblPr>
    <w:tblGrid>
      <w:gridCol w:w="2552"/>
      <w:gridCol w:w="3969"/>
      <w:gridCol w:w="2549"/>
    </w:tblGrid>
    <w:tr w:rsidR="00635103" w:rsidRPr="00C35086" w14:paraId="38C4AEE6" w14:textId="77777777" w:rsidTr="00745615">
      <w:trPr>
        <w:trHeight w:val="574"/>
      </w:trPr>
      <w:tc>
        <w:tcPr>
          <w:tcW w:w="2552" w:type="dxa"/>
          <w:shd w:val="clear" w:color="auto" w:fill="auto"/>
          <w:vAlign w:val="center"/>
        </w:tcPr>
        <w:p w14:paraId="29A4DA75" w14:textId="77777777" w:rsidR="00635103" w:rsidRPr="00C35086" w:rsidRDefault="00635103" w:rsidP="00635103">
          <w:pPr>
            <w:pStyle w:val="HeaderOdd"/>
            <w:tabs>
              <w:tab w:val="left" w:pos="0"/>
              <w:tab w:val="left" w:pos="2552"/>
            </w:tabs>
            <w:jc w:val="center"/>
            <w:rPr>
              <w:rFonts w:asciiTheme="minorHAnsi" w:hAnsiTheme="minorHAnsi" w:cstheme="minorHAnsi"/>
              <w:b w:val="0"/>
              <w:bCs/>
            </w:rPr>
          </w:pPr>
          <w:r>
            <w:rPr>
              <w:rFonts w:cstheme="minorHAnsi"/>
              <w:b w:val="0"/>
              <w:bCs/>
              <w:noProof/>
              <w:color w:val="FFFFFF" w:themeColor="background1"/>
            </w:rPr>
            <mc:AlternateContent>
              <mc:Choice Requires="wpg">
                <w:drawing>
                  <wp:anchor distT="0" distB="0" distL="114300" distR="114300" simplePos="0" relativeHeight="251658243" behindDoc="1" locked="0" layoutInCell="1" allowOverlap="1" wp14:anchorId="6C767317" wp14:editId="172A196B">
                    <wp:simplePos x="0" y="0"/>
                    <wp:positionH relativeFrom="column">
                      <wp:posOffset>-231775</wp:posOffset>
                    </wp:positionH>
                    <wp:positionV relativeFrom="paragraph">
                      <wp:posOffset>-29210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16" name="Oval 16"/>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Oval 17"/>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Straight Connector 18"/>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19" name="Oval 19"/>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160264E" id="Group 15" o:spid="_x0000_s1026" style="position:absolute;margin-left:-18.25pt;margin-top:-2.3pt;width:14.15pt;height:14.15pt;z-index:-251658237;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">
                    <o:lock v:ext="edit" aspectratio="t"/>
                    <v:oval id="Oval 16"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" filled="f" strokecolor="#b1f0cf" strokeweight="1pt"/>
                    <v:oval id="Oval 17"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" filled="f" strokecolor="#b1f0cf" strokeweight="1pt"/>
                    <v:line id="Straight Connector 18"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" strokecolor="#b1f0cf" strokeweight="1pt"/>
                    <v:oval id="Oval 19"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" filled="f" strokecolor="#b1f0cf" strokeweight="1pt"/>
                    <w10:wrap type="tight"/>
                  </v:group>
                </w:pict>
              </mc:Fallback>
            </mc:AlternateContent>
          </w:r>
          <w:r w:rsidRPr="00C35086">
            <w:rPr>
              <w:rFonts w:asciiTheme="minorHAnsi" w:hAnsiTheme="minorHAnsi" w:cstheme="minorHAnsi"/>
              <w:b w:val="0"/>
              <w:bCs/>
              <w:color w:val="FFFFFF" w:themeColor="background1"/>
            </w:rPr>
            <w:t>paymenttimes.gov.au</w:t>
          </w:r>
        </w:p>
      </w:tc>
      <w:tc>
        <w:tcPr>
          <w:tcW w:w="3969" w:type="dxa"/>
          <w:shd w:val="clear" w:color="auto" w:fill="auto"/>
          <w:vAlign w:val="center"/>
        </w:tcPr>
        <w:p w14:paraId="345D8343" w14:textId="77777777" w:rsidR="00635103" w:rsidRPr="00C35086" w:rsidRDefault="00635103" w:rsidP="00635103">
          <w:pPr>
            <w:pStyle w:val="HeaderOdd"/>
            <w:tabs>
              <w:tab w:val="left" w:pos="0"/>
              <w:tab w:val="left" w:pos="2552"/>
            </w:tabs>
            <w:jc w:val="center"/>
            <w:rPr>
              <w:rFonts w:asciiTheme="minorHAnsi" w:hAnsiTheme="minorHAnsi" w:cstheme="minorHAnsi"/>
            </w:rPr>
          </w:pPr>
          <w:r w:rsidRPr="00C35086">
            <w:rPr>
              <w:rFonts w:cstheme="minorHAnsi"/>
              <w:b w:val="0"/>
              <w:bCs/>
              <w:noProof/>
              <w:color w:val="FFFFFF" w:themeColor="background1"/>
            </w:rPr>
            <w:drawing>
              <wp:anchor distT="0" distB="0" distL="114300" distR="114300" simplePos="0" relativeHeight="251658242" behindDoc="1" locked="0" layoutInCell="1" allowOverlap="1" wp14:anchorId="451DCC40" wp14:editId="7975DFD1">
                <wp:simplePos x="0" y="0"/>
                <wp:positionH relativeFrom="column">
                  <wp:posOffset>360680</wp:posOffset>
                </wp:positionH>
                <wp:positionV relativeFrom="paragraph">
                  <wp:posOffset>-62865</wp:posOffset>
                </wp:positionV>
                <wp:extent cx="194310" cy="194310"/>
                <wp:effectExtent l="0" t="0" r="0" b="0"/>
                <wp:wrapThrough wrapText="bothSides">
                  <wp:wrapPolygon edited="0">
                    <wp:start x="0" y="0"/>
                    <wp:lineTo x="0" y="19059"/>
                    <wp:lineTo x="19059" y="19059"/>
                    <wp:lineTo x="19059" y="0"/>
                    <wp:lineTo x="0" y="0"/>
                  </wp:wrapPolygon>
                </wp:wrapThrough>
                <wp:docPr id="27" name="Graphic 2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 w:val="0"/>
              <w:bCs/>
              <w:color w:val="FFFFFF" w:themeColor="background1"/>
            </w:rPr>
            <w:t>support@paymenttimes.gov.au</w:t>
          </w:r>
        </w:p>
      </w:tc>
      <w:tc>
        <w:tcPr>
          <w:tcW w:w="2549" w:type="dxa"/>
          <w:shd w:val="clear" w:color="auto" w:fill="auto"/>
          <w:vAlign w:val="center"/>
        </w:tcPr>
        <w:p w14:paraId="02816322" w14:textId="77777777" w:rsidR="00635103" w:rsidRPr="00C35086" w:rsidRDefault="00635103" w:rsidP="00745615">
          <w:pPr>
            <w:pStyle w:val="HeaderOdd"/>
            <w:tabs>
              <w:tab w:val="left" w:pos="0"/>
              <w:tab w:val="left" w:pos="2269"/>
            </w:tabs>
            <w:ind w:right="31"/>
            <w:rPr>
              <w:rFonts w:asciiTheme="minorHAnsi" w:hAnsiTheme="minorHAnsi" w:cstheme="minorHAnsi"/>
            </w:rPr>
          </w:pPr>
          <w:r w:rsidRPr="00BB5F59">
            <w:rPr>
              <w:rFonts w:asciiTheme="minorHAnsi" w:hAnsiTheme="minorHAnsi" w:cstheme="minorHAnsi"/>
              <w:b w:val="0"/>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sidRPr="00BB5F59">
            <w:rPr>
              <w:rFonts w:asciiTheme="minorHAnsi" w:hAnsiTheme="minorHAnsi" w:cstheme="minorHAnsi"/>
              <w:color w:val="FFFFFF" w:themeColor="background1"/>
              <w:sz w:val="24"/>
              <w:szCs w:val="24"/>
            </w:rPr>
            <w:t>2</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 w:val="0"/>
              <w:bCs/>
              <w:color w:val="FFFFFF" w:themeColor="background1"/>
            </w:rPr>
            <w:t xml:space="preserve">of </w:t>
          </w:r>
          <w:r w:rsidRPr="00BB5F59">
            <w:rPr>
              <w:rFonts w:cstheme="minorHAnsi"/>
              <w:color w:val="FFFFFF" w:themeColor="background1"/>
            </w:rPr>
            <w:fldChar w:fldCharType="begin"/>
          </w:r>
          <w:r w:rsidRPr="00BB5F59">
            <w:rPr>
              <w:rFonts w:asciiTheme="minorHAnsi" w:hAnsiTheme="minorHAnsi" w:cstheme="minorHAnsi"/>
              <w:color w:val="FFFFFF" w:themeColor="background1"/>
            </w:rPr>
            <w:instrText xml:space="preserve"> NUMPAGES  </w:instrText>
          </w:r>
          <w:r w:rsidRPr="00BB5F59">
            <w:rPr>
              <w:rFonts w:cstheme="minorHAnsi"/>
              <w:color w:val="FFFFFF" w:themeColor="background1"/>
            </w:rPr>
            <w:fldChar w:fldCharType="separate"/>
          </w:r>
          <w:r w:rsidRPr="00BB5F59">
            <w:rPr>
              <w:rFonts w:asciiTheme="minorHAnsi" w:hAnsiTheme="minorHAnsi" w:cstheme="minorHAnsi"/>
              <w:color w:val="FFFFFF" w:themeColor="background1"/>
              <w:sz w:val="24"/>
              <w:szCs w:val="24"/>
            </w:rPr>
            <w:t>7</w:t>
          </w:r>
          <w:r w:rsidRPr="00BB5F59">
            <w:rPr>
              <w:rFonts w:cstheme="minorHAnsi"/>
              <w:color w:val="FFFFFF" w:themeColor="background1"/>
              <w:sz w:val="24"/>
              <w:szCs w:val="24"/>
            </w:rPr>
            <w:fldChar w:fldCharType="end"/>
          </w:r>
        </w:p>
      </w:tc>
    </w:tr>
  </w:tbl>
  <w:p w14:paraId="36F19716" w14:textId="2AB2CACA" w:rsidR="003A6AFC" w:rsidRDefault="00635103" w:rsidP="008F6A18">
    <w:pPr>
      <w:pStyle w:val="Footer"/>
      <w:tabs>
        <w:tab w:val="clear" w:pos="4513"/>
        <w:tab w:val="center" w:pos="8931"/>
        <w:tab w:val="left" w:pos="9026"/>
      </w:tabs>
      <w:jc w:val="left"/>
    </w:pPr>
    <w:r w:rsidRPr="000E4466">
      <w:rPr>
        <w:b/>
        <w:bCs/>
        <w:noProof/>
        <w:color w:val="FFFFFF" w:themeColor="background1"/>
      </w:rPr>
      <w:drawing>
        <wp:anchor distT="0" distB="0" distL="114300" distR="114300" simplePos="0" relativeHeight="251658241" behindDoc="1" locked="0" layoutInCell="1" allowOverlap="1" wp14:anchorId="61DB71B0" wp14:editId="4FD3CE18">
          <wp:simplePos x="0" y="0"/>
          <wp:positionH relativeFrom="page">
            <wp:align>left</wp:align>
          </wp:positionH>
          <wp:positionV relativeFrom="paragraph">
            <wp:posOffset>-469037</wp:posOffset>
          </wp:positionV>
          <wp:extent cx="7562875" cy="97345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2875" cy="973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23FCC" w14:textId="77777777" w:rsidR="00B7109E" w:rsidRDefault="00B7109E">
      <w:pPr>
        <w:spacing w:before="0" w:after="0"/>
      </w:pPr>
      <w:r>
        <w:separator/>
      </w:r>
    </w:p>
  </w:footnote>
  <w:footnote w:type="continuationSeparator" w:id="0">
    <w:p w14:paraId="79F4D10F" w14:textId="77777777" w:rsidR="00B7109E" w:rsidRDefault="00B7109E">
      <w:pPr>
        <w:spacing w:before="0" w:after="0"/>
      </w:pPr>
      <w:r>
        <w:continuationSeparator/>
      </w:r>
    </w:p>
  </w:footnote>
  <w:footnote w:type="continuationNotice" w:id="1">
    <w:p w14:paraId="1E2ABB79" w14:textId="77777777" w:rsidR="00467446" w:rsidRDefault="00467446">
      <w:pPr>
        <w:spacing w:before="0" w:after="0"/>
      </w:pPr>
    </w:p>
  </w:footnote>
  <w:footnote w:id="2">
    <w:p w14:paraId="135CC3B8" w14:textId="5408DDA8" w:rsidR="009F0356" w:rsidRDefault="009F0356">
      <w:pPr>
        <w:pStyle w:val="FootnoteText"/>
      </w:pPr>
      <w:r>
        <w:rPr>
          <w:rStyle w:val="FootnoteReference"/>
        </w:rPr>
        <w:footnoteRef/>
      </w:r>
      <w:r>
        <w:t xml:space="preserve"> </w:t>
      </w:r>
      <w:r w:rsidR="003F6D5F" w:rsidRPr="001B2726">
        <w:rPr>
          <w:i/>
          <w:iCs/>
        </w:rPr>
        <w:t>Payment Times Reporting Act 2020</w:t>
      </w:r>
      <w:r w:rsidR="003F6D5F" w:rsidRPr="003F6D5F">
        <w:t xml:space="preserve"> (Cth)</w:t>
      </w:r>
      <w:r w:rsidR="003F6D5F">
        <w:t xml:space="preserve"> s</w:t>
      </w:r>
      <w:r w:rsidR="00521FD4">
        <w:t xml:space="preserve"> 13(4)</w:t>
      </w:r>
    </w:p>
  </w:footnote>
  <w:footnote w:id="3">
    <w:p w14:paraId="30D624B8" w14:textId="34B85B86" w:rsidR="000362BB" w:rsidRDefault="000362BB">
      <w:pPr>
        <w:pStyle w:val="FootnoteText"/>
      </w:pPr>
      <w:r>
        <w:rPr>
          <w:rStyle w:val="FootnoteReference"/>
        </w:rPr>
        <w:footnoteRef/>
      </w:r>
      <w:r>
        <w:t xml:space="preserve"> </w:t>
      </w:r>
      <w:r w:rsidR="003F6D5F" w:rsidRPr="001B2726">
        <w:rPr>
          <w:i/>
          <w:iCs/>
        </w:rPr>
        <w:t>Payment Times Reporting Act 2020</w:t>
      </w:r>
      <w:r w:rsidR="003F6D5F">
        <w:t xml:space="preserve"> (Cth) s</w:t>
      </w:r>
      <w:r w:rsidR="00B833DC">
        <w:t xml:space="preserve"> </w:t>
      </w:r>
      <w:r w:rsidR="008F5659">
        <w:t>13(3)</w:t>
      </w:r>
      <w:r w:rsidR="003F6D5F">
        <w:t xml:space="preserve">, </w:t>
      </w:r>
      <w:r w:rsidR="003F6D5F" w:rsidRPr="002134EA">
        <w:t>Payment Times Reporting Rules 2020</w:t>
      </w:r>
      <w:r w:rsidR="003F6D5F">
        <w:t xml:space="preserve"> (Cth) </w:t>
      </w:r>
      <w:r w:rsidR="007C4F50">
        <w:t>r</w:t>
      </w:r>
      <w:r w:rsidR="0071565B">
        <w:t xml:space="preserve"> 8 </w:t>
      </w:r>
    </w:p>
  </w:footnote>
  <w:footnote w:id="4">
    <w:p w14:paraId="0E482AE5" w14:textId="77777777" w:rsidR="000F175B" w:rsidRDefault="000F175B" w:rsidP="000F175B">
      <w:pPr>
        <w:pStyle w:val="FootnoteText"/>
      </w:pPr>
      <w:r>
        <w:rPr>
          <w:rStyle w:val="FootnoteReference"/>
        </w:rPr>
        <w:footnoteRef/>
      </w:r>
      <w:r>
        <w:t xml:space="preserve"> </w:t>
      </w:r>
      <w:r w:rsidRPr="002134EA">
        <w:t>Payment Times Reporting Rules 2020</w:t>
      </w:r>
      <w:r>
        <w:t xml:space="preserve"> (Cth) r 8</w:t>
      </w:r>
    </w:p>
  </w:footnote>
  <w:footnote w:id="5">
    <w:p w14:paraId="1A7D4B61" w14:textId="2A55BEE3" w:rsidR="00B833DC" w:rsidRDefault="00B833DC">
      <w:pPr>
        <w:pStyle w:val="FootnoteText"/>
      </w:pPr>
      <w:r>
        <w:rPr>
          <w:rStyle w:val="FootnoteReference"/>
        </w:rPr>
        <w:footnoteRef/>
      </w:r>
      <w:r>
        <w:t xml:space="preserve"> </w:t>
      </w:r>
      <w:r w:rsidR="003F6D5F" w:rsidRPr="001B2726">
        <w:rPr>
          <w:i/>
          <w:iCs/>
        </w:rPr>
        <w:t>Payment Times Reporting Act 2020</w:t>
      </w:r>
      <w:r w:rsidR="003F6D5F">
        <w:t xml:space="preserve"> (Cth) s</w:t>
      </w:r>
      <w:r w:rsidR="00B068CF">
        <w:t xml:space="preserve"> 13(4)(b) </w:t>
      </w:r>
    </w:p>
  </w:footnote>
  <w:footnote w:id="6">
    <w:p w14:paraId="4BAF5587" w14:textId="385B87AB" w:rsidR="00D75AD6" w:rsidRDefault="00D75AD6">
      <w:pPr>
        <w:pStyle w:val="FootnoteText"/>
      </w:pPr>
      <w:r>
        <w:rPr>
          <w:rStyle w:val="FootnoteReference"/>
        </w:rPr>
        <w:footnoteRef/>
      </w:r>
      <w:r w:rsidR="00DB1BC6" w:rsidRPr="001B2726">
        <w:rPr>
          <w:i/>
          <w:iCs/>
        </w:rPr>
        <w:t>Payment Times Reporting Act 2020</w:t>
      </w:r>
      <w:r w:rsidR="00DB1BC6">
        <w:t xml:space="preserve"> (Cth) s</w:t>
      </w:r>
      <w:r>
        <w:t xml:space="preserve"> </w:t>
      </w:r>
      <w:r w:rsidR="00A86F64">
        <w:t>13(5)</w:t>
      </w:r>
      <w:r w:rsidR="00E95CD3">
        <w:t xml:space="preserve"> </w:t>
      </w:r>
    </w:p>
  </w:footnote>
  <w:footnote w:id="7">
    <w:p w14:paraId="7E7775F1" w14:textId="3B085343" w:rsidR="001133C7" w:rsidRDefault="001133C7">
      <w:pPr>
        <w:pStyle w:val="FootnoteText"/>
      </w:pPr>
      <w:r>
        <w:rPr>
          <w:rStyle w:val="FootnoteReference"/>
        </w:rPr>
        <w:footnoteRef/>
      </w:r>
      <w:r>
        <w:t xml:space="preserve"> </w:t>
      </w:r>
      <w:r w:rsidR="00DB1BC6" w:rsidRPr="001B2726">
        <w:rPr>
          <w:i/>
          <w:iCs/>
        </w:rPr>
        <w:t>Payment Times Reporting Act 2020</w:t>
      </w:r>
      <w:r w:rsidR="00DB1BC6">
        <w:t xml:space="preserve"> (Cth) s</w:t>
      </w:r>
      <w:r w:rsidR="00EE6441">
        <w:t xml:space="preserve"> 13(3)(b) </w:t>
      </w:r>
    </w:p>
  </w:footnote>
  <w:footnote w:id="8">
    <w:p w14:paraId="280FDF3C" w14:textId="43603D24" w:rsidR="00FE7806" w:rsidRDefault="00FE7806">
      <w:pPr>
        <w:pStyle w:val="FootnoteText"/>
      </w:pPr>
      <w:r>
        <w:rPr>
          <w:rStyle w:val="FootnoteReference"/>
        </w:rPr>
        <w:footnoteRef/>
      </w:r>
      <w:r>
        <w:t xml:space="preserve"> </w:t>
      </w:r>
      <w:r w:rsidR="00DB1BC6" w:rsidRPr="001B2726">
        <w:rPr>
          <w:i/>
          <w:iCs/>
        </w:rPr>
        <w:t>Payment Times Reporting Act 2020</w:t>
      </w:r>
      <w:r w:rsidR="00DB1BC6">
        <w:t xml:space="preserve"> (Cth) s</w:t>
      </w:r>
      <w:r>
        <w:t xml:space="preserve"> </w:t>
      </w:r>
      <w:r w:rsidR="00C930AC">
        <w:t xml:space="preserve">7(3) and </w:t>
      </w:r>
      <w:r w:rsidR="00DB1BC6">
        <w:t xml:space="preserve">s </w:t>
      </w:r>
      <w:r w:rsidR="00C930AC">
        <w:t>7(7).</w:t>
      </w:r>
    </w:p>
  </w:footnote>
  <w:footnote w:id="9">
    <w:p w14:paraId="69F06F9E" w14:textId="77777777" w:rsidR="00FF655E" w:rsidRDefault="00FF655E" w:rsidP="00FF655E">
      <w:pPr>
        <w:pStyle w:val="FootnoteText"/>
      </w:pPr>
      <w:r>
        <w:rPr>
          <w:rStyle w:val="FootnoteReference"/>
        </w:rPr>
        <w:footnoteRef/>
      </w:r>
      <w:r>
        <w:t xml:space="preserve"> </w:t>
      </w:r>
      <w:r w:rsidRPr="001B2726">
        <w:rPr>
          <w:i/>
          <w:iCs/>
        </w:rPr>
        <w:t>Payment Times Reporting Act 2020</w:t>
      </w:r>
      <w:r>
        <w:t xml:space="preserve"> (Cth) s 7(4) and 7(7)</w:t>
      </w:r>
    </w:p>
  </w:footnote>
  <w:footnote w:id="10">
    <w:p w14:paraId="115E0CDA" w14:textId="52E06D6D" w:rsidR="00711A89" w:rsidRDefault="00711A89">
      <w:pPr>
        <w:pStyle w:val="FootnoteText"/>
      </w:pPr>
      <w:r>
        <w:rPr>
          <w:rStyle w:val="FootnoteReference"/>
        </w:rPr>
        <w:footnoteRef/>
      </w:r>
      <w:r>
        <w:t xml:space="preserve"> </w:t>
      </w:r>
      <w:r w:rsidR="00F3200C" w:rsidRPr="005B2A6C">
        <w:rPr>
          <w:i/>
          <w:iCs/>
        </w:rPr>
        <w:t>Payment Times Reporting Act 2020</w:t>
      </w:r>
      <w:r w:rsidR="00F3200C">
        <w:t xml:space="preserve"> (Cth) s </w:t>
      </w:r>
      <w:r>
        <w:t>7(4</w:t>
      </w:r>
      <w:r w:rsidR="00F3200C">
        <w:t xml:space="preserve">), </w:t>
      </w:r>
      <w:r w:rsidR="00F3200C" w:rsidRPr="00AE5F2E">
        <w:t>Payment Times Reporting Rules 2020</w:t>
      </w:r>
      <w:r w:rsidR="00F3200C">
        <w:t xml:space="preserve"> (Cth) </w:t>
      </w:r>
      <w:r w:rsidR="000F175B">
        <w:t>r</w:t>
      </w:r>
      <w:r w:rsidR="00AB1670">
        <w:t xml:space="preserve"> 11</w:t>
      </w:r>
    </w:p>
  </w:footnote>
  <w:footnote w:id="11">
    <w:p w14:paraId="4FCEADCA" w14:textId="7254DC76" w:rsidR="00650147" w:rsidRDefault="00BF416A">
      <w:pPr>
        <w:pStyle w:val="FootnoteText"/>
      </w:pPr>
      <w:r>
        <w:rPr>
          <w:rStyle w:val="FootnoteReference"/>
        </w:rPr>
        <w:footnoteRef/>
      </w:r>
      <w:r>
        <w:t xml:space="preserve"> </w:t>
      </w:r>
      <w:r w:rsidR="00F3200C" w:rsidRPr="005B2A6C">
        <w:rPr>
          <w:i/>
          <w:iCs/>
        </w:rPr>
        <w:t>Payment Times Reporting Act 2020</w:t>
      </w:r>
      <w:r w:rsidR="00F3200C">
        <w:t xml:space="preserve"> (Cth) s </w:t>
      </w:r>
      <w:r>
        <w:t>7(2)</w:t>
      </w:r>
      <w:r w:rsidR="00650147">
        <w:t>(c)</w:t>
      </w:r>
    </w:p>
  </w:footnote>
  <w:footnote w:id="12">
    <w:p w14:paraId="62ECB6DF" w14:textId="0F47D53A" w:rsidR="00650147" w:rsidRDefault="00650147">
      <w:pPr>
        <w:pStyle w:val="FootnoteText"/>
      </w:pPr>
      <w:r>
        <w:rPr>
          <w:rStyle w:val="FootnoteReference"/>
        </w:rPr>
        <w:footnoteRef/>
      </w:r>
      <w:r>
        <w:t xml:space="preserve"> </w:t>
      </w:r>
      <w:r w:rsidR="00F3200C" w:rsidRPr="005B2A6C">
        <w:rPr>
          <w:i/>
          <w:iCs/>
        </w:rPr>
        <w:t>Payment Times Reporting Act 2020</w:t>
      </w:r>
      <w:r w:rsidR="00F3200C">
        <w:t xml:space="preserve"> (Cth) s </w:t>
      </w:r>
      <w:r>
        <w:t>7(2)</w:t>
      </w:r>
      <w:r w:rsidR="007725AF">
        <w:t>(b)</w:t>
      </w:r>
    </w:p>
  </w:footnote>
  <w:footnote w:id="13">
    <w:p w14:paraId="6B881B0E" w14:textId="77777777" w:rsidR="00CC27F5" w:rsidRDefault="00CC27F5" w:rsidP="00CC27F5">
      <w:pPr>
        <w:pStyle w:val="FootnoteText"/>
      </w:pPr>
      <w:r>
        <w:rPr>
          <w:rStyle w:val="FootnoteReference"/>
        </w:rPr>
        <w:footnoteRef/>
      </w:r>
      <w:r>
        <w:t xml:space="preserve"> </w:t>
      </w:r>
      <w:r w:rsidRPr="00ED63A5">
        <w:rPr>
          <w:i/>
          <w:iCs/>
        </w:rPr>
        <w:t>Payment Times Reporting Act 2020</w:t>
      </w:r>
      <w:r>
        <w:t xml:space="preserve"> (Cth) s 7(1)</w:t>
      </w:r>
    </w:p>
  </w:footnote>
  <w:footnote w:id="14">
    <w:p w14:paraId="6D5EF8FA" w14:textId="2AA68F9E" w:rsidR="00A066C4" w:rsidRPr="00A27F76" w:rsidRDefault="00A066C4">
      <w:pPr>
        <w:pStyle w:val="FootnoteText"/>
      </w:pPr>
      <w:r>
        <w:rPr>
          <w:rStyle w:val="FootnoteReference"/>
        </w:rPr>
        <w:footnoteRef/>
      </w:r>
      <w:r>
        <w:t xml:space="preserve"> </w:t>
      </w:r>
      <w:r w:rsidR="000F175B" w:rsidRPr="001B2726">
        <w:rPr>
          <w:i/>
          <w:iCs/>
        </w:rPr>
        <w:t>Payment Times Reporting Act 2020</w:t>
      </w:r>
      <w:r w:rsidR="000F175B">
        <w:t xml:space="preserve"> (Cth) s </w:t>
      </w:r>
      <w:r w:rsidR="00C44902">
        <w:t>19(3)(a)</w:t>
      </w:r>
      <w:r w:rsidR="000F175B">
        <w:t xml:space="preserve">, </w:t>
      </w:r>
      <w:r w:rsidR="000F175B" w:rsidRPr="00A27F76">
        <w:t>Payment Times Reporting Rules 2020 (Cth) r</w:t>
      </w:r>
      <w:r w:rsidR="00C44902" w:rsidRPr="00A27F76">
        <w:t xml:space="preserve"> 12 </w:t>
      </w:r>
    </w:p>
  </w:footnote>
  <w:footnote w:id="15">
    <w:p w14:paraId="6FF6F71A" w14:textId="2AF36462" w:rsidR="00B7405F" w:rsidRDefault="00B7405F">
      <w:pPr>
        <w:pStyle w:val="FootnoteText"/>
      </w:pPr>
      <w:r>
        <w:rPr>
          <w:rStyle w:val="FootnoteReference"/>
        </w:rPr>
        <w:footnoteRef/>
      </w:r>
      <w:r>
        <w:t xml:space="preserve"> </w:t>
      </w:r>
      <w:r w:rsidR="00E11F17" w:rsidRPr="001B2726">
        <w:rPr>
          <w:i/>
          <w:iCs/>
        </w:rPr>
        <w:t>Payment Times Reporting Act 2020</w:t>
      </w:r>
      <w:r w:rsidR="00E11F17">
        <w:t xml:space="preserve"> (Cth) s</w:t>
      </w:r>
      <w:r>
        <w:t xml:space="preserve"> </w:t>
      </w:r>
      <w:r w:rsidR="00D20BD9">
        <w:t>19(1)-(2)</w:t>
      </w:r>
    </w:p>
  </w:footnote>
  <w:footnote w:id="16">
    <w:p w14:paraId="492BDAB1" w14:textId="2EF166DA" w:rsidR="00FD7F57" w:rsidRDefault="00FD7F57">
      <w:pPr>
        <w:pStyle w:val="FootnoteText"/>
      </w:pPr>
      <w:r>
        <w:rPr>
          <w:rStyle w:val="FootnoteReference"/>
        </w:rPr>
        <w:footnoteRef/>
      </w:r>
      <w:r>
        <w:t xml:space="preserve"> See</w:t>
      </w:r>
      <w:r w:rsidR="00E11F17">
        <w:t xml:space="preserve"> </w:t>
      </w:r>
      <w:r w:rsidR="00E11F17" w:rsidRPr="001B2726">
        <w:rPr>
          <w:i/>
          <w:iCs/>
        </w:rPr>
        <w:t>Payment Times Reporting Act 2020</w:t>
      </w:r>
      <w:r w:rsidR="00E11F17">
        <w:t xml:space="preserve"> (Cth) s</w:t>
      </w:r>
      <w:r>
        <w:t xml:space="preserve"> 19(3)</w:t>
      </w:r>
      <w:r w:rsidR="00855AA1">
        <w:t xml:space="preserve">, </w:t>
      </w:r>
      <w:r w:rsidR="00855AA1" w:rsidRPr="00462480">
        <w:t>Payment Times Reporting Rules 2020</w:t>
      </w:r>
      <w:r w:rsidR="00855AA1">
        <w:t xml:space="preserve"> (Cth) r 12</w:t>
      </w:r>
    </w:p>
  </w:footnote>
  <w:footnote w:id="17">
    <w:p w14:paraId="4A6B9DE7" w14:textId="42032D11" w:rsidR="00A12D56" w:rsidRDefault="00A12D56">
      <w:pPr>
        <w:pStyle w:val="FootnoteText"/>
      </w:pPr>
      <w:r>
        <w:rPr>
          <w:rStyle w:val="FootnoteReference"/>
        </w:rPr>
        <w:footnoteRef/>
      </w:r>
      <w:r>
        <w:t xml:space="preserve"> </w:t>
      </w:r>
      <w:r w:rsidRPr="003C7FE8">
        <w:t>see Explanatory Memoranda, Payment Times Reporting Bill 2020 at [88]</w:t>
      </w:r>
    </w:p>
  </w:footnote>
  <w:footnote w:id="18">
    <w:p w14:paraId="3C2B3B3E" w14:textId="242E8A9B" w:rsidR="0024486C" w:rsidRDefault="0024486C">
      <w:pPr>
        <w:pStyle w:val="FootnoteText"/>
      </w:pPr>
      <w:r>
        <w:rPr>
          <w:rStyle w:val="FootnoteReference"/>
        </w:rPr>
        <w:footnoteRef/>
      </w:r>
      <w:r w:rsidR="00A90EA5">
        <w:t xml:space="preserve"> </w:t>
      </w:r>
      <w:r w:rsidR="00A90EA5" w:rsidRPr="001B2726">
        <w:rPr>
          <w:i/>
          <w:iCs/>
        </w:rPr>
        <w:t>Payment Times Reporting Act 2020</w:t>
      </w:r>
      <w:r w:rsidR="00A90EA5">
        <w:t xml:space="preserve"> (Cth) s</w:t>
      </w:r>
      <w:r>
        <w:t xml:space="preserve"> </w:t>
      </w:r>
      <w:r w:rsidR="00CE2D76">
        <w:t xml:space="preserve">20(3)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75C6" w14:textId="595BD600" w:rsidR="00EF145E" w:rsidRPr="001F3912" w:rsidRDefault="006079BC" w:rsidP="00A12F62">
    <w:pPr>
      <w:pStyle w:val="HeaderEven"/>
    </w:pPr>
    <w:r>
      <w:rPr>
        <w:b/>
        <w:bCs/>
        <w:noProof/>
        <w:lang w:val="en-US"/>
      </w:rPr>
      <w:t>Error! No text of specified style in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3144" w14:textId="5316E35A" w:rsidR="00EF145E" w:rsidRPr="001F3912" w:rsidRDefault="00016528" w:rsidP="00A12F62">
    <w:pPr>
      <w:pStyle w:val="HeaderOdd"/>
    </w:pPr>
    <w:r w:rsidRPr="000E4466">
      <w:rPr>
        <w:b w:val="0"/>
        <w:bCs/>
        <w:noProof/>
        <w:color w:val="FFFFFF" w:themeColor="background1"/>
      </w:rPr>
      <w:drawing>
        <wp:anchor distT="0" distB="0" distL="114300" distR="114300" simplePos="0" relativeHeight="251658240" behindDoc="1" locked="0" layoutInCell="1" allowOverlap="1" wp14:anchorId="55B5C332" wp14:editId="27C5FCD4">
          <wp:simplePos x="0" y="0"/>
          <wp:positionH relativeFrom="page">
            <wp:align>left</wp:align>
          </wp:positionH>
          <wp:positionV relativeFrom="paragraph">
            <wp:posOffset>-288290</wp:posOffset>
          </wp:positionV>
          <wp:extent cx="7560482" cy="856615"/>
          <wp:effectExtent l="0" t="0" r="254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0482" cy="856615"/>
                  </a:xfrm>
                  <a:prstGeom prst="rect">
                    <a:avLst/>
                  </a:prstGeom>
                </pic:spPr>
              </pic:pic>
            </a:graphicData>
          </a:graphic>
          <wp14:sizeRelH relativeFrom="page">
            <wp14:pctWidth>0</wp14:pctWidth>
          </wp14:sizeRelH>
          <wp14:sizeRelV relativeFrom="page">
            <wp14:pctHeight>0</wp14:pctHeight>
          </wp14:sizeRelV>
        </wp:anchor>
      </w:drawing>
    </w:r>
    <w:r w:rsidR="00636E60">
      <w:rPr>
        <w:b w:val="0"/>
        <w:bCs/>
        <w:color w:val="FFFFFF" w:themeColor="background1"/>
      </w:rPr>
      <w:t>Payment Times Reporting Regulator</w:t>
    </w:r>
    <w:r w:rsidR="00635103">
      <w:rPr>
        <w:b w:val="0"/>
        <w:bCs/>
        <w:color w:val="FFFFFF" w:themeColor="background1"/>
      </w:rPr>
      <w:t xml:space="preserve"> | </w:t>
    </w:r>
    <w:r w:rsidR="00635103" w:rsidRPr="00745615">
      <w:rPr>
        <w:color w:val="FFFFFF" w:themeColor="background1"/>
      </w:rPr>
      <w:t xml:space="preserve">Guidance </w:t>
    </w:r>
    <w:r w:rsidR="00A17CD1">
      <w:rPr>
        <w:color w:val="FFFFFF" w:themeColor="background1"/>
      </w:rPr>
      <w:t>n</w:t>
    </w:r>
    <w:r w:rsidR="00635103" w:rsidRPr="00745615">
      <w:rPr>
        <w:color w:val="FFFFFF" w:themeColor="background1"/>
      </w:rPr>
      <w:t xml:space="preserve">ote 3: Applications and </w:t>
    </w:r>
    <w:r w:rsidR="00A17CD1">
      <w:rPr>
        <w:color w:val="FFFFFF" w:themeColor="background1"/>
      </w:rPr>
      <w:t>n</w:t>
    </w:r>
    <w:r w:rsidR="00635103" w:rsidRPr="00745615">
      <w:rPr>
        <w:color w:val="FFFFFF" w:themeColor="background1"/>
      </w:rPr>
      <w:t>otifications</w:t>
    </w:r>
    <w:r w:rsidR="00A26B5B">
      <w:rPr>
        <w:color w:val="FFFFFF" w:themeColor="background1"/>
      </w:rPr>
      <w:t xml:space="preserve"> </w:t>
    </w:r>
    <w:r w:rsidR="00A26B5B" w:rsidRPr="00A26B5B">
      <w:rPr>
        <w:color w:val="FF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EB9F" w14:textId="56302CE2" w:rsidR="006C6B90" w:rsidRDefault="00B67103">
    <w:pPr>
      <w:pStyle w:val="Header"/>
    </w:pPr>
    <w:r>
      <w:rPr>
        <w:noProof/>
      </w:rPr>
      <w:drawing>
        <wp:anchor distT="0" distB="0" distL="114300" distR="114300" simplePos="0" relativeHeight="251658244" behindDoc="1" locked="0" layoutInCell="1" allowOverlap="1" wp14:anchorId="1136CC4C" wp14:editId="12852587">
          <wp:simplePos x="0" y="0"/>
          <wp:positionH relativeFrom="page">
            <wp:align>right</wp:align>
          </wp:positionH>
          <wp:positionV relativeFrom="paragraph">
            <wp:posOffset>-276860</wp:posOffset>
          </wp:positionV>
          <wp:extent cx="7549200" cy="2736000"/>
          <wp:effectExtent l="0" t="0" r="0" b="7620"/>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9200" cy="273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6D3"/>
    <w:multiLevelType w:val="hybridMultilevel"/>
    <w:tmpl w:val="A0DA5F2A"/>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4A5134"/>
    <w:multiLevelType w:val="hybridMultilevel"/>
    <w:tmpl w:val="0278F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30ED4"/>
    <w:multiLevelType w:val="hybridMultilevel"/>
    <w:tmpl w:val="2B0E10D8"/>
    <w:lvl w:ilvl="0" w:tplc="76F2AFE0">
      <w:start w:val="1"/>
      <w:numFmt w:val="bullet"/>
      <w:lvlText w:val=""/>
      <w:lvlJc w:val="left"/>
      <w:pPr>
        <w:ind w:left="1440" w:hanging="360"/>
      </w:pPr>
      <w:rPr>
        <w:rFonts w:ascii="Symbol" w:hAnsi="Symbol" w:hint="default"/>
        <w:color w:val="465976"/>
        <w:u w:color="719CD1"/>
      </w:rPr>
    </w:lvl>
    <w:lvl w:ilvl="1" w:tplc="46F45E62">
      <w:start w:val="1"/>
      <w:numFmt w:val="bullet"/>
      <w:lvlText w:val="˃"/>
      <w:lvlJc w:val="left"/>
      <w:pPr>
        <w:ind w:left="2160" w:hanging="360"/>
      </w:pPr>
      <w:rPr>
        <w:rFonts w:ascii="Courier New" w:hAnsi="Courier New" w:hint="default"/>
        <w:color w:val="5C759A"/>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6261EA"/>
    <w:multiLevelType w:val="hybridMultilevel"/>
    <w:tmpl w:val="43C41488"/>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7E00FF"/>
    <w:multiLevelType w:val="hybridMultilevel"/>
    <w:tmpl w:val="B14E8CB4"/>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E4B0908"/>
    <w:multiLevelType w:val="hybridMultilevel"/>
    <w:tmpl w:val="6E0AD44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8E24A5"/>
    <w:multiLevelType w:val="hybridMultilevel"/>
    <w:tmpl w:val="26F8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AB7979"/>
    <w:multiLevelType w:val="multilevel"/>
    <w:tmpl w:val="F62A532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Symbol" w:hAnsi="Symbol"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16CC4E5D"/>
    <w:multiLevelType w:val="multilevel"/>
    <w:tmpl w:val="D10E9CF6"/>
    <w:numStyleLink w:val="OneLevelList"/>
  </w:abstractNum>
  <w:abstractNum w:abstractNumId="12" w15:restartNumberingAfterBreak="0">
    <w:nsid w:val="17136C01"/>
    <w:multiLevelType w:val="hybridMultilevel"/>
    <w:tmpl w:val="799021F8"/>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3347DA"/>
    <w:multiLevelType w:val="hybridMultilevel"/>
    <w:tmpl w:val="9A4838AA"/>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3A2510"/>
    <w:multiLevelType w:val="hybridMultilevel"/>
    <w:tmpl w:val="FDBCDAD2"/>
    <w:lvl w:ilvl="0" w:tplc="76F2AFE0">
      <w:start w:val="1"/>
      <w:numFmt w:val="bullet"/>
      <w:lvlText w:val=""/>
      <w:lvlJc w:val="left"/>
      <w:pPr>
        <w:ind w:left="1440" w:hanging="360"/>
      </w:pPr>
      <w:rPr>
        <w:rFonts w:ascii="Symbol" w:hAnsi="Symbol" w:hint="default"/>
        <w:color w:val="465976"/>
        <w:u w:color="719CD1"/>
      </w:rPr>
    </w:lvl>
    <w:lvl w:ilvl="1" w:tplc="AE683EDE">
      <w:numFmt w:val="bullet"/>
      <w:lvlText w:val=""/>
      <w:lvlJc w:val="left"/>
      <w:pPr>
        <w:ind w:left="2160" w:hanging="360"/>
      </w:pPr>
      <w:rPr>
        <w:rFonts w:ascii="Symbol" w:hAnsi="Symbol" w:cstheme="minorBidi" w:hint="default"/>
        <w:color w:val="004570"/>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DD830CA"/>
    <w:multiLevelType w:val="hybridMultilevel"/>
    <w:tmpl w:val="EC8C694C"/>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63D2CC2"/>
    <w:multiLevelType w:val="hybridMultilevel"/>
    <w:tmpl w:val="A452889C"/>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6624A5A"/>
    <w:multiLevelType w:val="hybridMultilevel"/>
    <w:tmpl w:val="57E6A02A"/>
    <w:lvl w:ilvl="0" w:tplc="46F45E62">
      <w:start w:val="1"/>
      <w:numFmt w:val="bullet"/>
      <w:lvlText w:val="˃"/>
      <w:lvlJc w:val="left"/>
      <w:pPr>
        <w:ind w:left="1080" w:hanging="360"/>
      </w:pPr>
      <w:rPr>
        <w:rFonts w:ascii="Courier New" w:hAnsi="Courier New" w:hint="default"/>
        <w:color w:val="5C759A"/>
        <w:u w:color="719CD1"/>
      </w:rPr>
    </w:lvl>
    <w:lvl w:ilvl="1" w:tplc="46F45E62">
      <w:start w:val="1"/>
      <w:numFmt w:val="bullet"/>
      <w:lvlText w:val="˃"/>
      <w:lvlJc w:val="left"/>
      <w:pPr>
        <w:ind w:left="1800" w:hanging="360"/>
      </w:pPr>
      <w:rPr>
        <w:rFonts w:ascii="Courier New" w:hAnsi="Courier New" w:hint="default"/>
        <w:color w:val="5C759A"/>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8393DA0"/>
    <w:multiLevelType w:val="hybridMultilevel"/>
    <w:tmpl w:val="ED521B9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8AD35D8"/>
    <w:multiLevelType w:val="hybridMultilevel"/>
    <w:tmpl w:val="C1BAA640"/>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9235B4A"/>
    <w:multiLevelType w:val="hybridMultilevel"/>
    <w:tmpl w:val="FC948070"/>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048731F"/>
    <w:multiLevelType w:val="hybridMultilevel"/>
    <w:tmpl w:val="712ACF7C"/>
    <w:lvl w:ilvl="0" w:tplc="6B04FC8E">
      <w:start w:val="1"/>
      <w:numFmt w:val="bullet"/>
      <w:lvlText w:val="·"/>
      <w:lvlJc w:val="left"/>
      <w:pPr>
        <w:ind w:left="720" w:hanging="360"/>
      </w:pPr>
      <w:rPr>
        <w:rFonts w:ascii="Symbol" w:hAnsi="Symbol" w:hint="default"/>
      </w:rPr>
    </w:lvl>
    <w:lvl w:ilvl="1" w:tplc="7BDE8658">
      <w:start w:val="1"/>
      <w:numFmt w:val="bullet"/>
      <w:lvlText w:val="o"/>
      <w:lvlJc w:val="left"/>
      <w:pPr>
        <w:ind w:left="1440" w:hanging="360"/>
      </w:pPr>
      <w:rPr>
        <w:rFonts w:ascii="Courier New" w:hAnsi="Courier New" w:hint="default"/>
      </w:rPr>
    </w:lvl>
    <w:lvl w:ilvl="2" w:tplc="72BACB62">
      <w:start w:val="1"/>
      <w:numFmt w:val="bullet"/>
      <w:lvlText w:val=""/>
      <w:lvlJc w:val="left"/>
      <w:pPr>
        <w:ind w:left="2160" w:hanging="360"/>
      </w:pPr>
      <w:rPr>
        <w:rFonts w:ascii="Wingdings" w:hAnsi="Wingdings" w:hint="default"/>
      </w:rPr>
    </w:lvl>
    <w:lvl w:ilvl="3" w:tplc="0E38CCB8">
      <w:start w:val="1"/>
      <w:numFmt w:val="bullet"/>
      <w:lvlText w:val=""/>
      <w:lvlJc w:val="left"/>
      <w:pPr>
        <w:ind w:left="2880" w:hanging="360"/>
      </w:pPr>
      <w:rPr>
        <w:rFonts w:ascii="Symbol" w:hAnsi="Symbol" w:hint="default"/>
      </w:rPr>
    </w:lvl>
    <w:lvl w:ilvl="4" w:tplc="36304B36">
      <w:start w:val="1"/>
      <w:numFmt w:val="bullet"/>
      <w:lvlText w:val="o"/>
      <w:lvlJc w:val="left"/>
      <w:pPr>
        <w:ind w:left="3600" w:hanging="360"/>
      </w:pPr>
      <w:rPr>
        <w:rFonts w:ascii="Courier New" w:hAnsi="Courier New" w:hint="default"/>
      </w:rPr>
    </w:lvl>
    <w:lvl w:ilvl="5" w:tplc="B68A74FC">
      <w:start w:val="1"/>
      <w:numFmt w:val="bullet"/>
      <w:lvlText w:val=""/>
      <w:lvlJc w:val="left"/>
      <w:pPr>
        <w:ind w:left="4320" w:hanging="360"/>
      </w:pPr>
      <w:rPr>
        <w:rFonts w:ascii="Wingdings" w:hAnsi="Wingdings" w:hint="default"/>
      </w:rPr>
    </w:lvl>
    <w:lvl w:ilvl="6" w:tplc="4FC83386">
      <w:start w:val="1"/>
      <w:numFmt w:val="bullet"/>
      <w:lvlText w:val=""/>
      <w:lvlJc w:val="left"/>
      <w:pPr>
        <w:ind w:left="5040" w:hanging="360"/>
      </w:pPr>
      <w:rPr>
        <w:rFonts w:ascii="Symbol" w:hAnsi="Symbol" w:hint="default"/>
      </w:rPr>
    </w:lvl>
    <w:lvl w:ilvl="7" w:tplc="0672BF68">
      <w:start w:val="1"/>
      <w:numFmt w:val="bullet"/>
      <w:lvlText w:val="o"/>
      <w:lvlJc w:val="left"/>
      <w:pPr>
        <w:ind w:left="5760" w:hanging="360"/>
      </w:pPr>
      <w:rPr>
        <w:rFonts w:ascii="Courier New" w:hAnsi="Courier New" w:hint="default"/>
      </w:rPr>
    </w:lvl>
    <w:lvl w:ilvl="8" w:tplc="A0820EE8">
      <w:start w:val="1"/>
      <w:numFmt w:val="bullet"/>
      <w:lvlText w:val=""/>
      <w:lvlJc w:val="left"/>
      <w:pPr>
        <w:ind w:left="6480" w:hanging="360"/>
      </w:pPr>
      <w:rPr>
        <w:rFonts w:ascii="Wingdings" w:hAnsi="Wingdings" w:hint="default"/>
      </w:rPr>
    </w:lvl>
  </w:abstractNum>
  <w:abstractNum w:abstractNumId="25" w15:restartNumberingAfterBreak="0">
    <w:nsid w:val="308C2710"/>
    <w:multiLevelType w:val="multilevel"/>
    <w:tmpl w:val="0D723674"/>
    <w:styleLink w:val="BulletedList"/>
    <w:lvl w:ilvl="0">
      <w:start w:val="1"/>
      <w:numFmt w:val="bullet"/>
      <w:lvlRestart w:val="0"/>
      <w:pStyle w:val="Bullet"/>
      <w:lvlText w:val="•"/>
      <w:lvlJc w:val="left"/>
      <w:pPr>
        <w:tabs>
          <w:tab w:val="num" w:pos="2555"/>
        </w:tabs>
        <w:ind w:left="2555" w:hanging="283"/>
      </w:pPr>
      <w:rPr>
        <w:rFonts w:ascii="Times New Roman" w:hAnsi="Times New Roman" w:cs="Times New Roman" w:hint="default"/>
        <w:b w:val="0"/>
        <w:i w:val="0"/>
      </w:rPr>
    </w:lvl>
    <w:lvl w:ilvl="1">
      <w:start w:val="1"/>
      <w:numFmt w:val="bullet"/>
      <w:pStyle w:val="Dash"/>
      <w:lvlText w:val="–"/>
      <w:lvlJc w:val="left"/>
      <w:pPr>
        <w:tabs>
          <w:tab w:val="num" w:pos="2839"/>
        </w:tabs>
        <w:ind w:left="2839" w:hanging="284"/>
      </w:pPr>
      <w:rPr>
        <w:rFonts w:ascii="Times New Roman" w:hAnsi="Times New Roman" w:cs="Times New Roman" w:hint="default"/>
        <w:b w:val="0"/>
        <w:i w:val="0"/>
      </w:rPr>
    </w:lvl>
    <w:lvl w:ilvl="2">
      <w:start w:val="1"/>
      <w:numFmt w:val="bullet"/>
      <w:pStyle w:val="DoubleDot"/>
      <w:lvlText w:val=":"/>
      <w:lvlJc w:val="left"/>
      <w:pPr>
        <w:tabs>
          <w:tab w:val="num" w:pos="3122"/>
        </w:tabs>
        <w:ind w:left="3122" w:hanging="283"/>
      </w:pPr>
      <w:rPr>
        <w:rFonts w:ascii="Times New Roman" w:hAnsi="Times New Roman" w:cs="Times New Roman" w:hint="default"/>
        <w:b w:val="0"/>
        <w:i w:val="0"/>
      </w:rPr>
    </w:lvl>
    <w:lvl w:ilvl="3">
      <w:start w:val="1"/>
      <w:numFmt w:val="decimal"/>
      <w:lvlText w:val="(%4)"/>
      <w:lvlJc w:val="left"/>
      <w:pPr>
        <w:tabs>
          <w:tab w:val="num" w:pos="3712"/>
        </w:tabs>
        <w:ind w:left="3712" w:hanging="360"/>
      </w:pPr>
      <w:rPr>
        <w:rFonts w:hint="default"/>
        <w:b w:val="0"/>
        <w:i w:val="0"/>
      </w:rPr>
    </w:lvl>
    <w:lvl w:ilvl="4">
      <w:start w:val="1"/>
      <w:numFmt w:val="lowerLetter"/>
      <w:lvlText w:val="(%5)"/>
      <w:lvlJc w:val="left"/>
      <w:pPr>
        <w:tabs>
          <w:tab w:val="num" w:pos="4072"/>
        </w:tabs>
        <w:ind w:left="4072" w:hanging="360"/>
      </w:pPr>
      <w:rPr>
        <w:rFonts w:hint="default"/>
        <w:b w:val="0"/>
        <w:i w:val="0"/>
      </w:rPr>
    </w:lvl>
    <w:lvl w:ilvl="5">
      <w:start w:val="1"/>
      <w:numFmt w:val="lowerRoman"/>
      <w:lvlText w:val="(%6)"/>
      <w:lvlJc w:val="left"/>
      <w:pPr>
        <w:tabs>
          <w:tab w:val="num" w:pos="4432"/>
        </w:tabs>
        <w:ind w:left="4432" w:hanging="360"/>
      </w:pPr>
      <w:rPr>
        <w:rFonts w:hint="default"/>
        <w:b w:val="0"/>
        <w:i w:val="0"/>
      </w:rPr>
    </w:lvl>
    <w:lvl w:ilvl="6">
      <w:start w:val="1"/>
      <w:numFmt w:val="decimal"/>
      <w:lvlText w:val="%7."/>
      <w:lvlJc w:val="left"/>
      <w:pPr>
        <w:tabs>
          <w:tab w:val="num" w:pos="4792"/>
        </w:tabs>
        <w:ind w:left="4792" w:hanging="360"/>
      </w:pPr>
      <w:rPr>
        <w:rFonts w:hint="default"/>
        <w:b w:val="0"/>
        <w:i w:val="0"/>
      </w:rPr>
    </w:lvl>
    <w:lvl w:ilvl="7">
      <w:start w:val="1"/>
      <w:numFmt w:val="lowerLetter"/>
      <w:lvlText w:val="%8."/>
      <w:lvlJc w:val="left"/>
      <w:pPr>
        <w:tabs>
          <w:tab w:val="num" w:pos="5152"/>
        </w:tabs>
        <w:ind w:left="5152" w:hanging="360"/>
      </w:pPr>
      <w:rPr>
        <w:rFonts w:hint="default"/>
        <w:b w:val="0"/>
        <w:i w:val="0"/>
      </w:rPr>
    </w:lvl>
    <w:lvl w:ilvl="8">
      <w:start w:val="1"/>
      <w:numFmt w:val="lowerRoman"/>
      <w:lvlText w:val="%9."/>
      <w:lvlJc w:val="left"/>
      <w:pPr>
        <w:tabs>
          <w:tab w:val="num" w:pos="5512"/>
        </w:tabs>
        <w:ind w:left="5512" w:hanging="360"/>
      </w:pPr>
      <w:rPr>
        <w:rFonts w:hint="default"/>
        <w:b w:val="0"/>
        <w:i w:val="0"/>
      </w:rPr>
    </w:lvl>
  </w:abstractNum>
  <w:abstractNum w:abstractNumId="26" w15:restartNumberingAfterBreak="0">
    <w:nsid w:val="30B4346A"/>
    <w:multiLevelType w:val="hybridMultilevel"/>
    <w:tmpl w:val="1D12A2CC"/>
    <w:lvl w:ilvl="0" w:tplc="BED8E6C6">
      <w:start w:val="1"/>
      <w:numFmt w:val="decimal"/>
      <w:lvlText w:val="GN 3.%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B67008"/>
    <w:multiLevelType w:val="multilevel"/>
    <w:tmpl w:val="A9A8226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1250D53"/>
    <w:multiLevelType w:val="hybridMultilevel"/>
    <w:tmpl w:val="934E85DE"/>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F1305D"/>
    <w:multiLevelType w:val="multilevel"/>
    <w:tmpl w:val="5B1E0F92"/>
    <w:lvl w:ilvl="0">
      <w:start w:val="1"/>
      <w:numFmt w:val="bullet"/>
      <w:lvlRestart w:val="0"/>
      <w:lvlText w:val="•"/>
      <w:lvlJc w:val="left"/>
      <w:pPr>
        <w:tabs>
          <w:tab w:val="num" w:pos="2555"/>
        </w:tabs>
        <w:ind w:left="2555" w:hanging="283"/>
      </w:pPr>
      <w:rPr>
        <w:rFonts w:ascii="Times New Roman" w:hAnsi="Times New Roman" w:cs="Times New Roman" w:hint="default"/>
        <w:b w:val="0"/>
        <w:i w:val="0"/>
      </w:rPr>
    </w:lvl>
    <w:lvl w:ilvl="1">
      <w:start w:val="1"/>
      <w:numFmt w:val="bullet"/>
      <w:lvlText w:val="˃"/>
      <w:lvlJc w:val="left"/>
      <w:pPr>
        <w:tabs>
          <w:tab w:val="num" w:pos="2839"/>
        </w:tabs>
        <w:ind w:left="2839" w:hanging="284"/>
      </w:pPr>
      <w:rPr>
        <w:rFonts w:ascii="Courier New" w:hAnsi="Courier New" w:hint="default"/>
        <w:b w:val="0"/>
        <w:i w:val="0"/>
        <w:color w:val="5C759A"/>
        <w:u w:color="719CD1"/>
      </w:rPr>
    </w:lvl>
    <w:lvl w:ilvl="2">
      <w:start w:val="1"/>
      <w:numFmt w:val="bullet"/>
      <w:lvlText w:val=":"/>
      <w:lvlJc w:val="left"/>
      <w:pPr>
        <w:tabs>
          <w:tab w:val="num" w:pos="3122"/>
        </w:tabs>
        <w:ind w:left="3122" w:hanging="283"/>
      </w:pPr>
      <w:rPr>
        <w:rFonts w:ascii="Times New Roman" w:hAnsi="Times New Roman" w:cs="Times New Roman" w:hint="default"/>
        <w:b w:val="0"/>
        <w:i w:val="0"/>
      </w:rPr>
    </w:lvl>
    <w:lvl w:ilvl="3">
      <w:start w:val="1"/>
      <w:numFmt w:val="decimal"/>
      <w:lvlText w:val="(%4)"/>
      <w:lvlJc w:val="left"/>
      <w:pPr>
        <w:tabs>
          <w:tab w:val="num" w:pos="3712"/>
        </w:tabs>
        <w:ind w:left="3712" w:hanging="360"/>
      </w:pPr>
      <w:rPr>
        <w:rFonts w:hint="default"/>
        <w:b w:val="0"/>
        <w:i w:val="0"/>
      </w:rPr>
    </w:lvl>
    <w:lvl w:ilvl="4">
      <w:start w:val="1"/>
      <w:numFmt w:val="lowerLetter"/>
      <w:lvlText w:val="(%5)"/>
      <w:lvlJc w:val="left"/>
      <w:pPr>
        <w:tabs>
          <w:tab w:val="num" w:pos="4072"/>
        </w:tabs>
        <w:ind w:left="4072" w:hanging="360"/>
      </w:pPr>
      <w:rPr>
        <w:rFonts w:hint="default"/>
        <w:b w:val="0"/>
        <w:i w:val="0"/>
      </w:rPr>
    </w:lvl>
    <w:lvl w:ilvl="5">
      <w:start w:val="1"/>
      <w:numFmt w:val="lowerRoman"/>
      <w:lvlText w:val="(%6)"/>
      <w:lvlJc w:val="left"/>
      <w:pPr>
        <w:tabs>
          <w:tab w:val="num" w:pos="4432"/>
        </w:tabs>
        <w:ind w:left="4432" w:hanging="360"/>
      </w:pPr>
      <w:rPr>
        <w:rFonts w:hint="default"/>
        <w:b w:val="0"/>
        <w:i w:val="0"/>
      </w:rPr>
    </w:lvl>
    <w:lvl w:ilvl="6">
      <w:start w:val="1"/>
      <w:numFmt w:val="decimal"/>
      <w:lvlText w:val="%7."/>
      <w:lvlJc w:val="left"/>
      <w:pPr>
        <w:tabs>
          <w:tab w:val="num" w:pos="4792"/>
        </w:tabs>
        <w:ind w:left="4792" w:hanging="360"/>
      </w:pPr>
      <w:rPr>
        <w:rFonts w:hint="default"/>
        <w:b w:val="0"/>
        <w:i w:val="0"/>
      </w:rPr>
    </w:lvl>
    <w:lvl w:ilvl="7">
      <w:start w:val="1"/>
      <w:numFmt w:val="lowerLetter"/>
      <w:lvlText w:val="%8."/>
      <w:lvlJc w:val="left"/>
      <w:pPr>
        <w:tabs>
          <w:tab w:val="num" w:pos="5152"/>
        </w:tabs>
        <w:ind w:left="5152" w:hanging="360"/>
      </w:pPr>
      <w:rPr>
        <w:rFonts w:hint="default"/>
        <w:b w:val="0"/>
        <w:i w:val="0"/>
      </w:rPr>
    </w:lvl>
    <w:lvl w:ilvl="8">
      <w:start w:val="1"/>
      <w:numFmt w:val="lowerRoman"/>
      <w:lvlText w:val="%9."/>
      <w:lvlJc w:val="left"/>
      <w:pPr>
        <w:tabs>
          <w:tab w:val="num" w:pos="5512"/>
        </w:tabs>
        <w:ind w:left="5512" w:hanging="360"/>
      </w:pPr>
      <w:rPr>
        <w:rFonts w:hint="default"/>
        <w:b w:val="0"/>
        <w:i w:val="0"/>
      </w:rPr>
    </w:lvl>
  </w:abstractNum>
  <w:abstractNum w:abstractNumId="3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6DE2FA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9CE50C2"/>
    <w:multiLevelType w:val="hybridMultilevel"/>
    <w:tmpl w:val="E458B7CA"/>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C6B067F"/>
    <w:multiLevelType w:val="hybridMultilevel"/>
    <w:tmpl w:val="BF689CC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F090669"/>
    <w:multiLevelType w:val="hybridMultilevel"/>
    <w:tmpl w:val="25AEFD76"/>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0984850"/>
    <w:multiLevelType w:val="hybridMultilevel"/>
    <w:tmpl w:val="D06EA8E0"/>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2336A0C"/>
    <w:multiLevelType w:val="hybridMultilevel"/>
    <w:tmpl w:val="2F427A72"/>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431C40CA"/>
    <w:multiLevelType w:val="hybridMultilevel"/>
    <w:tmpl w:val="90C44DC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081E8D"/>
    <w:multiLevelType w:val="hybridMultilevel"/>
    <w:tmpl w:val="93A6A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41" w15:restartNumberingAfterBreak="0">
    <w:nsid w:val="4E7178CA"/>
    <w:multiLevelType w:val="hybridMultilevel"/>
    <w:tmpl w:val="5142B940"/>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F6E7B7A"/>
    <w:multiLevelType w:val="hybridMultilevel"/>
    <w:tmpl w:val="A6D6F83C"/>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0313B0F"/>
    <w:multiLevelType w:val="hybridMultilevel"/>
    <w:tmpl w:val="C6DA1A1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0D71B74"/>
    <w:multiLevelType w:val="hybridMultilevel"/>
    <w:tmpl w:val="E3D63B32"/>
    <w:lvl w:ilvl="0" w:tplc="76F2AFE0">
      <w:start w:val="1"/>
      <w:numFmt w:val="bullet"/>
      <w:pStyle w:val="ListParagraph"/>
      <w:lvlText w:val=""/>
      <w:lvlJc w:val="left"/>
      <w:pPr>
        <w:ind w:left="1440" w:hanging="360"/>
      </w:pPr>
      <w:rPr>
        <w:rFonts w:ascii="Symbol" w:hAnsi="Symbol" w:hint="default"/>
        <w:color w:val="465976"/>
        <w:u w:color="719CD1"/>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510D2021"/>
    <w:multiLevelType w:val="multilevel"/>
    <w:tmpl w:val="72F8140E"/>
    <w:numStyleLink w:val="OutlineList"/>
  </w:abstractNum>
  <w:abstractNum w:abstractNumId="46" w15:restartNumberingAfterBreak="0">
    <w:nsid w:val="51654836"/>
    <w:multiLevelType w:val="hybridMultilevel"/>
    <w:tmpl w:val="1E669C10"/>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24907FB"/>
    <w:multiLevelType w:val="hybridMultilevel"/>
    <w:tmpl w:val="9C5C03CE"/>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897D19"/>
    <w:multiLevelType w:val="hybridMultilevel"/>
    <w:tmpl w:val="D188D374"/>
    <w:lvl w:ilvl="0" w:tplc="0C090001">
      <w:start w:val="1"/>
      <w:numFmt w:val="bullet"/>
      <w:lvlText w:val=""/>
      <w:lvlJc w:val="left"/>
      <w:pPr>
        <w:ind w:left="1353" w:hanging="360"/>
      </w:pPr>
      <w:rPr>
        <w:rFonts w:ascii="Symbol" w:hAnsi="Symbol"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9" w15:restartNumberingAfterBreak="0">
    <w:nsid w:val="5468532F"/>
    <w:multiLevelType w:val="hybridMultilevel"/>
    <w:tmpl w:val="FE9EB9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9D3D37"/>
    <w:multiLevelType w:val="hybridMultilevel"/>
    <w:tmpl w:val="697C5636"/>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95725FA"/>
    <w:multiLevelType w:val="hybridMultilevel"/>
    <w:tmpl w:val="56068D38"/>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99A231E"/>
    <w:multiLevelType w:val="hybridMultilevel"/>
    <w:tmpl w:val="F496E446"/>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5BC72CA2"/>
    <w:multiLevelType w:val="hybridMultilevel"/>
    <w:tmpl w:val="16B0BF52"/>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CE41E4"/>
    <w:multiLevelType w:val="hybridMultilevel"/>
    <w:tmpl w:val="0936B114"/>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5CD1768C"/>
    <w:multiLevelType w:val="multilevel"/>
    <w:tmpl w:val="3BB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B631D2"/>
    <w:multiLevelType w:val="hybridMultilevel"/>
    <w:tmpl w:val="28E8C588"/>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1955B6D"/>
    <w:multiLevelType w:val="hybridMultilevel"/>
    <w:tmpl w:val="405C77F8"/>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6162B44"/>
    <w:multiLevelType w:val="hybridMultilevel"/>
    <w:tmpl w:val="461AB022"/>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7560955"/>
    <w:multiLevelType w:val="hybridMultilevel"/>
    <w:tmpl w:val="855EDAAA"/>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88466BF"/>
    <w:multiLevelType w:val="hybridMultilevel"/>
    <w:tmpl w:val="D516547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DA825F0"/>
    <w:multiLevelType w:val="hybridMultilevel"/>
    <w:tmpl w:val="3E38460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8517AB"/>
    <w:multiLevelType w:val="hybridMultilevel"/>
    <w:tmpl w:val="4FDC228A"/>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714B1CE6"/>
    <w:multiLevelType w:val="hybridMultilevel"/>
    <w:tmpl w:val="9EEA2310"/>
    <w:lvl w:ilvl="0" w:tplc="76F2AFE0">
      <w:start w:val="1"/>
      <w:numFmt w:val="bullet"/>
      <w:lvlText w:val=""/>
      <w:lvlJc w:val="left"/>
      <w:pPr>
        <w:ind w:left="1080" w:hanging="360"/>
      </w:pPr>
      <w:rPr>
        <w:rFonts w:ascii="Symbol" w:hAnsi="Symbol" w:hint="default"/>
        <w:color w:val="465976"/>
        <w:u w:color="719CD1"/>
      </w:rPr>
    </w:lvl>
    <w:lvl w:ilvl="1" w:tplc="46F45E62">
      <w:start w:val="1"/>
      <w:numFmt w:val="bullet"/>
      <w:lvlText w:val="˃"/>
      <w:lvlJc w:val="left"/>
      <w:pPr>
        <w:ind w:left="1800" w:hanging="360"/>
      </w:pPr>
      <w:rPr>
        <w:rFonts w:ascii="Courier New" w:hAnsi="Courier New" w:hint="default"/>
        <w:color w:val="5C759A"/>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4594B77"/>
    <w:multiLevelType w:val="hybridMultilevel"/>
    <w:tmpl w:val="C3E6DF0C"/>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4983A79"/>
    <w:multiLevelType w:val="hybridMultilevel"/>
    <w:tmpl w:val="F084AD80"/>
    <w:lvl w:ilvl="0" w:tplc="B100DB8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5800287"/>
    <w:multiLevelType w:val="hybridMultilevel"/>
    <w:tmpl w:val="6568D682"/>
    <w:lvl w:ilvl="0" w:tplc="0C090001">
      <w:start w:val="1"/>
      <w:numFmt w:val="bullet"/>
      <w:lvlText w:val=""/>
      <w:lvlJc w:val="left"/>
      <w:pPr>
        <w:ind w:left="1353" w:hanging="360"/>
      </w:pPr>
      <w:rPr>
        <w:rFonts w:ascii="Symbol" w:hAnsi="Symbol"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8" w15:restartNumberingAfterBreak="0">
    <w:nsid w:val="75CF682F"/>
    <w:multiLevelType w:val="hybridMultilevel"/>
    <w:tmpl w:val="3BA0D81C"/>
    <w:lvl w:ilvl="0" w:tplc="ABA6746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60C05FC"/>
    <w:multiLevelType w:val="hybridMultilevel"/>
    <w:tmpl w:val="9482C0E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64D339E"/>
    <w:multiLevelType w:val="hybridMultilevel"/>
    <w:tmpl w:val="D766F700"/>
    <w:lvl w:ilvl="0" w:tplc="76F2AFE0">
      <w:start w:val="1"/>
      <w:numFmt w:val="bullet"/>
      <w:lvlText w:val=""/>
      <w:lvlJc w:val="left"/>
      <w:pPr>
        <w:ind w:left="1440" w:hanging="360"/>
      </w:pPr>
      <w:rPr>
        <w:rFonts w:ascii="Symbol" w:hAnsi="Symbol" w:hint="default"/>
        <w:color w:val="465976"/>
        <w:u w:color="719CD1"/>
      </w:rPr>
    </w:lvl>
    <w:lvl w:ilvl="1" w:tplc="B1604092">
      <w:start w:val="1"/>
      <w:numFmt w:val="bullet"/>
      <w:lvlText w:val=""/>
      <w:lvlJc w:val="left"/>
      <w:pPr>
        <w:ind w:left="2160" w:hanging="360"/>
      </w:pPr>
      <w:rPr>
        <w:rFonts w:ascii="Symbol" w:hAnsi="Symbol" w:hint="default"/>
        <w:color w:val="465976"/>
        <w:u w:color="719CD1"/>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8F11616"/>
    <w:multiLevelType w:val="hybridMultilevel"/>
    <w:tmpl w:val="EEC45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7A124FC0"/>
    <w:multiLevelType w:val="hybridMultilevel"/>
    <w:tmpl w:val="A3660554"/>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B1222EC"/>
    <w:multiLevelType w:val="hybridMultilevel"/>
    <w:tmpl w:val="EA28839C"/>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C686A99"/>
    <w:multiLevelType w:val="hybridMultilevel"/>
    <w:tmpl w:val="9BCC69BA"/>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7CB91D8D"/>
    <w:multiLevelType w:val="hybridMultilevel"/>
    <w:tmpl w:val="E3EEB836"/>
    <w:lvl w:ilvl="0" w:tplc="BED8E6C6">
      <w:start w:val="1"/>
      <w:numFmt w:val="decimal"/>
      <w:lvlText w:val="GN 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D267F93"/>
    <w:multiLevelType w:val="hybridMultilevel"/>
    <w:tmpl w:val="2306FFF2"/>
    <w:lvl w:ilvl="0" w:tplc="29D64CE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25"/>
  </w:num>
  <w:num w:numId="2">
    <w:abstractNumId w:val="3"/>
  </w:num>
  <w:num w:numId="3">
    <w:abstractNumId w:val="31"/>
  </w:num>
  <w:num w:numId="4">
    <w:abstractNumId w:val="8"/>
  </w:num>
  <w:num w:numId="5">
    <w:abstractNumId w:val="11"/>
  </w:num>
  <w:num w:numId="6">
    <w:abstractNumId w:val="45"/>
  </w:num>
  <w:num w:numId="7">
    <w:abstractNumId w:val="3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3"/>
  </w:num>
  <w:num w:numId="9">
    <w:abstractNumId w:val="5"/>
  </w:num>
  <w:num w:numId="10">
    <w:abstractNumId w:val="20"/>
  </w:num>
  <w:num w:numId="11">
    <w:abstractNumId w:val="78"/>
  </w:num>
  <w:num w:numId="12">
    <w:abstractNumId w:val="45"/>
  </w:num>
  <w:num w:numId="13">
    <w:abstractNumId w:val="79"/>
  </w:num>
  <w:num w:numId="14">
    <w:abstractNumId w:val="40"/>
  </w:num>
  <w:num w:numId="15">
    <w:abstractNumId w:val="19"/>
  </w:num>
  <w:num w:numId="16">
    <w:abstractNumId w:val="57"/>
  </w:num>
  <w:num w:numId="17">
    <w:abstractNumId w:val="30"/>
  </w:num>
  <w:num w:numId="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9"/>
  </w:num>
  <w:num w:numId="21">
    <w:abstractNumId w:val="1"/>
  </w:num>
  <w:num w:numId="22">
    <w:abstractNumId w:val="27"/>
  </w:num>
  <w:num w:numId="23">
    <w:abstractNumId w:val="55"/>
  </w:num>
  <w:num w:numId="24">
    <w:abstractNumId w:val="77"/>
  </w:num>
  <w:num w:numId="25">
    <w:abstractNumId w:val="9"/>
  </w:num>
  <w:num w:numId="26">
    <w:abstractNumId w:val="32"/>
  </w:num>
  <w:num w:numId="27">
    <w:abstractNumId w:val="66"/>
  </w:num>
  <w:num w:numId="28">
    <w:abstractNumId w:val="10"/>
  </w:num>
  <w:num w:numId="29">
    <w:abstractNumId w:val="49"/>
  </w:num>
  <w:num w:numId="30">
    <w:abstractNumId w:val="68"/>
  </w:num>
  <w:num w:numId="31">
    <w:abstractNumId w:val="43"/>
  </w:num>
  <w:num w:numId="32">
    <w:abstractNumId w:val="35"/>
  </w:num>
  <w:num w:numId="33">
    <w:abstractNumId w:val="41"/>
  </w:num>
  <w:num w:numId="34">
    <w:abstractNumId w:val="38"/>
  </w:num>
  <w:num w:numId="35">
    <w:abstractNumId w:val="60"/>
  </w:num>
  <w:num w:numId="36">
    <w:abstractNumId w:val="0"/>
  </w:num>
  <w:num w:numId="37">
    <w:abstractNumId w:val="58"/>
  </w:num>
  <w:num w:numId="38">
    <w:abstractNumId w:val="46"/>
  </w:num>
  <w:num w:numId="39">
    <w:abstractNumId w:val="42"/>
  </w:num>
  <w:num w:numId="40">
    <w:abstractNumId w:val="74"/>
  </w:num>
  <w:num w:numId="41">
    <w:abstractNumId w:val="59"/>
  </w:num>
  <w:num w:numId="42">
    <w:abstractNumId w:val="36"/>
  </w:num>
  <w:num w:numId="43">
    <w:abstractNumId w:val="14"/>
  </w:num>
  <w:num w:numId="44">
    <w:abstractNumId w:val="75"/>
  </w:num>
  <w:num w:numId="45">
    <w:abstractNumId w:val="76"/>
  </w:num>
  <w:num w:numId="46">
    <w:abstractNumId w:val="23"/>
  </w:num>
  <w:num w:numId="47">
    <w:abstractNumId w:val="56"/>
  </w:num>
  <w:num w:numId="48">
    <w:abstractNumId w:val="7"/>
  </w:num>
  <w:num w:numId="49">
    <w:abstractNumId w:val="47"/>
  </w:num>
  <w:num w:numId="50">
    <w:abstractNumId w:val="61"/>
  </w:num>
  <w:num w:numId="51">
    <w:abstractNumId w:val="62"/>
  </w:num>
  <w:num w:numId="52">
    <w:abstractNumId w:val="28"/>
  </w:num>
  <w:num w:numId="53">
    <w:abstractNumId w:val="21"/>
  </w:num>
  <w:num w:numId="54">
    <w:abstractNumId w:val="4"/>
  </w:num>
  <w:num w:numId="55">
    <w:abstractNumId w:val="26"/>
  </w:num>
  <w:num w:numId="56">
    <w:abstractNumId w:val="53"/>
  </w:num>
  <w:num w:numId="57">
    <w:abstractNumId w:val="65"/>
  </w:num>
  <w:num w:numId="58">
    <w:abstractNumId w:val="73"/>
  </w:num>
  <w:num w:numId="59">
    <w:abstractNumId w:val="51"/>
  </w:num>
  <w:num w:numId="60">
    <w:abstractNumId w:val="50"/>
  </w:num>
  <w:num w:numId="61">
    <w:abstractNumId w:val="34"/>
  </w:num>
  <w:num w:numId="62">
    <w:abstractNumId w:val="69"/>
  </w:num>
  <w:num w:numId="63">
    <w:abstractNumId w:val="72"/>
  </w:num>
  <w:num w:numId="64">
    <w:abstractNumId w:val="48"/>
  </w:num>
  <w:num w:numId="65">
    <w:abstractNumId w:val="67"/>
  </w:num>
  <w:num w:numId="66">
    <w:abstractNumId w:val="44"/>
  </w:num>
  <w:num w:numId="67">
    <w:abstractNumId w:val="33"/>
  </w:num>
  <w:num w:numId="68">
    <w:abstractNumId w:val="6"/>
  </w:num>
  <w:num w:numId="69">
    <w:abstractNumId w:val="12"/>
  </w:num>
  <w:num w:numId="70">
    <w:abstractNumId w:val="16"/>
  </w:num>
  <w:num w:numId="71">
    <w:abstractNumId w:val="17"/>
  </w:num>
  <w:num w:numId="72">
    <w:abstractNumId w:val="63"/>
  </w:num>
  <w:num w:numId="73">
    <w:abstractNumId w:val="22"/>
  </w:num>
  <w:num w:numId="74">
    <w:abstractNumId w:val="52"/>
  </w:num>
  <w:num w:numId="75">
    <w:abstractNumId w:val="37"/>
  </w:num>
  <w:num w:numId="76">
    <w:abstractNumId w:val="54"/>
  </w:num>
  <w:num w:numId="77">
    <w:abstractNumId w:val="70"/>
  </w:num>
  <w:num w:numId="78">
    <w:abstractNumId w:val="64"/>
  </w:num>
  <w:num w:numId="79">
    <w:abstractNumId w:val="18"/>
  </w:num>
  <w:num w:numId="80">
    <w:abstractNumId w:val="2"/>
  </w:num>
  <w:num w:numId="81">
    <w:abstractNumId w:val="29"/>
  </w:num>
  <w:num w:numId="82">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F6"/>
    <w:rsid w:val="00000A09"/>
    <w:rsid w:val="00002A34"/>
    <w:rsid w:val="00002FFF"/>
    <w:rsid w:val="00004EAB"/>
    <w:rsid w:val="00004FD5"/>
    <w:rsid w:val="00007F72"/>
    <w:rsid w:val="000100F8"/>
    <w:rsid w:val="00011477"/>
    <w:rsid w:val="00011725"/>
    <w:rsid w:val="00011F80"/>
    <w:rsid w:val="00012330"/>
    <w:rsid w:val="00012C62"/>
    <w:rsid w:val="0001396A"/>
    <w:rsid w:val="00014867"/>
    <w:rsid w:val="00016528"/>
    <w:rsid w:val="000170EF"/>
    <w:rsid w:val="00017F5A"/>
    <w:rsid w:val="00020F2B"/>
    <w:rsid w:val="0002212B"/>
    <w:rsid w:val="0002544D"/>
    <w:rsid w:val="00025495"/>
    <w:rsid w:val="00027FF2"/>
    <w:rsid w:val="00030069"/>
    <w:rsid w:val="0003172A"/>
    <w:rsid w:val="00033E29"/>
    <w:rsid w:val="000348B2"/>
    <w:rsid w:val="000349B6"/>
    <w:rsid w:val="0003541E"/>
    <w:rsid w:val="000362BB"/>
    <w:rsid w:val="00041952"/>
    <w:rsid w:val="0004274D"/>
    <w:rsid w:val="00043348"/>
    <w:rsid w:val="00044145"/>
    <w:rsid w:val="0004462F"/>
    <w:rsid w:val="0004483F"/>
    <w:rsid w:val="00046C70"/>
    <w:rsid w:val="000474B6"/>
    <w:rsid w:val="00047FB6"/>
    <w:rsid w:val="0005138B"/>
    <w:rsid w:val="00051C4F"/>
    <w:rsid w:val="000522B7"/>
    <w:rsid w:val="000538C9"/>
    <w:rsid w:val="00056880"/>
    <w:rsid w:val="00057980"/>
    <w:rsid w:val="0006095A"/>
    <w:rsid w:val="00060C34"/>
    <w:rsid w:val="000613A1"/>
    <w:rsid w:val="000620A6"/>
    <w:rsid w:val="00062CD5"/>
    <w:rsid w:val="000633FC"/>
    <w:rsid w:val="000662C6"/>
    <w:rsid w:val="000675D1"/>
    <w:rsid w:val="00067AFA"/>
    <w:rsid w:val="00067E2E"/>
    <w:rsid w:val="00072899"/>
    <w:rsid w:val="00073521"/>
    <w:rsid w:val="00073D99"/>
    <w:rsid w:val="000775DE"/>
    <w:rsid w:val="00081DA1"/>
    <w:rsid w:val="00084BE2"/>
    <w:rsid w:val="00087FAF"/>
    <w:rsid w:val="00092EEC"/>
    <w:rsid w:val="000951B2"/>
    <w:rsid w:val="000975E3"/>
    <w:rsid w:val="000A05CB"/>
    <w:rsid w:val="000A1204"/>
    <w:rsid w:val="000A4F84"/>
    <w:rsid w:val="000A582C"/>
    <w:rsid w:val="000B2373"/>
    <w:rsid w:val="000B48CB"/>
    <w:rsid w:val="000B5D6D"/>
    <w:rsid w:val="000B677D"/>
    <w:rsid w:val="000B6CAF"/>
    <w:rsid w:val="000C0A89"/>
    <w:rsid w:val="000C23E0"/>
    <w:rsid w:val="000C2CBA"/>
    <w:rsid w:val="000C318F"/>
    <w:rsid w:val="000C571D"/>
    <w:rsid w:val="000C5F40"/>
    <w:rsid w:val="000D1641"/>
    <w:rsid w:val="000D3B19"/>
    <w:rsid w:val="000D7621"/>
    <w:rsid w:val="000E0B74"/>
    <w:rsid w:val="000E18ED"/>
    <w:rsid w:val="000E2D09"/>
    <w:rsid w:val="000E2F57"/>
    <w:rsid w:val="000E337E"/>
    <w:rsid w:val="000E4466"/>
    <w:rsid w:val="000E495D"/>
    <w:rsid w:val="000E77AE"/>
    <w:rsid w:val="000E7901"/>
    <w:rsid w:val="000F175B"/>
    <w:rsid w:val="000F19BF"/>
    <w:rsid w:val="000F2F3A"/>
    <w:rsid w:val="000F4EEC"/>
    <w:rsid w:val="000F5B7C"/>
    <w:rsid w:val="000F611F"/>
    <w:rsid w:val="000F63FB"/>
    <w:rsid w:val="001044F3"/>
    <w:rsid w:val="00104F37"/>
    <w:rsid w:val="00111116"/>
    <w:rsid w:val="00112101"/>
    <w:rsid w:val="001133C7"/>
    <w:rsid w:val="0011420A"/>
    <w:rsid w:val="00114297"/>
    <w:rsid w:val="001151A7"/>
    <w:rsid w:val="001202CC"/>
    <w:rsid w:val="001203F4"/>
    <w:rsid w:val="00123783"/>
    <w:rsid w:val="001237FF"/>
    <w:rsid w:val="00124C65"/>
    <w:rsid w:val="00125F08"/>
    <w:rsid w:val="0012751E"/>
    <w:rsid w:val="00131DC3"/>
    <w:rsid w:val="00133992"/>
    <w:rsid w:val="00135E4C"/>
    <w:rsid w:val="00135EB3"/>
    <w:rsid w:val="001373F5"/>
    <w:rsid w:val="00140081"/>
    <w:rsid w:val="00140B15"/>
    <w:rsid w:val="00141E18"/>
    <w:rsid w:val="00145F2F"/>
    <w:rsid w:val="00146EDF"/>
    <w:rsid w:val="0014733B"/>
    <w:rsid w:val="00151264"/>
    <w:rsid w:val="00153701"/>
    <w:rsid w:val="00153DE0"/>
    <w:rsid w:val="001543BE"/>
    <w:rsid w:val="001548C2"/>
    <w:rsid w:val="00155302"/>
    <w:rsid w:val="001574C0"/>
    <w:rsid w:val="001606CF"/>
    <w:rsid w:val="0016128D"/>
    <w:rsid w:val="00162910"/>
    <w:rsid w:val="00162C84"/>
    <w:rsid w:val="001633CA"/>
    <w:rsid w:val="00165290"/>
    <w:rsid w:val="0017089D"/>
    <w:rsid w:val="00173245"/>
    <w:rsid w:val="00173291"/>
    <w:rsid w:val="00173A99"/>
    <w:rsid w:val="00174F24"/>
    <w:rsid w:val="00175B20"/>
    <w:rsid w:val="00175BBF"/>
    <w:rsid w:val="00181380"/>
    <w:rsid w:val="0018343F"/>
    <w:rsid w:val="00183690"/>
    <w:rsid w:val="00185AEF"/>
    <w:rsid w:val="001861D9"/>
    <w:rsid w:val="0019086C"/>
    <w:rsid w:val="00190B03"/>
    <w:rsid w:val="0019101A"/>
    <w:rsid w:val="0019252E"/>
    <w:rsid w:val="00192D88"/>
    <w:rsid w:val="0019512C"/>
    <w:rsid w:val="0019517F"/>
    <w:rsid w:val="001972D2"/>
    <w:rsid w:val="00197A7A"/>
    <w:rsid w:val="001A0009"/>
    <w:rsid w:val="001A1BD1"/>
    <w:rsid w:val="001A1C30"/>
    <w:rsid w:val="001A3386"/>
    <w:rsid w:val="001A470D"/>
    <w:rsid w:val="001A5CBA"/>
    <w:rsid w:val="001A710C"/>
    <w:rsid w:val="001A7459"/>
    <w:rsid w:val="001A7599"/>
    <w:rsid w:val="001A7673"/>
    <w:rsid w:val="001B2726"/>
    <w:rsid w:val="001B2838"/>
    <w:rsid w:val="001B2A6F"/>
    <w:rsid w:val="001B3FB1"/>
    <w:rsid w:val="001B6036"/>
    <w:rsid w:val="001B7336"/>
    <w:rsid w:val="001C0D84"/>
    <w:rsid w:val="001C2253"/>
    <w:rsid w:val="001C2B4E"/>
    <w:rsid w:val="001C2F2D"/>
    <w:rsid w:val="001C358D"/>
    <w:rsid w:val="001C4947"/>
    <w:rsid w:val="001C5700"/>
    <w:rsid w:val="001C6541"/>
    <w:rsid w:val="001C6D75"/>
    <w:rsid w:val="001C73AC"/>
    <w:rsid w:val="001C7DA8"/>
    <w:rsid w:val="001D1C59"/>
    <w:rsid w:val="001D3560"/>
    <w:rsid w:val="001D5B89"/>
    <w:rsid w:val="001E19E8"/>
    <w:rsid w:val="001E25B2"/>
    <w:rsid w:val="001E3C25"/>
    <w:rsid w:val="001E629D"/>
    <w:rsid w:val="001F1731"/>
    <w:rsid w:val="001F1884"/>
    <w:rsid w:val="001F1B27"/>
    <w:rsid w:val="001F3327"/>
    <w:rsid w:val="001F3B77"/>
    <w:rsid w:val="001F3B9C"/>
    <w:rsid w:val="001F4F5E"/>
    <w:rsid w:val="001F5A0F"/>
    <w:rsid w:val="001F6324"/>
    <w:rsid w:val="001F7A9A"/>
    <w:rsid w:val="001F7FF2"/>
    <w:rsid w:val="00200122"/>
    <w:rsid w:val="0020193C"/>
    <w:rsid w:val="0020429B"/>
    <w:rsid w:val="00206483"/>
    <w:rsid w:val="002073F0"/>
    <w:rsid w:val="002126AA"/>
    <w:rsid w:val="00212AC4"/>
    <w:rsid w:val="002134EA"/>
    <w:rsid w:val="00213919"/>
    <w:rsid w:val="00215FED"/>
    <w:rsid w:val="00216290"/>
    <w:rsid w:val="00220A6F"/>
    <w:rsid w:val="00220F37"/>
    <w:rsid w:val="00221B50"/>
    <w:rsid w:val="00221EC0"/>
    <w:rsid w:val="00222290"/>
    <w:rsid w:val="002227F4"/>
    <w:rsid w:val="00224778"/>
    <w:rsid w:val="00224E2E"/>
    <w:rsid w:val="00225337"/>
    <w:rsid w:val="00225E6D"/>
    <w:rsid w:val="00226C9B"/>
    <w:rsid w:val="00226F81"/>
    <w:rsid w:val="00227EAF"/>
    <w:rsid w:val="00230564"/>
    <w:rsid w:val="00231049"/>
    <w:rsid w:val="002314D2"/>
    <w:rsid w:val="00231720"/>
    <w:rsid w:val="0023305C"/>
    <w:rsid w:val="00233BE1"/>
    <w:rsid w:val="00234F64"/>
    <w:rsid w:val="00241881"/>
    <w:rsid w:val="002420A5"/>
    <w:rsid w:val="0024294C"/>
    <w:rsid w:val="0024486C"/>
    <w:rsid w:val="002457CA"/>
    <w:rsid w:val="00250881"/>
    <w:rsid w:val="00250CF0"/>
    <w:rsid w:val="00250D55"/>
    <w:rsid w:val="00252862"/>
    <w:rsid w:val="00254202"/>
    <w:rsid w:val="00255379"/>
    <w:rsid w:val="0025652F"/>
    <w:rsid w:val="00256C4C"/>
    <w:rsid w:val="00257A17"/>
    <w:rsid w:val="00260A16"/>
    <w:rsid w:val="00263A36"/>
    <w:rsid w:val="00263B6C"/>
    <w:rsid w:val="002653BC"/>
    <w:rsid w:val="0026592A"/>
    <w:rsid w:val="00266A30"/>
    <w:rsid w:val="00266C84"/>
    <w:rsid w:val="00267B20"/>
    <w:rsid w:val="0027157C"/>
    <w:rsid w:val="002718A0"/>
    <w:rsid w:val="00271DF6"/>
    <w:rsid w:val="00272939"/>
    <w:rsid w:val="0027590B"/>
    <w:rsid w:val="00276AC4"/>
    <w:rsid w:val="00277D37"/>
    <w:rsid w:val="00277D6D"/>
    <w:rsid w:val="002802DA"/>
    <w:rsid w:val="00280CFF"/>
    <w:rsid w:val="002810D4"/>
    <w:rsid w:val="002822E0"/>
    <w:rsid w:val="00282BB9"/>
    <w:rsid w:val="00283280"/>
    <w:rsid w:val="002839F8"/>
    <w:rsid w:val="00285969"/>
    <w:rsid w:val="00286784"/>
    <w:rsid w:val="0029020F"/>
    <w:rsid w:val="00291CA1"/>
    <w:rsid w:val="00291E80"/>
    <w:rsid w:val="00292915"/>
    <w:rsid w:val="00293399"/>
    <w:rsid w:val="002933E7"/>
    <w:rsid w:val="00294472"/>
    <w:rsid w:val="00295573"/>
    <w:rsid w:val="002968FB"/>
    <w:rsid w:val="00296F7A"/>
    <w:rsid w:val="00297207"/>
    <w:rsid w:val="002A1370"/>
    <w:rsid w:val="002A25C5"/>
    <w:rsid w:val="002A4683"/>
    <w:rsid w:val="002A5A11"/>
    <w:rsid w:val="002A5C9C"/>
    <w:rsid w:val="002A74EF"/>
    <w:rsid w:val="002A782A"/>
    <w:rsid w:val="002B3829"/>
    <w:rsid w:val="002B567A"/>
    <w:rsid w:val="002B5BFF"/>
    <w:rsid w:val="002B7163"/>
    <w:rsid w:val="002B7679"/>
    <w:rsid w:val="002B76E9"/>
    <w:rsid w:val="002C22EF"/>
    <w:rsid w:val="002C375A"/>
    <w:rsid w:val="002C38BC"/>
    <w:rsid w:val="002C3FD0"/>
    <w:rsid w:val="002C4C94"/>
    <w:rsid w:val="002C6285"/>
    <w:rsid w:val="002D075C"/>
    <w:rsid w:val="002D2C78"/>
    <w:rsid w:val="002D53CE"/>
    <w:rsid w:val="002D576D"/>
    <w:rsid w:val="002E0319"/>
    <w:rsid w:val="002E1006"/>
    <w:rsid w:val="002E11F2"/>
    <w:rsid w:val="002E15F2"/>
    <w:rsid w:val="002E24B8"/>
    <w:rsid w:val="002E3DE9"/>
    <w:rsid w:val="002E454C"/>
    <w:rsid w:val="002E5DD4"/>
    <w:rsid w:val="002E6D76"/>
    <w:rsid w:val="002E6E1B"/>
    <w:rsid w:val="002E76CE"/>
    <w:rsid w:val="002F04B0"/>
    <w:rsid w:val="002F1B78"/>
    <w:rsid w:val="002F2B3B"/>
    <w:rsid w:val="002F4146"/>
    <w:rsid w:val="002F5A12"/>
    <w:rsid w:val="002F617F"/>
    <w:rsid w:val="002F7441"/>
    <w:rsid w:val="002F7AA6"/>
    <w:rsid w:val="00300109"/>
    <w:rsid w:val="00300858"/>
    <w:rsid w:val="00300B08"/>
    <w:rsid w:val="00301755"/>
    <w:rsid w:val="003026E1"/>
    <w:rsid w:val="00304FBF"/>
    <w:rsid w:val="0030665E"/>
    <w:rsid w:val="00306894"/>
    <w:rsid w:val="00307167"/>
    <w:rsid w:val="00307595"/>
    <w:rsid w:val="00307818"/>
    <w:rsid w:val="003122F4"/>
    <w:rsid w:val="0031284E"/>
    <w:rsid w:val="003136AE"/>
    <w:rsid w:val="00313FA1"/>
    <w:rsid w:val="0031431B"/>
    <w:rsid w:val="00321B18"/>
    <w:rsid w:val="0032236A"/>
    <w:rsid w:val="00323ECB"/>
    <w:rsid w:val="0032446A"/>
    <w:rsid w:val="00326852"/>
    <w:rsid w:val="003268D5"/>
    <w:rsid w:val="003276DB"/>
    <w:rsid w:val="00331F9A"/>
    <w:rsid w:val="003321DE"/>
    <w:rsid w:val="00335557"/>
    <w:rsid w:val="0033591B"/>
    <w:rsid w:val="00336F3E"/>
    <w:rsid w:val="00340009"/>
    <w:rsid w:val="00342CAE"/>
    <w:rsid w:val="00343D35"/>
    <w:rsid w:val="003448F6"/>
    <w:rsid w:val="00347995"/>
    <w:rsid w:val="00350759"/>
    <w:rsid w:val="003521B5"/>
    <w:rsid w:val="00352EC1"/>
    <w:rsid w:val="00354090"/>
    <w:rsid w:val="00354749"/>
    <w:rsid w:val="00354D27"/>
    <w:rsid w:val="003571C3"/>
    <w:rsid w:val="0035738A"/>
    <w:rsid w:val="00360A1F"/>
    <w:rsid w:val="00360F3C"/>
    <w:rsid w:val="0036278D"/>
    <w:rsid w:val="003635F6"/>
    <w:rsid w:val="003641F6"/>
    <w:rsid w:val="00365167"/>
    <w:rsid w:val="00365914"/>
    <w:rsid w:val="003703D2"/>
    <w:rsid w:val="003703F3"/>
    <w:rsid w:val="003709DF"/>
    <w:rsid w:val="00376B97"/>
    <w:rsid w:val="00381B08"/>
    <w:rsid w:val="003829B0"/>
    <w:rsid w:val="00382F63"/>
    <w:rsid w:val="00383907"/>
    <w:rsid w:val="003858A6"/>
    <w:rsid w:val="003860B3"/>
    <w:rsid w:val="00386ACF"/>
    <w:rsid w:val="003905A7"/>
    <w:rsid w:val="003914D6"/>
    <w:rsid w:val="0039206D"/>
    <w:rsid w:val="003921E8"/>
    <w:rsid w:val="00392DCC"/>
    <w:rsid w:val="00394A7C"/>
    <w:rsid w:val="00396BD1"/>
    <w:rsid w:val="003A0373"/>
    <w:rsid w:val="003A0CF6"/>
    <w:rsid w:val="003A1678"/>
    <w:rsid w:val="003A1D77"/>
    <w:rsid w:val="003A423E"/>
    <w:rsid w:val="003A47B5"/>
    <w:rsid w:val="003A5B36"/>
    <w:rsid w:val="003A5CEA"/>
    <w:rsid w:val="003A6480"/>
    <w:rsid w:val="003A6AFC"/>
    <w:rsid w:val="003A7841"/>
    <w:rsid w:val="003B0AC9"/>
    <w:rsid w:val="003B24F1"/>
    <w:rsid w:val="003B2821"/>
    <w:rsid w:val="003B3D44"/>
    <w:rsid w:val="003B53BC"/>
    <w:rsid w:val="003B6F5A"/>
    <w:rsid w:val="003B7A42"/>
    <w:rsid w:val="003C1048"/>
    <w:rsid w:val="003C24B4"/>
    <w:rsid w:val="003C3294"/>
    <w:rsid w:val="003C4889"/>
    <w:rsid w:val="003C76EB"/>
    <w:rsid w:val="003C7FE8"/>
    <w:rsid w:val="003D0883"/>
    <w:rsid w:val="003D373B"/>
    <w:rsid w:val="003D444C"/>
    <w:rsid w:val="003D50D8"/>
    <w:rsid w:val="003D6B36"/>
    <w:rsid w:val="003D77F9"/>
    <w:rsid w:val="003E07B7"/>
    <w:rsid w:val="003E1A51"/>
    <w:rsid w:val="003E20D6"/>
    <w:rsid w:val="003E2BE2"/>
    <w:rsid w:val="003E4D87"/>
    <w:rsid w:val="003E58FD"/>
    <w:rsid w:val="003E5FBE"/>
    <w:rsid w:val="003F0335"/>
    <w:rsid w:val="003F0899"/>
    <w:rsid w:val="003F0D76"/>
    <w:rsid w:val="003F1354"/>
    <w:rsid w:val="003F197D"/>
    <w:rsid w:val="003F4996"/>
    <w:rsid w:val="003F5A4B"/>
    <w:rsid w:val="003F5D8A"/>
    <w:rsid w:val="003F6D5F"/>
    <w:rsid w:val="00401082"/>
    <w:rsid w:val="00401269"/>
    <w:rsid w:val="0040350C"/>
    <w:rsid w:val="00404101"/>
    <w:rsid w:val="004046C9"/>
    <w:rsid w:val="004051F1"/>
    <w:rsid w:val="004054B8"/>
    <w:rsid w:val="0041090A"/>
    <w:rsid w:val="00412249"/>
    <w:rsid w:val="0041436E"/>
    <w:rsid w:val="00415618"/>
    <w:rsid w:val="004161A9"/>
    <w:rsid w:val="00416678"/>
    <w:rsid w:val="00416762"/>
    <w:rsid w:val="00416E55"/>
    <w:rsid w:val="004231A8"/>
    <w:rsid w:val="0042492C"/>
    <w:rsid w:val="0042518A"/>
    <w:rsid w:val="004268A1"/>
    <w:rsid w:val="004276A0"/>
    <w:rsid w:val="00433A0D"/>
    <w:rsid w:val="004351D0"/>
    <w:rsid w:val="00435D65"/>
    <w:rsid w:val="00436114"/>
    <w:rsid w:val="00436E2A"/>
    <w:rsid w:val="004371C3"/>
    <w:rsid w:val="0044144B"/>
    <w:rsid w:val="0044263D"/>
    <w:rsid w:val="00444661"/>
    <w:rsid w:val="00445265"/>
    <w:rsid w:val="004464AB"/>
    <w:rsid w:val="00446793"/>
    <w:rsid w:val="0044685C"/>
    <w:rsid w:val="0044762D"/>
    <w:rsid w:val="0045075C"/>
    <w:rsid w:val="00450863"/>
    <w:rsid w:val="00450EDF"/>
    <w:rsid w:val="00452CE4"/>
    <w:rsid w:val="004559CE"/>
    <w:rsid w:val="0045636A"/>
    <w:rsid w:val="004566DC"/>
    <w:rsid w:val="00456E5B"/>
    <w:rsid w:val="00457597"/>
    <w:rsid w:val="00460330"/>
    <w:rsid w:val="00460D9D"/>
    <w:rsid w:val="00460E1A"/>
    <w:rsid w:val="0046126E"/>
    <w:rsid w:val="00462480"/>
    <w:rsid w:val="00463DF8"/>
    <w:rsid w:val="0046453C"/>
    <w:rsid w:val="00464D63"/>
    <w:rsid w:val="00467446"/>
    <w:rsid w:val="004726E6"/>
    <w:rsid w:val="00475085"/>
    <w:rsid w:val="0047540B"/>
    <w:rsid w:val="0047620C"/>
    <w:rsid w:val="00476CF6"/>
    <w:rsid w:val="00476E7B"/>
    <w:rsid w:val="00477AA8"/>
    <w:rsid w:val="00477FC7"/>
    <w:rsid w:val="00480310"/>
    <w:rsid w:val="00481522"/>
    <w:rsid w:val="0048240A"/>
    <w:rsid w:val="00485B7D"/>
    <w:rsid w:val="00486096"/>
    <w:rsid w:val="00487C74"/>
    <w:rsid w:val="00487F45"/>
    <w:rsid w:val="00490E2C"/>
    <w:rsid w:val="00492B84"/>
    <w:rsid w:val="00492FCB"/>
    <w:rsid w:val="004940C0"/>
    <w:rsid w:val="004946AE"/>
    <w:rsid w:val="004A04B7"/>
    <w:rsid w:val="004A0F11"/>
    <w:rsid w:val="004A101D"/>
    <w:rsid w:val="004A17D3"/>
    <w:rsid w:val="004A388B"/>
    <w:rsid w:val="004A3EAA"/>
    <w:rsid w:val="004A695F"/>
    <w:rsid w:val="004A7D97"/>
    <w:rsid w:val="004B4858"/>
    <w:rsid w:val="004B5133"/>
    <w:rsid w:val="004B67B0"/>
    <w:rsid w:val="004B6BAD"/>
    <w:rsid w:val="004B6CFA"/>
    <w:rsid w:val="004B7016"/>
    <w:rsid w:val="004C0283"/>
    <w:rsid w:val="004C13A0"/>
    <w:rsid w:val="004C1687"/>
    <w:rsid w:val="004C41B6"/>
    <w:rsid w:val="004C57B0"/>
    <w:rsid w:val="004C6533"/>
    <w:rsid w:val="004C6763"/>
    <w:rsid w:val="004D082F"/>
    <w:rsid w:val="004D0D91"/>
    <w:rsid w:val="004D17C8"/>
    <w:rsid w:val="004D2212"/>
    <w:rsid w:val="004D4189"/>
    <w:rsid w:val="004D530C"/>
    <w:rsid w:val="004D64C5"/>
    <w:rsid w:val="004D656A"/>
    <w:rsid w:val="004D6CBA"/>
    <w:rsid w:val="004D6E37"/>
    <w:rsid w:val="004D797C"/>
    <w:rsid w:val="004E00EA"/>
    <w:rsid w:val="004E3DC9"/>
    <w:rsid w:val="004E4792"/>
    <w:rsid w:val="004E691F"/>
    <w:rsid w:val="004E7115"/>
    <w:rsid w:val="004E7C21"/>
    <w:rsid w:val="004F4B92"/>
    <w:rsid w:val="004F677D"/>
    <w:rsid w:val="004F7264"/>
    <w:rsid w:val="00501C49"/>
    <w:rsid w:val="00503917"/>
    <w:rsid w:val="005039BA"/>
    <w:rsid w:val="00503E72"/>
    <w:rsid w:val="00505646"/>
    <w:rsid w:val="00510566"/>
    <w:rsid w:val="00511AFF"/>
    <w:rsid w:val="00514158"/>
    <w:rsid w:val="00514E58"/>
    <w:rsid w:val="005154DD"/>
    <w:rsid w:val="0051617E"/>
    <w:rsid w:val="00516785"/>
    <w:rsid w:val="00520E48"/>
    <w:rsid w:val="005217DF"/>
    <w:rsid w:val="00521FD4"/>
    <w:rsid w:val="0052310E"/>
    <w:rsid w:val="0052419D"/>
    <w:rsid w:val="005301F8"/>
    <w:rsid w:val="005312FC"/>
    <w:rsid w:val="0053232A"/>
    <w:rsid w:val="00532A70"/>
    <w:rsid w:val="00532D78"/>
    <w:rsid w:val="00533C2B"/>
    <w:rsid w:val="0053569E"/>
    <w:rsid w:val="0053603D"/>
    <w:rsid w:val="0053742A"/>
    <w:rsid w:val="00537C85"/>
    <w:rsid w:val="00537EEA"/>
    <w:rsid w:val="00540121"/>
    <w:rsid w:val="00541D29"/>
    <w:rsid w:val="00546BB3"/>
    <w:rsid w:val="0054749D"/>
    <w:rsid w:val="00550624"/>
    <w:rsid w:val="005510D6"/>
    <w:rsid w:val="00551345"/>
    <w:rsid w:val="00553C26"/>
    <w:rsid w:val="005553B9"/>
    <w:rsid w:val="00555862"/>
    <w:rsid w:val="00555FA7"/>
    <w:rsid w:val="00557191"/>
    <w:rsid w:val="00560604"/>
    <w:rsid w:val="00561A47"/>
    <w:rsid w:val="0056238E"/>
    <w:rsid w:val="00562E73"/>
    <w:rsid w:val="00562F17"/>
    <w:rsid w:val="0056449B"/>
    <w:rsid w:val="005652E3"/>
    <w:rsid w:val="005657E0"/>
    <w:rsid w:val="0056582C"/>
    <w:rsid w:val="0056617F"/>
    <w:rsid w:val="005726B1"/>
    <w:rsid w:val="00572EBC"/>
    <w:rsid w:val="005738FC"/>
    <w:rsid w:val="0057498F"/>
    <w:rsid w:val="00577E1A"/>
    <w:rsid w:val="00580D0F"/>
    <w:rsid w:val="00582519"/>
    <w:rsid w:val="0058282C"/>
    <w:rsid w:val="00582DD7"/>
    <w:rsid w:val="005849D2"/>
    <w:rsid w:val="00584A15"/>
    <w:rsid w:val="00585FF5"/>
    <w:rsid w:val="0058674B"/>
    <w:rsid w:val="005868DE"/>
    <w:rsid w:val="005877AC"/>
    <w:rsid w:val="005911F7"/>
    <w:rsid w:val="00594113"/>
    <w:rsid w:val="005966B7"/>
    <w:rsid w:val="00596E9F"/>
    <w:rsid w:val="005A107C"/>
    <w:rsid w:val="005A1B19"/>
    <w:rsid w:val="005A434C"/>
    <w:rsid w:val="005A65AA"/>
    <w:rsid w:val="005B329C"/>
    <w:rsid w:val="005B46A4"/>
    <w:rsid w:val="005B5E2A"/>
    <w:rsid w:val="005B73F4"/>
    <w:rsid w:val="005B7866"/>
    <w:rsid w:val="005B7E9A"/>
    <w:rsid w:val="005C02A4"/>
    <w:rsid w:val="005C13F0"/>
    <w:rsid w:val="005C1E28"/>
    <w:rsid w:val="005C20D2"/>
    <w:rsid w:val="005C32FE"/>
    <w:rsid w:val="005C4DE5"/>
    <w:rsid w:val="005C503A"/>
    <w:rsid w:val="005C5E28"/>
    <w:rsid w:val="005C6175"/>
    <w:rsid w:val="005C651B"/>
    <w:rsid w:val="005C665D"/>
    <w:rsid w:val="005D024A"/>
    <w:rsid w:val="005D089C"/>
    <w:rsid w:val="005D1185"/>
    <w:rsid w:val="005D1AC3"/>
    <w:rsid w:val="005D2AFD"/>
    <w:rsid w:val="005D3070"/>
    <w:rsid w:val="005D32FA"/>
    <w:rsid w:val="005D371A"/>
    <w:rsid w:val="005D4AA3"/>
    <w:rsid w:val="005D4FD4"/>
    <w:rsid w:val="005D562D"/>
    <w:rsid w:val="005D65BE"/>
    <w:rsid w:val="005D6A2D"/>
    <w:rsid w:val="005D6D64"/>
    <w:rsid w:val="005E1DEF"/>
    <w:rsid w:val="005E23B4"/>
    <w:rsid w:val="005E3FA5"/>
    <w:rsid w:val="005E462C"/>
    <w:rsid w:val="005E475D"/>
    <w:rsid w:val="005E5A2D"/>
    <w:rsid w:val="005E618C"/>
    <w:rsid w:val="005F12AE"/>
    <w:rsid w:val="005F3820"/>
    <w:rsid w:val="005F3D39"/>
    <w:rsid w:val="005F56D2"/>
    <w:rsid w:val="005F71DD"/>
    <w:rsid w:val="00600B63"/>
    <w:rsid w:val="00600BF8"/>
    <w:rsid w:val="00601650"/>
    <w:rsid w:val="00602EAC"/>
    <w:rsid w:val="00604A93"/>
    <w:rsid w:val="00604EEF"/>
    <w:rsid w:val="00605AFD"/>
    <w:rsid w:val="006074E8"/>
    <w:rsid w:val="006079BC"/>
    <w:rsid w:val="00610CD1"/>
    <w:rsid w:val="006123D4"/>
    <w:rsid w:val="006131FD"/>
    <w:rsid w:val="00614450"/>
    <w:rsid w:val="0061445B"/>
    <w:rsid w:val="00615C30"/>
    <w:rsid w:val="006173CC"/>
    <w:rsid w:val="006225FD"/>
    <w:rsid w:val="00622654"/>
    <w:rsid w:val="0062285F"/>
    <w:rsid w:val="00624C4B"/>
    <w:rsid w:val="006251F6"/>
    <w:rsid w:val="00627876"/>
    <w:rsid w:val="0063107A"/>
    <w:rsid w:val="00635103"/>
    <w:rsid w:val="00635934"/>
    <w:rsid w:val="00636E60"/>
    <w:rsid w:val="00636F4D"/>
    <w:rsid w:val="00637195"/>
    <w:rsid w:val="006377DE"/>
    <w:rsid w:val="0063792E"/>
    <w:rsid w:val="00640D13"/>
    <w:rsid w:val="006423B3"/>
    <w:rsid w:val="00642547"/>
    <w:rsid w:val="006428A7"/>
    <w:rsid w:val="006428BE"/>
    <w:rsid w:val="00643D5F"/>
    <w:rsid w:val="00644C25"/>
    <w:rsid w:val="0064592F"/>
    <w:rsid w:val="00646136"/>
    <w:rsid w:val="0064630A"/>
    <w:rsid w:val="0065001C"/>
    <w:rsid w:val="00650147"/>
    <w:rsid w:val="006536E3"/>
    <w:rsid w:val="00655025"/>
    <w:rsid w:val="00655EAB"/>
    <w:rsid w:val="006564D3"/>
    <w:rsid w:val="0065652B"/>
    <w:rsid w:val="00661483"/>
    <w:rsid w:val="00662C80"/>
    <w:rsid w:val="0066362F"/>
    <w:rsid w:val="0066408A"/>
    <w:rsid w:val="00664B32"/>
    <w:rsid w:val="00665234"/>
    <w:rsid w:val="00670DB2"/>
    <w:rsid w:val="006743B5"/>
    <w:rsid w:val="00675EDA"/>
    <w:rsid w:val="0067622C"/>
    <w:rsid w:val="00677E55"/>
    <w:rsid w:val="00685CF7"/>
    <w:rsid w:val="00685D1E"/>
    <w:rsid w:val="00686165"/>
    <w:rsid w:val="006911E9"/>
    <w:rsid w:val="00691CB5"/>
    <w:rsid w:val="006923DF"/>
    <w:rsid w:val="00693209"/>
    <w:rsid w:val="00693475"/>
    <w:rsid w:val="00694A07"/>
    <w:rsid w:val="00694DCA"/>
    <w:rsid w:val="006959F9"/>
    <w:rsid w:val="00695D5C"/>
    <w:rsid w:val="00696473"/>
    <w:rsid w:val="006968B1"/>
    <w:rsid w:val="006968B5"/>
    <w:rsid w:val="006A1156"/>
    <w:rsid w:val="006A37F5"/>
    <w:rsid w:val="006A6DE6"/>
    <w:rsid w:val="006B38FF"/>
    <w:rsid w:val="006B48C4"/>
    <w:rsid w:val="006B55EE"/>
    <w:rsid w:val="006B59B1"/>
    <w:rsid w:val="006C0734"/>
    <w:rsid w:val="006C0BB5"/>
    <w:rsid w:val="006C0CFF"/>
    <w:rsid w:val="006C1892"/>
    <w:rsid w:val="006C1A72"/>
    <w:rsid w:val="006C2436"/>
    <w:rsid w:val="006C308A"/>
    <w:rsid w:val="006C3123"/>
    <w:rsid w:val="006C5B73"/>
    <w:rsid w:val="006C645D"/>
    <w:rsid w:val="006C66E5"/>
    <w:rsid w:val="006C6B90"/>
    <w:rsid w:val="006C71CD"/>
    <w:rsid w:val="006D1EB1"/>
    <w:rsid w:val="006D225A"/>
    <w:rsid w:val="006D25B7"/>
    <w:rsid w:val="006D3AB2"/>
    <w:rsid w:val="006D3C99"/>
    <w:rsid w:val="006D4825"/>
    <w:rsid w:val="006E020B"/>
    <w:rsid w:val="006E16D7"/>
    <w:rsid w:val="006E2D2A"/>
    <w:rsid w:val="006E2FD0"/>
    <w:rsid w:val="006E3CC3"/>
    <w:rsid w:val="006E420A"/>
    <w:rsid w:val="006E46CF"/>
    <w:rsid w:val="006E486F"/>
    <w:rsid w:val="006E6F62"/>
    <w:rsid w:val="006E7FD6"/>
    <w:rsid w:val="006F1DBE"/>
    <w:rsid w:val="006F2E41"/>
    <w:rsid w:val="006F49D3"/>
    <w:rsid w:val="006F4D62"/>
    <w:rsid w:val="00700514"/>
    <w:rsid w:val="007017E3"/>
    <w:rsid w:val="00702140"/>
    <w:rsid w:val="0070219E"/>
    <w:rsid w:val="00703694"/>
    <w:rsid w:val="00704D45"/>
    <w:rsid w:val="00706E8E"/>
    <w:rsid w:val="00707E98"/>
    <w:rsid w:val="007108A7"/>
    <w:rsid w:val="00710ABE"/>
    <w:rsid w:val="00711A89"/>
    <w:rsid w:val="007126E0"/>
    <w:rsid w:val="00712B98"/>
    <w:rsid w:val="0071401E"/>
    <w:rsid w:val="00715251"/>
    <w:rsid w:val="0071565B"/>
    <w:rsid w:val="00716E14"/>
    <w:rsid w:val="0071701A"/>
    <w:rsid w:val="007177FD"/>
    <w:rsid w:val="007223D7"/>
    <w:rsid w:val="00722B53"/>
    <w:rsid w:val="0072382B"/>
    <w:rsid w:val="00723D36"/>
    <w:rsid w:val="00726229"/>
    <w:rsid w:val="0072632D"/>
    <w:rsid w:val="00730191"/>
    <w:rsid w:val="00730B49"/>
    <w:rsid w:val="007331C0"/>
    <w:rsid w:val="00733343"/>
    <w:rsid w:val="00736BEF"/>
    <w:rsid w:val="00736FF8"/>
    <w:rsid w:val="0074197C"/>
    <w:rsid w:val="00743C52"/>
    <w:rsid w:val="007453A2"/>
    <w:rsid w:val="00745615"/>
    <w:rsid w:val="007509DD"/>
    <w:rsid w:val="007510FE"/>
    <w:rsid w:val="00751125"/>
    <w:rsid w:val="00751F6B"/>
    <w:rsid w:val="0075263C"/>
    <w:rsid w:val="007529AD"/>
    <w:rsid w:val="00754C47"/>
    <w:rsid w:val="00755B0D"/>
    <w:rsid w:val="007624CD"/>
    <w:rsid w:val="00762CF8"/>
    <w:rsid w:val="00763474"/>
    <w:rsid w:val="007666DA"/>
    <w:rsid w:val="00771798"/>
    <w:rsid w:val="007725AF"/>
    <w:rsid w:val="00773239"/>
    <w:rsid w:val="007744D4"/>
    <w:rsid w:val="00774F4E"/>
    <w:rsid w:val="007750E2"/>
    <w:rsid w:val="00775CC3"/>
    <w:rsid w:val="00775DF4"/>
    <w:rsid w:val="00780DF2"/>
    <w:rsid w:val="007810E5"/>
    <w:rsid w:val="00781774"/>
    <w:rsid w:val="00782D69"/>
    <w:rsid w:val="0078301C"/>
    <w:rsid w:val="007836B1"/>
    <w:rsid w:val="007837F3"/>
    <w:rsid w:val="00783DE6"/>
    <w:rsid w:val="00784B66"/>
    <w:rsid w:val="00784C0A"/>
    <w:rsid w:val="00784C70"/>
    <w:rsid w:val="00785EB3"/>
    <w:rsid w:val="00786BCF"/>
    <w:rsid w:val="007906F5"/>
    <w:rsid w:val="00790DBC"/>
    <w:rsid w:val="00793743"/>
    <w:rsid w:val="00793BB7"/>
    <w:rsid w:val="0079426E"/>
    <w:rsid w:val="00794B11"/>
    <w:rsid w:val="00794B40"/>
    <w:rsid w:val="00795D12"/>
    <w:rsid w:val="007A01B5"/>
    <w:rsid w:val="007A01D4"/>
    <w:rsid w:val="007A1079"/>
    <w:rsid w:val="007A2064"/>
    <w:rsid w:val="007A43A7"/>
    <w:rsid w:val="007B169A"/>
    <w:rsid w:val="007B1D7E"/>
    <w:rsid w:val="007B25B8"/>
    <w:rsid w:val="007B2677"/>
    <w:rsid w:val="007B2713"/>
    <w:rsid w:val="007B3EFE"/>
    <w:rsid w:val="007B5D3D"/>
    <w:rsid w:val="007B76AB"/>
    <w:rsid w:val="007B7EAA"/>
    <w:rsid w:val="007C2BE0"/>
    <w:rsid w:val="007C3EC2"/>
    <w:rsid w:val="007C4F50"/>
    <w:rsid w:val="007C69A5"/>
    <w:rsid w:val="007C76FB"/>
    <w:rsid w:val="007D0BD3"/>
    <w:rsid w:val="007D1BBB"/>
    <w:rsid w:val="007D4082"/>
    <w:rsid w:val="007D592B"/>
    <w:rsid w:val="007D5AA6"/>
    <w:rsid w:val="007D5BB2"/>
    <w:rsid w:val="007D7384"/>
    <w:rsid w:val="007D7A91"/>
    <w:rsid w:val="007E3059"/>
    <w:rsid w:val="007E3991"/>
    <w:rsid w:val="007E4B1B"/>
    <w:rsid w:val="007E4D5D"/>
    <w:rsid w:val="007E5DB4"/>
    <w:rsid w:val="007E609D"/>
    <w:rsid w:val="007E6456"/>
    <w:rsid w:val="007E7FBA"/>
    <w:rsid w:val="007F009A"/>
    <w:rsid w:val="007F3B41"/>
    <w:rsid w:val="007F58BC"/>
    <w:rsid w:val="007F7094"/>
    <w:rsid w:val="007F71C2"/>
    <w:rsid w:val="00802081"/>
    <w:rsid w:val="008025D2"/>
    <w:rsid w:val="0080535F"/>
    <w:rsid w:val="00805C1D"/>
    <w:rsid w:val="00806359"/>
    <w:rsid w:val="008063A9"/>
    <w:rsid w:val="008065AC"/>
    <w:rsid w:val="00806763"/>
    <w:rsid w:val="00810685"/>
    <w:rsid w:val="00810E18"/>
    <w:rsid w:val="00811087"/>
    <w:rsid w:val="00811943"/>
    <w:rsid w:val="00813E85"/>
    <w:rsid w:val="008152AC"/>
    <w:rsid w:val="00815D60"/>
    <w:rsid w:val="00815F0B"/>
    <w:rsid w:val="00815F15"/>
    <w:rsid w:val="00816C19"/>
    <w:rsid w:val="00821C0C"/>
    <w:rsid w:val="00823068"/>
    <w:rsid w:val="00823B1B"/>
    <w:rsid w:val="00825E78"/>
    <w:rsid w:val="00826343"/>
    <w:rsid w:val="008274CD"/>
    <w:rsid w:val="00831093"/>
    <w:rsid w:val="008311B8"/>
    <w:rsid w:val="00831276"/>
    <w:rsid w:val="008316A8"/>
    <w:rsid w:val="00832ED6"/>
    <w:rsid w:val="00833883"/>
    <w:rsid w:val="00833C53"/>
    <w:rsid w:val="00834243"/>
    <w:rsid w:val="00834635"/>
    <w:rsid w:val="00834DA1"/>
    <w:rsid w:val="00835C04"/>
    <w:rsid w:val="00835D5E"/>
    <w:rsid w:val="00837162"/>
    <w:rsid w:val="00841EB7"/>
    <w:rsid w:val="008453F3"/>
    <w:rsid w:val="008454A4"/>
    <w:rsid w:val="00845C8A"/>
    <w:rsid w:val="00847314"/>
    <w:rsid w:val="008502F2"/>
    <w:rsid w:val="00851669"/>
    <w:rsid w:val="008539C0"/>
    <w:rsid w:val="008542B5"/>
    <w:rsid w:val="008543B1"/>
    <w:rsid w:val="00855AA1"/>
    <w:rsid w:val="00856FAD"/>
    <w:rsid w:val="00857969"/>
    <w:rsid w:val="008605CB"/>
    <w:rsid w:val="00860F35"/>
    <w:rsid w:val="008638D2"/>
    <w:rsid w:val="00865862"/>
    <w:rsid w:val="00872B1F"/>
    <w:rsid w:val="00873464"/>
    <w:rsid w:val="008751DD"/>
    <w:rsid w:val="00875D1B"/>
    <w:rsid w:val="00876D5B"/>
    <w:rsid w:val="0088074A"/>
    <w:rsid w:val="00880F3B"/>
    <w:rsid w:val="00881AE8"/>
    <w:rsid w:val="00882CC4"/>
    <w:rsid w:val="008844AC"/>
    <w:rsid w:val="00885CC1"/>
    <w:rsid w:val="00886D8E"/>
    <w:rsid w:val="00887DB1"/>
    <w:rsid w:val="008901EF"/>
    <w:rsid w:val="008909AA"/>
    <w:rsid w:val="00891810"/>
    <w:rsid w:val="008941FD"/>
    <w:rsid w:val="00894202"/>
    <w:rsid w:val="00895183"/>
    <w:rsid w:val="00897CB3"/>
    <w:rsid w:val="008A03FF"/>
    <w:rsid w:val="008A2479"/>
    <w:rsid w:val="008A261E"/>
    <w:rsid w:val="008A49DB"/>
    <w:rsid w:val="008A60CA"/>
    <w:rsid w:val="008A6D67"/>
    <w:rsid w:val="008A7E7D"/>
    <w:rsid w:val="008B08C3"/>
    <w:rsid w:val="008B2E9D"/>
    <w:rsid w:val="008B459E"/>
    <w:rsid w:val="008C1466"/>
    <w:rsid w:val="008C2307"/>
    <w:rsid w:val="008C3058"/>
    <w:rsid w:val="008C32F0"/>
    <w:rsid w:val="008C4DCD"/>
    <w:rsid w:val="008C6532"/>
    <w:rsid w:val="008C7AB7"/>
    <w:rsid w:val="008C7F71"/>
    <w:rsid w:val="008D31EC"/>
    <w:rsid w:val="008D339F"/>
    <w:rsid w:val="008E2A39"/>
    <w:rsid w:val="008E4ED3"/>
    <w:rsid w:val="008E6292"/>
    <w:rsid w:val="008E67E4"/>
    <w:rsid w:val="008E6D52"/>
    <w:rsid w:val="008F23EB"/>
    <w:rsid w:val="008F310F"/>
    <w:rsid w:val="008F5659"/>
    <w:rsid w:val="008F6A18"/>
    <w:rsid w:val="0090106C"/>
    <w:rsid w:val="009012FF"/>
    <w:rsid w:val="009029B5"/>
    <w:rsid w:val="009035DA"/>
    <w:rsid w:val="00904624"/>
    <w:rsid w:val="00904775"/>
    <w:rsid w:val="00905EB6"/>
    <w:rsid w:val="00906BCA"/>
    <w:rsid w:val="0090771E"/>
    <w:rsid w:val="00907D1B"/>
    <w:rsid w:val="00915D35"/>
    <w:rsid w:val="00916842"/>
    <w:rsid w:val="00917E28"/>
    <w:rsid w:val="00917F9E"/>
    <w:rsid w:val="00920897"/>
    <w:rsid w:val="0092143F"/>
    <w:rsid w:val="0092359D"/>
    <w:rsid w:val="00924711"/>
    <w:rsid w:val="00924E41"/>
    <w:rsid w:val="00925AA5"/>
    <w:rsid w:val="009324C2"/>
    <w:rsid w:val="00932E29"/>
    <w:rsid w:val="00932FF9"/>
    <w:rsid w:val="0093540D"/>
    <w:rsid w:val="009360E2"/>
    <w:rsid w:val="0093672F"/>
    <w:rsid w:val="0094019D"/>
    <w:rsid w:val="00941DEE"/>
    <w:rsid w:val="00941F97"/>
    <w:rsid w:val="00942C11"/>
    <w:rsid w:val="00942E9B"/>
    <w:rsid w:val="009431C5"/>
    <w:rsid w:val="009432FD"/>
    <w:rsid w:val="0094351F"/>
    <w:rsid w:val="00947679"/>
    <w:rsid w:val="0095175F"/>
    <w:rsid w:val="009547F8"/>
    <w:rsid w:val="009549EF"/>
    <w:rsid w:val="009550DE"/>
    <w:rsid w:val="00956596"/>
    <w:rsid w:val="0095660C"/>
    <w:rsid w:val="00957D45"/>
    <w:rsid w:val="00962264"/>
    <w:rsid w:val="009654C6"/>
    <w:rsid w:val="00965EB2"/>
    <w:rsid w:val="00971324"/>
    <w:rsid w:val="009729D4"/>
    <w:rsid w:val="00973C6D"/>
    <w:rsid w:val="00974403"/>
    <w:rsid w:val="00974938"/>
    <w:rsid w:val="00976D11"/>
    <w:rsid w:val="00976FBD"/>
    <w:rsid w:val="00977FFD"/>
    <w:rsid w:val="00980759"/>
    <w:rsid w:val="009817B0"/>
    <w:rsid w:val="009821CE"/>
    <w:rsid w:val="00982846"/>
    <w:rsid w:val="0098332D"/>
    <w:rsid w:val="00983C4B"/>
    <w:rsid w:val="00983C88"/>
    <w:rsid w:val="0098461C"/>
    <w:rsid w:val="00984C4C"/>
    <w:rsid w:val="0098629A"/>
    <w:rsid w:val="009864E7"/>
    <w:rsid w:val="0099053A"/>
    <w:rsid w:val="00991885"/>
    <w:rsid w:val="009921F3"/>
    <w:rsid w:val="00992D6D"/>
    <w:rsid w:val="009931D3"/>
    <w:rsid w:val="00993BE8"/>
    <w:rsid w:val="00994E35"/>
    <w:rsid w:val="009961B7"/>
    <w:rsid w:val="009A02B4"/>
    <w:rsid w:val="009A12A7"/>
    <w:rsid w:val="009A277C"/>
    <w:rsid w:val="009A3D2E"/>
    <w:rsid w:val="009A4F11"/>
    <w:rsid w:val="009A658F"/>
    <w:rsid w:val="009A72E4"/>
    <w:rsid w:val="009B430D"/>
    <w:rsid w:val="009B4540"/>
    <w:rsid w:val="009B6138"/>
    <w:rsid w:val="009B61EB"/>
    <w:rsid w:val="009B6F39"/>
    <w:rsid w:val="009C0E2D"/>
    <w:rsid w:val="009C4771"/>
    <w:rsid w:val="009C501C"/>
    <w:rsid w:val="009C56E0"/>
    <w:rsid w:val="009C582F"/>
    <w:rsid w:val="009C678F"/>
    <w:rsid w:val="009D1A57"/>
    <w:rsid w:val="009D27ED"/>
    <w:rsid w:val="009D3161"/>
    <w:rsid w:val="009D3B1E"/>
    <w:rsid w:val="009D4BE6"/>
    <w:rsid w:val="009D6132"/>
    <w:rsid w:val="009D674E"/>
    <w:rsid w:val="009D736A"/>
    <w:rsid w:val="009E0BC8"/>
    <w:rsid w:val="009E16AB"/>
    <w:rsid w:val="009E171B"/>
    <w:rsid w:val="009E26C0"/>
    <w:rsid w:val="009E2E94"/>
    <w:rsid w:val="009E335C"/>
    <w:rsid w:val="009E3E91"/>
    <w:rsid w:val="009E484B"/>
    <w:rsid w:val="009E50A8"/>
    <w:rsid w:val="009E6459"/>
    <w:rsid w:val="009E6925"/>
    <w:rsid w:val="009F0356"/>
    <w:rsid w:val="009F2C7D"/>
    <w:rsid w:val="009F7BD3"/>
    <w:rsid w:val="00A015E8"/>
    <w:rsid w:val="00A01823"/>
    <w:rsid w:val="00A02053"/>
    <w:rsid w:val="00A03CA0"/>
    <w:rsid w:val="00A0413E"/>
    <w:rsid w:val="00A04429"/>
    <w:rsid w:val="00A0491F"/>
    <w:rsid w:val="00A04F0D"/>
    <w:rsid w:val="00A066C4"/>
    <w:rsid w:val="00A07D47"/>
    <w:rsid w:val="00A12289"/>
    <w:rsid w:val="00A12D56"/>
    <w:rsid w:val="00A12F62"/>
    <w:rsid w:val="00A132E1"/>
    <w:rsid w:val="00A14786"/>
    <w:rsid w:val="00A14FE9"/>
    <w:rsid w:val="00A1667E"/>
    <w:rsid w:val="00A174E1"/>
    <w:rsid w:val="00A17CD1"/>
    <w:rsid w:val="00A21C1E"/>
    <w:rsid w:val="00A23AFC"/>
    <w:rsid w:val="00A26B5B"/>
    <w:rsid w:val="00A2775E"/>
    <w:rsid w:val="00A27F76"/>
    <w:rsid w:val="00A30A34"/>
    <w:rsid w:val="00A340FF"/>
    <w:rsid w:val="00A3477E"/>
    <w:rsid w:val="00A34BCC"/>
    <w:rsid w:val="00A35CC7"/>
    <w:rsid w:val="00A3653C"/>
    <w:rsid w:val="00A3749B"/>
    <w:rsid w:val="00A37D87"/>
    <w:rsid w:val="00A37F46"/>
    <w:rsid w:val="00A43788"/>
    <w:rsid w:val="00A44937"/>
    <w:rsid w:val="00A44E07"/>
    <w:rsid w:val="00A45DB4"/>
    <w:rsid w:val="00A47767"/>
    <w:rsid w:val="00A508DF"/>
    <w:rsid w:val="00A50D88"/>
    <w:rsid w:val="00A537DF"/>
    <w:rsid w:val="00A54495"/>
    <w:rsid w:val="00A54947"/>
    <w:rsid w:val="00A56923"/>
    <w:rsid w:val="00A62E42"/>
    <w:rsid w:val="00A64A71"/>
    <w:rsid w:val="00A67F09"/>
    <w:rsid w:val="00A71285"/>
    <w:rsid w:val="00A71C18"/>
    <w:rsid w:val="00A72960"/>
    <w:rsid w:val="00A72D8F"/>
    <w:rsid w:val="00A755D3"/>
    <w:rsid w:val="00A7755F"/>
    <w:rsid w:val="00A811BC"/>
    <w:rsid w:val="00A81612"/>
    <w:rsid w:val="00A8161C"/>
    <w:rsid w:val="00A82B37"/>
    <w:rsid w:val="00A82F6E"/>
    <w:rsid w:val="00A849DA"/>
    <w:rsid w:val="00A85CA0"/>
    <w:rsid w:val="00A86F64"/>
    <w:rsid w:val="00A90D61"/>
    <w:rsid w:val="00A90EA5"/>
    <w:rsid w:val="00A9144F"/>
    <w:rsid w:val="00A93401"/>
    <w:rsid w:val="00A9406D"/>
    <w:rsid w:val="00A940AD"/>
    <w:rsid w:val="00A97045"/>
    <w:rsid w:val="00AA1DDA"/>
    <w:rsid w:val="00AA2251"/>
    <w:rsid w:val="00AA22E8"/>
    <w:rsid w:val="00AA4E80"/>
    <w:rsid w:val="00AA5747"/>
    <w:rsid w:val="00AA662D"/>
    <w:rsid w:val="00AA6929"/>
    <w:rsid w:val="00AA7D1E"/>
    <w:rsid w:val="00AB0427"/>
    <w:rsid w:val="00AB1670"/>
    <w:rsid w:val="00AB2300"/>
    <w:rsid w:val="00AB2422"/>
    <w:rsid w:val="00AB264F"/>
    <w:rsid w:val="00AB4283"/>
    <w:rsid w:val="00AB7931"/>
    <w:rsid w:val="00AB7AB9"/>
    <w:rsid w:val="00AC0190"/>
    <w:rsid w:val="00AC0327"/>
    <w:rsid w:val="00AC2BB6"/>
    <w:rsid w:val="00AC2D01"/>
    <w:rsid w:val="00AC3196"/>
    <w:rsid w:val="00AC3D46"/>
    <w:rsid w:val="00AC7A1C"/>
    <w:rsid w:val="00AE1F73"/>
    <w:rsid w:val="00AE2992"/>
    <w:rsid w:val="00AE2F90"/>
    <w:rsid w:val="00AE3E7A"/>
    <w:rsid w:val="00AE48CF"/>
    <w:rsid w:val="00AE5643"/>
    <w:rsid w:val="00AE594A"/>
    <w:rsid w:val="00AE5F2E"/>
    <w:rsid w:val="00AE623B"/>
    <w:rsid w:val="00AE6E7E"/>
    <w:rsid w:val="00AE7753"/>
    <w:rsid w:val="00AF1E94"/>
    <w:rsid w:val="00AF24C6"/>
    <w:rsid w:val="00AF24DD"/>
    <w:rsid w:val="00AF46A9"/>
    <w:rsid w:val="00AF540D"/>
    <w:rsid w:val="00B0315A"/>
    <w:rsid w:val="00B03869"/>
    <w:rsid w:val="00B03DD6"/>
    <w:rsid w:val="00B068CF"/>
    <w:rsid w:val="00B06A2F"/>
    <w:rsid w:val="00B10C41"/>
    <w:rsid w:val="00B11BB4"/>
    <w:rsid w:val="00B13FFA"/>
    <w:rsid w:val="00B15196"/>
    <w:rsid w:val="00B15796"/>
    <w:rsid w:val="00B157EB"/>
    <w:rsid w:val="00B1585F"/>
    <w:rsid w:val="00B15FDB"/>
    <w:rsid w:val="00B164E3"/>
    <w:rsid w:val="00B165AC"/>
    <w:rsid w:val="00B210C8"/>
    <w:rsid w:val="00B265B7"/>
    <w:rsid w:val="00B30816"/>
    <w:rsid w:val="00B32EA9"/>
    <w:rsid w:val="00B34768"/>
    <w:rsid w:val="00B3583B"/>
    <w:rsid w:val="00B36132"/>
    <w:rsid w:val="00B37A8F"/>
    <w:rsid w:val="00B4249A"/>
    <w:rsid w:val="00B437F0"/>
    <w:rsid w:val="00B45B30"/>
    <w:rsid w:val="00B51A1E"/>
    <w:rsid w:val="00B624F9"/>
    <w:rsid w:val="00B631B1"/>
    <w:rsid w:val="00B646BA"/>
    <w:rsid w:val="00B65347"/>
    <w:rsid w:val="00B65DE1"/>
    <w:rsid w:val="00B67103"/>
    <w:rsid w:val="00B67AF5"/>
    <w:rsid w:val="00B7109E"/>
    <w:rsid w:val="00B71966"/>
    <w:rsid w:val="00B71D3A"/>
    <w:rsid w:val="00B72EB2"/>
    <w:rsid w:val="00B7405F"/>
    <w:rsid w:val="00B77E1A"/>
    <w:rsid w:val="00B77FF4"/>
    <w:rsid w:val="00B801FE"/>
    <w:rsid w:val="00B82371"/>
    <w:rsid w:val="00B8280F"/>
    <w:rsid w:val="00B832F0"/>
    <w:rsid w:val="00B833DC"/>
    <w:rsid w:val="00B833EF"/>
    <w:rsid w:val="00B84CB2"/>
    <w:rsid w:val="00B84D29"/>
    <w:rsid w:val="00B85923"/>
    <w:rsid w:val="00B860A2"/>
    <w:rsid w:val="00B86855"/>
    <w:rsid w:val="00B87927"/>
    <w:rsid w:val="00B8794A"/>
    <w:rsid w:val="00B90FE4"/>
    <w:rsid w:val="00B91530"/>
    <w:rsid w:val="00B91753"/>
    <w:rsid w:val="00B94162"/>
    <w:rsid w:val="00B9463D"/>
    <w:rsid w:val="00B96889"/>
    <w:rsid w:val="00B96E99"/>
    <w:rsid w:val="00BA22C9"/>
    <w:rsid w:val="00BA2313"/>
    <w:rsid w:val="00BA5342"/>
    <w:rsid w:val="00BA78C8"/>
    <w:rsid w:val="00BB0073"/>
    <w:rsid w:val="00BB26EE"/>
    <w:rsid w:val="00BB2C59"/>
    <w:rsid w:val="00BB383B"/>
    <w:rsid w:val="00BB4977"/>
    <w:rsid w:val="00BB4B2C"/>
    <w:rsid w:val="00BB4F75"/>
    <w:rsid w:val="00BC0714"/>
    <w:rsid w:val="00BC5AF8"/>
    <w:rsid w:val="00BC5DB6"/>
    <w:rsid w:val="00BD18F6"/>
    <w:rsid w:val="00BD1B0D"/>
    <w:rsid w:val="00BD1E8A"/>
    <w:rsid w:val="00BD26AA"/>
    <w:rsid w:val="00BD301A"/>
    <w:rsid w:val="00BD35EE"/>
    <w:rsid w:val="00BD454F"/>
    <w:rsid w:val="00BD5041"/>
    <w:rsid w:val="00BD6200"/>
    <w:rsid w:val="00BD6427"/>
    <w:rsid w:val="00BE2768"/>
    <w:rsid w:val="00BE2F2C"/>
    <w:rsid w:val="00BE3E85"/>
    <w:rsid w:val="00BE6C25"/>
    <w:rsid w:val="00BF0924"/>
    <w:rsid w:val="00BF222D"/>
    <w:rsid w:val="00BF35E8"/>
    <w:rsid w:val="00BF3E51"/>
    <w:rsid w:val="00BF3F5F"/>
    <w:rsid w:val="00BF416A"/>
    <w:rsid w:val="00BF4F90"/>
    <w:rsid w:val="00BF542A"/>
    <w:rsid w:val="00BF63A1"/>
    <w:rsid w:val="00C01DCC"/>
    <w:rsid w:val="00C02DB6"/>
    <w:rsid w:val="00C0424F"/>
    <w:rsid w:val="00C07BD7"/>
    <w:rsid w:val="00C10343"/>
    <w:rsid w:val="00C1128E"/>
    <w:rsid w:val="00C117E0"/>
    <w:rsid w:val="00C118ED"/>
    <w:rsid w:val="00C129BE"/>
    <w:rsid w:val="00C14584"/>
    <w:rsid w:val="00C15E5B"/>
    <w:rsid w:val="00C17E44"/>
    <w:rsid w:val="00C202B3"/>
    <w:rsid w:val="00C21EE0"/>
    <w:rsid w:val="00C24B65"/>
    <w:rsid w:val="00C25443"/>
    <w:rsid w:val="00C25E94"/>
    <w:rsid w:val="00C26984"/>
    <w:rsid w:val="00C26C6F"/>
    <w:rsid w:val="00C30297"/>
    <w:rsid w:val="00C33B07"/>
    <w:rsid w:val="00C35644"/>
    <w:rsid w:val="00C3785D"/>
    <w:rsid w:val="00C37B7B"/>
    <w:rsid w:val="00C37D57"/>
    <w:rsid w:val="00C41889"/>
    <w:rsid w:val="00C44902"/>
    <w:rsid w:val="00C46308"/>
    <w:rsid w:val="00C472FE"/>
    <w:rsid w:val="00C473EA"/>
    <w:rsid w:val="00C47CB7"/>
    <w:rsid w:val="00C5010E"/>
    <w:rsid w:val="00C50D2A"/>
    <w:rsid w:val="00C5183E"/>
    <w:rsid w:val="00C51D44"/>
    <w:rsid w:val="00C5246F"/>
    <w:rsid w:val="00C5309F"/>
    <w:rsid w:val="00C610C9"/>
    <w:rsid w:val="00C6110D"/>
    <w:rsid w:val="00C61112"/>
    <w:rsid w:val="00C61AE9"/>
    <w:rsid w:val="00C647E5"/>
    <w:rsid w:val="00C67FCE"/>
    <w:rsid w:val="00C70E44"/>
    <w:rsid w:val="00C721A4"/>
    <w:rsid w:val="00C72318"/>
    <w:rsid w:val="00C724E6"/>
    <w:rsid w:val="00C747A5"/>
    <w:rsid w:val="00C754FC"/>
    <w:rsid w:val="00C75735"/>
    <w:rsid w:val="00C76593"/>
    <w:rsid w:val="00C817D4"/>
    <w:rsid w:val="00C836F7"/>
    <w:rsid w:val="00C85314"/>
    <w:rsid w:val="00C85331"/>
    <w:rsid w:val="00C87F4E"/>
    <w:rsid w:val="00C90571"/>
    <w:rsid w:val="00C90DE2"/>
    <w:rsid w:val="00C91E03"/>
    <w:rsid w:val="00C91E19"/>
    <w:rsid w:val="00C930AC"/>
    <w:rsid w:val="00C94537"/>
    <w:rsid w:val="00C95026"/>
    <w:rsid w:val="00C95E5D"/>
    <w:rsid w:val="00C965FA"/>
    <w:rsid w:val="00C97E84"/>
    <w:rsid w:val="00CA0116"/>
    <w:rsid w:val="00CA01BD"/>
    <w:rsid w:val="00CA03FE"/>
    <w:rsid w:val="00CA06B6"/>
    <w:rsid w:val="00CA116A"/>
    <w:rsid w:val="00CA1373"/>
    <w:rsid w:val="00CA1D59"/>
    <w:rsid w:val="00CA399F"/>
    <w:rsid w:val="00CA4BC0"/>
    <w:rsid w:val="00CA4C6D"/>
    <w:rsid w:val="00CA4DCB"/>
    <w:rsid w:val="00CA5CA8"/>
    <w:rsid w:val="00CB0157"/>
    <w:rsid w:val="00CB145D"/>
    <w:rsid w:val="00CB1928"/>
    <w:rsid w:val="00CB242C"/>
    <w:rsid w:val="00CB3865"/>
    <w:rsid w:val="00CB5205"/>
    <w:rsid w:val="00CB6C0F"/>
    <w:rsid w:val="00CB6E1A"/>
    <w:rsid w:val="00CC0588"/>
    <w:rsid w:val="00CC1665"/>
    <w:rsid w:val="00CC27F5"/>
    <w:rsid w:val="00CC35CA"/>
    <w:rsid w:val="00CC42B6"/>
    <w:rsid w:val="00CC51D8"/>
    <w:rsid w:val="00CC559D"/>
    <w:rsid w:val="00CC68D6"/>
    <w:rsid w:val="00CC7773"/>
    <w:rsid w:val="00CC7C0F"/>
    <w:rsid w:val="00CD11C4"/>
    <w:rsid w:val="00CD349B"/>
    <w:rsid w:val="00CD6170"/>
    <w:rsid w:val="00CD654B"/>
    <w:rsid w:val="00CD6AF5"/>
    <w:rsid w:val="00CE03A7"/>
    <w:rsid w:val="00CE05AB"/>
    <w:rsid w:val="00CE18C8"/>
    <w:rsid w:val="00CE1E61"/>
    <w:rsid w:val="00CE223E"/>
    <w:rsid w:val="00CE2279"/>
    <w:rsid w:val="00CE2D76"/>
    <w:rsid w:val="00CE2DDF"/>
    <w:rsid w:val="00CE35DE"/>
    <w:rsid w:val="00CE3D0A"/>
    <w:rsid w:val="00CE3D0C"/>
    <w:rsid w:val="00CE4843"/>
    <w:rsid w:val="00CE5875"/>
    <w:rsid w:val="00CE6259"/>
    <w:rsid w:val="00CE68E7"/>
    <w:rsid w:val="00CF0F9A"/>
    <w:rsid w:val="00CF3F0D"/>
    <w:rsid w:val="00CF5F82"/>
    <w:rsid w:val="00CF6EF5"/>
    <w:rsid w:val="00CF788F"/>
    <w:rsid w:val="00D00198"/>
    <w:rsid w:val="00D00CA0"/>
    <w:rsid w:val="00D04017"/>
    <w:rsid w:val="00D046C4"/>
    <w:rsid w:val="00D054D9"/>
    <w:rsid w:val="00D07D8E"/>
    <w:rsid w:val="00D101F7"/>
    <w:rsid w:val="00D13D81"/>
    <w:rsid w:val="00D145F5"/>
    <w:rsid w:val="00D14DF9"/>
    <w:rsid w:val="00D15160"/>
    <w:rsid w:val="00D17D2D"/>
    <w:rsid w:val="00D20BD9"/>
    <w:rsid w:val="00D20F49"/>
    <w:rsid w:val="00D210CE"/>
    <w:rsid w:val="00D21AB2"/>
    <w:rsid w:val="00D21AFB"/>
    <w:rsid w:val="00D21C8B"/>
    <w:rsid w:val="00D239E5"/>
    <w:rsid w:val="00D278B0"/>
    <w:rsid w:val="00D304F4"/>
    <w:rsid w:val="00D31B81"/>
    <w:rsid w:val="00D31DCD"/>
    <w:rsid w:val="00D32E1B"/>
    <w:rsid w:val="00D34A51"/>
    <w:rsid w:val="00D34EBE"/>
    <w:rsid w:val="00D355F0"/>
    <w:rsid w:val="00D35B37"/>
    <w:rsid w:val="00D43AC8"/>
    <w:rsid w:val="00D43E0C"/>
    <w:rsid w:val="00D45147"/>
    <w:rsid w:val="00D47FDB"/>
    <w:rsid w:val="00D528DB"/>
    <w:rsid w:val="00D539B5"/>
    <w:rsid w:val="00D539FB"/>
    <w:rsid w:val="00D53AF0"/>
    <w:rsid w:val="00D545F9"/>
    <w:rsid w:val="00D56113"/>
    <w:rsid w:val="00D618A6"/>
    <w:rsid w:val="00D625B1"/>
    <w:rsid w:val="00D665CC"/>
    <w:rsid w:val="00D66C9D"/>
    <w:rsid w:val="00D75AD6"/>
    <w:rsid w:val="00D80AA1"/>
    <w:rsid w:val="00D81744"/>
    <w:rsid w:val="00D81FA4"/>
    <w:rsid w:val="00D833D9"/>
    <w:rsid w:val="00D83903"/>
    <w:rsid w:val="00D83BD9"/>
    <w:rsid w:val="00D8637E"/>
    <w:rsid w:val="00D86733"/>
    <w:rsid w:val="00D91772"/>
    <w:rsid w:val="00D94DCF"/>
    <w:rsid w:val="00D94EAE"/>
    <w:rsid w:val="00D9568E"/>
    <w:rsid w:val="00D95A0D"/>
    <w:rsid w:val="00D95E4E"/>
    <w:rsid w:val="00D9673A"/>
    <w:rsid w:val="00D96B13"/>
    <w:rsid w:val="00D96DEF"/>
    <w:rsid w:val="00D97526"/>
    <w:rsid w:val="00DA0A99"/>
    <w:rsid w:val="00DA1E13"/>
    <w:rsid w:val="00DA335D"/>
    <w:rsid w:val="00DA3779"/>
    <w:rsid w:val="00DA3873"/>
    <w:rsid w:val="00DA3F57"/>
    <w:rsid w:val="00DA53AC"/>
    <w:rsid w:val="00DA586F"/>
    <w:rsid w:val="00DA611D"/>
    <w:rsid w:val="00DA667A"/>
    <w:rsid w:val="00DA6EA8"/>
    <w:rsid w:val="00DB085A"/>
    <w:rsid w:val="00DB08DA"/>
    <w:rsid w:val="00DB1BC6"/>
    <w:rsid w:val="00DB1E4C"/>
    <w:rsid w:val="00DB4839"/>
    <w:rsid w:val="00DB58A4"/>
    <w:rsid w:val="00DB5BAB"/>
    <w:rsid w:val="00DB7F09"/>
    <w:rsid w:val="00DC00E8"/>
    <w:rsid w:val="00DC1C56"/>
    <w:rsid w:val="00DC2A0E"/>
    <w:rsid w:val="00DC4756"/>
    <w:rsid w:val="00DC5DB1"/>
    <w:rsid w:val="00DC6179"/>
    <w:rsid w:val="00DC6379"/>
    <w:rsid w:val="00DD3526"/>
    <w:rsid w:val="00DD37D2"/>
    <w:rsid w:val="00DD4394"/>
    <w:rsid w:val="00DD49A8"/>
    <w:rsid w:val="00DD6126"/>
    <w:rsid w:val="00DD750A"/>
    <w:rsid w:val="00DE0EF9"/>
    <w:rsid w:val="00DE15C7"/>
    <w:rsid w:val="00DE2676"/>
    <w:rsid w:val="00DE2C31"/>
    <w:rsid w:val="00DE3C77"/>
    <w:rsid w:val="00DE6156"/>
    <w:rsid w:val="00DF04E6"/>
    <w:rsid w:val="00DF2393"/>
    <w:rsid w:val="00DF6F61"/>
    <w:rsid w:val="00E00DD9"/>
    <w:rsid w:val="00E00E8B"/>
    <w:rsid w:val="00E01A18"/>
    <w:rsid w:val="00E01D71"/>
    <w:rsid w:val="00E06174"/>
    <w:rsid w:val="00E06832"/>
    <w:rsid w:val="00E06B02"/>
    <w:rsid w:val="00E07D75"/>
    <w:rsid w:val="00E101C6"/>
    <w:rsid w:val="00E102EB"/>
    <w:rsid w:val="00E11F17"/>
    <w:rsid w:val="00E12B4F"/>
    <w:rsid w:val="00E13588"/>
    <w:rsid w:val="00E137AC"/>
    <w:rsid w:val="00E13AE3"/>
    <w:rsid w:val="00E16229"/>
    <w:rsid w:val="00E16F4A"/>
    <w:rsid w:val="00E201F2"/>
    <w:rsid w:val="00E22A2F"/>
    <w:rsid w:val="00E22D51"/>
    <w:rsid w:val="00E23B6B"/>
    <w:rsid w:val="00E24D27"/>
    <w:rsid w:val="00E27D09"/>
    <w:rsid w:val="00E30536"/>
    <w:rsid w:val="00E32B95"/>
    <w:rsid w:val="00E34ED9"/>
    <w:rsid w:val="00E35F34"/>
    <w:rsid w:val="00E4088D"/>
    <w:rsid w:val="00E426EE"/>
    <w:rsid w:val="00E44A9F"/>
    <w:rsid w:val="00E46983"/>
    <w:rsid w:val="00E50E7C"/>
    <w:rsid w:val="00E51545"/>
    <w:rsid w:val="00E51D9E"/>
    <w:rsid w:val="00E52B51"/>
    <w:rsid w:val="00E52F90"/>
    <w:rsid w:val="00E537D1"/>
    <w:rsid w:val="00E567E6"/>
    <w:rsid w:val="00E56971"/>
    <w:rsid w:val="00E60124"/>
    <w:rsid w:val="00E60DD7"/>
    <w:rsid w:val="00E610A6"/>
    <w:rsid w:val="00E61285"/>
    <w:rsid w:val="00E61484"/>
    <w:rsid w:val="00E61629"/>
    <w:rsid w:val="00E6170D"/>
    <w:rsid w:val="00E65AA0"/>
    <w:rsid w:val="00E66CD0"/>
    <w:rsid w:val="00E67B8F"/>
    <w:rsid w:val="00E711D7"/>
    <w:rsid w:val="00E734BA"/>
    <w:rsid w:val="00E74F29"/>
    <w:rsid w:val="00E759C6"/>
    <w:rsid w:val="00E76886"/>
    <w:rsid w:val="00E8035E"/>
    <w:rsid w:val="00E80C0E"/>
    <w:rsid w:val="00E811F3"/>
    <w:rsid w:val="00E815E1"/>
    <w:rsid w:val="00E81894"/>
    <w:rsid w:val="00E8277D"/>
    <w:rsid w:val="00E83E57"/>
    <w:rsid w:val="00E852D8"/>
    <w:rsid w:val="00E86599"/>
    <w:rsid w:val="00E902B0"/>
    <w:rsid w:val="00E902E8"/>
    <w:rsid w:val="00E90BA5"/>
    <w:rsid w:val="00E9430D"/>
    <w:rsid w:val="00E95CD3"/>
    <w:rsid w:val="00E97910"/>
    <w:rsid w:val="00EA23AC"/>
    <w:rsid w:val="00EA39DA"/>
    <w:rsid w:val="00EA4BC9"/>
    <w:rsid w:val="00EA6995"/>
    <w:rsid w:val="00EA6F15"/>
    <w:rsid w:val="00EA7C3D"/>
    <w:rsid w:val="00EB05AA"/>
    <w:rsid w:val="00EB2F5D"/>
    <w:rsid w:val="00EB5EB5"/>
    <w:rsid w:val="00EB6878"/>
    <w:rsid w:val="00EC1E0E"/>
    <w:rsid w:val="00EC236D"/>
    <w:rsid w:val="00EC265B"/>
    <w:rsid w:val="00EC2F3D"/>
    <w:rsid w:val="00EC433A"/>
    <w:rsid w:val="00EC4AA6"/>
    <w:rsid w:val="00EC65B6"/>
    <w:rsid w:val="00EC6B16"/>
    <w:rsid w:val="00EC7C84"/>
    <w:rsid w:val="00ED0E15"/>
    <w:rsid w:val="00ED2663"/>
    <w:rsid w:val="00ED26E4"/>
    <w:rsid w:val="00ED526A"/>
    <w:rsid w:val="00ED66BD"/>
    <w:rsid w:val="00ED6BDF"/>
    <w:rsid w:val="00ED7908"/>
    <w:rsid w:val="00EE0F5C"/>
    <w:rsid w:val="00EE1447"/>
    <w:rsid w:val="00EE3435"/>
    <w:rsid w:val="00EE4EE3"/>
    <w:rsid w:val="00EE5598"/>
    <w:rsid w:val="00EE5D38"/>
    <w:rsid w:val="00EE6441"/>
    <w:rsid w:val="00EE6F9E"/>
    <w:rsid w:val="00EE7BF3"/>
    <w:rsid w:val="00EF145E"/>
    <w:rsid w:val="00EF2BBB"/>
    <w:rsid w:val="00EF3263"/>
    <w:rsid w:val="00EF3651"/>
    <w:rsid w:val="00EF57BE"/>
    <w:rsid w:val="00F0082D"/>
    <w:rsid w:val="00F00BF6"/>
    <w:rsid w:val="00F015AB"/>
    <w:rsid w:val="00F03EE5"/>
    <w:rsid w:val="00F05118"/>
    <w:rsid w:val="00F05519"/>
    <w:rsid w:val="00F0632D"/>
    <w:rsid w:val="00F07C90"/>
    <w:rsid w:val="00F10033"/>
    <w:rsid w:val="00F132CC"/>
    <w:rsid w:val="00F14AA0"/>
    <w:rsid w:val="00F21D2E"/>
    <w:rsid w:val="00F22858"/>
    <w:rsid w:val="00F253F6"/>
    <w:rsid w:val="00F254D3"/>
    <w:rsid w:val="00F2679D"/>
    <w:rsid w:val="00F26C50"/>
    <w:rsid w:val="00F26FA0"/>
    <w:rsid w:val="00F27E49"/>
    <w:rsid w:val="00F30899"/>
    <w:rsid w:val="00F31CBD"/>
    <w:rsid w:val="00F3200C"/>
    <w:rsid w:val="00F32DE0"/>
    <w:rsid w:val="00F33DB8"/>
    <w:rsid w:val="00F34DFD"/>
    <w:rsid w:val="00F36FC0"/>
    <w:rsid w:val="00F41D38"/>
    <w:rsid w:val="00F42A86"/>
    <w:rsid w:val="00F4370F"/>
    <w:rsid w:val="00F4395B"/>
    <w:rsid w:val="00F50A3D"/>
    <w:rsid w:val="00F5267A"/>
    <w:rsid w:val="00F569AE"/>
    <w:rsid w:val="00F57BED"/>
    <w:rsid w:val="00F60198"/>
    <w:rsid w:val="00F6299F"/>
    <w:rsid w:val="00F6409A"/>
    <w:rsid w:val="00F653F7"/>
    <w:rsid w:val="00F65FD5"/>
    <w:rsid w:val="00F668B6"/>
    <w:rsid w:val="00F7047D"/>
    <w:rsid w:val="00F71CBE"/>
    <w:rsid w:val="00F72DA5"/>
    <w:rsid w:val="00F7613A"/>
    <w:rsid w:val="00F77FD9"/>
    <w:rsid w:val="00F80945"/>
    <w:rsid w:val="00F82746"/>
    <w:rsid w:val="00F836F9"/>
    <w:rsid w:val="00F83851"/>
    <w:rsid w:val="00F845D7"/>
    <w:rsid w:val="00F85084"/>
    <w:rsid w:val="00F8712B"/>
    <w:rsid w:val="00F9160E"/>
    <w:rsid w:val="00F92279"/>
    <w:rsid w:val="00F92AB4"/>
    <w:rsid w:val="00F93C00"/>
    <w:rsid w:val="00F93C33"/>
    <w:rsid w:val="00F9658E"/>
    <w:rsid w:val="00FA242F"/>
    <w:rsid w:val="00FA2C79"/>
    <w:rsid w:val="00FA4D77"/>
    <w:rsid w:val="00FA533C"/>
    <w:rsid w:val="00FA647A"/>
    <w:rsid w:val="00FA7D36"/>
    <w:rsid w:val="00FB12B1"/>
    <w:rsid w:val="00FB1F3E"/>
    <w:rsid w:val="00FB21A1"/>
    <w:rsid w:val="00FB29DF"/>
    <w:rsid w:val="00FB4D21"/>
    <w:rsid w:val="00FB597B"/>
    <w:rsid w:val="00FB762B"/>
    <w:rsid w:val="00FB7767"/>
    <w:rsid w:val="00FB7E9C"/>
    <w:rsid w:val="00FC2FE8"/>
    <w:rsid w:val="00FC5577"/>
    <w:rsid w:val="00FC57F7"/>
    <w:rsid w:val="00FC6ADA"/>
    <w:rsid w:val="00FD14C9"/>
    <w:rsid w:val="00FD2AA6"/>
    <w:rsid w:val="00FD33A6"/>
    <w:rsid w:val="00FD3517"/>
    <w:rsid w:val="00FD402F"/>
    <w:rsid w:val="00FD5575"/>
    <w:rsid w:val="00FD5F19"/>
    <w:rsid w:val="00FD7DFC"/>
    <w:rsid w:val="00FD7F57"/>
    <w:rsid w:val="00FE0FDE"/>
    <w:rsid w:val="00FE2FD7"/>
    <w:rsid w:val="00FE464C"/>
    <w:rsid w:val="00FE4D74"/>
    <w:rsid w:val="00FE625A"/>
    <w:rsid w:val="00FE62E8"/>
    <w:rsid w:val="00FE7806"/>
    <w:rsid w:val="00FF1572"/>
    <w:rsid w:val="00FF1F9D"/>
    <w:rsid w:val="00FF3145"/>
    <w:rsid w:val="00FF447A"/>
    <w:rsid w:val="00FF46BE"/>
    <w:rsid w:val="00FF635D"/>
    <w:rsid w:val="00FF655E"/>
    <w:rsid w:val="00FF6647"/>
    <w:rsid w:val="00FF6F55"/>
    <w:rsid w:val="00FF7668"/>
    <w:rsid w:val="00FF790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9E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A57"/>
    <w:pPr>
      <w:spacing w:before="120" w:after="120"/>
    </w:pPr>
    <w:rPr>
      <w:rFonts w:ascii="Calibri" w:eastAsia="Times New Roman" w:hAnsi="Calibri" w:cs="Times New Roman"/>
      <w:color w:val="262626" w:themeColor="text1" w:themeTint="D9"/>
      <w:szCs w:val="20"/>
      <w:lang w:eastAsia="en-AU"/>
    </w:rPr>
  </w:style>
  <w:style w:type="paragraph" w:styleId="Heading1">
    <w:name w:val="heading 1"/>
    <w:basedOn w:val="HeadingBase"/>
    <w:next w:val="Normal"/>
    <w:link w:val="Heading1Char"/>
    <w:qFormat/>
    <w:rsid w:val="001202CC"/>
    <w:pPr>
      <w:spacing w:before="360" w:after="240"/>
      <w:outlineLvl w:val="0"/>
    </w:pPr>
    <w:rPr>
      <w:b/>
      <w:bCs w:val="0"/>
      <w:color w:val="2C384A"/>
      <w:sz w:val="40"/>
    </w:rPr>
  </w:style>
  <w:style w:type="paragraph" w:styleId="Heading2">
    <w:name w:val="heading 2"/>
    <w:basedOn w:val="HeadingBase"/>
    <w:next w:val="Normal"/>
    <w:link w:val="Heading2Char"/>
    <w:qFormat/>
    <w:rsid w:val="001202CC"/>
    <w:pPr>
      <w:spacing w:before="240" w:after="240"/>
      <w:outlineLvl w:val="1"/>
    </w:pPr>
    <w:rPr>
      <w:b/>
      <w:bCs w:val="0"/>
      <w:iCs/>
      <w:color w:val="465976"/>
      <w:sz w:val="32"/>
      <w:szCs w:val="28"/>
    </w:rPr>
  </w:style>
  <w:style w:type="paragraph" w:styleId="Heading3">
    <w:name w:val="heading 3"/>
    <w:basedOn w:val="HeadingBase"/>
    <w:next w:val="Normal"/>
    <w:link w:val="Heading3Char"/>
    <w:qFormat/>
    <w:rsid w:val="001202CC"/>
    <w:pPr>
      <w:spacing w:before="120"/>
      <w:outlineLvl w:val="2"/>
    </w:pPr>
    <w:rPr>
      <w:b/>
      <w:bCs w:val="0"/>
      <w:color w:val="5C759A"/>
      <w:sz w:val="28"/>
      <w:szCs w:val="26"/>
    </w:rPr>
  </w:style>
  <w:style w:type="paragraph" w:styleId="Heading4">
    <w:name w:val="heading 4"/>
    <w:basedOn w:val="HeadingBase"/>
    <w:next w:val="Normal"/>
    <w:link w:val="Heading4Char"/>
    <w:qFormat/>
    <w:rsid w:val="001202CC"/>
    <w:pPr>
      <w:spacing w:before="120"/>
      <w:outlineLvl w:val="3"/>
    </w:pPr>
    <w:rPr>
      <w:b/>
      <w:bCs w:val="0"/>
      <w:color w:val="879AB7"/>
      <w:sz w:val="24"/>
      <w:szCs w:val="26"/>
    </w:rPr>
  </w:style>
  <w:style w:type="paragraph" w:styleId="Heading5">
    <w:name w:val="heading 5"/>
    <w:basedOn w:val="HeadingBase"/>
    <w:next w:val="Normal"/>
    <w:link w:val="Heading5Char"/>
    <w:rsid w:val="00CB242C"/>
    <w:pPr>
      <w:outlineLvl w:val="4"/>
    </w:pPr>
    <w:rPr>
      <w:b/>
      <w:bCs w:val="0"/>
      <w:iCs/>
      <w:color w:val="3A73AD"/>
      <w:sz w:val="22"/>
    </w:rPr>
  </w:style>
  <w:style w:type="paragraph" w:styleId="Heading6">
    <w:name w:val="heading 6"/>
    <w:basedOn w:val="HeadingBase"/>
    <w:next w:val="Normal"/>
    <w:link w:val="Heading6Char"/>
    <w:rsid w:val="00CB242C"/>
    <w:pPr>
      <w:outlineLvl w:val="5"/>
    </w:pPr>
    <w:rPr>
      <w:bCs w:val="0"/>
      <w:color w:val="3A73AD"/>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2CC"/>
    <w:rPr>
      <w:rFonts w:ascii="Calibri" w:eastAsia="Times New Roman" w:hAnsi="Calibri" w:cs="Arial"/>
      <w:b/>
      <w:color w:val="2C384A"/>
      <w:kern w:val="32"/>
      <w:sz w:val="40"/>
      <w:szCs w:val="36"/>
      <w:lang w:eastAsia="en-AU"/>
    </w:rPr>
  </w:style>
  <w:style w:type="character" w:customStyle="1" w:styleId="Heading2Char">
    <w:name w:val="Heading 2 Char"/>
    <w:basedOn w:val="DefaultParagraphFont"/>
    <w:link w:val="Heading2"/>
    <w:rsid w:val="001202CC"/>
    <w:rPr>
      <w:rFonts w:ascii="Calibri" w:eastAsia="Times New Roman" w:hAnsi="Calibri" w:cs="Arial"/>
      <w:b/>
      <w:iCs/>
      <w:color w:val="465976"/>
      <w:kern w:val="32"/>
      <w:sz w:val="32"/>
      <w:szCs w:val="28"/>
      <w:lang w:eastAsia="en-AU"/>
    </w:rPr>
  </w:style>
  <w:style w:type="character" w:customStyle="1" w:styleId="Heading3Char">
    <w:name w:val="Heading 3 Char"/>
    <w:basedOn w:val="DefaultParagraphFont"/>
    <w:link w:val="Heading3"/>
    <w:rsid w:val="001202CC"/>
    <w:rPr>
      <w:rFonts w:ascii="Calibri" w:eastAsia="Times New Roman" w:hAnsi="Calibri" w:cs="Arial"/>
      <w:b/>
      <w:color w:val="5C759A"/>
      <w:kern w:val="32"/>
      <w:sz w:val="28"/>
      <w:szCs w:val="26"/>
      <w:lang w:eastAsia="en-AU"/>
    </w:rPr>
  </w:style>
  <w:style w:type="character" w:customStyle="1" w:styleId="Heading4Char">
    <w:name w:val="Heading 4 Char"/>
    <w:basedOn w:val="DefaultParagraphFont"/>
    <w:link w:val="Heading4"/>
    <w:rsid w:val="001202CC"/>
    <w:rPr>
      <w:rFonts w:ascii="Calibri" w:eastAsia="Times New Roman" w:hAnsi="Calibri" w:cs="Arial"/>
      <w:b/>
      <w:color w:val="879AB7"/>
      <w:kern w:val="32"/>
      <w:sz w:val="24"/>
      <w:szCs w:val="26"/>
      <w:lang w:eastAsia="en-AU"/>
    </w:rPr>
  </w:style>
  <w:style w:type="character" w:customStyle="1" w:styleId="Heading5Char">
    <w:name w:val="Heading 5 Char"/>
    <w:basedOn w:val="DefaultParagraphFont"/>
    <w:link w:val="Heading5"/>
    <w:rsid w:val="00CB242C"/>
    <w:rPr>
      <w:rFonts w:ascii="Calibri" w:eastAsia="Times New Roman" w:hAnsi="Calibri" w:cs="Arial"/>
      <w:b/>
      <w:iCs/>
      <w:color w:val="3A73AD"/>
      <w:kern w:val="32"/>
      <w:szCs w:val="36"/>
      <w:lang w:eastAsia="en-AU"/>
    </w:rPr>
  </w:style>
  <w:style w:type="character" w:customStyle="1" w:styleId="Heading6Char">
    <w:name w:val="Heading 6 Char"/>
    <w:basedOn w:val="DefaultParagraphFont"/>
    <w:link w:val="Heading6"/>
    <w:rsid w:val="00CB242C"/>
    <w:rPr>
      <w:rFonts w:ascii="Calibri" w:eastAsia="Times New Roman" w:hAnsi="Calibri" w:cs="Arial"/>
      <w:color w:val="3A73AD"/>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DC6179"/>
    <w:pPr>
      <w:keepNext/>
      <w:spacing w:before="0" w:after="360"/>
    </w:pPr>
    <w:rPr>
      <w:color w:val="FFFFFF" w:themeColor="background1"/>
      <w:sz w:val="24"/>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qFormat/>
    <w:rsid w:val="00577E1A"/>
    <w:rPr>
      <w:rFonts w:asciiTheme="minorHAnsi" w:hAnsiTheme="minorHAnsi"/>
      <w:color w:val="5D779D"/>
      <w:sz w:val="2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CB242C"/>
    <w:pPr>
      <w:numPr>
        <w:ilvl w:val="1"/>
        <w:numId w:val="8"/>
      </w:numPr>
      <w:ind w:left="284" w:hanging="284"/>
    </w:pPr>
  </w:style>
  <w:style w:type="paragraph" w:customStyle="1" w:styleId="Heading3Numbered">
    <w:name w:val="Heading 3 Numbered"/>
    <w:basedOn w:val="Heading3"/>
    <w:rsid w:val="000E0B74"/>
    <w:pPr>
      <w:numPr>
        <w:ilvl w:val="2"/>
        <w:numId w:val="8"/>
      </w:numPr>
      <w:ind w:left="284" w:hanging="284"/>
    </w:pPr>
  </w:style>
  <w:style w:type="paragraph" w:styleId="Title">
    <w:name w:val="Title"/>
    <w:basedOn w:val="Normal"/>
    <w:next w:val="Normal"/>
    <w:link w:val="TitleChar"/>
    <w:uiPriority w:val="10"/>
    <w:qFormat/>
    <w:rsid w:val="005B329C"/>
    <w:pPr>
      <w:spacing w:before="0" w:after="300"/>
      <w:contextualSpacing/>
    </w:pPr>
    <w:rPr>
      <w:rFonts w:eastAsiaTheme="majorEastAsia" w:cstheme="majorBidi"/>
      <w:b/>
      <w:color w:val="FFFFFF" w:themeColor="background1"/>
      <w:spacing w:val="5"/>
      <w:kern w:val="28"/>
      <w:sz w:val="60"/>
      <w:szCs w:val="52"/>
    </w:rPr>
  </w:style>
  <w:style w:type="character" w:customStyle="1" w:styleId="TitleChar">
    <w:name w:val="Title Char"/>
    <w:basedOn w:val="DefaultParagraphFont"/>
    <w:link w:val="Title"/>
    <w:uiPriority w:val="10"/>
    <w:rsid w:val="005B329C"/>
    <w:rPr>
      <w:rFonts w:ascii="Calibri" w:eastAsiaTheme="majorEastAsia" w:hAnsi="Calibri" w:cstheme="majorBidi"/>
      <w:b/>
      <w:color w:val="FFFFFF" w:themeColor="background1"/>
      <w:spacing w:val="5"/>
      <w:kern w:val="28"/>
      <w:sz w:val="60"/>
      <w:szCs w:val="52"/>
      <w:lang w:eastAsia="en-AU"/>
    </w:rPr>
  </w:style>
  <w:style w:type="paragraph" w:styleId="Subtitle">
    <w:name w:val="Subtitle"/>
    <w:basedOn w:val="Normal"/>
    <w:next w:val="Normal"/>
    <w:link w:val="SubtitleChar"/>
    <w:uiPriority w:val="11"/>
    <w:qFormat/>
    <w:rsid w:val="00B67103"/>
    <w:pPr>
      <w:numPr>
        <w:ilvl w:val="1"/>
      </w:numPr>
    </w:pPr>
    <w:rPr>
      <w:rFonts w:eastAsiaTheme="majorEastAsia" w:cstheme="majorBidi"/>
      <w:iCs/>
      <w:caps/>
      <w:color w:val="FFFFFF" w:themeColor="background1"/>
      <w:sz w:val="32"/>
      <w:szCs w:val="44"/>
    </w:rPr>
  </w:style>
  <w:style w:type="character" w:customStyle="1" w:styleId="SubtitleChar">
    <w:name w:val="Subtitle Char"/>
    <w:basedOn w:val="DefaultParagraphFont"/>
    <w:link w:val="Subtitle"/>
    <w:uiPriority w:val="11"/>
    <w:rsid w:val="00B67103"/>
    <w:rPr>
      <w:rFonts w:ascii="Calibri" w:eastAsiaTheme="majorEastAsia" w:hAnsi="Calibri" w:cstheme="majorBidi"/>
      <w:iCs/>
      <w:caps/>
      <w:color w:val="FFFFFF" w:themeColor="background1"/>
      <w:sz w:val="32"/>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DC6179"/>
    <w:rPr>
      <w:rFonts w:ascii="Calibri" w:eastAsia="Times New Roman" w:hAnsi="Calibri" w:cs="Times New Roman"/>
      <w:color w:val="FFFFFF" w:themeColor="background1"/>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aliases w:val="List Paragraph1,Recommendation,List Paragraph11,L,bullet point list,1 heading,Bullet point,Dot point 1.5 line spacing,List Paragraph - bullets,NFP GP Bulleted List,Content descriptions,DDM Gen Text,List Paragraph Number,NAST Quote,CV text"/>
    <w:basedOn w:val="Normal"/>
    <w:link w:val="ListParagraphChar"/>
    <w:uiPriority w:val="34"/>
    <w:qFormat/>
    <w:rsid w:val="00782D69"/>
    <w:pPr>
      <w:numPr>
        <w:numId w:val="66"/>
      </w:numPr>
      <w:spacing w:before="0"/>
      <w:ind w:left="641" w:hanging="357"/>
    </w:pPr>
    <w:rPr>
      <w:rFonts w:asciiTheme="minorHAnsi" w:eastAsiaTheme="minorHAnsi" w:hAnsiTheme="minorHAnsi" w:cstheme="minorBidi"/>
      <w:szCs w:val="22"/>
      <w:lang w:eastAsia="en-US"/>
    </w:rPr>
  </w:style>
  <w:style w:type="paragraph" w:styleId="NormalWeb">
    <w:name w:val="Normal (Web)"/>
    <w:basedOn w:val="Normal"/>
    <w:link w:val="NormalWebChar"/>
    <w:uiPriority w:val="99"/>
    <w:semiHidden/>
    <w:unhideWhenUsed/>
    <w:rsid w:val="00A537DF"/>
    <w:pPr>
      <w:spacing w:before="100" w:beforeAutospacing="1" w:after="100" w:afterAutospacing="1"/>
    </w:pPr>
    <w:rPr>
      <w:rFonts w:ascii="Times New Roman" w:eastAsiaTheme="minorHAnsi" w:hAnsi="Times New Roman"/>
      <w:sz w:val="24"/>
      <w:szCs w:val="24"/>
    </w:rPr>
  </w:style>
  <w:style w:type="paragraph" w:customStyle="1" w:styleId="home-intro">
    <w:name w:val="home-intro"/>
    <w:basedOn w:val="Normal"/>
    <w:uiPriority w:val="99"/>
    <w:semiHidden/>
    <w:rsid w:val="00A537DF"/>
    <w:pPr>
      <w:spacing w:before="100" w:beforeAutospacing="1" w:after="100" w:afterAutospacing="1"/>
    </w:pPr>
    <w:rPr>
      <w:rFonts w:eastAsiaTheme="minorHAnsi" w:cs="Calibri"/>
      <w:szCs w:val="22"/>
    </w:rPr>
  </w:style>
  <w:style w:type="character" w:customStyle="1" w:styleId="NormalWebChar">
    <w:name w:val="Normal (Web) Char"/>
    <w:basedOn w:val="DefaultParagraphFont"/>
    <w:link w:val="NormalWeb"/>
    <w:uiPriority w:val="99"/>
    <w:semiHidden/>
    <w:rsid w:val="00A537DF"/>
    <w:rPr>
      <w:rFonts w:ascii="Times New Roman" w:hAnsi="Times New Roman" w:cs="Times New Roman"/>
      <w:sz w:val="24"/>
      <w:szCs w:val="24"/>
      <w:lang w:eastAsia="en-AU"/>
    </w:rPr>
  </w:style>
  <w:style w:type="character" w:customStyle="1" w:styleId="BulletChar">
    <w:name w:val="Bullet Char"/>
    <w:basedOn w:val="NormalWebChar"/>
    <w:link w:val="Bullet"/>
    <w:rsid w:val="00A537DF"/>
    <w:rPr>
      <w:rFonts w:ascii="Calibri" w:eastAsia="Times New Roman" w:hAnsi="Calibri" w:cs="Times New Roman"/>
      <w:sz w:val="24"/>
      <w:szCs w:val="20"/>
      <w:lang w:eastAsia="en-AU"/>
    </w:rPr>
  </w:style>
  <w:style w:type="paragraph" w:styleId="CommentText">
    <w:name w:val="annotation text"/>
    <w:basedOn w:val="Normal"/>
    <w:link w:val="CommentTextChar"/>
    <w:uiPriority w:val="99"/>
    <w:unhideWhenUsed/>
    <w:rsid w:val="00A537DF"/>
    <w:pPr>
      <w:spacing w:before="0" w:after="0"/>
    </w:pPr>
    <w:rPr>
      <w:rFonts w:eastAsiaTheme="minorHAnsi" w:cs="Calibri"/>
      <w:sz w:val="20"/>
      <w:lang w:eastAsia="en-US"/>
    </w:rPr>
  </w:style>
  <w:style w:type="character" w:customStyle="1" w:styleId="CommentTextChar">
    <w:name w:val="Comment Text Char"/>
    <w:basedOn w:val="DefaultParagraphFont"/>
    <w:link w:val="CommentText"/>
    <w:uiPriority w:val="99"/>
    <w:rsid w:val="00A537DF"/>
    <w:rPr>
      <w:rFonts w:ascii="Calibri" w:hAnsi="Calibri" w:cs="Calibri"/>
      <w:sz w:val="20"/>
      <w:szCs w:val="20"/>
    </w:rPr>
  </w:style>
  <w:style w:type="character" w:styleId="CommentReference">
    <w:name w:val="annotation reference"/>
    <w:basedOn w:val="DefaultParagraphFont"/>
    <w:uiPriority w:val="99"/>
    <w:semiHidden/>
    <w:unhideWhenUsed/>
    <w:rsid w:val="00B86855"/>
    <w:rPr>
      <w:sz w:val="16"/>
      <w:szCs w:val="16"/>
    </w:rPr>
  </w:style>
  <w:style w:type="paragraph" w:styleId="CommentSubject">
    <w:name w:val="annotation subject"/>
    <w:basedOn w:val="CommentText"/>
    <w:next w:val="CommentText"/>
    <w:link w:val="CommentSubjectChar"/>
    <w:uiPriority w:val="99"/>
    <w:semiHidden/>
    <w:unhideWhenUsed/>
    <w:rsid w:val="00B86855"/>
    <w:pPr>
      <w:spacing w:before="120" w:after="120"/>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B86855"/>
    <w:rPr>
      <w:rFonts w:ascii="Calibri" w:eastAsia="Times New Roman" w:hAnsi="Calibri" w:cs="Times New Roman"/>
      <w:b/>
      <w:bCs/>
      <w:sz w:val="20"/>
      <w:szCs w:val="20"/>
      <w:lang w:eastAsia="en-AU"/>
    </w:rPr>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DDM Gen Text Char"/>
    <w:basedOn w:val="DefaultParagraphFont"/>
    <w:link w:val="ListParagraph"/>
    <w:uiPriority w:val="34"/>
    <w:locked/>
    <w:rsid w:val="00782D69"/>
    <w:rPr>
      <w:color w:val="262626" w:themeColor="text1" w:themeTint="D9"/>
    </w:rPr>
  </w:style>
  <w:style w:type="table" w:customStyle="1" w:styleId="GridTable4-Accent11">
    <w:name w:val="Grid Table 4 - Accent 11"/>
    <w:basedOn w:val="TableNormal"/>
    <w:next w:val="GridTable4-Accent1"/>
    <w:uiPriority w:val="49"/>
    <w:rsid w:val="0045086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450863"/>
    <w:pPr>
      <w:spacing w:after="0" w:line="240" w:lineRule="auto"/>
    </w:pPr>
    <w:tblPr>
      <w:tblStyleRowBandSize w:val="1"/>
      <w:tblStyleColBandSize w:val="1"/>
      <w:tblBorders>
        <w:top w:val="single" w:sz="4" w:space="0" w:color="0098F6" w:themeColor="accent1" w:themeTint="99"/>
        <w:left w:val="single" w:sz="4" w:space="0" w:color="0098F6" w:themeColor="accent1" w:themeTint="99"/>
        <w:bottom w:val="single" w:sz="4" w:space="0" w:color="0098F6" w:themeColor="accent1" w:themeTint="99"/>
        <w:right w:val="single" w:sz="4" w:space="0" w:color="0098F6" w:themeColor="accent1" w:themeTint="99"/>
        <w:insideH w:val="single" w:sz="4" w:space="0" w:color="0098F6" w:themeColor="accent1" w:themeTint="99"/>
        <w:insideV w:val="single" w:sz="4" w:space="0" w:color="0098F6" w:themeColor="accent1" w:themeTint="99"/>
      </w:tblBorders>
    </w:tblPr>
    <w:tblStylePr w:type="firstRow">
      <w:rPr>
        <w:b/>
        <w:bCs/>
        <w:color w:val="FFFFFF" w:themeColor="background1"/>
      </w:rPr>
      <w:tblPr/>
      <w:tcPr>
        <w:tcBorders>
          <w:top w:val="single" w:sz="4" w:space="0" w:color="002C47" w:themeColor="accent1"/>
          <w:left w:val="single" w:sz="4" w:space="0" w:color="002C47" w:themeColor="accent1"/>
          <w:bottom w:val="single" w:sz="4" w:space="0" w:color="002C47" w:themeColor="accent1"/>
          <w:right w:val="single" w:sz="4" w:space="0" w:color="002C47" w:themeColor="accent1"/>
          <w:insideH w:val="nil"/>
          <w:insideV w:val="nil"/>
        </w:tcBorders>
        <w:shd w:val="clear" w:color="auto" w:fill="002C47" w:themeFill="accent1"/>
      </w:tcPr>
    </w:tblStylePr>
    <w:tblStylePr w:type="lastRow">
      <w:rPr>
        <w:b/>
        <w:bCs/>
      </w:rPr>
      <w:tblPr/>
      <w:tcPr>
        <w:tcBorders>
          <w:top w:val="double" w:sz="4" w:space="0" w:color="002C47" w:themeColor="accent1"/>
        </w:tcBorders>
      </w:tcPr>
    </w:tblStylePr>
    <w:tblStylePr w:type="firstCol">
      <w:rPr>
        <w:b/>
        <w:bCs/>
      </w:rPr>
    </w:tblStylePr>
    <w:tblStylePr w:type="lastCol">
      <w:rPr>
        <w:b/>
        <w:bCs/>
      </w:rPr>
    </w:tblStylePr>
    <w:tblStylePr w:type="band1Vert">
      <w:tblPr/>
      <w:tcPr>
        <w:shd w:val="clear" w:color="auto" w:fill="A7DDFF" w:themeFill="accent1" w:themeFillTint="33"/>
      </w:tcPr>
    </w:tblStylePr>
    <w:tblStylePr w:type="band1Horz">
      <w:tblPr/>
      <w:tcPr>
        <w:shd w:val="clear" w:color="auto" w:fill="A7DDFF" w:themeFill="accent1" w:themeFillTint="33"/>
      </w:tcPr>
    </w:tblStylePr>
  </w:style>
  <w:style w:type="paragraph" w:styleId="TOCHeading">
    <w:name w:val="TOC Heading"/>
    <w:basedOn w:val="Heading1"/>
    <w:next w:val="Normal"/>
    <w:uiPriority w:val="39"/>
    <w:unhideWhenUsed/>
    <w:rsid w:val="00553C26"/>
    <w:pPr>
      <w:keepLines/>
      <w:spacing w:before="240" w:after="0" w:line="259" w:lineRule="auto"/>
      <w:outlineLvl w:val="9"/>
    </w:pPr>
    <w:rPr>
      <w:rFonts w:asciiTheme="majorHAnsi" w:eastAsiaTheme="majorEastAsia" w:hAnsiTheme="majorHAnsi" w:cstheme="majorBidi"/>
      <w:color w:val="002035" w:themeColor="accent1" w:themeShade="BF"/>
      <w:kern w:val="0"/>
      <w:sz w:val="32"/>
      <w:szCs w:val="32"/>
      <w:lang w:val="en-US" w:eastAsia="en-US"/>
    </w:rPr>
  </w:style>
  <w:style w:type="table" w:styleId="TableGridLight">
    <w:name w:val="Grid Table Light"/>
    <w:basedOn w:val="TableNormal"/>
    <w:uiPriority w:val="40"/>
    <w:rsid w:val="00E44A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5E23B4"/>
    <w:pPr>
      <w:spacing w:after="0" w:line="240" w:lineRule="auto"/>
    </w:pPr>
    <w:tblPr>
      <w:tblStyleRowBandSize w:val="1"/>
      <w:tblStyleColBandSize w:val="1"/>
      <w:tblBorders>
        <w:top w:val="single" w:sz="4" w:space="0" w:color="82A7D5" w:themeColor="accent2" w:themeTint="99"/>
        <w:left w:val="single" w:sz="4" w:space="0" w:color="82A7D5" w:themeColor="accent2" w:themeTint="99"/>
        <w:bottom w:val="single" w:sz="4" w:space="0" w:color="82A7D5" w:themeColor="accent2" w:themeTint="99"/>
        <w:right w:val="single" w:sz="4" w:space="0" w:color="82A7D5" w:themeColor="accent2" w:themeTint="99"/>
        <w:insideH w:val="single" w:sz="4" w:space="0" w:color="82A7D5" w:themeColor="accent2" w:themeTint="99"/>
        <w:insideV w:val="single" w:sz="4" w:space="0" w:color="82A7D5" w:themeColor="accent2" w:themeTint="99"/>
      </w:tblBorders>
    </w:tblPr>
    <w:tblStylePr w:type="firstRow">
      <w:rPr>
        <w:b/>
        <w:bCs/>
        <w:color w:val="FFFFFF" w:themeColor="background1"/>
      </w:rPr>
      <w:tblPr/>
      <w:tcPr>
        <w:tcBorders>
          <w:top w:val="single" w:sz="4" w:space="0" w:color="3A6FAF" w:themeColor="accent2"/>
          <w:left w:val="single" w:sz="4" w:space="0" w:color="3A6FAF" w:themeColor="accent2"/>
          <w:bottom w:val="single" w:sz="4" w:space="0" w:color="3A6FAF" w:themeColor="accent2"/>
          <w:right w:val="single" w:sz="4" w:space="0" w:color="3A6FAF" w:themeColor="accent2"/>
          <w:insideH w:val="nil"/>
          <w:insideV w:val="nil"/>
        </w:tcBorders>
        <w:shd w:val="clear" w:color="auto" w:fill="3A6FAF" w:themeFill="accent2"/>
      </w:tcPr>
    </w:tblStylePr>
    <w:tblStylePr w:type="lastRow">
      <w:rPr>
        <w:b/>
        <w:bCs/>
      </w:rPr>
      <w:tblPr/>
      <w:tcPr>
        <w:tcBorders>
          <w:top w:val="double" w:sz="4" w:space="0" w:color="3A6FAF" w:themeColor="accent2"/>
        </w:tcBorders>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paragraph" w:styleId="Caption">
    <w:name w:val="caption"/>
    <w:basedOn w:val="Normal"/>
    <w:next w:val="Normal"/>
    <w:uiPriority w:val="35"/>
    <w:unhideWhenUsed/>
    <w:rsid w:val="005E23B4"/>
    <w:pPr>
      <w:spacing w:before="0" w:after="200"/>
    </w:pPr>
    <w:rPr>
      <w:i/>
      <w:iCs/>
      <w:color w:val="5F5F5F" w:themeColor="text2"/>
      <w:sz w:val="18"/>
      <w:szCs w:val="18"/>
    </w:rPr>
  </w:style>
  <w:style w:type="character" w:styleId="UnresolvedMention">
    <w:name w:val="Unresolved Mention"/>
    <w:basedOn w:val="DefaultParagraphFont"/>
    <w:uiPriority w:val="99"/>
    <w:semiHidden/>
    <w:unhideWhenUsed/>
    <w:rsid w:val="00DA667A"/>
    <w:rPr>
      <w:color w:val="605E5C"/>
      <w:shd w:val="clear" w:color="auto" w:fill="E1DFDD"/>
    </w:rPr>
  </w:style>
  <w:style w:type="character" w:styleId="Emphasis">
    <w:name w:val="Emphasis"/>
    <w:basedOn w:val="DefaultParagraphFont"/>
    <w:uiPriority w:val="20"/>
    <w:rsid w:val="00EF3651"/>
    <w:rPr>
      <w:i/>
      <w:iCs/>
    </w:rPr>
  </w:style>
  <w:style w:type="character" w:styleId="FollowedHyperlink">
    <w:name w:val="FollowedHyperlink"/>
    <w:basedOn w:val="DefaultParagraphFont"/>
    <w:uiPriority w:val="99"/>
    <w:semiHidden/>
    <w:unhideWhenUsed/>
    <w:rsid w:val="008909AA"/>
    <w:rPr>
      <w:color w:val="E61E26" w:themeColor="followedHyperlink"/>
      <w:u w:val="single"/>
    </w:rPr>
  </w:style>
  <w:style w:type="character" w:styleId="Strong">
    <w:name w:val="Strong"/>
    <w:basedOn w:val="DefaultParagraphFont"/>
    <w:uiPriority w:val="22"/>
    <w:qFormat/>
    <w:rsid w:val="00745615"/>
    <w:rPr>
      <w:rFonts w:asciiTheme="minorHAnsi" w:hAnsiTheme="minorHAnsi"/>
      <w:b/>
      <w:bCs/>
      <w:color w:val="465976"/>
      <w:sz w:val="22"/>
    </w:rPr>
  </w:style>
  <w:style w:type="paragraph" w:styleId="Revision">
    <w:name w:val="Revision"/>
    <w:hidden/>
    <w:uiPriority w:val="99"/>
    <w:semiHidden/>
    <w:rsid w:val="006968B5"/>
    <w:pPr>
      <w:spacing w:after="0" w:line="240" w:lineRule="auto"/>
    </w:pPr>
    <w:rPr>
      <w:rFonts w:ascii="Calibri" w:eastAsia="Times New Roman" w:hAnsi="Calibri" w:cs="Times New Roman"/>
      <w:color w:val="262626" w:themeColor="text1" w:themeTint="D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73035918">
      <w:bodyDiv w:val="1"/>
      <w:marLeft w:val="0"/>
      <w:marRight w:val="0"/>
      <w:marTop w:val="0"/>
      <w:marBottom w:val="0"/>
      <w:divBdr>
        <w:top w:val="none" w:sz="0" w:space="0" w:color="auto"/>
        <w:left w:val="none" w:sz="0" w:space="0" w:color="auto"/>
        <w:bottom w:val="none" w:sz="0" w:space="0" w:color="auto"/>
        <w:right w:val="none" w:sz="0" w:space="0" w:color="auto"/>
      </w:divBdr>
    </w:div>
    <w:div w:id="909580723">
      <w:bodyDiv w:val="1"/>
      <w:marLeft w:val="0"/>
      <w:marRight w:val="0"/>
      <w:marTop w:val="0"/>
      <w:marBottom w:val="0"/>
      <w:divBdr>
        <w:top w:val="none" w:sz="0" w:space="0" w:color="auto"/>
        <w:left w:val="none" w:sz="0" w:space="0" w:color="auto"/>
        <w:bottom w:val="none" w:sz="0" w:space="0" w:color="auto"/>
        <w:right w:val="none" w:sz="0" w:space="0" w:color="auto"/>
      </w:divBdr>
    </w:div>
    <w:div w:id="1337608491">
      <w:bodyDiv w:val="1"/>
      <w:marLeft w:val="0"/>
      <w:marRight w:val="0"/>
      <w:marTop w:val="0"/>
      <w:marBottom w:val="0"/>
      <w:divBdr>
        <w:top w:val="none" w:sz="0" w:space="0" w:color="auto"/>
        <w:left w:val="none" w:sz="0" w:space="0" w:color="auto"/>
        <w:bottom w:val="none" w:sz="0" w:space="0" w:color="auto"/>
        <w:right w:val="none" w:sz="0" w:space="0" w:color="auto"/>
      </w:divBdr>
    </w:div>
    <w:div w:id="1339694739">
      <w:bodyDiv w:val="1"/>
      <w:marLeft w:val="0"/>
      <w:marRight w:val="0"/>
      <w:marTop w:val="0"/>
      <w:marBottom w:val="0"/>
      <w:divBdr>
        <w:top w:val="none" w:sz="0" w:space="0" w:color="auto"/>
        <w:left w:val="none" w:sz="0" w:space="0" w:color="auto"/>
        <w:bottom w:val="none" w:sz="0" w:space="0" w:color="auto"/>
        <w:right w:val="none" w:sz="0" w:space="0" w:color="auto"/>
      </w:divBdr>
    </w:div>
    <w:div w:id="1347248645">
      <w:bodyDiv w:val="1"/>
      <w:marLeft w:val="0"/>
      <w:marRight w:val="0"/>
      <w:marTop w:val="0"/>
      <w:marBottom w:val="0"/>
      <w:divBdr>
        <w:top w:val="none" w:sz="0" w:space="0" w:color="auto"/>
        <w:left w:val="none" w:sz="0" w:space="0" w:color="auto"/>
        <w:bottom w:val="none" w:sz="0" w:space="0" w:color="auto"/>
        <w:right w:val="none" w:sz="0" w:space="0" w:color="auto"/>
      </w:divBdr>
    </w:div>
    <w:div w:id="1353337972">
      <w:bodyDiv w:val="1"/>
      <w:marLeft w:val="0"/>
      <w:marRight w:val="0"/>
      <w:marTop w:val="0"/>
      <w:marBottom w:val="0"/>
      <w:divBdr>
        <w:top w:val="none" w:sz="0" w:space="0" w:color="auto"/>
        <w:left w:val="none" w:sz="0" w:space="0" w:color="auto"/>
        <w:bottom w:val="none" w:sz="0" w:space="0" w:color="auto"/>
        <w:right w:val="none" w:sz="0" w:space="0" w:color="auto"/>
      </w:divBdr>
    </w:div>
    <w:div w:id="1365401342">
      <w:bodyDiv w:val="1"/>
      <w:marLeft w:val="0"/>
      <w:marRight w:val="0"/>
      <w:marTop w:val="0"/>
      <w:marBottom w:val="0"/>
      <w:divBdr>
        <w:top w:val="none" w:sz="0" w:space="0" w:color="auto"/>
        <w:left w:val="none" w:sz="0" w:space="0" w:color="auto"/>
        <w:bottom w:val="none" w:sz="0" w:space="0" w:color="auto"/>
        <w:right w:val="none" w:sz="0" w:space="0" w:color="auto"/>
      </w:divBdr>
    </w:div>
    <w:div w:id="1532256894">
      <w:bodyDiv w:val="1"/>
      <w:marLeft w:val="0"/>
      <w:marRight w:val="0"/>
      <w:marTop w:val="0"/>
      <w:marBottom w:val="0"/>
      <w:divBdr>
        <w:top w:val="none" w:sz="0" w:space="0" w:color="auto"/>
        <w:left w:val="none" w:sz="0" w:space="0" w:color="auto"/>
        <w:bottom w:val="none" w:sz="0" w:space="0" w:color="auto"/>
        <w:right w:val="none" w:sz="0" w:space="0" w:color="auto"/>
      </w:divBdr>
    </w:div>
    <w:div w:id="19117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20A00091" TargetMode="External"/><Relationship Id="rId13" Type="http://schemas.openxmlformats.org/officeDocument/2006/relationships/hyperlink" Target="https://www.legislation.gov.au/Series/C2004A00818" TargetMode="External"/><Relationship Id="rId18" Type="http://schemas.openxmlformats.org/officeDocument/2006/relationships/hyperlink" Target="https://portal.paymenttimes.gov.au/" TargetMode="External"/><Relationship Id="rId26" Type="http://schemas.openxmlformats.org/officeDocument/2006/relationships/hyperlink" Target="https://register.paymenttimes.gov.au/" TargetMode="External"/><Relationship Id="rId39" Type="http://schemas.openxmlformats.org/officeDocument/2006/relationships/hyperlink" Target="https://register.paymenttimes.gov.au/" TargetMode="External"/><Relationship Id="rId3" Type="http://schemas.openxmlformats.org/officeDocument/2006/relationships/styles" Target="styles.xml"/><Relationship Id="rId21" Type="http://schemas.openxmlformats.org/officeDocument/2006/relationships/hyperlink" Target="https://portal.paymenttimes.gov.au/" TargetMode="External"/><Relationship Id="rId34" Type="http://schemas.openxmlformats.org/officeDocument/2006/relationships/hyperlink" Target="mailto:support@paymenttimes.gov.au"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rtal.paymenttimes.gov.au/" TargetMode="External"/><Relationship Id="rId17" Type="http://schemas.openxmlformats.org/officeDocument/2006/relationships/hyperlink" Target="https://portal.paymenttimes.gov.au/" TargetMode="External"/><Relationship Id="rId25" Type="http://schemas.openxmlformats.org/officeDocument/2006/relationships/hyperlink" Target="https://www.legislation.gov.au/Series/C2012A00168" TargetMode="External"/><Relationship Id="rId33" Type="http://schemas.openxmlformats.org/officeDocument/2006/relationships/hyperlink" Target="https://paymenttimes.gov.au/about/regulatory-resources/information-sheet-1" TargetMode="External"/><Relationship Id="rId38" Type="http://schemas.openxmlformats.org/officeDocument/2006/relationships/hyperlink" Target="https://connectonline.asic.gov.au/RegistrySearch/faces/landing/bn/SearchBnRegisters.jspx?_adf.ctrl-state=zlvmt8uxd_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ymenttimes.gov.au/about/regulatory-resources/information-sheet-2" TargetMode="External"/><Relationship Id="rId20" Type="http://schemas.openxmlformats.org/officeDocument/2006/relationships/hyperlink" Target="mailto:support@paymenttimes.gov.au" TargetMode="External"/><Relationship Id="rId29" Type="http://schemas.openxmlformats.org/officeDocument/2006/relationships/hyperlink" Target="https://www.legislation.gov.au/Series/C2020A00091"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20A00091" TargetMode="External"/><Relationship Id="rId24" Type="http://schemas.openxmlformats.org/officeDocument/2006/relationships/hyperlink" Target="https://www.legislation.gov.au/Series/C2012A00168" TargetMode="External"/><Relationship Id="rId32" Type="http://schemas.openxmlformats.org/officeDocument/2006/relationships/hyperlink" Target="https://register.paymenttimes.gov.au/" TargetMode="External"/><Relationship Id="rId37" Type="http://schemas.openxmlformats.org/officeDocument/2006/relationships/hyperlink" Target="https://www.legislation.gov.au/Series/C1936A00027"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rtal.paymenttimes.gov.au/" TargetMode="External"/><Relationship Id="rId23" Type="http://schemas.openxmlformats.org/officeDocument/2006/relationships/hyperlink" Target="https://www.legislation.gov.au/Series/C2012A00168" TargetMode="External"/><Relationship Id="rId28" Type="http://schemas.openxmlformats.org/officeDocument/2006/relationships/hyperlink" Target="https://portal.paymenttimes.gov.au/" TargetMode="External"/><Relationship Id="rId36" Type="http://schemas.openxmlformats.org/officeDocument/2006/relationships/hyperlink" Target="https://portal.paymenttimes.gov.au/" TargetMode="External"/><Relationship Id="rId10" Type="http://schemas.openxmlformats.org/officeDocument/2006/relationships/hyperlink" Target="https://www.legislation.gov.au/Series/F2020L01472" TargetMode="External"/><Relationship Id="rId19" Type="http://schemas.openxmlformats.org/officeDocument/2006/relationships/hyperlink" Target="https://register.paymenttimes.gov.au/" TargetMode="External"/><Relationship Id="rId31" Type="http://schemas.openxmlformats.org/officeDocument/2006/relationships/hyperlink" Target="https://register.paymenttimes.gov.au/"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au/Series/C2020A00091" TargetMode="External"/><Relationship Id="rId14" Type="http://schemas.openxmlformats.org/officeDocument/2006/relationships/hyperlink" Target="https://portal.paymenttimes.gov.au/" TargetMode="External"/><Relationship Id="rId22" Type="http://schemas.openxmlformats.org/officeDocument/2006/relationships/hyperlink" Target="https://portal.paymenttimes.gov.au/" TargetMode="External"/><Relationship Id="rId27" Type="http://schemas.openxmlformats.org/officeDocument/2006/relationships/hyperlink" Target="https://paymenttimes.gov.au/about/regulatory-resources/information-sheet-2" TargetMode="External"/><Relationship Id="rId30" Type="http://schemas.openxmlformats.org/officeDocument/2006/relationships/hyperlink" Target="https://portal.paymenttimes.gov.au/" TargetMode="External"/><Relationship Id="rId35" Type="http://schemas.openxmlformats.org/officeDocument/2006/relationships/hyperlink" Target="https://portal.paymenttimes.gov.au/"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11EB7-E9EC-4BCD-8080-03A6FAF1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5668</Words>
  <Characters>30254</Characters>
  <Application>Microsoft Office Word</Application>
  <DocSecurity>0</DocSecurity>
  <Lines>669</Lines>
  <Paragraphs>324</Paragraphs>
  <ScaleCrop>false</ScaleCrop>
  <HeadingPairs>
    <vt:vector size="2" baseType="variant">
      <vt:variant>
        <vt:lpstr>Title</vt:lpstr>
      </vt:variant>
      <vt:variant>
        <vt:i4>1</vt:i4>
      </vt:variant>
    </vt:vector>
  </HeadingPairs>
  <TitlesOfParts>
    <vt:vector size="1" baseType="lpstr">
      <vt:lpstr>PTRS Guidance Note 3 - Applications and notifications</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PTRS Guidance Note 3 - Applications and notifications</dc:title>
  <dc:creator/>
  <cp:keywords/>
  <cp:lastModifiedBy/>
  <cp:revision>1</cp:revision>
  <dcterms:created xsi:type="dcterms:W3CDTF">2022-07-21T04:45:00Z</dcterms:created>
  <dcterms:modified xsi:type="dcterms:W3CDTF">2022-07-21T04:46:00Z</dcterms:modified>
  <cp:category/>
</cp:coreProperties>
</file>