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00DB6" w14:textId="04BA58A2" w:rsidR="000E0B74" w:rsidRPr="006D0240" w:rsidRDefault="007E4C02" w:rsidP="008E6292">
      <w:bookmarkStart w:id="0" w:name="_GoBack"/>
      <w:bookmarkEnd w:id="0"/>
      <w:r>
        <w:t xml:space="preserve"> </w:t>
      </w:r>
    </w:p>
    <w:p w14:paraId="10FAE94B" w14:textId="77777777" w:rsidR="000E0B74" w:rsidRPr="006D0240" w:rsidRDefault="000E0B74" w:rsidP="001D4EAA">
      <w:pPr>
        <w:pStyle w:val="Crest"/>
        <w:spacing w:after="1320"/>
        <w:jc w:val="left"/>
      </w:pPr>
    </w:p>
    <w:p w14:paraId="440928FF" w14:textId="5E274186" w:rsidR="00E163D8" w:rsidRPr="001D4EAA" w:rsidRDefault="00E163D8" w:rsidP="00E163D8">
      <w:pPr>
        <w:pStyle w:val="Title"/>
      </w:pPr>
      <w:r>
        <w:t xml:space="preserve">Payment Times Reporting: Updated </w:t>
      </w:r>
      <w:r w:rsidR="00441890">
        <w:t>g</w:t>
      </w:r>
      <w:r>
        <w:t xml:space="preserve">uidance </w:t>
      </w:r>
      <w:r w:rsidR="00441890">
        <w:t>m</w:t>
      </w:r>
      <w:r>
        <w:t>aterial</w:t>
      </w:r>
    </w:p>
    <w:p w14:paraId="7E2518A7" w14:textId="77777777" w:rsidR="00E163D8" w:rsidRPr="001D4EAA" w:rsidRDefault="00E163D8" w:rsidP="009B391A">
      <w:pPr>
        <w:pStyle w:val="Subtitle"/>
        <w:spacing w:before="240" w:after="240"/>
      </w:pPr>
      <w:r>
        <w:t>Consultation Paper</w:t>
      </w:r>
    </w:p>
    <w:p w14:paraId="2A0EFDA8" w14:textId="77777777" w:rsidR="00E163D8" w:rsidRPr="009B391A" w:rsidRDefault="00E163D8" w:rsidP="00E163D8">
      <w:pPr>
        <w:pStyle w:val="ReportDate"/>
        <w:rPr>
          <w:rFonts w:ascii="Rockwell" w:hAnsi="Rockwell"/>
          <w:sz w:val="16"/>
          <w:szCs w:val="12"/>
        </w:rPr>
      </w:pPr>
      <w:r w:rsidRPr="009B391A">
        <w:rPr>
          <w:rStyle w:val="ReportDateChar"/>
          <w:sz w:val="28"/>
          <w:szCs w:val="12"/>
        </w:rPr>
        <w:t>July 2022</w:t>
      </w:r>
    </w:p>
    <w:p w14:paraId="2081684F" w14:textId="77777777" w:rsidR="002F617F" w:rsidRPr="001D4EAA" w:rsidRDefault="002F617F" w:rsidP="001D4EAA">
      <w:pPr>
        <w:spacing w:after="6000"/>
      </w:pPr>
    </w:p>
    <w:p w14:paraId="1F8B752B" w14:textId="77777777" w:rsidR="002F617F" w:rsidRDefault="002F617F"/>
    <w:p w14:paraId="1AAB61C2" w14:textId="77777777" w:rsidR="000E0B74" w:rsidRDefault="000E0B74" w:rsidP="000E0B74">
      <w:pPr>
        <w:rPr>
          <w:rFonts w:cs="Calibri"/>
          <w:sz w:val="20"/>
        </w:rPr>
      </w:pPr>
    </w:p>
    <w:p w14:paraId="3BD221F9" w14:textId="77777777" w:rsidR="000E0B74" w:rsidRDefault="000E0B74" w:rsidP="000E0B74">
      <w:pPr>
        <w:sectPr w:rsidR="000E0B74" w:rsidSect="009B391A">
          <w:headerReference w:type="default" r:id="rId12"/>
          <w:headerReference w:type="first" r:id="rId13"/>
          <w:pgSz w:w="11906" w:h="16838"/>
          <w:pgMar w:top="1566" w:right="1418" w:bottom="1418" w:left="1418" w:header="709" w:footer="709" w:gutter="0"/>
          <w:pgNumType w:fmt="lowerRoman" w:start="1"/>
          <w:cols w:space="720"/>
        </w:sectPr>
      </w:pPr>
    </w:p>
    <w:p w14:paraId="076E26C6" w14:textId="104166C1" w:rsidR="000E0B74" w:rsidRDefault="000E0B74" w:rsidP="000E0B74">
      <w:pPr>
        <w:spacing w:before="240"/>
      </w:pPr>
      <w:r w:rsidRPr="00661BF0">
        <w:lastRenderedPageBreak/>
        <w:t xml:space="preserve">© Commonwealth of Australia </w:t>
      </w:r>
      <w:r w:rsidRPr="00507B33">
        <w:t>20</w:t>
      </w:r>
      <w:r w:rsidR="00EF2FBF" w:rsidRPr="00507B33">
        <w:t>2</w:t>
      </w:r>
      <w:r w:rsidR="00FF6807">
        <w:t>2</w:t>
      </w:r>
    </w:p>
    <w:p w14:paraId="27D24130" w14:textId="567019A2" w:rsidR="000E0B74" w:rsidRPr="00086F82" w:rsidRDefault="000E0B74" w:rsidP="000E0B74">
      <w:pPr>
        <w:tabs>
          <w:tab w:val="left" w:pos="1650"/>
        </w:tabs>
        <w:spacing w:before="240"/>
        <w:rPr>
          <w:rFonts w:cstheme="minorBidi"/>
          <w:sz w:val="24"/>
          <w:szCs w:val="24"/>
        </w:rPr>
      </w:pPr>
      <w:r w:rsidRPr="002F1BC2">
        <w:t>This publication is available for your use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14" w:history="1">
        <w:r w:rsidRPr="006627B4">
          <w:rPr>
            <w:rStyle w:val="Hyperlink"/>
          </w:rPr>
          <w:t>Creative Commons Attribution 3.0 Australia</w:t>
        </w:r>
      </w:hyperlink>
      <w:r w:rsidRPr="00476F09">
        <w:rPr>
          <w:rFonts w:cstheme="minorHAnsi"/>
          <w:sz w:val="24"/>
          <w:szCs w:val="24"/>
        </w:rPr>
        <w:t xml:space="preserve"> </w:t>
      </w:r>
      <w:r w:rsidRPr="002F1BC2">
        <w:t>licence, with the exception of the Commonwealth Coat of Arms,</w:t>
      </w:r>
      <w:r w:rsidR="009B391A">
        <w:t xml:space="preserve"> the Payment Times Reporting Scheme logo,</w:t>
      </w:r>
      <w:r w:rsidRPr="002F1BC2">
        <w:t xml:space="preserve"> the Treasury logo</w:t>
      </w:r>
      <w:r>
        <w:t xml:space="preserve">, photographs, images, signatures </w:t>
      </w:r>
      <w:r w:rsidRPr="002F1BC2">
        <w:t>and where otherwise stated. The full licence terms are available from</w:t>
      </w:r>
      <w:r w:rsidRPr="00476F09">
        <w:rPr>
          <w:rFonts w:cstheme="minorHAnsi"/>
          <w:sz w:val="24"/>
          <w:szCs w:val="24"/>
        </w:rPr>
        <w:t xml:space="preserve"> </w:t>
      </w:r>
      <w:hyperlink r:id="rId15" w:history="1">
        <w:r w:rsidRPr="00D45AF8">
          <w:rPr>
            <w:rStyle w:val="Hyperlink"/>
          </w:rPr>
          <w:t>http://creativecommons.org/licenses/by/3.0/au/legalcode</w:t>
        </w:r>
      </w:hyperlink>
      <w:r w:rsidRPr="006627B4">
        <w:rPr>
          <w:rStyle w:val="Hyperlink"/>
        </w:rPr>
        <w:t>.</w:t>
      </w:r>
      <w:r w:rsidRPr="00D06A21">
        <w:rPr>
          <w:sz w:val="24"/>
          <w:szCs w:val="24"/>
        </w:rPr>
        <w:t xml:space="preserve"> </w:t>
      </w:r>
    </w:p>
    <w:p w14:paraId="481B9E50" w14:textId="77777777" w:rsidR="000E0B74" w:rsidRDefault="000E0B74" w:rsidP="000E0B74">
      <w:pPr>
        <w:pStyle w:val="ChartGraphic"/>
        <w:jc w:val="left"/>
      </w:pPr>
      <w:r w:rsidRPr="00E56DFB">
        <w:rPr>
          <w:noProof/>
          <w:lang w:eastAsia="zh-CN"/>
        </w:rPr>
        <w:drawing>
          <wp:inline distT="0" distB="0" distL="0" distR="0" wp14:anchorId="6F7E5F5F" wp14:editId="5E1DB440">
            <wp:extent cx="809625" cy="285750"/>
            <wp:effectExtent l="0" t="0" r="9525" b="0"/>
            <wp:docPr id="3" name="Picture 1" descr="Creative Commons attribution licence 3.0 icon. " title="Creative Common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by_gr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52EAA" w14:textId="77777777" w:rsidR="000E0B74" w:rsidRPr="006627B4" w:rsidRDefault="000E0B74" w:rsidP="000E0B74">
      <w:pPr>
        <w:tabs>
          <w:tab w:val="left" w:pos="1650"/>
        </w:tabs>
        <w:spacing w:before="240"/>
      </w:pPr>
      <w:r w:rsidRPr="006627B4">
        <w:t>Use of Treasury material under a</w:t>
      </w:r>
      <w:r w:rsidRPr="00476F09">
        <w:rPr>
          <w:rFonts w:cstheme="minorHAnsi"/>
          <w:sz w:val="24"/>
          <w:szCs w:val="24"/>
        </w:rPr>
        <w:t xml:space="preserve"> </w:t>
      </w:r>
      <w:hyperlink r:id="rId17" w:history="1">
        <w:r w:rsidRPr="002F1BC2">
          <w:rPr>
            <w:rStyle w:val="Hyperlink"/>
          </w:rPr>
          <w:t>Creative Commons Attribution 3.0 Australia</w:t>
        </w:r>
      </w:hyperlink>
      <w:r w:rsidRPr="002F1BC2">
        <w:rPr>
          <w:rStyle w:val="Hyperlink"/>
        </w:rPr>
        <w:t xml:space="preserve"> </w:t>
      </w:r>
      <w:r w:rsidRPr="006627B4">
        <w:t>licence requires you to attribute the work (but not in any way that suggests that the Treasury endorse</w:t>
      </w:r>
      <w:r>
        <w:t>s you or your use of the work).</w:t>
      </w:r>
    </w:p>
    <w:p w14:paraId="042C142A" w14:textId="77777777" w:rsidR="000E0B74" w:rsidRPr="002F1BC2" w:rsidRDefault="000E0B74" w:rsidP="000E0B74">
      <w:pPr>
        <w:ind w:left="709"/>
        <w:rPr>
          <w:i/>
        </w:rPr>
      </w:pPr>
      <w:r w:rsidRPr="002F1BC2">
        <w:rPr>
          <w:i/>
        </w:rPr>
        <w:t xml:space="preserve">Treasury material used </w:t>
      </w:r>
      <w:r>
        <w:rPr>
          <w:i/>
        </w:rPr>
        <w:t>‘</w:t>
      </w:r>
      <w:r w:rsidRPr="002F1BC2">
        <w:rPr>
          <w:i/>
        </w:rPr>
        <w:t>as supplied</w:t>
      </w:r>
      <w:r>
        <w:rPr>
          <w:i/>
        </w:rPr>
        <w:t>’.</w:t>
      </w:r>
    </w:p>
    <w:p w14:paraId="2A0E5205" w14:textId="77777777" w:rsidR="000E0B74" w:rsidRPr="00476F09" w:rsidRDefault="000E0B74" w:rsidP="000E0B74">
      <w:pPr>
        <w:spacing w:before="240"/>
      </w:pPr>
      <w:r w:rsidRPr="00476F09">
        <w:t>Provided you have not modified or transformed Treasury material in any way including, for example, by</w:t>
      </w:r>
      <w:r>
        <w:t xml:space="preserve"> </w:t>
      </w:r>
      <w:r w:rsidRPr="0096692D">
        <w:t>changing the Treasury text; calculating percentage changes; graphing or charting data</w:t>
      </w:r>
      <w:r>
        <w:t>;</w:t>
      </w:r>
      <w:r w:rsidRPr="0096692D">
        <w:t xml:space="preserve"> or deriving new statistics from published Treasury statistics</w:t>
      </w:r>
      <w:r>
        <w:t xml:space="preserve"> — then Treasury prefers t</w:t>
      </w:r>
      <w:r w:rsidRPr="00476F09">
        <w:t xml:space="preserve">he following attribution: </w:t>
      </w:r>
    </w:p>
    <w:p w14:paraId="026D5D97" w14:textId="5FE7E090" w:rsidR="000E0B74" w:rsidRPr="00A13A11" w:rsidRDefault="000E0B74" w:rsidP="000E0B74">
      <w:pPr>
        <w:ind w:firstLine="720"/>
      </w:pPr>
      <w:r w:rsidRPr="002F1BC2">
        <w:rPr>
          <w:i/>
        </w:rPr>
        <w:t xml:space="preserve">Source: The </w:t>
      </w:r>
      <w:r w:rsidRPr="002F1BC2">
        <w:rPr>
          <w:i/>
          <w:iCs/>
        </w:rPr>
        <w:t>Australian Government the Treasury</w:t>
      </w:r>
      <w:r>
        <w:t>.</w:t>
      </w:r>
    </w:p>
    <w:p w14:paraId="38AC202E" w14:textId="77777777" w:rsidR="000E0B74" w:rsidRPr="006627B4" w:rsidRDefault="000E0B74" w:rsidP="000E0B74">
      <w:pPr>
        <w:spacing w:before="240"/>
      </w:pPr>
      <w:r w:rsidRPr="00CC63CC">
        <w:rPr>
          <w:b/>
        </w:rPr>
        <w:t>Derivative</w:t>
      </w:r>
      <w:r w:rsidRPr="006627B4">
        <w:t xml:space="preserve"> </w:t>
      </w:r>
      <w:r w:rsidRPr="00CC63CC">
        <w:rPr>
          <w:b/>
        </w:rPr>
        <w:t>material</w:t>
      </w:r>
    </w:p>
    <w:p w14:paraId="3E5B52A4" w14:textId="77777777" w:rsidR="000E0B74" w:rsidRPr="006627B4" w:rsidRDefault="000E0B74" w:rsidP="000E0B74">
      <w:r w:rsidRPr="006627B4">
        <w:t xml:space="preserve">If you have modified or transformed Treasury material, or derived new material from those of the Treasury in any way, then Treasury prefers the following attribution: </w:t>
      </w:r>
    </w:p>
    <w:p w14:paraId="507E2476" w14:textId="1AC2FC7A" w:rsidR="000E0B74" w:rsidRPr="006627B4" w:rsidRDefault="000E0B74" w:rsidP="000E0B74">
      <w:pPr>
        <w:ind w:firstLine="720"/>
      </w:pPr>
      <w:r w:rsidRPr="002F1BC2">
        <w:rPr>
          <w:i/>
        </w:rPr>
        <w:t>Based on The Australian Government the Treasury data</w:t>
      </w:r>
      <w:r>
        <w:t>.</w:t>
      </w:r>
    </w:p>
    <w:p w14:paraId="12499644" w14:textId="77777777" w:rsidR="000E0B74" w:rsidRPr="006627B4" w:rsidRDefault="000E0B74" w:rsidP="000E0B74">
      <w:pPr>
        <w:spacing w:before="240"/>
        <w:rPr>
          <w:b/>
        </w:rPr>
      </w:pPr>
      <w:r w:rsidRPr="006627B4">
        <w:rPr>
          <w:b/>
        </w:rPr>
        <w:t>Use of the Coat of Arms</w:t>
      </w:r>
    </w:p>
    <w:p w14:paraId="2C16688D" w14:textId="4719D00E" w:rsidR="000E0B74" w:rsidRPr="006627B4" w:rsidRDefault="004A7BC2" w:rsidP="000E0B74">
      <w:r w:rsidRPr="004A7BC2">
        <w:t>The terms under which the Coat of Arms can be used are set out</w:t>
      </w:r>
      <w:r>
        <w:t xml:space="preserve"> on the Department of the Prime </w:t>
      </w:r>
      <w:r w:rsidRPr="004A7BC2">
        <w:t xml:space="preserve">Minister and Cabinet website (see </w:t>
      </w:r>
      <w:hyperlink r:id="rId18" w:history="1">
        <w:r w:rsidR="0095317D">
          <w:rPr>
            <w:rStyle w:val="Hyperlink"/>
          </w:rPr>
          <w:t>www.pmc.gov.au/government/commonwealth-coat-arms</w:t>
        </w:r>
      </w:hyperlink>
      <w:r w:rsidRPr="004A7BC2">
        <w:t>).</w:t>
      </w:r>
    </w:p>
    <w:p w14:paraId="72B5A563" w14:textId="77777777" w:rsidR="000E0B74" w:rsidRPr="006627B4" w:rsidRDefault="000E0B74" w:rsidP="000E0B74">
      <w:pPr>
        <w:spacing w:before="240"/>
        <w:rPr>
          <w:b/>
        </w:rPr>
      </w:pPr>
      <w:r>
        <w:rPr>
          <w:b/>
        </w:rPr>
        <w:t>Other u</w:t>
      </w:r>
      <w:r w:rsidRPr="006627B4">
        <w:rPr>
          <w:b/>
        </w:rPr>
        <w:t>ses</w:t>
      </w:r>
    </w:p>
    <w:p w14:paraId="3D96C1B3" w14:textId="77777777" w:rsidR="000E0B74" w:rsidRPr="006627B4" w:rsidRDefault="000E0B74" w:rsidP="000E0B74">
      <w:r>
        <w:t>E</w:t>
      </w:r>
      <w:r w:rsidRPr="006627B4">
        <w:t>nquiries regarding this licence and any other use of this document are welcome at:</w:t>
      </w:r>
    </w:p>
    <w:p w14:paraId="5B91B7E2" w14:textId="77777777" w:rsidR="000E0B74" w:rsidRPr="002F1BC2" w:rsidRDefault="000E0B74" w:rsidP="000E0B74">
      <w:pPr>
        <w:ind w:left="720"/>
        <w:rPr>
          <w:rStyle w:val="Hyperlink"/>
        </w:rPr>
      </w:pPr>
      <w:r w:rsidRPr="006627B4">
        <w:t>Manager</w:t>
      </w:r>
      <w:r w:rsidR="009A668A">
        <w:br/>
      </w:r>
      <w:r>
        <w:t>Media and Speeches Unit</w:t>
      </w:r>
      <w:r>
        <w:br/>
      </w:r>
      <w:r w:rsidRPr="006627B4">
        <w:t>The Treasury</w:t>
      </w:r>
      <w:r>
        <w:br/>
      </w:r>
      <w:r w:rsidRPr="006627B4">
        <w:t xml:space="preserve">Langton Crescent </w:t>
      </w:r>
      <w:r>
        <w:br/>
      </w:r>
      <w:r w:rsidRPr="006627B4">
        <w:t xml:space="preserve">Parkes </w:t>
      </w:r>
      <w:r>
        <w:t xml:space="preserve"> </w:t>
      </w:r>
      <w:r w:rsidRPr="006627B4">
        <w:t xml:space="preserve">ACT </w:t>
      </w:r>
      <w:r>
        <w:t xml:space="preserve"> </w:t>
      </w:r>
      <w:r w:rsidRPr="006627B4">
        <w:t>2600</w:t>
      </w:r>
      <w:r>
        <w:br/>
      </w:r>
      <w:r w:rsidRPr="006627B4">
        <w:t xml:space="preserve">Email: </w:t>
      </w:r>
      <w:hyperlink r:id="rId19" w:history="1">
        <w:r w:rsidR="004A077D" w:rsidRPr="000951A5">
          <w:rPr>
            <w:rStyle w:val="Hyperlink"/>
          </w:rPr>
          <w:t>media@treasury.gov.au</w:t>
        </w:r>
      </w:hyperlink>
      <w:r w:rsidR="004A077D">
        <w:t xml:space="preserve"> </w:t>
      </w:r>
    </w:p>
    <w:p w14:paraId="00483A5D" w14:textId="77777777" w:rsidR="000E0B74" w:rsidRDefault="000E0B74" w:rsidP="000E0B74">
      <w:pPr>
        <w:pStyle w:val="SingleParagraph"/>
        <w:sectPr w:rsidR="000E0B74" w:rsidSect="00475B7B">
          <w:headerReference w:type="even" r:id="rId20"/>
          <w:headerReference w:type="default" r:id="rId21"/>
          <w:footerReference w:type="even" r:id="rId22"/>
          <w:headerReference w:type="first" r:id="rId23"/>
          <w:pgSz w:w="11906" w:h="16838" w:code="9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4EA2D8B6" w14:textId="0D2B38E3" w:rsidR="000513BF" w:rsidRPr="000513BF" w:rsidRDefault="000E0B74" w:rsidP="000513BF">
      <w:pPr>
        <w:pStyle w:val="Heading1"/>
        <w:rPr>
          <w:noProof/>
        </w:rPr>
      </w:pPr>
      <w:bookmarkStart w:id="1" w:name="_Toc107486463"/>
      <w:bookmarkStart w:id="2" w:name="_Toc109050574"/>
      <w:r w:rsidRPr="00354FBB">
        <w:lastRenderedPageBreak/>
        <w:t>Contents</w:t>
      </w:r>
      <w:bookmarkEnd w:id="1"/>
      <w:bookmarkEnd w:id="2"/>
      <w:r w:rsidR="00257AEE">
        <w:rPr>
          <w:color w:val="002C47" w:themeColor="accent1"/>
        </w:rPr>
        <w:fldChar w:fldCharType="begin"/>
      </w:r>
      <w:r w:rsidR="00257AEE">
        <w:instrText xml:space="preserve"> TOC \o "1-2" \h \z \t "Heading 3,3,Chart Main Heading,3,Table Main Heading,3,Heading 3 Numbered,3,Table Heading Continued,3" </w:instrText>
      </w:r>
      <w:r w:rsidR="00257AEE">
        <w:rPr>
          <w:color w:val="002C47" w:themeColor="accent1"/>
        </w:rPr>
        <w:fldChar w:fldCharType="separate"/>
      </w:r>
    </w:p>
    <w:p w14:paraId="58609AF4" w14:textId="4B0BC497" w:rsidR="000513BF" w:rsidRDefault="00825FCC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09050575" w:history="1">
        <w:r w:rsidR="000513BF" w:rsidRPr="00D334D9">
          <w:rPr>
            <w:rStyle w:val="Hyperlink"/>
          </w:rPr>
          <w:t>Consultation process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_Toc109050575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1</w:t>
        </w:r>
        <w:r w:rsidR="000513BF">
          <w:rPr>
            <w:webHidden/>
          </w:rPr>
          <w:fldChar w:fldCharType="end"/>
        </w:r>
      </w:hyperlink>
    </w:p>
    <w:p w14:paraId="0D255E82" w14:textId="03F5F1B9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76" w:history="1">
        <w:r w:rsidR="000513BF" w:rsidRPr="00D334D9">
          <w:rPr>
            <w:rStyle w:val="Hyperlink"/>
          </w:rPr>
          <w:t>Request for feedback and comments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_Toc109050576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1</w:t>
        </w:r>
        <w:r w:rsidR="000513BF">
          <w:rPr>
            <w:webHidden/>
          </w:rPr>
          <w:fldChar w:fldCharType="end"/>
        </w:r>
      </w:hyperlink>
    </w:p>
    <w:p w14:paraId="6DA748DC" w14:textId="4F395B3F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77" w:history="1">
        <w:r w:rsidR="000513BF" w:rsidRPr="00D334D9">
          <w:rPr>
            <w:rStyle w:val="Hyperlink"/>
          </w:rPr>
          <w:t>Publication of submissions and confidentiality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_Toc109050577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1</w:t>
        </w:r>
        <w:r w:rsidR="000513BF">
          <w:rPr>
            <w:webHidden/>
          </w:rPr>
          <w:fldChar w:fldCharType="end"/>
        </w:r>
      </w:hyperlink>
    </w:p>
    <w:p w14:paraId="45A3237F" w14:textId="3959767E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78" w:history="1">
        <w:r w:rsidR="000513BF" w:rsidRPr="00D334D9">
          <w:rPr>
            <w:rStyle w:val="Hyperlink"/>
          </w:rPr>
          <w:t>Continuous consultation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_Toc109050578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1</w:t>
        </w:r>
        <w:r w:rsidR="000513BF">
          <w:rPr>
            <w:webHidden/>
          </w:rPr>
          <w:fldChar w:fldCharType="end"/>
        </w:r>
      </w:hyperlink>
    </w:p>
    <w:p w14:paraId="1E95977B" w14:textId="7581FF89" w:rsidR="000513BF" w:rsidRDefault="00825FCC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09050579" w:history="1">
        <w:r w:rsidR="000513BF" w:rsidRPr="00D334D9">
          <w:rPr>
            <w:rStyle w:val="Hyperlink"/>
          </w:rPr>
          <w:t>Update of guidance material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_Toc109050579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2</w:t>
        </w:r>
        <w:r w:rsidR="000513BF">
          <w:rPr>
            <w:webHidden/>
          </w:rPr>
          <w:fldChar w:fldCharType="end"/>
        </w:r>
      </w:hyperlink>
    </w:p>
    <w:p w14:paraId="6BE10314" w14:textId="613C3045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0" w:history="1">
        <w:r w:rsidR="000513BF" w:rsidRPr="00D334D9">
          <w:rPr>
            <w:rStyle w:val="Hyperlink"/>
          </w:rPr>
          <w:t>Introduction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_Toc109050580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2</w:t>
        </w:r>
        <w:r w:rsidR="000513BF">
          <w:rPr>
            <w:webHidden/>
          </w:rPr>
          <w:fldChar w:fldCharType="end"/>
        </w:r>
      </w:hyperlink>
    </w:p>
    <w:p w14:paraId="323FF55A" w14:textId="5483327B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1" w:history="1">
        <w:r w:rsidR="000513BF" w:rsidRPr="00D334D9">
          <w:rPr>
            <w:rStyle w:val="Hyperlink"/>
          </w:rPr>
          <w:t>Guidance notes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_Toc109050581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2</w:t>
        </w:r>
        <w:r w:rsidR="000513BF">
          <w:rPr>
            <w:webHidden/>
          </w:rPr>
          <w:fldChar w:fldCharType="end"/>
        </w:r>
      </w:hyperlink>
    </w:p>
    <w:p w14:paraId="5AB44480" w14:textId="1CD493F3" w:rsidR="000513BF" w:rsidRDefault="00825FCC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2" w:history="1">
        <w:r w:rsidR="000513BF" w:rsidRPr="00D334D9">
          <w:rPr>
            <w:rStyle w:val="Hyperlink"/>
          </w:rPr>
          <w:t>Purpose of the guidance notes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_Toc109050582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3</w:t>
        </w:r>
        <w:r w:rsidR="000513BF">
          <w:rPr>
            <w:webHidden/>
          </w:rPr>
          <w:fldChar w:fldCharType="end"/>
        </w:r>
      </w:hyperlink>
    </w:p>
    <w:p w14:paraId="50B4D54A" w14:textId="5AB61373" w:rsidR="000513BF" w:rsidRDefault="00825FCC">
      <w:pPr>
        <w:pStyle w:val="TOC3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3" w:history="1">
        <w:r w:rsidR="000513BF" w:rsidRPr="00D334D9">
          <w:rPr>
            <w:rStyle w:val="Hyperlink"/>
          </w:rPr>
          <w:t>What the guidance notes don’t cover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_Toc109050583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3</w:t>
        </w:r>
        <w:r w:rsidR="000513BF">
          <w:rPr>
            <w:webHidden/>
          </w:rPr>
          <w:fldChar w:fldCharType="end"/>
        </w:r>
      </w:hyperlink>
    </w:p>
    <w:p w14:paraId="44675C36" w14:textId="50DBBC79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4" w:history="1">
        <w:r w:rsidR="000513BF" w:rsidRPr="00D334D9">
          <w:rPr>
            <w:rStyle w:val="Hyperlink"/>
          </w:rPr>
          <w:t>Implementation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_Toc109050584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3</w:t>
        </w:r>
        <w:r w:rsidR="000513BF">
          <w:rPr>
            <w:webHidden/>
          </w:rPr>
          <w:fldChar w:fldCharType="end"/>
        </w:r>
      </w:hyperlink>
    </w:p>
    <w:p w14:paraId="4C4965C6" w14:textId="589DCAE8" w:rsidR="000513BF" w:rsidRDefault="00825FCC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09050585" w:history="1">
        <w:r w:rsidR="000513BF" w:rsidRPr="00D334D9">
          <w:rPr>
            <w:rStyle w:val="Hyperlink"/>
          </w:rPr>
          <w:t>Consultation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_Toc109050585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3</w:t>
        </w:r>
        <w:r w:rsidR="000513BF">
          <w:rPr>
            <w:webHidden/>
          </w:rPr>
          <w:fldChar w:fldCharType="end"/>
        </w:r>
      </w:hyperlink>
    </w:p>
    <w:p w14:paraId="36D234D2" w14:textId="6C9EE101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6" w:history="1">
        <w:r w:rsidR="000513BF" w:rsidRPr="00D334D9">
          <w:rPr>
            <w:rStyle w:val="Hyperlink"/>
          </w:rPr>
          <w:t>Comments and feedback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_Toc109050586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3</w:t>
        </w:r>
        <w:r w:rsidR="000513BF">
          <w:rPr>
            <w:webHidden/>
          </w:rPr>
          <w:fldChar w:fldCharType="end"/>
        </w:r>
      </w:hyperlink>
    </w:p>
    <w:p w14:paraId="3941389A" w14:textId="1D38F363" w:rsidR="000513BF" w:rsidRDefault="00825FCC">
      <w:pPr>
        <w:pStyle w:val="TOC2"/>
        <w:rPr>
          <w:rFonts w:asciiTheme="minorHAnsi" w:eastAsiaTheme="minorEastAsia" w:hAnsiTheme="minorHAnsi" w:cstheme="minorBidi"/>
          <w:color w:val="auto"/>
          <w:szCs w:val="22"/>
        </w:rPr>
      </w:pPr>
      <w:hyperlink w:anchor="_Toc109050587" w:history="1">
        <w:r w:rsidR="000513BF" w:rsidRPr="00D334D9">
          <w:rPr>
            <w:rStyle w:val="Hyperlink"/>
          </w:rPr>
          <w:t>Consultation template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_Toc109050587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4</w:t>
        </w:r>
        <w:r w:rsidR="000513BF">
          <w:rPr>
            <w:webHidden/>
          </w:rPr>
          <w:fldChar w:fldCharType="end"/>
        </w:r>
      </w:hyperlink>
    </w:p>
    <w:p w14:paraId="16253D65" w14:textId="4C0EA70C" w:rsidR="000513BF" w:rsidRDefault="00825FCC">
      <w:pPr>
        <w:pStyle w:val="TOC1"/>
        <w:rPr>
          <w:rFonts w:asciiTheme="minorHAnsi" w:eastAsiaTheme="minorEastAsia" w:hAnsiTheme="minorHAnsi" w:cstheme="minorBidi"/>
          <w:b w:val="0"/>
          <w:color w:val="auto"/>
        </w:rPr>
      </w:pPr>
      <w:hyperlink w:anchor="_Toc109050588" w:history="1">
        <w:r w:rsidR="000513BF" w:rsidRPr="00D334D9">
          <w:rPr>
            <w:rStyle w:val="Hyperlink"/>
          </w:rPr>
          <w:t>Appendix 1: Consultation template</w:t>
        </w:r>
        <w:r w:rsidR="000513BF">
          <w:rPr>
            <w:webHidden/>
          </w:rPr>
          <w:tab/>
        </w:r>
        <w:r w:rsidR="000513BF">
          <w:rPr>
            <w:webHidden/>
          </w:rPr>
          <w:fldChar w:fldCharType="begin"/>
        </w:r>
        <w:r w:rsidR="000513BF">
          <w:rPr>
            <w:webHidden/>
          </w:rPr>
          <w:instrText xml:space="preserve"> PAGEREF _Toc109050588 \h </w:instrText>
        </w:r>
        <w:r w:rsidR="000513BF">
          <w:rPr>
            <w:webHidden/>
          </w:rPr>
        </w:r>
        <w:r w:rsidR="000513BF">
          <w:rPr>
            <w:webHidden/>
          </w:rPr>
          <w:fldChar w:fldCharType="separate"/>
        </w:r>
        <w:r w:rsidR="000513BF">
          <w:rPr>
            <w:webHidden/>
          </w:rPr>
          <w:t>5</w:t>
        </w:r>
        <w:r w:rsidR="000513BF">
          <w:rPr>
            <w:webHidden/>
          </w:rPr>
          <w:fldChar w:fldCharType="end"/>
        </w:r>
      </w:hyperlink>
    </w:p>
    <w:p w14:paraId="6B4C5CF1" w14:textId="72AA9AB1" w:rsidR="000E0B74" w:rsidRDefault="00257AEE" w:rsidP="00656356">
      <w:pPr>
        <w:pStyle w:val="SingleParagraph"/>
        <w:tabs>
          <w:tab w:val="right" w:leader="dot" w:pos="9072"/>
        </w:tabs>
        <w:ind w:right="-2"/>
        <w:sectPr w:rsidR="000E0B74" w:rsidSect="00441890">
          <w:headerReference w:type="first" r:id="rId24"/>
          <w:pgSz w:w="11906" w:h="16838" w:code="9"/>
          <w:pgMar w:top="1686" w:right="1080" w:bottom="1440" w:left="1080" w:header="709" w:footer="709" w:gutter="0"/>
          <w:pgNumType w:fmt="lowerRoman"/>
          <w:cols w:space="708"/>
          <w:titlePg/>
          <w:docGrid w:linePitch="360"/>
        </w:sectPr>
      </w:pPr>
      <w:r>
        <w:rPr>
          <w:noProof/>
          <w:color w:val="004A7F"/>
          <w:szCs w:val="22"/>
        </w:rPr>
        <w:fldChar w:fldCharType="end"/>
      </w:r>
    </w:p>
    <w:p w14:paraId="6B96796B" w14:textId="5F94B380" w:rsidR="000E0B74" w:rsidRDefault="000E0B74" w:rsidP="00354FBB">
      <w:pPr>
        <w:pStyle w:val="Heading1"/>
      </w:pPr>
      <w:bookmarkStart w:id="3" w:name="_Toc109050575"/>
      <w:bookmarkStart w:id="4" w:name="_Toc432067103"/>
      <w:r>
        <w:lastRenderedPageBreak/>
        <w:t xml:space="preserve">Consultation </w:t>
      </w:r>
      <w:r w:rsidR="005D2E8A">
        <w:t>p</w:t>
      </w:r>
      <w:r>
        <w:t>rocess</w:t>
      </w:r>
      <w:bookmarkEnd w:id="3"/>
    </w:p>
    <w:p w14:paraId="06BCDF0F" w14:textId="77777777" w:rsidR="000E0B74" w:rsidRDefault="000E0B74" w:rsidP="000E0B74">
      <w:pPr>
        <w:pStyle w:val="Heading2"/>
      </w:pPr>
      <w:bookmarkStart w:id="5" w:name="_Toc109050576"/>
      <w:r>
        <w:t>Request for feedback and comments</w:t>
      </w:r>
      <w:bookmarkEnd w:id="5"/>
    </w:p>
    <w:p w14:paraId="16C5E631" w14:textId="347FBF88" w:rsidR="000E0B74" w:rsidRDefault="00EA7202" w:rsidP="000E0B74">
      <w:r>
        <w:t xml:space="preserve">Interested parties are invited to </w:t>
      </w:r>
      <w:r w:rsidR="00EA6C80">
        <w:t xml:space="preserve">provide feedback on 3 draft guidance notes </w:t>
      </w:r>
      <w:r w:rsidR="00FA6551">
        <w:t xml:space="preserve">using the template </w:t>
      </w:r>
      <w:r w:rsidR="00733B29">
        <w:t xml:space="preserve">in </w:t>
      </w:r>
      <w:hyperlink w:anchor="_Appendix:_Consultation_template" w:history="1">
        <w:r w:rsidR="00733B29" w:rsidRPr="00DB5980">
          <w:rPr>
            <w:rStyle w:val="Hyperlink"/>
          </w:rPr>
          <w:t>Appendix</w:t>
        </w:r>
        <w:r w:rsidR="00973AA1">
          <w:rPr>
            <w:rStyle w:val="Hyperlink"/>
          </w:rPr>
          <w:t> </w:t>
        </w:r>
        <w:r w:rsidR="00733B29" w:rsidRPr="00DB5980">
          <w:rPr>
            <w:rStyle w:val="Hyperlink"/>
          </w:rPr>
          <w:t>1</w:t>
        </w:r>
      </w:hyperlink>
      <w:r w:rsidR="00DB5980">
        <w:t xml:space="preserve">. </w:t>
      </w:r>
      <w:r w:rsidR="0093298E">
        <w:t xml:space="preserve">Consultation </w:t>
      </w:r>
      <w:r w:rsidR="00DB5980">
        <w:t>will close on</w:t>
      </w:r>
      <w:r>
        <w:t xml:space="preserve"> </w:t>
      </w:r>
      <w:r w:rsidR="007404A3" w:rsidRPr="004C0C8E">
        <w:t>Friday 2 September 2022</w:t>
      </w:r>
      <w:r w:rsidR="009B00B6" w:rsidRPr="004C0C8E">
        <w:t>.</w:t>
      </w:r>
      <w:r w:rsidR="009B00B6">
        <w:t xml:space="preserve"> </w:t>
      </w:r>
    </w:p>
    <w:p w14:paraId="5C97FE0E" w14:textId="1214D764" w:rsidR="00EA7202" w:rsidRDefault="00EA7202" w:rsidP="00EA7202">
      <w:r w:rsidRPr="00EA7202">
        <w:t>While submissions may be lodged electronically or by post, electronic lodgement is preferred. For accessibility reasons, please submit responses in a Word or RTF format</w:t>
      </w:r>
      <w:r w:rsidR="00D02B8C">
        <w:t xml:space="preserve"> via email</w:t>
      </w:r>
      <w:r w:rsidRPr="00EA7202">
        <w:t>. An additional PDF version may also be submitted.</w:t>
      </w:r>
    </w:p>
    <w:p w14:paraId="6F55FFA7" w14:textId="4FF8D623" w:rsidR="000F63CE" w:rsidRPr="00EA7202" w:rsidRDefault="000F63CE" w:rsidP="000F63CE">
      <w:pPr>
        <w:pStyle w:val="Heading2"/>
      </w:pPr>
      <w:bookmarkStart w:id="6" w:name="_Toc109050577"/>
      <w:r>
        <w:t>Publication of submissions and confidentiality</w:t>
      </w:r>
      <w:bookmarkEnd w:id="6"/>
    </w:p>
    <w:p w14:paraId="5AEBBC42" w14:textId="3F7481C8" w:rsidR="00EA7202" w:rsidRPr="00EA7202" w:rsidRDefault="00EA7202" w:rsidP="00EA7202">
      <w:r w:rsidRPr="00EA7202">
        <w:t xml:space="preserve">All information (including name and address details) contained in formal submissions may be made available to the public on </w:t>
      </w:r>
      <w:hyperlink r:id="rId25" w:history="1">
        <w:r w:rsidR="002511CA">
          <w:rPr>
            <w:rStyle w:val="Hyperlink"/>
          </w:rPr>
          <w:t>the Treasury</w:t>
        </w:r>
      </w:hyperlink>
      <w:r w:rsidRPr="00EA7202">
        <w:t xml:space="preserve"> website</w:t>
      </w:r>
      <w:r w:rsidR="008429B1">
        <w:t xml:space="preserve"> or the </w:t>
      </w:r>
      <w:hyperlink r:id="rId26" w:history="1">
        <w:r w:rsidR="009F1944" w:rsidRPr="009F1944">
          <w:rPr>
            <w:rStyle w:val="Hyperlink"/>
          </w:rPr>
          <w:t>Payment Times Reporting Scheme</w:t>
        </w:r>
      </w:hyperlink>
      <w:r w:rsidR="009F1944">
        <w:t xml:space="preserve"> </w:t>
      </w:r>
      <w:r w:rsidR="008429B1">
        <w:t>website</w:t>
      </w:r>
      <w:r w:rsidRPr="00EA7202">
        <w:t>, unless you indicate that you would like all</w:t>
      </w:r>
      <w:r w:rsidR="0096535F">
        <w:t>,</w:t>
      </w:r>
      <w:r w:rsidRPr="00EA7202">
        <w:t xml:space="preserve"> or part of your submission to remain confidential. Automatically generated confidentiality statements in emails do not </w:t>
      </w:r>
      <w:r w:rsidR="00A72C7F">
        <w:t>meet</w:t>
      </w:r>
      <w:r w:rsidRPr="00EA7202">
        <w:t xml:space="preserve"> this purpose. Respondents who would like part of their submission to remain confidential should </w:t>
      </w:r>
      <w:r w:rsidR="0096535F">
        <w:t>state this clearly in the submission email or letter</w:t>
      </w:r>
      <w:r w:rsidRPr="00EA7202">
        <w:t>.</w:t>
      </w:r>
    </w:p>
    <w:p w14:paraId="6242E66E" w14:textId="110AC900" w:rsidR="00EA7202" w:rsidRDefault="00EA7202" w:rsidP="00EA7202">
      <w:r w:rsidRPr="00EA7202">
        <w:t xml:space="preserve">Legal requirements, such as those </w:t>
      </w:r>
      <w:r>
        <w:t xml:space="preserve">imposed by the </w:t>
      </w:r>
      <w:hyperlink r:id="rId27" w:history="1">
        <w:r w:rsidRPr="0096535F">
          <w:rPr>
            <w:rStyle w:val="Hyperlink"/>
            <w:i/>
            <w:iCs/>
          </w:rPr>
          <w:t>Freedom of Information Act 1982</w:t>
        </w:r>
      </w:hyperlink>
      <w:r>
        <w:t>, may affect the confidentiality of your submission.</w:t>
      </w:r>
    </w:p>
    <w:p w14:paraId="0FE5AEEA" w14:textId="6266ED11" w:rsidR="000F63CE" w:rsidRDefault="007D1F9F" w:rsidP="000F63CE">
      <w:pPr>
        <w:pStyle w:val="Heading2"/>
      </w:pPr>
      <w:bookmarkStart w:id="7" w:name="_Toc109050578"/>
      <w:r>
        <w:t>Continuous consultation</w:t>
      </w:r>
      <w:bookmarkEnd w:id="7"/>
    </w:p>
    <w:p w14:paraId="75E487EF" w14:textId="2596EF9A" w:rsidR="000F63CE" w:rsidRDefault="00964918" w:rsidP="00EA7202">
      <w:r>
        <w:t>Although the</w:t>
      </w:r>
      <w:r w:rsidR="0096535F">
        <w:t>re is a close date for th</w:t>
      </w:r>
      <w:r w:rsidR="00A72C7F">
        <w:t>is</w:t>
      </w:r>
      <w:r w:rsidR="0096535F">
        <w:t xml:space="preserve"> consultation</w:t>
      </w:r>
      <w:r>
        <w:t xml:space="preserve">, we encourage </w:t>
      </w:r>
      <w:r w:rsidR="00D14775">
        <w:t xml:space="preserve">continuous </w:t>
      </w:r>
      <w:r w:rsidR="00EA6C80">
        <w:t>feedback</w:t>
      </w:r>
      <w:r w:rsidR="00D14775">
        <w:t xml:space="preserve"> </w:t>
      </w:r>
      <w:r w:rsidR="00EA6C80">
        <w:t xml:space="preserve">from </w:t>
      </w:r>
      <w:r w:rsidR="00D14775">
        <w:t xml:space="preserve">regulated entities and </w:t>
      </w:r>
      <w:r w:rsidR="000F63CE">
        <w:t xml:space="preserve">other interested parties. </w:t>
      </w:r>
      <w:r w:rsidR="009E7F11">
        <w:t xml:space="preserve">Feedback and comments on guidance material, information sheets and other regulatory resources </w:t>
      </w:r>
      <w:r w:rsidR="00120160">
        <w:t xml:space="preserve">can be provided at </w:t>
      </w:r>
      <w:r w:rsidR="00926C5C">
        <w:t xml:space="preserve">any time </w:t>
      </w:r>
      <w:r w:rsidR="0096535F">
        <w:t xml:space="preserve">through the </w:t>
      </w:r>
      <w:hyperlink r:id="rId28" w:history="1">
        <w:r w:rsidR="009F1944">
          <w:rPr>
            <w:rStyle w:val="Hyperlink"/>
          </w:rPr>
          <w:t>Payment Times Reporting Scheme</w:t>
        </w:r>
      </w:hyperlink>
      <w:r w:rsidR="0096535F">
        <w:t xml:space="preserve"> website</w:t>
      </w:r>
      <w:r w:rsidR="000F63CE">
        <w:t>.</w:t>
      </w:r>
    </w:p>
    <w:p w14:paraId="411CB1EE" w14:textId="6BB3E5A8" w:rsidR="000E0B74" w:rsidRDefault="000E0B74" w:rsidP="00EA7202">
      <w:pPr>
        <w:pStyle w:val="Heading3noTOC"/>
      </w:pPr>
      <w:r w:rsidRPr="004C0C8E">
        <w:t xml:space="preserve">Closing date for submissions: </w:t>
      </w:r>
      <w:sdt>
        <w:sdtPr>
          <w:id w:val="1454836312"/>
          <w:placeholder>
            <w:docPart w:val="3B2B968436974ACEBBAD61F6C6D4B286"/>
          </w:placeholder>
          <w:date w:fullDate="2022-09-02T00:00:00Z">
            <w:dateFormat w:val="dd MMMM yyyy"/>
            <w:lid w:val="en-AU"/>
            <w:storeMappedDataAs w:val="dateTime"/>
            <w:calendar w:val="gregorian"/>
          </w:date>
        </w:sdtPr>
        <w:sdtEndPr/>
        <w:sdtContent>
          <w:r w:rsidR="007404A3" w:rsidRPr="004C0C8E">
            <w:t>02 September 2022</w:t>
          </w:r>
        </w:sdtContent>
      </w:sdt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7"/>
        <w:gridCol w:w="7553"/>
      </w:tblGrid>
      <w:tr w:rsidR="00E163D8" w:rsidRPr="00B85F47" w14:paraId="0066D762" w14:textId="77777777" w:rsidTr="00251DA1">
        <w:tc>
          <w:tcPr>
            <w:tcW w:w="1517" w:type="dxa"/>
            <w:shd w:val="clear" w:color="auto" w:fill="002C47"/>
          </w:tcPr>
          <w:bookmarkEnd w:id="4"/>
          <w:p w14:paraId="35D18E38" w14:textId="77777777" w:rsidR="00E163D8" w:rsidRPr="00251DA1" w:rsidRDefault="00E163D8" w:rsidP="00251DA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51DA1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553" w:type="dxa"/>
            <w:shd w:val="clear" w:color="auto" w:fill="auto"/>
          </w:tcPr>
          <w:p w14:paraId="4349C712" w14:textId="4A102B10" w:rsidR="00E163D8" w:rsidRPr="00B85F47" w:rsidRDefault="00825FCC" w:rsidP="00251DA1">
            <w:pPr>
              <w:spacing w:before="0" w:after="0"/>
              <w:rPr>
                <w:sz w:val="22"/>
                <w:szCs w:val="22"/>
              </w:rPr>
            </w:pPr>
            <w:hyperlink r:id="rId29" w:history="1">
              <w:r w:rsidR="00E163D8" w:rsidRPr="0096535F">
                <w:rPr>
                  <w:rStyle w:val="Hyperlink"/>
                  <w:sz w:val="22"/>
                  <w:szCs w:val="22"/>
                </w:rPr>
                <w:t>support@paymenttimes.gov.au</w:t>
              </w:r>
            </w:hyperlink>
          </w:p>
        </w:tc>
      </w:tr>
      <w:tr w:rsidR="00E163D8" w:rsidRPr="00B85F47" w14:paraId="53C780CD" w14:textId="77777777" w:rsidTr="00251DA1">
        <w:tc>
          <w:tcPr>
            <w:tcW w:w="1517" w:type="dxa"/>
            <w:shd w:val="clear" w:color="auto" w:fill="002C47"/>
          </w:tcPr>
          <w:p w14:paraId="046175EA" w14:textId="77777777" w:rsidR="00E163D8" w:rsidRPr="00251DA1" w:rsidRDefault="00E163D8" w:rsidP="00251DA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51DA1">
              <w:rPr>
                <w:b/>
                <w:bCs/>
                <w:color w:val="FFFFFF" w:themeColor="background1"/>
                <w:sz w:val="22"/>
                <w:szCs w:val="22"/>
              </w:rPr>
              <w:t>Mail</w:t>
            </w:r>
          </w:p>
          <w:p w14:paraId="29F5450A" w14:textId="77777777" w:rsidR="00E163D8" w:rsidRPr="00251DA1" w:rsidRDefault="00E163D8" w:rsidP="00251DA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16646DE" w14:textId="77777777" w:rsidR="00E163D8" w:rsidRPr="00251DA1" w:rsidRDefault="00E163D8" w:rsidP="00251DA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53" w:type="dxa"/>
            <w:shd w:val="clear" w:color="auto" w:fill="auto"/>
          </w:tcPr>
          <w:p w14:paraId="66C8AFEA" w14:textId="77777777" w:rsidR="00E163D8" w:rsidRPr="00B85F47" w:rsidRDefault="00E163D8" w:rsidP="0096535F">
            <w:pPr>
              <w:pStyle w:val="SingleParagrap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Payment Performance</w:t>
            </w:r>
            <w:r w:rsidRPr="00E62534">
              <w:rPr>
                <w:rFonts w:cs="Arial"/>
                <w:sz w:val="22"/>
                <w:szCs w:val="22"/>
              </w:rPr>
              <w:t xml:space="preserve"> Branch</w:t>
            </w:r>
          </w:p>
          <w:p w14:paraId="3C118B1C" w14:textId="77777777" w:rsidR="00E163D8" w:rsidRPr="00B85F47" w:rsidRDefault="00E163D8" w:rsidP="0096535F">
            <w:pPr>
              <w:pStyle w:val="SingleParagrap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Small and Family Business </w:t>
            </w:r>
            <w:r w:rsidRPr="00E62534">
              <w:rPr>
                <w:rFonts w:cs="Arial"/>
                <w:sz w:val="22"/>
                <w:szCs w:val="22"/>
              </w:rPr>
              <w:t>Division</w:t>
            </w:r>
          </w:p>
          <w:p w14:paraId="0812889E" w14:textId="77777777" w:rsidR="00E163D8" w:rsidRPr="00B85F47" w:rsidRDefault="00E163D8" w:rsidP="00251DA1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B85F47">
              <w:rPr>
                <w:rFonts w:cs="Arial"/>
                <w:sz w:val="22"/>
                <w:szCs w:val="22"/>
              </w:rPr>
              <w:t>The Treasury</w:t>
            </w:r>
          </w:p>
          <w:p w14:paraId="4A0FC7E6" w14:textId="77777777" w:rsidR="00E163D8" w:rsidRPr="00B85F47" w:rsidRDefault="00E163D8" w:rsidP="00251DA1">
            <w:pPr>
              <w:pStyle w:val="SingleParagraph"/>
              <w:rPr>
                <w:rFonts w:cs="Arial"/>
                <w:sz w:val="22"/>
                <w:szCs w:val="22"/>
              </w:rPr>
            </w:pPr>
            <w:r w:rsidRPr="00B85F47">
              <w:rPr>
                <w:rFonts w:cs="Arial"/>
                <w:sz w:val="22"/>
                <w:szCs w:val="22"/>
              </w:rPr>
              <w:t>Langton Crescent</w:t>
            </w:r>
          </w:p>
          <w:p w14:paraId="7139DC5B" w14:textId="5A74ACBA" w:rsidR="00E163D8" w:rsidRPr="00B85F47" w:rsidRDefault="00E163D8" w:rsidP="00251DA1">
            <w:pPr>
              <w:pStyle w:val="SingleParagraph"/>
              <w:rPr>
                <w:sz w:val="22"/>
                <w:szCs w:val="22"/>
              </w:rPr>
            </w:pPr>
            <w:r w:rsidRPr="00B85F47">
              <w:rPr>
                <w:sz w:val="22"/>
                <w:szCs w:val="22"/>
              </w:rPr>
              <w:t>PARKES ACT 2600</w:t>
            </w:r>
          </w:p>
        </w:tc>
      </w:tr>
      <w:tr w:rsidR="00E163D8" w:rsidRPr="00B85F47" w14:paraId="5504135D" w14:textId="77777777" w:rsidTr="00251DA1">
        <w:tc>
          <w:tcPr>
            <w:tcW w:w="1517" w:type="dxa"/>
            <w:shd w:val="clear" w:color="auto" w:fill="002C47"/>
          </w:tcPr>
          <w:p w14:paraId="27A50820" w14:textId="77777777" w:rsidR="00E163D8" w:rsidRPr="00251DA1" w:rsidRDefault="00E163D8" w:rsidP="00251DA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51DA1">
              <w:rPr>
                <w:b/>
                <w:bCs/>
                <w:color w:val="FFFFFF" w:themeColor="background1"/>
                <w:sz w:val="22"/>
                <w:szCs w:val="22"/>
              </w:rPr>
              <w:t>Enquiries</w:t>
            </w:r>
          </w:p>
        </w:tc>
        <w:tc>
          <w:tcPr>
            <w:tcW w:w="7553" w:type="dxa"/>
            <w:shd w:val="clear" w:color="auto" w:fill="auto"/>
          </w:tcPr>
          <w:p w14:paraId="2A1A7B97" w14:textId="17B8666B" w:rsidR="00E163D8" w:rsidRPr="00B85F47" w:rsidRDefault="00E163D8" w:rsidP="00251DA1">
            <w:pPr>
              <w:spacing w:before="0" w:after="0"/>
              <w:rPr>
                <w:sz w:val="22"/>
                <w:szCs w:val="22"/>
              </w:rPr>
            </w:pPr>
            <w:r w:rsidRPr="00B85F47">
              <w:rPr>
                <w:rFonts w:cs="Arial"/>
                <w:sz w:val="22"/>
                <w:szCs w:val="22"/>
              </w:rPr>
              <w:t xml:space="preserve">Enquiries can be initially directed to </w:t>
            </w:r>
            <w:hyperlink r:id="rId30" w:history="1">
              <w:r w:rsidRPr="0096535F">
                <w:rPr>
                  <w:rStyle w:val="Hyperlink"/>
                  <w:sz w:val="22"/>
                  <w:szCs w:val="22"/>
                </w:rPr>
                <w:t>support@paymenttimes.gov.au</w:t>
              </w:r>
            </w:hyperlink>
          </w:p>
        </w:tc>
      </w:tr>
    </w:tbl>
    <w:p w14:paraId="31668966" w14:textId="77777777" w:rsidR="008D7F38" w:rsidRPr="008D7F38" w:rsidRDefault="008D7F38" w:rsidP="008D7F38"/>
    <w:p w14:paraId="677BC7D0" w14:textId="77777777" w:rsidR="009B7AA4" w:rsidRDefault="009B7AA4">
      <w:pPr>
        <w:spacing w:before="0" w:after="160"/>
        <w:rPr>
          <w:rFonts w:cs="Arial"/>
          <w:color w:val="002C47" w:themeColor="accent1"/>
          <w:kern w:val="32"/>
          <w:sz w:val="48"/>
          <w:szCs w:val="36"/>
        </w:rPr>
      </w:pPr>
      <w:r>
        <w:br w:type="page"/>
      </w:r>
    </w:p>
    <w:p w14:paraId="0379426D" w14:textId="13850B55" w:rsidR="00231D7D" w:rsidRPr="00926C5C" w:rsidRDefault="00F353AD" w:rsidP="00926C5C">
      <w:pPr>
        <w:pStyle w:val="Heading1"/>
      </w:pPr>
      <w:bookmarkStart w:id="8" w:name="_Toc109050579"/>
      <w:r>
        <w:lastRenderedPageBreak/>
        <w:t>Update of guidance materia</w:t>
      </w:r>
      <w:r w:rsidR="00926C5C">
        <w:t>l</w:t>
      </w:r>
      <w:bookmarkEnd w:id="8"/>
    </w:p>
    <w:p w14:paraId="5DC8A7AB" w14:textId="70E63121" w:rsidR="00D7795D" w:rsidRDefault="00F353AD" w:rsidP="00F353AD">
      <w:pPr>
        <w:pStyle w:val="Heading2"/>
      </w:pPr>
      <w:bookmarkStart w:id="9" w:name="_Toc109050580"/>
      <w:r>
        <w:t>Introduction</w:t>
      </w:r>
      <w:bookmarkEnd w:id="9"/>
    </w:p>
    <w:p w14:paraId="76AC50A0" w14:textId="52935894" w:rsidR="00F353AD" w:rsidRDefault="00F353AD" w:rsidP="00F353AD">
      <w:r>
        <w:t>The Payment Times Reporting Regulator administer</w:t>
      </w:r>
      <w:r w:rsidR="008311D0">
        <w:t>s</w:t>
      </w:r>
      <w:r>
        <w:t xml:space="preserve"> the </w:t>
      </w:r>
      <w:hyperlink r:id="rId31" w:history="1">
        <w:r w:rsidRPr="00251DA1">
          <w:rPr>
            <w:rStyle w:val="Hyperlink"/>
            <w:i/>
            <w:iCs/>
          </w:rPr>
          <w:t>Payment Times Reporting Act 2020</w:t>
        </w:r>
      </w:hyperlink>
      <w:r>
        <w:t xml:space="preserve"> (the </w:t>
      </w:r>
      <w:r w:rsidRPr="00251DA1">
        <w:rPr>
          <w:rStyle w:val="Strong"/>
        </w:rPr>
        <w:t>Act</w:t>
      </w:r>
      <w:r>
        <w:t>)</w:t>
      </w:r>
      <w:r w:rsidR="00251DA1">
        <w:t xml:space="preserve">. </w:t>
      </w:r>
      <w:r>
        <w:t xml:space="preserve">The Act requires large businesses operating in Australia to report </w:t>
      </w:r>
      <w:r w:rsidR="00B14D92">
        <w:t xml:space="preserve">on </w:t>
      </w:r>
      <w:r w:rsidR="00162A1A">
        <w:t xml:space="preserve">their </w:t>
      </w:r>
      <w:r w:rsidR="00805B19">
        <w:t xml:space="preserve">payment practices </w:t>
      </w:r>
      <w:r w:rsidR="00EF2F7D">
        <w:t xml:space="preserve">with </w:t>
      </w:r>
      <w:r w:rsidR="00B14D92">
        <w:t xml:space="preserve">Australian </w:t>
      </w:r>
      <w:r w:rsidR="00805B19">
        <w:t>small business suppliers.</w:t>
      </w:r>
    </w:p>
    <w:p w14:paraId="7FB986C1" w14:textId="1387CEBB" w:rsidR="003201A2" w:rsidRDefault="00457F33" w:rsidP="00F353AD">
      <w:r>
        <w:t>The Act commenced on 1 January 2021</w:t>
      </w:r>
      <w:r w:rsidR="00582A3C">
        <w:t>.</w:t>
      </w:r>
      <w:r>
        <w:t xml:space="preserve"> </w:t>
      </w:r>
      <w:r w:rsidR="00582A3C">
        <w:t>M</w:t>
      </w:r>
      <w:r>
        <w:t xml:space="preserve">ost </w:t>
      </w:r>
      <w:r w:rsidR="00B14D92">
        <w:t xml:space="preserve">reporting </w:t>
      </w:r>
      <w:r>
        <w:t xml:space="preserve">entities have </w:t>
      </w:r>
      <w:r w:rsidR="008311D0">
        <w:t xml:space="preserve">already </w:t>
      </w:r>
      <w:r w:rsidR="00844DD7">
        <w:t xml:space="preserve">submitted </w:t>
      </w:r>
      <w:r w:rsidR="008311D0">
        <w:t>2</w:t>
      </w:r>
      <w:r w:rsidR="00844DD7">
        <w:t xml:space="preserve"> payment times reports </w:t>
      </w:r>
      <w:r w:rsidR="00191419">
        <w:t xml:space="preserve">and will </w:t>
      </w:r>
      <w:r w:rsidR="00DA215E">
        <w:t xml:space="preserve">be </w:t>
      </w:r>
      <w:r w:rsidR="00AC0780">
        <w:t xml:space="preserve">preparing </w:t>
      </w:r>
      <w:r w:rsidR="008311D0">
        <w:t>their</w:t>
      </w:r>
      <w:r w:rsidR="00DA215E">
        <w:t xml:space="preserve"> </w:t>
      </w:r>
      <w:r w:rsidR="00E24CE4">
        <w:t>third</w:t>
      </w:r>
      <w:r w:rsidR="008311D0">
        <w:t xml:space="preserve"> report</w:t>
      </w:r>
      <w:r w:rsidR="00251DA1">
        <w:t xml:space="preserve">. </w:t>
      </w:r>
      <w:r w:rsidR="00CD49B7">
        <w:t xml:space="preserve">To date, </w:t>
      </w:r>
      <w:r w:rsidR="008311D0">
        <w:t>around</w:t>
      </w:r>
      <w:r w:rsidR="00CD49B7">
        <w:t xml:space="preserve"> 16,000 payment times reports have been lodged and published to the </w:t>
      </w:r>
      <w:hyperlink r:id="rId32" w:history="1">
        <w:r w:rsidR="00CD49B7" w:rsidRPr="00582A3C">
          <w:rPr>
            <w:rStyle w:val="Hyperlink"/>
          </w:rPr>
          <w:t>Payment Times Report</w:t>
        </w:r>
        <w:r w:rsidR="009F1944">
          <w:rPr>
            <w:rStyle w:val="Hyperlink"/>
          </w:rPr>
          <w:t>s</w:t>
        </w:r>
        <w:r w:rsidR="00CD49B7" w:rsidRPr="00582A3C">
          <w:rPr>
            <w:rStyle w:val="Hyperlink"/>
          </w:rPr>
          <w:t xml:space="preserve"> Register</w:t>
        </w:r>
      </w:hyperlink>
      <w:r w:rsidR="00CD49B7">
        <w:t>.</w:t>
      </w:r>
    </w:p>
    <w:p w14:paraId="49018391" w14:textId="1EBB88A0" w:rsidR="00582A3C" w:rsidRDefault="000F1832" w:rsidP="00F353AD">
      <w:r>
        <w:t>Since the commencement of the scheme</w:t>
      </w:r>
      <w:r w:rsidR="00C37E8E">
        <w:t>,</w:t>
      </w:r>
      <w:r>
        <w:t xml:space="preserve"> </w:t>
      </w:r>
      <w:r w:rsidR="001865D0">
        <w:t xml:space="preserve">we have received a high number of enquiries </w:t>
      </w:r>
      <w:r w:rsidR="009E565F">
        <w:t xml:space="preserve">from reporting entities and their advisers </w:t>
      </w:r>
      <w:r w:rsidR="005C53CB">
        <w:t xml:space="preserve">regarding </w:t>
      </w:r>
      <w:r w:rsidR="00FB5D1A">
        <w:t xml:space="preserve">administration of </w:t>
      </w:r>
      <w:r w:rsidR="005C53CB">
        <w:t xml:space="preserve">the Act, including </w:t>
      </w:r>
      <w:r w:rsidR="008311D0">
        <w:t>req</w:t>
      </w:r>
      <w:r w:rsidR="00106AED">
        <w:t>uests for:</w:t>
      </w:r>
    </w:p>
    <w:p w14:paraId="4619326B" w14:textId="4E2F1C62" w:rsidR="00582A3C" w:rsidRDefault="00FB5D1A" w:rsidP="005A0085">
      <w:pPr>
        <w:pStyle w:val="ListParagraph"/>
      </w:pPr>
      <w:r>
        <w:t xml:space="preserve">assistance to determine </w:t>
      </w:r>
      <w:r w:rsidR="00265D92">
        <w:t>whether an entity is required to report</w:t>
      </w:r>
    </w:p>
    <w:p w14:paraId="2EED3EEA" w14:textId="761EEC65" w:rsidR="00582A3C" w:rsidRDefault="00303086" w:rsidP="005A0085">
      <w:pPr>
        <w:pStyle w:val="ListParagraph"/>
      </w:pPr>
      <w:r>
        <w:t xml:space="preserve">information on </w:t>
      </w:r>
      <w:r w:rsidR="00265D92">
        <w:t>reporting requirements</w:t>
      </w:r>
    </w:p>
    <w:p w14:paraId="3AE8D6C6" w14:textId="0CB27942" w:rsidR="00E30F2A" w:rsidRDefault="00303086" w:rsidP="005A0085">
      <w:pPr>
        <w:pStyle w:val="ListParagraph"/>
      </w:pPr>
      <w:r>
        <w:t xml:space="preserve">details on how </w:t>
      </w:r>
      <w:r w:rsidR="00265D92">
        <w:t>to make an application</w:t>
      </w:r>
      <w:r w:rsidR="00251DA1">
        <w:t>.</w:t>
      </w:r>
    </w:p>
    <w:p w14:paraId="7CB45838" w14:textId="243BA3A2" w:rsidR="00E24CE4" w:rsidRDefault="00E30F2A" w:rsidP="00F353AD">
      <w:r>
        <w:t xml:space="preserve">Since commencement of the enforcement powers under the Act </w:t>
      </w:r>
      <w:r w:rsidR="00106AED">
        <w:t xml:space="preserve">on 1 January 2022, </w:t>
      </w:r>
      <w:r>
        <w:t>we have als</w:t>
      </w:r>
      <w:r w:rsidR="0064635C">
        <w:t>o</w:t>
      </w:r>
      <w:r>
        <w:t xml:space="preserve"> received </w:t>
      </w:r>
      <w:r w:rsidR="00700FBF">
        <w:t>several</w:t>
      </w:r>
      <w:r>
        <w:t xml:space="preserve"> enquiries </w:t>
      </w:r>
      <w:r w:rsidR="0064635C">
        <w:t xml:space="preserve">concerning compliance activities. </w:t>
      </w:r>
    </w:p>
    <w:p w14:paraId="00B26304" w14:textId="3BD16F07" w:rsidR="00555326" w:rsidRDefault="00D91649" w:rsidP="00F353AD">
      <w:r>
        <w:t xml:space="preserve">From our screening of payment times reports and </w:t>
      </w:r>
      <w:r w:rsidR="009E565F">
        <w:t xml:space="preserve">reviewing the enquiries received, </w:t>
      </w:r>
      <w:r>
        <w:t xml:space="preserve">we </w:t>
      </w:r>
      <w:r w:rsidR="00106AED">
        <w:t xml:space="preserve">have </w:t>
      </w:r>
      <w:r>
        <w:t xml:space="preserve">identified a </w:t>
      </w:r>
      <w:r w:rsidR="00325E5D">
        <w:t xml:space="preserve">need for updated </w:t>
      </w:r>
      <w:r w:rsidR="005431C0">
        <w:t xml:space="preserve">regulatory resources </w:t>
      </w:r>
      <w:r w:rsidR="009E565F">
        <w:t xml:space="preserve">to </w:t>
      </w:r>
      <w:r w:rsidR="00325E5D">
        <w:t xml:space="preserve">assist reporting entities </w:t>
      </w:r>
      <w:r w:rsidR="00512E45">
        <w:t xml:space="preserve">to meet their </w:t>
      </w:r>
      <w:r w:rsidR="009E565F">
        <w:t>obligations and</w:t>
      </w:r>
      <w:r w:rsidR="00512E45">
        <w:t xml:space="preserve"> </w:t>
      </w:r>
      <w:r w:rsidR="00106AED">
        <w:t xml:space="preserve">understand </w:t>
      </w:r>
      <w:r w:rsidR="00165A38">
        <w:t xml:space="preserve">our expectations </w:t>
      </w:r>
      <w:r w:rsidR="00BC6799">
        <w:t>when undertaking compliance activities</w:t>
      </w:r>
      <w:r w:rsidR="00325E5D">
        <w:t>.</w:t>
      </w:r>
    </w:p>
    <w:p w14:paraId="2C715F5E" w14:textId="703D2856" w:rsidR="00D7795D" w:rsidRDefault="00531C30" w:rsidP="00F353AD">
      <w:pPr>
        <w:pStyle w:val="Heading2"/>
      </w:pPr>
      <w:bookmarkStart w:id="10" w:name="_Toc109050581"/>
      <w:r>
        <w:t>Guidance notes</w:t>
      </w:r>
      <w:bookmarkEnd w:id="10"/>
    </w:p>
    <w:p w14:paraId="747E7B8E" w14:textId="6C9D3E7A" w:rsidR="006454FB" w:rsidRDefault="00606BB9" w:rsidP="00B2115A">
      <w:r>
        <w:t xml:space="preserve">In response to the need for updated regulatory resources we have prepared </w:t>
      </w:r>
      <w:r w:rsidR="00952E59">
        <w:t>3</w:t>
      </w:r>
      <w:r>
        <w:t xml:space="preserve"> </w:t>
      </w:r>
      <w:r w:rsidR="00350B9A">
        <w:t xml:space="preserve">draft </w:t>
      </w:r>
      <w:r>
        <w:t>guidance notes</w:t>
      </w:r>
      <w:r w:rsidR="006454FB">
        <w:t>:</w:t>
      </w:r>
    </w:p>
    <w:tbl>
      <w:tblPr>
        <w:tblW w:w="508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20" w:firstRow="1" w:lastRow="0" w:firstColumn="0" w:lastColumn="0" w:noHBand="0" w:noVBand="1"/>
      </w:tblPr>
      <w:tblGrid>
        <w:gridCol w:w="3040"/>
        <w:gridCol w:w="6862"/>
      </w:tblGrid>
      <w:tr w:rsidR="007322F0" w:rsidRPr="00E65906" w14:paraId="04095599" w14:textId="77777777" w:rsidTr="00952E59">
        <w:trPr>
          <w:trHeight w:val="137"/>
        </w:trPr>
        <w:tc>
          <w:tcPr>
            <w:tcW w:w="1535" w:type="pct"/>
            <w:shd w:val="clear" w:color="auto" w:fill="002C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F23C3" w14:textId="3959DAD3" w:rsidR="007322F0" w:rsidRPr="00952E59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</w:rPr>
            </w:pPr>
            <w:r w:rsidRPr="00952E59">
              <w:rPr>
                <w:b/>
                <w:bCs/>
                <w:color w:val="FFFFFF" w:themeColor="background1"/>
              </w:rPr>
              <w:t xml:space="preserve">Guidance </w:t>
            </w:r>
            <w:r w:rsidR="00952E59">
              <w:rPr>
                <w:b/>
                <w:bCs/>
                <w:color w:val="FFFFFF" w:themeColor="background1"/>
              </w:rPr>
              <w:t>n</w:t>
            </w:r>
            <w:r w:rsidRPr="00952E59">
              <w:rPr>
                <w:b/>
                <w:bCs/>
                <w:color w:val="FFFFFF" w:themeColor="background1"/>
              </w:rPr>
              <w:t>ote</w:t>
            </w:r>
          </w:p>
        </w:tc>
        <w:tc>
          <w:tcPr>
            <w:tcW w:w="3465" w:type="pct"/>
            <w:shd w:val="clear" w:color="auto" w:fill="002C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BB05B" w14:textId="0F9E7991" w:rsidR="007322F0" w:rsidRPr="00952E59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</w:rPr>
            </w:pPr>
            <w:r w:rsidRPr="00952E59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7322F0" w14:paraId="3D87B1ED" w14:textId="77777777" w:rsidTr="00952E59">
        <w:trPr>
          <w:trHeight w:val="381"/>
        </w:trPr>
        <w:tc>
          <w:tcPr>
            <w:tcW w:w="1535" w:type="pct"/>
            <w:shd w:val="clear" w:color="auto" w:fill="E7F6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C9D2E" w14:textId="14FA9374" w:rsidR="007322F0" w:rsidRPr="00F52612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b/>
                <w:bCs/>
                <w:sz w:val="20"/>
              </w:rPr>
              <w:t xml:space="preserve">Guidance </w:t>
            </w:r>
            <w:r w:rsidR="00952E59">
              <w:rPr>
                <w:b/>
                <w:bCs/>
                <w:sz w:val="20"/>
              </w:rPr>
              <w:t>n</w:t>
            </w:r>
            <w:r w:rsidRPr="001B1B64">
              <w:rPr>
                <w:b/>
                <w:bCs/>
                <w:sz w:val="20"/>
              </w:rPr>
              <w:t xml:space="preserve">ote 1: Key </w:t>
            </w:r>
            <w:r w:rsidR="00952E59">
              <w:rPr>
                <w:b/>
                <w:bCs/>
                <w:sz w:val="20"/>
              </w:rPr>
              <w:t>c</w:t>
            </w:r>
            <w:r w:rsidRPr="001B1B64">
              <w:rPr>
                <w:b/>
                <w:bCs/>
                <w:sz w:val="20"/>
              </w:rPr>
              <w:t>oncepts</w:t>
            </w:r>
          </w:p>
        </w:tc>
        <w:tc>
          <w:tcPr>
            <w:tcW w:w="346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ABB14" w14:textId="31302C29" w:rsidR="007322F0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sz w:val="20"/>
              </w:rPr>
              <w:t>Guidance on key concepts under the Act including reporting entities, reporting periods, reportable procurement</w:t>
            </w:r>
            <w:r w:rsidR="00952E59">
              <w:rPr>
                <w:sz w:val="20"/>
              </w:rPr>
              <w:t>,</w:t>
            </w:r>
            <w:r w:rsidRPr="001B1B64">
              <w:rPr>
                <w:sz w:val="20"/>
              </w:rPr>
              <w:t xml:space="preserve"> and governance</w:t>
            </w:r>
            <w:r w:rsidR="006D6802">
              <w:rPr>
                <w:sz w:val="20"/>
              </w:rPr>
              <w:t xml:space="preserve"> reporting</w:t>
            </w:r>
            <w:r w:rsidRPr="001B1B64">
              <w:rPr>
                <w:sz w:val="20"/>
              </w:rPr>
              <w:t xml:space="preserve">. </w:t>
            </w:r>
          </w:p>
        </w:tc>
      </w:tr>
      <w:tr w:rsidR="007322F0" w14:paraId="002D801D" w14:textId="77777777" w:rsidTr="00952E59">
        <w:trPr>
          <w:trHeight w:val="974"/>
        </w:trPr>
        <w:tc>
          <w:tcPr>
            <w:tcW w:w="1535" w:type="pct"/>
            <w:shd w:val="clear" w:color="auto" w:fill="E7F6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1ABC3" w14:textId="6BF7792B" w:rsidR="007322F0" w:rsidRPr="00F52612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b/>
                <w:bCs/>
                <w:sz w:val="20"/>
              </w:rPr>
              <w:t xml:space="preserve">Guidance </w:t>
            </w:r>
            <w:r w:rsidR="00952E59">
              <w:rPr>
                <w:b/>
                <w:bCs/>
                <w:sz w:val="20"/>
              </w:rPr>
              <w:t>n</w:t>
            </w:r>
            <w:r w:rsidRPr="001B1B64">
              <w:rPr>
                <w:b/>
                <w:bCs/>
                <w:sz w:val="20"/>
              </w:rPr>
              <w:t>ote 2: Preparing a payment times report</w:t>
            </w:r>
          </w:p>
        </w:tc>
        <w:tc>
          <w:tcPr>
            <w:tcW w:w="346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C8476" w14:textId="0FF05106" w:rsidR="007322F0" w:rsidRPr="001B1B64" w:rsidRDefault="007322F0" w:rsidP="00952E59">
            <w:pPr>
              <w:spacing w:before="0"/>
              <w:rPr>
                <w:sz w:val="20"/>
              </w:rPr>
            </w:pPr>
            <w:r w:rsidRPr="001B1B64">
              <w:rPr>
                <w:sz w:val="20"/>
              </w:rPr>
              <w:t>Guidance on when to prepare a report, the data used to prepare a report, content requirements of reports and the process to submit a report</w:t>
            </w:r>
            <w:r w:rsidR="00251DA1">
              <w:rPr>
                <w:sz w:val="20"/>
              </w:rPr>
              <w:t xml:space="preserve">. </w:t>
            </w:r>
          </w:p>
          <w:p w14:paraId="35E72970" w14:textId="5A5DEAB7" w:rsidR="007322F0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sz w:val="20"/>
              </w:rPr>
              <w:t>Th</w:t>
            </w:r>
            <w:r w:rsidR="00AD3A70">
              <w:rPr>
                <w:sz w:val="20"/>
              </w:rPr>
              <w:t>is</w:t>
            </w:r>
            <w:r w:rsidRPr="001B1B64">
              <w:rPr>
                <w:sz w:val="20"/>
              </w:rPr>
              <w:t xml:space="preserve"> guidance note also includes an appendix with </w:t>
            </w:r>
            <w:r w:rsidR="006D6802">
              <w:rPr>
                <w:sz w:val="20"/>
              </w:rPr>
              <w:t xml:space="preserve">updated </w:t>
            </w:r>
            <w:r w:rsidRPr="001B1B64">
              <w:rPr>
                <w:sz w:val="20"/>
              </w:rPr>
              <w:t>instructions for completi</w:t>
            </w:r>
            <w:r w:rsidR="003E7521">
              <w:rPr>
                <w:sz w:val="20"/>
              </w:rPr>
              <w:t>ng</w:t>
            </w:r>
            <w:r w:rsidRPr="001B1B64">
              <w:rPr>
                <w:sz w:val="20"/>
              </w:rPr>
              <w:t xml:space="preserve"> </w:t>
            </w:r>
            <w:r w:rsidR="00952E59">
              <w:rPr>
                <w:sz w:val="20"/>
              </w:rPr>
              <w:t>the</w:t>
            </w:r>
            <w:r w:rsidRPr="001B1B64">
              <w:rPr>
                <w:sz w:val="20"/>
              </w:rPr>
              <w:t xml:space="preserve"> payment times reporting template</w:t>
            </w:r>
            <w:r w:rsidR="003E7521">
              <w:rPr>
                <w:sz w:val="20"/>
              </w:rPr>
              <w:t>s</w:t>
            </w:r>
            <w:r w:rsidRPr="001B1B64">
              <w:rPr>
                <w:sz w:val="20"/>
              </w:rPr>
              <w:t>.</w:t>
            </w:r>
          </w:p>
        </w:tc>
      </w:tr>
      <w:tr w:rsidR="007322F0" w:rsidRPr="00E65906" w14:paraId="2AB4638D" w14:textId="77777777" w:rsidTr="00952E59">
        <w:trPr>
          <w:trHeight w:val="1034"/>
        </w:trPr>
        <w:tc>
          <w:tcPr>
            <w:tcW w:w="1535" w:type="pct"/>
            <w:shd w:val="clear" w:color="auto" w:fill="E7F6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88484" w14:textId="60025595" w:rsidR="007322F0" w:rsidRPr="00E65906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b/>
                <w:bCs/>
                <w:sz w:val="20"/>
              </w:rPr>
              <w:t xml:space="preserve">Guidance </w:t>
            </w:r>
            <w:r w:rsidR="00952E59">
              <w:rPr>
                <w:b/>
                <w:bCs/>
                <w:sz w:val="20"/>
              </w:rPr>
              <w:t>n</w:t>
            </w:r>
            <w:r w:rsidRPr="001B1B64">
              <w:rPr>
                <w:b/>
                <w:bCs/>
                <w:sz w:val="20"/>
              </w:rPr>
              <w:t>ote 3: Applications and notifications</w:t>
            </w:r>
          </w:p>
        </w:tc>
        <w:tc>
          <w:tcPr>
            <w:tcW w:w="346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A3909F" w14:textId="34E115E8" w:rsidR="007322F0" w:rsidRPr="001B1B64" w:rsidRDefault="007322F0" w:rsidP="00952E59">
            <w:pPr>
              <w:spacing w:before="0"/>
              <w:rPr>
                <w:sz w:val="20"/>
              </w:rPr>
            </w:pPr>
            <w:r w:rsidRPr="001B1B64">
              <w:rPr>
                <w:sz w:val="20"/>
              </w:rPr>
              <w:t xml:space="preserve">Guidance on how </w:t>
            </w:r>
            <w:r w:rsidR="006D6802">
              <w:rPr>
                <w:sz w:val="20"/>
              </w:rPr>
              <w:t xml:space="preserve">to </w:t>
            </w:r>
            <w:r w:rsidRPr="001B1B64">
              <w:rPr>
                <w:sz w:val="20"/>
              </w:rPr>
              <w:t>appl</w:t>
            </w:r>
            <w:r w:rsidR="003E7521">
              <w:rPr>
                <w:sz w:val="20"/>
              </w:rPr>
              <w:t>y</w:t>
            </w:r>
            <w:r w:rsidRPr="001B1B64">
              <w:rPr>
                <w:sz w:val="20"/>
              </w:rPr>
              <w:t xml:space="preserve"> for an extension of time, to cease to be a reporting entity and registration of a revised payment times report.</w:t>
            </w:r>
          </w:p>
          <w:p w14:paraId="3220ADB2" w14:textId="3A122918" w:rsidR="007322F0" w:rsidRPr="00E65906" w:rsidRDefault="007322F0" w:rsidP="00952E59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1B1B64">
              <w:rPr>
                <w:sz w:val="20"/>
              </w:rPr>
              <w:t>Guidance on volunteering to become a reporting entity and giving notice of notifiable events.</w:t>
            </w:r>
          </w:p>
        </w:tc>
      </w:tr>
    </w:tbl>
    <w:p w14:paraId="27E36A01" w14:textId="77777777" w:rsidR="006C2C7B" w:rsidRDefault="006C2C7B" w:rsidP="006C2C7B">
      <w:pPr>
        <w:pStyle w:val="Heading3"/>
      </w:pPr>
    </w:p>
    <w:p w14:paraId="24B2CF36" w14:textId="77777777" w:rsidR="006C2C7B" w:rsidRDefault="006C2C7B">
      <w:pPr>
        <w:spacing w:before="0" w:after="160"/>
        <w:rPr>
          <w:rFonts w:cs="Arial"/>
          <w:b/>
          <w:color w:val="0066A4"/>
          <w:kern w:val="32"/>
          <w:sz w:val="28"/>
          <w:szCs w:val="26"/>
        </w:rPr>
      </w:pPr>
      <w:r>
        <w:br w:type="page"/>
      </w:r>
    </w:p>
    <w:p w14:paraId="5CDE6F00" w14:textId="5A666162" w:rsidR="00EC55EE" w:rsidRDefault="00EC55EE" w:rsidP="006C2C7B">
      <w:pPr>
        <w:pStyle w:val="Heading3"/>
      </w:pPr>
      <w:bookmarkStart w:id="11" w:name="_Toc109050582"/>
      <w:r>
        <w:lastRenderedPageBreak/>
        <w:t>Purpose of the guidance notes</w:t>
      </w:r>
      <w:bookmarkEnd w:id="11"/>
    </w:p>
    <w:p w14:paraId="3EF6A9BF" w14:textId="24922E32" w:rsidR="00F23B72" w:rsidRDefault="00350B9A" w:rsidP="0036756E">
      <w:r>
        <w:t>Draft g</w:t>
      </w:r>
      <w:r w:rsidR="00154640">
        <w:t xml:space="preserve">uidance notes </w:t>
      </w:r>
      <w:r w:rsidR="001E613E">
        <w:t xml:space="preserve">are </w:t>
      </w:r>
      <w:r w:rsidR="00154640">
        <w:t xml:space="preserve">designed </w:t>
      </w:r>
      <w:r w:rsidR="00E218EA">
        <w:t xml:space="preserve">as </w:t>
      </w:r>
      <w:r w:rsidR="001E613E">
        <w:t xml:space="preserve">accessible </w:t>
      </w:r>
      <w:r w:rsidR="00E218EA">
        <w:t xml:space="preserve">reference </w:t>
      </w:r>
      <w:r w:rsidR="00F73F6D">
        <w:t>guides</w:t>
      </w:r>
      <w:r w:rsidR="00E218EA">
        <w:t xml:space="preserve"> </w:t>
      </w:r>
      <w:r w:rsidR="00924CAA">
        <w:t xml:space="preserve">that </w:t>
      </w:r>
      <w:r w:rsidR="0096041E">
        <w:t xml:space="preserve">provide </w:t>
      </w:r>
      <w:r w:rsidR="00924CAA">
        <w:t xml:space="preserve">broad coverage </w:t>
      </w:r>
      <w:r w:rsidR="000C360A">
        <w:t xml:space="preserve">of the </w:t>
      </w:r>
      <w:r w:rsidR="00B15E9F">
        <w:t xml:space="preserve">requirements of </w:t>
      </w:r>
      <w:r w:rsidR="00924CAA">
        <w:t xml:space="preserve">the Act </w:t>
      </w:r>
      <w:r w:rsidR="00B15E9F">
        <w:t xml:space="preserve">and how we administer </w:t>
      </w:r>
      <w:r w:rsidR="00924CAA">
        <w:t>our functions</w:t>
      </w:r>
      <w:r w:rsidR="00D70175">
        <w:t>.</w:t>
      </w:r>
    </w:p>
    <w:p w14:paraId="47B7FCEE" w14:textId="2A47F5DE" w:rsidR="00E51BC2" w:rsidRDefault="002D2503" w:rsidP="00C76417">
      <w:r>
        <w:t>They</w:t>
      </w:r>
      <w:r w:rsidR="00673ECB">
        <w:t xml:space="preserve"> </w:t>
      </w:r>
      <w:r w:rsidR="00C76417">
        <w:t xml:space="preserve">include information on </w:t>
      </w:r>
      <w:r w:rsidR="00673ECB">
        <w:t xml:space="preserve">how </w:t>
      </w:r>
      <w:r w:rsidR="00C76417">
        <w:t xml:space="preserve">reporting entities </w:t>
      </w:r>
      <w:r w:rsidR="00673ECB">
        <w:t xml:space="preserve">can </w:t>
      </w:r>
      <w:r w:rsidR="000C360A">
        <w:t xml:space="preserve">engage with </w:t>
      </w:r>
      <w:r w:rsidR="007475E0">
        <w:t xml:space="preserve">us </w:t>
      </w:r>
      <w:r w:rsidR="000C360A">
        <w:t xml:space="preserve">for </w:t>
      </w:r>
      <w:proofErr w:type="gramStart"/>
      <w:r w:rsidR="000C360A">
        <w:t>particular processes</w:t>
      </w:r>
      <w:proofErr w:type="gramEnd"/>
      <w:r w:rsidR="00BA2719">
        <w:t xml:space="preserve">, </w:t>
      </w:r>
      <w:r w:rsidR="00673ECB">
        <w:t xml:space="preserve">provide </w:t>
      </w:r>
      <w:r w:rsidR="005D70D9">
        <w:t xml:space="preserve">examples of </w:t>
      </w:r>
      <w:r w:rsidR="00100472">
        <w:t xml:space="preserve">how the Act may apply in </w:t>
      </w:r>
      <w:r w:rsidR="00C76417">
        <w:t xml:space="preserve">common </w:t>
      </w:r>
      <w:r w:rsidR="00100472">
        <w:t>circumstances</w:t>
      </w:r>
      <w:r w:rsidR="00AF0ED7">
        <w:t>,</w:t>
      </w:r>
      <w:r w:rsidR="00BA2719">
        <w:t xml:space="preserve"> and </w:t>
      </w:r>
      <w:r w:rsidR="00673ECB">
        <w:t xml:space="preserve">give insights into </w:t>
      </w:r>
      <w:r w:rsidR="00713917">
        <w:t>what we may look for when undertaking compliance activities</w:t>
      </w:r>
      <w:r w:rsidR="00D15209">
        <w:t xml:space="preserve"> or consider</w:t>
      </w:r>
      <w:r w:rsidR="00AF0ED7">
        <w:t>ing</w:t>
      </w:r>
      <w:r w:rsidR="00D15209">
        <w:t xml:space="preserve"> an application</w:t>
      </w:r>
      <w:r w:rsidR="00E51BC2">
        <w:t>.</w:t>
      </w:r>
    </w:p>
    <w:p w14:paraId="5F30EA93" w14:textId="72A3EC61" w:rsidR="002D2503" w:rsidRDefault="002D2503" w:rsidP="002D2503">
      <w:r>
        <w:t>The draft guidance notes are an initial set that will be reviewed and updated periodically. They may also be supplemented by additional guidance notes or information sheets as required.</w:t>
      </w:r>
    </w:p>
    <w:p w14:paraId="5AFC8645" w14:textId="769DEA58" w:rsidR="002D2503" w:rsidRDefault="002D2503" w:rsidP="002D2503">
      <w:pPr>
        <w:pStyle w:val="Heading3"/>
      </w:pPr>
      <w:bookmarkStart w:id="12" w:name="_Toc109050583"/>
      <w:r>
        <w:t xml:space="preserve">What </w:t>
      </w:r>
      <w:r w:rsidR="00EC55EE">
        <w:t xml:space="preserve">the </w:t>
      </w:r>
      <w:r>
        <w:t>guidance notes don’t cover</w:t>
      </w:r>
      <w:bookmarkEnd w:id="12"/>
    </w:p>
    <w:p w14:paraId="186BE59F" w14:textId="6948BAC5" w:rsidR="002D2503" w:rsidRDefault="009463EE" w:rsidP="002D2503">
      <w:r>
        <w:t>The g</w:t>
      </w:r>
      <w:r w:rsidR="002D2503">
        <w:t>uidance notes do not provide:</w:t>
      </w:r>
    </w:p>
    <w:p w14:paraId="468ED19C" w14:textId="77777777" w:rsidR="002D2503" w:rsidRDefault="002D2503" w:rsidP="003D7C32">
      <w:pPr>
        <w:pStyle w:val="ListParagraph"/>
      </w:pPr>
      <w:r>
        <w:t xml:space="preserve">instructions on navigating or using the </w:t>
      </w:r>
      <w:hyperlink r:id="rId33" w:history="1">
        <w:r w:rsidRPr="00AF0ED7">
          <w:rPr>
            <w:rStyle w:val="Hyperlink"/>
          </w:rPr>
          <w:t>Payment Times Reporting Portal</w:t>
        </w:r>
      </w:hyperlink>
    </w:p>
    <w:p w14:paraId="19BE1640" w14:textId="77777777" w:rsidR="002D2503" w:rsidRDefault="002D2503" w:rsidP="003D7C32">
      <w:pPr>
        <w:pStyle w:val="ListParagraph"/>
      </w:pPr>
      <w:r>
        <w:t>comprehensive interpretations of the Act</w:t>
      </w:r>
    </w:p>
    <w:p w14:paraId="22EB3295" w14:textId="77777777" w:rsidR="002D2503" w:rsidRDefault="002D2503" w:rsidP="003D7C32">
      <w:pPr>
        <w:pStyle w:val="ListParagraph"/>
      </w:pPr>
      <w:r>
        <w:t>specific guidance for complex circumstances</w:t>
      </w:r>
    </w:p>
    <w:p w14:paraId="27E0C408" w14:textId="7646BF20" w:rsidR="002D2503" w:rsidRDefault="00AC5D33" w:rsidP="003D7C32">
      <w:pPr>
        <w:pStyle w:val="ListParagraph"/>
      </w:pPr>
      <w:r>
        <w:t xml:space="preserve">details on </w:t>
      </w:r>
      <w:r w:rsidR="00A2735A">
        <w:t xml:space="preserve">the </w:t>
      </w:r>
      <w:r>
        <w:t xml:space="preserve">enforcement powers we may use </w:t>
      </w:r>
      <w:proofErr w:type="gramStart"/>
      <w:r w:rsidR="00A2735A">
        <w:t>in particular cases</w:t>
      </w:r>
      <w:proofErr w:type="gramEnd"/>
      <w:r w:rsidR="00251DA1">
        <w:t xml:space="preserve">. </w:t>
      </w:r>
    </w:p>
    <w:p w14:paraId="75217DE1" w14:textId="058ACA6F" w:rsidR="00DC7062" w:rsidRDefault="009A21F3" w:rsidP="00B2115A">
      <w:r>
        <w:t>For information on how we intend on using enforcement powers</w:t>
      </w:r>
      <w:r w:rsidR="002E2349">
        <w:t xml:space="preserve"> see </w:t>
      </w:r>
      <w:hyperlink r:id="rId34" w:history="1">
        <w:r w:rsidR="00F51EFC" w:rsidRPr="00ED7B6D">
          <w:rPr>
            <w:rStyle w:val="Hyperlink"/>
          </w:rPr>
          <w:t xml:space="preserve">Information </w:t>
        </w:r>
        <w:r w:rsidR="00233181">
          <w:rPr>
            <w:rStyle w:val="Hyperlink"/>
          </w:rPr>
          <w:t>s</w:t>
        </w:r>
        <w:r w:rsidR="00F51EFC" w:rsidRPr="00ED7B6D">
          <w:rPr>
            <w:rStyle w:val="Hyperlink"/>
          </w:rPr>
          <w:t xml:space="preserve">heet 1: Our approach to </w:t>
        </w:r>
        <w:r w:rsidR="00AF0ED7">
          <w:rPr>
            <w:rStyle w:val="Hyperlink"/>
          </w:rPr>
          <w:t>regulation</w:t>
        </w:r>
      </w:hyperlink>
      <w:r w:rsidR="00F51EFC">
        <w:t>.</w:t>
      </w:r>
    </w:p>
    <w:p w14:paraId="0C2E9264" w14:textId="561481D5" w:rsidR="005263D1" w:rsidRDefault="005263D1" w:rsidP="00F353AD">
      <w:pPr>
        <w:pStyle w:val="Heading2"/>
      </w:pPr>
      <w:bookmarkStart w:id="13" w:name="_Toc109050584"/>
      <w:r>
        <w:t>Implementation</w:t>
      </w:r>
      <w:bookmarkEnd w:id="13"/>
    </w:p>
    <w:p w14:paraId="4E89E28A" w14:textId="178E3449" w:rsidR="005263D1" w:rsidRDefault="00DB779E" w:rsidP="005263D1">
      <w:r>
        <w:t xml:space="preserve">The </w:t>
      </w:r>
      <w:r w:rsidR="00491BE0">
        <w:t xml:space="preserve">draft </w:t>
      </w:r>
      <w:r>
        <w:t>g</w:t>
      </w:r>
      <w:r w:rsidR="005263D1">
        <w:t xml:space="preserve">uidance notes include </w:t>
      </w:r>
      <w:r w:rsidR="00EA4775">
        <w:t xml:space="preserve">information and </w:t>
      </w:r>
      <w:r w:rsidR="008C42A1">
        <w:t>guidance that may be new</w:t>
      </w:r>
      <w:r w:rsidR="00BE43CF">
        <w:t xml:space="preserve"> or</w:t>
      </w:r>
      <w:r w:rsidR="008C42A1">
        <w:t xml:space="preserve"> more detailed than existing guidance</w:t>
      </w:r>
      <w:r w:rsidR="00EA4775">
        <w:t xml:space="preserve"> available on </w:t>
      </w:r>
      <w:r w:rsidR="00BD3163">
        <w:t xml:space="preserve">the </w:t>
      </w:r>
      <w:hyperlink r:id="rId35" w:history="1">
        <w:r w:rsidR="003C6756" w:rsidRPr="003C6756">
          <w:rPr>
            <w:rStyle w:val="Hyperlink"/>
          </w:rPr>
          <w:t xml:space="preserve">Payment Times </w:t>
        </w:r>
        <w:r w:rsidR="003D7C32">
          <w:rPr>
            <w:rStyle w:val="Hyperlink"/>
          </w:rPr>
          <w:t>R</w:t>
        </w:r>
        <w:r w:rsidR="003C6756" w:rsidRPr="003C6756">
          <w:rPr>
            <w:rStyle w:val="Hyperlink"/>
          </w:rPr>
          <w:t xml:space="preserve">eporting Scheme </w:t>
        </w:r>
        <w:r w:rsidR="00EA4775" w:rsidRPr="003C6756">
          <w:rPr>
            <w:rStyle w:val="Hyperlink"/>
          </w:rPr>
          <w:t>website</w:t>
        </w:r>
      </w:hyperlink>
      <w:r w:rsidR="00BE43CF">
        <w:t>.</w:t>
      </w:r>
    </w:p>
    <w:p w14:paraId="102E3057" w14:textId="5D96BC84" w:rsidR="009463EE" w:rsidRPr="009463EE" w:rsidRDefault="009463EE" w:rsidP="009463EE">
      <w:r w:rsidRPr="009463EE">
        <w:t>While the consultation is open, reporting entities may choose to use the draft guidance to prepare reports or applications. As consultation is during a reporting window for many entities, this is a</w:t>
      </w:r>
      <w:r w:rsidR="00BD3163">
        <w:t>n</w:t>
      </w:r>
      <w:r w:rsidRPr="009463EE">
        <w:t xml:space="preserve"> opportunity to test the guidance notes during report preparation and provide feedback.</w:t>
      </w:r>
    </w:p>
    <w:p w14:paraId="57012211" w14:textId="5C128990" w:rsidR="009463EE" w:rsidRPr="009463EE" w:rsidRDefault="009463EE" w:rsidP="009463EE">
      <w:r w:rsidRPr="009463EE">
        <w:t xml:space="preserve">Alternatively, reporting entities can continue to use the existing guidance on our website until guidance </w:t>
      </w:r>
      <w:r w:rsidR="00BD3163">
        <w:t>notes are</w:t>
      </w:r>
      <w:r w:rsidRPr="009463EE">
        <w:t xml:space="preserve"> finalised.</w:t>
      </w:r>
      <w:r w:rsidR="006D4CA3">
        <w:t xml:space="preserve"> </w:t>
      </w:r>
      <w:bookmarkStart w:id="14" w:name="_Hlk107906868"/>
      <w:r w:rsidR="006D4CA3" w:rsidRPr="009463EE">
        <w:t xml:space="preserve">The </w:t>
      </w:r>
      <w:r w:rsidR="006D4CA3">
        <w:t xml:space="preserve">choice of </w:t>
      </w:r>
      <w:r w:rsidR="006D4CA3" w:rsidRPr="009463EE">
        <w:t xml:space="preserve">guidance used </w:t>
      </w:r>
      <w:r w:rsidR="006D4CA3">
        <w:t xml:space="preserve">by reporting entities </w:t>
      </w:r>
      <w:r w:rsidR="006D4CA3" w:rsidRPr="009463EE">
        <w:t xml:space="preserve">prior to </w:t>
      </w:r>
      <w:r w:rsidR="006D4CA3">
        <w:t xml:space="preserve">guidance note </w:t>
      </w:r>
      <w:r w:rsidR="006D4CA3" w:rsidRPr="009463EE">
        <w:t xml:space="preserve">finalisation will not affect </w:t>
      </w:r>
      <w:r w:rsidR="006D4CA3">
        <w:t xml:space="preserve">their </w:t>
      </w:r>
      <w:r w:rsidR="006D4CA3" w:rsidRPr="009463EE">
        <w:t>compliance</w:t>
      </w:r>
      <w:r w:rsidR="006D4CA3">
        <w:t xml:space="preserve"> with reporting obligations.</w:t>
      </w:r>
      <w:bookmarkEnd w:id="14"/>
    </w:p>
    <w:p w14:paraId="66689162" w14:textId="0BDB249C" w:rsidR="00EB12CD" w:rsidRPr="005263D1" w:rsidRDefault="00523C23" w:rsidP="005263D1">
      <w:r>
        <w:t xml:space="preserve">We plan </w:t>
      </w:r>
      <w:r w:rsidR="00BD3163">
        <w:t>to publish</w:t>
      </w:r>
      <w:r>
        <w:t xml:space="preserve"> </w:t>
      </w:r>
      <w:r w:rsidR="00BD3163">
        <w:t xml:space="preserve">the </w:t>
      </w:r>
      <w:r w:rsidR="0011210E">
        <w:t xml:space="preserve">finalised guidance notes </w:t>
      </w:r>
      <w:r w:rsidR="0011210E" w:rsidRPr="009B00B6">
        <w:t>in October 2022</w:t>
      </w:r>
      <w:r w:rsidR="0011210E">
        <w:t xml:space="preserve"> after the end of the </w:t>
      </w:r>
      <w:r w:rsidR="00DC5583">
        <w:t xml:space="preserve">September 2022 </w:t>
      </w:r>
      <w:r w:rsidR="0011210E">
        <w:t xml:space="preserve">reporting </w:t>
      </w:r>
      <w:r w:rsidR="00696661">
        <w:t>window</w:t>
      </w:r>
      <w:r w:rsidR="00251DA1">
        <w:t xml:space="preserve">. </w:t>
      </w:r>
      <w:r w:rsidR="00696661">
        <w:t xml:space="preserve">As a part of finalising </w:t>
      </w:r>
      <w:r w:rsidR="0010371D">
        <w:t xml:space="preserve">the </w:t>
      </w:r>
      <w:r w:rsidR="00696661">
        <w:t xml:space="preserve">guidance notes </w:t>
      </w:r>
      <w:r w:rsidR="00BE379B">
        <w:t>we will also updat</w:t>
      </w:r>
      <w:r w:rsidR="00BD3163">
        <w:t>e</w:t>
      </w:r>
      <w:r w:rsidR="00BE379B">
        <w:t xml:space="preserve"> </w:t>
      </w:r>
      <w:r w:rsidR="00417E12">
        <w:t xml:space="preserve">the </w:t>
      </w:r>
      <w:r w:rsidR="005F4051">
        <w:t>existing</w:t>
      </w:r>
      <w:r w:rsidR="00417E12">
        <w:t xml:space="preserve"> content on </w:t>
      </w:r>
      <w:r w:rsidR="005F4051">
        <w:t xml:space="preserve">our </w:t>
      </w:r>
      <w:r w:rsidR="00417E12">
        <w:t>website</w:t>
      </w:r>
      <w:r w:rsidR="005F4051">
        <w:t xml:space="preserve"> to align with </w:t>
      </w:r>
      <w:r w:rsidR="0010371D">
        <w:t xml:space="preserve">the </w:t>
      </w:r>
      <w:r w:rsidR="005F4051">
        <w:t>guidance</w:t>
      </w:r>
      <w:r w:rsidR="00BD3163">
        <w:t xml:space="preserve"> notes</w:t>
      </w:r>
      <w:r w:rsidR="00417E12">
        <w:t>.</w:t>
      </w:r>
    </w:p>
    <w:p w14:paraId="728155B5" w14:textId="058B6F6B" w:rsidR="00D7795D" w:rsidRDefault="00341BA7" w:rsidP="00D7795D">
      <w:pPr>
        <w:pStyle w:val="Heading1"/>
      </w:pPr>
      <w:bookmarkStart w:id="15" w:name="_Toc109050585"/>
      <w:r>
        <w:t>Consultation</w:t>
      </w:r>
      <w:bookmarkEnd w:id="15"/>
    </w:p>
    <w:p w14:paraId="26A6E3CA" w14:textId="46F81819" w:rsidR="00B9245F" w:rsidRPr="00B9245F" w:rsidRDefault="00610FA2" w:rsidP="00B2311C">
      <w:pPr>
        <w:pStyle w:val="Heading2"/>
      </w:pPr>
      <w:bookmarkStart w:id="16" w:name="_Toc109050586"/>
      <w:r>
        <w:t>Comments and feedback</w:t>
      </w:r>
      <w:bookmarkEnd w:id="16"/>
    </w:p>
    <w:p w14:paraId="419AB89E" w14:textId="765246D3" w:rsidR="0068593E" w:rsidRDefault="00771F08" w:rsidP="00463B98">
      <w:r>
        <w:t xml:space="preserve">We are requesting </w:t>
      </w:r>
      <w:r w:rsidR="0005522A">
        <w:t xml:space="preserve">comments </w:t>
      </w:r>
      <w:r w:rsidR="00341BA7">
        <w:t xml:space="preserve">and feedback from reporting entities and other interested parties </w:t>
      </w:r>
      <w:r w:rsidR="0005522A">
        <w:t xml:space="preserve">on the </w:t>
      </w:r>
      <w:r w:rsidR="00491BE0">
        <w:t xml:space="preserve">draft </w:t>
      </w:r>
      <w:r w:rsidR="0005522A">
        <w:t>guidance notes</w:t>
      </w:r>
      <w:r w:rsidR="0068593E">
        <w:t>, in particular:</w:t>
      </w:r>
    </w:p>
    <w:p w14:paraId="44799413" w14:textId="14D05604" w:rsidR="0068593E" w:rsidRPr="0010371D" w:rsidRDefault="003C6756" w:rsidP="0010371D">
      <w:pPr>
        <w:pStyle w:val="ListParagraph"/>
      </w:pPr>
      <w:r>
        <w:t>i</w:t>
      </w:r>
      <w:r w:rsidR="0068593E">
        <w:t xml:space="preserve">f </w:t>
      </w:r>
      <w:r w:rsidR="0068593E" w:rsidRPr="0010371D">
        <w:t xml:space="preserve">there </w:t>
      </w:r>
      <w:r w:rsidR="0010371D">
        <w:t xml:space="preserve">are </w:t>
      </w:r>
      <w:r w:rsidR="008306DF" w:rsidRPr="0010371D">
        <w:t xml:space="preserve">sections </w:t>
      </w:r>
      <w:r w:rsidR="00812A5D" w:rsidRPr="0010371D">
        <w:t xml:space="preserve">of guidance where </w:t>
      </w:r>
      <w:r w:rsidR="0068593E" w:rsidRPr="0010371D">
        <w:t xml:space="preserve">clarifications </w:t>
      </w:r>
      <w:r w:rsidR="00812A5D" w:rsidRPr="0010371D">
        <w:t xml:space="preserve">or further details </w:t>
      </w:r>
      <w:r w:rsidR="0068593E" w:rsidRPr="0010371D">
        <w:t xml:space="preserve">would </w:t>
      </w:r>
      <w:r w:rsidR="0010371D">
        <w:t>be helpful</w:t>
      </w:r>
    </w:p>
    <w:p w14:paraId="7F918844" w14:textId="17808384" w:rsidR="0068593E" w:rsidRPr="0010371D" w:rsidRDefault="003C6756" w:rsidP="0010371D">
      <w:pPr>
        <w:pStyle w:val="ListParagraph"/>
      </w:pPr>
      <w:r>
        <w:t>w</w:t>
      </w:r>
      <w:r w:rsidR="0068593E" w:rsidRPr="0010371D">
        <w:t xml:space="preserve">hether there is additional information, guidance or examples which </w:t>
      </w:r>
      <w:r w:rsidR="002C23D5" w:rsidRPr="0010371D">
        <w:t>could be included</w:t>
      </w:r>
    </w:p>
    <w:p w14:paraId="6EC18A4C" w14:textId="7AB0D33B" w:rsidR="00FB5CB6" w:rsidRPr="0010371D" w:rsidRDefault="00740B38" w:rsidP="0010371D">
      <w:pPr>
        <w:pStyle w:val="ListParagraph"/>
      </w:pPr>
      <w:r>
        <w:lastRenderedPageBreak/>
        <w:t>any p</w:t>
      </w:r>
      <w:r w:rsidR="006C4100" w:rsidRPr="0010371D">
        <w:t xml:space="preserve">ractical concerns or issues </w:t>
      </w:r>
      <w:r w:rsidR="005D2E8A">
        <w:t xml:space="preserve">that may arise from </w:t>
      </w:r>
      <w:r w:rsidR="006C4100" w:rsidRPr="0010371D">
        <w:t xml:space="preserve">following </w:t>
      </w:r>
      <w:r w:rsidR="00361CF1">
        <w:t>updated</w:t>
      </w:r>
      <w:r w:rsidR="005D2E8A">
        <w:t xml:space="preserve"> </w:t>
      </w:r>
      <w:r w:rsidR="006C4100" w:rsidRPr="0010371D">
        <w:t>guidance</w:t>
      </w:r>
    </w:p>
    <w:p w14:paraId="503E35A1" w14:textId="44F87554" w:rsidR="0068593E" w:rsidRDefault="00740B38" w:rsidP="0010371D">
      <w:pPr>
        <w:pStyle w:val="ListParagraph"/>
      </w:pPr>
      <w:r>
        <w:t>i</w:t>
      </w:r>
      <w:r w:rsidR="008E7BD4" w:rsidRPr="0010371D">
        <w:t>f there are specific requirements or obligations under the Act</w:t>
      </w:r>
      <w:r w:rsidR="001A7841" w:rsidRPr="0010371D">
        <w:t xml:space="preserve"> not </w:t>
      </w:r>
      <w:r w:rsidR="00371B31" w:rsidRPr="0010371D">
        <w:t>covered by the draft guidance note</w:t>
      </w:r>
      <w:r w:rsidR="00371B31">
        <w:t>s</w:t>
      </w:r>
      <w:r w:rsidR="008E7BD4">
        <w:t xml:space="preserve"> that </w:t>
      </w:r>
      <w:r>
        <w:t>you think should be included</w:t>
      </w:r>
    </w:p>
    <w:p w14:paraId="210E8585" w14:textId="536736F7" w:rsidR="00362775" w:rsidRDefault="00362775" w:rsidP="00362775">
      <w:r>
        <w:t>In response to comments and feedback we may modif</w:t>
      </w:r>
      <w:r w:rsidR="00740B38">
        <w:t>y</w:t>
      </w:r>
      <w:r w:rsidR="005F40AA">
        <w:t xml:space="preserve"> the </w:t>
      </w:r>
      <w:r w:rsidR="007B7A15">
        <w:t xml:space="preserve">draft </w:t>
      </w:r>
      <w:r w:rsidR="005F40AA">
        <w:t xml:space="preserve">guidance notes, </w:t>
      </w:r>
      <w:r w:rsidR="003D09A8">
        <w:t xml:space="preserve">record the </w:t>
      </w:r>
      <w:r w:rsidR="007B7A15">
        <w:t xml:space="preserve">feedback </w:t>
      </w:r>
      <w:r w:rsidR="003D09A8">
        <w:t>for potential future updates</w:t>
      </w:r>
      <w:r w:rsidR="00E12FAD">
        <w:t xml:space="preserve"> </w:t>
      </w:r>
      <w:r w:rsidR="007B7A15">
        <w:t>and revisions</w:t>
      </w:r>
      <w:r w:rsidR="00740B38">
        <w:t>,</w:t>
      </w:r>
      <w:r w:rsidR="007B7A15">
        <w:t xml:space="preserve"> </w:t>
      </w:r>
      <w:r w:rsidR="00E12FAD">
        <w:t>or</w:t>
      </w:r>
      <w:r w:rsidR="003D09A8">
        <w:t xml:space="preserve"> consider giving </w:t>
      </w:r>
      <w:r w:rsidR="00E12FAD">
        <w:t>guidance in a</w:t>
      </w:r>
      <w:r w:rsidR="007B7A15">
        <w:t>nother form, such as a</w:t>
      </w:r>
      <w:r w:rsidR="00E12FAD">
        <w:t xml:space="preserve"> Regulat</w:t>
      </w:r>
      <w:r w:rsidR="005F40AA">
        <w:t xml:space="preserve">or </w:t>
      </w:r>
      <w:r w:rsidR="00E12FAD">
        <w:t>Update or Information Sheet.</w:t>
      </w:r>
      <w:r w:rsidR="005F40AA">
        <w:t xml:space="preserve"> </w:t>
      </w:r>
    </w:p>
    <w:p w14:paraId="03CA5646" w14:textId="34CE4D07" w:rsidR="00D93954" w:rsidRDefault="00683E11" w:rsidP="00D93954">
      <w:r>
        <w:t xml:space="preserve">Although we will only consider comments and feedback in writing, </w:t>
      </w:r>
      <w:r w:rsidR="00002743">
        <w:t>i</w:t>
      </w:r>
      <w:r w:rsidR="00B42BA9">
        <w:t xml:space="preserve">f you </w:t>
      </w:r>
      <w:r w:rsidR="00740B38">
        <w:t>want</w:t>
      </w:r>
      <w:r w:rsidR="00B42BA9">
        <w:t xml:space="preserve"> to </w:t>
      </w:r>
      <w:r w:rsidR="00886304">
        <w:t xml:space="preserve">discuss the </w:t>
      </w:r>
      <w:r w:rsidR="006C354A">
        <w:t xml:space="preserve">draft </w:t>
      </w:r>
      <w:r w:rsidR="00886304">
        <w:t xml:space="preserve">guidance notes and their content </w:t>
      </w:r>
      <w:r w:rsidR="00042BCF">
        <w:t xml:space="preserve">with us </w:t>
      </w:r>
      <w:r w:rsidR="00886304">
        <w:t xml:space="preserve">prior to providing written feedback, contact us at </w:t>
      </w:r>
      <w:hyperlink r:id="rId36" w:history="1">
        <w:r w:rsidR="006F55B7" w:rsidRPr="00354921">
          <w:rPr>
            <w:rStyle w:val="Hyperlink"/>
          </w:rPr>
          <w:t>support@paymenttimes.gov</w:t>
        </w:r>
      </w:hyperlink>
      <w:r w:rsidR="006F55B7">
        <w:t xml:space="preserve"> to arrange </w:t>
      </w:r>
      <w:r w:rsidR="00740B38">
        <w:t xml:space="preserve">a </w:t>
      </w:r>
      <w:r w:rsidR="006C354A">
        <w:t>meeting with a representative</w:t>
      </w:r>
      <w:r w:rsidR="006E17FA">
        <w:t>.</w:t>
      </w:r>
    </w:p>
    <w:p w14:paraId="2B35DE5D" w14:textId="76C5E43F" w:rsidR="00B2311C" w:rsidRDefault="004A04BA" w:rsidP="00B2311C">
      <w:pPr>
        <w:pStyle w:val="Heading2"/>
      </w:pPr>
      <w:bookmarkStart w:id="17" w:name="_Toc109050587"/>
      <w:r>
        <w:t>Consultation</w:t>
      </w:r>
      <w:r w:rsidR="00B2311C">
        <w:t xml:space="preserve"> template</w:t>
      </w:r>
      <w:bookmarkEnd w:id="17"/>
    </w:p>
    <w:p w14:paraId="06AD3D2A" w14:textId="4B74A32C" w:rsidR="008F296A" w:rsidRDefault="00692AE2" w:rsidP="00692AE2">
      <w:r>
        <w:t xml:space="preserve">Due to the </w:t>
      </w:r>
      <w:r w:rsidR="001E393B">
        <w:t>volume of guidance open for consultation</w:t>
      </w:r>
      <w:r w:rsidR="001A30E9">
        <w:t xml:space="preserve">, please provide </w:t>
      </w:r>
      <w:r w:rsidR="004A04BA">
        <w:t xml:space="preserve">consultation responses </w:t>
      </w:r>
      <w:r w:rsidR="001E393B">
        <w:t xml:space="preserve">in the </w:t>
      </w:r>
      <w:r w:rsidR="00AB7442">
        <w:t xml:space="preserve">template </w:t>
      </w:r>
      <w:r w:rsidR="001E393B">
        <w:t xml:space="preserve">in </w:t>
      </w:r>
      <w:hyperlink w:anchor="_Appendix_1:_Consultation" w:history="1">
        <w:r w:rsidR="005D2E8A">
          <w:rPr>
            <w:rStyle w:val="Hyperlink"/>
          </w:rPr>
          <w:t>A</w:t>
        </w:r>
        <w:r w:rsidR="001E393B" w:rsidRPr="005D2E8A">
          <w:rPr>
            <w:rStyle w:val="Hyperlink"/>
          </w:rPr>
          <w:t>ppendix 1</w:t>
        </w:r>
      </w:hyperlink>
      <w:r w:rsidR="001E393B">
        <w:t>.</w:t>
      </w:r>
    </w:p>
    <w:p w14:paraId="000AB285" w14:textId="434B613F" w:rsidR="00FD3555" w:rsidRDefault="00FD3555" w:rsidP="00692AE2">
      <w:r>
        <w:t xml:space="preserve">Using the template will </w:t>
      </w:r>
      <w:r w:rsidR="007B6987">
        <w:t xml:space="preserve">allow </w:t>
      </w:r>
      <w:r>
        <w:t>us to collate feedback and ensure any response</w:t>
      </w:r>
      <w:r w:rsidR="00552E39">
        <w:t>s</w:t>
      </w:r>
      <w:r>
        <w:t xml:space="preserve"> </w:t>
      </w:r>
      <w:r w:rsidR="00552E39">
        <w:t xml:space="preserve">are </w:t>
      </w:r>
      <w:r>
        <w:t>properly targeted</w:t>
      </w:r>
      <w:r w:rsidR="006223D0">
        <w:t>.</w:t>
      </w:r>
    </w:p>
    <w:p w14:paraId="2B26C5FD" w14:textId="5262DD43" w:rsidR="00362775" w:rsidRPr="009A24E1" w:rsidRDefault="006C0D11" w:rsidP="00692AE2">
      <w:pPr>
        <w:rPr>
          <w:rStyle w:val="Strong"/>
        </w:rPr>
      </w:pPr>
      <w:r w:rsidRPr="009A24E1">
        <w:rPr>
          <w:rStyle w:val="Strong"/>
        </w:rPr>
        <w:t xml:space="preserve">We will not </w:t>
      </w:r>
      <w:r w:rsidR="000D6328" w:rsidRPr="009A24E1">
        <w:rPr>
          <w:rStyle w:val="Strong"/>
        </w:rPr>
        <w:t xml:space="preserve">accept </w:t>
      </w:r>
      <w:r w:rsidRPr="009A24E1">
        <w:rPr>
          <w:rStyle w:val="Strong"/>
        </w:rPr>
        <w:t>changes or modifications provided in mark-ups to draft guidance notes.</w:t>
      </w:r>
    </w:p>
    <w:p w14:paraId="6C81ED6F" w14:textId="77777777" w:rsidR="005D2E8A" w:rsidRDefault="005D2E8A" w:rsidP="00DA3490">
      <w:pPr>
        <w:pStyle w:val="Heading1"/>
        <w:sectPr w:rsidR="005D2E8A" w:rsidSect="00AF0ED7">
          <w:headerReference w:type="even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 w:code="9"/>
          <w:pgMar w:top="1702" w:right="1080" w:bottom="1440" w:left="1080" w:header="709" w:footer="125" w:gutter="0"/>
          <w:pgNumType w:start="1"/>
          <w:cols w:space="708"/>
          <w:docGrid w:linePitch="360"/>
        </w:sectPr>
      </w:pPr>
      <w:bookmarkStart w:id="19" w:name="_Appendix:_Consultation_template"/>
      <w:bookmarkStart w:id="20" w:name="_Appendix_1:_Consultation"/>
      <w:bookmarkEnd w:id="19"/>
      <w:bookmarkEnd w:id="20"/>
    </w:p>
    <w:p w14:paraId="6F0B151B" w14:textId="4BA957C8" w:rsidR="00DA3490" w:rsidRDefault="00C0697F" w:rsidP="00DA3490">
      <w:pPr>
        <w:pStyle w:val="Heading1"/>
      </w:pPr>
      <w:bookmarkStart w:id="21" w:name="_Toc109050588"/>
      <w:r>
        <w:lastRenderedPageBreak/>
        <w:t>A</w:t>
      </w:r>
      <w:r w:rsidR="00DA3490">
        <w:t>ppendix</w:t>
      </w:r>
      <w:r w:rsidR="005D2E8A">
        <w:t xml:space="preserve"> 1</w:t>
      </w:r>
      <w:r w:rsidR="00DA3490">
        <w:t xml:space="preserve">: </w:t>
      </w:r>
      <w:r w:rsidR="009531D4">
        <w:t>Consultation</w:t>
      </w:r>
      <w:r w:rsidR="00DA3490">
        <w:t xml:space="preserve"> template</w:t>
      </w:r>
      <w:bookmarkEnd w:id="21"/>
    </w:p>
    <w:p w14:paraId="3A997CDB" w14:textId="3B2B4287" w:rsidR="000513BF" w:rsidRPr="000513BF" w:rsidRDefault="000513BF" w:rsidP="000513BF">
      <w:pPr>
        <w:rPr>
          <w:rStyle w:val="Strong"/>
        </w:rPr>
      </w:pPr>
      <w:r w:rsidRPr="000513BF">
        <w:rPr>
          <w:rStyle w:val="Strong"/>
        </w:rPr>
        <w:t>Name/Organisation:</w:t>
      </w:r>
      <w:r>
        <w:rPr>
          <w:rStyle w:val="Strong"/>
        </w:rPr>
        <w:t xml:space="preserve"> </w:t>
      </w:r>
    </w:p>
    <w:tbl>
      <w:tblPr>
        <w:tblW w:w="545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20" w:firstRow="1" w:lastRow="0" w:firstColumn="0" w:lastColumn="0" w:noHBand="0" w:noVBand="1"/>
      </w:tblPr>
      <w:tblGrid>
        <w:gridCol w:w="3965"/>
        <w:gridCol w:w="1701"/>
        <w:gridCol w:w="9252"/>
      </w:tblGrid>
      <w:tr w:rsidR="00A82CE8" w:rsidRPr="00E65906" w14:paraId="08B2BAE9" w14:textId="77777777" w:rsidTr="000513BF">
        <w:trPr>
          <w:trHeight w:val="397"/>
          <w:tblHeader/>
          <w:jc w:val="center"/>
        </w:trPr>
        <w:tc>
          <w:tcPr>
            <w:tcW w:w="13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C4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4FDF7" w14:textId="77777777" w:rsidR="00515B0A" w:rsidRPr="00A82CE8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  <w:sz w:val="24"/>
                <w:szCs w:val="22"/>
              </w:rPr>
            </w:pPr>
            <w:r w:rsidRPr="00A82CE8">
              <w:rPr>
                <w:b/>
                <w:bCs/>
                <w:color w:val="FFFFFF" w:themeColor="background1"/>
                <w:sz w:val="24"/>
                <w:szCs w:val="22"/>
              </w:rPr>
              <w:t>Heading</w:t>
            </w:r>
          </w:p>
        </w:tc>
        <w:tc>
          <w:tcPr>
            <w:tcW w:w="5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C4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5FB688" w14:textId="77777777" w:rsidR="00515B0A" w:rsidRPr="00A82CE8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  <w:sz w:val="24"/>
                <w:szCs w:val="22"/>
              </w:rPr>
            </w:pPr>
            <w:r w:rsidRPr="00A82CE8">
              <w:rPr>
                <w:b/>
                <w:bCs/>
                <w:color w:val="FFFFFF" w:themeColor="background1"/>
                <w:sz w:val="24"/>
                <w:szCs w:val="22"/>
              </w:rPr>
              <w:t>Section # /</w:t>
            </w:r>
            <w:r w:rsidRPr="00A82CE8">
              <w:rPr>
                <w:b/>
                <w:bCs/>
                <w:color w:val="FFFFFF" w:themeColor="background1"/>
                <w:sz w:val="24"/>
                <w:szCs w:val="22"/>
              </w:rPr>
              <w:br/>
              <w:t>Paragraph #</w:t>
            </w:r>
          </w:p>
        </w:tc>
        <w:tc>
          <w:tcPr>
            <w:tcW w:w="31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C4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EA7C63" w14:textId="77777777" w:rsidR="00515B0A" w:rsidRPr="00A82CE8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  <w:sz w:val="24"/>
                <w:szCs w:val="22"/>
              </w:rPr>
            </w:pPr>
            <w:r w:rsidRPr="00A82CE8">
              <w:rPr>
                <w:b/>
                <w:bCs/>
                <w:color w:val="FFFFFF" w:themeColor="background1"/>
                <w:sz w:val="24"/>
                <w:szCs w:val="22"/>
              </w:rPr>
              <w:t>Feedback</w:t>
            </w:r>
          </w:p>
        </w:tc>
      </w:tr>
      <w:tr w:rsidR="00515B0A" w14:paraId="183620EE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0066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9210F" w14:textId="77777777" w:rsidR="00515B0A" w:rsidRPr="002E449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sz w:val="24"/>
                <w:szCs w:val="22"/>
              </w:rPr>
            </w:pPr>
            <w:r w:rsidRPr="002E449B">
              <w:rPr>
                <w:b/>
                <w:bCs/>
                <w:color w:val="FFFFFF" w:themeColor="background1"/>
                <w:sz w:val="24"/>
                <w:szCs w:val="22"/>
              </w:rPr>
              <w:t>Guidance note 1 – Key concepts</w:t>
            </w:r>
          </w:p>
        </w:tc>
      </w:tr>
      <w:tr w:rsidR="00515B0A" w14:paraId="05056B74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A1430" w14:textId="77777777" w:rsidR="00515B0A" w:rsidRPr="002E449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sz w:val="24"/>
                <w:szCs w:val="22"/>
              </w:rPr>
            </w:pPr>
            <w:r w:rsidRPr="002E449B">
              <w:rPr>
                <w:b/>
                <w:bCs/>
              </w:rPr>
              <w:t>Reporting entities – Types of reporting entities</w:t>
            </w:r>
          </w:p>
        </w:tc>
      </w:tr>
      <w:tr w:rsidR="00515B0A" w:rsidRPr="00E65906" w14:paraId="50783B9B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F7F7EA" w14:textId="77777777" w:rsidR="00515B0A" w:rsidRPr="00E65906" w:rsidRDefault="00515B0A" w:rsidP="00444EB8">
            <w:pPr>
              <w:spacing w:before="0" w:after="0"/>
            </w:pPr>
            <w:r>
              <w:t>Entities deemed to be reporting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EE9D6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8761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D75B8FC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9399ED" w14:textId="77777777" w:rsidR="00515B0A" w:rsidRPr="00E65906" w:rsidRDefault="00515B0A" w:rsidP="00444EB8">
            <w:pPr>
              <w:spacing w:before="0" w:after="0"/>
            </w:pPr>
            <w:r>
              <w:t>Volunteering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4F32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1527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07FBABF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66AE6" w14:textId="77777777" w:rsidR="00515B0A" w:rsidRPr="002E449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2E449B">
              <w:rPr>
                <w:b/>
                <w:bCs/>
              </w:rPr>
              <w:t>Constitutionally covered entities</w:t>
            </w:r>
          </w:p>
        </w:tc>
      </w:tr>
      <w:tr w:rsidR="00515B0A" w:rsidRPr="00E65906" w14:paraId="0AE08AF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2BE5E9" w14:textId="77777777" w:rsidR="00515B0A" w:rsidRDefault="00515B0A" w:rsidP="00444EB8">
            <w:pPr>
              <w:spacing w:before="0" w:after="0"/>
            </w:pPr>
            <w:r w:rsidRPr="002E449B">
              <w:t>Identifying constitutionally covered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0022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F3D5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AEFE85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4022A2" w14:textId="77777777" w:rsidR="00515B0A" w:rsidRDefault="00515B0A" w:rsidP="00444EB8">
            <w:pPr>
              <w:spacing w:before="0" w:after="0"/>
            </w:pPr>
            <w:r w:rsidRPr="002E449B">
              <w:t>Constitutional corporations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D993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A955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1BC1223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B16B95" w14:textId="77777777" w:rsidR="00515B0A" w:rsidRDefault="00515B0A" w:rsidP="00444EB8">
            <w:pPr>
              <w:spacing w:before="0" w:after="0"/>
            </w:pPr>
            <w:r w:rsidRPr="002E449B">
              <w:t>Foreign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9176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2E5F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3B0482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09C8F" w14:textId="77777777" w:rsidR="00515B0A" w:rsidRDefault="00515B0A" w:rsidP="00444EB8">
            <w:pPr>
              <w:spacing w:before="0" w:after="0"/>
            </w:pPr>
            <w:r w:rsidRPr="002E449B">
              <w:t>Entities incorporated or carrying on an enterprise in a territory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2FD9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7ED1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9B1E8F4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CD91D" w14:textId="77777777" w:rsidR="00515B0A" w:rsidRPr="008E147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E147B">
              <w:rPr>
                <w:b/>
                <w:bCs/>
              </w:rPr>
              <w:t>Carrying on an enterprise in Australia</w:t>
            </w:r>
          </w:p>
        </w:tc>
      </w:tr>
      <w:tr w:rsidR="00515B0A" w:rsidRPr="00E65906" w14:paraId="048E644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2B40E" w14:textId="77777777" w:rsidR="00515B0A" w:rsidRDefault="00515B0A" w:rsidP="00444EB8">
            <w:pPr>
              <w:spacing w:before="0" w:after="0"/>
            </w:pPr>
            <w:r w:rsidRPr="008E147B">
              <w:t>Carrying on an enterprise in Australia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247A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32E2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62B01EA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92CDD" w14:textId="77777777" w:rsidR="00515B0A" w:rsidRPr="008E147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E147B">
              <w:rPr>
                <w:b/>
                <w:bCs/>
              </w:rPr>
              <w:lastRenderedPageBreak/>
              <w:t>Income thresholds</w:t>
            </w:r>
          </w:p>
        </w:tc>
      </w:tr>
      <w:tr w:rsidR="00515B0A" w:rsidRPr="00E65906" w14:paraId="693948B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52980" w14:textId="77777777" w:rsidR="00515B0A" w:rsidRDefault="00515B0A" w:rsidP="00444EB8">
            <w:pPr>
              <w:spacing w:before="0" w:after="0"/>
            </w:pPr>
            <w:r w:rsidRPr="008E147B">
              <w:t>Identifying the relevant income threshold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5F5E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6A58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EEE775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78D6A" w14:textId="77777777" w:rsidR="00515B0A" w:rsidRDefault="00515B0A" w:rsidP="00444EB8">
            <w:pPr>
              <w:spacing w:before="0" w:after="0"/>
            </w:pPr>
            <w:r w:rsidRPr="008E147B">
              <w:t>Applying income thresholds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E8FBC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105DE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1ADAF0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657FC7" w14:textId="77777777" w:rsidR="00515B0A" w:rsidRDefault="00515B0A" w:rsidP="00444EB8">
            <w:pPr>
              <w:spacing w:before="0" w:after="0"/>
            </w:pPr>
            <w:r w:rsidRPr="008E147B">
              <w:t>Controlling corporations and member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E3C53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2AE1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954CE2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F7C7F" w14:textId="77777777" w:rsidR="00515B0A" w:rsidRDefault="00515B0A" w:rsidP="00444EB8">
            <w:pPr>
              <w:spacing w:before="0" w:after="0"/>
            </w:pPr>
            <w:r w:rsidRPr="008E147B">
              <w:t>Head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80AB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12FD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7C66A0F8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67F59" w14:textId="77777777" w:rsidR="00515B0A" w:rsidRDefault="00515B0A" w:rsidP="00444EB8">
            <w:pPr>
              <w:spacing w:before="0" w:after="0"/>
            </w:pPr>
            <w:r w:rsidRPr="008E147B">
              <w:t>Unincorporated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03B7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7398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D051104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A3B64" w14:textId="77777777" w:rsidR="00515B0A" w:rsidRPr="008E147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E147B">
              <w:rPr>
                <w:b/>
                <w:bCs/>
              </w:rPr>
              <w:t>Total income</w:t>
            </w:r>
          </w:p>
        </w:tc>
      </w:tr>
      <w:tr w:rsidR="00515B0A" w:rsidRPr="00E65906" w14:paraId="4E0C8AFB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AAE4F" w14:textId="77777777" w:rsidR="00515B0A" w:rsidRDefault="00515B0A" w:rsidP="00444EB8">
            <w:pPr>
              <w:spacing w:before="0" w:after="0"/>
            </w:pPr>
            <w:r w:rsidRPr="008E147B">
              <w:t>Measurement and recognition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ADB6B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8205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519C92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3CAAEE" w14:textId="77777777" w:rsidR="00515B0A" w:rsidRDefault="00515B0A" w:rsidP="00444EB8">
            <w:pPr>
              <w:spacing w:before="0" w:after="0"/>
            </w:pPr>
            <w:r w:rsidRPr="008E147B">
              <w:t>Foreign currency translation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64DF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8FC7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8C40585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47B7CA" w14:textId="77777777" w:rsidR="00515B0A" w:rsidRDefault="00515B0A" w:rsidP="00444EB8">
            <w:pPr>
              <w:spacing w:before="0" w:after="0"/>
            </w:pPr>
            <w:r w:rsidRPr="008E147B">
              <w:t>Use of tax return information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27E3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03EC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5118DF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49AE0" w14:textId="77777777" w:rsidR="00515B0A" w:rsidRDefault="00515B0A" w:rsidP="00444EB8">
            <w:pPr>
              <w:spacing w:before="0" w:after="0"/>
            </w:pPr>
            <w:r w:rsidRPr="008E147B">
              <w:t>Business combinations and control transactions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6823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ED8D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BD9DBFA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1139A" w14:textId="77777777" w:rsidR="00515B0A" w:rsidRPr="008E147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E147B">
              <w:rPr>
                <w:b/>
                <w:bCs/>
              </w:rPr>
              <w:t>Reporting period</w:t>
            </w:r>
          </w:p>
        </w:tc>
      </w:tr>
      <w:tr w:rsidR="00515B0A" w:rsidRPr="00E65906" w14:paraId="73B8A93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8E847" w14:textId="77777777" w:rsidR="00515B0A" w:rsidRDefault="00515B0A" w:rsidP="00444EB8">
            <w:pPr>
              <w:spacing w:before="0" w:after="0"/>
            </w:pPr>
            <w:r w:rsidRPr="008E147B">
              <w:t>Income year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3B93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47EF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DD72F35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0A61C" w14:textId="77777777" w:rsidR="00515B0A" w:rsidRDefault="00515B0A" w:rsidP="00444EB8">
            <w:pPr>
              <w:spacing w:before="0" w:after="0"/>
            </w:pPr>
            <w:r w:rsidRPr="008E147B">
              <w:lastRenderedPageBreak/>
              <w:t>Determining reporting periods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12ED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F414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74D16B9A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AE0DE" w14:textId="77777777" w:rsidR="00515B0A" w:rsidRPr="008E147B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E147B">
              <w:rPr>
                <w:b/>
                <w:bCs/>
              </w:rPr>
              <w:t>Procurement - Small business procurement</w:t>
            </w:r>
          </w:p>
        </w:tc>
      </w:tr>
      <w:tr w:rsidR="00515B0A" w:rsidRPr="00E65906" w14:paraId="6599B0B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19F3AD" w14:textId="77777777" w:rsidR="00515B0A" w:rsidRDefault="00515B0A" w:rsidP="00444EB8">
            <w:pPr>
              <w:spacing w:before="0" w:after="0"/>
            </w:pPr>
            <w:r w:rsidRPr="008E147B">
              <w:t>Supply of goods and services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5E9B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428B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CF2C308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C5E73" w14:textId="77777777" w:rsidR="00515B0A" w:rsidRDefault="00515B0A" w:rsidP="00444EB8">
            <w:pPr>
              <w:spacing w:before="0" w:after="0"/>
            </w:pPr>
            <w:r w:rsidRPr="008E147B">
              <w:t>Trade credit arrangements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04E0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F0E4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3AFE0AC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0E792" w14:textId="77777777" w:rsidR="00515B0A" w:rsidRDefault="00515B0A" w:rsidP="00444EB8">
            <w:pPr>
              <w:spacing w:before="0" w:after="0"/>
            </w:pPr>
            <w:r w:rsidRPr="008E147B">
              <w:t>Credits, rebates and discounts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30817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3794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6DA402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AFE74" w14:textId="77777777" w:rsidR="00515B0A" w:rsidRDefault="00515B0A" w:rsidP="00444EB8">
            <w:pPr>
              <w:spacing w:before="0" w:after="0"/>
            </w:pPr>
            <w:r w:rsidRPr="008E147B">
              <w:t>Excluded payments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0650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1BDC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628EE2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BEF3D" w14:textId="77777777" w:rsidR="00515B0A" w:rsidRDefault="00515B0A" w:rsidP="00444EB8">
            <w:pPr>
              <w:spacing w:before="0" w:after="0"/>
            </w:pPr>
            <w:r w:rsidRPr="008D75FD">
              <w:t>Credit card payments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75AD2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81BC7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048CD51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48FAD" w14:textId="77777777" w:rsidR="00515B0A" w:rsidRPr="008D75FD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D75FD">
              <w:rPr>
                <w:b/>
                <w:bCs/>
              </w:rPr>
              <w:t>Procurement - Payment terms</w:t>
            </w:r>
          </w:p>
        </w:tc>
      </w:tr>
      <w:tr w:rsidR="00515B0A" w:rsidRPr="00E65906" w14:paraId="3852724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4CD" w14:textId="77777777" w:rsidR="00515B0A" w:rsidRDefault="00515B0A" w:rsidP="00444EB8">
            <w:pPr>
              <w:spacing w:before="0" w:after="0"/>
            </w:pPr>
            <w:r w:rsidRPr="008D75FD">
              <w:t>Arrangements, agreements and contracts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68874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ADB0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F37E48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F66DCD" w14:textId="77777777" w:rsidR="00515B0A" w:rsidRDefault="00515B0A" w:rsidP="00444EB8">
            <w:pPr>
              <w:spacing w:before="0" w:after="0"/>
            </w:pPr>
            <w:r w:rsidRPr="008D75FD">
              <w:t>Standard payment period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F2CD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6EB2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BF726B1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45EF3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8D75FD">
              <w:rPr>
                <w:b/>
                <w:bCs/>
              </w:rPr>
              <w:t xml:space="preserve">Procurement - </w:t>
            </w:r>
            <w:r>
              <w:rPr>
                <w:b/>
                <w:bCs/>
              </w:rPr>
              <w:t>Invoices</w:t>
            </w:r>
          </w:p>
        </w:tc>
      </w:tr>
      <w:tr w:rsidR="00515B0A" w:rsidRPr="00E65906" w14:paraId="673D526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404C8" w14:textId="77777777" w:rsidR="00515B0A" w:rsidRDefault="00515B0A" w:rsidP="00444EB8">
            <w:pPr>
              <w:spacing w:before="0" w:after="0"/>
            </w:pPr>
            <w:r>
              <w:t>Invoices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8342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45077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700B8802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E1DE7" w14:textId="77777777" w:rsidR="00515B0A" w:rsidRDefault="00515B0A" w:rsidP="00444EB8">
            <w:pPr>
              <w:spacing w:before="0" w:after="0"/>
            </w:pPr>
            <w:r w:rsidRPr="008D75FD">
              <w:t>Combined invoices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DE62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13720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9A8AE4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D9769" w14:textId="77777777" w:rsidR="00515B0A" w:rsidRDefault="00515B0A" w:rsidP="00444EB8">
            <w:pPr>
              <w:spacing w:before="0" w:after="0"/>
            </w:pPr>
            <w:r w:rsidRPr="008D75FD">
              <w:t>Invoice date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6532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C138B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F2B0FE3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19FD2" w14:textId="77777777" w:rsidR="00515B0A" w:rsidRDefault="00515B0A" w:rsidP="00444EB8">
            <w:pPr>
              <w:spacing w:before="0" w:after="0"/>
            </w:pPr>
            <w:r w:rsidRPr="008D75FD">
              <w:lastRenderedPageBreak/>
              <w:t>Recipient-created tax invoice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D329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A11D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A32905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D6CCD" w14:textId="77777777" w:rsidR="00515B0A" w:rsidRDefault="00515B0A" w:rsidP="00444EB8">
            <w:pPr>
              <w:spacing w:before="0" w:after="0"/>
            </w:pPr>
            <w:r w:rsidRPr="008D75FD">
              <w:t>Disputed invoices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3DFB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986B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B0DA218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D77248" w14:textId="77777777" w:rsidR="00515B0A" w:rsidRDefault="00515B0A" w:rsidP="00444EB8">
            <w:pPr>
              <w:spacing w:before="0" w:after="0"/>
            </w:pPr>
            <w:r w:rsidRPr="008D75FD">
              <w:t>Supply chain finance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47FB7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7C14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EF988BE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05780" w14:textId="77777777" w:rsidR="00515B0A" w:rsidRPr="008D75FD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8D75FD">
              <w:rPr>
                <w:b/>
                <w:bCs/>
              </w:rPr>
              <w:t>Governance</w:t>
            </w:r>
          </w:p>
        </w:tc>
      </w:tr>
      <w:tr w:rsidR="00515B0A" w:rsidRPr="00E65906" w14:paraId="783001BB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FA030" w14:textId="77777777" w:rsidR="00515B0A" w:rsidRDefault="00515B0A" w:rsidP="00444EB8">
            <w:pPr>
              <w:spacing w:before="0" w:after="0"/>
            </w:pPr>
            <w:r w:rsidRPr="008D75FD">
              <w:t>Principal governing body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B1300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B2C5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28EA5C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F48C2" w14:textId="77777777" w:rsidR="00515B0A" w:rsidRDefault="00515B0A" w:rsidP="00444EB8">
            <w:pPr>
              <w:spacing w:before="0" w:after="0"/>
            </w:pPr>
            <w:r w:rsidRPr="008D75FD">
              <w:t>Responsible member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734F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880B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F4217A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B8198" w14:textId="77777777" w:rsidR="00515B0A" w:rsidRDefault="00515B0A" w:rsidP="00444EB8">
            <w:pPr>
              <w:spacing w:before="0" w:after="0"/>
            </w:pPr>
            <w:r w:rsidRPr="008D75FD">
              <w:t>Trusts, partnerships and unincorporated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748B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D333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C9527F" w:rsidRPr="00E65906" w14:paraId="232089D7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B7190" w14:textId="4934DD54" w:rsidR="00C9527F" w:rsidRPr="008D75FD" w:rsidRDefault="00C9527F" w:rsidP="003D5497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C9527F" w:rsidRPr="00E65906" w14:paraId="3AC2F5C6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D9139" w14:textId="4163ED97" w:rsidR="00C9527F" w:rsidRPr="008D75FD" w:rsidRDefault="001470C0" w:rsidP="00444EB8">
            <w:pPr>
              <w:spacing w:before="0" w:after="0"/>
            </w:pPr>
            <w:r>
              <w:t>Other feedback on Guidance note 1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8E198" w14:textId="77777777" w:rsidR="00C9527F" w:rsidRPr="00E65906" w:rsidRDefault="00C9527F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F34C4D" w14:textId="77777777" w:rsidR="00C9527F" w:rsidRPr="00E65906" w:rsidRDefault="00C9527F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0E2F6E0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0066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2195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2E449B">
              <w:rPr>
                <w:b/>
                <w:bCs/>
                <w:color w:val="FFFFFF" w:themeColor="background1"/>
                <w:sz w:val="24"/>
                <w:szCs w:val="22"/>
              </w:rPr>
              <w:t xml:space="preserve">Guidance note </w:t>
            </w:r>
            <w:r>
              <w:rPr>
                <w:b/>
                <w:bCs/>
                <w:color w:val="FFFFFF" w:themeColor="background1"/>
                <w:sz w:val="24"/>
                <w:szCs w:val="22"/>
              </w:rPr>
              <w:t>2</w:t>
            </w:r>
            <w:r w:rsidRPr="002E449B">
              <w:rPr>
                <w:b/>
                <w:bCs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2"/>
              </w:rPr>
              <w:t>Preparing a payment times report</w:t>
            </w:r>
          </w:p>
        </w:tc>
      </w:tr>
      <w:tr w:rsidR="00515B0A" w:rsidRPr="00E65906" w14:paraId="34BD18AE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5A1CD" w14:textId="77777777" w:rsidR="00515B0A" w:rsidRPr="00204BB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204BB9">
              <w:rPr>
                <w:b/>
                <w:bCs/>
              </w:rPr>
              <w:t>When to prepare a report</w:t>
            </w:r>
          </w:p>
        </w:tc>
      </w:tr>
      <w:tr w:rsidR="00515B0A" w:rsidRPr="00E65906" w14:paraId="0E602823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89191" w14:textId="77777777" w:rsidR="00515B0A" w:rsidRPr="008D75FD" w:rsidRDefault="00515B0A" w:rsidP="00444EB8">
            <w:pPr>
              <w:spacing w:before="0" w:after="0"/>
            </w:pPr>
            <w:r w:rsidRPr="00204BB9">
              <w:t>Reporting deadline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5570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8318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361CF1" w:rsidRPr="00E65906" w14:paraId="622964F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F6887" w14:textId="09CC8A99" w:rsidR="00361CF1" w:rsidRPr="00204BB9" w:rsidRDefault="00361CF1" w:rsidP="00444EB8">
            <w:pPr>
              <w:spacing w:before="0" w:after="0"/>
            </w:pPr>
            <w:r>
              <w:t>Mergers and acquisitions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9FD40" w14:textId="77777777" w:rsidR="00361CF1" w:rsidRPr="00E65906" w:rsidRDefault="00361CF1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563FB" w14:textId="77777777" w:rsidR="00361CF1" w:rsidRPr="00E65906" w:rsidRDefault="00361CF1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C6C5A5E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08D60" w14:textId="77777777" w:rsidR="00515B0A" w:rsidRPr="00204BB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204BB9">
              <w:rPr>
                <w:b/>
                <w:bCs/>
              </w:rPr>
              <w:t>Report data</w:t>
            </w:r>
          </w:p>
        </w:tc>
      </w:tr>
      <w:tr w:rsidR="00515B0A" w:rsidRPr="00E65906" w14:paraId="5F49F86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38E5C" w14:textId="77777777" w:rsidR="00515B0A" w:rsidRPr="008D75FD" w:rsidRDefault="00515B0A" w:rsidP="00444EB8">
            <w:pPr>
              <w:spacing w:before="0" w:after="0"/>
            </w:pPr>
            <w:r w:rsidRPr="00204BB9">
              <w:lastRenderedPageBreak/>
              <w:t>Information to prepare a report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91A7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9262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ABE904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CBEE93" w14:textId="77777777" w:rsidR="00515B0A" w:rsidRPr="008D75FD" w:rsidRDefault="00515B0A" w:rsidP="00444EB8">
            <w:pPr>
              <w:spacing w:before="0" w:after="0"/>
            </w:pPr>
            <w:r w:rsidRPr="00204BB9">
              <w:t>Small Business Identification Tool information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C3EB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FC17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3B71B3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B2EDA9" w14:textId="77777777" w:rsidR="00515B0A" w:rsidRPr="008D75FD" w:rsidRDefault="00515B0A" w:rsidP="00444EB8">
            <w:pPr>
              <w:spacing w:before="0" w:after="0"/>
            </w:pPr>
            <w:r w:rsidRPr="00204BB9">
              <w:t>Record keeping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54206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6B9EC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99AF057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B445F" w14:textId="77777777" w:rsidR="00515B0A" w:rsidRPr="00204BB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204BB9">
              <w:rPr>
                <w:b/>
                <w:bCs/>
              </w:rPr>
              <w:t>Payment times report content</w:t>
            </w:r>
          </w:p>
        </w:tc>
      </w:tr>
      <w:tr w:rsidR="00515B0A" w:rsidRPr="00E65906" w14:paraId="0E80E0A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30EF3" w14:textId="77777777" w:rsidR="00515B0A" w:rsidRPr="008D75FD" w:rsidRDefault="00515B0A" w:rsidP="00444EB8">
            <w:pPr>
              <w:spacing w:before="0" w:after="0"/>
            </w:pPr>
            <w:r w:rsidRPr="00204BB9">
              <w:t>Required content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155D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2729F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88477D5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792A2" w14:textId="77777777" w:rsidR="00515B0A" w:rsidRPr="008D75FD" w:rsidRDefault="00515B0A" w:rsidP="00444EB8">
            <w:pPr>
              <w:spacing w:before="0" w:after="0"/>
            </w:pPr>
            <w:r w:rsidRPr="00204BB9">
              <w:t>Other content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0FF2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9851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49DA13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61F77" w14:textId="77777777" w:rsidR="00515B0A" w:rsidRPr="008D75FD" w:rsidRDefault="00515B0A" w:rsidP="00444EB8">
            <w:pPr>
              <w:spacing w:before="0" w:after="0"/>
            </w:pPr>
            <w:r w:rsidRPr="00204BB9">
              <w:t>Reporting for groups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1E01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E8D4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CB826F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3FD54B" w14:textId="77777777" w:rsidR="00515B0A" w:rsidRPr="008D75FD" w:rsidRDefault="00515B0A" w:rsidP="00444EB8">
            <w:pPr>
              <w:spacing w:before="0" w:after="0"/>
            </w:pPr>
            <w:r w:rsidRPr="00204BB9">
              <w:t>Reporting nil values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E644D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EB8E2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CE338B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BA7956" w14:textId="77777777" w:rsidR="00515B0A" w:rsidRPr="008D75FD" w:rsidRDefault="00515B0A" w:rsidP="00444EB8">
            <w:pPr>
              <w:spacing w:before="0" w:after="0"/>
            </w:pPr>
            <w:r w:rsidRPr="00204BB9">
              <w:t>Misleading information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DC24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2855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6BEDC8C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4C9CE" w14:textId="77777777" w:rsidR="00515B0A" w:rsidRPr="00204BB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204BB9">
              <w:rPr>
                <w:b/>
                <w:bCs/>
              </w:rPr>
              <w:t>Submitting a payment times report</w:t>
            </w:r>
          </w:p>
        </w:tc>
      </w:tr>
      <w:tr w:rsidR="00515B0A" w:rsidRPr="00E65906" w14:paraId="6F58770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FB23E" w14:textId="77777777" w:rsidR="00515B0A" w:rsidRPr="008D75FD" w:rsidRDefault="00515B0A" w:rsidP="00444EB8">
            <w:pPr>
              <w:spacing w:before="0" w:after="0"/>
            </w:pPr>
            <w:r w:rsidRPr="00204BB9">
              <w:t>The Payment Times Reporting Portal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59DA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E2B8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BC0CC5D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B9FCA" w14:textId="77777777" w:rsidR="00515B0A" w:rsidRPr="008D75FD" w:rsidRDefault="00515B0A" w:rsidP="00444EB8">
            <w:pPr>
              <w:spacing w:before="0" w:after="0"/>
            </w:pPr>
            <w:r w:rsidRPr="00204BB9">
              <w:t>Signing reports and declarations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DC44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AEAA1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3AD320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DD9C" w14:textId="77777777" w:rsidR="00515B0A" w:rsidRPr="008D75FD" w:rsidRDefault="00515B0A" w:rsidP="00444EB8">
            <w:pPr>
              <w:spacing w:before="0" w:after="0"/>
            </w:pPr>
            <w:r w:rsidRPr="00204BB9">
              <w:t>Publication of reports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E6AA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DB53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70D2F302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0066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521E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2E449B">
              <w:rPr>
                <w:b/>
                <w:bCs/>
                <w:color w:val="FFFFFF" w:themeColor="background1"/>
                <w:sz w:val="24"/>
                <w:szCs w:val="22"/>
              </w:rPr>
              <w:t xml:space="preserve">Guidance note </w:t>
            </w:r>
            <w:r>
              <w:rPr>
                <w:b/>
                <w:bCs/>
                <w:color w:val="FFFFFF" w:themeColor="background1"/>
                <w:sz w:val="24"/>
                <w:szCs w:val="22"/>
              </w:rPr>
              <w:t>2: Appendix 1</w:t>
            </w:r>
            <w:r w:rsidRPr="002E449B">
              <w:rPr>
                <w:b/>
                <w:bCs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z w:val="24"/>
                <w:szCs w:val="22"/>
              </w:rPr>
              <w:t>Payment times reporting template instructions</w:t>
            </w:r>
          </w:p>
        </w:tc>
      </w:tr>
      <w:tr w:rsidR="00515B0A" w:rsidRPr="00E65906" w14:paraId="214FA9BB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C18E3B" w14:textId="77777777" w:rsidR="00515B0A" w:rsidRPr="008D75FD" w:rsidRDefault="00515B0A" w:rsidP="00444EB8">
            <w:pPr>
              <w:spacing w:before="0" w:after="0"/>
            </w:pPr>
            <w:r w:rsidRPr="009D00F9">
              <w:lastRenderedPageBreak/>
              <w:t>Instructions on how to complete the payment times reporting templates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A6D0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B5D8E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4317C2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F363E" w14:textId="77777777" w:rsidR="00515B0A" w:rsidRPr="008D75FD" w:rsidRDefault="00515B0A" w:rsidP="00444EB8">
            <w:pPr>
              <w:spacing w:before="0" w:after="0"/>
            </w:pPr>
            <w:r w:rsidRPr="009D00F9">
              <w:t>Payment Times Reports Register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08AB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157B8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EB55476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3E8C3" w14:textId="77777777" w:rsidR="00515B0A" w:rsidRPr="009D00F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9D00F9">
              <w:rPr>
                <w:b/>
                <w:bCs/>
              </w:rPr>
              <w:t>How to complete the Payment Times Reporting Template</w:t>
            </w:r>
          </w:p>
        </w:tc>
      </w:tr>
      <w:tr w:rsidR="00515B0A" w:rsidRPr="00E65906" w14:paraId="3079852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6019F" w14:textId="77777777" w:rsidR="00515B0A" w:rsidRPr="008D75FD" w:rsidRDefault="00515B0A" w:rsidP="00444EB8">
            <w:pPr>
              <w:spacing w:before="0" w:after="0"/>
            </w:pPr>
            <w:r w:rsidRPr="009D00F9">
              <w:t>Entity information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8E09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BF02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4FB1AA3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4FEDB" w14:textId="77777777" w:rsidR="00515B0A" w:rsidRPr="008D75FD" w:rsidRDefault="00515B0A" w:rsidP="00444EB8">
            <w:pPr>
              <w:spacing w:before="0" w:after="0"/>
            </w:pPr>
            <w:r w:rsidRPr="009D00F9">
              <w:t>Reporting period dates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1F66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73F1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772C58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9A02D" w14:textId="77777777" w:rsidR="00515B0A" w:rsidRPr="008D75FD" w:rsidRDefault="00515B0A" w:rsidP="00444EB8">
            <w:pPr>
              <w:spacing w:before="0" w:after="0"/>
            </w:pPr>
            <w:r w:rsidRPr="009D00F9">
              <w:t>Standard payment periods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2CAB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6DB2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B736B2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11B69F" w14:textId="77777777" w:rsidR="00515B0A" w:rsidRPr="008D75FD" w:rsidRDefault="00515B0A" w:rsidP="00444EB8">
            <w:pPr>
              <w:spacing w:before="0" w:after="0"/>
            </w:pPr>
            <w:r w:rsidRPr="009D00F9">
              <w:t>Small business payments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97CA0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E4756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C021E6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E2D139" w14:textId="77777777" w:rsidR="00515B0A" w:rsidRPr="008D75FD" w:rsidRDefault="00515B0A" w:rsidP="00444EB8">
            <w:pPr>
              <w:spacing w:before="0" w:after="0"/>
            </w:pPr>
            <w:r w:rsidRPr="009D00F9">
              <w:t>Invoicing arrangements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13C9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D5DB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ABF93AB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57A90" w14:textId="77777777" w:rsidR="00515B0A" w:rsidRPr="008D75FD" w:rsidRDefault="00515B0A" w:rsidP="00444EB8">
            <w:pPr>
              <w:spacing w:before="0" w:after="0"/>
            </w:pPr>
            <w:r w:rsidRPr="009D00F9">
              <w:t>Small business procurement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BA6A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615C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20C5E8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0EF6D" w14:textId="77777777" w:rsidR="00515B0A" w:rsidRPr="008D75FD" w:rsidRDefault="00515B0A" w:rsidP="00444EB8">
            <w:pPr>
              <w:spacing w:before="0" w:after="0"/>
            </w:pPr>
            <w:r w:rsidRPr="009D00F9">
              <w:t>Supply chain financing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3DD61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AA0E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2FA1778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936C13" w14:textId="77777777" w:rsidR="00515B0A" w:rsidRPr="008D75FD" w:rsidRDefault="00515B0A" w:rsidP="00444EB8">
            <w:pPr>
              <w:spacing w:before="0" w:after="0"/>
            </w:pPr>
            <w:r w:rsidRPr="009D00F9">
              <w:t>Notifiable events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A5DCE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7468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6D55BEC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30951" w14:textId="77777777" w:rsidR="00515B0A" w:rsidRPr="008D75FD" w:rsidRDefault="00515B0A" w:rsidP="00444EB8">
            <w:pPr>
              <w:spacing w:before="0" w:after="0"/>
            </w:pPr>
            <w:r w:rsidRPr="009D00F9">
              <w:t>Report comments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69678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49C1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0276E0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45BDB" w14:textId="77777777" w:rsidR="00515B0A" w:rsidRPr="008D75FD" w:rsidRDefault="00515B0A" w:rsidP="00444EB8">
            <w:pPr>
              <w:spacing w:before="0" w:after="0"/>
            </w:pPr>
            <w:r w:rsidRPr="009D00F9">
              <w:t>Submission and approval details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B4A25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4F63E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3E52AA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B5FE81" w14:textId="77777777" w:rsidR="00515B0A" w:rsidRPr="008D75FD" w:rsidRDefault="00515B0A" w:rsidP="00444EB8">
            <w:pPr>
              <w:spacing w:before="0" w:after="0"/>
            </w:pPr>
            <w:r w:rsidRPr="009D00F9">
              <w:t>Principal governing body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1788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9887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4F3E978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11D74" w14:textId="77777777" w:rsidR="00515B0A" w:rsidRPr="009D00F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9D00F9">
              <w:rPr>
                <w:b/>
                <w:bCs/>
              </w:rPr>
              <w:lastRenderedPageBreak/>
              <w:t>How to complete the Responsible Member Declaration Template</w:t>
            </w:r>
          </w:p>
        </w:tc>
      </w:tr>
      <w:tr w:rsidR="00515B0A" w:rsidRPr="00E65906" w14:paraId="6072D15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083DF" w14:textId="77777777" w:rsidR="00515B0A" w:rsidRPr="008D75FD" w:rsidRDefault="00515B0A" w:rsidP="00444EB8">
            <w:pPr>
              <w:spacing w:before="0" w:after="0"/>
            </w:pPr>
            <w:r w:rsidRPr="009D00F9">
              <w:t>Responsible member approval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FF5B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E1BF4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28995D2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4ECD0" w14:textId="77777777" w:rsidR="00515B0A" w:rsidRPr="008D75FD" w:rsidRDefault="00515B0A" w:rsidP="00444EB8">
            <w:pPr>
              <w:spacing w:before="0" w:after="0"/>
            </w:pPr>
            <w:r w:rsidRPr="009D00F9">
              <w:t>Provision to the Principal Governing Body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8DBFF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AC08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1470C0" w:rsidRPr="00E65906" w14:paraId="53E22BCA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2E077D" w14:textId="77777777" w:rsidR="001470C0" w:rsidRPr="008D75FD" w:rsidRDefault="001470C0" w:rsidP="003D5497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1470C0" w:rsidRPr="00E65906" w14:paraId="3EF841F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B6B515" w14:textId="2B3E0931" w:rsidR="001470C0" w:rsidRPr="008D75FD" w:rsidRDefault="001470C0" w:rsidP="003D5497">
            <w:pPr>
              <w:spacing w:before="0" w:after="0"/>
            </w:pPr>
            <w:r>
              <w:t>Other feedback on Guidance note 2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DB228" w14:textId="77777777" w:rsidR="001470C0" w:rsidRPr="00E65906" w:rsidRDefault="001470C0" w:rsidP="003D5497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885F8" w14:textId="77777777" w:rsidR="001470C0" w:rsidRPr="00E65906" w:rsidRDefault="001470C0" w:rsidP="003D5497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D4FA8C7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0066A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586C3" w14:textId="77777777" w:rsidR="00515B0A" w:rsidRPr="009D00F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  <w:color w:val="FFFFFF" w:themeColor="background1"/>
              </w:rPr>
            </w:pPr>
            <w:r w:rsidRPr="009D00F9">
              <w:rPr>
                <w:b/>
                <w:bCs/>
                <w:color w:val="FFFFFF" w:themeColor="background1"/>
              </w:rPr>
              <w:t>Guidance note 3 – Applications and notifications</w:t>
            </w:r>
          </w:p>
        </w:tc>
      </w:tr>
      <w:tr w:rsidR="00515B0A" w:rsidRPr="00E65906" w14:paraId="78C76F5F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AAE25" w14:textId="77777777" w:rsidR="00515B0A" w:rsidRPr="009D00F9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9D00F9">
              <w:rPr>
                <w:b/>
                <w:bCs/>
              </w:rPr>
              <w:t>Applications - Extension of time to lodge a payment times report</w:t>
            </w:r>
          </w:p>
        </w:tc>
      </w:tr>
      <w:tr w:rsidR="00515B0A" w:rsidRPr="00E65906" w14:paraId="2B970E4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8769E" w14:textId="77777777" w:rsidR="00515B0A" w:rsidRPr="008D75FD" w:rsidRDefault="00515B0A" w:rsidP="00444EB8">
            <w:pPr>
              <w:spacing w:before="0" w:after="0"/>
            </w:pPr>
            <w:r w:rsidRPr="009D00F9">
              <w:t>When we can give an extension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BB3C7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0BED2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1467775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A6F8F" w14:textId="77777777" w:rsidR="00515B0A" w:rsidRPr="008D75FD" w:rsidRDefault="00515B0A" w:rsidP="00444EB8">
            <w:pPr>
              <w:spacing w:before="0" w:after="0"/>
            </w:pPr>
            <w:r w:rsidRPr="009D00F9">
              <w:t>Circumstances that are exceptional or outside an entity’s control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6B7A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FB74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B6418C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618F7B" w14:textId="77777777" w:rsidR="00515B0A" w:rsidRPr="009D00F9" w:rsidRDefault="00515B0A" w:rsidP="00444EB8">
            <w:pPr>
              <w:spacing w:before="0" w:after="0"/>
            </w:pPr>
            <w:r w:rsidRPr="009D00F9">
              <w:t>Severity of circumstances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A429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68893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6BBFA81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188846" w14:textId="77777777" w:rsidR="00515B0A" w:rsidRPr="009D00F9" w:rsidRDefault="00515B0A" w:rsidP="00444EB8">
            <w:pPr>
              <w:spacing w:before="0" w:after="0"/>
            </w:pPr>
            <w:r w:rsidRPr="009D00F9">
              <w:t>Length of extension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0E5E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1C91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F10589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5F277" w14:textId="77777777" w:rsidR="00515B0A" w:rsidRPr="009D00F9" w:rsidRDefault="00515B0A" w:rsidP="00444EB8">
            <w:pPr>
              <w:spacing w:before="0" w:after="0"/>
            </w:pPr>
            <w:r w:rsidRPr="009D00F9">
              <w:t>Applying for an extension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3A3A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966F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007AA7E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38C8D" w14:textId="77777777" w:rsidR="00515B0A" w:rsidRPr="009D00F9" w:rsidRDefault="00515B0A" w:rsidP="00444EB8">
            <w:pPr>
              <w:spacing w:before="0" w:after="0"/>
            </w:pPr>
            <w:r w:rsidRPr="009D00F9">
              <w:t>Assessing your application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39BB8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9B8E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B7E45E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249A89" w14:textId="77777777" w:rsidR="00515B0A" w:rsidRPr="009D00F9" w:rsidRDefault="00515B0A" w:rsidP="00444EB8">
            <w:pPr>
              <w:spacing w:before="0" w:after="0"/>
            </w:pPr>
            <w:r w:rsidRPr="007D7BDF">
              <w:t>Review of decision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94FC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6BFF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04A6D3D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4DC34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9D00F9">
              <w:rPr>
                <w:b/>
                <w:bCs/>
              </w:rPr>
              <w:lastRenderedPageBreak/>
              <w:t xml:space="preserve">Applications - </w:t>
            </w:r>
            <w:r w:rsidRPr="007D7BDF">
              <w:rPr>
                <w:b/>
                <w:bCs/>
              </w:rPr>
              <w:t>Cease to be a reporting entity</w:t>
            </w:r>
          </w:p>
        </w:tc>
      </w:tr>
      <w:tr w:rsidR="00515B0A" w:rsidRPr="00E65906" w14:paraId="296E48D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D9834" w14:textId="77777777" w:rsidR="00515B0A" w:rsidRPr="009D00F9" w:rsidRDefault="00515B0A" w:rsidP="00444EB8">
            <w:pPr>
              <w:spacing w:before="0" w:after="0"/>
            </w:pPr>
            <w:r w:rsidRPr="007D7BDF">
              <w:t>Eligibility for a determination to cease being a reporting entity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D4AA9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1BA2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230FF5A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ED83FA" w14:textId="77777777" w:rsidR="00515B0A" w:rsidRPr="009D00F9" w:rsidRDefault="00515B0A" w:rsidP="00444EB8">
            <w:pPr>
              <w:spacing w:before="0" w:after="0"/>
            </w:pPr>
            <w:r w:rsidRPr="007D7BDF">
              <w:t>Applying for a determination to cease being a reporting entity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CCAC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D61D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BC6FC49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02BD6" w14:textId="77777777" w:rsidR="00515B0A" w:rsidRPr="009D00F9" w:rsidRDefault="00515B0A" w:rsidP="00444EB8">
            <w:pPr>
              <w:spacing w:before="0" w:after="0"/>
            </w:pPr>
            <w:r w:rsidRPr="007D7BDF">
              <w:t>Assessing your application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E899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1E97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4D89E87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C945DF" w14:textId="77777777" w:rsidR="00515B0A" w:rsidRPr="009D00F9" w:rsidRDefault="00515B0A" w:rsidP="00444EB8">
            <w:pPr>
              <w:spacing w:before="0" w:after="0"/>
            </w:pPr>
            <w:r w:rsidRPr="007D7BDF">
              <w:t>Effect of determination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A758C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C475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C6E91A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69268" w14:textId="77777777" w:rsidR="00515B0A" w:rsidRPr="009D00F9" w:rsidRDefault="00515B0A" w:rsidP="00444EB8">
            <w:pPr>
              <w:spacing w:before="0" w:after="0"/>
            </w:pPr>
            <w:r w:rsidRPr="007D7BDF">
              <w:t>Review of decision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B992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FC3F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6E3C0DB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7B91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9D00F9">
              <w:rPr>
                <w:b/>
                <w:bCs/>
              </w:rPr>
              <w:t>Applications -</w:t>
            </w:r>
            <w:r>
              <w:rPr>
                <w:b/>
                <w:bCs/>
              </w:rPr>
              <w:t xml:space="preserve"> </w:t>
            </w:r>
            <w:r w:rsidRPr="007D7BDF">
              <w:rPr>
                <w:b/>
                <w:bCs/>
              </w:rPr>
              <w:t>Revised payment times reports</w:t>
            </w:r>
          </w:p>
        </w:tc>
      </w:tr>
      <w:tr w:rsidR="00515B0A" w:rsidRPr="00E65906" w14:paraId="394D524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A58D1" w14:textId="77777777" w:rsidR="00515B0A" w:rsidRPr="009D00F9" w:rsidRDefault="00515B0A" w:rsidP="00444EB8">
            <w:pPr>
              <w:spacing w:before="0" w:after="0"/>
            </w:pPr>
            <w:r w:rsidRPr="007D7BDF">
              <w:t>When to give a revised report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E19CD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09914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4D9FF1D8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B6375" w14:textId="77777777" w:rsidR="00515B0A" w:rsidRPr="009D00F9" w:rsidRDefault="00515B0A" w:rsidP="00444EB8">
            <w:pPr>
              <w:spacing w:before="0" w:after="0"/>
            </w:pPr>
            <w:r w:rsidRPr="007D7BDF">
              <w:t>Applying to register a revised report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379A3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E3EE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0A65C46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DC1B7" w14:textId="77777777" w:rsidR="00515B0A" w:rsidRPr="009D00F9" w:rsidRDefault="00515B0A" w:rsidP="00444EB8">
            <w:pPr>
              <w:spacing w:before="0" w:after="0"/>
            </w:pPr>
            <w:r w:rsidRPr="007D7BDF">
              <w:t>Assessing your application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D3F9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CF027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A8717A2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CCB7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  <w:r w:rsidRPr="009D00F9">
              <w:rPr>
                <w:b/>
                <w:bCs/>
              </w:rPr>
              <w:t>Applications -</w:t>
            </w:r>
            <w:r>
              <w:rPr>
                <w:b/>
                <w:bCs/>
              </w:rPr>
              <w:t xml:space="preserve"> </w:t>
            </w:r>
            <w:r w:rsidRPr="007D7BDF">
              <w:rPr>
                <w:b/>
                <w:bCs/>
              </w:rPr>
              <w:t>Redaction of commercial-in-confidence information</w:t>
            </w:r>
          </w:p>
        </w:tc>
      </w:tr>
      <w:tr w:rsidR="00515B0A" w:rsidRPr="00E65906" w14:paraId="180B9D9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275B2" w14:textId="77777777" w:rsidR="00515B0A" w:rsidRPr="009D00F9" w:rsidRDefault="00515B0A" w:rsidP="00444EB8">
            <w:pPr>
              <w:spacing w:before="0" w:after="0"/>
            </w:pPr>
            <w:r w:rsidRPr="007D7BDF">
              <w:t>Redaction of commercial-in-confidence information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A1151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C740BF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1FD66DE4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90777" w14:textId="77777777" w:rsidR="00515B0A" w:rsidRPr="009D00F9" w:rsidRDefault="00515B0A" w:rsidP="00444EB8">
            <w:pPr>
              <w:spacing w:before="0" w:after="0"/>
            </w:pPr>
            <w:r w:rsidRPr="007D7BDF">
              <w:t>Requesting a redaction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902BC2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B8EEA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3EF604DF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2973A" w14:textId="77777777" w:rsidR="00515B0A" w:rsidRPr="007D7BDF" w:rsidRDefault="00515B0A" w:rsidP="00444EB8">
            <w:pPr>
              <w:spacing w:before="0" w:after="0"/>
            </w:pPr>
            <w:r w:rsidRPr="007D7BDF">
              <w:lastRenderedPageBreak/>
              <w:t>Assessing your request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045E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77048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62EF8EDC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5A9C9" w14:textId="77777777" w:rsidR="00515B0A" w:rsidRPr="007D7BDF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7D7BDF">
              <w:rPr>
                <w:b/>
                <w:bCs/>
              </w:rPr>
              <w:t>Notifications – Volunteering entities</w:t>
            </w:r>
          </w:p>
        </w:tc>
      </w:tr>
      <w:tr w:rsidR="00515B0A" w:rsidRPr="00E65906" w14:paraId="7035F6D5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87E18" w14:textId="77777777" w:rsidR="00515B0A" w:rsidRPr="007D7BDF" w:rsidRDefault="00515B0A" w:rsidP="00444EB8">
            <w:pPr>
              <w:spacing w:before="0" w:after="0"/>
            </w:pPr>
            <w:r w:rsidRPr="007D7BDF">
              <w:t>Volunteering entities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A0EF9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BD3F65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515B0A" w:rsidRPr="00E65906" w14:paraId="59EB9260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B2DDB" w14:textId="77777777" w:rsidR="00515B0A" w:rsidRPr="007D7BDF" w:rsidRDefault="00515B0A" w:rsidP="00444EB8">
            <w:pPr>
              <w:spacing w:before="0" w:after="0"/>
            </w:pPr>
            <w:r w:rsidRPr="007D7BDF">
              <w:t>Notifiable events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2B1ABB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D2830" w14:textId="77777777" w:rsidR="00515B0A" w:rsidRPr="00E65906" w:rsidRDefault="00515B0A" w:rsidP="00444EB8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  <w:tr w:rsidR="001937FA" w:rsidRPr="00E65906" w14:paraId="677D0186" w14:textId="77777777" w:rsidTr="000513BF">
        <w:trPr>
          <w:trHeight w:val="397"/>
          <w:jc w:val="center"/>
        </w:trPr>
        <w:tc>
          <w:tcPr>
            <w:tcW w:w="5000" w:type="pct"/>
            <w:gridSpan w:val="3"/>
            <w:shd w:val="clear" w:color="auto" w:fill="CD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F5DF1D" w14:textId="77777777" w:rsidR="001937FA" w:rsidRPr="008D75FD" w:rsidRDefault="001937FA" w:rsidP="003D5497">
            <w:pPr>
              <w:pStyle w:val="AlphaParagraph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1937FA" w:rsidRPr="00E65906" w14:paraId="6F4056BA" w14:textId="77777777" w:rsidTr="000513BF">
        <w:trPr>
          <w:trHeight w:val="397"/>
          <w:jc w:val="center"/>
        </w:trPr>
        <w:tc>
          <w:tcPr>
            <w:tcW w:w="13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04F0A" w14:textId="4F0C7808" w:rsidR="001937FA" w:rsidRPr="008D75FD" w:rsidRDefault="001937FA" w:rsidP="003D5497">
            <w:pPr>
              <w:spacing w:before="0" w:after="0"/>
            </w:pPr>
            <w:r>
              <w:t>Other feedback on Guidance note 3</w:t>
            </w:r>
          </w:p>
        </w:tc>
        <w:tc>
          <w:tcPr>
            <w:tcW w:w="57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518E9" w14:textId="77777777" w:rsidR="001937FA" w:rsidRPr="00E65906" w:rsidRDefault="001937FA" w:rsidP="003D5497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  <w:tc>
          <w:tcPr>
            <w:tcW w:w="31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97A29" w14:textId="77777777" w:rsidR="001937FA" w:rsidRPr="00E65906" w:rsidRDefault="001937FA" w:rsidP="003D5497">
            <w:pPr>
              <w:pStyle w:val="AlphaParagraph"/>
              <w:numPr>
                <w:ilvl w:val="0"/>
                <w:numId w:val="0"/>
              </w:numPr>
              <w:spacing w:after="0"/>
            </w:pPr>
          </w:p>
        </w:tc>
      </w:tr>
    </w:tbl>
    <w:p w14:paraId="3E2E8AE4" w14:textId="77777777" w:rsidR="00DA3490" w:rsidRPr="008B3548" w:rsidRDefault="00DA3490" w:rsidP="00A82CE8"/>
    <w:sectPr w:rsidR="00DA3490" w:rsidRPr="008B3548" w:rsidSect="00A82CE8">
      <w:headerReference w:type="default" r:id="rId42"/>
      <w:footerReference w:type="default" r:id="rId43"/>
      <w:pgSz w:w="16838" w:h="11906" w:orient="landscape" w:code="9"/>
      <w:pgMar w:top="1702" w:right="1702" w:bottom="1080" w:left="1440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9B75" w14:textId="77777777" w:rsidR="00BC5C54" w:rsidRDefault="00BC5C54">
      <w:pPr>
        <w:spacing w:before="0" w:after="0"/>
      </w:pPr>
      <w:r>
        <w:separator/>
      </w:r>
    </w:p>
  </w:endnote>
  <w:endnote w:type="continuationSeparator" w:id="0">
    <w:p w14:paraId="2EE4F9A2" w14:textId="77777777" w:rsidR="00BC5C54" w:rsidRDefault="00BC5C54">
      <w:pPr>
        <w:spacing w:before="0" w:after="0"/>
      </w:pPr>
      <w:r>
        <w:continuationSeparator/>
      </w:r>
    </w:p>
  </w:endnote>
  <w:endnote w:type="continuationNotice" w:id="1">
    <w:p w14:paraId="1FAFD116" w14:textId="77777777" w:rsidR="00BC5C54" w:rsidRDefault="00BC5C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A1E0" w14:textId="77777777" w:rsidR="00BC5C54" w:rsidRPr="00E77C89" w:rsidRDefault="00BC5C54" w:rsidP="0017089D"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FB64" w14:textId="77777777" w:rsidR="00BC5C54" w:rsidRPr="00E77C89" w:rsidRDefault="00BC5C54" w:rsidP="001708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Look w:val="04A0" w:firstRow="1" w:lastRow="0" w:firstColumn="1" w:lastColumn="0" w:noHBand="0" w:noVBand="1"/>
    </w:tblPr>
    <w:tblGrid>
      <w:gridCol w:w="2694"/>
      <w:gridCol w:w="3969"/>
      <w:gridCol w:w="3260"/>
    </w:tblGrid>
    <w:tr w:rsidR="009B391A" w:rsidRPr="00C35086" w14:paraId="51673844" w14:textId="77777777" w:rsidTr="00441890">
      <w:trPr>
        <w:trHeight w:val="574"/>
      </w:trPr>
      <w:tc>
        <w:tcPr>
          <w:tcW w:w="2694" w:type="dxa"/>
          <w:shd w:val="clear" w:color="auto" w:fill="auto"/>
          <w:vAlign w:val="center"/>
        </w:tcPr>
        <w:bookmarkStart w:id="18" w:name="_Hlk107309729"/>
        <w:p w14:paraId="5609E74B" w14:textId="77777777" w:rsidR="009B391A" w:rsidRPr="00C35086" w:rsidRDefault="009B391A" w:rsidP="009B391A">
          <w:pPr>
            <w:pStyle w:val="HeaderOdd"/>
            <w:tabs>
              <w:tab w:val="left" w:pos="0"/>
              <w:tab w:val="left" w:pos="2552"/>
            </w:tabs>
            <w:jc w:val="left"/>
            <w:rPr>
              <w:rFonts w:asciiTheme="minorHAnsi" w:hAnsiTheme="minorHAnsi" w:cstheme="minorHAnsi"/>
              <w:b/>
              <w:bCs/>
            </w:rPr>
          </w:pPr>
          <w:r>
            <w:rPr>
              <w:rFonts w:cstheme="minorHAnsi"/>
              <w:b/>
              <w:bCs/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8248" behindDoc="1" locked="0" layoutInCell="1" allowOverlap="1" wp14:anchorId="7FE658F3" wp14:editId="1F3D83CE">
                    <wp:simplePos x="0" y="0"/>
                    <wp:positionH relativeFrom="column">
                      <wp:posOffset>-280670</wp:posOffset>
                    </wp:positionH>
                    <wp:positionV relativeFrom="paragraph">
                      <wp:posOffset>-3175</wp:posOffset>
                    </wp:positionV>
                    <wp:extent cx="179705" cy="179705"/>
                    <wp:effectExtent l="0" t="0" r="10795" b="29845"/>
                    <wp:wrapTight wrapText="bothSides">
                      <wp:wrapPolygon edited="0">
                        <wp:start x="0" y="0"/>
                        <wp:lineTo x="0" y="20608"/>
                        <wp:lineTo x="6869" y="22898"/>
                        <wp:lineTo x="16028" y="22898"/>
                        <wp:lineTo x="20608" y="18318"/>
                        <wp:lineTo x="20608" y="0"/>
                        <wp:lineTo x="0" y="0"/>
                      </wp:wrapPolygon>
                    </wp:wrapTight>
                    <wp:docPr id="13" name="Group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79705" cy="179705"/>
                              <a:chOff x="141694" y="0"/>
                              <a:chExt cx="1368152" cy="1368152"/>
                            </a:xfrm>
                          </wpg:grpSpPr>
                          <wps:wsp>
                            <wps:cNvPr id="14" name="Oval 14"/>
                            <wps:cNvSpPr/>
                            <wps:spPr>
                              <a:xfrm>
                                <a:off x="141694" y="0"/>
                                <a:ext cx="1368152" cy="13681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429726" y="0"/>
                                <a:ext cx="792088" cy="13681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Straight Connector 16"/>
                            <wps:cNvCnPr/>
                            <wps:spPr>
                              <a:xfrm>
                                <a:off x="825770" y="0"/>
                                <a:ext cx="0" cy="136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Oval 17"/>
                            <wps:cNvSpPr/>
                            <wps:spPr>
                              <a:xfrm rot="5400000">
                                <a:off x="490879" y="8923"/>
                                <a:ext cx="669790" cy="136814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02A11149" id="Group 13" o:spid="_x0000_s1026" style="position:absolute;margin-left:-22.1pt;margin-top:-.25pt;width:14.15pt;height:14.15pt;z-index:-251658232;mso-width-relative:margin;mso-height-relative:margin" coordorigin="1416" coordsize="13681,1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">
                    <o:lock v:ext="edit" aspectratio="t"/>
                    <v:oval id="Oval 14" o:spid="_x0000_s1027" style="position:absolute;left:1416;width:13682;height:1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" filled="f" strokecolor="#b1f0cf" strokeweight="1pt"/>
                    <v:oval id="Oval 15" o:spid="_x0000_s1028" style="position:absolute;left:4297;width:7921;height:1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" filled="f" strokecolor="#b1f0cf" strokeweight="1pt"/>
                    <v:line id="Straight Connector 16" o:spid="_x0000_s1029" style="position:absolute;visibility:visible;mso-wrap-style:square" from="8257,0" to="8257,1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" strokecolor="#b1f0cf" strokeweight="1pt"/>
                    <v:oval id="Oval 17" o:spid="_x0000_s1030" style="position:absolute;left:4909;top:89;width:6697;height:13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" filled="f" strokecolor="#b1f0cf" strokeweight="1pt"/>
                    <w10:wrap type="tight"/>
                  </v:group>
                </w:pict>
              </mc:Fallback>
            </mc:AlternateContent>
          </w:r>
          <w:r w:rsidRPr="00C35086">
            <w:rPr>
              <w:rFonts w:asciiTheme="minorHAnsi" w:hAnsiTheme="minorHAnsi" w:cstheme="minorHAnsi"/>
              <w:bCs/>
              <w:color w:val="FFFFFF" w:themeColor="background1"/>
            </w:rPr>
            <w:t>paymenttimes.gov.au</w:t>
          </w:r>
        </w:p>
      </w:tc>
      <w:tc>
        <w:tcPr>
          <w:tcW w:w="3969" w:type="dxa"/>
          <w:shd w:val="clear" w:color="auto" w:fill="auto"/>
          <w:vAlign w:val="center"/>
        </w:tcPr>
        <w:p w14:paraId="54FB1DBC" w14:textId="77777777" w:rsidR="009B391A" w:rsidRPr="00C35086" w:rsidRDefault="009B391A" w:rsidP="009B391A">
          <w:pPr>
            <w:pStyle w:val="HeaderOdd"/>
            <w:tabs>
              <w:tab w:val="left" w:pos="0"/>
              <w:tab w:val="left" w:pos="2552"/>
            </w:tabs>
            <w:jc w:val="center"/>
            <w:rPr>
              <w:rFonts w:asciiTheme="minorHAnsi" w:hAnsiTheme="minorHAnsi" w:cstheme="minorHAnsi"/>
            </w:rPr>
          </w:pPr>
          <w:r w:rsidRPr="00C35086">
            <w:rPr>
              <w:rFonts w:cstheme="minorHAnsi"/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9" behindDoc="1" locked="0" layoutInCell="1" allowOverlap="1" wp14:anchorId="71F89927" wp14:editId="6918661A">
                <wp:simplePos x="0" y="0"/>
                <wp:positionH relativeFrom="column">
                  <wp:posOffset>360680</wp:posOffset>
                </wp:positionH>
                <wp:positionV relativeFrom="paragraph">
                  <wp:posOffset>-62865</wp:posOffset>
                </wp:positionV>
                <wp:extent cx="194310" cy="194310"/>
                <wp:effectExtent l="0" t="0" r="0" b="0"/>
                <wp:wrapThrough wrapText="bothSides">
                  <wp:wrapPolygon edited="0">
                    <wp:start x="0" y="0"/>
                    <wp:lineTo x="0" y="19059"/>
                    <wp:lineTo x="19059" y="19059"/>
                    <wp:lineTo x="19059" y="0"/>
                    <wp:lineTo x="0" y="0"/>
                  </wp:wrapPolygon>
                </wp:wrapThrough>
                <wp:docPr id="44" name="Graphic 44" descr="Envelop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Graphic 64" descr="Envelope with solid fil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35086">
            <w:rPr>
              <w:rFonts w:asciiTheme="minorHAnsi" w:hAnsiTheme="minorHAnsi" w:cstheme="minorHAnsi"/>
              <w:bCs/>
              <w:color w:val="FFFFFF" w:themeColor="background1"/>
            </w:rPr>
            <w:t>support@paymenttimes.gov.au</w:t>
          </w:r>
        </w:p>
      </w:tc>
      <w:tc>
        <w:tcPr>
          <w:tcW w:w="3260" w:type="dxa"/>
          <w:shd w:val="clear" w:color="auto" w:fill="auto"/>
          <w:vAlign w:val="center"/>
        </w:tcPr>
        <w:p w14:paraId="40B09594" w14:textId="77777777" w:rsidR="009B391A" w:rsidRPr="00C35086" w:rsidRDefault="009B391A" w:rsidP="009B391A">
          <w:pPr>
            <w:pStyle w:val="HeaderOdd"/>
            <w:tabs>
              <w:tab w:val="left" w:pos="0"/>
            </w:tabs>
            <w:ind w:right="36"/>
            <w:rPr>
              <w:rFonts w:asciiTheme="minorHAnsi" w:hAnsiTheme="minorHAnsi" w:cstheme="minorHAnsi"/>
            </w:rPr>
          </w:pPr>
          <w:r w:rsidRPr="00BB5F59">
            <w:rPr>
              <w:rFonts w:asciiTheme="minorHAnsi" w:hAnsiTheme="minorHAnsi" w:cstheme="minorHAnsi"/>
              <w:bCs/>
              <w:color w:val="FFFFFF" w:themeColor="background1"/>
            </w:rPr>
            <w:t>Page</w:t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t xml:space="preserve"> 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begin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instrText xml:space="preserve"> PAGE </w:instrTex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separate"/>
          </w:r>
          <w:r w:rsidRPr="00BB5F59">
            <w:rPr>
              <w:rFonts w:asciiTheme="minorHAnsi" w:hAnsiTheme="minorHAnsi" w:cstheme="minorHAnsi"/>
              <w:color w:val="FFFFFF" w:themeColor="background1"/>
              <w:sz w:val="24"/>
              <w:szCs w:val="24"/>
            </w:rPr>
            <w:t>2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end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t xml:space="preserve"> </w:t>
          </w:r>
          <w:r w:rsidRPr="00BB5F59">
            <w:rPr>
              <w:rFonts w:asciiTheme="minorHAnsi" w:hAnsiTheme="minorHAnsi" w:cstheme="minorHAnsi"/>
              <w:bCs/>
              <w:color w:val="FFFFFF" w:themeColor="background1"/>
            </w:rPr>
            <w:t xml:space="preserve">of </w:t>
          </w:r>
          <w:r w:rsidRPr="00BB5F59">
            <w:rPr>
              <w:rFonts w:cstheme="minorHAnsi"/>
              <w:color w:val="FFFFFF" w:themeColor="background1"/>
            </w:rPr>
            <w:fldChar w:fldCharType="begin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instrText xml:space="preserve"> NUMPAGES  </w:instrText>
          </w:r>
          <w:r w:rsidRPr="00BB5F59">
            <w:rPr>
              <w:rFonts w:cstheme="minorHAnsi"/>
              <w:color w:val="FFFFFF" w:themeColor="background1"/>
            </w:rPr>
            <w:fldChar w:fldCharType="separate"/>
          </w:r>
          <w:r w:rsidRPr="00BB5F59">
            <w:rPr>
              <w:rFonts w:asciiTheme="minorHAnsi" w:hAnsiTheme="minorHAnsi" w:cstheme="minorHAnsi"/>
              <w:color w:val="FFFFFF" w:themeColor="background1"/>
              <w:sz w:val="24"/>
              <w:szCs w:val="24"/>
            </w:rPr>
            <w:t>7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end"/>
          </w:r>
        </w:p>
      </w:tc>
    </w:tr>
  </w:tbl>
  <w:bookmarkEnd w:id="18"/>
  <w:p w14:paraId="3888B86D" w14:textId="77777777" w:rsidR="00BC5C54" w:rsidRPr="009B391A" w:rsidRDefault="009B391A" w:rsidP="009B391A">
    <w:pPr>
      <w:pStyle w:val="Footer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50" behindDoc="1" locked="0" layoutInCell="1" allowOverlap="1" wp14:anchorId="2A01BF9D" wp14:editId="078505A2">
          <wp:simplePos x="0" y="0"/>
          <wp:positionH relativeFrom="page">
            <wp:posOffset>3810</wp:posOffset>
          </wp:positionH>
          <wp:positionV relativeFrom="paragraph">
            <wp:posOffset>-519761</wp:posOffset>
          </wp:positionV>
          <wp:extent cx="7548245" cy="97345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BB08C" w14:textId="77777777" w:rsidR="00BC5C54" w:rsidRDefault="00BC5C5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AB92" w14:textId="7017FE71" w:rsidR="00D43E34" w:rsidRDefault="00D43E34" w:rsidP="00E1136B">
    <w:pPr>
      <w:pStyle w:val="Footer"/>
    </w:pPr>
  </w:p>
  <w:tbl>
    <w:tblPr>
      <w:tblStyle w:val="TableGrid"/>
      <w:tblW w:w="14176" w:type="dxa"/>
      <w:tblInd w:w="-142" w:type="dxa"/>
      <w:tblLook w:val="04A0" w:firstRow="1" w:lastRow="0" w:firstColumn="1" w:lastColumn="0" w:noHBand="0" w:noVBand="1"/>
    </w:tblPr>
    <w:tblGrid>
      <w:gridCol w:w="4725"/>
      <w:gridCol w:w="4725"/>
      <w:gridCol w:w="4726"/>
    </w:tblGrid>
    <w:tr w:rsidR="005D2E8A" w:rsidRPr="00C35086" w14:paraId="3D7BA898" w14:textId="77777777" w:rsidTr="00515B0A">
      <w:trPr>
        <w:trHeight w:val="574"/>
      </w:trPr>
      <w:tc>
        <w:tcPr>
          <w:tcW w:w="4725" w:type="dxa"/>
          <w:shd w:val="clear" w:color="auto" w:fill="auto"/>
          <w:vAlign w:val="center"/>
        </w:tcPr>
        <w:p w14:paraId="1591D2EE" w14:textId="1C3CE8D0" w:rsidR="005D2E8A" w:rsidRPr="00C35086" w:rsidRDefault="005D2E8A" w:rsidP="009B391A">
          <w:pPr>
            <w:pStyle w:val="HeaderOdd"/>
            <w:tabs>
              <w:tab w:val="left" w:pos="0"/>
              <w:tab w:val="left" w:pos="2552"/>
            </w:tabs>
            <w:jc w:val="left"/>
            <w:rPr>
              <w:rFonts w:asciiTheme="minorHAnsi" w:hAnsiTheme="minorHAnsi" w:cstheme="minorHAnsi"/>
              <w:b/>
              <w:bCs/>
            </w:rPr>
          </w:pPr>
          <w:r>
            <w:rPr>
              <w:rFonts w:cstheme="minorHAnsi"/>
              <w:b/>
              <w:bCs/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8244" behindDoc="1" locked="0" layoutInCell="1" allowOverlap="1" wp14:anchorId="2A33740E" wp14:editId="12F7FAE8">
                    <wp:simplePos x="0" y="0"/>
                    <wp:positionH relativeFrom="column">
                      <wp:posOffset>-280670</wp:posOffset>
                    </wp:positionH>
                    <wp:positionV relativeFrom="paragraph">
                      <wp:posOffset>-3175</wp:posOffset>
                    </wp:positionV>
                    <wp:extent cx="179705" cy="179705"/>
                    <wp:effectExtent l="0" t="0" r="10795" b="29845"/>
                    <wp:wrapTight wrapText="bothSides">
                      <wp:wrapPolygon edited="0">
                        <wp:start x="0" y="0"/>
                        <wp:lineTo x="0" y="20608"/>
                        <wp:lineTo x="6869" y="22898"/>
                        <wp:lineTo x="16028" y="22898"/>
                        <wp:lineTo x="20608" y="18318"/>
                        <wp:lineTo x="20608" y="0"/>
                        <wp:lineTo x="0" y="0"/>
                      </wp:wrapPolygon>
                    </wp:wrapTight>
                    <wp:docPr id="46" name="Group 4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79705" cy="179705"/>
                              <a:chOff x="141694" y="0"/>
                              <a:chExt cx="1368152" cy="1368152"/>
                            </a:xfrm>
                          </wpg:grpSpPr>
                          <wps:wsp>
                            <wps:cNvPr id="47" name="Oval 47"/>
                            <wps:cNvSpPr/>
                            <wps:spPr>
                              <a:xfrm>
                                <a:off x="141694" y="0"/>
                                <a:ext cx="1368152" cy="13681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Oval 48"/>
                            <wps:cNvSpPr/>
                            <wps:spPr>
                              <a:xfrm>
                                <a:off x="429726" y="0"/>
                                <a:ext cx="792088" cy="136815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Straight Connector 49"/>
                            <wps:cNvCnPr/>
                            <wps:spPr>
                              <a:xfrm>
                                <a:off x="825770" y="0"/>
                                <a:ext cx="0" cy="13681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Oval 50"/>
                            <wps:cNvSpPr/>
                            <wps:spPr>
                              <a:xfrm rot="5400000">
                                <a:off x="490879" y="8923"/>
                                <a:ext cx="669790" cy="1368144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B1F0C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054FD427" id="Group 46" o:spid="_x0000_s1026" style="position:absolute;margin-left:-22.1pt;margin-top:-.25pt;width:14.15pt;height:14.15pt;z-index:-251658236;mso-width-relative:margin;mso-height-relative:margin" coordorigin="1416" coordsize="13681,1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">
                    <o:lock v:ext="edit" aspectratio="t"/>
                    <v:oval id="Oval 47" o:spid="_x0000_s1027" style="position:absolute;left:1416;width:13682;height:1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" filled="f" strokecolor="#b1f0cf" strokeweight="1pt"/>
                    <v:oval id="Oval 48" o:spid="_x0000_s1028" style="position:absolute;left:4297;width:7921;height:1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" filled="f" strokecolor="#b1f0cf" strokeweight="1pt"/>
                    <v:line id="Straight Connector 49" o:spid="_x0000_s1029" style="position:absolute;visibility:visible;mso-wrap-style:square" from="8257,0" to="8257,1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" strokecolor="#b1f0cf" strokeweight="1pt"/>
                    <v:oval id="Oval 50" o:spid="_x0000_s1030" style="position:absolute;left:4909;top:89;width:6697;height:136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" filled="f" strokecolor="#b1f0cf" strokeweight="1pt"/>
                    <w10:wrap type="tight"/>
                  </v:group>
                </w:pict>
              </mc:Fallback>
            </mc:AlternateContent>
          </w:r>
          <w:r w:rsidRPr="00C35086">
            <w:rPr>
              <w:rFonts w:asciiTheme="minorHAnsi" w:hAnsiTheme="minorHAnsi" w:cstheme="minorHAnsi"/>
              <w:bCs/>
              <w:color w:val="FFFFFF" w:themeColor="background1"/>
            </w:rPr>
            <w:t>paymenttimes.gov.au</w:t>
          </w:r>
        </w:p>
      </w:tc>
      <w:tc>
        <w:tcPr>
          <w:tcW w:w="4725" w:type="dxa"/>
          <w:shd w:val="clear" w:color="auto" w:fill="auto"/>
          <w:vAlign w:val="center"/>
        </w:tcPr>
        <w:p w14:paraId="1655AA7D" w14:textId="77777777" w:rsidR="005D2E8A" w:rsidRPr="00C35086" w:rsidRDefault="005D2E8A" w:rsidP="009B391A">
          <w:pPr>
            <w:pStyle w:val="HeaderOdd"/>
            <w:tabs>
              <w:tab w:val="left" w:pos="0"/>
              <w:tab w:val="left" w:pos="2552"/>
            </w:tabs>
            <w:jc w:val="center"/>
            <w:rPr>
              <w:rFonts w:asciiTheme="minorHAnsi" w:hAnsiTheme="minorHAnsi" w:cstheme="minorHAnsi"/>
            </w:rPr>
          </w:pPr>
          <w:r w:rsidRPr="00C35086">
            <w:rPr>
              <w:rFonts w:cstheme="minorHAnsi"/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3" behindDoc="1" locked="0" layoutInCell="1" allowOverlap="1" wp14:anchorId="4E614423" wp14:editId="047FD2DA">
                <wp:simplePos x="0" y="0"/>
                <wp:positionH relativeFrom="column">
                  <wp:posOffset>360680</wp:posOffset>
                </wp:positionH>
                <wp:positionV relativeFrom="paragraph">
                  <wp:posOffset>-62865</wp:posOffset>
                </wp:positionV>
                <wp:extent cx="194310" cy="194310"/>
                <wp:effectExtent l="0" t="0" r="0" b="0"/>
                <wp:wrapThrough wrapText="bothSides">
                  <wp:wrapPolygon edited="0">
                    <wp:start x="0" y="0"/>
                    <wp:lineTo x="0" y="19059"/>
                    <wp:lineTo x="19059" y="19059"/>
                    <wp:lineTo x="19059" y="0"/>
                    <wp:lineTo x="0" y="0"/>
                  </wp:wrapPolygon>
                </wp:wrapThrough>
                <wp:docPr id="32" name="Graphic 32" descr="Envelop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Graphic 64" descr="Envelope with solid fil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35086">
            <w:rPr>
              <w:rFonts w:asciiTheme="minorHAnsi" w:hAnsiTheme="minorHAnsi" w:cstheme="minorHAnsi"/>
              <w:bCs/>
              <w:color w:val="FFFFFF" w:themeColor="background1"/>
            </w:rPr>
            <w:t>support@paymenttimes.gov.au</w:t>
          </w:r>
        </w:p>
      </w:tc>
      <w:tc>
        <w:tcPr>
          <w:tcW w:w="4726" w:type="dxa"/>
          <w:shd w:val="clear" w:color="auto" w:fill="auto"/>
          <w:vAlign w:val="center"/>
        </w:tcPr>
        <w:p w14:paraId="6F7A2F76" w14:textId="77777777" w:rsidR="005D2E8A" w:rsidRPr="00C35086" w:rsidRDefault="005D2E8A" w:rsidP="009B391A">
          <w:pPr>
            <w:pStyle w:val="HeaderOdd"/>
            <w:tabs>
              <w:tab w:val="left" w:pos="0"/>
            </w:tabs>
            <w:ind w:right="36"/>
            <w:rPr>
              <w:rFonts w:asciiTheme="minorHAnsi" w:hAnsiTheme="minorHAnsi" w:cstheme="minorHAnsi"/>
            </w:rPr>
          </w:pPr>
          <w:r w:rsidRPr="00BB5F59">
            <w:rPr>
              <w:rFonts w:asciiTheme="minorHAnsi" w:hAnsiTheme="minorHAnsi" w:cstheme="minorHAnsi"/>
              <w:bCs/>
              <w:color w:val="FFFFFF" w:themeColor="background1"/>
            </w:rPr>
            <w:t>Page</w:t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t xml:space="preserve"> 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begin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instrText xml:space="preserve"> PAGE </w:instrTex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separate"/>
          </w:r>
          <w:r w:rsidRPr="00BB5F59">
            <w:rPr>
              <w:rFonts w:asciiTheme="minorHAnsi" w:hAnsiTheme="minorHAnsi" w:cstheme="minorHAnsi"/>
              <w:color w:val="FFFFFF" w:themeColor="background1"/>
              <w:sz w:val="24"/>
              <w:szCs w:val="24"/>
            </w:rPr>
            <w:t>2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end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t xml:space="preserve"> </w:t>
          </w:r>
          <w:r w:rsidRPr="00BB5F59">
            <w:rPr>
              <w:rFonts w:asciiTheme="minorHAnsi" w:hAnsiTheme="minorHAnsi" w:cstheme="minorHAnsi"/>
              <w:bCs/>
              <w:color w:val="FFFFFF" w:themeColor="background1"/>
            </w:rPr>
            <w:t xml:space="preserve">of </w:t>
          </w:r>
          <w:r w:rsidRPr="00BB5F59">
            <w:rPr>
              <w:rFonts w:cstheme="minorHAnsi"/>
              <w:color w:val="FFFFFF" w:themeColor="background1"/>
            </w:rPr>
            <w:fldChar w:fldCharType="begin"/>
          </w:r>
          <w:r w:rsidRPr="00BB5F59">
            <w:rPr>
              <w:rFonts w:asciiTheme="minorHAnsi" w:hAnsiTheme="minorHAnsi" w:cstheme="minorHAnsi"/>
              <w:color w:val="FFFFFF" w:themeColor="background1"/>
            </w:rPr>
            <w:instrText xml:space="preserve"> NUMPAGES  </w:instrText>
          </w:r>
          <w:r w:rsidRPr="00BB5F59">
            <w:rPr>
              <w:rFonts w:cstheme="minorHAnsi"/>
              <w:color w:val="FFFFFF" w:themeColor="background1"/>
            </w:rPr>
            <w:fldChar w:fldCharType="separate"/>
          </w:r>
          <w:r w:rsidRPr="00BB5F59">
            <w:rPr>
              <w:rFonts w:asciiTheme="minorHAnsi" w:hAnsiTheme="minorHAnsi" w:cstheme="minorHAnsi"/>
              <w:color w:val="FFFFFF" w:themeColor="background1"/>
              <w:sz w:val="24"/>
              <w:szCs w:val="24"/>
            </w:rPr>
            <w:t>7</w:t>
          </w:r>
          <w:r w:rsidRPr="00BB5F59">
            <w:rPr>
              <w:rFonts w:cstheme="minorHAnsi"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14:paraId="4BFFAA42" w14:textId="77777777" w:rsidR="005D2E8A" w:rsidRPr="009B391A" w:rsidRDefault="005D2E8A" w:rsidP="009B391A">
    <w:pPr>
      <w:pStyle w:val="Footer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42" behindDoc="1" locked="0" layoutInCell="1" allowOverlap="1" wp14:anchorId="36C8AA65" wp14:editId="07D46797">
          <wp:simplePos x="0" y="0"/>
          <wp:positionH relativeFrom="page">
            <wp:align>right</wp:align>
          </wp:positionH>
          <wp:positionV relativeFrom="paragraph">
            <wp:posOffset>-521244</wp:posOffset>
          </wp:positionV>
          <wp:extent cx="10687495" cy="973455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49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B5BD0" w14:textId="77777777" w:rsidR="00BC5C54" w:rsidRDefault="00BC5C54">
      <w:pPr>
        <w:spacing w:before="0" w:after="0"/>
      </w:pPr>
      <w:r>
        <w:separator/>
      </w:r>
    </w:p>
  </w:footnote>
  <w:footnote w:type="continuationSeparator" w:id="0">
    <w:p w14:paraId="1525B8FE" w14:textId="77777777" w:rsidR="00BC5C54" w:rsidRDefault="00BC5C54">
      <w:pPr>
        <w:spacing w:before="0" w:after="0"/>
      </w:pPr>
      <w:r>
        <w:continuationSeparator/>
      </w:r>
    </w:p>
  </w:footnote>
  <w:footnote w:type="continuationNotice" w:id="1">
    <w:p w14:paraId="430FEEC1" w14:textId="77777777" w:rsidR="00BC5C54" w:rsidRDefault="00BC5C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3FD5" w14:textId="63668E78" w:rsidR="00BC5C54" w:rsidRDefault="005F35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746D14" wp14:editId="48DF15AE">
          <wp:simplePos x="0" y="0"/>
          <wp:positionH relativeFrom="page">
            <wp:align>left</wp:align>
          </wp:positionH>
          <wp:positionV relativeFrom="paragraph">
            <wp:posOffset>-437957</wp:posOffset>
          </wp:positionV>
          <wp:extent cx="7578000" cy="10719204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9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391DC" w14:textId="5A616F4A" w:rsidR="009B391A" w:rsidRPr="001F3912" w:rsidRDefault="009B391A" w:rsidP="009B391A">
    <w:pPr>
      <w:pStyle w:val="HeaderOdd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46" behindDoc="1" locked="0" layoutInCell="1" allowOverlap="1" wp14:anchorId="0D0F9D2F" wp14:editId="21D408BC">
          <wp:simplePos x="0" y="0"/>
          <wp:positionH relativeFrom="page">
            <wp:posOffset>4114</wp:posOffset>
          </wp:positionH>
          <wp:positionV relativeFrom="paragraph">
            <wp:posOffset>-447040</wp:posOffset>
          </wp:positionV>
          <wp:extent cx="7548532" cy="974004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2" cy="97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color w:val="FFFFFF" w:themeColor="background1"/>
      </w:rPr>
      <w:t>Payment Times Reporting Regulator</w:t>
    </w:r>
    <w:r w:rsidRPr="000E4466">
      <w:rPr>
        <w:bCs/>
        <w:color w:val="FFFFFF" w:themeColor="background1"/>
      </w:rPr>
      <w:t xml:space="preserve"> |</w:t>
    </w:r>
    <w:r w:rsidRPr="00C121D5">
      <w:rPr>
        <w:b/>
        <w:bCs/>
        <w:color w:val="FFFFFF" w:themeColor="background1"/>
      </w:rPr>
      <w:t xml:space="preserve"> </w:t>
    </w:r>
    <w:r w:rsidRPr="00C121D5">
      <w:rPr>
        <w:b/>
        <w:bCs/>
        <w:color w:val="B1F0CF"/>
      </w:rPr>
      <w:t>Document title</w:t>
    </w:r>
    <w:r w:rsidRPr="001F3912">
      <w:t xml:space="preserve"> </w:t>
    </w:r>
  </w:p>
  <w:p w14:paraId="5717E141" w14:textId="77777777" w:rsidR="005F353C" w:rsidRDefault="005F3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2953" w14:textId="77777777" w:rsidR="00BC5C54" w:rsidRPr="001F3912" w:rsidRDefault="00BC5C54" w:rsidP="0017089D">
    <w:r>
      <w:fldChar w:fldCharType="begin"/>
    </w:r>
    <w:r>
      <w:instrText xml:space="preserve"> macrobutton nomacro [Click and add Publication Title] </w:instrTex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FAA88" w14:textId="64F56096" w:rsidR="009B391A" w:rsidRPr="001F3912" w:rsidRDefault="009B391A" w:rsidP="009B391A">
    <w:pPr>
      <w:pStyle w:val="HeaderOdd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1B4E0DBB" wp14:editId="08DD0C5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75917" cy="9734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917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color w:val="FFFFFF" w:themeColor="background1"/>
      </w:rPr>
      <w:t>Payment Times Reporting Regulator</w:t>
    </w:r>
    <w:r w:rsidRPr="000E4466">
      <w:rPr>
        <w:bCs/>
        <w:color w:val="FFFFFF" w:themeColor="background1"/>
      </w:rPr>
      <w:t xml:space="preserve"> |</w:t>
    </w:r>
    <w:r w:rsidRPr="00C121D5">
      <w:rPr>
        <w:b/>
        <w:bCs/>
        <w:color w:val="FFFFFF" w:themeColor="background1"/>
      </w:rPr>
      <w:t xml:space="preserve"> </w:t>
    </w:r>
    <w:r w:rsidR="00441890">
      <w:rPr>
        <w:b/>
        <w:bCs/>
        <w:color w:val="B1F0CF"/>
      </w:rPr>
      <w:t>Updated guidance material, Consultation paper</w:t>
    </w:r>
  </w:p>
  <w:p w14:paraId="10DC6524" w14:textId="77777777" w:rsidR="00BC5C54" w:rsidRPr="001F3912" w:rsidRDefault="00BC5C54" w:rsidP="0017089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088B" w14:textId="77777777" w:rsidR="009B391A" w:rsidRDefault="009B391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EC23" w14:textId="54871765" w:rsidR="009B391A" w:rsidRPr="001F3912" w:rsidRDefault="009B391A" w:rsidP="009B391A">
    <w:pPr>
      <w:pStyle w:val="HeaderOdd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47" behindDoc="1" locked="0" layoutInCell="1" allowOverlap="1" wp14:anchorId="0E8B6A1F" wp14:editId="1572F304">
          <wp:simplePos x="0" y="0"/>
          <wp:positionH relativeFrom="page">
            <wp:posOffset>4114</wp:posOffset>
          </wp:positionH>
          <wp:positionV relativeFrom="paragraph">
            <wp:posOffset>-447040</wp:posOffset>
          </wp:positionV>
          <wp:extent cx="7548532" cy="974004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2" cy="97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color w:val="FFFFFF" w:themeColor="background1"/>
      </w:rPr>
      <w:t>Payment Times Reporting Regulator</w:t>
    </w:r>
    <w:r w:rsidRPr="000E4466">
      <w:rPr>
        <w:bCs/>
        <w:color w:val="FFFFFF" w:themeColor="background1"/>
      </w:rPr>
      <w:t xml:space="preserve"> |</w:t>
    </w:r>
    <w:r w:rsidRPr="00C121D5">
      <w:rPr>
        <w:b/>
        <w:bCs/>
        <w:color w:val="FFFFFF" w:themeColor="background1"/>
      </w:rPr>
      <w:t xml:space="preserve"> </w:t>
    </w:r>
    <w:r w:rsidR="00441890">
      <w:rPr>
        <w:b/>
        <w:bCs/>
        <w:color w:val="B1F0CF"/>
      </w:rPr>
      <w:t>Updated guidance material, Consultation paper</w:t>
    </w:r>
    <w:r w:rsidRPr="001F3912">
      <w:t xml:space="preserve"> </w:t>
    </w:r>
  </w:p>
  <w:p w14:paraId="74DAF239" w14:textId="77777777" w:rsidR="009B391A" w:rsidRDefault="009B391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1584" w14:textId="77777777" w:rsidR="00BC5C54" w:rsidRPr="001F3912" w:rsidRDefault="00BC5C54" w:rsidP="0017089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8904" w14:textId="77777777" w:rsidR="00BC5C54" w:rsidRDefault="00BC5C5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A0BF" w14:textId="77777777" w:rsidR="005D2E8A" w:rsidRPr="001F3912" w:rsidRDefault="005D2E8A" w:rsidP="009B391A">
    <w:pPr>
      <w:pStyle w:val="HeaderOdd"/>
    </w:pPr>
    <w:r w:rsidRPr="000E4466">
      <w:rPr>
        <w:b/>
        <w:bCs/>
        <w:noProof/>
        <w:color w:val="FFFFFF" w:themeColor="background1"/>
      </w:rPr>
      <w:drawing>
        <wp:anchor distT="0" distB="0" distL="114300" distR="114300" simplePos="0" relativeHeight="251658245" behindDoc="1" locked="0" layoutInCell="1" allowOverlap="1" wp14:anchorId="57622F98" wp14:editId="2454D1C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75917" cy="973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917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color w:val="FFFFFF" w:themeColor="background1"/>
      </w:rPr>
      <w:t>Payment Times Reporting Regulator</w:t>
    </w:r>
    <w:r w:rsidRPr="000E4466">
      <w:rPr>
        <w:bCs/>
        <w:color w:val="FFFFFF" w:themeColor="background1"/>
      </w:rPr>
      <w:t xml:space="preserve"> |</w:t>
    </w:r>
    <w:r w:rsidRPr="00C121D5">
      <w:rPr>
        <w:b/>
        <w:bCs/>
        <w:color w:val="FFFFFF" w:themeColor="background1"/>
      </w:rPr>
      <w:t xml:space="preserve"> </w:t>
    </w:r>
    <w:r>
      <w:rPr>
        <w:b/>
        <w:bCs/>
        <w:color w:val="B1F0CF"/>
      </w:rPr>
      <w:t>Updated guidance material, Consultation paper</w:t>
    </w:r>
  </w:p>
  <w:p w14:paraId="58B29DF2" w14:textId="77777777" w:rsidR="005D2E8A" w:rsidRPr="001F3912" w:rsidRDefault="005D2E8A" w:rsidP="001708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29CA"/>
    <w:multiLevelType w:val="multilevel"/>
    <w:tmpl w:val="BE44C77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08282C"/>
    <w:multiLevelType w:val="hybridMultilevel"/>
    <w:tmpl w:val="A41668EC"/>
    <w:lvl w:ilvl="0" w:tplc="9FE46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27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C1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C8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5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20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03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A5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C7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B8F13AF"/>
    <w:multiLevelType w:val="multilevel"/>
    <w:tmpl w:val="4192E21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ascii="Calibri" w:eastAsia="Times New Roman" w:hAnsi="Calibri" w:cs="Times New Roman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C4E5D"/>
    <w:multiLevelType w:val="multilevel"/>
    <w:tmpl w:val="D10E9CF6"/>
    <w:numStyleLink w:val="OneLevelList"/>
  </w:abstractNum>
  <w:abstractNum w:abstractNumId="6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826BF0"/>
    <w:multiLevelType w:val="multilevel"/>
    <w:tmpl w:val="2A44CE48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 w15:restartNumberingAfterBreak="0">
    <w:nsid w:val="3238442C"/>
    <w:multiLevelType w:val="multilevel"/>
    <w:tmpl w:val="FEB87FB6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7D3852"/>
    <w:multiLevelType w:val="hybridMultilevel"/>
    <w:tmpl w:val="9D94B036"/>
    <w:lvl w:ilvl="0" w:tplc="7920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4B36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009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A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C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C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82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83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E3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2074F5"/>
    <w:multiLevelType w:val="multilevel"/>
    <w:tmpl w:val="01A8F97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D1C6B01"/>
    <w:multiLevelType w:val="hybridMultilevel"/>
    <w:tmpl w:val="CB0ABA4C"/>
    <w:lvl w:ilvl="0" w:tplc="75C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27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4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E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8D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AB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A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A7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0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0D2021"/>
    <w:multiLevelType w:val="multilevel"/>
    <w:tmpl w:val="72F8140E"/>
    <w:numStyleLink w:val="OutlineList"/>
  </w:abstractNum>
  <w:abstractNum w:abstractNumId="15" w15:restartNumberingAfterBreak="0">
    <w:nsid w:val="5A3B621E"/>
    <w:multiLevelType w:val="hybridMultilevel"/>
    <w:tmpl w:val="51B62AEC"/>
    <w:lvl w:ilvl="0" w:tplc="7C10D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E101F"/>
    <w:multiLevelType w:val="multilevel"/>
    <w:tmpl w:val="EDDCA5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2418A3"/>
    <w:multiLevelType w:val="hybridMultilevel"/>
    <w:tmpl w:val="D9E25B4A"/>
    <w:lvl w:ilvl="0" w:tplc="826E59D6"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theme="minorBidi" w:hint="default"/>
        <w:color w:val="00457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DD3F24"/>
    <w:multiLevelType w:val="hybridMultilevel"/>
    <w:tmpl w:val="51DE2EEC"/>
    <w:lvl w:ilvl="0" w:tplc="2F0660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D35D1"/>
    <w:multiLevelType w:val="hybridMultilevel"/>
    <w:tmpl w:val="BA500866"/>
    <w:lvl w:ilvl="0" w:tplc="FCC22340">
      <w:start w:val="2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1" w15:restartNumberingAfterBreak="0">
    <w:nsid w:val="7FC3290C"/>
    <w:multiLevelType w:val="hybridMultilevel"/>
    <w:tmpl w:val="C4ACA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6"/>
  </w:num>
  <w:num w:numId="9">
    <w:abstractNumId w:val="3"/>
  </w:num>
  <w:num w:numId="10">
    <w:abstractNumId w:val="7"/>
  </w:num>
  <w:num w:numId="11">
    <w:abstractNumId w:val="20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0"/>
  </w:num>
  <w:num w:numId="18">
    <w:abstractNumId w:val="12"/>
  </w:num>
  <w:num w:numId="19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8"/>
  </w:num>
  <w:num w:numId="29">
    <w:abstractNumId w:val="13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9"/>
  </w:num>
  <w:num w:numId="39">
    <w:abstractNumId w:val="21"/>
  </w:num>
  <w:num w:numId="40">
    <w:abstractNumId w:val="15"/>
  </w:num>
  <w:num w:numId="41">
    <w:abstractNumId w:val="1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8"/>
    <w:rsid w:val="000012F7"/>
    <w:rsid w:val="00001FCB"/>
    <w:rsid w:val="00002743"/>
    <w:rsid w:val="00003788"/>
    <w:rsid w:val="00011725"/>
    <w:rsid w:val="00012C62"/>
    <w:rsid w:val="00020689"/>
    <w:rsid w:val="00021EF0"/>
    <w:rsid w:val="000229F4"/>
    <w:rsid w:val="00024281"/>
    <w:rsid w:val="000245A7"/>
    <w:rsid w:val="0002544D"/>
    <w:rsid w:val="00025465"/>
    <w:rsid w:val="000317D5"/>
    <w:rsid w:val="000368B7"/>
    <w:rsid w:val="00041A8B"/>
    <w:rsid w:val="0004274D"/>
    <w:rsid w:val="00042BCF"/>
    <w:rsid w:val="00042D43"/>
    <w:rsid w:val="00044289"/>
    <w:rsid w:val="00044C0A"/>
    <w:rsid w:val="000513BF"/>
    <w:rsid w:val="00051B05"/>
    <w:rsid w:val="0005522A"/>
    <w:rsid w:val="0005533B"/>
    <w:rsid w:val="00055932"/>
    <w:rsid w:val="00056186"/>
    <w:rsid w:val="00056880"/>
    <w:rsid w:val="00064781"/>
    <w:rsid w:val="000675D1"/>
    <w:rsid w:val="00067D59"/>
    <w:rsid w:val="0007102C"/>
    <w:rsid w:val="00072352"/>
    <w:rsid w:val="00073521"/>
    <w:rsid w:val="00074B6C"/>
    <w:rsid w:val="000775DE"/>
    <w:rsid w:val="00080832"/>
    <w:rsid w:val="000816DD"/>
    <w:rsid w:val="00081ED6"/>
    <w:rsid w:val="0008449C"/>
    <w:rsid w:val="000858F2"/>
    <w:rsid w:val="00087E72"/>
    <w:rsid w:val="00087FAF"/>
    <w:rsid w:val="000915AF"/>
    <w:rsid w:val="00093528"/>
    <w:rsid w:val="000959B8"/>
    <w:rsid w:val="00097426"/>
    <w:rsid w:val="000A3A24"/>
    <w:rsid w:val="000A3E24"/>
    <w:rsid w:val="000B57DF"/>
    <w:rsid w:val="000C19EA"/>
    <w:rsid w:val="000C360A"/>
    <w:rsid w:val="000C5F40"/>
    <w:rsid w:val="000D5B75"/>
    <w:rsid w:val="000D5C6F"/>
    <w:rsid w:val="000D6328"/>
    <w:rsid w:val="000D7C7B"/>
    <w:rsid w:val="000D7D63"/>
    <w:rsid w:val="000E0B74"/>
    <w:rsid w:val="000E2AC6"/>
    <w:rsid w:val="000E2BE9"/>
    <w:rsid w:val="000E428C"/>
    <w:rsid w:val="000E4A84"/>
    <w:rsid w:val="000F0BF8"/>
    <w:rsid w:val="000F1832"/>
    <w:rsid w:val="000F2B74"/>
    <w:rsid w:val="000F63CE"/>
    <w:rsid w:val="000F7517"/>
    <w:rsid w:val="00100472"/>
    <w:rsid w:val="0010371D"/>
    <w:rsid w:val="00106AED"/>
    <w:rsid w:val="0011210E"/>
    <w:rsid w:val="001142F4"/>
    <w:rsid w:val="00120160"/>
    <w:rsid w:val="00120619"/>
    <w:rsid w:val="0013018D"/>
    <w:rsid w:val="0013050B"/>
    <w:rsid w:val="0013507A"/>
    <w:rsid w:val="0014091C"/>
    <w:rsid w:val="001470C0"/>
    <w:rsid w:val="001471C0"/>
    <w:rsid w:val="00152172"/>
    <w:rsid w:val="00152B16"/>
    <w:rsid w:val="00154640"/>
    <w:rsid w:val="0015474B"/>
    <w:rsid w:val="00154CDE"/>
    <w:rsid w:val="00156FC4"/>
    <w:rsid w:val="001606CF"/>
    <w:rsid w:val="0016128D"/>
    <w:rsid w:val="00162A1A"/>
    <w:rsid w:val="00165A38"/>
    <w:rsid w:val="00166A89"/>
    <w:rsid w:val="0017089D"/>
    <w:rsid w:val="00176D88"/>
    <w:rsid w:val="00177A78"/>
    <w:rsid w:val="00180BDA"/>
    <w:rsid w:val="00184F96"/>
    <w:rsid w:val="001865D0"/>
    <w:rsid w:val="001907E0"/>
    <w:rsid w:val="0019101A"/>
    <w:rsid w:val="00191419"/>
    <w:rsid w:val="001937FA"/>
    <w:rsid w:val="00196C17"/>
    <w:rsid w:val="00197343"/>
    <w:rsid w:val="001A30E9"/>
    <w:rsid w:val="001A374D"/>
    <w:rsid w:val="001A6411"/>
    <w:rsid w:val="001A7841"/>
    <w:rsid w:val="001B1B64"/>
    <w:rsid w:val="001B2BF8"/>
    <w:rsid w:val="001C358D"/>
    <w:rsid w:val="001D077A"/>
    <w:rsid w:val="001D4EAA"/>
    <w:rsid w:val="001E393B"/>
    <w:rsid w:val="001E613E"/>
    <w:rsid w:val="001F1913"/>
    <w:rsid w:val="001F604C"/>
    <w:rsid w:val="001F6AA7"/>
    <w:rsid w:val="0020133F"/>
    <w:rsid w:val="00202C20"/>
    <w:rsid w:val="002048C6"/>
    <w:rsid w:val="00210FD8"/>
    <w:rsid w:val="00211326"/>
    <w:rsid w:val="00217CDC"/>
    <w:rsid w:val="00217D8D"/>
    <w:rsid w:val="0022190E"/>
    <w:rsid w:val="00226274"/>
    <w:rsid w:val="002264E4"/>
    <w:rsid w:val="00230AA0"/>
    <w:rsid w:val="00231049"/>
    <w:rsid w:val="002314D2"/>
    <w:rsid w:val="00231D7D"/>
    <w:rsid w:val="00233181"/>
    <w:rsid w:val="002359D5"/>
    <w:rsid w:val="002372A6"/>
    <w:rsid w:val="00245108"/>
    <w:rsid w:val="002511CA"/>
    <w:rsid w:val="00251DA1"/>
    <w:rsid w:val="002531A4"/>
    <w:rsid w:val="00257283"/>
    <w:rsid w:val="00257AEE"/>
    <w:rsid w:val="00263B6C"/>
    <w:rsid w:val="00265D92"/>
    <w:rsid w:val="002675D1"/>
    <w:rsid w:val="002678F5"/>
    <w:rsid w:val="00272E32"/>
    <w:rsid w:val="0027590B"/>
    <w:rsid w:val="00277307"/>
    <w:rsid w:val="00281D62"/>
    <w:rsid w:val="00282766"/>
    <w:rsid w:val="00285685"/>
    <w:rsid w:val="00285969"/>
    <w:rsid w:val="0028630E"/>
    <w:rsid w:val="00287901"/>
    <w:rsid w:val="002940EC"/>
    <w:rsid w:val="00295C7D"/>
    <w:rsid w:val="0029756D"/>
    <w:rsid w:val="002A35F3"/>
    <w:rsid w:val="002B1962"/>
    <w:rsid w:val="002B3829"/>
    <w:rsid w:val="002B4D4D"/>
    <w:rsid w:val="002B5C39"/>
    <w:rsid w:val="002C060B"/>
    <w:rsid w:val="002C23D5"/>
    <w:rsid w:val="002D2503"/>
    <w:rsid w:val="002D457E"/>
    <w:rsid w:val="002D488F"/>
    <w:rsid w:val="002E2349"/>
    <w:rsid w:val="002E2B39"/>
    <w:rsid w:val="002E44AA"/>
    <w:rsid w:val="002E4C32"/>
    <w:rsid w:val="002E798C"/>
    <w:rsid w:val="002F4E46"/>
    <w:rsid w:val="002F617F"/>
    <w:rsid w:val="002F77B8"/>
    <w:rsid w:val="00300A34"/>
    <w:rsid w:val="00303086"/>
    <w:rsid w:val="00310CD1"/>
    <w:rsid w:val="00311B94"/>
    <w:rsid w:val="003122F4"/>
    <w:rsid w:val="003201A2"/>
    <w:rsid w:val="00321124"/>
    <w:rsid w:val="00325E5D"/>
    <w:rsid w:val="0032674C"/>
    <w:rsid w:val="003268D5"/>
    <w:rsid w:val="003364B8"/>
    <w:rsid w:val="00341BA7"/>
    <w:rsid w:val="00344779"/>
    <w:rsid w:val="00344932"/>
    <w:rsid w:val="00345184"/>
    <w:rsid w:val="00345188"/>
    <w:rsid w:val="003469BB"/>
    <w:rsid w:val="0034746F"/>
    <w:rsid w:val="00347FEB"/>
    <w:rsid w:val="00350B9A"/>
    <w:rsid w:val="003512AD"/>
    <w:rsid w:val="00354D27"/>
    <w:rsid w:val="00354FBB"/>
    <w:rsid w:val="00356AC7"/>
    <w:rsid w:val="0036160B"/>
    <w:rsid w:val="00361CF1"/>
    <w:rsid w:val="00362775"/>
    <w:rsid w:val="00364820"/>
    <w:rsid w:val="0036756E"/>
    <w:rsid w:val="00371B31"/>
    <w:rsid w:val="0037232B"/>
    <w:rsid w:val="003756AE"/>
    <w:rsid w:val="003802F4"/>
    <w:rsid w:val="003839F0"/>
    <w:rsid w:val="003858A6"/>
    <w:rsid w:val="00392DCC"/>
    <w:rsid w:val="00393063"/>
    <w:rsid w:val="003935CB"/>
    <w:rsid w:val="003A2568"/>
    <w:rsid w:val="003A2DB0"/>
    <w:rsid w:val="003A34AB"/>
    <w:rsid w:val="003B41AC"/>
    <w:rsid w:val="003B45CC"/>
    <w:rsid w:val="003B5D08"/>
    <w:rsid w:val="003C6756"/>
    <w:rsid w:val="003D030C"/>
    <w:rsid w:val="003D09A8"/>
    <w:rsid w:val="003D3E9D"/>
    <w:rsid w:val="003D3FF8"/>
    <w:rsid w:val="003D408C"/>
    <w:rsid w:val="003D55ED"/>
    <w:rsid w:val="003D7C32"/>
    <w:rsid w:val="003E1772"/>
    <w:rsid w:val="003E38B0"/>
    <w:rsid w:val="003E4D87"/>
    <w:rsid w:val="003E601D"/>
    <w:rsid w:val="003E7521"/>
    <w:rsid w:val="003E77EB"/>
    <w:rsid w:val="003F2C45"/>
    <w:rsid w:val="003F4C7F"/>
    <w:rsid w:val="003F5CAE"/>
    <w:rsid w:val="003F71F2"/>
    <w:rsid w:val="004070F3"/>
    <w:rsid w:val="00416762"/>
    <w:rsid w:val="00416C5F"/>
    <w:rsid w:val="00417729"/>
    <w:rsid w:val="00417E12"/>
    <w:rsid w:val="00421351"/>
    <w:rsid w:val="00422D31"/>
    <w:rsid w:val="0043434D"/>
    <w:rsid w:val="00435E27"/>
    <w:rsid w:val="00441890"/>
    <w:rsid w:val="004421AA"/>
    <w:rsid w:val="0044250E"/>
    <w:rsid w:val="004440C7"/>
    <w:rsid w:val="00444177"/>
    <w:rsid w:val="00445265"/>
    <w:rsid w:val="00450EF6"/>
    <w:rsid w:val="00454A76"/>
    <w:rsid w:val="004556CE"/>
    <w:rsid w:val="004559CE"/>
    <w:rsid w:val="00457F33"/>
    <w:rsid w:val="00460F85"/>
    <w:rsid w:val="00461AF5"/>
    <w:rsid w:val="00463B98"/>
    <w:rsid w:val="00467B0A"/>
    <w:rsid w:val="00472BE2"/>
    <w:rsid w:val="00475B7B"/>
    <w:rsid w:val="00475F4D"/>
    <w:rsid w:val="004825B6"/>
    <w:rsid w:val="00482AD1"/>
    <w:rsid w:val="00483049"/>
    <w:rsid w:val="00491BE0"/>
    <w:rsid w:val="00492FCB"/>
    <w:rsid w:val="004938D1"/>
    <w:rsid w:val="0049397E"/>
    <w:rsid w:val="00495109"/>
    <w:rsid w:val="004951A8"/>
    <w:rsid w:val="00495494"/>
    <w:rsid w:val="00495B62"/>
    <w:rsid w:val="004A04BA"/>
    <w:rsid w:val="004A077D"/>
    <w:rsid w:val="004A541E"/>
    <w:rsid w:val="004A7BC2"/>
    <w:rsid w:val="004B0822"/>
    <w:rsid w:val="004B18F0"/>
    <w:rsid w:val="004B6FD8"/>
    <w:rsid w:val="004B70ED"/>
    <w:rsid w:val="004C0BFD"/>
    <w:rsid w:val="004C0C8E"/>
    <w:rsid w:val="004D2FCE"/>
    <w:rsid w:val="004D4973"/>
    <w:rsid w:val="004D6F2A"/>
    <w:rsid w:val="004E1738"/>
    <w:rsid w:val="004E65B8"/>
    <w:rsid w:val="004E7AE2"/>
    <w:rsid w:val="004F1164"/>
    <w:rsid w:val="004F15D3"/>
    <w:rsid w:val="004F232F"/>
    <w:rsid w:val="004F2642"/>
    <w:rsid w:val="004F2F2E"/>
    <w:rsid w:val="004F3D28"/>
    <w:rsid w:val="00501E21"/>
    <w:rsid w:val="00501E57"/>
    <w:rsid w:val="00507B33"/>
    <w:rsid w:val="00512D4B"/>
    <w:rsid w:val="00512E45"/>
    <w:rsid w:val="00515B0A"/>
    <w:rsid w:val="00516785"/>
    <w:rsid w:val="00516C32"/>
    <w:rsid w:val="00522119"/>
    <w:rsid w:val="005235CB"/>
    <w:rsid w:val="00523C23"/>
    <w:rsid w:val="0052419D"/>
    <w:rsid w:val="00526268"/>
    <w:rsid w:val="005263D1"/>
    <w:rsid w:val="005301F8"/>
    <w:rsid w:val="005312FC"/>
    <w:rsid w:val="00531C30"/>
    <w:rsid w:val="0053294F"/>
    <w:rsid w:val="0053603D"/>
    <w:rsid w:val="00537524"/>
    <w:rsid w:val="005431C0"/>
    <w:rsid w:val="00552886"/>
    <w:rsid w:val="00552E39"/>
    <w:rsid w:val="00555326"/>
    <w:rsid w:val="00562498"/>
    <w:rsid w:val="0056359B"/>
    <w:rsid w:val="00564A6C"/>
    <w:rsid w:val="005733FF"/>
    <w:rsid w:val="00576D99"/>
    <w:rsid w:val="00582A3C"/>
    <w:rsid w:val="00583724"/>
    <w:rsid w:val="005868DE"/>
    <w:rsid w:val="00590DF2"/>
    <w:rsid w:val="005930FC"/>
    <w:rsid w:val="00595FD8"/>
    <w:rsid w:val="00597494"/>
    <w:rsid w:val="005A0085"/>
    <w:rsid w:val="005A425A"/>
    <w:rsid w:val="005A5991"/>
    <w:rsid w:val="005B122B"/>
    <w:rsid w:val="005B1F28"/>
    <w:rsid w:val="005B759D"/>
    <w:rsid w:val="005C53CB"/>
    <w:rsid w:val="005D086F"/>
    <w:rsid w:val="005D122E"/>
    <w:rsid w:val="005D2E8A"/>
    <w:rsid w:val="005D669F"/>
    <w:rsid w:val="005D70D9"/>
    <w:rsid w:val="005D76E2"/>
    <w:rsid w:val="005E3FAE"/>
    <w:rsid w:val="005E5524"/>
    <w:rsid w:val="005F2B4C"/>
    <w:rsid w:val="005F2BD8"/>
    <w:rsid w:val="005F353C"/>
    <w:rsid w:val="005F4051"/>
    <w:rsid w:val="005F40AA"/>
    <w:rsid w:val="0060170B"/>
    <w:rsid w:val="0060595B"/>
    <w:rsid w:val="00605AFD"/>
    <w:rsid w:val="00606BB9"/>
    <w:rsid w:val="006079BF"/>
    <w:rsid w:val="00607C7C"/>
    <w:rsid w:val="00610FA2"/>
    <w:rsid w:val="006123D4"/>
    <w:rsid w:val="00612528"/>
    <w:rsid w:val="006167DA"/>
    <w:rsid w:val="00621413"/>
    <w:rsid w:val="006223D0"/>
    <w:rsid w:val="00622C16"/>
    <w:rsid w:val="00630E05"/>
    <w:rsid w:val="00633DC0"/>
    <w:rsid w:val="0063655F"/>
    <w:rsid w:val="00637C14"/>
    <w:rsid w:val="00640632"/>
    <w:rsid w:val="00642A5A"/>
    <w:rsid w:val="006454FB"/>
    <w:rsid w:val="00645602"/>
    <w:rsid w:val="0064635C"/>
    <w:rsid w:val="006471E4"/>
    <w:rsid w:val="006500C3"/>
    <w:rsid w:val="006510F4"/>
    <w:rsid w:val="00651787"/>
    <w:rsid w:val="006529DE"/>
    <w:rsid w:val="00656356"/>
    <w:rsid w:val="00657FF1"/>
    <w:rsid w:val="0066114A"/>
    <w:rsid w:val="00661FB0"/>
    <w:rsid w:val="00673319"/>
    <w:rsid w:val="00673ECB"/>
    <w:rsid w:val="006742D2"/>
    <w:rsid w:val="00674CBD"/>
    <w:rsid w:val="00675247"/>
    <w:rsid w:val="006755BF"/>
    <w:rsid w:val="00680BC3"/>
    <w:rsid w:val="0068265D"/>
    <w:rsid w:val="00683E11"/>
    <w:rsid w:val="0068593E"/>
    <w:rsid w:val="00686165"/>
    <w:rsid w:val="00691CB5"/>
    <w:rsid w:val="00691E46"/>
    <w:rsid w:val="00692AE2"/>
    <w:rsid w:val="00696661"/>
    <w:rsid w:val="006A21E7"/>
    <w:rsid w:val="006A4D19"/>
    <w:rsid w:val="006A6EE1"/>
    <w:rsid w:val="006A750C"/>
    <w:rsid w:val="006B5E7C"/>
    <w:rsid w:val="006C0D11"/>
    <w:rsid w:val="006C2C7B"/>
    <w:rsid w:val="006C354A"/>
    <w:rsid w:val="006C3D94"/>
    <w:rsid w:val="006C4100"/>
    <w:rsid w:val="006C486C"/>
    <w:rsid w:val="006C645D"/>
    <w:rsid w:val="006D3F18"/>
    <w:rsid w:val="006D3F68"/>
    <w:rsid w:val="006D42C7"/>
    <w:rsid w:val="006D4CA3"/>
    <w:rsid w:val="006D6802"/>
    <w:rsid w:val="006D68AD"/>
    <w:rsid w:val="006D6F5D"/>
    <w:rsid w:val="006E0990"/>
    <w:rsid w:val="006E0E71"/>
    <w:rsid w:val="006E17FA"/>
    <w:rsid w:val="006E1AB2"/>
    <w:rsid w:val="006E2E5C"/>
    <w:rsid w:val="006E3CC3"/>
    <w:rsid w:val="006E6715"/>
    <w:rsid w:val="006F3B5C"/>
    <w:rsid w:val="006F55B7"/>
    <w:rsid w:val="006F61E4"/>
    <w:rsid w:val="006F656C"/>
    <w:rsid w:val="00700FBF"/>
    <w:rsid w:val="007029E4"/>
    <w:rsid w:val="0070334C"/>
    <w:rsid w:val="00703560"/>
    <w:rsid w:val="0070374B"/>
    <w:rsid w:val="00703B71"/>
    <w:rsid w:val="00707014"/>
    <w:rsid w:val="00710ED3"/>
    <w:rsid w:val="00712676"/>
    <w:rsid w:val="00713917"/>
    <w:rsid w:val="00724E73"/>
    <w:rsid w:val="00730CAF"/>
    <w:rsid w:val="007322F0"/>
    <w:rsid w:val="00732F25"/>
    <w:rsid w:val="00733B29"/>
    <w:rsid w:val="007344CF"/>
    <w:rsid w:val="00735A1E"/>
    <w:rsid w:val="007404A3"/>
    <w:rsid w:val="00740B38"/>
    <w:rsid w:val="0074355E"/>
    <w:rsid w:val="00745188"/>
    <w:rsid w:val="00745A87"/>
    <w:rsid w:val="0074670B"/>
    <w:rsid w:val="007475E0"/>
    <w:rsid w:val="00754E8A"/>
    <w:rsid w:val="007559BE"/>
    <w:rsid w:val="00755D73"/>
    <w:rsid w:val="00755F85"/>
    <w:rsid w:val="00756262"/>
    <w:rsid w:val="00757816"/>
    <w:rsid w:val="00757F65"/>
    <w:rsid w:val="00765E0D"/>
    <w:rsid w:val="0077048C"/>
    <w:rsid w:val="00771F08"/>
    <w:rsid w:val="00773932"/>
    <w:rsid w:val="007739DC"/>
    <w:rsid w:val="00776ABD"/>
    <w:rsid w:val="0078509F"/>
    <w:rsid w:val="00790B54"/>
    <w:rsid w:val="00794499"/>
    <w:rsid w:val="00795059"/>
    <w:rsid w:val="00797F89"/>
    <w:rsid w:val="007A2E78"/>
    <w:rsid w:val="007A3A76"/>
    <w:rsid w:val="007A6D5E"/>
    <w:rsid w:val="007B0369"/>
    <w:rsid w:val="007B6987"/>
    <w:rsid w:val="007B7A15"/>
    <w:rsid w:val="007C03E9"/>
    <w:rsid w:val="007C31B5"/>
    <w:rsid w:val="007C3314"/>
    <w:rsid w:val="007D03B3"/>
    <w:rsid w:val="007D1F9F"/>
    <w:rsid w:val="007D4350"/>
    <w:rsid w:val="007D5723"/>
    <w:rsid w:val="007D5AA6"/>
    <w:rsid w:val="007D6122"/>
    <w:rsid w:val="007E0219"/>
    <w:rsid w:val="007E2AB9"/>
    <w:rsid w:val="007E3B94"/>
    <w:rsid w:val="007E4766"/>
    <w:rsid w:val="007E4C02"/>
    <w:rsid w:val="007E5774"/>
    <w:rsid w:val="007E6456"/>
    <w:rsid w:val="007F7528"/>
    <w:rsid w:val="008025CC"/>
    <w:rsid w:val="00803686"/>
    <w:rsid w:val="00803952"/>
    <w:rsid w:val="00804136"/>
    <w:rsid w:val="00805B19"/>
    <w:rsid w:val="00811630"/>
    <w:rsid w:val="00811A27"/>
    <w:rsid w:val="00812351"/>
    <w:rsid w:val="00812A5D"/>
    <w:rsid w:val="008147F8"/>
    <w:rsid w:val="0081489C"/>
    <w:rsid w:val="008162D3"/>
    <w:rsid w:val="0082529D"/>
    <w:rsid w:val="008255FC"/>
    <w:rsid w:val="00825C50"/>
    <w:rsid w:val="00825FCC"/>
    <w:rsid w:val="00827717"/>
    <w:rsid w:val="008304F4"/>
    <w:rsid w:val="008306DF"/>
    <w:rsid w:val="00830C2C"/>
    <w:rsid w:val="00831043"/>
    <w:rsid w:val="008311D0"/>
    <w:rsid w:val="00834243"/>
    <w:rsid w:val="008361B4"/>
    <w:rsid w:val="00840DE1"/>
    <w:rsid w:val="00841EFE"/>
    <w:rsid w:val="008429B1"/>
    <w:rsid w:val="00844DD7"/>
    <w:rsid w:val="00846A24"/>
    <w:rsid w:val="008511BC"/>
    <w:rsid w:val="008549AC"/>
    <w:rsid w:val="00855618"/>
    <w:rsid w:val="00857969"/>
    <w:rsid w:val="00860488"/>
    <w:rsid w:val="008617A4"/>
    <w:rsid w:val="00864453"/>
    <w:rsid w:val="00865526"/>
    <w:rsid w:val="00866A15"/>
    <w:rsid w:val="00872AB8"/>
    <w:rsid w:val="008755FC"/>
    <w:rsid w:val="00880E8D"/>
    <w:rsid w:val="00886304"/>
    <w:rsid w:val="00887369"/>
    <w:rsid w:val="0089256D"/>
    <w:rsid w:val="00892ABE"/>
    <w:rsid w:val="008A1187"/>
    <w:rsid w:val="008A245E"/>
    <w:rsid w:val="008A79D5"/>
    <w:rsid w:val="008B0ED3"/>
    <w:rsid w:val="008B1499"/>
    <w:rsid w:val="008B3548"/>
    <w:rsid w:val="008B3FDA"/>
    <w:rsid w:val="008B4C78"/>
    <w:rsid w:val="008C42A1"/>
    <w:rsid w:val="008D11E0"/>
    <w:rsid w:val="008D1705"/>
    <w:rsid w:val="008D2042"/>
    <w:rsid w:val="008D2A1C"/>
    <w:rsid w:val="008D339F"/>
    <w:rsid w:val="008D7F38"/>
    <w:rsid w:val="008E6292"/>
    <w:rsid w:val="008E7BD4"/>
    <w:rsid w:val="008F20DF"/>
    <w:rsid w:val="008F296A"/>
    <w:rsid w:val="008F5F84"/>
    <w:rsid w:val="008F6CEC"/>
    <w:rsid w:val="00902BA3"/>
    <w:rsid w:val="00912A7A"/>
    <w:rsid w:val="00914BB1"/>
    <w:rsid w:val="00914C43"/>
    <w:rsid w:val="009176DA"/>
    <w:rsid w:val="00921D68"/>
    <w:rsid w:val="00922F9D"/>
    <w:rsid w:val="00924CAA"/>
    <w:rsid w:val="00925AA5"/>
    <w:rsid w:val="0092626E"/>
    <w:rsid w:val="00926C5C"/>
    <w:rsid w:val="00931408"/>
    <w:rsid w:val="0093298E"/>
    <w:rsid w:val="00934369"/>
    <w:rsid w:val="00934FBB"/>
    <w:rsid w:val="009379C7"/>
    <w:rsid w:val="0094019D"/>
    <w:rsid w:val="00942B95"/>
    <w:rsid w:val="00942C11"/>
    <w:rsid w:val="009463EE"/>
    <w:rsid w:val="00947E2B"/>
    <w:rsid w:val="00951892"/>
    <w:rsid w:val="00952E59"/>
    <w:rsid w:val="0095317D"/>
    <w:rsid w:val="009531D4"/>
    <w:rsid w:val="009532A9"/>
    <w:rsid w:val="009546A0"/>
    <w:rsid w:val="00956700"/>
    <w:rsid w:val="00960125"/>
    <w:rsid w:val="0096041E"/>
    <w:rsid w:val="00964918"/>
    <w:rsid w:val="0096535F"/>
    <w:rsid w:val="009719A4"/>
    <w:rsid w:val="009732EC"/>
    <w:rsid w:val="00973AA1"/>
    <w:rsid w:val="0097438D"/>
    <w:rsid w:val="00974690"/>
    <w:rsid w:val="00975969"/>
    <w:rsid w:val="00980ECB"/>
    <w:rsid w:val="009821CE"/>
    <w:rsid w:val="0098321A"/>
    <w:rsid w:val="009852CF"/>
    <w:rsid w:val="00996DA2"/>
    <w:rsid w:val="009A21F3"/>
    <w:rsid w:val="009A24E1"/>
    <w:rsid w:val="009A3B01"/>
    <w:rsid w:val="009A4940"/>
    <w:rsid w:val="009A4B77"/>
    <w:rsid w:val="009A658F"/>
    <w:rsid w:val="009A668A"/>
    <w:rsid w:val="009B00B6"/>
    <w:rsid w:val="009B1116"/>
    <w:rsid w:val="009B3558"/>
    <w:rsid w:val="009B391A"/>
    <w:rsid w:val="009B4D74"/>
    <w:rsid w:val="009B7AA4"/>
    <w:rsid w:val="009C492B"/>
    <w:rsid w:val="009C5D79"/>
    <w:rsid w:val="009C61A4"/>
    <w:rsid w:val="009C7638"/>
    <w:rsid w:val="009C7DBB"/>
    <w:rsid w:val="009D0C2C"/>
    <w:rsid w:val="009D3B8A"/>
    <w:rsid w:val="009D3DDD"/>
    <w:rsid w:val="009D4398"/>
    <w:rsid w:val="009D7714"/>
    <w:rsid w:val="009E201D"/>
    <w:rsid w:val="009E2CF6"/>
    <w:rsid w:val="009E565F"/>
    <w:rsid w:val="009E7F11"/>
    <w:rsid w:val="009F1944"/>
    <w:rsid w:val="009F3D91"/>
    <w:rsid w:val="009F508E"/>
    <w:rsid w:val="009F77A5"/>
    <w:rsid w:val="00A02EFD"/>
    <w:rsid w:val="00A05247"/>
    <w:rsid w:val="00A11337"/>
    <w:rsid w:val="00A133E3"/>
    <w:rsid w:val="00A14BCC"/>
    <w:rsid w:val="00A16306"/>
    <w:rsid w:val="00A16E03"/>
    <w:rsid w:val="00A1707E"/>
    <w:rsid w:val="00A17483"/>
    <w:rsid w:val="00A2046B"/>
    <w:rsid w:val="00A20D38"/>
    <w:rsid w:val="00A23040"/>
    <w:rsid w:val="00A23052"/>
    <w:rsid w:val="00A260CD"/>
    <w:rsid w:val="00A2735A"/>
    <w:rsid w:val="00A338CA"/>
    <w:rsid w:val="00A33CD5"/>
    <w:rsid w:val="00A35ACC"/>
    <w:rsid w:val="00A35D02"/>
    <w:rsid w:val="00A3749B"/>
    <w:rsid w:val="00A427D2"/>
    <w:rsid w:val="00A62E42"/>
    <w:rsid w:val="00A64A71"/>
    <w:rsid w:val="00A7020C"/>
    <w:rsid w:val="00A71085"/>
    <w:rsid w:val="00A711EB"/>
    <w:rsid w:val="00A72C7F"/>
    <w:rsid w:val="00A73B91"/>
    <w:rsid w:val="00A7574C"/>
    <w:rsid w:val="00A77C28"/>
    <w:rsid w:val="00A82AF1"/>
    <w:rsid w:val="00A82CE8"/>
    <w:rsid w:val="00A837C6"/>
    <w:rsid w:val="00A86200"/>
    <w:rsid w:val="00A869CB"/>
    <w:rsid w:val="00A86EBA"/>
    <w:rsid w:val="00AA0C3D"/>
    <w:rsid w:val="00AA40C2"/>
    <w:rsid w:val="00AA410A"/>
    <w:rsid w:val="00AB2978"/>
    <w:rsid w:val="00AB653B"/>
    <w:rsid w:val="00AB6BB8"/>
    <w:rsid w:val="00AB7442"/>
    <w:rsid w:val="00AB77EA"/>
    <w:rsid w:val="00AC0780"/>
    <w:rsid w:val="00AC0BBE"/>
    <w:rsid w:val="00AC1B96"/>
    <w:rsid w:val="00AC277E"/>
    <w:rsid w:val="00AC5D33"/>
    <w:rsid w:val="00AD3A70"/>
    <w:rsid w:val="00AE1B75"/>
    <w:rsid w:val="00AE2F90"/>
    <w:rsid w:val="00AE317A"/>
    <w:rsid w:val="00AF0ED7"/>
    <w:rsid w:val="00B02820"/>
    <w:rsid w:val="00B057E6"/>
    <w:rsid w:val="00B10510"/>
    <w:rsid w:val="00B10F84"/>
    <w:rsid w:val="00B14D92"/>
    <w:rsid w:val="00B15E9F"/>
    <w:rsid w:val="00B16CCC"/>
    <w:rsid w:val="00B204B3"/>
    <w:rsid w:val="00B2115A"/>
    <w:rsid w:val="00B2311C"/>
    <w:rsid w:val="00B3149D"/>
    <w:rsid w:val="00B329AE"/>
    <w:rsid w:val="00B33E67"/>
    <w:rsid w:val="00B355B1"/>
    <w:rsid w:val="00B42BA9"/>
    <w:rsid w:val="00B456DD"/>
    <w:rsid w:val="00B5009C"/>
    <w:rsid w:val="00B531AE"/>
    <w:rsid w:val="00B56068"/>
    <w:rsid w:val="00B571E0"/>
    <w:rsid w:val="00B63798"/>
    <w:rsid w:val="00B67051"/>
    <w:rsid w:val="00B76F09"/>
    <w:rsid w:val="00B770FF"/>
    <w:rsid w:val="00B82EF9"/>
    <w:rsid w:val="00B85F47"/>
    <w:rsid w:val="00B87927"/>
    <w:rsid w:val="00B9066D"/>
    <w:rsid w:val="00B9245F"/>
    <w:rsid w:val="00B92619"/>
    <w:rsid w:val="00B976D5"/>
    <w:rsid w:val="00BA0AE6"/>
    <w:rsid w:val="00BA2719"/>
    <w:rsid w:val="00BA4A98"/>
    <w:rsid w:val="00BA5396"/>
    <w:rsid w:val="00BB3F82"/>
    <w:rsid w:val="00BB7727"/>
    <w:rsid w:val="00BC02E8"/>
    <w:rsid w:val="00BC1C5F"/>
    <w:rsid w:val="00BC5C54"/>
    <w:rsid w:val="00BC6799"/>
    <w:rsid w:val="00BC6D96"/>
    <w:rsid w:val="00BD3163"/>
    <w:rsid w:val="00BD5650"/>
    <w:rsid w:val="00BE168D"/>
    <w:rsid w:val="00BE379B"/>
    <w:rsid w:val="00BE43CF"/>
    <w:rsid w:val="00BF13F5"/>
    <w:rsid w:val="00BF1F1C"/>
    <w:rsid w:val="00C0697F"/>
    <w:rsid w:val="00C06995"/>
    <w:rsid w:val="00C07E9B"/>
    <w:rsid w:val="00C12524"/>
    <w:rsid w:val="00C15634"/>
    <w:rsid w:val="00C16927"/>
    <w:rsid w:val="00C16C8D"/>
    <w:rsid w:val="00C170E4"/>
    <w:rsid w:val="00C219B3"/>
    <w:rsid w:val="00C21D8D"/>
    <w:rsid w:val="00C267AE"/>
    <w:rsid w:val="00C30297"/>
    <w:rsid w:val="00C30F13"/>
    <w:rsid w:val="00C37E8E"/>
    <w:rsid w:val="00C4281A"/>
    <w:rsid w:val="00C443DB"/>
    <w:rsid w:val="00C44CA8"/>
    <w:rsid w:val="00C44F03"/>
    <w:rsid w:val="00C45E4C"/>
    <w:rsid w:val="00C54E4E"/>
    <w:rsid w:val="00C57093"/>
    <w:rsid w:val="00C57108"/>
    <w:rsid w:val="00C61A39"/>
    <w:rsid w:val="00C638CF"/>
    <w:rsid w:val="00C663AB"/>
    <w:rsid w:val="00C6794C"/>
    <w:rsid w:val="00C705CE"/>
    <w:rsid w:val="00C762A8"/>
    <w:rsid w:val="00C76417"/>
    <w:rsid w:val="00C766A0"/>
    <w:rsid w:val="00C85314"/>
    <w:rsid w:val="00C9134D"/>
    <w:rsid w:val="00C92C6F"/>
    <w:rsid w:val="00C9527F"/>
    <w:rsid w:val="00CA0D41"/>
    <w:rsid w:val="00CA28FE"/>
    <w:rsid w:val="00CA46D6"/>
    <w:rsid w:val="00CA4BC0"/>
    <w:rsid w:val="00CA6EDB"/>
    <w:rsid w:val="00CB1F3A"/>
    <w:rsid w:val="00CB3277"/>
    <w:rsid w:val="00CB354A"/>
    <w:rsid w:val="00CC1590"/>
    <w:rsid w:val="00CC2225"/>
    <w:rsid w:val="00CC2882"/>
    <w:rsid w:val="00CC5405"/>
    <w:rsid w:val="00CC559D"/>
    <w:rsid w:val="00CD4692"/>
    <w:rsid w:val="00CD49B7"/>
    <w:rsid w:val="00CD654B"/>
    <w:rsid w:val="00CD6BD4"/>
    <w:rsid w:val="00CD7658"/>
    <w:rsid w:val="00CE0C12"/>
    <w:rsid w:val="00CE1BE1"/>
    <w:rsid w:val="00CE223E"/>
    <w:rsid w:val="00CE5076"/>
    <w:rsid w:val="00CE5B0C"/>
    <w:rsid w:val="00CE7462"/>
    <w:rsid w:val="00CF15C4"/>
    <w:rsid w:val="00CF657A"/>
    <w:rsid w:val="00D020B9"/>
    <w:rsid w:val="00D02B8C"/>
    <w:rsid w:val="00D10FA2"/>
    <w:rsid w:val="00D1346C"/>
    <w:rsid w:val="00D13529"/>
    <w:rsid w:val="00D1402A"/>
    <w:rsid w:val="00D145F5"/>
    <w:rsid w:val="00D14775"/>
    <w:rsid w:val="00D14FDE"/>
    <w:rsid w:val="00D15209"/>
    <w:rsid w:val="00D249C5"/>
    <w:rsid w:val="00D251AF"/>
    <w:rsid w:val="00D30A8E"/>
    <w:rsid w:val="00D34785"/>
    <w:rsid w:val="00D355F0"/>
    <w:rsid w:val="00D37D00"/>
    <w:rsid w:val="00D40964"/>
    <w:rsid w:val="00D40E3E"/>
    <w:rsid w:val="00D43E34"/>
    <w:rsid w:val="00D441B6"/>
    <w:rsid w:val="00D45AF8"/>
    <w:rsid w:val="00D4787D"/>
    <w:rsid w:val="00D507F8"/>
    <w:rsid w:val="00D51C05"/>
    <w:rsid w:val="00D622DD"/>
    <w:rsid w:val="00D70175"/>
    <w:rsid w:val="00D728A7"/>
    <w:rsid w:val="00D7390F"/>
    <w:rsid w:val="00D7795D"/>
    <w:rsid w:val="00D801CF"/>
    <w:rsid w:val="00D80B66"/>
    <w:rsid w:val="00D814A3"/>
    <w:rsid w:val="00D82F82"/>
    <w:rsid w:val="00D83B78"/>
    <w:rsid w:val="00D83BD9"/>
    <w:rsid w:val="00D91649"/>
    <w:rsid w:val="00D93954"/>
    <w:rsid w:val="00D94355"/>
    <w:rsid w:val="00D95FB9"/>
    <w:rsid w:val="00D969F2"/>
    <w:rsid w:val="00DA215E"/>
    <w:rsid w:val="00DA3490"/>
    <w:rsid w:val="00DA686B"/>
    <w:rsid w:val="00DB17A2"/>
    <w:rsid w:val="00DB19D6"/>
    <w:rsid w:val="00DB2D89"/>
    <w:rsid w:val="00DB4663"/>
    <w:rsid w:val="00DB5980"/>
    <w:rsid w:val="00DB779E"/>
    <w:rsid w:val="00DB7F09"/>
    <w:rsid w:val="00DC00E8"/>
    <w:rsid w:val="00DC0705"/>
    <w:rsid w:val="00DC5583"/>
    <w:rsid w:val="00DC7062"/>
    <w:rsid w:val="00DD78A7"/>
    <w:rsid w:val="00DE0404"/>
    <w:rsid w:val="00DE10D2"/>
    <w:rsid w:val="00DE39F4"/>
    <w:rsid w:val="00DE4218"/>
    <w:rsid w:val="00DE44A7"/>
    <w:rsid w:val="00DE4902"/>
    <w:rsid w:val="00DE4B9E"/>
    <w:rsid w:val="00DE658E"/>
    <w:rsid w:val="00DE6B18"/>
    <w:rsid w:val="00DE730E"/>
    <w:rsid w:val="00DE78C9"/>
    <w:rsid w:val="00DF124C"/>
    <w:rsid w:val="00E01BB1"/>
    <w:rsid w:val="00E0286E"/>
    <w:rsid w:val="00E05F54"/>
    <w:rsid w:val="00E07606"/>
    <w:rsid w:val="00E10D39"/>
    <w:rsid w:val="00E1136B"/>
    <w:rsid w:val="00E12FAD"/>
    <w:rsid w:val="00E163D8"/>
    <w:rsid w:val="00E17984"/>
    <w:rsid w:val="00E17F4F"/>
    <w:rsid w:val="00E218EA"/>
    <w:rsid w:val="00E22D51"/>
    <w:rsid w:val="00E22E12"/>
    <w:rsid w:val="00E24CE4"/>
    <w:rsid w:val="00E30E7A"/>
    <w:rsid w:val="00E30F2A"/>
    <w:rsid w:val="00E35FA1"/>
    <w:rsid w:val="00E36725"/>
    <w:rsid w:val="00E37F03"/>
    <w:rsid w:val="00E40A8C"/>
    <w:rsid w:val="00E45719"/>
    <w:rsid w:val="00E501D5"/>
    <w:rsid w:val="00E50E7C"/>
    <w:rsid w:val="00E51545"/>
    <w:rsid w:val="00E51BC2"/>
    <w:rsid w:val="00E55326"/>
    <w:rsid w:val="00E65906"/>
    <w:rsid w:val="00E711D7"/>
    <w:rsid w:val="00E754CF"/>
    <w:rsid w:val="00E810D9"/>
    <w:rsid w:val="00E8318A"/>
    <w:rsid w:val="00E83993"/>
    <w:rsid w:val="00E86E6F"/>
    <w:rsid w:val="00E87D69"/>
    <w:rsid w:val="00E902B0"/>
    <w:rsid w:val="00E902E8"/>
    <w:rsid w:val="00E91ABE"/>
    <w:rsid w:val="00E91BF8"/>
    <w:rsid w:val="00E973A0"/>
    <w:rsid w:val="00EA4775"/>
    <w:rsid w:val="00EA67DF"/>
    <w:rsid w:val="00EA6C80"/>
    <w:rsid w:val="00EA7202"/>
    <w:rsid w:val="00EB030F"/>
    <w:rsid w:val="00EB12CD"/>
    <w:rsid w:val="00EB1BA7"/>
    <w:rsid w:val="00EB2172"/>
    <w:rsid w:val="00EB270F"/>
    <w:rsid w:val="00EB3151"/>
    <w:rsid w:val="00EB34D3"/>
    <w:rsid w:val="00EB6FC5"/>
    <w:rsid w:val="00EB7763"/>
    <w:rsid w:val="00EC512F"/>
    <w:rsid w:val="00EC55EE"/>
    <w:rsid w:val="00EC59F0"/>
    <w:rsid w:val="00EC6B16"/>
    <w:rsid w:val="00ED4CF1"/>
    <w:rsid w:val="00ED66A6"/>
    <w:rsid w:val="00ED7B6D"/>
    <w:rsid w:val="00EE677F"/>
    <w:rsid w:val="00EF17E8"/>
    <w:rsid w:val="00EF2F7D"/>
    <w:rsid w:val="00EF2FBF"/>
    <w:rsid w:val="00F0082D"/>
    <w:rsid w:val="00F07081"/>
    <w:rsid w:val="00F07C90"/>
    <w:rsid w:val="00F106C2"/>
    <w:rsid w:val="00F11679"/>
    <w:rsid w:val="00F20469"/>
    <w:rsid w:val="00F22761"/>
    <w:rsid w:val="00F23B72"/>
    <w:rsid w:val="00F25AEA"/>
    <w:rsid w:val="00F2780D"/>
    <w:rsid w:val="00F31654"/>
    <w:rsid w:val="00F33B72"/>
    <w:rsid w:val="00F34B61"/>
    <w:rsid w:val="00F353AD"/>
    <w:rsid w:val="00F36955"/>
    <w:rsid w:val="00F415B7"/>
    <w:rsid w:val="00F4684C"/>
    <w:rsid w:val="00F46F33"/>
    <w:rsid w:val="00F51EFC"/>
    <w:rsid w:val="00F52612"/>
    <w:rsid w:val="00F66B9F"/>
    <w:rsid w:val="00F702C0"/>
    <w:rsid w:val="00F71A0E"/>
    <w:rsid w:val="00F73F6D"/>
    <w:rsid w:val="00F779EF"/>
    <w:rsid w:val="00F77F00"/>
    <w:rsid w:val="00F804FC"/>
    <w:rsid w:val="00F807E5"/>
    <w:rsid w:val="00F82117"/>
    <w:rsid w:val="00F8291C"/>
    <w:rsid w:val="00F82B54"/>
    <w:rsid w:val="00F8724F"/>
    <w:rsid w:val="00F87E80"/>
    <w:rsid w:val="00F92279"/>
    <w:rsid w:val="00F95DE5"/>
    <w:rsid w:val="00FA6551"/>
    <w:rsid w:val="00FB0161"/>
    <w:rsid w:val="00FB1AD5"/>
    <w:rsid w:val="00FB26B7"/>
    <w:rsid w:val="00FB5CB6"/>
    <w:rsid w:val="00FB5D1A"/>
    <w:rsid w:val="00FB606F"/>
    <w:rsid w:val="00FB64AA"/>
    <w:rsid w:val="00FB7741"/>
    <w:rsid w:val="00FC614E"/>
    <w:rsid w:val="00FC6ADA"/>
    <w:rsid w:val="00FD28BE"/>
    <w:rsid w:val="00FD30F0"/>
    <w:rsid w:val="00FD3555"/>
    <w:rsid w:val="00FE7E44"/>
    <w:rsid w:val="00FF06C3"/>
    <w:rsid w:val="00FF18CB"/>
    <w:rsid w:val="00FF354F"/>
    <w:rsid w:val="00FF38B7"/>
    <w:rsid w:val="00FF6807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8AC448E"/>
  <w15:docId w15:val="{120EA504-977E-4AE3-8D8D-B5378C16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C"/>
    <w:pPr>
      <w:spacing w:before="120" w:after="120"/>
    </w:pPr>
    <w:rPr>
      <w:rFonts w:ascii="Calibri" w:eastAsia="Times New Roman" w:hAnsi="Calibri" w:cs="Times New Roman"/>
      <w:color w:val="262626" w:themeColor="text1" w:themeTint="D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5F353C"/>
    <w:pPr>
      <w:spacing w:before="360" w:after="240" w:line="259" w:lineRule="auto"/>
      <w:outlineLvl w:val="0"/>
    </w:pPr>
    <w:rPr>
      <w:b/>
      <w:bCs w:val="0"/>
      <w:sz w:val="40"/>
    </w:rPr>
  </w:style>
  <w:style w:type="paragraph" w:styleId="Heading2">
    <w:name w:val="heading 2"/>
    <w:basedOn w:val="HeadingBase"/>
    <w:next w:val="Normal"/>
    <w:link w:val="Heading2Char"/>
    <w:qFormat/>
    <w:rsid w:val="005F353C"/>
    <w:pPr>
      <w:spacing w:before="240" w:after="240" w:line="259" w:lineRule="auto"/>
      <w:outlineLvl w:val="1"/>
    </w:pPr>
    <w:rPr>
      <w:b/>
      <w:bCs w:val="0"/>
      <w:iCs/>
      <w:color w:val="004570"/>
      <w:sz w:val="32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5F353C"/>
    <w:pPr>
      <w:spacing w:before="120" w:line="259" w:lineRule="auto"/>
      <w:outlineLvl w:val="2"/>
    </w:pPr>
    <w:rPr>
      <w:b/>
      <w:bCs w:val="0"/>
      <w:color w:val="0066A4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5F353C"/>
    <w:pPr>
      <w:spacing w:before="120" w:line="259" w:lineRule="auto"/>
      <w:outlineLvl w:val="3"/>
    </w:pPr>
    <w:rPr>
      <w:b/>
      <w:bCs w:val="0"/>
      <w:color w:val="0091EA"/>
      <w:sz w:val="24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3E4D87"/>
    <w:pPr>
      <w:outlineLvl w:val="4"/>
    </w:pPr>
    <w:rPr>
      <w:b/>
      <w:bCs w:val="0"/>
      <w:iCs/>
    </w:rPr>
  </w:style>
  <w:style w:type="paragraph" w:styleId="Heading6">
    <w:name w:val="heading 6"/>
    <w:basedOn w:val="HeadingBase"/>
    <w:next w:val="Normal"/>
    <w:link w:val="Heading6Char"/>
    <w:qFormat/>
    <w:rsid w:val="003E4D87"/>
    <w:p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53C"/>
    <w:rPr>
      <w:rFonts w:ascii="Calibri" w:eastAsia="Times New Roman" w:hAnsi="Calibri" w:cs="Arial"/>
      <w:b/>
      <w:color w:val="002C47"/>
      <w:kern w:val="32"/>
      <w:sz w:val="40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5F353C"/>
    <w:rPr>
      <w:rFonts w:ascii="Calibri" w:eastAsia="Times New Roman" w:hAnsi="Calibri" w:cs="Arial"/>
      <w:b/>
      <w:iCs/>
      <w:color w:val="004570"/>
      <w:kern w:val="32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F353C"/>
    <w:rPr>
      <w:rFonts w:ascii="Calibri" w:eastAsia="Times New Roman" w:hAnsi="Calibri" w:cs="Arial"/>
      <w:b/>
      <w:color w:val="0066A4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5F353C"/>
    <w:rPr>
      <w:rFonts w:ascii="Calibri" w:eastAsia="Times New Roman" w:hAnsi="Calibri" w:cs="Arial"/>
      <w:b/>
      <w:color w:val="0091EA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3E4D87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3E4D87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3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8361B4"/>
    <w:pPr>
      <w:keepNext/>
      <w:spacing w:before="240"/>
    </w:pPr>
    <w:rPr>
      <w:b/>
      <w:color w:val="002C47" w:themeColor="accent1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0E0B74"/>
    <w:pPr>
      <w:numPr>
        <w:numId w:val="1"/>
      </w:numPr>
      <w:spacing w:before="0"/>
    </w:pPr>
  </w:style>
  <w:style w:type="paragraph" w:customStyle="1" w:styleId="ChartandTableFootnoteAlpha">
    <w:name w:val="Chart and Table Footnote Alpha"/>
    <w:rsid w:val="002D488F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8361B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8361B4"/>
    <w:pPr>
      <w:jc w:val="center"/>
    </w:pPr>
  </w:style>
  <w:style w:type="paragraph" w:customStyle="1" w:styleId="ReportDate">
    <w:name w:val="Report Date"/>
    <w:basedOn w:val="Normal"/>
    <w:link w:val="ReportDateChar"/>
    <w:rsid w:val="001D4EAA"/>
    <w:pPr>
      <w:keepNext/>
      <w:spacing w:before="0" w:after="360"/>
    </w:pPr>
    <w:rPr>
      <w:color w:val="FFFFFF" w:themeColor="background1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after="0"/>
    </w:pPr>
    <w:rPr>
      <w:b w:val="0"/>
    </w:rPr>
  </w:style>
  <w:style w:type="paragraph" w:customStyle="1" w:styleId="FooterEven">
    <w:name w:val="Footer Even"/>
    <w:basedOn w:val="Footer"/>
    <w:rsid w:val="000E0B74"/>
    <w:pPr>
      <w:keepNext/>
      <w:tabs>
        <w:tab w:val="clear" w:pos="4513"/>
        <w:tab w:val="clear" w:pos="9026"/>
      </w:tabs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qFormat/>
    <w:rsid w:val="005F353C"/>
    <w:rPr>
      <w:color w:val="004570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12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12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12"/>
      </w:numPr>
      <w:spacing w:before="0"/>
    </w:pPr>
  </w:style>
  <w:style w:type="paragraph" w:customStyle="1" w:styleId="Romannumeral">
    <w:name w:val="Roman numeral"/>
    <w:basedOn w:val="Normal"/>
    <w:rsid w:val="00E35FA1"/>
    <w:pPr>
      <w:numPr>
        <w:numId w:val="13"/>
      </w:numPr>
      <w:tabs>
        <w:tab w:val="clear" w:pos="720"/>
        <w:tab w:val="num" w:pos="360"/>
        <w:tab w:val="left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8361B4"/>
    <w:pPr>
      <w:keepNext/>
      <w:spacing w:before="0" w:after="20"/>
    </w:pPr>
    <w:rPr>
      <w:b/>
      <w:color w:val="00818F" w:themeColor="accent5"/>
    </w:rPr>
  </w:style>
  <w:style w:type="paragraph" w:customStyle="1" w:styleId="TableColumnHeadingCentred">
    <w:name w:val="Table Column Heading Centred"/>
    <w:basedOn w:val="TableTextLeft"/>
    <w:rsid w:val="008361B4"/>
    <w:pPr>
      <w:jc w:val="center"/>
    </w:pPr>
    <w:rPr>
      <w:b/>
      <w:color w:val="002C47" w:themeColor="accent1"/>
      <w:sz w:val="20"/>
    </w:rPr>
  </w:style>
  <w:style w:type="paragraph" w:customStyle="1" w:styleId="TableColumnHeadingLeft">
    <w:name w:val="Table Column Heading Left"/>
    <w:basedOn w:val="TableTextLeft"/>
    <w:rsid w:val="008361B4"/>
    <w:rPr>
      <w:b/>
      <w:color w:val="002C47" w:themeColor="accent1"/>
      <w:sz w:val="20"/>
    </w:rPr>
  </w:style>
  <w:style w:type="paragraph" w:customStyle="1" w:styleId="TableColumnHeadingRight">
    <w:name w:val="Table Column Heading Right"/>
    <w:basedOn w:val="TableTextLeft"/>
    <w:rsid w:val="008361B4"/>
    <w:pPr>
      <w:jc w:val="right"/>
    </w:pPr>
    <w:rPr>
      <w:b/>
      <w:color w:val="002C47" w:themeColor="accent1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60595B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8361B4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2C47" w:themeColor="accent1"/>
      <w:szCs w:val="22"/>
    </w:rPr>
  </w:style>
  <w:style w:type="paragraph" w:styleId="TOC2">
    <w:name w:val="toc 2"/>
    <w:basedOn w:val="Normal"/>
    <w:next w:val="Normal"/>
    <w:uiPriority w:val="39"/>
    <w:qFormat/>
    <w:rsid w:val="008361B4"/>
    <w:pPr>
      <w:keepNext/>
      <w:tabs>
        <w:tab w:val="right" w:leader="dot" w:pos="9072"/>
      </w:tabs>
      <w:spacing w:before="40" w:after="20"/>
      <w:ind w:right="-2"/>
    </w:pPr>
    <w:rPr>
      <w:noProof/>
      <w:color w:val="002C47" w:themeColor="accent1"/>
    </w:rPr>
  </w:style>
  <w:style w:type="paragraph" w:styleId="TOC3">
    <w:name w:val="toc 3"/>
    <w:basedOn w:val="Normal"/>
    <w:next w:val="Normal"/>
    <w:uiPriority w:val="39"/>
    <w:qFormat/>
    <w:rsid w:val="008361B4"/>
    <w:pPr>
      <w:tabs>
        <w:tab w:val="right" w:leader="dot" w:pos="9072"/>
      </w:tabs>
      <w:spacing w:before="20" w:after="0"/>
      <w:ind w:left="284" w:right="-2"/>
    </w:pPr>
    <w:rPr>
      <w:rFonts w:cs="Calibri"/>
      <w:noProof/>
      <w:color w:val="5F5F5F" w:themeColor="text2"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4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5F353C"/>
    <w:pPr>
      <w:spacing w:before="360" w:after="240"/>
    </w:pPr>
    <w:rPr>
      <w:rFonts w:eastAsiaTheme="majorEastAsia" w:cstheme="majorBidi"/>
      <w:b/>
      <w:color w:val="FFFFFF" w:themeColor="background1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53C"/>
    <w:rPr>
      <w:rFonts w:ascii="Calibri" w:eastAsiaTheme="majorEastAsia" w:hAnsi="Calibri" w:cstheme="majorBidi"/>
      <w:b/>
      <w:color w:val="FFFFFF" w:themeColor="background1"/>
      <w:spacing w:val="5"/>
      <w:kern w:val="28"/>
      <w:sz w:val="60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53C"/>
    <w:pPr>
      <w:numPr>
        <w:ilvl w:val="1"/>
      </w:numPr>
    </w:pPr>
    <w:rPr>
      <w:rFonts w:eastAsiaTheme="majorEastAsia" w:cstheme="majorBidi"/>
      <w:iCs/>
      <w:caps/>
      <w:color w:val="FFFFFF" w:themeColor="background1"/>
      <w:sz w:val="40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F353C"/>
    <w:rPr>
      <w:rFonts w:ascii="Calibri" w:eastAsiaTheme="majorEastAsia" w:hAnsi="Calibri" w:cstheme="majorBidi"/>
      <w:iCs/>
      <w:caps/>
      <w:color w:val="FFFFFF" w:themeColor="background1"/>
      <w:sz w:val="40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421351"/>
    <w:pPr>
      <w:tabs>
        <w:tab w:val="center" w:pos="4513"/>
        <w:tab w:val="right" w:pos="9026"/>
      </w:tabs>
      <w:spacing w:before="0" w:after="0"/>
      <w:jc w:val="center"/>
    </w:pPr>
    <w:rPr>
      <w:color w:val="002C47" w:themeColor="accent1"/>
      <w:sz w:val="20"/>
    </w:rPr>
  </w:style>
  <w:style w:type="character" w:customStyle="1" w:styleId="FooterChar">
    <w:name w:val="Footer Char"/>
    <w:basedOn w:val="DefaultParagraphFont"/>
    <w:link w:val="Footer"/>
    <w:rsid w:val="00421351"/>
    <w:rPr>
      <w:rFonts w:ascii="Calibri" w:eastAsia="Times New Roman" w:hAnsi="Calibri" w:cs="Times New Roman"/>
      <w:color w:val="002C47" w:themeColor="accent1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1351"/>
    <w:pPr>
      <w:keepNext/>
      <w:spacing w:before="0" w:after="0"/>
      <w:jc w:val="right"/>
    </w:pPr>
    <w:rPr>
      <w:color w:val="002C47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21351"/>
    <w:rPr>
      <w:rFonts w:ascii="Calibri" w:eastAsia="Times New Roman" w:hAnsi="Calibri" w:cs="Times New Roman"/>
      <w:color w:val="002C47" w:themeColor="accent1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HeadingBase">
    <w:name w:val="Heading Base"/>
    <w:qFormat/>
    <w:rsid w:val="00CE5B0C"/>
    <w:pPr>
      <w:keepNext/>
      <w:spacing w:after="120" w:line="240" w:lineRule="auto"/>
    </w:pPr>
    <w:rPr>
      <w:rFonts w:ascii="Calibri" w:eastAsia="Times New Roman" w:hAnsi="Calibri" w:cs="Arial"/>
      <w:bCs/>
      <w:color w:val="002C47"/>
      <w:kern w:val="32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1D4EAA"/>
    <w:rPr>
      <w:rFonts w:ascii="Calibri" w:eastAsia="Times New Roman" w:hAnsi="Calibri" w:cs="Times New Roman"/>
      <w:color w:val="FFFFFF" w:themeColor="background1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5F5F5F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7E2AB9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character" w:styleId="FootnoteReference">
    <w:name w:val="footnote reference"/>
    <w:basedOn w:val="DefaultParagraphFont"/>
    <w:uiPriority w:val="99"/>
    <w:rsid w:val="000F7517"/>
    <w:rPr>
      <w:rFonts w:ascii="Calibri" w:hAnsi="Calibr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0595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95B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Heading3noTOC">
    <w:name w:val="Heading 3 no TOC"/>
    <w:basedOn w:val="Heading3"/>
    <w:qFormat/>
    <w:rsid w:val="00257AEE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7B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067D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7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D59"/>
    <w:pPr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D59"/>
    <w:rPr>
      <w:sz w:val="20"/>
      <w:szCs w:val="20"/>
    </w:rPr>
  </w:style>
  <w:style w:type="character" w:customStyle="1" w:styleId="BulletChar">
    <w:name w:val="Bullet Char"/>
    <w:aliases w:val="b Char,b Char Char,b + line Char Char"/>
    <w:basedOn w:val="DefaultParagraphFont"/>
    <w:link w:val="Bullet"/>
    <w:rsid w:val="00417729"/>
    <w:rPr>
      <w:rFonts w:ascii="Calibri" w:eastAsia="Times New Roman" w:hAnsi="Calibri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96A"/>
    <w:pPr>
      <w:spacing w:before="120" w:after="120"/>
    </w:pPr>
    <w:rPr>
      <w:rFonts w:ascii="Calibri" w:eastAsia="Times New Roman" w:hAnsi="Calibri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96A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3B41AC"/>
    <w:rPr>
      <w:rFonts w:ascii="Calibri" w:eastAsia="Times New Roman" w:hAnsi="Calibri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rsid w:val="003B41AC"/>
    <w:rPr>
      <w:rFonts w:ascii="Calibri" w:eastAsia="Times New Roman" w:hAnsi="Calibri" w:cs="Times New Roman"/>
      <w:szCs w:val="20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8FE"/>
    <w:pPr>
      <w:pBdr>
        <w:top w:val="single" w:sz="4" w:space="10" w:color="002C47" w:themeColor="accent1"/>
        <w:bottom w:val="single" w:sz="4" w:space="10" w:color="002C47" w:themeColor="accent1"/>
      </w:pBdr>
      <w:spacing w:before="360" w:after="360"/>
      <w:ind w:left="864" w:right="864"/>
      <w:jc w:val="center"/>
    </w:pPr>
    <w:rPr>
      <w:i/>
      <w:iCs/>
      <w:color w:val="002C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8FE"/>
    <w:rPr>
      <w:rFonts w:ascii="Calibri" w:eastAsia="Times New Roman" w:hAnsi="Calibri" w:cs="Times New Roman"/>
      <w:i/>
      <w:iCs/>
      <w:color w:val="002C47" w:themeColor="accent1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A28FE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F4684C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56359B"/>
    <w:rPr>
      <w:color w:val="E61E2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2A3C"/>
    <w:pPr>
      <w:numPr>
        <w:numId w:val="42"/>
      </w:numPr>
      <w:ind w:left="924" w:hanging="357"/>
    </w:pPr>
  </w:style>
  <w:style w:type="table" w:styleId="TableGridLight">
    <w:name w:val="Grid Table Light"/>
    <w:basedOn w:val="TableNormal"/>
    <w:uiPriority w:val="40"/>
    <w:rsid w:val="00622C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30F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PlainTable1">
    <w:name w:val="Plain Table 1"/>
    <w:basedOn w:val="TableNormal"/>
    <w:uiPriority w:val="41"/>
    <w:rsid w:val="00564A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D1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6454FB"/>
    <w:pPr>
      <w:spacing w:after="0" w:line="240" w:lineRule="auto"/>
    </w:pPr>
    <w:tblPr>
      <w:tblStyleRowBandSize w:val="1"/>
      <w:tblStyleColBandSize w:val="1"/>
      <w:tblBorders>
        <w:top w:val="single" w:sz="4" w:space="0" w:color="82A7D5" w:themeColor="accent2" w:themeTint="99"/>
        <w:left w:val="single" w:sz="4" w:space="0" w:color="82A7D5" w:themeColor="accent2" w:themeTint="99"/>
        <w:bottom w:val="single" w:sz="4" w:space="0" w:color="82A7D5" w:themeColor="accent2" w:themeTint="99"/>
        <w:right w:val="single" w:sz="4" w:space="0" w:color="82A7D5" w:themeColor="accent2" w:themeTint="99"/>
        <w:insideH w:val="single" w:sz="4" w:space="0" w:color="82A7D5" w:themeColor="accent2" w:themeTint="99"/>
        <w:insideV w:val="single" w:sz="4" w:space="0" w:color="82A7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6FAF" w:themeColor="accent2"/>
          <w:left w:val="single" w:sz="4" w:space="0" w:color="3A6FAF" w:themeColor="accent2"/>
          <w:bottom w:val="single" w:sz="4" w:space="0" w:color="3A6FAF" w:themeColor="accent2"/>
          <w:right w:val="single" w:sz="4" w:space="0" w:color="3A6FAF" w:themeColor="accent2"/>
          <w:insideH w:val="nil"/>
          <w:insideV w:val="nil"/>
        </w:tcBorders>
        <w:shd w:val="clear" w:color="auto" w:fill="3A6FAF" w:themeFill="accent2"/>
      </w:tcPr>
    </w:tblStylePr>
    <w:tblStylePr w:type="lastRow">
      <w:rPr>
        <w:b/>
        <w:bCs/>
      </w:rPr>
      <w:tblPr/>
      <w:tcPr>
        <w:tcBorders>
          <w:top w:val="double" w:sz="4" w:space="0" w:color="3A6F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1F1" w:themeFill="accent2" w:themeFillTint="33"/>
      </w:tcPr>
    </w:tblStylePr>
    <w:tblStylePr w:type="band1Horz">
      <w:tblPr/>
      <w:tcPr>
        <w:shd w:val="clear" w:color="auto" w:fill="D5E1F1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5F353C"/>
    <w:rPr>
      <w:b/>
      <w:bCs/>
      <w:color w:val="004570"/>
    </w:rPr>
  </w:style>
  <w:style w:type="paragraph" w:customStyle="1" w:styleId="HeaderOdd">
    <w:name w:val="Header Odd"/>
    <w:basedOn w:val="Header"/>
    <w:rsid w:val="009B391A"/>
    <w:rPr>
      <w:color w:val="002C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77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pmc.gov.au/government/commonwealth-coat-arms" TargetMode="External"/><Relationship Id="rId26" Type="http://schemas.openxmlformats.org/officeDocument/2006/relationships/hyperlink" Target="https://paymenttimes.gov.au/" TargetMode="Externa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hyperlink" Target="https://paymenttimes.gov.au/about/regulatory-resources/information-sheet-1" TargetMode="External"/><Relationship Id="rId42" Type="http://schemas.openxmlformats.org/officeDocument/2006/relationships/header" Target="header9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creativecommons.org/licenses/by/3.0/au/deed.en" TargetMode="External"/><Relationship Id="rId25" Type="http://schemas.openxmlformats.org/officeDocument/2006/relationships/hyperlink" Target="https://treasury.gov.au/consultation" TargetMode="External"/><Relationship Id="rId33" Type="http://schemas.openxmlformats.org/officeDocument/2006/relationships/hyperlink" Target="https://portal.paymenttimes.gov.au/" TargetMode="External"/><Relationship Id="rId38" Type="http://schemas.openxmlformats.org/officeDocument/2006/relationships/footer" Target="footer2.xm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3.xml"/><Relationship Id="rId29" Type="http://schemas.openxmlformats.org/officeDocument/2006/relationships/hyperlink" Target="mailto:support@paymenttimes.gov.au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32" Type="http://schemas.openxmlformats.org/officeDocument/2006/relationships/hyperlink" Target="https://register.paymenttimes.gov.au/" TargetMode="External"/><Relationship Id="rId37" Type="http://schemas.openxmlformats.org/officeDocument/2006/relationships/header" Target="header7.xml"/><Relationship Id="rId40" Type="http://schemas.openxmlformats.org/officeDocument/2006/relationships/header" Target="header8.xml"/><Relationship Id="rId45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creativecommons.org/licenses/by/3.0/au/legalcode" TargetMode="External"/><Relationship Id="rId23" Type="http://schemas.openxmlformats.org/officeDocument/2006/relationships/header" Target="header5.xml"/><Relationship Id="rId28" Type="http://schemas.openxmlformats.org/officeDocument/2006/relationships/hyperlink" Target="https://paymenttimes.gov.au/contact" TargetMode="External"/><Relationship Id="rId36" Type="http://schemas.openxmlformats.org/officeDocument/2006/relationships/hyperlink" Target="mailto:support@paymenttimes.gov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media@treasury.gov.au" TargetMode="External"/><Relationship Id="rId31" Type="http://schemas.openxmlformats.org/officeDocument/2006/relationships/hyperlink" Target="https://www.legislation.gov.au/Series/C2020A00091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reativecommons.org/licenses/by/3.0/au/deed.en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legislation.gov.au/Series/C2004A02562" TargetMode="External"/><Relationship Id="rId30" Type="http://schemas.openxmlformats.org/officeDocument/2006/relationships/hyperlink" Target="mailto:support@paymenttimes.gov.au" TargetMode="External"/><Relationship Id="rId35" Type="http://schemas.openxmlformats.org/officeDocument/2006/relationships/hyperlink" Target="https://paymenttimes.gov.au/" TargetMode="External"/><Relationship Id="rId43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Consultation%20Discussion%20Pap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2B968436974ACEBBAD61F6C6D4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FFB9-68F5-4385-ACD7-01A6BA57D951}"/>
      </w:docPartPr>
      <w:docPartBody>
        <w:p w:rsidR="00CE5596" w:rsidRDefault="00CE5596">
          <w:pPr>
            <w:pStyle w:val="3B2B968436974ACEBBAD61F6C6D4B286"/>
          </w:pPr>
          <w:r w:rsidRPr="00225CD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96"/>
    <w:rsid w:val="0031679D"/>
    <w:rsid w:val="00362D21"/>
    <w:rsid w:val="003802EE"/>
    <w:rsid w:val="0047201F"/>
    <w:rsid w:val="004B6345"/>
    <w:rsid w:val="004D24C6"/>
    <w:rsid w:val="004E64D5"/>
    <w:rsid w:val="0051640D"/>
    <w:rsid w:val="005456D7"/>
    <w:rsid w:val="005A0B5A"/>
    <w:rsid w:val="006555BC"/>
    <w:rsid w:val="007661D0"/>
    <w:rsid w:val="007C050B"/>
    <w:rsid w:val="008727C6"/>
    <w:rsid w:val="00904CB0"/>
    <w:rsid w:val="00952257"/>
    <w:rsid w:val="00A31A77"/>
    <w:rsid w:val="00A47FC3"/>
    <w:rsid w:val="00AE0977"/>
    <w:rsid w:val="00B512C2"/>
    <w:rsid w:val="00BA22F6"/>
    <w:rsid w:val="00BE53FD"/>
    <w:rsid w:val="00C839A6"/>
    <w:rsid w:val="00CE5596"/>
    <w:rsid w:val="00D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2B968436974ACEBBAD61F6C6D4B286">
    <w:name w:val="3B2B968436974ACEBBAD61F6C6D4B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SY Corporat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AEAEA"/>
      </a:lt2>
      <a:accent1>
        <a:srgbClr val="002C47"/>
      </a:accent1>
      <a:accent2>
        <a:srgbClr val="3A6FAF"/>
      </a:accent2>
      <a:accent3>
        <a:srgbClr val="008569"/>
      </a:accent3>
      <a:accent4>
        <a:srgbClr val="C45154"/>
      </a:accent4>
      <a:accent5>
        <a:srgbClr val="00818F"/>
      </a:accent5>
      <a:accent6>
        <a:srgbClr val="844D9E"/>
      </a:accent6>
      <a:hlink>
        <a:srgbClr val="3A6FAF"/>
      </a:hlink>
      <a:folHlink>
        <a:srgbClr val="E61E2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2022MG-1213918951-1836</_dlc_DocId>
    <_dlc_DocIdUrl xmlns="0f563589-9cf9-4143-b1eb-fb0534803d38">
      <Url>http://tweb/sites/mg/sb/_layouts/15/DocIdRedir.aspx?ID=2022MG-1213918951-1836</Url>
      <Description>2022MG-1213918951-1836</Description>
    </_dlc_DocIdUrl>
    <Security_x0020_Classification xmlns="cdcd3c97-0819-48bd-aeff-3ead6717f122">OFFICIAL</Security_x0020_Classificat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24929B8128B4CA3796144F7AE1833" ma:contentTypeVersion="48314" ma:contentTypeDescription="Create a new document." ma:contentTypeScope="" ma:versionID="f68515f6126132a06f84074dcb245785">
  <xsd:schema xmlns:xsd="http://www.w3.org/2001/XMLSchema" xmlns:xs="http://www.w3.org/2001/XMLSchema" xmlns:p="http://schemas.microsoft.com/office/2006/metadata/properties" xmlns:ns2="0f563589-9cf9-4143-b1eb-fb0534803d38" xmlns:ns3="cdcd3c97-0819-48bd-aeff-3ead6717f122" targetNamespace="http://schemas.microsoft.com/office/2006/metadata/properties" ma:root="true" ma:fieldsID="20424d61368bf72f4ce47c8dd26df20b" ns2:_="" ns3:_="">
    <xsd:import namespace="0f563589-9cf9-4143-b1eb-fb0534803d38"/>
    <xsd:import namespace="cdcd3c97-0819-48bd-aeff-3ead6717f1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3c97-0819-48bd-aeff-3ead6717f122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7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OFFICIAL"/>
              <xsd:enumeration value="OFFICIAL:Sensitiv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1E1F-A004-498D-82C4-529993CA3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385CA-7FBF-40BE-9E2A-200E6D0172FF}">
  <ds:schemaRefs>
    <ds:schemaRef ds:uri="http://purl.org/dc/terms/"/>
    <ds:schemaRef ds:uri="cdcd3c97-0819-48bd-aeff-3ead6717f122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8EB930-AC73-42A4-98E5-8AF44E091A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BF86D9-FC50-4B48-92D4-CF71E089C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3589-9cf9-4143-b1eb-fb0534803d38"/>
    <ds:schemaRef ds:uri="cdcd3c97-0819-48bd-aeff-3ead6717f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EA6588-2309-44CB-99E1-67480B8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Consultation Discussion Paper.dotm</Template>
  <TotalTime>1</TotalTime>
  <Pages>16</Pages>
  <Words>1874</Words>
  <Characters>11183</Characters>
  <Application>Microsoft Office Word</Application>
  <DocSecurity>0</DocSecurity>
  <Lines>482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- Payment Times Reporting: Updated guidance material</vt:lpstr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- Payment Times Reporting: Updated guidance material</dc:title>
  <dc:subject/>
  <dc:creator>Payment Times Reporting Regulator</dc:creator>
  <cp:keywords/>
  <dc:description/>
  <cp:lastModifiedBy>Hill, Christine</cp:lastModifiedBy>
  <cp:revision>3</cp:revision>
  <dcterms:created xsi:type="dcterms:W3CDTF">2022-07-21T04:03:00Z</dcterms:created>
  <dcterms:modified xsi:type="dcterms:W3CDTF">2022-07-21T04:33:00Z</dcterms:modified>
  <cp:category/>
</cp:coreProperties>
</file>