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28DD5" w14:textId="2785B3E7" w:rsidR="00F109D4" w:rsidRPr="00731FEA" w:rsidRDefault="00DB26C5"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7CF7E484" w14:textId="7527621C" w:rsidR="007662C7" w:rsidRPr="00731FEA" w:rsidRDefault="00F109D4" w:rsidP="003E1CE3">
      <w:pPr>
        <w:pStyle w:val="Heading2"/>
        <w:jc w:val="center"/>
        <w:rPr>
          <w:sz w:val="24"/>
          <w:szCs w:val="24"/>
        </w:rPr>
      </w:pPr>
      <w:r w:rsidRPr="007B335E">
        <w:rPr>
          <w:sz w:val="24"/>
          <w:szCs w:val="24"/>
        </w:rPr>
        <w:t>Issued by authority of the</w:t>
      </w:r>
      <w:r w:rsidR="005070F4" w:rsidRPr="005070F4">
        <w:t xml:space="preserve"> </w:t>
      </w:r>
      <w:r w:rsidR="005070F4" w:rsidRPr="005070F4">
        <w:rPr>
          <w:sz w:val="24"/>
          <w:szCs w:val="24"/>
        </w:rPr>
        <w:t>Assistant Treasurer and Minister for Financial Services</w:t>
      </w:r>
    </w:p>
    <w:p w14:paraId="4D068860" w14:textId="181FBEAC" w:rsidR="00F109D4" w:rsidRDefault="00764C1A" w:rsidP="003C7907">
      <w:pPr>
        <w:spacing w:before="240" w:after="240"/>
        <w:jc w:val="center"/>
        <w:rPr>
          <w:i/>
        </w:rPr>
      </w:pPr>
      <w:r w:rsidRPr="00764C1A">
        <w:rPr>
          <w:i/>
        </w:rPr>
        <w:t>Superannuation Industry (Supervision) Act 1993</w:t>
      </w:r>
    </w:p>
    <w:p w14:paraId="0EAA9E6C" w14:textId="280CD314" w:rsidR="00F109D4" w:rsidRPr="00503E44" w:rsidRDefault="00744065" w:rsidP="00AA1689">
      <w:pPr>
        <w:tabs>
          <w:tab w:val="left" w:pos="1418"/>
        </w:tabs>
        <w:spacing w:before="0" w:after="240"/>
        <w:jc w:val="center"/>
        <w:rPr>
          <w:i/>
        </w:rPr>
      </w:pPr>
      <w:r w:rsidRPr="004F7855">
        <w:rPr>
          <w:i/>
          <w:iCs/>
        </w:rPr>
        <w:t>Superannuation Industry (Supervision) Amendment (</w:t>
      </w:r>
      <w:r w:rsidR="00036BF1" w:rsidRPr="00036BF1">
        <w:rPr>
          <w:i/>
          <w:iCs/>
        </w:rPr>
        <w:t>Annual Members’ Meetings Notices</w:t>
      </w:r>
      <w:r w:rsidRPr="004F7855">
        <w:rPr>
          <w:i/>
          <w:iCs/>
        </w:rPr>
        <w:t>) Regulations 2022</w:t>
      </w:r>
    </w:p>
    <w:p w14:paraId="4E803513" w14:textId="3921CB8D" w:rsidR="000430D8" w:rsidRDefault="000430D8" w:rsidP="000430D8">
      <w:pPr>
        <w:rPr>
          <w:szCs w:val="24"/>
        </w:rPr>
      </w:pPr>
      <w:r>
        <w:rPr>
          <w:szCs w:val="24"/>
        </w:rPr>
        <w:t xml:space="preserve">The </w:t>
      </w:r>
      <w:r>
        <w:rPr>
          <w:i/>
          <w:szCs w:val="24"/>
        </w:rPr>
        <w:t xml:space="preserve">Superannuation Industry (Supervision) Act 1993 </w:t>
      </w:r>
      <w:r>
        <w:rPr>
          <w:iCs/>
          <w:szCs w:val="24"/>
        </w:rPr>
        <w:t>(the Act)</w:t>
      </w:r>
      <w:r>
        <w:rPr>
          <w:szCs w:val="24"/>
        </w:rPr>
        <w:t xml:space="preserve"> governs the prudent management of superannuation funds and </w:t>
      </w:r>
      <w:r w:rsidR="00AF1F7C">
        <w:rPr>
          <w:szCs w:val="24"/>
        </w:rPr>
        <w:t>for their</w:t>
      </w:r>
      <w:r>
        <w:rPr>
          <w:szCs w:val="24"/>
        </w:rPr>
        <w:t xml:space="preserve"> supervision by the Australian Prudential Regulat</w:t>
      </w:r>
      <w:r w:rsidR="006C4EC5">
        <w:rPr>
          <w:szCs w:val="24"/>
        </w:rPr>
        <w:t>ion</w:t>
      </w:r>
      <w:r>
        <w:rPr>
          <w:szCs w:val="24"/>
        </w:rPr>
        <w:t xml:space="preserve"> Authority (APRA), the Australian Securities and Investments Commission (ASIC)</w:t>
      </w:r>
      <w:r w:rsidR="009F6F40">
        <w:rPr>
          <w:szCs w:val="24"/>
        </w:rPr>
        <w:t>,</w:t>
      </w:r>
      <w:r>
        <w:rPr>
          <w:szCs w:val="24"/>
        </w:rPr>
        <w:t xml:space="preserve"> and the Commissioner of Taxation.   </w:t>
      </w:r>
    </w:p>
    <w:p w14:paraId="428C5D04" w14:textId="4EA7C2A1" w:rsidR="00F109D4" w:rsidRDefault="00DA5C87" w:rsidP="00647BB7">
      <w:pPr>
        <w:spacing w:before="240"/>
      </w:pPr>
      <w:r>
        <w:t>Subs</w:t>
      </w:r>
      <w:r w:rsidR="00C55D29" w:rsidRPr="00503E44">
        <w:t>ection</w:t>
      </w:r>
      <w:r w:rsidR="00B5110B">
        <w:t xml:space="preserve"> 353</w:t>
      </w:r>
      <w:r>
        <w:t>(1)</w:t>
      </w:r>
      <w:r w:rsidR="005E4BAC">
        <w:t xml:space="preserve"> </w:t>
      </w:r>
      <w:r w:rsidR="00F109D4" w:rsidRPr="00503E44">
        <w:t xml:space="preserve">of </w:t>
      </w:r>
      <w:r w:rsidR="00F109D4" w:rsidRPr="00503E44" w:rsidDel="000430D8">
        <w:t xml:space="preserve">the </w:t>
      </w:r>
      <w:r w:rsidR="00F109D4" w:rsidRPr="005378E2">
        <w:t>Act</w:t>
      </w:r>
      <w:r w:rsidR="00F109D4" w:rsidRPr="00503E44">
        <w:t xml:space="preserve"> provides that the Governor-General may make regulations prescribing matters required or permitted by the Act to be prescribed, or necessary or convenient to be prescribed for carrying out or giving effect to the Act.</w:t>
      </w:r>
    </w:p>
    <w:p w14:paraId="508EB663" w14:textId="75C1222B" w:rsidR="000430D8" w:rsidRDefault="000430D8" w:rsidP="000430D8">
      <w:pPr>
        <w:widowControl w:val="0"/>
        <w:adjustRightInd w:val="0"/>
        <w:spacing w:before="240"/>
        <w:textAlignment w:val="baseline"/>
        <w:rPr>
          <w:szCs w:val="24"/>
        </w:rPr>
      </w:pPr>
      <w:bookmarkStart w:id="1" w:name="_Hlk107580454"/>
      <w:r>
        <w:rPr>
          <w:szCs w:val="24"/>
        </w:rPr>
        <w:t xml:space="preserve">The </w:t>
      </w:r>
      <w:r>
        <w:rPr>
          <w:i/>
          <w:szCs w:val="24"/>
        </w:rPr>
        <w:t xml:space="preserve">Superannuation Industry (Supervision) Regulations 1994 </w:t>
      </w:r>
      <w:r>
        <w:rPr>
          <w:szCs w:val="24"/>
        </w:rPr>
        <w:t>(the Principal Regulations) prescribe matters in support of the Act.</w:t>
      </w:r>
    </w:p>
    <w:p w14:paraId="6FF7366E" w14:textId="7CD6FA06" w:rsidR="00723388" w:rsidRDefault="004F7855" w:rsidP="004F7855">
      <w:pPr>
        <w:spacing w:before="0" w:after="0"/>
      </w:pPr>
      <w:r>
        <w:t>The</w:t>
      </w:r>
      <w:r w:rsidR="002A02A0">
        <w:t xml:space="preserve"> purpose of the</w:t>
      </w:r>
      <w:r>
        <w:t xml:space="preserve"> </w:t>
      </w:r>
      <w:r w:rsidRPr="004F7855">
        <w:rPr>
          <w:i/>
          <w:iCs/>
        </w:rPr>
        <w:t>Superannuation Industry (Supervision) Amendment (</w:t>
      </w:r>
      <w:r w:rsidR="00036BF1" w:rsidRPr="00036BF1">
        <w:rPr>
          <w:i/>
          <w:iCs/>
        </w:rPr>
        <w:t>Annual Members’ Meetings Notices</w:t>
      </w:r>
      <w:r w:rsidRPr="004F7855">
        <w:rPr>
          <w:i/>
          <w:iCs/>
        </w:rPr>
        <w:t>) Regulations 2022</w:t>
      </w:r>
      <w:r>
        <w:t xml:space="preserve"> </w:t>
      </w:r>
      <w:r w:rsidR="000C1ACE">
        <w:t xml:space="preserve">(the </w:t>
      </w:r>
      <w:r w:rsidR="000C1ACE" w:rsidRPr="00D21A75">
        <w:t>Regulations</w:t>
      </w:r>
      <w:r w:rsidR="000C1ACE">
        <w:t xml:space="preserve">) </w:t>
      </w:r>
      <w:r w:rsidR="00723388">
        <w:t xml:space="preserve">is to </w:t>
      </w:r>
      <w:r w:rsidR="00E0249E">
        <w:t xml:space="preserve">amend </w:t>
      </w:r>
      <w:r w:rsidR="00E0249E">
        <w:rPr>
          <w:color w:val="000000"/>
          <w:shd w:val="clear" w:color="auto" w:fill="FFFFFF"/>
        </w:rPr>
        <w:t xml:space="preserve">the </w:t>
      </w:r>
      <w:r w:rsidR="00E0249E" w:rsidRPr="00D21A75">
        <w:rPr>
          <w:color w:val="000000"/>
          <w:shd w:val="clear" w:color="auto" w:fill="FFFFFF"/>
        </w:rPr>
        <w:t>Principal Regulations</w:t>
      </w:r>
      <w:r w:rsidR="00E0249E">
        <w:rPr>
          <w:i/>
          <w:iCs/>
          <w:color w:val="000000"/>
          <w:shd w:val="clear" w:color="auto" w:fill="FFFFFF"/>
        </w:rPr>
        <w:t xml:space="preserve"> </w:t>
      </w:r>
      <w:r w:rsidR="00723388">
        <w:rPr>
          <w:color w:val="000000"/>
          <w:shd w:val="clear" w:color="auto" w:fill="FFFFFF"/>
        </w:rPr>
        <w:t xml:space="preserve">to </w:t>
      </w:r>
      <w:r w:rsidR="00723388">
        <w:t xml:space="preserve">support improved member outcomes by clarifying certain aspects of the disclosure requirements </w:t>
      </w:r>
      <w:r w:rsidR="005517F1">
        <w:t xml:space="preserve">under </w:t>
      </w:r>
      <w:r w:rsidR="00723388">
        <w:t>the Principal Regulations.</w:t>
      </w:r>
    </w:p>
    <w:bookmarkEnd w:id="1"/>
    <w:p w14:paraId="07E6F483" w14:textId="77777777" w:rsidR="00723388" w:rsidRDefault="00723388" w:rsidP="004F7855">
      <w:pPr>
        <w:spacing w:before="0" w:after="0"/>
      </w:pPr>
    </w:p>
    <w:p w14:paraId="4309CE62" w14:textId="0FA79777" w:rsidR="00402650" w:rsidRPr="00402650" w:rsidRDefault="00723388" w:rsidP="004F7855">
      <w:pPr>
        <w:spacing w:before="0" w:after="0"/>
        <w:rPr>
          <w:szCs w:val="24"/>
        </w:rPr>
      </w:pPr>
      <w:r>
        <w:t>The Regulations</w:t>
      </w:r>
      <w:r w:rsidR="00E0249E">
        <w:t xml:space="preserve"> </w:t>
      </w:r>
      <w:r w:rsidR="00DA5C87">
        <w:t>ensure that</w:t>
      </w:r>
      <w:r w:rsidR="00402650">
        <w:t xml:space="preserve"> super</w:t>
      </w:r>
      <w:r>
        <w:t>annuation</w:t>
      </w:r>
      <w:r w:rsidR="00402650">
        <w:t xml:space="preserve"> funds </w:t>
      </w:r>
      <w:r>
        <w:t>are required to disclos</w:t>
      </w:r>
      <w:r w:rsidR="00E046A0">
        <w:t>e</w:t>
      </w:r>
      <w:r>
        <w:t xml:space="preserve"> an appropriate amount of information to members</w:t>
      </w:r>
      <w:r w:rsidR="00402650" w:rsidRPr="00402650">
        <w:t xml:space="preserve">, while keeping compliance costs low to preserve members’ money for retirement. </w:t>
      </w:r>
    </w:p>
    <w:p w14:paraId="31FC1A25" w14:textId="330B990A" w:rsidR="00F109D4" w:rsidRDefault="00C63820" w:rsidP="004479BF">
      <w:pPr>
        <w:pStyle w:val="base-text-paragraph"/>
        <w:ind w:left="0"/>
      </w:pPr>
      <w:r>
        <w:rPr>
          <w:color w:val="000000"/>
          <w:shd w:val="clear" w:color="auto" w:fill="FFFFFF"/>
        </w:rPr>
        <w:t>In August 2021, the </w:t>
      </w:r>
      <w:r>
        <w:rPr>
          <w:i/>
          <w:iCs/>
          <w:color w:val="000000"/>
          <w:shd w:val="clear" w:color="auto" w:fill="FFFFFF"/>
        </w:rPr>
        <w:t>Superannuation Industry (Supervision) Amendment (Your Future, Your Super—Improving Accountability and Member Outcomes) Regulations 2021 </w:t>
      </w:r>
      <w:r>
        <w:rPr>
          <w:color w:val="000000"/>
          <w:shd w:val="clear" w:color="auto" w:fill="FFFFFF"/>
        </w:rPr>
        <w:t xml:space="preserve">amended the </w:t>
      </w:r>
      <w:r w:rsidRPr="007F18CB">
        <w:t>Principal Regulations</w:t>
      </w:r>
      <w:r w:rsidR="000430D8">
        <w:t xml:space="preserve"> by</w:t>
      </w:r>
      <w:r>
        <w:rPr>
          <w:color w:val="000000"/>
          <w:shd w:val="clear" w:color="auto" w:fill="FFFFFF"/>
        </w:rPr>
        <w:t xml:space="preserve"> </w:t>
      </w:r>
      <w:r w:rsidR="000430D8">
        <w:rPr>
          <w:color w:val="000000"/>
          <w:shd w:val="clear" w:color="auto" w:fill="FFFFFF"/>
        </w:rPr>
        <w:t>prescribing</w:t>
      </w:r>
      <w:r w:rsidRPr="000C1ACE">
        <w:rPr>
          <w:color w:val="000000"/>
          <w:shd w:val="clear" w:color="auto" w:fill="FFFFFF"/>
        </w:rPr>
        <w:t xml:space="preserve"> that</w:t>
      </w:r>
      <w:r>
        <w:rPr>
          <w:color w:val="000000"/>
          <w:shd w:val="clear" w:color="auto" w:fill="FFFFFF"/>
        </w:rPr>
        <w:t xml:space="preserve"> certain</w:t>
      </w:r>
      <w:r w:rsidRPr="000C1ACE">
        <w:rPr>
          <w:color w:val="000000"/>
          <w:shd w:val="clear" w:color="auto" w:fill="FFFFFF"/>
        </w:rPr>
        <w:t xml:space="preserve"> </w:t>
      </w:r>
      <w:r w:rsidRPr="002D1D90">
        <w:rPr>
          <w:color w:val="000000"/>
          <w:shd w:val="clear" w:color="auto" w:fill="FFFFFF"/>
        </w:rPr>
        <w:t>information must be provided with a notice for an annual members</w:t>
      </w:r>
      <w:r>
        <w:rPr>
          <w:color w:val="000000"/>
          <w:shd w:val="clear" w:color="auto" w:fill="FFFFFF"/>
        </w:rPr>
        <w:t>’</w:t>
      </w:r>
      <w:r w:rsidRPr="002D1D90">
        <w:rPr>
          <w:color w:val="000000"/>
          <w:shd w:val="clear" w:color="auto" w:fill="FFFFFF"/>
        </w:rPr>
        <w:t xml:space="preserve"> meeting</w:t>
      </w:r>
      <w:r>
        <w:rPr>
          <w:color w:val="000000"/>
          <w:shd w:val="clear" w:color="auto" w:fill="FFFFFF"/>
        </w:rPr>
        <w:t>.</w:t>
      </w:r>
      <w:r w:rsidR="00515F4C">
        <w:rPr>
          <w:color w:val="000000"/>
          <w:shd w:val="clear" w:color="auto" w:fill="FFFFFF"/>
        </w:rPr>
        <w:t xml:space="preserve"> These annual member</w:t>
      </w:r>
      <w:r w:rsidR="002C0B14">
        <w:rPr>
          <w:color w:val="000000"/>
          <w:shd w:val="clear" w:color="auto" w:fill="FFFFFF"/>
        </w:rPr>
        <w:t>s’</w:t>
      </w:r>
      <w:r w:rsidR="00515F4C">
        <w:rPr>
          <w:color w:val="000000"/>
          <w:shd w:val="clear" w:color="auto" w:fill="FFFFFF"/>
        </w:rPr>
        <w:t xml:space="preserve"> meeting disclosure requirements ensure </w:t>
      </w:r>
      <w:r w:rsidR="009F72A2">
        <w:rPr>
          <w:color w:val="000000"/>
          <w:shd w:val="clear" w:color="auto" w:fill="FFFFFF"/>
        </w:rPr>
        <w:t>registerable superannuation entity (</w:t>
      </w:r>
      <w:r w:rsidR="00515F4C">
        <w:rPr>
          <w:color w:val="000000"/>
          <w:shd w:val="clear" w:color="auto" w:fill="FFFFFF"/>
        </w:rPr>
        <w:t>RSE</w:t>
      </w:r>
      <w:r w:rsidR="009F72A2">
        <w:rPr>
          <w:color w:val="000000"/>
          <w:shd w:val="clear" w:color="auto" w:fill="FFFFFF"/>
        </w:rPr>
        <w:t>)</w:t>
      </w:r>
      <w:r w:rsidR="00515F4C">
        <w:rPr>
          <w:color w:val="000000"/>
          <w:shd w:val="clear" w:color="auto" w:fill="FFFFFF"/>
        </w:rPr>
        <w:t xml:space="preserve"> licensees provide meaningful information to members. </w:t>
      </w:r>
      <w:r>
        <w:rPr>
          <w:color w:val="000000"/>
          <w:shd w:val="clear" w:color="auto" w:fill="FFFFFF"/>
        </w:rPr>
        <w:t xml:space="preserve"> </w:t>
      </w:r>
    </w:p>
    <w:p w14:paraId="33D96484" w14:textId="1B4CBE76" w:rsidR="00B6062F" w:rsidRDefault="000C1ACE" w:rsidP="004F7855">
      <w:pPr>
        <w:spacing w:before="0" w:after="0"/>
      </w:pPr>
      <w:r>
        <w:t>The Regulations</w:t>
      </w:r>
      <w:r w:rsidR="00515F4C">
        <w:t xml:space="preserve"> update the</w:t>
      </w:r>
      <w:r>
        <w:t xml:space="preserve"> </w:t>
      </w:r>
      <w:r w:rsidR="00515F4C">
        <w:rPr>
          <w:color w:val="000000"/>
          <w:shd w:val="clear" w:color="auto" w:fill="FFFFFF"/>
        </w:rPr>
        <w:t xml:space="preserve">annual member meeting disclosure requirements to </w:t>
      </w:r>
      <w:r w:rsidR="00F979CF">
        <w:t xml:space="preserve">reduce the regulatory burden for </w:t>
      </w:r>
      <w:r w:rsidR="00393BCA">
        <w:t>RSE licensees</w:t>
      </w:r>
      <w:r w:rsidR="00F979CF">
        <w:t>. Regulatory burden is reduced through amendments that</w:t>
      </w:r>
      <w:r>
        <w:t>:</w:t>
      </w:r>
    </w:p>
    <w:p w14:paraId="35F1F15F" w14:textId="3B96ACC7" w:rsidR="00B6062F" w:rsidRPr="00402650" w:rsidRDefault="00B6062F" w:rsidP="00AE6F86">
      <w:pPr>
        <w:pStyle w:val="Bullet"/>
        <w:rPr>
          <w:szCs w:val="24"/>
        </w:rPr>
      </w:pPr>
      <w:r w:rsidRPr="00402650">
        <w:t>remov</w:t>
      </w:r>
      <w:r w:rsidR="00F979CF">
        <w:t>e</w:t>
      </w:r>
      <w:r w:rsidRPr="00402650">
        <w:t xml:space="preserve"> itemised disclosure of certain expenditure</w:t>
      </w:r>
      <w:r>
        <w:t>;</w:t>
      </w:r>
    </w:p>
    <w:p w14:paraId="1DC5A60D" w14:textId="43C61A75" w:rsidR="00B6062F" w:rsidRPr="00402650" w:rsidRDefault="0013120F" w:rsidP="00AE6F86">
      <w:pPr>
        <w:pStyle w:val="Bullet"/>
        <w:rPr>
          <w:szCs w:val="24"/>
        </w:rPr>
      </w:pPr>
      <w:r>
        <w:t>remove the double counting of certain</w:t>
      </w:r>
      <w:r w:rsidR="00B6062F" w:rsidRPr="00402650">
        <w:t xml:space="preserve"> expenditure</w:t>
      </w:r>
      <w:r w:rsidR="00B6062F">
        <w:t xml:space="preserve">; </w:t>
      </w:r>
      <w:r w:rsidR="00B6062F" w:rsidRPr="00402650">
        <w:t xml:space="preserve">and </w:t>
      </w:r>
    </w:p>
    <w:p w14:paraId="428000B6" w14:textId="17C119A9" w:rsidR="00B6062F" w:rsidRPr="00402650" w:rsidRDefault="00B6062F" w:rsidP="00AE6F86">
      <w:pPr>
        <w:pStyle w:val="Bullet"/>
        <w:rPr>
          <w:szCs w:val="24"/>
        </w:rPr>
      </w:pPr>
      <w:r>
        <w:t>align</w:t>
      </w:r>
      <w:r w:rsidRPr="00402650">
        <w:t xml:space="preserve"> the definition of ‘related party</w:t>
      </w:r>
      <w:r w:rsidR="005517F1">
        <w:t>’</w:t>
      </w:r>
      <w:r w:rsidRPr="00402650">
        <w:t xml:space="preserve"> </w:t>
      </w:r>
      <w:r>
        <w:t xml:space="preserve">to the definition in </w:t>
      </w:r>
      <w:r w:rsidDel="00E1056C">
        <w:t>the</w:t>
      </w:r>
      <w:r w:rsidRPr="00402650" w:rsidDel="00E1056C">
        <w:t xml:space="preserve"> </w:t>
      </w:r>
      <w:r w:rsidRPr="00402650">
        <w:t>Australian Accounting Standards.</w:t>
      </w:r>
      <w:r w:rsidRPr="00402650">
        <w:rPr>
          <w:szCs w:val="24"/>
        </w:rPr>
        <w:t xml:space="preserve"> </w:t>
      </w:r>
    </w:p>
    <w:p w14:paraId="30E32351" w14:textId="3E7C6A9D" w:rsidR="00B6062F" w:rsidRDefault="00B6062F" w:rsidP="002C226C">
      <w:pPr>
        <w:spacing w:before="240"/>
      </w:pPr>
      <w:bookmarkStart w:id="2" w:name="_Hlk108187349"/>
      <w:r w:rsidRPr="00B6062F">
        <w:t xml:space="preserve">The </w:t>
      </w:r>
      <w:r w:rsidR="003D6DCC">
        <w:t>Regulations</w:t>
      </w:r>
      <w:r w:rsidRPr="00B6062F">
        <w:t xml:space="preserve"> apply in relation to </w:t>
      </w:r>
      <w:r w:rsidR="00325C86" w:rsidRPr="00325C86">
        <w:t>a notice of an annual members’ meeting for a year of income for a registrable superannuation entity if</w:t>
      </w:r>
      <w:r w:rsidR="00325C86">
        <w:t xml:space="preserve"> </w:t>
      </w:r>
      <w:r w:rsidR="00325C86" w:rsidRPr="00325C86">
        <w:t xml:space="preserve">the notice is given on or after </w:t>
      </w:r>
      <w:r w:rsidR="00325C86" w:rsidRPr="00325C86">
        <w:lastRenderedPageBreak/>
        <w:t xml:space="preserve">the commencement of </w:t>
      </w:r>
      <w:r w:rsidR="004F060B">
        <w:t>the Regulations</w:t>
      </w:r>
      <w:r w:rsidR="00325C86" w:rsidRPr="00325C86">
        <w:t>; and</w:t>
      </w:r>
      <w:r w:rsidR="00325C86">
        <w:t xml:space="preserve"> </w:t>
      </w:r>
      <w:r w:rsidR="00325C86" w:rsidRPr="00325C86">
        <w:t>the year of income ends on or after 30 June 2022.</w:t>
      </w:r>
      <w:bookmarkEnd w:id="2"/>
    </w:p>
    <w:p w14:paraId="6C1A8F8A" w14:textId="27E635C1"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5201933F" w14:textId="48D66C38" w:rsidR="009143A0" w:rsidRPr="00647BB7" w:rsidRDefault="00F109D4" w:rsidP="00647BB7">
      <w:pPr>
        <w:spacing w:before="240"/>
        <w:rPr>
          <w:i/>
        </w:rPr>
      </w:pPr>
      <w:r w:rsidRPr="00503E44">
        <w:t xml:space="preserve">The Regulations commenced on </w:t>
      </w:r>
      <w:r w:rsidR="00C4733A">
        <w:t>the day after</w:t>
      </w:r>
      <w:r w:rsidR="005E7A06">
        <w:t xml:space="preserve"> the end of </w:t>
      </w:r>
      <w:r w:rsidR="00FE6F4D">
        <w:t xml:space="preserve">the period of </w:t>
      </w:r>
      <w:r w:rsidR="005E7A06">
        <w:t>7 days beginning on the day</w:t>
      </w:r>
      <w:r w:rsidR="00C4733A">
        <w:t xml:space="preserve"> this instrument is registered on the Federal Register of Legislation</w:t>
      </w:r>
      <w:r w:rsidR="00324F2B">
        <w:t>.</w:t>
      </w:r>
    </w:p>
    <w:p w14:paraId="769586EB" w14:textId="40AB1282" w:rsidR="003357CF" w:rsidRDefault="00610403" w:rsidP="00647BB7">
      <w:pPr>
        <w:spacing w:before="240"/>
        <w:rPr>
          <w:color w:val="000000"/>
          <w:szCs w:val="24"/>
        </w:rPr>
      </w:pPr>
      <w:r w:rsidRPr="00610403">
        <w:rPr>
          <w:color w:val="000000"/>
          <w:szCs w:val="24"/>
        </w:rPr>
        <w:t>The Regulations ha</w:t>
      </w:r>
      <w:r>
        <w:rPr>
          <w:color w:val="000000"/>
          <w:szCs w:val="24"/>
        </w:rPr>
        <w:t>ve</w:t>
      </w:r>
      <w:r w:rsidRPr="00610403">
        <w:rPr>
          <w:color w:val="000000"/>
          <w:szCs w:val="24"/>
        </w:rPr>
        <w:t xml:space="preserve"> been assessed as having no more than a minor regulatory impact (OBPR </w:t>
      </w:r>
      <w:r w:rsidR="003357CF" w:rsidRPr="00610403">
        <w:rPr>
          <w:color w:val="000000"/>
          <w:szCs w:val="24"/>
        </w:rPr>
        <w:t>Reference Number</w:t>
      </w:r>
      <w:r w:rsidRPr="00610403">
        <w:rPr>
          <w:color w:val="000000"/>
          <w:szCs w:val="24"/>
        </w:rPr>
        <w:t xml:space="preserve"> </w:t>
      </w:r>
      <w:r w:rsidRPr="00114222">
        <w:rPr>
          <w:color w:val="000000"/>
          <w:szCs w:val="24"/>
        </w:rPr>
        <w:t>OBPR2</w:t>
      </w:r>
      <w:r w:rsidR="0009213F" w:rsidRPr="00114222">
        <w:rPr>
          <w:color w:val="000000"/>
          <w:szCs w:val="24"/>
        </w:rPr>
        <w:t>2</w:t>
      </w:r>
      <w:r w:rsidRPr="00114222">
        <w:rPr>
          <w:color w:val="000000"/>
          <w:szCs w:val="24"/>
        </w:rPr>
        <w:t>-</w:t>
      </w:r>
      <w:r w:rsidR="00BE4A43" w:rsidRPr="001A1417">
        <w:t>02488</w:t>
      </w:r>
      <w:r w:rsidRPr="00610403">
        <w:rPr>
          <w:color w:val="000000"/>
          <w:szCs w:val="24"/>
        </w:rPr>
        <w:t>). Accordingly, no Regulatory Impact Statement has been prepared.</w:t>
      </w:r>
      <w:r w:rsidR="003357CF">
        <w:rPr>
          <w:color w:val="000000"/>
          <w:szCs w:val="24"/>
        </w:rPr>
        <w:t xml:space="preserve"> </w:t>
      </w:r>
    </w:p>
    <w:p w14:paraId="6746AE8B" w14:textId="77777777" w:rsidR="000430D8" w:rsidRPr="00E0038D" w:rsidRDefault="000430D8" w:rsidP="000430D8">
      <w:pPr>
        <w:spacing w:before="240"/>
      </w:pPr>
      <w:r>
        <w:t xml:space="preserve">Details of the </w:t>
      </w:r>
      <w:r w:rsidRPr="00C4733A">
        <w:t xml:space="preserve">proposed amendments </w:t>
      </w:r>
      <w:r>
        <w:t>are</w:t>
      </w:r>
      <w:r w:rsidRPr="00C4733A">
        <w:t xml:space="preserve"> </w:t>
      </w:r>
      <w:r>
        <w:t xml:space="preserve">set </w:t>
      </w:r>
      <w:r w:rsidRPr="00E0038D">
        <w:t xml:space="preserve">out in </w:t>
      </w:r>
      <w:r w:rsidRPr="00E0038D">
        <w:rPr>
          <w:u w:val="single"/>
        </w:rPr>
        <w:t>Attachment A</w:t>
      </w:r>
      <w:r w:rsidRPr="00E0038D">
        <w:t>.</w:t>
      </w:r>
    </w:p>
    <w:p w14:paraId="40EB6D90" w14:textId="016F4802" w:rsidR="00EB2AEF" w:rsidRPr="00013390" w:rsidRDefault="00EB2AEF" w:rsidP="00647BB7">
      <w:pPr>
        <w:spacing w:before="240"/>
      </w:pPr>
      <w:r w:rsidRPr="00E0038D">
        <w:t xml:space="preserve">A statement of Compatibility with Human Rights is at </w:t>
      </w:r>
      <w:r w:rsidRPr="00E0038D">
        <w:rPr>
          <w:u w:val="single"/>
        </w:rPr>
        <w:t xml:space="preserve">Attachment </w:t>
      </w:r>
      <w:r w:rsidR="00623041" w:rsidRPr="00E0038D">
        <w:rPr>
          <w:u w:val="single"/>
        </w:rPr>
        <w:t>B</w:t>
      </w:r>
      <w:r w:rsidR="00363932">
        <w:rPr>
          <w:u w:val="single"/>
        </w:rPr>
        <w:t>.</w:t>
      </w:r>
      <w:r w:rsidR="00013390" w:rsidRPr="000B39A1">
        <w:t xml:space="preserve"> </w:t>
      </w:r>
    </w:p>
    <w:p w14:paraId="6005C81C" w14:textId="77777777" w:rsidR="00AE6F86" w:rsidRDefault="00AE6F86">
      <w:pPr>
        <w:spacing w:before="0" w:after="0"/>
        <w:rPr>
          <w:b/>
          <w:highlight w:val="yellow"/>
          <w:u w:val="single"/>
        </w:rPr>
      </w:pPr>
      <w:r>
        <w:rPr>
          <w:b/>
          <w:highlight w:val="yellow"/>
          <w:u w:val="single"/>
        </w:rPr>
        <w:br w:type="page"/>
      </w:r>
    </w:p>
    <w:p w14:paraId="22D715D7" w14:textId="70802E82" w:rsidR="00EA4DD8" w:rsidRDefault="00EA4DD8" w:rsidP="00422FAE">
      <w:pPr>
        <w:spacing w:before="0" w:after="0"/>
        <w:jc w:val="right"/>
        <w:rPr>
          <w:b/>
          <w:u w:val="single"/>
        </w:rPr>
      </w:pPr>
      <w:r w:rsidRPr="009E2747">
        <w:rPr>
          <w:b/>
          <w:u w:val="single"/>
        </w:rPr>
        <w:lastRenderedPageBreak/>
        <w:t xml:space="preserve">ATTACHMENT </w:t>
      </w:r>
      <w:r w:rsidR="00623041" w:rsidRPr="009E2747">
        <w:rPr>
          <w:b/>
          <w:u w:val="single"/>
        </w:rPr>
        <w:t>A</w:t>
      </w:r>
    </w:p>
    <w:p w14:paraId="306D9B7E" w14:textId="09D0F8DD" w:rsidR="00EA4DD8" w:rsidRDefault="00EA4DD8" w:rsidP="00EA4DD8">
      <w:pPr>
        <w:spacing w:before="240"/>
        <w:ind w:right="91"/>
        <w:rPr>
          <w:b/>
          <w:bCs/>
          <w:szCs w:val="24"/>
          <w:u w:val="single"/>
        </w:rPr>
      </w:pPr>
      <w:r>
        <w:rPr>
          <w:b/>
          <w:bCs/>
          <w:u w:val="single"/>
        </w:rPr>
        <w:t>Details of the</w:t>
      </w:r>
      <w:r w:rsidR="007F649A" w:rsidRPr="007F649A">
        <w:rPr>
          <w:b/>
          <w:i/>
          <w:u w:val="single"/>
        </w:rPr>
        <w:t xml:space="preserve"> </w:t>
      </w:r>
      <w:r w:rsidR="00144D01" w:rsidRPr="00144D01">
        <w:rPr>
          <w:b/>
          <w:i/>
          <w:u w:val="single"/>
        </w:rPr>
        <w:t>Superannuation Industry (Supervision) Amendment (Annual Members’ Meetings Notices) Regulations 2022</w:t>
      </w:r>
    </w:p>
    <w:p w14:paraId="77F30810"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41893F1B" w14:textId="1487CB9D" w:rsidR="00EA4DD8" w:rsidRDefault="00EA4DD8" w:rsidP="00EA4DD8">
      <w:pPr>
        <w:spacing w:before="240"/>
      </w:pPr>
      <w:r>
        <w:t>This section provides that the name of the Regulations is the</w:t>
      </w:r>
      <w:r w:rsidR="007F649A">
        <w:t xml:space="preserve"> </w:t>
      </w:r>
      <w:r w:rsidR="00144D01" w:rsidRPr="00144D01">
        <w:rPr>
          <w:i/>
          <w:iCs/>
        </w:rPr>
        <w:t>Superannuation Industry (Supervision) Amendment (Annual Members’ Meetings Notices) Regulations 2022</w:t>
      </w:r>
      <w:r>
        <w:t>.</w:t>
      </w:r>
      <w:r w:rsidR="007F649A">
        <w:t xml:space="preserve"> </w:t>
      </w:r>
    </w:p>
    <w:p w14:paraId="4946BADC" w14:textId="77777777" w:rsidR="00EA4DD8" w:rsidRDefault="00EA4DD8" w:rsidP="00EA4DD8">
      <w:pPr>
        <w:spacing w:before="240"/>
        <w:ind w:right="91"/>
        <w:rPr>
          <w:u w:val="single"/>
        </w:rPr>
      </w:pPr>
      <w:r>
        <w:rPr>
          <w:u w:val="single"/>
        </w:rPr>
        <w:t>Section 2 – Commencement</w:t>
      </w:r>
    </w:p>
    <w:p w14:paraId="397B71C6" w14:textId="53372BF3" w:rsidR="00EA4DD8" w:rsidRPr="003D2387" w:rsidRDefault="003D2387" w:rsidP="00EA4DD8">
      <w:pPr>
        <w:spacing w:before="240"/>
        <w:ind w:right="91"/>
      </w:pPr>
      <w:r w:rsidRPr="003D2387">
        <w:t>T</w:t>
      </w:r>
      <w:r w:rsidR="00EA4DD8" w:rsidRPr="003D2387">
        <w:t xml:space="preserve">he Regulations commence </w:t>
      </w:r>
      <w:r w:rsidR="00D54A2F">
        <w:t xml:space="preserve">the day </w:t>
      </w:r>
      <w:r w:rsidR="00E048D9">
        <w:t xml:space="preserve">after the </w:t>
      </w:r>
      <w:r w:rsidR="00F258ED">
        <w:t>end of</w:t>
      </w:r>
      <w:r w:rsidR="00E048D9">
        <w:t xml:space="preserve"> the period of </w:t>
      </w:r>
      <w:r w:rsidR="00C701D0">
        <w:t>7</w:t>
      </w:r>
      <w:r w:rsidR="00EA4DD8" w:rsidRPr="003D2387">
        <w:t xml:space="preserve"> day</w:t>
      </w:r>
      <w:r w:rsidR="00C701D0">
        <w:t>s</w:t>
      </w:r>
      <w:r w:rsidR="00EA4DD8" w:rsidRPr="003D2387" w:rsidDel="00E048D9">
        <w:t xml:space="preserve"> </w:t>
      </w:r>
      <w:r w:rsidR="00E048D9">
        <w:t xml:space="preserve">beginning on the day </w:t>
      </w:r>
      <w:r w:rsidR="00EA4DD8" w:rsidRPr="003D2387">
        <w:t>the instrument is registered on the Federal Register of Legislation.</w:t>
      </w:r>
    </w:p>
    <w:p w14:paraId="4FC88954" w14:textId="77777777" w:rsidR="00EA4DD8" w:rsidRDefault="00EA4DD8" w:rsidP="00EA4DD8">
      <w:pPr>
        <w:spacing w:before="240"/>
        <w:ind w:right="91"/>
        <w:rPr>
          <w:u w:val="single"/>
        </w:rPr>
      </w:pPr>
      <w:r>
        <w:rPr>
          <w:u w:val="single"/>
        </w:rPr>
        <w:t>Section 3 – Authority</w:t>
      </w:r>
    </w:p>
    <w:p w14:paraId="5B493188" w14:textId="40FAE221" w:rsidR="00EA4DD8" w:rsidRDefault="00EA4DD8" w:rsidP="00EA4DD8">
      <w:pPr>
        <w:spacing w:before="240"/>
        <w:ind w:right="91"/>
      </w:pPr>
      <w:r>
        <w:t xml:space="preserve">The Regulations are made under the </w:t>
      </w:r>
      <w:r w:rsidR="00113C74" w:rsidRPr="00113C74">
        <w:rPr>
          <w:i/>
        </w:rPr>
        <w:t>Superannuation Industry (Supervision) Act 1993</w:t>
      </w:r>
      <w:r w:rsidR="00113C74">
        <w:rPr>
          <w:i/>
        </w:rPr>
        <w:t xml:space="preserve"> </w:t>
      </w:r>
      <w:r>
        <w:t xml:space="preserve">(the </w:t>
      </w:r>
      <w:r w:rsidR="00113C74" w:rsidRPr="00D329E9">
        <w:t>A</w:t>
      </w:r>
      <w:r w:rsidRPr="00D329E9">
        <w:t>ct</w:t>
      </w:r>
      <w:r>
        <w:t>).</w:t>
      </w:r>
    </w:p>
    <w:p w14:paraId="21FE1C54" w14:textId="3C763917" w:rsidR="00EA4DD8" w:rsidRDefault="00EA4DD8" w:rsidP="00EA4DD8">
      <w:pPr>
        <w:spacing w:before="240"/>
        <w:ind w:right="91"/>
        <w:rPr>
          <w:u w:val="single"/>
        </w:rPr>
      </w:pPr>
      <w:r>
        <w:rPr>
          <w:u w:val="single"/>
        </w:rPr>
        <w:t xml:space="preserve">Section 4 – </w:t>
      </w:r>
      <w:r w:rsidRPr="00E1056C">
        <w:rPr>
          <w:u w:val="single"/>
        </w:rPr>
        <w:t>Schedule</w:t>
      </w:r>
    </w:p>
    <w:p w14:paraId="2C9187E7" w14:textId="514AB767"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Schedules to this instrument has effect according to its terms.</w:t>
      </w:r>
    </w:p>
    <w:p w14:paraId="15CBDA06" w14:textId="0197B365" w:rsidR="00EA4DD8" w:rsidRPr="00721056" w:rsidRDefault="00EA4DD8" w:rsidP="00C8693E">
      <w:pPr>
        <w:spacing w:after="0"/>
        <w:ind w:right="91"/>
        <w:rPr>
          <w:u w:val="single"/>
        </w:rPr>
      </w:pPr>
      <w:r w:rsidRPr="00721056">
        <w:rPr>
          <w:u w:val="single"/>
        </w:rPr>
        <w:t xml:space="preserve">Schedule 1 </w:t>
      </w:r>
    </w:p>
    <w:p w14:paraId="72BEDD99" w14:textId="77777777" w:rsidR="00C8693E" w:rsidRPr="0033791D" w:rsidRDefault="00C8693E" w:rsidP="00C8693E">
      <w:pPr>
        <w:spacing w:after="0"/>
        <w:ind w:right="91"/>
        <w:rPr>
          <w:color w:val="FF0000"/>
        </w:rPr>
      </w:pPr>
    </w:p>
    <w:p w14:paraId="4703AE53" w14:textId="322967F2" w:rsidR="003D2387" w:rsidRDefault="003D2387" w:rsidP="00EA4DD8">
      <w:pPr>
        <w:spacing w:before="0" w:after="0"/>
        <w:rPr>
          <w:color w:val="000000"/>
        </w:rPr>
      </w:pPr>
      <w:bookmarkStart w:id="3" w:name="_Hlk77339511"/>
      <w:r>
        <w:rPr>
          <w:color w:val="000000"/>
        </w:rPr>
        <w:t>S</w:t>
      </w:r>
      <w:r w:rsidR="006C716A">
        <w:rPr>
          <w:color w:val="000000"/>
        </w:rPr>
        <w:t>ubs</w:t>
      </w:r>
      <w:r>
        <w:rPr>
          <w:color w:val="000000"/>
        </w:rPr>
        <w:t>ection 29P</w:t>
      </w:r>
      <w:r w:rsidR="006C716A">
        <w:rPr>
          <w:color w:val="000000"/>
        </w:rPr>
        <w:t>(1)</w:t>
      </w:r>
      <w:r>
        <w:rPr>
          <w:color w:val="000000"/>
        </w:rPr>
        <w:t xml:space="preserve"> of the Act requires </w:t>
      </w:r>
      <w:r w:rsidR="00583785">
        <w:rPr>
          <w:color w:val="000000"/>
        </w:rPr>
        <w:t>a</w:t>
      </w:r>
      <w:r w:rsidR="009F72A2">
        <w:rPr>
          <w:color w:val="000000"/>
        </w:rPr>
        <w:t xml:space="preserve"> </w:t>
      </w:r>
      <w:r w:rsidR="009F72A2">
        <w:rPr>
          <w:color w:val="000000"/>
          <w:shd w:val="clear" w:color="auto" w:fill="FFFFFF"/>
        </w:rPr>
        <w:t>registerable superannuation entity </w:t>
      </w:r>
      <w:r w:rsidR="009F72A2">
        <w:rPr>
          <w:color w:val="000000"/>
        </w:rPr>
        <w:t>(</w:t>
      </w:r>
      <w:r w:rsidR="00583785" w:rsidRPr="001252E4">
        <w:rPr>
          <w:color w:val="000000"/>
        </w:rPr>
        <w:t>RSE</w:t>
      </w:r>
      <w:r w:rsidR="009F72A2">
        <w:rPr>
          <w:color w:val="000000"/>
        </w:rPr>
        <w:t>)</w:t>
      </w:r>
      <w:r w:rsidR="00583785">
        <w:rPr>
          <w:color w:val="000000"/>
        </w:rPr>
        <w:t xml:space="preserve"> licensee </w:t>
      </w:r>
      <w:r w:rsidR="00A52C90">
        <w:rPr>
          <w:color w:val="000000"/>
        </w:rPr>
        <w:t xml:space="preserve">of a </w:t>
      </w:r>
      <w:r>
        <w:rPr>
          <w:color w:val="000000"/>
        </w:rPr>
        <w:t xml:space="preserve">registerable superannuation entity </w:t>
      </w:r>
      <w:r w:rsidR="00A52C90">
        <w:rPr>
          <w:color w:val="000000"/>
        </w:rPr>
        <w:t>to</w:t>
      </w:r>
      <w:r>
        <w:rPr>
          <w:color w:val="000000"/>
        </w:rPr>
        <w:t xml:space="preserve"> hold an annual meeting of </w:t>
      </w:r>
      <w:r w:rsidR="00B32E7C">
        <w:rPr>
          <w:color w:val="000000"/>
        </w:rPr>
        <w:t>members of the entity</w:t>
      </w:r>
      <w:r w:rsidR="00A52C90">
        <w:rPr>
          <w:color w:val="000000"/>
        </w:rPr>
        <w:t xml:space="preserve"> </w:t>
      </w:r>
      <w:r>
        <w:rPr>
          <w:color w:val="000000"/>
        </w:rPr>
        <w:t xml:space="preserve">for each year of income of the entity. RSE licensees are also required to give notice of the meeting to all members of the </w:t>
      </w:r>
      <w:r w:rsidR="00A52C90">
        <w:rPr>
          <w:color w:val="000000"/>
        </w:rPr>
        <w:t>entity</w:t>
      </w:r>
      <w:r>
        <w:rPr>
          <w:color w:val="000000"/>
        </w:rPr>
        <w:t>, and provide any information prescribed in regulations with the notice of the meeting</w:t>
      </w:r>
      <w:r w:rsidR="00B32E7C">
        <w:rPr>
          <w:color w:val="000000"/>
        </w:rPr>
        <w:t xml:space="preserve"> (see </w:t>
      </w:r>
      <w:r w:rsidR="00D25BE3">
        <w:rPr>
          <w:color w:val="000000"/>
        </w:rPr>
        <w:t>paragraph</w:t>
      </w:r>
      <w:r w:rsidR="006C4AFE">
        <w:rPr>
          <w:color w:val="000000"/>
        </w:rPr>
        <w:t>s</w:t>
      </w:r>
      <w:r w:rsidR="00D25BE3">
        <w:rPr>
          <w:color w:val="000000"/>
        </w:rPr>
        <w:t xml:space="preserve"> </w:t>
      </w:r>
      <w:r w:rsidR="00B32E7C">
        <w:rPr>
          <w:color w:val="000000"/>
        </w:rPr>
        <w:t>29P(2)</w:t>
      </w:r>
      <w:r w:rsidR="00D25BE3">
        <w:rPr>
          <w:color w:val="000000"/>
        </w:rPr>
        <w:t>(a)</w:t>
      </w:r>
      <w:r w:rsidR="00B32E7C">
        <w:rPr>
          <w:color w:val="000000"/>
        </w:rPr>
        <w:t xml:space="preserve"> and (3)</w:t>
      </w:r>
      <w:r w:rsidR="00D25BE3">
        <w:rPr>
          <w:color w:val="000000"/>
        </w:rPr>
        <w:t>(</w:t>
      </w:r>
      <w:r w:rsidR="006C4AFE">
        <w:rPr>
          <w:color w:val="000000"/>
        </w:rPr>
        <w:t>b</w:t>
      </w:r>
      <w:r w:rsidR="00D25BE3">
        <w:rPr>
          <w:color w:val="000000"/>
        </w:rPr>
        <w:t>)</w:t>
      </w:r>
      <w:r w:rsidR="00F91BAC">
        <w:rPr>
          <w:color w:val="000000"/>
        </w:rPr>
        <w:t xml:space="preserve"> of the Act)</w:t>
      </w:r>
      <w:r>
        <w:rPr>
          <w:color w:val="000000"/>
        </w:rPr>
        <w:t>.</w:t>
      </w:r>
      <w:bookmarkEnd w:id="3"/>
    </w:p>
    <w:p w14:paraId="34AD872E" w14:textId="0027B77F" w:rsidR="00E037C8" w:rsidRDefault="00E037C8" w:rsidP="00EA4DD8">
      <w:pPr>
        <w:spacing w:before="0" w:after="0"/>
        <w:rPr>
          <w:color w:val="000000"/>
        </w:rPr>
      </w:pPr>
    </w:p>
    <w:p w14:paraId="0EB73711" w14:textId="0F2D9E59" w:rsidR="00E037C8" w:rsidRDefault="00E037C8" w:rsidP="00EA4DD8">
      <w:pPr>
        <w:spacing w:before="0" w:after="0"/>
        <w:rPr>
          <w:color w:val="000000"/>
        </w:rPr>
      </w:pPr>
      <w:r>
        <w:rPr>
          <w:color w:val="000000"/>
        </w:rPr>
        <w:t>‘RSE licensee’ and ‘r</w:t>
      </w:r>
      <w:r w:rsidRPr="00E037C8">
        <w:rPr>
          <w:color w:val="000000"/>
        </w:rPr>
        <w:t>egistrable superannuation entity</w:t>
      </w:r>
      <w:r>
        <w:rPr>
          <w:color w:val="000000"/>
        </w:rPr>
        <w:t xml:space="preserve">’ are defined in section 10 of the Act.  </w:t>
      </w:r>
    </w:p>
    <w:p w14:paraId="00D6D656" w14:textId="77777777" w:rsidR="003D2387" w:rsidRDefault="003D2387" w:rsidP="00EA4DD8">
      <w:pPr>
        <w:spacing w:before="0" w:after="0"/>
        <w:rPr>
          <w:color w:val="000000"/>
        </w:rPr>
      </w:pPr>
    </w:p>
    <w:p w14:paraId="03B8F894" w14:textId="41C54ED0" w:rsidR="00A055B3" w:rsidRDefault="003D2387" w:rsidP="00EA4DD8">
      <w:pPr>
        <w:spacing w:before="0" w:after="0"/>
      </w:pPr>
      <w:r w:rsidRPr="003D2387">
        <w:t xml:space="preserve">Annual members' meetings allow discussion of the key aspects of the </w:t>
      </w:r>
      <w:r w:rsidR="00241B52">
        <w:t>entity</w:t>
      </w:r>
      <w:r w:rsidR="00241B52" w:rsidRPr="003D2387">
        <w:t xml:space="preserve"> </w:t>
      </w:r>
      <w:r w:rsidRPr="003D2387">
        <w:t xml:space="preserve">and provide members with a forum to ask questions about all areas of the </w:t>
      </w:r>
      <w:r w:rsidR="00241B52">
        <w:t>entity</w:t>
      </w:r>
      <w:r w:rsidRPr="003D2387">
        <w:t>'s performance and operations.</w:t>
      </w:r>
      <w:r w:rsidR="00B77845">
        <w:t xml:space="preserve"> </w:t>
      </w:r>
    </w:p>
    <w:p w14:paraId="770DC65D" w14:textId="77777777" w:rsidR="00E31DD4" w:rsidRDefault="00E31DD4" w:rsidP="00EA4DD8">
      <w:pPr>
        <w:spacing w:before="0" w:after="0"/>
      </w:pPr>
    </w:p>
    <w:p w14:paraId="5001035E" w14:textId="4C2B8D36" w:rsidR="00E31DD4" w:rsidRPr="009E2747" w:rsidRDefault="00392A8F" w:rsidP="00EA4DD8">
      <w:pPr>
        <w:spacing w:before="0" w:after="0"/>
        <w:rPr>
          <w:b/>
          <w:bCs/>
        </w:rPr>
      </w:pPr>
      <w:r w:rsidRPr="009E2747">
        <w:rPr>
          <w:b/>
          <w:bCs/>
          <w:i/>
          <w:iCs/>
        </w:rPr>
        <w:t>Items 3</w:t>
      </w:r>
      <w:r w:rsidR="00330661" w:rsidRPr="009E2747">
        <w:rPr>
          <w:b/>
          <w:bCs/>
          <w:i/>
          <w:iCs/>
        </w:rPr>
        <w:t xml:space="preserve"> and 4</w:t>
      </w:r>
      <w:r w:rsidRPr="009E2747">
        <w:rPr>
          <w:b/>
          <w:bCs/>
          <w:i/>
          <w:iCs/>
        </w:rPr>
        <w:t xml:space="preserve"> </w:t>
      </w:r>
      <w:r w:rsidR="00330661" w:rsidRPr="009E2747">
        <w:rPr>
          <w:b/>
          <w:bCs/>
          <w:i/>
          <w:iCs/>
          <w:color w:val="000000"/>
        </w:rPr>
        <w:t xml:space="preserve">– </w:t>
      </w:r>
      <w:r w:rsidR="00CF5B5A" w:rsidRPr="009E2747">
        <w:rPr>
          <w:b/>
          <w:bCs/>
          <w:i/>
          <w:iCs/>
          <w:color w:val="000000"/>
        </w:rPr>
        <w:t xml:space="preserve">Repealing the itemised disclosure of </w:t>
      </w:r>
      <w:r w:rsidR="005625B6" w:rsidRPr="009E2747">
        <w:rPr>
          <w:b/>
          <w:bCs/>
          <w:i/>
          <w:iCs/>
          <w:color w:val="000000"/>
        </w:rPr>
        <w:t>expenses</w:t>
      </w:r>
      <w:r w:rsidR="00CF5B5A" w:rsidRPr="009E2747">
        <w:rPr>
          <w:b/>
          <w:bCs/>
          <w:i/>
          <w:iCs/>
          <w:color w:val="000000"/>
        </w:rPr>
        <w:t xml:space="preserve"> requirements</w:t>
      </w:r>
    </w:p>
    <w:p w14:paraId="035D5B56" w14:textId="77777777" w:rsidR="008C14EB" w:rsidRDefault="008C14EB" w:rsidP="00EA4DD8">
      <w:pPr>
        <w:spacing w:before="0" w:after="0"/>
        <w:rPr>
          <w:color w:val="000000"/>
        </w:rPr>
      </w:pPr>
    </w:p>
    <w:p w14:paraId="1621E261" w14:textId="20C75B8D" w:rsidR="00245C2B" w:rsidRDefault="001B7781" w:rsidP="00EA4DD8">
      <w:pPr>
        <w:spacing w:before="0" w:after="0"/>
      </w:pPr>
      <w:r>
        <w:rPr>
          <w:color w:val="000000"/>
        </w:rPr>
        <w:t xml:space="preserve">Item </w:t>
      </w:r>
      <w:r w:rsidR="00392A8F">
        <w:rPr>
          <w:color w:val="000000"/>
        </w:rPr>
        <w:t>3</w:t>
      </w:r>
      <w:r w:rsidR="00CF5B5A">
        <w:rPr>
          <w:color w:val="000000"/>
        </w:rPr>
        <w:t xml:space="preserve"> repeal</w:t>
      </w:r>
      <w:r w:rsidR="00392A8F">
        <w:rPr>
          <w:color w:val="000000"/>
        </w:rPr>
        <w:t>s</w:t>
      </w:r>
      <w:r w:rsidR="00CF5B5A">
        <w:rPr>
          <w:color w:val="000000"/>
        </w:rPr>
        <w:t xml:space="preserve"> </w:t>
      </w:r>
      <w:r w:rsidR="00392A8F">
        <w:t xml:space="preserve">paragraphs </w:t>
      </w:r>
      <w:r w:rsidR="00245C2B">
        <w:t>2.10(1)(e) to (h)</w:t>
      </w:r>
      <w:r w:rsidR="00245C2B" w:rsidRPr="001079FF">
        <w:t xml:space="preserve"> </w:t>
      </w:r>
      <w:r w:rsidR="00245C2B">
        <w:t xml:space="preserve">of the </w:t>
      </w:r>
      <w:r w:rsidR="004A604B">
        <w:t>Principal</w:t>
      </w:r>
      <w:r w:rsidR="00245C2B">
        <w:t xml:space="preserve"> Regulations, which </w:t>
      </w:r>
      <w:r w:rsidR="00721F05">
        <w:t xml:space="preserve">set out </w:t>
      </w:r>
      <w:r w:rsidR="00245C2B">
        <w:t xml:space="preserve">the itemised disclosure requirements for certain </w:t>
      </w:r>
      <w:r w:rsidR="000F6B3D">
        <w:t>categories</w:t>
      </w:r>
      <w:r w:rsidR="003A2AEA">
        <w:t xml:space="preserve"> </w:t>
      </w:r>
      <w:r w:rsidR="00893201">
        <w:t>of expense</w:t>
      </w:r>
      <w:r w:rsidR="0032614F">
        <w:t>s</w:t>
      </w:r>
      <w:r w:rsidR="00245C2B">
        <w:t>. These expense</w:t>
      </w:r>
      <w:r w:rsidR="000F6B3D">
        <w:t xml:space="preserve"> categorie</w:t>
      </w:r>
      <w:r w:rsidR="00245C2B">
        <w:t>s include:</w:t>
      </w:r>
    </w:p>
    <w:p w14:paraId="61FC23BF" w14:textId="30C42B93" w:rsidR="00245C2B" w:rsidRDefault="00C65904" w:rsidP="00C8693E">
      <w:pPr>
        <w:pStyle w:val="Bullet"/>
      </w:pPr>
      <w:r>
        <w:t xml:space="preserve">promotion, </w:t>
      </w:r>
      <w:r w:rsidR="00CF5B5A" w:rsidRPr="00245C2B">
        <w:t xml:space="preserve">marketing and </w:t>
      </w:r>
      <w:r w:rsidR="00C8693E">
        <w:t>sponsorship expenses</w:t>
      </w:r>
      <w:r w:rsidR="00245C2B">
        <w:t>;</w:t>
      </w:r>
    </w:p>
    <w:p w14:paraId="24D505AE" w14:textId="77777777" w:rsidR="00245C2B" w:rsidRDefault="00CF5B5A" w:rsidP="00C8693E">
      <w:pPr>
        <w:pStyle w:val="Bullet"/>
      </w:pPr>
      <w:r w:rsidRPr="00245C2B">
        <w:lastRenderedPageBreak/>
        <w:t>political donations</w:t>
      </w:r>
      <w:r w:rsidR="00245C2B">
        <w:t>;</w:t>
      </w:r>
    </w:p>
    <w:p w14:paraId="00E50739" w14:textId="77777777" w:rsidR="00245C2B" w:rsidRDefault="00CF5B5A" w:rsidP="00C8693E">
      <w:pPr>
        <w:pStyle w:val="Bullet"/>
      </w:pPr>
      <w:r w:rsidRPr="00245C2B">
        <w:t>payments to industrial bodies</w:t>
      </w:r>
      <w:r w:rsidR="00245C2B">
        <w:t>;</w:t>
      </w:r>
      <w:r w:rsidRPr="00245C2B">
        <w:t xml:space="preserve"> </w:t>
      </w:r>
      <w:r w:rsidR="00245C2B" w:rsidRPr="00245C2B">
        <w:t xml:space="preserve">and </w:t>
      </w:r>
    </w:p>
    <w:p w14:paraId="35F5B40B" w14:textId="7FD9A4F3" w:rsidR="00CF5B5A" w:rsidRDefault="00245C2B" w:rsidP="00C8693E">
      <w:pPr>
        <w:pStyle w:val="Bullet"/>
      </w:pPr>
      <w:r w:rsidRPr="00245C2B">
        <w:t xml:space="preserve">related party </w:t>
      </w:r>
      <w:r w:rsidR="00C65904">
        <w:t>payments</w:t>
      </w:r>
      <w:r w:rsidRPr="00245C2B">
        <w:t>.</w:t>
      </w:r>
    </w:p>
    <w:p w14:paraId="4FEBC3B7" w14:textId="66CB65DB" w:rsidR="00C8693E" w:rsidRDefault="00C8693E" w:rsidP="00C8693E">
      <w:pPr>
        <w:spacing w:before="0" w:after="0"/>
        <w:rPr>
          <w:color w:val="000000"/>
        </w:rPr>
      </w:pPr>
    </w:p>
    <w:p w14:paraId="240F5E33" w14:textId="77845207" w:rsidR="00C8693E" w:rsidRDefault="00330661" w:rsidP="00C8693E">
      <w:pPr>
        <w:spacing w:before="0" w:after="0"/>
      </w:pPr>
      <w:r>
        <w:rPr>
          <w:color w:val="000000"/>
        </w:rPr>
        <w:t xml:space="preserve">Item 4 repeals paragraphs </w:t>
      </w:r>
      <w:r w:rsidRPr="00FD294B">
        <w:rPr>
          <w:color w:val="000000"/>
        </w:rPr>
        <w:t>2.10(2)(b)</w:t>
      </w:r>
      <w:r>
        <w:rPr>
          <w:color w:val="000000"/>
        </w:rPr>
        <w:t xml:space="preserve"> to (e) of the Principal Regulations, and substitutes new paragraphs </w:t>
      </w:r>
      <w:r w:rsidRPr="00FD294B">
        <w:rPr>
          <w:color w:val="000000"/>
        </w:rPr>
        <w:t>2.10(2)(b)</w:t>
      </w:r>
      <w:r>
        <w:rPr>
          <w:color w:val="000000"/>
        </w:rPr>
        <w:t xml:space="preserve"> to (e). </w:t>
      </w:r>
      <w:r>
        <w:t>Under the Principal Regulations</w:t>
      </w:r>
      <w:r w:rsidR="00DC3AB5">
        <w:t>,</w:t>
      </w:r>
      <w:r>
        <w:t xml:space="preserve"> the aggregate disclosure requirement reference the requirements to disclose itemised lists</w:t>
      </w:r>
      <w:r w:rsidR="00DB26C5">
        <w:t xml:space="preserve"> of expenses</w:t>
      </w:r>
      <w:r>
        <w:t xml:space="preserve">. The Regulations ensure that with the repeal of the requirements to disclose itemised lists, </w:t>
      </w:r>
      <w:r>
        <w:rPr>
          <w:color w:val="000000"/>
        </w:rPr>
        <w:t xml:space="preserve">RSE licensees </w:t>
      </w:r>
      <w:r>
        <w:t xml:space="preserve">will still be required to disclose an </w:t>
      </w:r>
      <w:r w:rsidRPr="007B4862">
        <w:rPr>
          <w:i/>
          <w:iCs/>
        </w:rPr>
        <w:t>aggregate</w:t>
      </w:r>
      <w:r>
        <w:t xml:space="preserve"> figure for each of these four categories of expenses in the </w:t>
      </w:r>
      <w:r w:rsidR="003A2AEA">
        <w:t xml:space="preserve">short-form </w:t>
      </w:r>
      <w:r>
        <w:t xml:space="preserve">summary </w:t>
      </w:r>
      <w:r w:rsidR="00A771CF">
        <w:t>that paragraph</w:t>
      </w:r>
      <w:r w:rsidR="006D7061">
        <w:t> </w:t>
      </w:r>
      <w:r w:rsidR="00A771CF">
        <w:t>2.10(1)(a) of the Principal Regulations requires</w:t>
      </w:r>
      <w:r>
        <w:t>.</w:t>
      </w:r>
    </w:p>
    <w:p w14:paraId="0A6F9806" w14:textId="7627E79B" w:rsidR="00330661" w:rsidRDefault="00330661" w:rsidP="00C8693E">
      <w:pPr>
        <w:spacing w:before="0" w:after="0"/>
      </w:pPr>
    </w:p>
    <w:p w14:paraId="322CFA2B" w14:textId="40EAB0C7" w:rsidR="00245C2B" w:rsidRPr="009E2747" w:rsidRDefault="008C14EB" w:rsidP="00EA4DD8">
      <w:pPr>
        <w:spacing w:before="0" w:after="0"/>
      </w:pPr>
      <w:r>
        <w:t xml:space="preserve">Retaining </w:t>
      </w:r>
      <w:r w:rsidR="00805EE5">
        <w:t xml:space="preserve">disclosure of </w:t>
      </w:r>
      <w:r>
        <w:t xml:space="preserve">aggregated </w:t>
      </w:r>
      <w:r w:rsidR="00805EE5">
        <w:t xml:space="preserve">expense </w:t>
      </w:r>
      <w:r w:rsidDel="004D310B">
        <w:t xml:space="preserve">amounts </w:t>
      </w:r>
      <w:r w:rsidR="00805EE5">
        <w:t>in annual meeting notices</w:t>
      </w:r>
      <w:r w:rsidR="0056685B">
        <w:t xml:space="preserve"> </w:t>
      </w:r>
      <w:r>
        <w:t xml:space="preserve">will ensure that members are informed ahead of </w:t>
      </w:r>
      <w:r w:rsidR="0059026A">
        <w:t xml:space="preserve">annual members’ </w:t>
      </w:r>
      <w:r>
        <w:t>meetings, whilst also protecting the commercial sensitivity of payments.</w:t>
      </w:r>
    </w:p>
    <w:p w14:paraId="35EB4D3D" w14:textId="77777777" w:rsidR="008C14EB" w:rsidRDefault="008C14EB" w:rsidP="00EA4DD8">
      <w:pPr>
        <w:spacing w:before="0" w:after="0"/>
        <w:rPr>
          <w:i/>
          <w:iCs/>
          <w:color w:val="000000"/>
          <w:highlight w:val="yellow"/>
        </w:rPr>
      </w:pPr>
    </w:p>
    <w:p w14:paraId="4DC469A5" w14:textId="2F85AA84" w:rsidR="00CF5B5A" w:rsidRPr="0082321D" w:rsidRDefault="008F3752" w:rsidP="00EA4DD8">
      <w:pPr>
        <w:spacing w:before="0" w:after="0"/>
        <w:rPr>
          <w:b/>
          <w:i/>
          <w:color w:val="000000"/>
        </w:rPr>
      </w:pPr>
      <w:r w:rsidRPr="009E2747">
        <w:rPr>
          <w:b/>
          <w:i/>
          <w:color w:val="000000"/>
        </w:rPr>
        <w:t xml:space="preserve">Item </w:t>
      </w:r>
      <w:r w:rsidR="00123A8E" w:rsidRPr="009E2747">
        <w:rPr>
          <w:b/>
          <w:i/>
          <w:color w:val="000000"/>
        </w:rPr>
        <w:t>4</w:t>
      </w:r>
      <w:r w:rsidR="005A5DF8" w:rsidRPr="009E2747">
        <w:rPr>
          <w:b/>
          <w:i/>
          <w:color w:val="000000"/>
        </w:rPr>
        <w:t xml:space="preserve"> – </w:t>
      </w:r>
      <w:r w:rsidR="00CF5B5A" w:rsidRPr="009E2747">
        <w:rPr>
          <w:b/>
          <w:i/>
          <w:color w:val="000000"/>
        </w:rPr>
        <w:t>Preventing</w:t>
      </w:r>
      <w:r w:rsidR="00CF5B5A" w:rsidRPr="0082321D">
        <w:rPr>
          <w:b/>
          <w:i/>
          <w:color w:val="000000"/>
        </w:rPr>
        <w:t xml:space="preserve"> the double-counting of political donation expenditure</w:t>
      </w:r>
    </w:p>
    <w:p w14:paraId="621F0382" w14:textId="77777777" w:rsidR="00C8693E" w:rsidRDefault="00C8693E" w:rsidP="00EA4DD8">
      <w:pPr>
        <w:spacing w:before="0" w:after="0"/>
        <w:rPr>
          <w:i/>
          <w:iCs/>
          <w:color w:val="000000"/>
        </w:rPr>
      </w:pPr>
    </w:p>
    <w:p w14:paraId="03599EC5" w14:textId="34E12B16" w:rsidR="00753652" w:rsidRDefault="00753652" w:rsidP="00753652">
      <w:pPr>
        <w:spacing w:before="0" w:after="0"/>
        <w:rPr>
          <w:color w:val="000000"/>
        </w:rPr>
      </w:pPr>
      <w:r>
        <w:rPr>
          <w:color w:val="000000"/>
        </w:rPr>
        <w:t>Under the Principal R</w:t>
      </w:r>
      <w:r w:rsidRPr="00FF606B">
        <w:rPr>
          <w:color w:val="000000"/>
        </w:rPr>
        <w:t>egulations</w:t>
      </w:r>
      <w:r>
        <w:rPr>
          <w:color w:val="000000"/>
        </w:rPr>
        <w:t>,</w:t>
      </w:r>
      <w:r w:rsidRPr="00FF606B">
        <w:rPr>
          <w:color w:val="000000"/>
        </w:rPr>
        <w:t xml:space="preserve"> political donations </w:t>
      </w:r>
      <w:r w:rsidR="005F4626">
        <w:rPr>
          <w:color w:val="000000"/>
        </w:rPr>
        <w:t>can</w:t>
      </w:r>
      <w:r w:rsidR="005F4626" w:rsidRPr="00FF606B">
        <w:rPr>
          <w:color w:val="000000"/>
        </w:rPr>
        <w:t xml:space="preserve"> </w:t>
      </w:r>
      <w:r w:rsidRPr="00FF606B">
        <w:rPr>
          <w:color w:val="000000"/>
        </w:rPr>
        <w:t>be captured by:</w:t>
      </w:r>
    </w:p>
    <w:p w14:paraId="202C9CF2" w14:textId="3A802386" w:rsidR="00753652" w:rsidRDefault="00753652" w:rsidP="00753652">
      <w:pPr>
        <w:pStyle w:val="Bullet"/>
      </w:pPr>
      <w:r w:rsidRPr="00FF606B">
        <w:t>aggregate promotion, marketing</w:t>
      </w:r>
      <w:r>
        <w:t>,</w:t>
      </w:r>
      <w:r w:rsidRPr="00FF606B">
        <w:t xml:space="preserve"> or sponsorship expenses (see </w:t>
      </w:r>
      <w:r w:rsidR="006047CE">
        <w:t>paragraph</w:t>
      </w:r>
      <w:r w:rsidR="00A06805">
        <w:t> </w:t>
      </w:r>
      <w:r w:rsidRPr="00FF606B">
        <w:t xml:space="preserve">2.10(2)(b) which refers to </w:t>
      </w:r>
      <w:r w:rsidR="006047CE">
        <w:t xml:space="preserve">paragraph </w:t>
      </w:r>
      <w:r w:rsidRPr="00FF606B">
        <w:t xml:space="preserve">2.10(1)(e)); and </w:t>
      </w:r>
    </w:p>
    <w:p w14:paraId="6A8DBE49" w14:textId="76E4FB81" w:rsidR="00753652" w:rsidRDefault="00753652" w:rsidP="00753652">
      <w:pPr>
        <w:pStyle w:val="Bullet"/>
      </w:pPr>
      <w:r w:rsidRPr="00FF606B">
        <w:t xml:space="preserve">aggregate political donations (see </w:t>
      </w:r>
      <w:r w:rsidR="00A2661F">
        <w:t xml:space="preserve">paragraph </w:t>
      </w:r>
      <w:r w:rsidRPr="00FF606B">
        <w:t>2.10(2)(c) which refers to</w:t>
      </w:r>
      <w:r w:rsidR="00A06805">
        <w:t xml:space="preserve"> paragraph </w:t>
      </w:r>
      <w:r w:rsidRPr="00FF606B">
        <w:t>2.10(1)(</w:t>
      </w:r>
      <w:r w:rsidR="001760F3">
        <w:t>f</w:t>
      </w:r>
      <w:r w:rsidRPr="00FF606B">
        <w:t>)).</w:t>
      </w:r>
    </w:p>
    <w:p w14:paraId="5AC9F692" w14:textId="49918AF5" w:rsidR="00753652" w:rsidRDefault="00753652" w:rsidP="00753652">
      <w:r>
        <w:t xml:space="preserve">The requirements </w:t>
      </w:r>
      <w:r w:rsidR="00E03FC4">
        <w:t xml:space="preserve">under the Principal Regulations </w:t>
      </w:r>
      <w:r>
        <w:t xml:space="preserve">have the potential to confuse members, as </w:t>
      </w:r>
      <w:r w:rsidR="0082321D">
        <w:t>they</w:t>
      </w:r>
      <w:r>
        <w:t xml:space="preserve"> could </w:t>
      </w:r>
      <w:r w:rsidR="0082321D">
        <w:t>result in</w:t>
      </w:r>
      <w:r>
        <w:t xml:space="preserve"> double-counting political donations where the particular donations aligns with more than one category of expense. This would over-inflate expenses incurred by superannuation funds. </w:t>
      </w:r>
    </w:p>
    <w:p w14:paraId="6F0DD912" w14:textId="38E854A1" w:rsidR="00C8693E" w:rsidRDefault="00753652" w:rsidP="00EA4DD8">
      <w:pPr>
        <w:spacing w:before="0" w:after="0"/>
        <w:rPr>
          <w:color w:val="000000"/>
        </w:rPr>
      </w:pPr>
      <w:r>
        <w:rPr>
          <w:color w:val="000000"/>
        </w:rPr>
        <w:t xml:space="preserve">The substituted </w:t>
      </w:r>
      <w:r w:rsidR="001C16DC">
        <w:rPr>
          <w:color w:val="000000"/>
        </w:rPr>
        <w:t>sub</w:t>
      </w:r>
      <w:r>
        <w:rPr>
          <w:color w:val="000000"/>
        </w:rPr>
        <w:t xml:space="preserve">paragraphs </w:t>
      </w:r>
      <w:r w:rsidR="0037309D">
        <w:rPr>
          <w:color w:val="000000"/>
        </w:rPr>
        <w:t>inserted by item 4</w:t>
      </w:r>
      <w:r w:rsidR="006047CE">
        <w:rPr>
          <w:color w:val="000000"/>
        </w:rPr>
        <w:t xml:space="preserve"> </w:t>
      </w:r>
      <w:r w:rsidR="00FD294B" w:rsidDel="00FB6576">
        <w:rPr>
          <w:color w:val="000000"/>
        </w:rPr>
        <w:t xml:space="preserve">in </w:t>
      </w:r>
      <w:r w:rsidR="005A7B7F">
        <w:rPr>
          <w:color w:val="000000"/>
        </w:rPr>
        <w:t xml:space="preserve">2.10(2)(b) </w:t>
      </w:r>
      <w:r w:rsidR="00AA7C1B">
        <w:rPr>
          <w:color w:val="000000"/>
        </w:rPr>
        <w:t>clarif</w:t>
      </w:r>
      <w:r w:rsidR="0082321D">
        <w:rPr>
          <w:color w:val="000000"/>
        </w:rPr>
        <w:t>y</w:t>
      </w:r>
      <w:r w:rsidR="005A7B7F">
        <w:rPr>
          <w:color w:val="000000"/>
        </w:rPr>
        <w:t xml:space="preserve"> </w:t>
      </w:r>
      <w:r w:rsidR="0037309D">
        <w:rPr>
          <w:color w:val="000000"/>
        </w:rPr>
        <w:t>the provision</w:t>
      </w:r>
      <w:r w:rsidR="00FF606B">
        <w:rPr>
          <w:color w:val="000000"/>
        </w:rPr>
        <w:t xml:space="preserve"> </w:t>
      </w:r>
      <w:r w:rsidR="008F3752">
        <w:rPr>
          <w:color w:val="000000"/>
        </w:rPr>
        <w:t xml:space="preserve">by </w:t>
      </w:r>
      <w:r w:rsidR="0037309D">
        <w:rPr>
          <w:color w:val="000000"/>
        </w:rPr>
        <w:t xml:space="preserve">expressly excluding gifts, as defined in the </w:t>
      </w:r>
      <w:r w:rsidR="0037309D" w:rsidRPr="005A7B7F">
        <w:rPr>
          <w:i/>
          <w:iCs/>
          <w:color w:val="000000"/>
        </w:rPr>
        <w:t>Commonwealth</w:t>
      </w:r>
      <w:r w:rsidR="0037309D" w:rsidRPr="00E85822">
        <w:rPr>
          <w:i/>
          <w:iCs/>
          <w:color w:val="000000"/>
        </w:rPr>
        <w:t xml:space="preserve"> Electoral Act 1918</w:t>
      </w:r>
      <w:r w:rsidR="0037309D">
        <w:rPr>
          <w:color w:val="000000"/>
        </w:rPr>
        <w:t xml:space="preserve">, from the requirement to </w:t>
      </w:r>
      <w:r w:rsidR="005A7B7F">
        <w:rPr>
          <w:color w:val="000000"/>
        </w:rPr>
        <w:t>disclose aggregate promotion, marketing, and sponsorship expenditure</w:t>
      </w:r>
      <w:r w:rsidR="0037309D">
        <w:rPr>
          <w:color w:val="000000"/>
        </w:rPr>
        <w:t>.</w:t>
      </w:r>
      <w:r w:rsidR="0022006B">
        <w:rPr>
          <w:color w:val="000000"/>
        </w:rPr>
        <w:t xml:space="preserve"> This amendment ensures that </w:t>
      </w:r>
      <w:r w:rsidR="0072345D">
        <w:rPr>
          <w:color w:val="000000"/>
        </w:rPr>
        <w:t>such</w:t>
      </w:r>
      <w:r w:rsidR="0032614F">
        <w:rPr>
          <w:color w:val="000000"/>
        </w:rPr>
        <w:t xml:space="preserve"> </w:t>
      </w:r>
      <w:r w:rsidR="0022006B">
        <w:rPr>
          <w:color w:val="000000"/>
        </w:rPr>
        <w:t>amount</w:t>
      </w:r>
      <w:r w:rsidR="0072345D">
        <w:rPr>
          <w:color w:val="000000"/>
        </w:rPr>
        <w:t>s</w:t>
      </w:r>
      <w:r w:rsidR="0022006B">
        <w:rPr>
          <w:color w:val="000000"/>
        </w:rPr>
        <w:t xml:space="preserve"> </w:t>
      </w:r>
      <w:r w:rsidR="00AC16EA">
        <w:rPr>
          <w:color w:val="000000"/>
        </w:rPr>
        <w:t>are</w:t>
      </w:r>
      <w:r w:rsidR="0022006B">
        <w:rPr>
          <w:color w:val="000000"/>
        </w:rPr>
        <w:t xml:space="preserve"> not counted in more than one </w:t>
      </w:r>
      <w:r w:rsidR="00613113">
        <w:rPr>
          <w:color w:val="000000"/>
        </w:rPr>
        <w:t xml:space="preserve">expense </w:t>
      </w:r>
      <w:r w:rsidR="0022006B">
        <w:rPr>
          <w:color w:val="000000"/>
        </w:rPr>
        <w:t>category</w:t>
      </w:r>
      <w:r w:rsidR="00613113">
        <w:rPr>
          <w:color w:val="000000"/>
        </w:rPr>
        <w:t>.</w:t>
      </w:r>
    </w:p>
    <w:p w14:paraId="0D71E510" w14:textId="77777777" w:rsidR="00E70A3D" w:rsidRDefault="00E70A3D" w:rsidP="00EA4DD8">
      <w:pPr>
        <w:spacing w:before="0" w:after="0"/>
        <w:rPr>
          <w:color w:val="000000"/>
        </w:rPr>
      </w:pPr>
    </w:p>
    <w:p w14:paraId="326BEB03" w14:textId="77777777" w:rsidR="00422FAE" w:rsidRPr="00C8693E" w:rsidRDefault="00422FAE" w:rsidP="00EA4DD8">
      <w:pPr>
        <w:spacing w:before="0" w:after="0"/>
        <w:rPr>
          <w:color w:val="000000"/>
        </w:rPr>
      </w:pPr>
    </w:p>
    <w:p w14:paraId="03CF45AB" w14:textId="512F46A5" w:rsidR="00CF5B5A" w:rsidRPr="009E2747" w:rsidRDefault="00F47EC7" w:rsidP="00EA4DD8">
      <w:pPr>
        <w:spacing w:before="0" w:after="0"/>
        <w:rPr>
          <w:b/>
          <w:bCs/>
          <w:i/>
          <w:iCs/>
          <w:color w:val="000000"/>
        </w:rPr>
      </w:pPr>
      <w:r w:rsidRPr="009E2747">
        <w:rPr>
          <w:b/>
          <w:bCs/>
          <w:i/>
          <w:iCs/>
          <w:color w:val="000000"/>
        </w:rPr>
        <w:t>Item</w:t>
      </w:r>
      <w:r w:rsidR="00123A8E" w:rsidRPr="009E2747">
        <w:rPr>
          <w:b/>
          <w:bCs/>
          <w:i/>
          <w:iCs/>
          <w:color w:val="000000"/>
        </w:rPr>
        <w:t>s</w:t>
      </w:r>
      <w:r w:rsidRPr="009E2747">
        <w:rPr>
          <w:b/>
          <w:bCs/>
          <w:i/>
          <w:iCs/>
          <w:color w:val="000000"/>
        </w:rPr>
        <w:t xml:space="preserve"> </w:t>
      </w:r>
      <w:r w:rsidR="00123A8E" w:rsidRPr="009E2747">
        <w:rPr>
          <w:b/>
          <w:bCs/>
          <w:i/>
          <w:iCs/>
          <w:color w:val="000000"/>
        </w:rPr>
        <w:t>1</w:t>
      </w:r>
      <w:r w:rsidR="000508C2">
        <w:rPr>
          <w:b/>
          <w:bCs/>
          <w:i/>
          <w:iCs/>
          <w:color w:val="000000"/>
        </w:rPr>
        <w:t>,</w:t>
      </w:r>
      <w:r w:rsidR="00C03DC4">
        <w:rPr>
          <w:b/>
          <w:bCs/>
          <w:i/>
          <w:iCs/>
          <w:color w:val="000000"/>
        </w:rPr>
        <w:t xml:space="preserve"> </w:t>
      </w:r>
      <w:r w:rsidR="000508C2">
        <w:rPr>
          <w:b/>
          <w:bCs/>
          <w:i/>
          <w:iCs/>
          <w:color w:val="000000"/>
        </w:rPr>
        <w:t>4</w:t>
      </w:r>
      <w:r w:rsidR="00123A8E" w:rsidRPr="009E2747">
        <w:rPr>
          <w:b/>
          <w:bCs/>
          <w:i/>
          <w:iCs/>
          <w:color w:val="000000"/>
        </w:rPr>
        <w:t xml:space="preserve"> and 5</w:t>
      </w:r>
      <w:r w:rsidR="005A5DF8" w:rsidRPr="009E2747">
        <w:rPr>
          <w:b/>
          <w:bCs/>
          <w:i/>
          <w:iCs/>
          <w:color w:val="000000"/>
        </w:rPr>
        <w:t xml:space="preserve"> – </w:t>
      </w:r>
      <w:r w:rsidR="00CF5B5A" w:rsidRPr="009E2747">
        <w:rPr>
          <w:b/>
          <w:bCs/>
          <w:i/>
          <w:iCs/>
          <w:color w:val="000000"/>
        </w:rPr>
        <w:t>Aligning the definition of ‘related party’ to the definition in the Australian Accounting Standards</w:t>
      </w:r>
    </w:p>
    <w:p w14:paraId="42AB503C" w14:textId="093C4912" w:rsidR="00E31DD4" w:rsidRDefault="00E31DD4" w:rsidP="00EA4DD8">
      <w:pPr>
        <w:spacing w:before="0" w:after="0"/>
        <w:rPr>
          <w:color w:val="000000"/>
        </w:rPr>
      </w:pPr>
    </w:p>
    <w:p w14:paraId="6EEC0F86" w14:textId="77777777" w:rsidR="00C269EF" w:rsidRDefault="00C269EF" w:rsidP="00C269EF">
      <w:pPr>
        <w:spacing w:before="0" w:after="0"/>
      </w:pPr>
      <w:r>
        <w:t>Under</w:t>
      </w:r>
      <w:r w:rsidRPr="009A2D6C">
        <w:t xml:space="preserve"> </w:t>
      </w:r>
      <w:r>
        <w:t>paragraph 2.10(1)(h) of the Principal Regulations, RSE licensees are required to disclose payments made to certain related parties. Paragraph 2.10(1)(h) sets out a list of entities as they relate to the RSE licensee. This is a bespoke definition of related party that only applies to paragraph 2.10(1)(h). To reduce complexity, the amendments instead define ‘related party’ in-line with the definition in Australian Accounting Standards. This promotes consistency by ensuring that the Principal Regulations adopt a widely used and industry-recognised definition, as opposed to a bespoke definition which only applies in one situation.</w:t>
      </w:r>
    </w:p>
    <w:p w14:paraId="5D296B69" w14:textId="49212D13" w:rsidR="00A02EC0" w:rsidRDefault="00A02EC0" w:rsidP="00A02EC0">
      <w:pPr>
        <w:spacing w:before="0" w:after="0"/>
        <w:rPr>
          <w:color w:val="000000"/>
        </w:rPr>
      </w:pPr>
      <w:r>
        <w:rPr>
          <w:color w:val="000000"/>
        </w:rPr>
        <w:lastRenderedPageBreak/>
        <w:t xml:space="preserve">Item 1 inserts a new defined term in </w:t>
      </w:r>
      <w:r w:rsidR="0093197E">
        <w:rPr>
          <w:color w:val="000000"/>
        </w:rPr>
        <w:t>sub</w:t>
      </w:r>
      <w:r>
        <w:rPr>
          <w:color w:val="000000"/>
        </w:rPr>
        <w:t xml:space="preserve">regulation 1.03(1) of the Principal Regulations. The new definition of ‘accounting standard’ prescribes the </w:t>
      </w:r>
      <w:r w:rsidR="003B7D46">
        <w:rPr>
          <w:color w:val="000000"/>
        </w:rPr>
        <w:t xml:space="preserve">term to have the </w:t>
      </w:r>
      <w:r>
        <w:rPr>
          <w:color w:val="000000"/>
        </w:rPr>
        <w:t xml:space="preserve">same meaning as in the </w:t>
      </w:r>
      <w:r w:rsidRPr="00A02EC0">
        <w:rPr>
          <w:i/>
          <w:iCs/>
          <w:color w:val="000000"/>
        </w:rPr>
        <w:t>Corporations Act 2001</w:t>
      </w:r>
      <w:r w:rsidR="00B603AD">
        <w:rPr>
          <w:i/>
          <w:iCs/>
          <w:color w:val="000000"/>
        </w:rPr>
        <w:t xml:space="preserve"> </w:t>
      </w:r>
      <w:r w:rsidR="00B603AD">
        <w:rPr>
          <w:color w:val="000000"/>
        </w:rPr>
        <w:t>(the Corporations Act)</w:t>
      </w:r>
      <w:r w:rsidR="003B7D46">
        <w:rPr>
          <w:i/>
          <w:iCs/>
          <w:color w:val="000000"/>
        </w:rPr>
        <w:t xml:space="preserve">. </w:t>
      </w:r>
      <w:r w:rsidR="003B7D46">
        <w:rPr>
          <w:color w:val="000000"/>
        </w:rPr>
        <w:t xml:space="preserve">Section </w:t>
      </w:r>
      <w:r w:rsidR="0037309D">
        <w:rPr>
          <w:color w:val="000000"/>
        </w:rPr>
        <w:t>9</w:t>
      </w:r>
      <w:r w:rsidR="003B7D46">
        <w:rPr>
          <w:color w:val="000000"/>
        </w:rPr>
        <w:t xml:space="preserve"> of the Corporations Act</w:t>
      </w:r>
      <w:r w:rsidR="003B7D46" w:rsidRPr="009E2747">
        <w:rPr>
          <w:i/>
          <w:color w:val="000000"/>
        </w:rPr>
        <w:t xml:space="preserve"> </w:t>
      </w:r>
      <w:r w:rsidR="003B7D46">
        <w:rPr>
          <w:color w:val="000000"/>
        </w:rPr>
        <w:t xml:space="preserve">defines ‘accounting standard’ to mean </w:t>
      </w:r>
      <w:r w:rsidR="00BF03CE">
        <w:rPr>
          <w:color w:val="000000"/>
        </w:rPr>
        <w:t>“</w:t>
      </w:r>
      <w:r w:rsidR="00B603AD">
        <w:rPr>
          <w:color w:val="000000"/>
        </w:rPr>
        <w:t>an instrument in force under section 334 of the Corporations Act, or a provision of such an instrument as it so has effect</w:t>
      </w:r>
      <w:r w:rsidR="00BF03CE">
        <w:rPr>
          <w:color w:val="000000"/>
        </w:rPr>
        <w:t>”</w:t>
      </w:r>
      <w:r w:rsidR="00B603AD">
        <w:rPr>
          <w:color w:val="000000"/>
        </w:rPr>
        <w:t>.</w:t>
      </w:r>
      <w:r w:rsidR="00BF03CE">
        <w:rPr>
          <w:color w:val="000000"/>
        </w:rPr>
        <w:t xml:space="preserve"> </w:t>
      </w:r>
    </w:p>
    <w:p w14:paraId="67BCF174" w14:textId="77777777" w:rsidR="000508C2" w:rsidRDefault="000508C2" w:rsidP="00EA4DD8">
      <w:pPr>
        <w:spacing w:before="0" w:after="0"/>
        <w:rPr>
          <w:color w:val="000000"/>
        </w:rPr>
      </w:pPr>
    </w:p>
    <w:p w14:paraId="33BC3F54" w14:textId="17F126E5" w:rsidR="00C269EF" w:rsidRDefault="009E7CA9" w:rsidP="00EA4DD8">
      <w:pPr>
        <w:spacing w:before="0" w:after="0"/>
        <w:rPr>
          <w:color w:val="000000"/>
        </w:rPr>
      </w:pPr>
      <w:r>
        <w:rPr>
          <w:color w:val="000000"/>
        </w:rPr>
        <w:t xml:space="preserve">Item </w:t>
      </w:r>
      <w:r w:rsidR="00123A8E">
        <w:rPr>
          <w:color w:val="000000"/>
        </w:rPr>
        <w:t>5</w:t>
      </w:r>
      <w:r w:rsidR="00D76976">
        <w:rPr>
          <w:color w:val="000000"/>
        </w:rPr>
        <w:t xml:space="preserve"> </w:t>
      </w:r>
      <w:r w:rsidR="009D11D4">
        <w:rPr>
          <w:color w:val="000000"/>
        </w:rPr>
        <w:t xml:space="preserve">inserts </w:t>
      </w:r>
      <w:r w:rsidR="00D178EB">
        <w:rPr>
          <w:color w:val="000000"/>
        </w:rPr>
        <w:t>sub</w:t>
      </w:r>
      <w:r w:rsidR="00C03DC4">
        <w:rPr>
          <w:color w:val="000000"/>
        </w:rPr>
        <w:t>regulation</w:t>
      </w:r>
      <w:r w:rsidR="00D178EB">
        <w:rPr>
          <w:color w:val="000000"/>
        </w:rPr>
        <w:t xml:space="preserve"> </w:t>
      </w:r>
      <w:r w:rsidR="00D76976">
        <w:rPr>
          <w:color w:val="000000"/>
        </w:rPr>
        <w:t>2.10(2A)</w:t>
      </w:r>
      <w:r w:rsidR="009D11D4">
        <w:rPr>
          <w:color w:val="000000"/>
        </w:rPr>
        <w:t xml:space="preserve"> to</w:t>
      </w:r>
      <w:r w:rsidR="004A604B">
        <w:rPr>
          <w:color w:val="000000"/>
        </w:rPr>
        <w:t xml:space="preserve"> align the definition of ‘related party’ </w:t>
      </w:r>
      <w:r w:rsidR="00D72478">
        <w:t>with the definition in the Australian Accounting Standard</w:t>
      </w:r>
      <w:r w:rsidR="00D178EB" w:rsidRPr="00D178EB">
        <w:rPr>
          <w:i/>
          <w:iCs/>
          <w:color w:val="000000"/>
        </w:rPr>
        <w:t xml:space="preserve"> </w:t>
      </w:r>
      <w:r w:rsidR="00D178EB">
        <w:rPr>
          <w:i/>
          <w:iCs/>
          <w:color w:val="000000"/>
        </w:rPr>
        <w:t xml:space="preserve">AASB 124 Related Party Disclosures </w:t>
      </w:r>
      <w:r w:rsidR="00D178EB" w:rsidRPr="009D11D4">
        <w:rPr>
          <w:color w:val="000000"/>
        </w:rPr>
        <w:t>(</w:t>
      </w:r>
      <w:r w:rsidR="00CB22E7">
        <w:rPr>
          <w:color w:val="000000"/>
        </w:rPr>
        <w:t>the Standard</w:t>
      </w:r>
      <w:r w:rsidR="00D178EB" w:rsidRPr="009D11D4">
        <w:rPr>
          <w:color w:val="000000"/>
        </w:rPr>
        <w:t>)</w:t>
      </w:r>
      <w:r w:rsidR="00D72478">
        <w:t>.</w:t>
      </w:r>
      <w:r w:rsidR="009E2747" w:rsidRPr="009E2747">
        <w:rPr>
          <w:i/>
          <w:iCs/>
          <w:color w:val="000000"/>
        </w:rPr>
        <w:t xml:space="preserve"> </w:t>
      </w:r>
      <w:r w:rsidR="00D178EB">
        <w:rPr>
          <w:color w:val="000000"/>
        </w:rPr>
        <w:t xml:space="preserve">As </w:t>
      </w:r>
      <w:r w:rsidR="003C1F0E">
        <w:rPr>
          <w:color w:val="000000"/>
        </w:rPr>
        <w:t>sub</w:t>
      </w:r>
      <w:r w:rsidR="009D11D4">
        <w:rPr>
          <w:color w:val="000000"/>
        </w:rPr>
        <w:t>regulation</w:t>
      </w:r>
      <w:r w:rsidR="003C1F0E">
        <w:rPr>
          <w:color w:val="000000"/>
        </w:rPr>
        <w:t xml:space="preserve"> 2.10(2A) </w:t>
      </w:r>
      <w:r w:rsidR="009D11D4">
        <w:rPr>
          <w:color w:val="000000"/>
        </w:rPr>
        <w:t xml:space="preserve">incorporates the definition </w:t>
      </w:r>
      <w:r w:rsidR="003C1F0E">
        <w:rPr>
          <w:color w:val="000000"/>
        </w:rPr>
        <w:t xml:space="preserve">in </w:t>
      </w:r>
      <w:r w:rsidR="00F61882">
        <w:rPr>
          <w:color w:val="000000"/>
        </w:rPr>
        <w:t>the Standard</w:t>
      </w:r>
      <w:r w:rsidR="003C1F0E">
        <w:rPr>
          <w:color w:val="000000"/>
        </w:rPr>
        <w:t xml:space="preserve">, it </w:t>
      </w:r>
      <w:r w:rsidR="00283FCB">
        <w:rPr>
          <w:color w:val="000000"/>
        </w:rPr>
        <w:t>incorporates the definition for a relevant period of time</w:t>
      </w:r>
      <w:r w:rsidR="004A5AED">
        <w:rPr>
          <w:color w:val="000000"/>
        </w:rPr>
        <w:t>,</w:t>
      </w:r>
      <w:r w:rsidR="00283FCB">
        <w:rPr>
          <w:color w:val="000000"/>
        </w:rPr>
        <w:t xml:space="preserve"> </w:t>
      </w:r>
      <w:r w:rsidR="00FF68EA">
        <w:rPr>
          <w:color w:val="000000"/>
        </w:rPr>
        <w:t xml:space="preserve">that </w:t>
      </w:r>
      <w:r w:rsidR="00283FCB">
        <w:rPr>
          <w:color w:val="000000"/>
        </w:rPr>
        <w:t xml:space="preserve">is the period </w:t>
      </w:r>
      <w:r w:rsidR="00D178EB">
        <w:rPr>
          <w:color w:val="000000"/>
        </w:rPr>
        <w:t xml:space="preserve">which </w:t>
      </w:r>
      <w:r w:rsidR="00FF68EA">
        <w:rPr>
          <w:color w:val="000000"/>
        </w:rPr>
        <w:t xml:space="preserve">would apply if </w:t>
      </w:r>
      <w:r w:rsidR="00D178EB">
        <w:rPr>
          <w:color w:val="000000"/>
        </w:rPr>
        <w:t xml:space="preserve">the RSE licensee </w:t>
      </w:r>
      <w:r w:rsidR="00FF68EA">
        <w:rPr>
          <w:color w:val="000000"/>
        </w:rPr>
        <w:t>were preparing its</w:t>
      </w:r>
      <w:r w:rsidR="00D178EB">
        <w:rPr>
          <w:color w:val="000000"/>
        </w:rPr>
        <w:t xml:space="preserve"> financial statements</w:t>
      </w:r>
      <w:r w:rsidR="00283FCB">
        <w:rPr>
          <w:color w:val="000000"/>
        </w:rPr>
        <w:t xml:space="preserve"> as required by the </w:t>
      </w:r>
      <w:r w:rsidR="00CB22E7">
        <w:rPr>
          <w:color w:val="000000"/>
        </w:rPr>
        <w:t>Standard</w:t>
      </w:r>
      <w:r w:rsidR="003C1F0E">
        <w:rPr>
          <w:color w:val="000000"/>
        </w:rPr>
        <w:t>.</w:t>
      </w:r>
      <w:r w:rsidR="00C269EF">
        <w:rPr>
          <w:color w:val="000000"/>
        </w:rPr>
        <w:t xml:space="preserve"> </w:t>
      </w:r>
    </w:p>
    <w:p w14:paraId="500A0C9D" w14:textId="77777777" w:rsidR="00C269EF" w:rsidRDefault="00C269EF" w:rsidP="00EA4DD8">
      <w:pPr>
        <w:spacing w:before="0" w:after="0"/>
        <w:rPr>
          <w:color w:val="000000"/>
        </w:rPr>
      </w:pPr>
    </w:p>
    <w:p w14:paraId="490DF19D" w14:textId="27FFCD42" w:rsidR="00B24004" w:rsidRDefault="00C269EF" w:rsidP="00EA4DD8">
      <w:pPr>
        <w:spacing w:before="0" w:after="0"/>
        <w:rPr>
          <w:color w:val="000000"/>
        </w:rPr>
      </w:pPr>
      <w:r>
        <w:rPr>
          <w:color w:val="000000"/>
        </w:rPr>
        <w:t xml:space="preserve">This definition is the relevant definition for the disclosure requirement inserted by Item 4, that is, the substituted new paragraph 2.10(2)(e). </w:t>
      </w:r>
      <w:r w:rsidR="00283FCB">
        <w:rPr>
          <w:color w:val="000000"/>
        </w:rPr>
        <w:t xml:space="preserve">This means that a </w:t>
      </w:r>
      <w:r w:rsidR="00F61882">
        <w:rPr>
          <w:color w:val="000000"/>
        </w:rPr>
        <w:t xml:space="preserve">payment is a </w:t>
      </w:r>
      <w:r w:rsidR="00283FCB">
        <w:rPr>
          <w:color w:val="000000"/>
        </w:rPr>
        <w:t>related party payment if</w:t>
      </w:r>
      <w:r w:rsidR="00F61882">
        <w:rPr>
          <w:color w:val="000000"/>
        </w:rPr>
        <w:t>,</w:t>
      </w:r>
      <w:r w:rsidR="00283FCB">
        <w:rPr>
          <w:color w:val="000000"/>
        </w:rPr>
        <w:t xml:space="preserve"> at the time of the payment</w:t>
      </w:r>
      <w:r w:rsidR="00F61882">
        <w:rPr>
          <w:color w:val="000000"/>
        </w:rPr>
        <w:t>,</w:t>
      </w:r>
      <w:r w:rsidR="00283FCB">
        <w:rPr>
          <w:color w:val="000000"/>
        </w:rPr>
        <w:t xml:space="preserve"> the payment was made from the entity to a related party as defined under </w:t>
      </w:r>
      <w:r w:rsidR="00CB22E7">
        <w:rPr>
          <w:color w:val="000000"/>
        </w:rPr>
        <w:t xml:space="preserve">the Standard. </w:t>
      </w:r>
    </w:p>
    <w:p w14:paraId="205F6264" w14:textId="064E5F16" w:rsidR="00F00F79" w:rsidRDefault="00F00F79" w:rsidP="00EA4DD8">
      <w:pPr>
        <w:spacing w:before="0" w:after="0"/>
      </w:pPr>
    </w:p>
    <w:p w14:paraId="7D275C45" w14:textId="77777777" w:rsidR="00C9221C" w:rsidRPr="00D34780" w:rsidRDefault="00C9221C" w:rsidP="00C9221C">
      <w:pPr>
        <w:spacing w:before="0" w:after="0"/>
        <w:rPr>
          <w:b/>
          <w:bCs/>
          <w:i/>
          <w:iCs/>
        </w:rPr>
      </w:pPr>
      <w:r w:rsidRPr="00D34780">
        <w:rPr>
          <w:b/>
          <w:bCs/>
          <w:i/>
          <w:iCs/>
        </w:rPr>
        <w:t xml:space="preserve">Item </w:t>
      </w:r>
      <w:r>
        <w:rPr>
          <w:b/>
          <w:bCs/>
          <w:i/>
          <w:iCs/>
        </w:rPr>
        <w:t xml:space="preserve">2 and </w:t>
      </w:r>
      <w:r w:rsidRPr="00D34780">
        <w:rPr>
          <w:b/>
          <w:bCs/>
          <w:i/>
          <w:iCs/>
        </w:rPr>
        <w:t>6 – Consequential amendments</w:t>
      </w:r>
    </w:p>
    <w:p w14:paraId="6A0BAE36" w14:textId="77777777" w:rsidR="00C9221C" w:rsidRDefault="00C9221C" w:rsidP="00C9221C">
      <w:pPr>
        <w:spacing w:before="0" w:after="0"/>
      </w:pPr>
    </w:p>
    <w:p w14:paraId="5D27443A" w14:textId="0F5139C4" w:rsidR="00C9221C" w:rsidRDefault="00C9221C" w:rsidP="00C9221C">
      <w:pPr>
        <w:spacing w:before="0" w:after="0"/>
      </w:pPr>
      <w:r>
        <w:t xml:space="preserve">Item 2 amends subparagraph </w:t>
      </w:r>
      <w:r w:rsidRPr="00233D5D">
        <w:t>2.10(1)(d)(ii)</w:t>
      </w:r>
      <w:r>
        <w:t xml:space="preserve"> to remove a semicolon and substitutes a full stop at the end of the subparagraph. This is a consequential amendment to update the punctuation in subregulation 2.10(1) of the Principal Regulations as item 3 repeals paragraphs 2.10(1)(e) to (h).</w:t>
      </w:r>
    </w:p>
    <w:p w14:paraId="46715384" w14:textId="77777777" w:rsidR="00C9221C" w:rsidRDefault="00C9221C" w:rsidP="00C9221C">
      <w:pPr>
        <w:spacing w:before="0" w:after="0"/>
      </w:pPr>
    </w:p>
    <w:p w14:paraId="049DBEC1" w14:textId="7944823E" w:rsidR="00C9221C" w:rsidRDefault="00C9221C" w:rsidP="00C9221C">
      <w:pPr>
        <w:spacing w:before="0" w:after="0"/>
      </w:pPr>
      <w:r>
        <w:t xml:space="preserve">Item 6 amends subregulation 2.10(3) to </w:t>
      </w:r>
      <w:r w:rsidR="00AC16EA">
        <w:t xml:space="preserve">omit the </w:t>
      </w:r>
      <w:r>
        <w:t xml:space="preserve">references to paragraph </w:t>
      </w:r>
      <w:r w:rsidR="00083290">
        <w:t>“</w:t>
      </w:r>
      <w:r>
        <w:t xml:space="preserve">(1)(b) to (h)” and substitutes “(1)(b), (c) or (d)”. This is a consequential amendment to remove references to paragraphs that are repealed by item </w:t>
      </w:r>
      <w:r w:rsidR="00691085">
        <w:t>3</w:t>
      </w:r>
      <w:r>
        <w:t xml:space="preserve">. </w:t>
      </w:r>
    </w:p>
    <w:p w14:paraId="008EA5EA" w14:textId="77777777" w:rsidR="00C9221C" w:rsidRPr="007D4B38" w:rsidRDefault="00C9221C" w:rsidP="00C9221C">
      <w:pPr>
        <w:spacing w:before="0" w:after="0"/>
      </w:pPr>
    </w:p>
    <w:p w14:paraId="5D5EB17F" w14:textId="77777777" w:rsidR="00456C06" w:rsidRDefault="00F00F79" w:rsidP="00456C06">
      <w:pPr>
        <w:spacing w:before="0" w:after="0"/>
        <w:rPr>
          <w:b/>
          <w:bCs/>
          <w:i/>
          <w:iCs/>
        </w:rPr>
      </w:pPr>
      <w:r w:rsidRPr="00E85822">
        <w:rPr>
          <w:b/>
          <w:i/>
        </w:rPr>
        <w:t xml:space="preserve">Item </w:t>
      </w:r>
      <w:r w:rsidR="00456C06">
        <w:rPr>
          <w:b/>
          <w:bCs/>
          <w:i/>
          <w:iCs/>
        </w:rPr>
        <w:t>7</w:t>
      </w:r>
      <w:r w:rsidR="00456C06" w:rsidRPr="00E85822">
        <w:rPr>
          <w:b/>
          <w:bCs/>
          <w:i/>
          <w:iCs/>
        </w:rPr>
        <w:t xml:space="preserve"> – </w:t>
      </w:r>
      <w:r w:rsidR="00456C06">
        <w:rPr>
          <w:b/>
          <w:bCs/>
          <w:i/>
          <w:iCs/>
        </w:rPr>
        <w:t>Transitional arrangements</w:t>
      </w:r>
    </w:p>
    <w:p w14:paraId="14CC3366" w14:textId="77777777" w:rsidR="00456C06" w:rsidRDefault="00456C06" w:rsidP="00456C06">
      <w:pPr>
        <w:spacing w:before="0" w:after="0"/>
        <w:rPr>
          <w:b/>
          <w:bCs/>
          <w:i/>
          <w:iCs/>
        </w:rPr>
      </w:pPr>
    </w:p>
    <w:p w14:paraId="4E4659BF" w14:textId="7851A8F0" w:rsidR="00076D25" w:rsidRDefault="00456C06" w:rsidP="00456C06">
      <w:pPr>
        <w:spacing w:before="0" w:after="0"/>
      </w:pPr>
      <w:r>
        <w:t xml:space="preserve">Item 7 inserts </w:t>
      </w:r>
      <w:r w:rsidR="00076D25">
        <w:t xml:space="preserve">new </w:t>
      </w:r>
      <w:r>
        <w:t>Division 14.</w:t>
      </w:r>
      <w:r w:rsidRPr="009B65D6">
        <w:t>XX o</w:t>
      </w:r>
      <w:r>
        <w:t>f the Principal Regulations</w:t>
      </w:r>
      <w:r w:rsidR="00076D25">
        <w:t xml:space="preserve"> to provide application and transitional rules as follows:</w:t>
      </w:r>
    </w:p>
    <w:p w14:paraId="44911001" w14:textId="77777777" w:rsidR="00076D25" w:rsidRDefault="00076D25" w:rsidP="00076D25">
      <w:pPr>
        <w:pStyle w:val="Bullet"/>
      </w:pPr>
      <w:r>
        <w:t xml:space="preserve">The </w:t>
      </w:r>
      <w:r w:rsidR="00456C06">
        <w:t xml:space="preserve">amendments </w:t>
      </w:r>
      <w:r w:rsidR="00456C06" w:rsidRPr="00325C86">
        <w:t>apply in relation to a notice of an annual members’ meeting</w:t>
      </w:r>
      <w:r w:rsidR="00456C06">
        <w:t>,</w:t>
      </w:r>
      <w:r w:rsidR="00456C06" w:rsidRPr="00325C86">
        <w:t xml:space="preserve"> for a year of income for </w:t>
      </w:r>
      <w:r w:rsidR="00456C06">
        <w:t xml:space="preserve">a </w:t>
      </w:r>
      <w:r>
        <w:t>registrable superannuation entity</w:t>
      </w:r>
      <w:r w:rsidR="00456C06" w:rsidRPr="00325C86">
        <w:t xml:space="preserve"> if</w:t>
      </w:r>
      <w:r>
        <w:t>:</w:t>
      </w:r>
    </w:p>
    <w:p w14:paraId="2C5E834C" w14:textId="77777777" w:rsidR="00076D25" w:rsidRDefault="00456C06" w:rsidP="00076D25">
      <w:pPr>
        <w:pStyle w:val="Bullet"/>
        <w:numPr>
          <w:ilvl w:val="0"/>
          <w:numId w:val="8"/>
        </w:numPr>
      </w:pPr>
      <w:r w:rsidRPr="00325C86">
        <w:t>the notice is given on or after the commencement of this item</w:t>
      </w:r>
      <w:r>
        <w:t>,</w:t>
      </w:r>
      <w:r w:rsidRPr="00325C86">
        <w:t xml:space="preserve"> and </w:t>
      </w:r>
    </w:p>
    <w:p w14:paraId="78DC96DC" w14:textId="3BC269B8" w:rsidR="00456C06" w:rsidRDefault="00456C06" w:rsidP="00076D25">
      <w:pPr>
        <w:pStyle w:val="Bullet"/>
        <w:numPr>
          <w:ilvl w:val="0"/>
          <w:numId w:val="8"/>
        </w:numPr>
      </w:pPr>
      <w:r w:rsidRPr="00325C86">
        <w:t>the year of income ends on or after 30 June 2022.</w:t>
      </w:r>
    </w:p>
    <w:p w14:paraId="419468B6" w14:textId="77777777" w:rsidR="00456C06" w:rsidRDefault="00456C06" w:rsidP="00456C06">
      <w:pPr>
        <w:spacing w:before="0" w:after="0"/>
      </w:pPr>
    </w:p>
    <w:p w14:paraId="7581F271" w14:textId="0A691D56" w:rsidR="00456C06" w:rsidRDefault="00456C06">
      <w:pPr>
        <w:spacing w:before="0" w:after="0"/>
      </w:pPr>
      <w:r>
        <w:t>The effect of this provision is that t</w:t>
      </w:r>
      <w:r w:rsidRPr="003D2387">
        <w:t xml:space="preserve">he amendments apply </w:t>
      </w:r>
      <w:r>
        <w:t>retro</w:t>
      </w:r>
      <w:r w:rsidRPr="003D2387">
        <w:t xml:space="preserve">spectively to any notices that relate to </w:t>
      </w:r>
      <w:r>
        <w:t>each year of income that ends on or after 30 June 2022</w:t>
      </w:r>
      <w:r w:rsidR="00F3643D">
        <w:t>,</w:t>
      </w:r>
      <w:r>
        <w:t xml:space="preserve"> however, only </w:t>
      </w:r>
      <w:r w:rsidRPr="00233D5D">
        <w:t xml:space="preserve">notices given </w:t>
      </w:r>
      <w:r>
        <w:t>after</w:t>
      </w:r>
      <w:r w:rsidRPr="00233D5D">
        <w:t xml:space="preserve"> commencement </w:t>
      </w:r>
      <w:r>
        <w:t xml:space="preserve">of the Regulations </w:t>
      </w:r>
      <w:r w:rsidRPr="00233D5D">
        <w:t xml:space="preserve">will </w:t>
      </w:r>
      <w:r>
        <w:t xml:space="preserve">be subject to the new requirements. All notices </w:t>
      </w:r>
      <w:r w:rsidR="00D34780">
        <w:t xml:space="preserve">given up until </w:t>
      </w:r>
      <w:r>
        <w:t xml:space="preserve">commencement </w:t>
      </w:r>
      <w:r w:rsidR="00D34780">
        <w:t>must comply with the</w:t>
      </w:r>
      <w:r>
        <w:t xml:space="preserve"> existing requirements.</w:t>
      </w:r>
    </w:p>
    <w:p w14:paraId="3D718B74" w14:textId="77777777" w:rsidR="00A5507C" w:rsidRPr="00E85822" w:rsidRDefault="00A5507C" w:rsidP="00A5507C">
      <w:pPr>
        <w:spacing w:before="0" w:after="0"/>
        <w:rPr>
          <w:b/>
          <w:bCs/>
          <w:i/>
          <w:iCs/>
        </w:rPr>
      </w:pPr>
    </w:p>
    <w:p w14:paraId="0A292B36" w14:textId="77777777" w:rsidR="00A5507C" w:rsidRPr="007D4B38" w:rsidRDefault="00A5507C" w:rsidP="00EA4DD8">
      <w:pPr>
        <w:spacing w:before="0" w:after="0"/>
      </w:pPr>
    </w:p>
    <w:p w14:paraId="3AC92FCB" w14:textId="4F5AD2B6" w:rsidR="007A55A7" w:rsidRDefault="007A55A7" w:rsidP="00013390">
      <w:pPr>
        <w:pageBreakBefore/>
        <w:spacing w:before="240"/>
        <w:jc w:val="right"/>
        <w:rPr>
          <w:b/>
          <w:u w:val="single"/>
        </w:rPr>
      </w:pPr>
      <w:r w:rsidRPr="00B07B1C">
        <w:rPr>
          <w:b/>
          <w:u w:val="single"/>
        </w:rPr>
        <w:lastRenderedPageBreak/>
        <w:t xml:space="preserve">ATTACHMENT </w:t>
      </w:r>
      <w:r w:rsidR="00623041" w:rsidRPr="00B07B1C">
        <w:rPr>
          <w:b/>
          <w:u w:val="single"/>
        </w:rPr>
        <w:t>B</w:t>
      </w:r>
    </w:p>
    <w:p w14:paraId="533B52F7" w14:textId="77777777" w:rsidR="00E4438C" w:rsidRPr="00462095" w:rsidRDefault="00E4438C" w:rsidP="003E1CE3">
      <w:pPr>
        <w:pStyle w:val="Heading3"/>
      </w:pPr>
      <w:r w:rsidRPr="00462095">
        <w:t>Statement of Compatibility with Human Rights</w:t>
      </w:r>
    </w:p>
    <w:p w14:paraId="25EAADDE" w14:textId="77777777" w:rsidR="00E4438C" w:rsidRPr="00647BB7" w:rsidRDefault="00E4438C" w:rsidP="007B4349">
      <w:pPr>
        <w:spacing w:before="240"/>
        <w:rPr>
          <w:i/>
        </w:rPr>
      </w:pPr>
      <w:r w:rsidRPr="00647BB7">
        <w:rPr>
          <w:i/>
        </w:rPr>
        <w:t>Prepared in accordance with Part 3 of the Human Rights (Parliamentary Scrutiny) Act 2011</w:t>
      </w:r>
    </w:p>
    <w:p w14:paraId="4AB6E67E" w14:textId="77777777" w:rsidR="00144D01" w:rsidRDefault="00144D01" w:rsidP="00144D01">
      <w:pPr>
        <w:spacing w:before="240"/>
        <w:jc w:val="center"/>
        <w:rPr>
          <w:b/>
          <w:i/>
          <w:iCs/>
          <w:kern w:val="28"/>
        </w:rPr>
      </w:pPr>
      <w:r w:rsidRPr="00144D01">
        <w:rPr>
          <w:b/>
          <w:i/>
          <w:iCs/>
          <w:kern w:val="28"/>
        </w:rPr>
        <w:t>Superannuation Industry (Supervision) Amendment (Annual Members’ Meetings Notices) Regulations 2022</w:t>
      </w:r>
    </w:p>
    <w:p w14:paraId="67D1A752" w14:textId="4A5F7276"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710CE27B" w14:textId="77777777" w:rsidR="00E4438C" w:rsidRPr="00647BB7" w:rsidRDefault="00E4438C" w:rsidP="003E1CE3">
      <w:pPr>
        <w:pStyle w:val="Heading3"/>
      </w:pPr>
      <w:r w:rsidRPr="00647BB7">
        <w:t>Overview of the Legislative Instrument</w:t>
      </w:r>
    </w:p>
    <w:p w14:paraId="03C7B8C2" w14:textId="39353AAA" w:rsidR="00E046A0" w:rsidRDefault="00114222" w:rsidP="00506D8C">
      <w:pPr>
        <w:spacing w:before="240"/>
        <w:ind w:right="91"/>
      </w:pPr>
      <w:r>
        <w:t xml:space="preserve">The purpose of the </w:t>
      </w:r>
      <w:r w:rsidRPr="004F7855">
        <w:rPr>
          <w:i/>
          <w:iCs/>
        </w:rPr>
        <w:t>Superannuation Industry (Supervision) Amendment (</w:t>
      </w:r>
      <w:r w:rsidR="00036BF1" w:rsidRPr="00036BF1">
        <w:rPr>
          <w:i/>
          <w:iCs/>
        </w:rPr>
        <w:t>Annual Members’ Meetings Notices</w:t>
      </w:r>
      <w:r w:rsidRPr="004F7855">
        <w:rPr>
          <w:i/>
          <w:iCs/>
        </w:rPr>
        <w:t>) Regulations 2022</w:t>
      </w:r>
      <w:r>
        <w:t xml:space="preserve"> (the </w:t>
      </w:r>
      <w:r w:rsidRPr="00D21A75">
        <w:t>Regulations</w:t>
      </w:r>
      <w:r>
        <w:t xml:space="preserve">) is to amend the </w:t>
      </w:r>
      <w:r>
        <w:rPr>
          <w:i/>
          <w:iCs/>
          <w:color w:val="000000"/>
          <w:shd w:val="clear" w:color="auto" w:fill="FFFFFF"/>
        </w:rPr>
        <w:t xml:space="preserve">Superannuation Industry (Supervision) Regulations 1994 </w:t>
      </w:r>
      <w:r>
        <w:rPr>
          <w:color w:val="000000"/>
          <w:shd w:val="clear" w:color="auto" w:fill="FFFFFF"/>
        </w:rPr>
        <w:t xml:space="preserve">(the </w:t>
      </w:r>
      <w:r w:rsidRPr="00D21A75">
        <w:rPr>
          <w:color w:val="000000"/>
          <w:shd w:val="clear" w:color="auto" w:fill="FFFFFF"/>
        </w:rPr>
        <w:t>Principal Regulations</w:t>
      </w:r>
      <w:r>
        <w:rPr>
          <w:color w:val="000000"/>
          <w:shd w:val="clear" w:color="auto" w:fill="FFFFFF"/>
        </w:rPr>
        <w:t>)</w:t>
      </w:r>
      <w:r>
        <w:rPr>
          <w:i/>
          <w:iCs/>
          <w:color w:val="000000"/>
          <w:shd w:val="clear" w:color="auto" w:fill="FFFFFF"/>
        </w:rPr>
        <w:t xml:space="preserve"> </w:t>
      </w:r>
      <w:r>
        <w:rPr>
          <w:color w:val="000000"/>
          <w:shd w:val="clear" w:color="auto" w:fill="FFFFFF"/>
        </w:rPr>
        <w:t xml:space="preserve">to </w:t>
      </w:r>
      <w:r>
        <w:t>support improved member outcomes by clarifying certain aspects of the annual member</w:t>
      </w:r>
      <w:r w:rsidR="00E45977">
        <w:t>s’</w:t>
      </w:r>
      <w:r>
        <w:t xml:space="preserve"> meeting disclosure requirements</w:t>
      </w:r>
      <w:r w:rsidR="00744065">
        <w:t xml:space="preserve">. </w:t>
      </w:r>
    </w:p>
    <w:p w14:paraId="3368D080" w14:textId="5992FCB1" w:rsidR="00114222" w:rsidRDefault="00114222" w:rsidP="00114222">
      <w:pPr>
        <w:spacing w:before="0" w:after="0"/>
      </w:pPr>
      <w:r>
        <w:t xml:space="preserve">The </w:t>
      </w:r>
      <w:r w:rsidR="008C14EB">
        <w:rPr>
          <w:color w:val="000000"/>
        </w:rPr>
        <w:t xml:space="preserve">Regulations amend the Principal Regulations to </w:t>
      </w:r>
      <w:r>
        <w:t xml:space="preserve">update the </w:t>
      </w:r>
      <w:r>
        <w:rPr>
          <w:color w:val="000000"/>
          <w:shd w:val="clear" w:color="auto" w:fill="FFFFFF"/>
        </w:rPr>
        <w:t>annual member</w:t>
      </w:r>
      <w:r w:rsidR="00E45977">
        <w:rPr>
          <w:color w:val="000000"/>
          <w:shd w:val="clear" w:color="auto" w:fill="FFFFFF"/>
        </w:rPr>
        <w:t>s’</w:t>
      </w:r>
      <w:r>
        <w:rPr>
          <w:color w:val="000000"/>
          <w:shd w:val="clear" w:color="auto" w:fill="FFFFFF"/>
        </w:rPr>
        <w:t xml:space="preserve"> meeting disclosure requirements to </w:t>
      </w:r>
      <w:r>
        <w:t xml:space="preserve">reduce the regulatory burden for </w:t>
      </w:r>
      <w:r w:rsidR="005D6841">
        <w:rPr>
          <w:color w:val="000000"/>
          <w:shd w:val="clear" w:color="auto" w:fill="FFFFFF"/>
        </w:rPr>
        <w:t>registerable superannuation entity (</w:t>
      </w:r>
      <w:r w:rsidR="005F4626">
        <w:rPr>
          <w:color w:val="000000"/>
        </w:rPr>
        <w:t>RSE</w:t>
      </w:r>
      <w:r w:rsidR="005D6841">
        <w:rPr>
          <w:color w:val="000000"/>
        </w:rPr>
        <w:t>)</w:t>
      </w:r>
      <w:r w:rsidR="004C1490">
        <w:rPr>
          <w:color w:val="000000"/>
        </w:rPr>
        <w:t xml:space="preserve"> </w:t>
      </w:r>
      <w:r w:rsidR="004C1490">
        <w:t>licensees</w:t>
      </w:r>
      <w:r>
        <w:t>. Regulatory burden is reduced through amendments that:</w:t>
      </w:r>
    </w:p>
    <w:p w14:paraId="57139198" w14:textId="77777777" w:rsidR="00114222" w:rsidRPr="00402650" w:rsidRDefault="00114222" w:rsidP="00114222">
      <w:pPr>
        <w:pStyle w:val="Bullet"/>
        <w:rPr>
          <w:szCs w:val="24"/>
        </w:rPr>
      </w:pPr>
      <w:r w:rsidRPr="00402650">
        <w:t>remov</w:t>
      </w:r>
      <w:r>
        <w:t>e</w:t>
      </w:r>
      <w:r w:rsidRPr="00402650">
        <w:t xml:space="preserve"> itemised disclosure of certain expenditure</w:t>
      </w:r>
      <w:r>
        <w:t>;</w:t>
      </w:r>
    </w:p>
    <w:p w14:paraId="24C55EEB" w14:textId="77777777" w:rsidR="00114222" w:rsidRPr="00402650" w:rsidRDefault="00114222" w:rsidP="00114222">
      <w:pPr>
        <w:pStyle w:val="Bullet"/>
        <w:rPr>
          <w:szCs w:val="24"/>
        </w:rPr>
      </w:pPr>
      <w:r>
        <w:t>remove the double counting of certain</w:t>
      </w:r>
      <w:r w:rsidRPr="00402650">
        <w:t xml:space="preserve"> expenditure</w:t>
      </w:r>
      <w:r>
        <w:t xml:space="preserve">; </w:t>
      </w:r>
      <w:r w:rsidRPr="00402650">
        <w:t xml:space="preserve">and </w:t>
      </w:r>
    </w:p>
    <w:p w14:paraId="42D72A06" w14:textId="7E9C94BE" w:rsidR="00114222" w:rsidRPr="00402650" w:rsidRDefault="00114222" w:rsidP="00114222">
      <w:pPr>
        <w:pStyle w:val="Bullet"/>
        <w:rPr>
          <w:szCs w:val="24"/>
        </w:rPr>
      </w:pPr>
      <w:r>
        <w:t>align</w:t>
      </w:r>
      <w:r w:rsidRPr="00402650">
        <w:t xml:space="preserve"> the definition of ‘related party</w:t>
      </w:r>
      <w:r>
        <w:t>’</w:t>
      </w:r>
      <w:r w:rsidRPr="00402650">
        <w:t xml:space="preserve"> </w:t>
      </w:r>
      <w:r>
        <w:t xml:space="preserve">to the definition in </w:t>
      </w:r>
      <w:r w:rsidR="009D577F">
        <w:t xml:space="preserve">the </w:t>
      </w:r>
      <w:r w:rsidRPr="00402650">
        <w:t>Australian Accounting Standards.</w:t>
      </w:r>
      <w:r w:rsidRPr="00402650">
        <w:rPr>
          <w:szCs w:val="24"/>
        </w:rPr>
        <w:t xml:space="preserve"> </w:t>
      </w:r>
    </w:p>
    <w:p w14:paraId="03724363" w14:textId="77777777" w:rsidR="00E4438C" w:rsidRPr="00647BB7" w:rsidRDefault="00E4438C" w:rsidP="003E1CE3">
      <w:pPr>
        <w:pStyle w:val="Heading3"/>
      </w:pPr>
      <w:r w:rsidRPr="00647BB7">
        <w:t>Human rights implications</w:t>
      </w:r>
    </w:p>
    <w:p w14:paraId="518FF259" w14:textId="77777777" w:rsidR="00E4438C" w:rsidRPr="00647BB7" w:rsidRDefault="00E4438C" w:rsidP="00647BB7">
      <w:pPr>
        <w:spacing w:before="240"/>
      </w:pPr>
      <w:r w:rsidRPr="00647BB7">
        <w:t>This Legislative Instrument does not engage any of the applicable rights or freedoms.</w:t>
      </w:r>
    </w:p>
    <w:p w14:paraId="1A5121D1" w14:textId="77777777" w:rsidR="00E4438C" w:rsidRPr="00647BB7" w:rsidRDefault="00E4438C" w:rsidP="003E1CE3">
      <w:pPr>
        <w:pStyle w:val="Heading3"/>
      </w:pPr>
      <w:r w:rsidRPr="00647BB7">
        <w:t>Conclusion</w:t>
      </w:r>
    </w:p>
    <w:p w14:paraId="32B6C645" w14:textId="35AC6130" w:rsidR="00623041" w:rsidRDefault="00E4438C" w:rsidP="008C14EB">
      <w:pPr>
        <w:spacing w:before="240"/>
      </w:pPr>
      <w:r w:rsidRPr="00647BB7">
        <w:t>This Legislative Instrument is compatible with human rights as it does not raise any human rights issues.</w:t>
      </w:r>
    </w:p>
    <w:p w14:paraId="60A80BBD" w14:textId="77777777" w:rsidR="00482B81" w:rsidRPr="00EA4DD8" w:rsidRDefault="00482B81" w:rsidP="00623041">
      <w:pPr>
        <w:spacing w:before="0" w:after="0"/>
      </w:pPr>
    </w:p>
    <w:sectPr w:rsidR="00482B81" w:rsidRPr="00EA4DD8"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1C4F7" w14:textId="77777777" w:rsidR="00637275" w:rsidRDefault="00637275" w:rsidP="00954679">
      <w:pPr>
        <w:spacing w:before="0" w:after="0"/>
      </w:pPr>
      <w:r>
        <w:separator/>
      </w:r>
    </w:p>
  </w:endnote>
  <w:endnote w:type="continuationSeparator" w:id="0">
    <w:p w14:paraId="2CE5F994" w14:textId="77777777" w:rsidR="00637275" w:rsidRDefault="00637275" w:rsidP="00954679">
      <w:pPr>
        <w:spacing w:before="0" w:after="0"/>
      </w:pPr>
      <w:r>
        <w:continuationSeparator/>
      </w:r>
    </w:p>
  </w:endnote>
  <w:endnote w:type="continuationNotice" w:id="1">
    <w:p w14:paraId="7744FAE5" w14:textId="77777777" w:rsidR="00637275" w:rsidRDefault="006372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B62061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0961C" w14:textId="77777777" w:rsidR="00637275" w:rsidRDefault="00637275" w:rsidP="00954679">
      <w:pPr>
        <w:spacing w:before="0" w:after="0"/>
      </w:pPr>
      <w:r>
        <w:separator/>
      </w:r>
    </w:p>
  </w:footnote>
  <w:footnote w:type="continuationSeparator" w:id="0">
    <w:p w14:paraId="3B352366" w14:textId="77777777" w:rsidR="00637275" w:rsidRDefault="00637275" w:rsidP="00954679">
      <w:pPr>
        <w:spacing w:before="0" w:after="0"/>
      </w:pPr>
      <w:r>
        <w:continuationSeparator/>
      </w:r>
    </w:p>
  </w:footnote>
  <w:footnote w:type="continuationNotice" w:id="1">
    <w:p w14:paraId="77226AED" w14:textId="77777777" w:rsidR="00637275" w:rsidRDefault="006372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8115" w14:textId="77777777" w:rsidR="00637275" w:rsidRDefault="00637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061B"/>
    <w:multiLevelType w:val="multilevel"/>
    <w:tmpl w:val="C8B66CA8"/>
    <w:lvl w:ilvl="0">
      <w:start w:val="1"/>
      <w:numFmt w:val="lowerLetter"/>
      <w:lvlText w:val="%1)"/>
      <w:lvlJc w:val="left"/>
      <w:pPr>
        <w:tabs>
          <w:tab w:val="num" w:pos="1134"/>
        </w:tabs>
        <w:ind w:left="1134" w:hanging="567"/>
      </w:p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55310145"/>
    <w:multiLevelType w:val="multilevel"/>
    <w:tmpl w:val="EC4E0620"/>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E01012"/>
    <w:multiLevelType w:val="hybridMultilevel"/>
    <w:tmpl w:val="A82AD34E"/>
    <w:lvl w:ilvl="0" w:tplc="52A63D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BC7E8D"/>
    <w:multiLevelType w:val="singleLevel"/>
    <w:tmpl w:val="3A7C105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15:restartNumberingAfterBreak="0">
    <w:nsid w:val="604921F0"/>
    <w:multiLevelType w:val="hybridMultilevel"/>
    <w:tmpl w:val="39F86C84"/>
    <w:lvl w:ilvl="0" w:tplc="1870056C">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7A43C0B"/>
    <w:multiLevelType w:val="multilevel"/>
    <w:tmpl w:val="151644F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1"/>
  </w:num>
  <w:num w:numId="4">
    <w:abstractNumId w:val="4"/>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85"/>
    <w:rsid w:val="000117EC"/>
    <w:rsid w:val="00013390"/>
    <w:rsid w:val="00016EA2"/>
    <w:rsid w:val="000353AA"/>
    <w:rsid w:val="00036BF1"/>
    <w:rsid w:val="0004249B"/>
    <w:rsid w:val="000430D8"/>
    <w:rsid w:val="000508C2"/>
    <w:rsid w:val="000600D2"/>
    <w:rsid w:val="00064733"/>
    <w:rsid w:val="00076178"/>
    <w:rsid w:val="00076D25"/>
    <w:rsid w:val="00083290"/>
    <w:rsid w:val="0009213F"/>
    <w:rsid w:val="00095211"/>
    <w:rsid w:val="000A36B4"/>
    <w:rsid w:val="000B03FB"/>
    <w:rsid w:val="000B39A1"/>
    <w:rsid w:val="000C10DF"/>
    <w:rsid w:val="000C1ACE"/>
    <w:rsid w:val="000C6935"/>
    <w:rsid w:val="000D24DF"/>
    <w:rsid w:val="000E32E3"/>
    <w:rsid w:val="000E4EB6"/>
    <w:rsid w:val="000F27B2"/>
    <w:rsid w:val="000F6B3D"/>
    <w:rsid w:val="0010181D"/>
    <w:rsid w:val="00113B45"/>
    <w:rsid w:val="00113C74"/>
    <w:rsid w:val="00114222"/>
    <w:rsid w:val="001217B1"/>
    <w:rsid w:val="00123A8E"/>
    <w:rsid w:val="00125DF3"/>
    <w:rsid w:val="0013120F"/>
    <w:rsid w:val="001444B8"/>
    <w:rsid w:val="00144D01"/>
    <w:rsid w:val="0017110C"/>
    <w:rsid w:val="001760F3"/>
    <w:rsid w:val="00181BA6"/>
    <w:rsid w:val="001A001E"/>
    <w:rsid w:val="001A1417"/>
    <w:rsid w:val="001A183C"/>
    <w:rsid w:val="001A3D5B"/>
    <w:rsid w:val="001A486A"/>
    <w:rsid w:val="001B59B9"/>
    <w:rsid w:val="001B7535"/>
    <w:rsid w:val="001B7781"/>
    <w:rsid w:val="001C16DC"/>
    <w:rsid w:val="001E55B9"/>
    <w:rsid w:val="001E6A74"/>
    <w:rsid w:val="001F22C5"/>
    <w:rsid w:val="001F41D0"/>
    <w:rsid w:val="00207FB6"/>
    <w:rsid w:val="0022006B"/>
    <w:rsid w:val="00220F16"/>
    <w:rsid w:val="0023064F"/>
    <w:rsid w:val="00241B52"/>
    <w:rsid w:val="00243DD9"/>
    <w:rsid w:val="00245C2B"/>
    <w:rsid w:val="00246D2D"/>
    <w:rsid w:val="00254C5B"/>
    <w:rsid w:val="002613DF"/>
    <w:rsid w:val="00261585"/>
    <w:rsid w:val="00276841"/>
    <w:rsid w:val="00283FCB"/>
    <w:rsid w:val="00291E6F"/>
    <w:rsid w:val="002A02A0"/>
    <w:rsid w:val="002A2F3F"/>
    <w:rsid w:val="002A65F0"/>
    <w:rsid w:val="002A7E1F"/>
    <w:rsid w:val="002C0B14"/>
    <w:rsid w:val="002C226C"/>
    <w:rsid w:val="002C24E0"/>
    <w:rsid w:val="002D793D"/>
    <w:rsid w:val="002E73C6"/>
    <w:rsid w:val="002F0B5F"/>
    <w:rsid w:val="002F28FE"/>
    <w:rsid w:val="003041FA"/>
    <w:rsid w:val="00324F2B"/>
    <w:rsid w:val="00325C86"/>
    <w:rsid w:val="0032614F"/>
    <w:rsid w:val="003272D7"/>
    <w:rsid w:val="00330661"/>
    <w:rsid w:val="003342CD"/>
    <w:rsid w:val="00335042"/>
    <w:rsid w:val="003357CF"/>
    <w:rsid w:val="003578D2"/>
    <w:rsid w:val="00362B70"/>
    <w:rsid w:val="00363932"/>
    <w:rsid w:val="003675EA"/>
    <w:rsid w:val="003706EA"/>
    <w:rsid w:val="00370BFA"/>
    <w:rsid w:val="0037208C"/>
    <w:rsid w:val="0037309D"/>
    <w:rsid w:val="00375E3E"/>
    <w:rsid w:val="00376E03"/>
    <w:rsid w:val="0037752D"/>
    <w:rsid w:val="00385333"/>
    <w:rsid w:val="00392A8F"/>
    <w:rsid w:val="00392BBA"/>
    <w:rsid w:val="00393BCA"/>
    <w:rsid w:val="003954FD"/>
    <w:rsid w:val="003A2AEA"/>
    <w:rsid w:val="003A470F"/>
    <w:rsid w:val="003B7D46"/>
    <w:rsid w:val="003C1F0E"/>
    <w:rsid w:val="003C7907"/>
    <w:rsid w:val="003D2387"/>
    <w:rsid w:val="003D60D7"/>
    <w:rsid w:val="003D6DCC"/>
    <w:rsid w:val="003E1CE3"/>
    <w:rsid w:val="00402650"/>
    <w:rsid w:val="004046DB"/>
    <w:rsid w:val="00415DD5"/>
    <w:rsid w:val="00422FAE"/>
    <w:rsid w:val="00424B88"/>
    <w:rsid w:val="004325EE"/>
    <w:rsid w:val="004334C3"/>
    <w:rsid w:val="00433B30"/>
    <w:rsid w:val="00433FE3"/>
    <w:rsid w:val="00444EDE"/>
    <w:rsid w:val="004479BF"/>
    <w:rsid w:val="00453798"/>
    <w:rsid w:val="00455A03"/>
    <w:rsid w:val="00456C06"/>
    <w:rsid w:val="00462095"/>
    <w:rsid w:val="00477D60"/>
    <w:rsid w:val="00482B81"/>
    <w:rsid w:val="00482D4C"/>
    <w:rsid w:val="00496D42"/>
    <w:rsid w:val="004A5AED"/>
    <w:rsid w:val="004A5C66"/>
    <w:rsid w:val="004A604B"/>
    <w:rsid w:val="004B0214"/>
    <w:rsid w:val="004B3C0F"/>
    <w:rsid w:val="004C05E4"/>
    <w:rsid w:val="004C1490"/>
    <w:rsid w:val="004C6EED"/>
    <w:rsid w:val="004D310B"/>
    <w:rsid w:val="004D47CE"/>
    <w:rsid w:val="004D66C1"/>
    <w:rsid w:val="004E39E1"/>
    <w:rsid w:val="004E78C0"/>
    <w:rsid w:val="004E7E57"/>
    <w:rsid w:val="004F060B"/>
    <w:rsid w:val="004F1CD6"/>
    <w:rsid w:val="004F418E"/>
    <w:rsid w:val="004F56D0"/>
    <w:rsid w:val="004F7855"/>
    <w:rsid w:val="00502E32"/>
    <w:rsid w:val="00503891"/>
    <w:rsid w:val="00503E44"/>
    <w:rsid w:val="00505C1C"/>
    <w:rsid w:val="00506D8C"/>
    <w:rsid w:val="005070F4"/>
    <w:rsid w:val="0051200D"/>
    <w:rsid w:val="00513897"/>
    <w:rsid w:val="00515283"/>
    <w:rsid w:val="00515F4C"/>
    <w:rsid w:val="00533926"/>
    <w:rsid w:val="00534D4B"/>
    <w:rsid w:val="005378E2"/>
    <w:rsid w:val="005517F1"/>
    <w:rsid w:val="0055675D"/>
    <w:rsid w:val="00556930"/>
    <w:rsid w:val="005571ED"/>
    <w:rsid w:val="005625B6"/>
    <w:rsid w:val="00566832"/>
    <w:rsid w:val="0056685B"/>
    <w:rsid w:val="00566E8F"/>
    <w:rsid w:val="0057422E"/>
    <w:rsid w:val="005803EB"/>
    <w:rsid w:val="005833BE"/>
    <w:rsid w:val="00583785"/>
    <w:rsid w:val="00587CA8"/>
    <w:rsid w:val="0059026A"/>
    <w:rsid w:val="0059109A"/>
    <w:rsid w:val="00591959"/>
    <w:rsid w:val="005A3B91"/>
    <w:rsid w:val="005A5DF8"/>
    <w:rsid w:val="005A74A4"/>
    <w:rsid w:val="005A7B7F"/>
    <w:rsid w:val="005D6841"/>
    <w:rsid w:val="005D7D5A"/>
    <w:rsid w:val="005E0D19"/>
    <w:rsid w:val="005E4BAC"/>
    <w:rsid w:val="005E7A06"/>
    <w:rsid w:val="005F4626"/>
    <w:rsid w:val="0060130D"/>
    <w:rsid w:val="0060132B"/>
    <w:rsid w:val="006047CE"/>
    <w:rsid w:val="00610403"/>
    <w:rsid w:val="00613113"/>
    <w:rsid w:val="00623041"/>
    <w:rsid w:val="00625866"/>
    <w:rsid w:val="00637275"/>
    <w:rsid w:val="0064129F"/>
    <w:rsid w:val="00647BB7"/>
    <w:rsid w:val="006532FF"/>
    <w:rsid w:val="006705E6"/>
    <w:rsid w:val="00680297"/>
    <w:rsid w:val="006873CE"/>
    <w:rsid w:val="00691085"/>
    <w:rsid w:val="0069596B"/>
    <w:rsid w:val="006A0786"/>
    <w:rsid w:val="006C4AFE"/>
    <w:rsid w:val="006C4EC5"/>
    <w:rsid w:val="006C5A25"/>
    <w:rsid w:val="006C716A"/>
    <w:rsid w:val="006D6A2C"/>
    <w:rsid w:val="006D7061"/>
    <w:rsid w:val="006E44A2"/>
    <w:rsid w:val="00710E94"/>
    <w:rsid w:val="0071116A"/>
    <w:rsid w:val="00721056"/>
    <w:rsid w:val="00721F05"/>
    <w:rsid w:val="00723388"/>
    <w:rsid w:val="0072345D"/>
    <w:rsid w:val="00727D8A"/>
    <w:rsid w:val="00731FEA"/>
    <w:rsid w:val="00736F61"/>
    <w:rsid w:val="007414C4"/>
    <w:rsid w:val="00742253"/>
    <w:rsid w:val="00744065"/>
    <w:rsid w:val="0074798D"/>
    <w:rsid w:val="00750B89"/>
    <w:rsid w:val="00753652"/>
    <w:rsid w:val="0076086A"/>
    <w:rsid w:val="007609EF"/>
    <w:rsid w:val="00764C1A"/>
    <w:rsid w:val="007662C7"/>
    <w:rsid w:val="00776306"/>
    <w:rsid w:val="00791962"/>
    <w:rsid w:val="007A55A7"/>
    <w:rsid w:val="007B1F10"/>
    <w:rsid w:val="007B335E"/>
    <w:rsid w:val="007B4349"/>
    <w:rsid w:val="007B56DC"/>
    <w:rsid w:val="007B6435"/>
    <w:rsid w:val="007C17D8"/>
    <w:rsid w:val="007D138E"/>
    <w:rsid w:val="007D4B38"/>
    <w:rsid w:val="007E018D"/>
    <w:rsid w:val="007E4B7D"/>
    <w:rsid w:val="007F1B71"/>
    <w:rsid w:val="007F649A"/>
    <w:rsid w:val="0080035E"/>
    <w:rsid w:val="008022AB"/>
    <w:rsid w:val="00805EE5"/>
    <w:rsid w:val="00807E7D"/>
    <w:rsid w:val="00813078"/>
    <w:rsid w:val="0081475A"/>
    <w:rsid w:val="0082321D"/>
    <w:rsid w:val="00831675"/>
    <w:rsid w:val="00845C47"/>
    <w:rsid w:val="00873F2F"/>
    <w:rsid w:val="0088467C"/>
    <w:rsid w:val="008865F1"/>
    <w:rsid w:val="008876C2"/>
    <w:rsid w:val="00893201"/>
    <w:rsid w:val="008942C8"/>
    <w:rsid w:val="00894579"/>
    <w:rsid w:val="00895CA1"/>
    <w:rsid w:val="008A30DE"/>
    <w:rsid w:val="008A5B67"/>
    <w:rsid w:val="008C14EB"/>
    <w:rsid w:val="008C5AEA"/>
    <w:rsid w:val="008D16F7"/>
    <w:rsid w:val="008D4269"/>
    <w:rsid w:val="008E1427"/>
    <w:rsid w:val="008F3752"/>
    <w:rsid w:val="008F4E85"/>
    <w:rsid w:val="009143A0"/>
    <w:rsid w:val="0093197E"/>
    <w:rsid w:val="00932059"/>
    <w:rsid w:val="00936902"/>
    <w:rsid w:val="00946491"/>
    <w:rsid w:val="00946B96"/>
    <w:rsid w:val="00952C59"/>
    <w:rsid w:val="00954679"/>
    <w:rsid w:val="0095506A"/>
    <w:rsid w:val="00960DDD"/>
    <w:rsid w:val="009730F0"/>
    <w:rsid w:val="00995EAE"/>
    <w:rsid w:val="009A2D6C"/>
    <w:rsid w:val="009B65D6"/>
    <w:rsid w:val="009C6A1E"/>
    <w:rsid w:val="009D11D4"/>
    <w:rsid w:val="009D577F"/>
    <w:rsid w:val="009D578C"/>
    <w:rsid w:val="009E1D10"/>
    <w:rsid w:val="009E2747"/>
    <w:rsid w:val="009E2F86"/>
    <w:rsid w:val="009E3A4E"/>
    <w:rsid w:val="009E4960"/>
    <w:rsid w:val="009E7CA9"/>
    <w:rsid w:val="009F6F40"/>
    <w:rsid w:val="009F72A2"/>
    <w:rsid w:val="00A02EC0"/>
    <w:rsid w:val="00A055B3"/>
    <w:rsid w:val="00A05FCF"/>
    <w:rsid w:val="00A06805"/>
    <w:rsid w:val="00A12209"/>
    <w:rsid w:val="00A2661F"/>
    <w:rsid w:val="00A36DF3"/>
    <w:rsid w:val="00A46BDB"/>
    <w:rsid w:val="00A52C90"/>
    <w:rsid w:val="00A532DD"/>
    <w:rsid w:val="00A5507C"/>
    <w:rsid w:val="00A72D09"/>
    <w:rsid w:val="00A771CF"/>
    <w:rsid w:val="00A80BCF"/>
    <w:rsid w:val="00A8369C"/>
    <w:rsid w:val="00A83B32"/>
    <w:rsid w:val="00A86554"/>
    <w:rsid w:val="00A93B3E"/>
    <w:rsid w:val="00AA1689"/>
    <w:rsid w:val="00AA4940"/>
    <w:rsid w:val="00AA51E1"/>
    <w:rsid w:val="00AA5278"/>
    <w:rsid w:val="00AA5770"/>
    <w:rsid w:val="00AA5D43"/>
    <w:rsid w:val="00AA7C1B"/>
    <w:rsid w:val="00AB2852"/>
    <w:rsid w:val="00AC16EA"/>
    <w:rsid w:val="00AC1D15"/>
    <w:rsid w:val="00AD0D16"/>
    <w:rsid w:val="00AD4BC6"/>
    <w:rsid w:val="00AE2573"/>
    <w:rsid w:val="00AE6F3A"/>
    <w:rsid w:val="00AE6F86"/>
    <w:rsid w:val="00AF1F7C"/>
    <w:rsid w:val="00AF366F"/>
    <w:rsid w:val="00AF4FF8"/>
    <w:rsid w:val="00B07B0C"/>
    <w:rsid w:val="00B07B1C"/>
    <w:rsid w:val="00B100E7"/>
    <w:rsid w:val="00B134BE"/>
    <w:rsid w:val="00B13625"/>
    <w:rsid w:val="00B24004"/>
    <w:rsid w:val="00B25563"/>
    <w:rsid w:val="00B26D48"/>
    <w:rsid w:val="00B27013"/>
    <w:rsid w:val="00B323E9"/>
    <w:rsid w:val="00B32E7C"/>
    <w:rsid w:val="00B42EE1"/>
    <w:rsid w:val="00B434CB"/>
    <w:rsid w:val="00B5110B"/>
    <w:rsid w:val="00B603AD"/>
    <w:rsid w:val="00B6062F"/>
    <w:rsid w:val="00B66A0D"/>
    <w:rsid w:val="00B77845"/>
    <w:rsid w:val="00B8293D"/>
    <w:rsid w:val="00B916AE"/>
    <w:rsid w:val="00B92478"/>
    <w:rsid w:val="00B94662"/>
    <w:rsid w:val="00BA1679"/>
    <w:rsid w:val="00BA3D76"/>
    <w:rsid w:val="00BA6188"/>
    <w:rsid w:val="00BB09A4"/>
    <w:rsid w:val="00BB3F7F"/>
    <w:rsid w:val="00BD5F8D"/>
    <w:rsid w:val="00BD61A2"/>
    <w:rsid w:val="00BD635D"/>
    <w:rsid w:val="00BE0B2A"/>
    <w:rsid w:val="00BE484D"/>
    <w:rsid w:val="00BE4A43"/>
    <w:rsid w:val="00BF03CE"/>
    <w:rsid w:val="00BF2BC8"/>
    <w:rsid w:val="00C03DC4"/>
    <w:rsid w:val="00C07893"/>
    <w:rsid w:val="00C269EF"/>
    <w:rsid w:val="00C37039"/>
    <w:rsid w:val="00C37E05"/>
    <w:rsid w:val="00C40EAE"/>
    <w:rsid w:val="00C4733A"/>
    <w:rsid w:val="00C55D29"/>
    <w:rsid w:val="00C60F7A"/>
    <w:rsid w:val="00C63820"/>
    <w:rsid w:val="00C65904"/>
    <w:rsid w:val="00C65D37"/>
    <w:rsid w:val="00C701D0"/>
    <w:rsid w:val="00C73432"/>
    <w:rsid w:val="00C8693E"/>
    <w:rsid w:val="00C91634"/>
    <w:rsid w:val="00C9221C"/>
    <w:rsid w:val="00CA0BE9"/>
    <w:rsid w:val="00CA138D"/>
    <w:rsid w:val="00CA3F64"/>
    <w:rsid w:val="00CB22E7"/>
    <w:rsid w:val="00CC7641"/>
    <w:rsid w:val="00CC7655"/>
    <w:rsid w:val="00CE601C"/>
    <w:rsid w:val="00CF3E2A"/>
    <w:rsid w:val="00CF56E2"/>
    <w:rsid w:val="00CF5B5A"/>
    <w:rsid w:val="00D03A99"/>
    <w:rsid w:val="00D10156"/>
    <w:rsid w:val="00D11D16"/>
    <w:rsid w:val="00D13794"/>
    <w:rsid w:val="00D178EB"/>
    <w:rsid w:val="00D2044C"/>
    <w:rsid w:val="00D21A75"/>
    <w:rsid w:val="00D227B2"/>
    <w:rsid w:val="00D24052"/>
    <w:rsid w:val="00D24386"/>
    <w:rsid w:val="00D25BE3"/>
    <w:rsid w:val="00D27565"/>
    <w:rsid w:val="00D31575"/>
    <w:rsid w:val="00D329E9"/>
    <w:rsid w:val="00D34626"/>
    <w:rsid w:val="00D34780"/>
    <w:rsid w:val="00D34FB4"/>
    <w:rsid w:val="00D40B5C"/>
    <w:rsid w:val="00D4257A"/>
    <w:rsid w:val="00D4642F"/>
    <w:rsid w:val="00D5072B"/>
    <w:rsid w:val="00D5112D"/>
    <w:rsid w:val="00D54A2F"/>
    <w:rsid w:val="00D60F5E"/>
    <w:rsid w:val="00D62665"/>
    <w:rsid w:val="00D70581"/>
    <w:rsid w:val="00D72478"/>
    <w:rsid w:val="00D7349F"/>
    <w:rsid w:val="00D76976"/>
    <w:rsid w:val="00D82E47"/>
    <w:rsid w:val="00DA1553"/>
    <w:rsid w:val="00DA5C87"/>
    <w:rsid w:val="00DA675E"/>
    <w:rsid w:val="00DB26C5"/>
    <w:rsid w:val="00DC0CDE"/>
    <w:rsid w:val="00DC3AB5"/>
    <w:rsid w:val="00DC4D72"/>
    <w:rsid w:val="00DD1100"/>
    <w:rsid w:val="00DD6220"/>
    <w:rsid w:val="00DD63AE"/>
    <w:rsid w:val="00DD6C1A"/>
    <w:rsid w:val="00DE200C"/>
    <w:rsid w:val="00DE4648"/>
    <w:rsid w:val="00DE5433"/>
    <w:rsid w:val="00DE6ADD"/>
    <w:rsid w:val="00E0038D"/>
    <w:rsid w:val="00E0249E"/>
    <w:rsid w:val="00E037C8"/>
    <w:rsid w:val="00E03FC4"/>
    <w:rsid w:val="00E046A0"/>
    <w:rsid w:val="00E048D9"/>
    <w:rsid w:val="00E0624D"/>
    <w:rsid w:val="00E1056C"/>
    <w:rsid w:val="00E31DD4"/>
    <w:rsid w:val="00E4438C"/>
    <w:rsid w:val="00E457F3"/>
    <w:rsid w:val="00E45977"/>
    <w:rsid w:val="00E53424"/>
    <w:rsid w:val="00E55385"/>
    <w:rsid w:val="00E674D2"/>
    <w:rsid w:val="00E70A3D"/>
    <w:rsid w:val="00E7556F"/>
    <w:rsid w:val="00E80EEA"/>
    <w:rsid w:val="00EA4D09"/>
    <w:rsid w:val="00EA4DD8"/>
    <w:rsid w:val="00EB1765"/>
    <w:rsid w:val="00EB2AEF"/>
    <w:rsid w:val="00EB7E71"/>
    <w:rsid w:val="00EC7114"/>
    <w:rsid w:val="00ED5356"/>
    <w:rsid w:val="00ED7CF4"/>
    <w:rsid w:val="00EE0C5A"/>
    <w:rsid w:val="00EF568F"/>
    <w:rsid w:val="00F00F79"/>
    <w:rsid w:val="00F109D4"/>
    <w:rsid w:val="00F15EE9"/>
    <w:rsid w:val="00F258ED"/>
    <w:rsid w:val="00F3643D"/>
    <w:rsid w:val="00F47585"/>
    <w:rsid w:val="00F47EC7"/>
    <w:rsid w:val="00F544BE"/>
    <w:rsid w:val="00F54899"/>
    <w:rsid w:val="00F558BE"/>
    <w:rsid w:val="00F56FEF"/>
    <w:rsid w:val="00F5745C"/>
    <w:rsid w:val="00F61882"/>
    <w:rsid w:val="00F74A1B"/>
    <w:rsid w:val="00F834E0"/>
    <w:rsid w:val="00F853C5"/>
    <w:rsid w:val="00F85E6F"/>
    <w:rsid w:val="00F91BAC"/>
    <w:rsid w:val="00F979CF"/>
    <w:rsid w:val="00FA04C0"/>
    <w:rsid w:val="00FB0011"/>
    <w:rsid w:val="00FB6576"/>
    <w:rsid w:val="00FC4452"/>
    <w:rsid w:val="00FD294B"/>
    <w:rsid w:val="00FD304C"/>
    <w:rsid w:val="00FE04E4"/>
    <w:rsid w:val="00FE1CA3"/>
    <w:rsid w:val="00FE6F4D"/>
    <w:rsid w:val="00FE73F9"/>
    <w:rsid w:val="00FF1057"/>
    <w:rsid w:val="00FF3E25"/>
    <w:rsid w:val="00FF606B"/>
    <w:rsid w:val="00FF6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9AEEE"/>
  <w15:docId w15:val="{0C3091DF-71FF-4C44-AF61-544DD798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402650"/>
    <w:pPr>
      <w:ind w:left="720"/>
      <w:contextualSpacing/>
    </w:pPr>
  </w:style>
  <w:style w:type="character" w:customStyle="1" w:styleId="base-text-paragraphChar">
    <w:name w:val="base-text-paragraph Char"/>
    <w:basedOn w:val="DefaultParagraphFont"/>
    <w:link w:val="base-text-paragraph"/>
    <w:rsid w:val="00402650"/>
    <w:rPr>
      <w:sz w:val="24"/>
    </w:rPr>
  </w:style>
  <w:style w:type="character" w:styleId="FootnoteReference">
    <w:name w:val="footnote reference"/>
    <w:basedOn w:val="DefaultParagraphFont"/>
    <w:uiPriority w:val="99"/>
    <w:semiHidden/>
    <w:unhideWhenUsed/>
    <w:rsid w:val="00F558BE"/>
  </w:style>
  <w:style w:type="paragraph" w:customStyle="1" w:styleId="OutlineNumbered1">
    <w:name w:val="Outline Numbered 1"/>
    <w:basedOn w:val="Normal"/>
    <w:link w:val="OutlineNumbered1Char"/>
    <w:rsid w:val="00FF606B"/>
    <w:pPr>
      <w:numPr>
        <w:numId w:val="7"/>
      </w:numPr>
      <w:spacing w:before="0" w:after="0"/>
    </w:pPr>
    <w:rPr>
      <w:color w:val="000000"/>
    </w:rPr>
  </w:style>
  <w:style w:type="character" w:customStyle="1" w:styleId="OutlineNumbered1Char">
    <w:name w:val="Outline Numbered 1 Char"/>
    <w:basedOn w:val="DefaultParagraphFont"/>
    <w:link w:val="OutlineNumbered1"/>
    <w:rsid w:val="00FF606B"/>
    <w:rPr>
      <w:color w:val="000000"/>
      <w:sz w:val="24"/>
    </w:rPr>
  </w:style>
  <w:style w:type="paragraph" w:customStyle="1" w:styleId="OutlineNumbered2">
    <w:name w:val="Outline Numbered 2"/>
    <w:basedOn w:val="Normal"/>
    <w:link w:val="OutlineNumbered2Char"/>
    <w:rsid w:val="00FF606B"/>
    <w:pPr>
      <w:numPr>
        <w:ilvl w:val="1"/>
        <w:numId w:val="7"/>
      </w:numPr>
      <w:spacing w:before="0" w:after="0"/>
    </w:pPr>
    <w:rPr>
      <w:color w:val="000000"/>
    </w:rPr>
  </w:style>
  <w:style w:type="character" w:customStyle="1" w:styleId="OutlineNumbered2Char">
    <w:name w:val="Outline Numbered 2 Char"/>
    <w:basedOn w:val="DefaultParagraphFont"/>
    <w:link w:val="OutlineNumbered2"/>
    <w:rsid w:val="00FF606B"/>
    <w:rPr>
      <w:color w:val="000000"/>
      <w:sz w:val="24"/>
    </w:rPr>
  </w:style>
  <w:style w:type="paragraph" w:customStyle="1" w:styleId="OutlineNumbered3">
    <w:name w:val="Outline Numbered 3"/>
    <w:basedOn w:val="Normal"/>
    <w:link w:val="OutlineNumbered3Char"/>
    <w:rsid w:val="00FF606B"/>
    <w:pPr>
      <w:numPr>
        <w:ilvl w:val="2"/>
        <w:numId w:val="7"/>
      </w:numPr>
      <w:spacing w:before="0" w:after="0"/>
    </w:pPr>
    <w:rPr>
      <w:color w:val="000000"/>
    </w:rPr>
  </w:style>
  <w:style w:type="character" w:customStyle="1" w:styleId="OutlineNumbered3Char">
    <w:name w:val="Outline Numbered 3 Char"/>
    <w:basedOn w:val="DefaultParagraphFont"/>
    <w:link w:val="OutlineNumbered3"/>
    <w:rsid w:val="00FF606B"/>
    <w:rPr>
      <w:color w:val="000000"/>
      <w:sz w:val="24"/>
    </w:rPr>
  </w:style>
  <w:style w:type="paragraph" w:styleId="Revision">
    <w:name w:val="Revision"/>
    <w:hidden/>
    <w:uiPriority w:val="99"/>
    <w:semiHidden/>
    <w:rsid w:val="001A486A"/>
    <w:rPr>
      <w:sz w:val="24"/>
    </w:rPr>
  </w:style>
  <w:style w:type="character" w:styleId="UnresolvedMention">
    <w:name w:val="Unresolved Mention"/>
    <w:basedOn w:val="DefaultParagraphFont"/>
    <w:uiPriority w:val="99"/>
    <w:semiHidden/>
    <w:unhideWhenUsed/>
    <w:rsid w:val="00BF2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0808">
      <w:bodyDiv w:val="1"/>
      <w:marLeft w:val="0"/>
      <w:marRight w:val="0"/>
      <w:marTop w:val="0"/>
      <w:marBottom w:val="0"/>
      <w:divBdr>
        <w:top w:val="none" w:sz="0" w:space="0" w:color="auto"/>
        <w:left w:val="none" w:sz="0" w:space="0" w:color="auto"/>
        <w:bottom w:val="none" w:sz="0" w:space="0" w:color="auto"/>
        <w:right w:val="none" w:sz="0" w:space="0" w:color="auto"/>
      </w:divBdr>
    </w:div>
    <w:div w:id="217324452">
      <w:bodyDiv w:val="1"/>
      <w:marLeft w:val="0"/>
      <w:marRight w:val="0"/>
      <w:marTop w:val="0"/>
      <w:marBottom w:val="0"/>
      <w:divBdr>
        <w:top w:val="none" w:sz="0" w:space="0" w:color="auto"/>
        <w:left w:val="none" w:sz="0" w:space="0" w:color="auto"/>
        <w:bottom w:val="none" w:sz="0" w:space="0" w:color="auto"/>
        <w:right w:val="none" w:sz="0" w:space="0" w:color="auto"/>
      </w:divBdr>
    </w:div>
    <w:div w:id="616719470">
      <w:bodyDiv w:val="1"/>
      <w:marLeft w:val="0"/>
      <w:marRight w:val="0"/>
      <w:marTop w:val="0"/>
      <w:marBottom w:val="0"/>
      <w:divBdr>
        <w:top w:val="none" w:sz="0" w:space="0" w:color="auto"/>
        <w:left w:val="none" w:sz="0" w:space="0" w:color="auto"/>
        <w:bottom w:val="none" w:sz="0" w:space="0" w:color="auto"/>
        <w:right w:val="none" w:sz="0" w:space="0" w:color="auto"/>
      </w:divBdr>
    </w:div>
    <w:div w:id="733509433">
      <w:bodyDiv w:val="1"/>
      <w:marLeft w:val="0"/>
      <w:marRight w:val="0"/>
      <w:marTop w:val="0"/>
      <w:marBottom w:val="0"/>
      <w:divBdr>
        <w:top w:val="none" w:sz="0" w:space="0" w:color="auto"/>
        <w:left w:val="none" w:sz="0" w:space="0" w:color="auto"/>
        <w:bottom w:val="none" w:sz="0" w:space="0" w:color="auto"/>
        <w:right w:val="none" w:sz="0" w:space="0" w:color="auto"/>
      </w:divBdr>
    </w:div>
    <w:div w:id="893396994">
      <w:bodyDiv w:val="1"/>
      <w:marLeft w:val="0"/>
      <w:marRight w:val="0"/>
      <w:marTop w:val="0"/>
      <w:marBottom w:val="0"/>
      <w:divBdr>
        <w:top w:val="none" w:sz="0" w:space="0" w:color="auto"/>
        <w:left w:val="none" w:sz="0" w:space="0" w:color="auto"/>
        <w:bottom w:val="none" w:sz="0" w:space="0" w:color="auto"/>
        <w:right w:val="none" w:sz="0" w:space="0" w:color="auto"/>
      </w:divBdr>
    </w:div>
    <w:div w:id="985428130">
      <w:bodyDiv w:val="1"/>
      <w:marLeft w:val="0"/>
      <w:marRight w:val="0"/>
      <w:marTop w:val="0"/>
      <w:marBottom w:val="0"/>
      <w:divBdr>
        <w:top w:val="none" w:sz="0" w:space="0" w:color="auto"/>
        <w:left w:val="none" w:sz="0" w:space="0" w:color="auto"/>
        <w:bottom w:val="none" w:sz="0" w:space="0" w:color="auto"/>
        <w:right w:val="none" w:sz="0" w:space="0" w:color="auto"/>
      </w:divBdr>
    </w:div>
    <w:div w:id="1066801190">
      <w:bodyDiv w:val="1"/>
      <w:marLeft w:val="0"/>
      <w:marRight w:val="0"/>
      <w:marTop w:val="0"/>
      <w:marBottom w:val="0"/>
      <w:divBdr>
        <w:top w:val="none" w:sz="0" w:space="0" w:color="auto"/>
        <w:left w:val="none" w:sz="0" w:space="0" w:color="auto"/>
        <w:bottom w:val="none" w:sz="0" w:space="0" w:color="auto"/>
        <w:right w:val="none" w:sz="0" w:space="0" w:color="auto"/>
      </w:divBdr>
    </w:div>
    <w:div w:id="1514950181">
      <w:bodyDiv w:val="1"/>
      <w:marLeft w:val="0"/>
      <w:marRight w:val="0"/>
      <w:marTop w:val="0"/>
      <w:marBottom w:val="0"/>
      <w:divBdr>
        <w:top w:val="none" w:sz="0" w:space="0" w:color="auto"/>
        <w:left w:val="none" w:sz="0" w:space="0" w:color="auto"/>
        <w:bottom w:val="none" w:sz="0" w:space="0" w:color="auto"/>
        <w:right w:val="none" w:sz="0" w:space="0" w:color="auto"/>
      </w:divBdr>
    </w:div>
    <w:div w:id="1529753240">
      <w:bodyDiv w:val="1"/>
      <w:marLeft w:val="0"/>
      <w:marRight w:val="0"/>
      <w:marTop w:val="0"/>
      <w:marBottom w:val="0"/>
      <w:divBdr>
        <w:top w:val="none" w:sz="0" w:space="0" w:color="auto"/>
        <w:left w:val="none" w:sz="0" w:space="0" w:color="auto"/>
        <w:bottom w:val="none" w:sz="0" w:space="0" w:color="auto"/>
        <w:right w:val="none" w:sz="0" w:space="0" w:color="auto"/>
      </w:divBdr>
    </w:div>
    <w:div w:id="1796484918">
      <w:bodyDiv w:val="1"/>
      <w:marLeft w:val="0"/>
      <w:marRight w:val="0"/>
      <w:marTop w:val="0"/>
      <w:marBottom w:val="0"/>
      <w:divBdr>
        <w:top w:val="none" w:sz="0" w:space="0" w:color="auto"/>
        <w:left w:val="none" w:sz="0" w:space="0" w:color="auto"/>
        <w:bottom w:val="none" w:sz="0" w:space="0" w:color="auto"/>
        <w:right w:val="none" w:sz="0" w:space="0" w:color="auto"/>
      </w:divBdr>
    </w:div>
    <w:div w:id="182304181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255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10</Value>
    </TaxCatchAll>
    <_dlc_DocId xmlns="0f563589-9cf9-4143-b1eb-fb0534803d38">2022FG-265-668</_dlc_DocId>
    <_dlc_DocIdUrl xmlns="0f563589-9cf9-4143-b1eb-fb0534803d38">
      <Url>http://tweb/sites/fg/ripd/prudpolicy/_layouts/15/DocIdRedir.aspx?ID=2022FG-265-668</Url>
      <Description>2022FG-265-668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DD727362D85B6345B90E008555382AA3" ma:contentTypeVersion="47861" ma:contentTypeDescription="" ma:contentTypeScope="" ma:versionID="c1280c3e597e78b165d22584a40b5226">
  <xsd:schema xmlns:xsd="http://www.w3.org/2001/XMLSchema" xmlns:xs="http://www.w3.org/2001/XMLSchema" xmlns:p="http://schemas.microsoft.com/office/2006/metadata/properties" xmlns:ns1="http://schemas.microsoft.com/sharepoint/v3" xmlns:ns2="0f563589-9cf9-4143-b1eb-fb0534803d38" xmlns:ns3="http://schemas.microsoft.com/sharepoint/v4" targetNamespace="http://schemas.microsoft.com/office/2006/metadata/properties" ma:root="true" ma:fieldsID="c7d9ff16de52afc0073d7dbc742ded05" ns1:_="" ns2:_="" ns3:_="">
    <xsd:import namespace="http://schemas.microsoft.com/sharepoint/v3"/>
    <xsd:import namespace="0f563589-9cf9-4143-b1eb-fb0534803d3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1:_dlc_Exemp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818BFA64-B047-4EA7-A86B-ABB56D5CE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61620DF7-1941-4155-82DE-2EAE3D2FBA68}">
  <ds:schemaRefs>
    <ds:schemaRef ds:uri="http://schemas.microsoft.com/sharepoint/v3/contenttype/forms"/>
  </ds:schemaRefs>
</ds:datastoreItem>
</file>

<file path=customXml/itemProps5.xml><?xml version="1.0" encoding="utf-8"?>
<ds:datastoreItem xmlns:ds="http://schemas.openxmlformats.org/officeDocument/2006/customXml" ds:itemID="{FBDCFF62-B999-418A-AE8F-59BEB76A3E64}">
  <ds:schemaRefs>
    <ds:schemaRef ds:uri="http://schemas.microsoft.com/sharepoint/events"/>
  </ds:schemaRefs>
</ds:datastoreItem>
</file>

<file path=customXml/itemProps6.xml><?xml version="1.0" encoding="utf-8"?>
<ds:datastoreItem xmlns:ds="http://schemas.openxmlformats.org/officeDocument/2006/customXml" ds:itemID="{6C660043-56C8-4E57-A8E4-A69489BF8C39}">
  <ds:schemaRefs>
    <ds:schemaRef ds:uri="office.server.policy"/>
  </ds:schemaRefs>
</ds:datastoreItem>
</file>

<file path=customXml/itemProps7.xml><?xml version="1.0" encoding="utf-8"?>
<ds:datastoreItem xmlns:ds="http://schemas.openxmlformats.org/officeDocument/2006/customXml" ds:itemID="{96B62741-A3D7-401B-8899-2F9D91AB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365</TotalTime>
  <Pages>6</Pages>
  <Words>1716</Words>
  <Characters>10045</Characters>
  <Application>Microsoft Office Word</Application>
  <DocSecurity>0</DocSecurity>
  <Lines>209</Lines>
  <Paragraphs>77</Paragraphs>
  <ScaleCrop>false</ScaleCrop>
  <HeadingPairs>
    <vt:vector size="2" baseType="variant">
      <vt:variant>
        <vt:lpstr>Title</vt:lpstr>
      </vt:variant>
      <vt:variant>
        <vt:i4>1</vt:i4>
      </vt:variant>
    </vt:vector>
  </HeadingPairs>
  <TitlesOfParts>
    <vt:vector size="1" baseType="lpstr">
      <vt:lpstr>Superannuation Annual Members' Meeting Notices - Exposure Draft Explanatory Statement</vt:lpstr>
    </vt:vector>
  </TitlesOfParts>
  <Company>Treasury</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Annual Members' Meeting Notices - Exposure Draft Explanatory Statement</dc:title>
  <dc:creator>Treasury</dc:creator>
  <cp:lastModifiedBy>Hill, Christine</cp:lastModifiedBy>
  <cp:revision>42</cp:revision>
  <cp:lastPrinted>2019-02-17T23:23:00Z</cp:lastPrinted>
  <dcterms:created xsi:type="dcterms:W3CDTF">2022-07-11T05:21:00Z</dcterms:created>
  <dcterms:modified xsi:type="dcterms:W3CDTF">2022-07-13T23:53:00Z</dcterms:modified>
</cp:coreProperties>
</file>