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39C" w14:textId="0F7E9C7D" w:rsidR="00704FBD" w:rsidRPr="00625155" w:rsidRDefault="00704FBD">
      <w:pPr>
        <w:pStyle w:val="ChartGraphic"/>
        <w:spacing w:after="120"/>
      </w:pPr>
      <w:bookmarkStart w:id="0" w:name="_GoBack"/>
      <w:bookmarkEnd w:id="0"/>
      <w:r w:rsidRPr="00625155">
        <w:rPr>
          <w:noProof/>
        </w:rPr>
        <w:drawing>
          <wp:inline distT="0" distB="0" distL="0" distR="0" wp14:anchorId="34188451" wp14:editId="4EF9ECC5">
            <wp:extent cx="914400" cy="67125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7706" cy="673686"/>
                    </a:xfrm>
                    <a:prstGeom prst="rect">
                      <a:avLst/>
                    </a:prstGeom>
                    <a:noFill/>
                    <a:ln>
                      <a:noFill/>
                    </a:ln>
                  </pic:spPr>
                </pic:pic>
              </a:graphicData>
            </a:graphic>
          </wp:inline>
        </w:drawing>
      </w:r>
    </w:p>
    <w:p w14:paraId="66F9F276" w14:textId="77777777" w:rsidR="00806AF4" w:rsidRPr="00625155" w:rsidRDefault="00806AF4" w:rsidP="00806AF4">
      <w:pPr>
        <w:spacing w:after="960"/>
      </w:pPr>
    </w:p>
    <w:p w14:paraId="03CCD352" w14:textId="2CE7A5BD" w:rsidR="00704FBD" w:rsidRPr="00625155" w:rsidRDefault="00704FBD" w:rsidP="00164C3B">
      <w:pPr>
        <w:pStyle w:val="TPHeading2"/>
      </w:pPr>
      <w:r w:rsidRPr="00625155">
        <w:t>Pre</w:t>
      </w:r>
      <w:r w:rsidR="00660645">
        <w:noBreakHyphen/>
      </w:r>
      <w:r w:rsidRPr="00625155">
        <w:t>election Economic</w:t>
      </w:r>
    </w:p>
    <w:p w14:paraId="63D39461" w14:textId="46A52573" w:rsidR="00704FBD" w:rsidRPr="00625155" w:rsidRDefault="00704FBD" w:rsidP="00164C3B">
      <w:pPr>
        <w:pStyle w:val="TPHeading2"/>
      </w:pPr>
      <w:r w:rsidRPr="00625155">
        <w:t>and Fiscal Outlook</w:t>
      </w:r>
    </w:p>
    <w:p w14:paraId="46F031CB" w14:textId="47DBD717" w:rsidR="00704FBD" w:rsidRPr="00625155" w:rsidRDefault="00704FBD" w:rsidP="00164C3B">
      <w:pPr>
        <w:pStyle w:val="TPHeading2"/>
      </w:pPr>
      <w:r w:rsidRPr="00625155">
        <w:t>2022</w:t>
      </w:r>
    </w:p>
    <w:p w14:paraId="07B30973" w14:textId="77777777" w:rsidR="00704FBD" w:rsidRPr="00625155" w:rsidRDefault="00704FBD" w:rsidP="008F2E2E">
      <w:pPr>
        <w:pStyle w:val="TPHeading3"/>
        <w:spacing w:before="2880" w:after="120"/>
        <w:ind w:left="0"/>
        <w:jc w:val="center"/>
        <w:rPr>
          <w:rFonts w:ascii="Work Sans Light" w:hAnsi="Work Sans Light"/>
          <w:sz w:val="22"/>
          <w:szCs w:val="22"/>
        </w:rPr>
      </w:pPr>
      <w:r w:rsidRPr="00625155">
        <w:rPr>
          <w:rFonts w:ascii="Work Sans Light" w:hAnsi="Work Sans Light"/>
          <w:caps w:val="0"/>
          <w:sz w:val="22"/>
          <w:szCs w:val="22"/>
        </w:rPr>
        <w:t>A report by</w:t>
      </w:r>
    </w:p>
    <w:p w14:paraId="7A7E25F0" w14:textId="0F4DD6AE" w:rsidR="00704FBD" w:rsidRPr="00625155" w:rsidRDefault="00704FBD" w:rsidP="008F2E2E">
      <w:pPr>
        <w:pStyle w:val="TPHeading3"/>
        <w:ind w:left="0"/>
        <w:jc w:val="center"/>
        <w:rPr>
          <w:rFonts w:ascii="Work Sans Light" w:hAnsi="Work Sans Light"/>
          <w:caps w:val="0"/>
          <w:sz w:val="22"/>
          <w:szCs w:val="22"/>
        </w:rPr>
      </w:pPr>
      <w:r w:rsidRPr="00625155">
        <w:rPr>
          <w:rFonts w:ascii="Work Sans Light" w:hAnsi="Work Sans Light"/>
          <w:caps w:val="0"/>
          <w:sz w:val="22"/>
          <w:szCs w:val="22"/>
        </w:rPr>
        <w:t>The Secretary to the Treasury</w:t>
      </w:r>
    </w:p>
    <w:p w14:paraId="54826BFC" w14:textId="77777777" w:rsidR="00704FBD" w:rsidRPr="00625155" w:rsidRDefault="00704FBD" w:rsidP="008F2E2E">
      <w:pPr>
        <w:pStyle w:val="TPHeading3"/>
        <w:spacing w:before="120" w:after="120"/>
        <w:ind w:left="0"/>
        <w:jc w:val="center"/>
        <w:rPr>
          <w:rFonts w:ascii="Work Sans Light" w:hAnsi="Work Sans Light"/>
          <w:sz w:val="22"/>
          <w:szCs w:val="22"/>
        </w:rPr>
      </w:pPr>
      <w:r w:rsidRPr="00625155">
        <w:rPr>
          <w:rFonts w:ascii="Work Sans Light" w:hAnsi="Work Sans Light"/>
          <w:caps w:val="0"/>
          <w:sz w:val="22"/>
          <w:szCs w:val="22"/>
        </w:rPr>
        <w:t>and</w:t>
      </w:r>
    </w:p>
    <w:p w14:paraId="2A758FDE" w14:textId="3831994B" w:rsidR="00704FBD" w:rsidRPr="00625155" w:rsidRDefault="00704FBD" w:rsidP="008F2E2E">
      <w:pPr>
        <w:pStyle w:val="TPHeading3"/>
        <w:ind w:left="0"/>
        <w:jc w:val="center"/>
        <w:rPr>
          <w:rFonts w:ascii="Work Sans Light" w:hAnsi="Work Sans Light"/>
          <w:sz w:val="22"/>
          <w:szCs w:val="22"/>
        </w:rPr>
      </w:pPr>
      <w:r w:rsidRPr="00625155">
        <w:rPr>
          <w:rFonts w:ascii="Work Sans Light" w:hAnsi="Work Sans Light"/>
          <w:caps w:val="0"/>
          <w:sz w:val="22"/>
          <w:szCs w:val="22"/>
        </w:rPr>
        <w:t>The Secretary of the Department of Finance</w:t>
      </w:r>
    </w:p>
    <w:p w14:paraId="7B1D1202" w14:textId="4B5E02CB" w:rsidR="00704FBD" w:rsidRPr="00625155" w:rsidRDefault="00764D71" w:rsidP="008F2E2E">
      <w:pPr>
        <w:pStyle w:val="TPHeading3"/>
        <w:spacing w:before="480" w:after="120"/>
        <w:ind w:left="0"/>
        <w:jc w:val="center"/>
        <w:rPr>
          <w:rFonts w:ascii="Work Sans Light" w:hAnsi="Work Sans Light"/>
          <w:sz w:val="22"/>
          <w:szCs w:val="22"/>
        </w:rPr>
      </w:pPr>
      <w:r w:rsidRPr="00625155">
        <w:rPr>
          <w:rFonts w:ascii="Work Sans Light" w:hAnsi="Work Sans Light"/>
          <w:caps w:val="0"/>
          <w:sz w:val="22"/>
          <w:szCs w:val="22"/>
        </w:rPr>
        <w:t xml:space="preserve">April </w:t>
      </w:r>
      <w:r w:rsidR="00704FBD" w:rsidRPr="00625155">
        <w:rPr>
          <w:rFonts w:ascii="Work Sans Light" w:hAnsi="Work Sans Light"/>
          <w:caps w:val="0"/>
          <w:sz w:val="22"/>
          <w:szCs w:val="22"/>
        </w:rPr>
        <w:t>2022</w:t>
      </w:r>
    </w:p>
    <w:p w14:paraId="2548D92E" w14:textId="77777777" w:rsidR="00704FBD" w:rsidRPr="00625155" w:rsidRDefault="00704FBD" w:rsidP="00704FBD">
      <w:pPr>
        <w:sectPr w:rsidR="00704FBD" w:rsidRPr="00625155" w:rsidSect="004B76E0">
          <w:headerReference w:type="even" r:id="rId12"/>
          <w:headerReference w:type="default" r:id="rId13"/>
          <w:footerReference w:type="even" r:id="rId14"/>
          <w:footerReference w:type="default" r:id="rId15"/>
          <w:footerReference w:type="first" r:id="rId16"/>
          <w:pgSz w:w="11906" w:h="16838" w:code="9"/>
          <w:pgMar w:top="2835" w:right="2098" w:bottom="2466" w:left="2098" w:header="1814" w:footer="1814" w:gutter="0"/>
          <w:cols w:space="708"/>
          <w:vAlign w:val="center"/>
          <w:titlePg/>
          <w:docGrid w:linePitch="360"/>
        </w:sectPr>
      </w:pPr>
    </w:p>
    <w:p w14:paraId="76C07653" w14:textId="26ECB398" w:rsidR="00704FBD" w:rsidRPr="00625155" w:rsidRDefault="00704FBD" w:rsidP="00704FBD">
      <w:pPr>
        <w:spacing w:after="100"/>
        <w:rPr>
          <w:rFonts w:ascii="Arial" w:hAnsi="Arial"/>
          <w:b/>
          <w:smallCaps/>
          <w:sz w:val="26"/>
        </w:rPr>
      </w:pPr>
      <w:r w:rsidRPr="00625155">
        <w:lastRenderedPageBreak/>
        <w:t>© Commonwealth of Australia 2022</w:t>
      </w:r>
    </w:p>
    <w:p w14:paraId="50884C55" w14:textId="3EA565B3" w:rsidR="00704FBD" w:rsidRPr="00625155" w:rsidRDefault="00704FBD" w:rsidP="00704FBD">
      <w:pPr>
        <w:spacing w:before="60" w:after="120"/>
      </w:pPr>
      <w:r w:rsidRPr="00625155">
        <w:t>IS</w:t>
      </w:r>
      <w:r w:rsidR="00476B3E" w:rsidRPr="00625155">
        <w:t>S</w:t>
      </w:r>
      <w:r w:rsidRPr="00625155">
        <w:t xml:space="preserve">N </w:t>
      </w:r>
      <w:r w:rsidR="00E827FF" w:rsidRPr="00625155">
        <w:t>2653</w:t>
      </w:r>
      <w:r w:rsidR="00660645">
        <w:noBreakHyphen/>
      </w:r>
      <w:r w:rsidR="00E827FF" w:rsidRPr="00625155">
        <w:t>164X</w:t>
      </w:r>
    </w:p>
    <w:p w14:paraId="17E52E3A" w14:textId="1C157C9D" w:rsidR="00704FBD" w:rsidRPr="00625155" w:rsidRDefault="00704FBD" w:rsidP="00704FBD">
      <w:pPr>
        <w:spacing w:after="140"/>
        <w:rPr>
          <w:rStyle w:val="A5"/>
          <w:color w:val="auto"/>
        </w:rPr>
      </w:pPr>
      <w:r w:rsidRPr="00625155">
        <w:rPr>
          <w:rFonts w:cs="Calibri"/>
        </w:rPr>
        <w:t xml:space="preserve">This publication is available for your use under a Creative Commons BY Attribution 3.0 Australia licence, with the exception of the Commonwealth Coat of Arms, third party content and where otherwise stated. </w:t>
      </w:r>
      <w:r w:rsidRPr="00403CD3">
        <w:rPr>
          <w:rFonts w:cs="Calibri"/>
        </w:rPr>
        <w:t xml:space="preserve">The full licence terms are available from </w:t>
      </w:r>
      <w:hyperlink r:id="rId17" w:history="1">
        <w:r w:rsidR="00B808B8" w:rsidRPr="00B808B8">
          <w:rPr>
            <w:rStyle w:val="Hyperlink"/>
            <w:spacing w:val="-2"/>
          </w:rPr>
          <w:t>http://creativecommons.org/licenses/by/3.0/au/legalcode</w:t>
        </w:r>
      </w:hyperlink>
      <w:r w:rsidRPr="00403CD3">
        <w:rPr>
          <w:rStyle w:val="A5"/>
          <w:rFonts w:cs="Calibri"/>
          <w:color w:val="auto"/>
        </w:rPr>
        <w:t>.</w:t>
      </w:r>
    </w:p>
    <w:p w14:paraId="4E2B1646" w14:textId="02754583" w:rsidR="00704FBD" w:rsidRPr="00625155" w:rsidRDefault="00704FBD" w:rsidP="00704FBD">
      <w:pPr>
        <w:pStyle w:val="TableGraphic"/>
        <w:spacing w:after="100"/>
      </w:pPr>
      <w:r w:rsidRPr="00625155">
        <w:rPr>
          <w:noProof/>
        </w:rPr>
        <w:drawing>
          <wp:inline distT="0" distB="0" distL="0" distR="0" wp14:anchorId="2B98F816" wp14:editId="18AF8A8E">
            <wp:extent cx="887095" cy="31369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7095" cy="313690"/>
                    </a:xfrm>
                    <a:prstGeom prst="rect">
                      <a:avLst/>
                    </a:prstGeom>
                    <a:noFill/>
                    <a:ln>
                      <a:noFill/>
                    </a:ln>
                  </pic:spPr>
                </pic:pic>
              </a:graphicData>
            </a:graphic>
          </wp:inline>
        </w:drawing>
      </w:r>
    </w:p>
    <w:p w14:paraId="660265E7" w14:textId="77777777" w:rsidR="00704FBD" w:rsidRPr="00625155" w:rsidRDefault="00704FBD" w:rsidP="00704FBD">
      <w:pPr>
        <w:spacing w:after="100"/>
      </w:pPr>
      <w:r w:rsidRPr="00625155">
        <w:t xml:space="preserve">Use of Commonwealth of Australia material under a Creative Commons BY </w:t>
      </w:r>
      <w:r w:rsidRPr="00625155">
        <w:rPr>
          <w:iCs/>
        </w:rPr>
        <w:t>Attribution 3.0 Australia</w:t>
      </w:r>
      <w:r w:rsidRPr="00625155">
        <w:t xml:space="preserve"> licence requires you to attribute the work (but not in any way that suggests that the Commonwealth of Australia endorses you or your use of the work).</w:t>
      </w:r>
    </w:p>
    <w:p w14:paraId="050C2D08" w14:textId="182BAF88" w:rsidR="00704FBD" w:rsidRPr="00625155" w:rsidRDefault="00704FBD" w:rsidP="00164C3B">
      <w:pPr>
        <w:spacing w:before="240" w:after="0" w:line="240" w:lineRule="auto"/>
        <w:rPr>
          <w:b/>
          <w:iCs/>
        </w:rPr>
      </w:pPr>
      <w:r w:rsidRPr="00625155">
        <w:rPr>
          <w:rFonts w:cs="Calibri"/>
          <w:b/>
          <w:iCs/>
        </w:rPr>
        <w:t>Commonwealth</w:t>
      </w:r>
      <w:r w:rsidRPr="00625155">
        <w:rPr>
          <w:b/>
          <w:iCs/>
        </w:rPr>
        <w:t xml:space="preserve"> of Australia material used </w:t>
      </w:r>
      <w:r w:rsidR="00660645">
        <w:rPr>
          <w:b/>
          <w:iCs/>
        </w:rPr>
        <w:t>‘</w:t>
      </w:r>
      <w:r w:rsidRPr="00625155">
        <w:rPr>
          <w:b/>
          <w:iCs/>
        </w:rPr>
        <w:t xml:space="preserve">as </w:t>
      </w:r>
      <w:r w:rsidRPr="00625155">
        <w:rPr>
          <w:rFonts w:cs="Calibri"/>
          <w:b/>
          <w:iCs/>
        </w:rPr>
        <w:t>supplied</w:t>
      </w:r>
      <w:r w:rsidR="00660645">
        <w:rPr>
          <w:rFonts w:cs="Calibri"/>
          <w:b/>
          <w:iCs/>
        </w:rPr>
        <w:t>’</w:t>
      </w:r>
    </w:p>
    <w:p w14:paraId="3F2844C7" w14:textId="765BA140" w:rsidR="00704FBD" w:rsidRPr="00625155" w:rsidRDefault="00704FBD" w:rsidP="00704FBD">
      <w:pPr>
        <w:spacing w:after="100"/>
      </w:pPr>
      <w:r w:rsidRPr="00625155">
        <w:t>Provided you have not modified or transformed Commonwealth of Australia material in any way including, for example, by changing the Commonwealth of Australia text; calculating percentage changes; graphing or charting data; or deriving new statistics from published statistics</w:t>
      </w:r>
      <w:r w:rsidR="002052D1" w:rsidRPr="00625155">
        <w:t xml:space="preserve"> – </w:t>
      </w:r>
      <w:r w:rsidRPr="00625155">
        <w:t xml:space="preserve">then the Commonwealth of Australia prefers the following attribution: </w:t>
      </w:r>
    </w:p>
    <w:p w14:paraId="06E35AF7" w14:textId="77777777" w:rsidR="00704FBD" w:rsidRPr="00625155" w:rsidRDefault="00704FBD" w:rsidP="00704FBD">
      <w:pPr>
        <w:spacing w:after="100" w:line="240" w:lineRule="auto"/>
        <w:ind w:left="720"/>
        <w:rPr>
          <w:rFonts w:cs="Calibri"/>
          <w:i/>
        </w:rPr>
      </w:pPr>
      <w:r w:rsidRPr="00625155">
        <w:rPr>
          <w:rFonts w:cs="Calibri"/>
          <w:i/>
        </w:rPr>
        <w:t xml:space="preserve">Source: </w:t>
      </w:r>
      <w:r w:rsidRPr="00625155">
        <w:rPr>
          <w:rFonts w:cs="Calibri"/>
          <w:i/>
          <w:iCs/>
        </w:rPr>
        <w:t xml:space="preserve">The </w:t>
      </w:r>
      <w:r w:rsidRPr="00625155">
        <w:rPr>
          <w:rFonts w:cs="Calibri"/>
          <w:i/>
        </w:rPr>
        <w:t>Commonwealth of Australia</w:t>
      </w:r>
      <w:r w:rsidRPr="00625155">
        <w:rPr>
          <w:rFonts w:cs="Calibri"/>
          <w:i/>
          <w:iCs/>
        </w:rPr>
        <w:t>.</w:t>
      </w:r>
    </w:p>
    <w:p w14:paraId="5B2572F2" w14:textId="77777777" w:rsidR="00704FBD" w:rsidRPr="00625155" w:rsidRDefault="00704FBD" w:rsidP="00164C3B">
      <w:pPr>
        <w:spacing w:before="240" w:after="0" w:line="240" w:lineRule="auto"/>
        <w:rPr>
          <w:rFonts w:cs="Calibri"/>
          <w:b/>
          <w:iCs/>
        </w:rPr>
      </w:pPr>
      <w:r w:rsidRPr="00625155">
        <w:rPr>
          <w:rFonts w:cs="Calibri"/>
          <w:b/>
          <w:iCs/>
        </w:rPr>
        <w:t>Derivative material</w:t>
      </w:r>
    </w:p>
    <w:p w14:paraId="46B7971D" w14:textId="77777777" w:rsidR="00704FBD" w:rsidRPr="00625155" w:rsidRDefault="00704FBD" w:rsidP="00704FBD">
      <w:pPr>
        <w:spacing w:after="100"/>
      </w:pPr>
      <w:r w:rsidRPr="00625155">
        <w:t xml:space="preserve">If you have modified or transformed Commonwealth of Australia material, or derived new material from those of the Commonwealth of Australia in any way, then the Commonwealth of Australia prefers the following attribution: </w:t>
      </w:r>
    </w:p>
    <w:p w14:paraId="0C2D0E47" w14:textId="77777777" w:rsidR="00704FBD" w:rsidRPr="00625155" w:rsidRDefault="00704FBD" w:rsidP="00704FBD">
      <w:pPr>
        <w:spacing w:after="100" w:line="240" w:lineRule="auto"/>
        <w:ind w:left="720"/>
        <w:rPr>
          <w:rFonts w:cs="Calibri"/>
          <w:i/>
        </w:rPr>
      </w:pPr>
      <w:r w:rsidRPr="00625155">
        <w:rPr>
          <w:rFonts w:cs="Calibri"/>
          <w:i/>
        </w:rPr>
        <w:t>Based on Commonwealth of Australia data.</w:t>
      </w:r>
    </w:p>
    <w:p w14:paraId="37896BFF" w14:textId="77777777" w:rsidR="00704FBD" w:rsidRPr="00625155" w:rsidRDefault="00704FBD" w:rsidP="00164C3B">
      <w:pPr>
        <w:spacing w:before="240" w:after="0" w:line="240" w:lineRule="auto"/>
      </w:pPr>
      <w:r w:rsidRPr="00625155">
        <w:rPr>
          <w:rStyle w:val="A5"/>
          <w:rFonts w:cs="Calibri"/>
          <w:b/>
          <w:color w:val="auto"/>
        </w:rPr>
        <w:t>Use of the Coat of Arms</w:t>
      </w:r>
    </w:p>
    <w:p w14:paraId="2E00E3F0" w14:textId="1B55E21F" w:rsidR="00704FBD" w:rsidRPr="00625155" w:rsidRDefault="00704FBD" w:rsidP="00704FBD">
      <w:pPr>
        <w:spacing w:after="100"/>
        <w:rPr>
          <w:rStyle w:val="A5"/>
          <w:rFonts w:cs="Calibri"/>
          <w:color w:val="auto"/>
        </w:rPr>
      </w:pPr>
      <w:r w:rsidRPr="00625155">
        <w:rPr>
          <w:rStyle w:val="A5"/>
          <w:rFonts w:cs="Calibri"/>
          <w:color w:val="auto"/>
        </w:rPr>
        <w:t xml:space="preserve">The terms under which the Coat of Arms can be used are set out on the Department of the Prime Minister and Cabinet website </w:t>
      </w:r>
      <w:r w:rsidR="008F2E2E" w:rsidRPr="00625155">
        <w:rPr>
          <w:spacing w:val="-2"/>
        </w:rPr>
        <w:t>(see</w:t>
      </w:r>
      <w:r w:rsidR="008F2E2E">
        <w:t xml:space="preserve"> </w:t>
      </w:r>
      <w:hyperlink r:id="rId19" w:history="1">
        <w:r w:rsidR="00B808B8">
          <w:rPr>
            <w:rStyle w:val="Hyperlink"/>
            <w:color w:val="000000" w:themeColor="text1"/>
            <w:spacing w:val="-2"/>
          </w:rPr>
          <w:t>www.pmc.gov.au/</w:t>
        </w:r>
        <w:r w:rsidR="00B808B8">
          <w:rPr>
            <w:color w:val="000000" w:themeColor="text1"/>
            <w:spacing w:val="-2"/>
            <w:u w:val="single"/>
          </w:rPr>
          <w:br/>
        </w:r>
        <w:r w:rsidR="00B808B8">
          <w:rPr>
            <w:rStyle w:val="Hyperlink"/>
            <w:color w:val="000000" w:themeColor="text1"/>
            <w:spacing w:val="-2"/>
          </w:rPr>
          <w:t>government/commonwealth</w:t>
        </w:r>
        <w:r w:rsidR="00660645">
          <w:rPr>
            <w:rStyle w:val="Hyperlink"/>
            <w:color w:val="000000" w:themeColor="text1"/>
            <w:spacing w:val="-2"/>
          </w:rPr>
          <w:noBreakHyphen/>
        </w:r>
        <w:r w:rsidR="00B808B8">
          <w:rPr>
            <w:rStyle w:val="Hyperlink"/>
            <w:color w:val="000000" w:themeColor="text1"/>
            <w:spacing w:val="-2"/>
          </w:rPr>
          <w:t>coat</w:t>
        </w:r>
        <w:r w:rsidR="00660645">
          <w:rPr>
            <w:rStyle w:val="Hyperlink"/>
            <w:color w:val="000000" w:themeColor="text1"/>
            <w:spacing w:val="-2"/>
          </w:rPr>
          <w:noBreakHyphen/>
        </w:r>
        <w:r w:rsidR="00B808B8">
          <w:rPr>
            <w:rStyle w:val="Hyperlink"/>
            <w:color w:val="000000" w:themeColor="text1"/>
            <w:spacing w:val="-2"/>
          </w:rPr>
          <w:t>arms</w:t>
        </w:r>
      </w:hyperlink>
      <w:r w:rsidR="008F2E2E" w:rsidRPr="00403CD3">
        <w:rPr>
          <w:spacing w:val="-2"/>
        </w:rPr>
        <w:t>).</w:t>
      </w:r>
    </w:p>
    <w:p w14:paraId="733540E8" w14:textId="77777777" w:rsidR="00704FBD" w:rsidRPr="00625155" w:rsidRDefault="00704FBD" w:rsidP="00164C3B">
      <w:pPr>
        <w:spacing w:before="240" w:after="0" w:line="240" w:lineRule="auto"/>
        <w:rPr>
          <w:rStyle w:val="A5"/>
          <w:rFonts w:cs="Calibri"/>
          <w:b/>
          <w:color w:val="auto"/>
        </w:rPr>
      </w:pPr>
      <w:r w:rsidRPr="00625155">
        <w:rPr>
          <w:rStyle w:val="A5"/>
          <w:rFonts w:cs="Calibri"/>
          <w:b/>
          <w:color w:val="auto"/>
        </w:rPr>
        <w:t>Other uses</w:t>
      </w:r>
    </w:p>
    <w:p w14:paraId="5D07F280" w14:textId="77777777" w:rsidR="00704FBD" w:rsidRPr="00625155" w:rsidRDefault="00704FBD" w:rsidP="00704FBD">
      <w:pPr>
        <w:spacing w:after="100"/>
        <w:rPr>
          <w:i/>
        </w:rPr>
      </w:pPr>
      <w:r w:rsidRPr="00625155">
        <w:t>Enquiries regarding this licence and any other use of this document are welcome at:</w:t>
      </w:r>
    </w:p>
    <w:p w14:paraId="14EEF9D6" w14:textId="667A1755" w:rsidR="00704FBD" w:rsidRPr="00625155" w:rsidRDefault="00704FBD" w:rsidP="00704FBD">
      <w:pPr>
        <w:spacing w:after="100"/>
        <w:ind w:left="567"/>
        <w:jc w:val="left"/>
        <w:rPr>
          <w:rFonts w:cs="Calibri"/>
        </w:rPr>
      </w:pPr>
      <w:r w:rsidRPr="00625155">
        <w:rPr>
          <w:rFonts w:cs="Calibri"/>
        </w:rPr>
        <w:t>Manager</w:t>
      </w:r>
      <w:r w:rsidRPr="00625155">
        <w:rPr>
          <w:rFonts w:cs="Calibri"/>
        </w:rPr>
        <w:br/>
        <w:t xml:space="preserve">Media </w:t>
      </w:r>
      <w:r w:rsidR="00FD36B4" w:rsidRPr="00625155">
        <w:rPr>
          <w:rFonts w:cs="Calibri"/>
        </w:rPr>
        <w:t>Unit</w:t>
      </w:r>
      <w:r w:rsidRPr="00625155">
        <w:rPr>
          <w:rFonts w:cs="Calibri"/>
        </w:rPr>
        <w:br/>
        <w:t>The Treasury</w:t>
      </w:r>
      <w:r w:rsidRPr="00625155">
        <w:rPr>
          <w:rFonts w:cs="Calibri"/>
        </w:rPr>
        <w:br/>
        <w:t xml:space="preserve">Langton Crescent </w:t>
      </w:r>
      <w:r w:rsidRPr="00625155">
        <w:rPr>
          <w:rFonts w:cs="Calibri"/>
        </w:rPr>
        <w:br/>
        <w:t>Parkes ACT 2600</w:t>
      </w:r>
      <w:r w:rsidRPr="00625155">
        <w:rPr>
          <w:rFonts w:cs="Calibri"/>
        </w:rPr>
        <w:br/>
        <w:t xml:space="preserve">Email: </w:t>
      </w:r>
      <w:r w:rsidR="00FC4C13">
        <w:rPr>
          <w:rFonts w:cs="Calibri"/>
        </w:rPr>
        <w:t>media</w:t>
      </w:r>
      <w:r w:rsidR="00F72774">
        <w:rPr>
          <w:rFonts w:cs="Calibri"/>
        </w:rPr>
        <w:t>@treasury.gov.au</w:t>
      </w:r>
    </w:p>
    <w:p w14:paraId="2EF33859" w14:textId="77777777" w:rsidR="00704FBD" w:rsidRPr="00625155" w:rsidRDefault="00704FBD" w:rsidP="00164C3B">
      <w:pPr>
        <w:spacing w:before="240" w:after="0"/>
        <w:rPr>
          <w:rStyle w:val="A5"/>
          <w:rFonts w:cs="Calibri"/>
          <w:b/>
          <w:color w:val="auto"/>
        </w:rPr>
      </w:pPr>
      <w:r w:rsidRPr="00625155">
        <w:rPr>
          <w:rStyle w:val="A5"/>
          <w:rFonts w:cs="Calibri"/>
          <w:b/>
          <w:color w:val="auto"/>
        </w:rPr>
        <w:t>Internet</w:t>
      </w:r>
    </w:p>
    <w:p w14:paraId="43C56B40" w14:textId="1C53D435" w:rsidR="00704FBD" w:rsidRPr="00625155" w:rsidRDefault="00704FBD" w:rsidP="00704FBD">
      <w:pPr>
        <w:spacing w:after="100"/>
      </w:pPr>
      <w:r w:rsidRPr="00625155">
        <w:t xml:space="preserve">A copy of this document is available </w:t>
      </w:r>
      <w:r w:rsidRPr="00403CD3">
        <w:t xml:space="preserve">at </w:t>
      </w:r>
      <w:hyperlink r:id="rId20" w:history="1">
        <w:r w:rsidR="00B808B8" w:rsidRPr="00403CD3">
          <w:rPr>
            <w:rStyle w:val="Hyperlink"/>
          </w:rPr>
          <w:t>www.treasury.gov.au</w:t>
        </w:r>
      </w:hyperlink>
      <w:r w:rsidR="00B808B8" w:rsidRPr="00403CD3">
        <w:t> </w:t>
      </w:r>
      <w:r w:rsidRPr="00403CD3">
        <w:t>and</w:t>
      </w:r>
      <w:r w:rsidR="00B808B8" w:rsidRPr="00403CD3">
        <w:t> </w:t>
      </w:r>
      <w:hyperlink r:id="rId21" w:history="1">
        <w:r w:rsidR="00B808B8" w:rsidRPr="00403CD3">
          <w:rPr>
            <w:rStyle w:val="Hyperlink"/>
          </w:rPr>
          <w:t>www.finance.gov.au</w:t>
        </w:r>
      </w:hyperlink>
      <w:r w:rsidRPr="00403CD3">
        <w:t>.</w:t>
      </w:r>
      <w:r w:rsidRPr="00625155">
        <w:t xml:space="preserve"> </w:t>
      </w:r>
    </w:p>
    <w:p w14:paraId="07B04394" w14:textId="77777777" w:rsidR="00704FBD" w:rsidRPr="00625155" w:rsidRDefault="00704FBD" w:rsidP="00704FBD">
      <w:pPr>
        <w:pStyle w:val="Heading2"/>
        <w:rPr>
          <w:rStyle w:val="A5"/>
          <w:rFonts w:cs="Calibri"/>
          <w:b w:val="0"/>
          <w:color w:val="auto"/>
        </w:rPr>
      </w:pPr>
      <w:bookmarkStart w:id="1" w:name="_Toc100568280"/>
      <w:bookmarkStart w:id="2" w:name="_Toc100752509"/>
      <w:bookmarkStart w:id="3" w:name="_Toc100763559"/>
      <w:bookmarkStart w:id="4" w:name="_Toc100843262"/>
      <w:bookmarkStart w:id="5" w:name="_Toc101254449"/>
      <w:bookmarkStart w:id="6" w:name="_Toc101277281"/>
      <w:bookmarkStart w:id="7" w:name="_Toc101281534"/>
      <w:r w:rsidRPr="00625155">
        <w:rPr>
          <w:rStyle w:val="A5"/>
          <w:rFonts w:cs="Calibri"/>
          <w:b w:val="0"/>
          <w:color w:val="auto"/>
        </w:rPr>
        <w:lastRenderedPageBreak/>
        <w:t>Notes</w:t>
      </w:r>
      <w:bookmarkEnd w:id="1"/>
      <w:bookmarkEnd w:id="2"/>
      <w:bookmarkEnd w:id="3"/>
      <w:bookmarkEnd w:id="4"/>
      <w:bookmarkEnd w:id="5"/>
      <w:bookmarkEnd w:id="6"/>
      <w:bookmarkEnd w:id="7"/>
    </w:p>
    <w:p w14:paraId="101D49A1" w14:textId="7F27D5D4" w:rsidR="00704FBD" w:rsidRPr="00625155" w:rsidRDefault="00704FBD" w:rsidP="00704FBD">
      <w:pPr>
        <w:pStyle w:val="PrelimsAlpha"/>
        <w:rPr>
          <w:color w:val="auto"/>
        </w:rPr>
      </w:pPr>
      <w:r w:rsidRPr="00625155">
        <w:rPr>
          <w:color w:val="auto"/>
        </w:rPr>
        <w:t>(a)</w:t>
      </w:r>
      <w:r w:rsidRPr="00625155">
        <w:rPr>
          <w:color w:val="auto"/>
        </w:rPr>
        <w:tab/>
        <w:t>The following definitions are used in the Pre</w:t>
      </w:r>
      <w:r w:rsidR="00660645">
        <w:rPr>
          <w:color w:val="auto"/>
        </w:rPr>
        <w:noBreakHyphen/>
      </w:r>
      <w:r w:rsidRPr="00625155">
        <w:rPr>
          <w:color w:val="auto"/>
        </w:rPr>
        <w:t>election Economic and Fiscal Outlook (PEFO):</w:t>
      </w:r>
    </w:p>
    <w:p w14:paraId="4E9E5631" w14:textId="0F096820" w:rsidR="00704FBD" w:rsidRPr="00625155" w:rsidRDefault="00660645" w:rsidP="00704FBD">
      <w:pPr>
        <w:pStyle w:val="PrelimsDash"/>
        <w:rPr>
          <w:color w:val="auto"/>
        </w:rPr>
      </w:pPr>
      <w:r>
        <w:rPr>
          <w:color w:val="auto"/>
        </w:rPr>
        <w:t>‘</w:t>
      </w:r>
      <w:r w:rsidR="00704FBD" w:rsidRPr="00625155">
        <w:rPr>
          <w:color w:val="auto"/>
        </w:rPr>
        <w:t>real</w:t>
      </w:r>
      <w:r>
        <w:rPr>
          <w:color w:val="auto"/>
        </w:rPr>
        <w:t>’</w:t>
      </w:r>
      <w:r w:rsidR="00704FBD" w:rsidRPr="00625155">
        <w:rPr>
          <w:color w:val="auto"/>
        </w:rPr>
        <w:t xml:space="preserve"> means adjusted for the effect of inflation</w:t>
      </w:r>
    </w:p>
    <w:p w14:paraId="2B5D7230" w14:textId="0F5346AE" w:rsidR="00704FBD" w:rsidRPr="00625155" w:rsidRDefault="00704FBD" w:rsidP="00704FBD">
      <w:pPr>
        <w:pStyle w:val="PrelimsDash"/>
        <w:rPr>
          <w:color w:val="auto"/>
        </w:rPr>
      </w:pPr>
      <w:r w:rsidRPr="00625155">
        <w:rPr>
          <w:color w:val="auto"/>
        </w:rPr>
        <w:t>real growth in expenses and payments is calculated using the Consumer Price Index (CPI) as the deflator</w:t>
      </w:r>
    </w:p>
    <w:p w14:paraId="469F8645" w14:textId="6C30DF69" w:rsidR="00581ACD" w:rsidRPr="00625155" w:rsidRDefault="00581ACD" w:rsidP="00581ACD">
      <w:pPr>
        <w:pStyle w:val="PrelimsDash"/>
        <w:rPr>
          <w:color w:val="auto"/>
        </w:rPr>
      </w:pPr>
      <w:r w:rsidRPr="00625155">
        <w:rPr>
          <w:color w:val="auto"/>
        </w:rPr>
        <w:t>the Budget year refers to 2022</w:t>
      </w:r>
      <w:r w:rsidR="00660645">
        <w:rPr>
          <w:color w:val="auto"/>
        </w:rPr>
        <w:noBreakHyphen/>
      </w:r>
      <w:r w:rsidRPr="00625155">
        <w:rPr>
          <w:color w:val="auto"/>
        </w:rPr>
        <w:t>23, while the forward years refer to 2023</w:t>
      </w:r>
      <w:r w:rsidR="00660645">
        <w:rPr>
          <w:color w:val="auto"/>
        </w:rPr>
        <w:noBreakHyphen/>
      </w:r>
      <w:r w:rsidRPr="00625155">
        <w:rPr>
          <w:color w:val="auto"/>
        </w:rPr>
        <w:t>24, 2024</w:t>
      </w:r>
      <w:r w:rsidR="00660645">
        <w:rPr>
          <w:color w:val="auto"/>
        </w:rPr>
        <w:noBreakHyphen/>
      </w:r>
      <w:r w:rsidRPr="00625155">
        <w:rPr>
          <w:color w:val="auto"/>
        </w:rPr>
        <w:t>25 and 2025</w:t>
      </w:r>
      <w:r w:rsidR="00660645">
        <w:rPr>
          <w:color w:val="auto"/>
        </w:rPr>
        <w:noBreakHyphen/>
      </w:r>
      <w:r w:rsidRPr="00625155">
        <w:rPr>
          <w:color w:val="auto"/>
        </w:rPr>
        <w:t>26</w:t>
      </w:r>
    </w:p>
    <w:p w14:paraId="025358ED" w14:textId="77777777" w:rsidR="00704FBD" w:rsidRPr="00625155" w:rsidRDefault="00704FBD" w:rsidP="00704FBD">
      <w:pPr>
        <w:pStyle w:val="PrelimsDash"/>
        <w:rPr>
          <w:color w:val="auto"/>
        </w:rPr>
      </w:pPr>
      <w:r w:rsidRPr="00625155">
        <w:rPr>
          <w:color w:val="auto"/>
        </w:rPr>
        <w:t>one billion is equal to one thousand million.</w:t>
      </w:r>
    </w:p>
    <w:p w14:paraId="528730B2" w14:textId="77777777" w:rsidR="00704FBD" w:rsidRPr="00625155" w:rsidRDefault="00704FBD" w:rsidP="00704FBD">
      <w:pPr>
        <w:pStyle w:val="PrelimsAlpha"/>
        <w:rPr>
          <w:color w:val="auto"/>
        </w:rPr>
      </w:pPr>
      <w:r w:rsidRPr="00625155">
        <w:rPr>
          <w:color w:val="auto"/>
        </w:rPr>
        <w:t>(b)</w:t>
      </w:r>
      <w:r w:rsidRPr="00625155">
        <w:rPr>
          <w:color w:val="auto"/>
        </w:rPr>
        <w:tab/>
        <w:t>Figures in tables and generally in the text have been rounded. Discrepancies in tables between totals and sums of components are due to rounding:</w:t>
      </w:r>
    </w:p>
    <w:p w14:paraId="27640A23" w14:textId="762A4578" w:rsidR="00704FBD" w:rsidRPr="00625155" w:rsidRDefault="00704FBD" w:rsidP="00704FBD">
      <w:pPr>
        <w:pStyle w:val="PrelimsDash"/>
        <w:rPr>
          <w:color w:val="auto"/>
        </w:rPr>
      </w:pPr>
      <w:r w:rsidRPr="00625155">
        <w:rPr>
          <w:color w:val="auto"/>
        </w:rPr>
        <w:t>estimates under $100,000 are rounded to the nearest thousand</w:t>
      </w:r>
    </w:p>
    <w:p w14:paraId="43E5B9A8" w14:textId="0D7D5828" w:rsidR="00704FBD" w:rsidRPr="00625155" w:rsidRDefault="00704FBD" w:rsidP="00704FBD">
      <w:pPr>
        <w:pStyle w:val="PrelimsDash"/>
        <w:rPr>
          <w:color w:val="auto"/>
        </w:rPr>
      </w:pPr>
      <w:r w:rsidRPr="00625155">
        <w:rPr>
          <w:color w:val="auto"/>
        </w:rPr>
        <w:t>estimates $100,000 and over are generally rounded to the nearest tenth of a million</w:t>
      </w:r>
    </w:p>
    <w:p w14:paraId="5F102CCF" w14:textId="5DEC51CD" w:rsidR="00704FBD" w:rsidRPr="00625155" w:rsidRDefault="00704FBD" w:rsidP="00704FBD">
      <w:pPr>
        <w:pStyle w:val="PrelimsDash"/>
        <w:rPr>
          <w:color w:val="auto"/>
        </w:rPr>
      </w:pPr>
      <w:r w:rsidRPr="00625155">
        <w:rPr>
          <w:color w:val="auto"/>
        </w:rPr>
        <w:t>estimates midway between rounding points are rounded up</w:t>
      </w:r>
    </w:p>
    <w:p w14:paraId="0A93E5AF" w14:textId="77777777" w:rsidR="00704FBD" w:rsidRPr="00625155" w:rsidRDefault="00704FBD" w:rsidP="00704FBD">
      <w:pPr>
        <w:pStyle w:val="PrelimsDash"/>
        <w:rPr>
          <w:color w:val="auto"/>
        </w:rPr>
      </w:pPr>
      <w:r w:rsidRPr="00625155">
        <w:rPr>
          <w:color w:val="auto"/>
        </w:rPr>
        <w:t>the percentage changes in statistical tables are calculated using unrounded data.</w:t>
      </w:r>
    </w:p>
    <w:p w14:paraId="66DF0DF0" w14:textId="77777777" w:rsidR="00704FBD" w:rsidRPr="00625155" w:rsidRDefault="00704FBD" w:rsidP="00704FBD">
      <w:pPr>
        <w:pStyle w:val="PrelimsAlpha"/>
        <w:rPr>
          <w:color w:val="auto"/>
        </w:rPr>
      </w:pPr>
      <w:r w:rsidRPr="00625155">
        <w:rPr>
          <w:color w:val="auto"/>
        </w:rPr>
        <w:t>(c)</w:t>
      </w:r>
      <w:r w:rsidRPr="00625155">
        <w:rPr>
          <w:color w:val="auto"/>
        </w:rPr>
        <w:tab/>
        <w:t>For the budget balance, a negative sign indicates a deficit while no sign indicates a surplus.</w:t>
      </w:r>
    </w:p>
    <w:p w14:paraId="1626A634" w14:textId="77777777" w:rsidR="00704FBD" w:rsidRPr="00625155" w:rsidRDefault="00704FBD" w:rsidP="00704FBD">
      <w:pPr>
        <w:pStyle w:val="PrelimsAlpha"/>
        <w:rPr>
          <w:color w:val="auto"/>
        </w:rPr>
      </w:pPr>
      <w:r w:rsidRPr="00625155">
        <w:rPr>
          <w:color w:val="auto"/>
        </w:rPr>
        <w:t>(d)</w:t>
      </w:r>
      <w:r w:rsidRPr="00625155">
        <w:rPr>
          <w:color w:val="auto"/>
        </w:rPr>
        <w:tab/>
        <w:t>The following notations are used:</w:t>
      </w:r>
    </w:p>
    <w:tbl>
      <w:tblPr>
        <w:tblW w:w="5000" w:type="pct"/>
        <w:tblInd w:w="567" w:type="dxa"/>
        <w:tblLayout w:type="fixed"/>
        <w:tblCellMar>
          <w:left w:w="0" w:type="dxa"/>
          <w:right w:w="0" w:type="dxa"/>
        </w:tblCellMar>
        <w:tblLook w:val="0000" w:firstRow="0" w:lastRow="0" w:firstColumn="0" w:lastColumn="0" w:noHBand="0" w:noVBand="0"/>
      </w:tblPr>
      <w:tblGrid>
        <w:gridCol w:w="1724"/>
        <w:gridCol w:w="5986"/>
      </w:tblGrid>
      <w:tr w:rsidR="00704FBD" w:rsidRPr="00625155" w14:paraId="509E31FA" w14:textId="77777777" w:rsidTr="0034104B">
        <w:tc>
          <w:tcPr>
            <w:tcW w:w="1398" w:type="dxa"/>
          </w:tcPr>
          <w:p w14:paraId="63C2CF96" w14:textId="1DD3E958" w:rsidR="00704FBD" w:rsidRPr="00CB1385" w:rsidRDefault="00660645" w:rsidP="00CD7429">
            <w:pPr>
              <w:spacing w:after="120"/>
              <w:rPr>
                <w:highlight w:val="green"/>
              </w:rPr>
            </w:pPr>
            <w:r>
              <w:noBreakHyphen/>
            </w:r>
          </w:p>
        </w:tc>
        <w:tc>
          <w:tcPr>
            <w:tcW w:w="4854" w:type="dxa"/>
          </w:tcPr>
          <w:p w14:paraId="43A29E42" w14:textId="77777777" w:rsidR="00704FBD" w:rsidRPr="00CB1385" w:rsidRDefault="00704FBD" w:rsidP="00CD7429">
            <w:pPr>
              <w:spacing w:after="120"/>
              <w:rPr>
                <w:highlight w:val="green"/>
              </w:rPr>
            </w:pPr>
            <w:r w:rsidRPr="00625155">
              <w:t>nil</w:t>
            </w:r>
          </w:p>
        </w:tc>
      </w:tr>
      <w:tr w:rsidR="00704FBD" w:rsidRPr="00625155" w14:paraId="35D96D02" w14:textId="77777777" w:rsidTr="0034104B">
        <w:tc>
          <w:tcPr>
            <w:tcW w:w="1398" w:type="dxa"/>
          </w:tcPr>
          <w:p w14:paraId="5FF02227" w14:textId="77777777" w:rsidR="00704FBD" w:rsidRPr="00CB1385" w:rsidRDefault="00704FBD" w:rsidP="00CD7429">
            <w:pPr>
              <w:spacing w:after="120"/>
              <w:rPr>
                <w:highlight w:val="green"/>
              </w:rPr>
            </w:pPr>
            <w:proofErr w:type="spellStart"/>
            <w:r w:rsidRPr="00625155">
              <w:t>na</w:t>
            </w:r>
            <w:proofErr w:type="spellEnd"/>
          </w:p>
        </w:tc>
        <w:tc>
          <w:tcPr>
            <w:tcW w:w="4854" w:type="dxa"/>
          </w:tcPr>
          <w:p w14:paraId="1A5B264F" w14:textId="77777777" w:rsidR="00704FBD" w:rsidRPr="00CB1385" w:rsidRDefault="00704FBD" w:rsidP="00CD7429">
            <w:pPr>
              <w:spacing w:after="120"/>
              <w:rPr>
                <w:highlight w:val="green"/>
              </w:rPr>
            </w:pPr>
            <w:r w:rsidRPr="00625155">
              <w:t>not applicable (unless otherwise specified)</w:t>
            </w:r>
          </w:p>
        </w:tc>
      </w:tr>
      <w:tr w:rsidR="00704FBD" w:rsidRPr="00625155" w14:paraId="0E4534ED" w14:textId="77777777" w:rsidTr="0034104B">
        <w:tc>
          <w:tcPr>
            <w:tcW w:w="1398" w:type="dxa"/>
          </w:tcPr>
          <w:p w14:paraId="7137A410" w14:textId="77777777" w:rsidR="00704FBD" w:rsidRPr="00CB1385" w:rsidRDefault="00704FBD" w:rsidP="00CD7429">
            <w:pPr>
              <w:spacing w:after="120"/>
              <w:rPr>
                <w:highlight w:val="green"/>
              </w:rPr>
            </w:pPr>
            <w:r w:rsidRPr="00625155">
              <w:t>$m</w:t>
            </w:r>
          </w:p>
        </w:tc>
        <w:tc>
          <w:tcPr>
            <w:tcW w:w="4854" w:type="dxa"/>
          </w:tcPr>
          <w:p w14:paraId="7E9DFECF" w14:textId="77777777" w:rsidR="00704FBD" w:rsidRPr="00CB1385" w:rsidRDefault="00704FBD" w:rsidP="00CD7429">
            <w:pPr>
              <w:spacing w:after="120"/>
              <w:rPr>
                <w:highlight w:val="green"/>
              </w:rPr>
            </w:pPr>
            <w:r w:rsidRPr="00625155">
              <w:t>millions of dollars</w:t>
            </w:r>
          </w:p>
        </w:tc>
      </w:tr>
      <w:tr w:rsidR="00704FBD" w:rsidRPr="00625155" w14:paraId="4B2D99AC" w14:textId="77777777" w:rsidTr="0034104B">
        <w:tc>
          <w:tcPr>
            <w:tcW w:w="1398" w:type="dxa"/>
          </w:tcPr>
          <w:p w14:paraId="100C26F7" w14:textId="77777777" w:rsidR="00704FBD" w:rsidRPr="00CB1385" w:rsidRDefault="00704FBD" w:rsidP="00CD7429">
            <w:pPr>
              <w:spacing w:after="120"/>
              <w:rPr>
                <w:highlight w:val="green"/>
              </w:rPr>
            </w:pPr>
            <w:r w:rsidRPr="00625155">
              <w:t>$b</w:t>
            </w:r>
          </w:p>
        </w:tc>
        <w:tc>
          <w:tcPr>
            <w:tcW w:w="4854" w:type="dxa"/>
          </w:tcPr>
          <w:p w14:paraId="3D3F946B" w14:textId="77777777" w:rsidR="00704FBD" w:rsidRPr="00CB1385" w:rsidRDefault="00704FBD" w:rsidP="00CD7429">
            <w:pPr>
              <w:spacing w:after="120"/>
              <w:rPr>
                <w:highlight w:val="green"/>
              </w:rPr>
            </w:pPr>
            <w:r w:rsidRPr="00625155">
              <w:t>billions of dollars</w:t>
            </w:r>
          </w:p>
        </w:tc>
      </w:tr>
      <w:tr w:rsidR="00704FBD" w:rsidRPr="00625155" w14:paraId="2A7329E0" w14:textId="77777777" w:rsidTr="0034104B">
        <w:tc>
          <w:tcPr>
            <w:tcW w:w="1398" w:type="dxa"/>
          </w:tcPr>
          <w:p w14:paraId="2F6D3C4B" w14:textId="77777777" w:rsidR="00704FBD" w:rsidRPr="00CB1385" w:rsidRDefault="00704FBD" w:rsidP="00CD7429">
            <w:pPr>
              <w:spacing w:after="120"/>
              <w:rPr>
                <w:highlight w:val="green"/>
              </w:rPr>
            </w:pPr>
            <w:proofErr w:type="spellStart"/>
            <w:r w:rsidRPr="00625155">
              <w:t>nfp</w:t>
            </w:r>
            <w:proofErr w:type="spellEnd"/>
          </w:p>
        </w:tc>
        <w:tc>
          <w:tcPr>
            <w:tcW w:w="4854" w:type="dxa"/>
          </w:tcPr>
          <w:p w14:paraId="0CAED6CD" w14:textId="77777777" w:rsidR="00704FBD" w:rsidRPr="00CB1385" w:rsidRDefault="00704FBD" w:rsidP="00CD7429">
            <w:pPr>
              <w:spacing w:after="120"/>
              <w:rPr>
                <w:highlight w:val="green"/>
              </w:rPr>
            </w:pPr>
            <w:r w:rsidRPr="00625155">
              <w:t>not for publication</w:t>
            </w:r>
          </w:p>
        </w:tc>
      </w:tr>
      <w:tr w:rsidR="00704FBD" w:rsidRPr="00625155" w14:paraId="172F9525" w14:textId="77777777" w:rsidTr="0034104B">
        <w:tc>
          <w:tcPr>
            <w:tcW w:w="1398" w:type="dxa"/>
          </w:tcPr>
          <w:p w14:paraId="1F1A4115" w14:textId="77777777" w:rsidR="00704FBD" w:rsidRPr="00CB1385" w:rsidRDefault="00704FBD" w:rsidP="00CD7429">
            <w:pPr>
              <w:spacing w:after="120"/>
              <w:rPr>
                <w:highlight w:val="green"/>
              </w:rPr>
            </w:pPr>
            <w:r w:rsidRPr="00625155">
              <w:t>(e)</w:t>
            </w:r>
          </w:p>
        </w:tc>
        <w:tc>
          <w:tcPr>
            <w:tcW w:w="4854" w:type="dxa"/>
          </w:tcPr>
          <w:p w14:paraId="4D3F79C7" w14:textId="77777777" w:rsidR="00704FBD" w:rsidRPr="00CB1385" w:rsidRDefault="00704FBD" w:rsidP="00CD7429">
            <w:pPr>
              <w:spacing w:after="120"/>
              <w:rPr>
                <w:highlight w:val="green"/>
              </w:rPr>
            </w:pPr>
            <w:r w:rsidRPr="00625155">
              <w:t>estimates (unless otherwise specified)</w:t>
            </w:r>
          </w:p>
        </w:tc>
      </w:tr>
      <w:tr w:rsidR="00704FBD" w:rsidRPr="00625155" w14:paraId="5751D0D2" w14:textId="77777777" w:rsidTr="0034104B">
        <w:tc>
          <w:tcPr>
            <w:tcW w:w="1398" w:type="dxa"/>
          </w:tcPr>
          <w:p w14:paraId="17797BB8" w14:textId="77777777" w:rsidR="00704FBD" w:rsidRPr="00CB1385" w:rsidRDefault="00704FBD" w:rsidP="00CD7429">
            <w:pPr>
              <w:spacing w:after="120"/>
              <w:rPr>
                <w:highlight w:val="green"/>
              </w:rPr>
            </w:pPr>
            <w:r w:rsidRPr="00625155">
              <w:t>(p)</w:t>
            </w:r>
          </w:p>
        </w:tc>
        <w:tc>
          <w:tcPr>
            <w:tcW w:w="4854" w:type="dxa"/>
          </w:tcPr>
          <w:p w14:paraId="2A8BFC11" w14:textId="77777777" w:rsidR="00704FBD" w:rsidRPr="00CB1385" w:rsidRDefault="00704FBD" w:rsidP="00CD7429">
            <w:pPr>
              <w:spacing w:after="120"/>
              <w:rPr>
                <w:highlight w:val="green"/>
              </w:rPr>
            </w:pPr>
            <w:r w:rsidRPr="00625155">
              <w:t>projections (unless otherwise specified)</w:t>
            </w:r>
          </w:p>
        </w:tc>
      </w:tr>
      <w:tr w:rsidR="00704FBD" w:rsidRPr="00625155" w14:paraId="04174C02" w14:textId="77777777" w:rsidTr="0034104B">
        <w:tc>
          <w:tcPr>
            <w:tcW w:w="1398" w:type="dxa"/>
          </w:tcPr>
          <w:p w14:paraId="78C4EE6A" w14:textId="77777777" w:rsidR="00704FBD" w:rsidRPr="00CB1385" w:rsidRDefault="00704FBD" w:rsidP="00CD7429">
            <w:pPr>
              <w:spacing w:after="120"/>
              <w:rPr>
                <w:highlight w:val="green"/>
              </w:rPr>
            </w:pPr>
            <w:r w:rsidRPr="00625155">
              <w:t>NEC/</w:t>
            </w:r>
            <w:proofErr w:type="spellStart"/>
            <w:r w:rsidRPr="00625155">
              <w:t>nec</w:t>
            </w:r>
            <w:proofErr w:type="spellEnd"/>
          </w:p>
        </w:tc>
        <w:tc>
          <w:tcPr>
            <w:tcW w:w="4854" w:type="dxa"/>
          </w:tcPr>
          <w:p w14:paraId="35FB4874" w14:textId="77777777" w:rsidR="00704FBD" w:rsidRPr="00625155" w:rsidRDefault="00704FBD" w:rsidP="00CD7429">
            <w:pPr>
              <w:spacing w:after="120"/>
            </w:pPr>
            <w:r w:rsidRPr="00625155">
              <w:t>not elsewhere classified</w:t>
            </w:r>
          </w:p>
        </w:tc>
      </w:tr>
    </w:tbl>
    <w:p w14:paraId="0CCB8F3E" w14:textId="09E9B4C6" w:rsidR="00704FBD" w:rsidRPr="00625155" w:rsidRDefault="00704FBD" w:rsidP="00704FBD">
      <w:pPr>
        <w:pStyle w:val="PrelimsAlpha"/>
        <w:rPr>
          <w:color w:val="auto"/>
        </w:rPr>
      </w:pPr>
      <w:r w:rsidRPr="00625155">
        <w:rPr>
          <w:color w:val="auto"/>
        </w:rPr>
        <w:br w:type="page"/>
        <w:t>(e)</w:t>
      </w:r>
      <w:r w:rsidRPr="00625155">
        <w:rPr>
          <w:color w:val="auto"/>
        </w:rPr>
        <w:tab/>
        <w:t xml:space="preserve">The Australian Capital Territory and the Northern Territory are referred to as </w:t>
      </w:r>
      <w:r w:rsidR="00660645">
        <w:rPr>
          <w:color w:val="auto"/>
        </w:rPr>
        <w:t>‘</w:t>
      </w:r>
      <w:r w:rsidRPr="00625155">
        <w:rPr>
          <w:color w:val="auto"/>
        </w:rPr>
        <w:t>the territories</w:t>
      </w:r>
      <w:r w:rsidR="00660645">
        <w:rPr>
          <w:color w:val="auto"/>
        </w:rPr>
        <w:t>’</w:t>
      </w:r>
      <w:r w:rsidRPr="00625155">
        <w:rPr>
          <w:color w:val="auto"/>
        </w:rPr>
        <w:t xml:space="preserve">. References to the </w:t>
      </w:r>
      <w:r w:rsidR="00660645">
        <w:rPr>
          <w:color w:val="auto"/>
        </w:rPr>
        <w:t>‘</w:t>
      </w:r>
      <w:r w:rsidRPr="00625155">
        <w:rPr>
          <w:color w:val="auto"/>
        </w:rPr>
        <w:t>states</w:t>
      </w:r>
      <w:r w:rsidR="00660645">
        <w:rPr>
          <w:color w:val="auto"/>
        </w:rPr>
        <w:t>’</w:t>
      </w:r>
      <w:r w:rsidRPr="00625155">
        <w:rPr>
          <w:color w:val="auto"/>
        </w:rPr>
        <w:t xml:space="preserve"> or </w:t>
      </w:r>
      <w:r w:rsidR="00660645">
        <w:rPr>
          <w:color w:val="auto"/>
        </w:rPr>
        <w:t>‘</w:t>
      </w:r>
      <w:r w:rsidRPr="00625155">
        <w:rPr>
          <w:color w:val="auto"/>
        </w:rPr>
        <w:t>each state</w:t>
      </w:r>
      <w:r w:rsidR="00660645">
        <w:rPr>
          <w:color w:val="auto"/>
        </w:rPr>
        <w:t>’</w:t>
      </w:r>
      <w:r w:rsidRPr="00625155">
        <w:rPr>
          <w:color w:val="auto"/>
        </w:rPr>
        <w:t xml:space="preserve"> include the territories. The following abbreviations are used for the names of the states, where appropriate:</w:t>
      </w:r>
    </w:p>
    <w:tbl>
      <w:tblPr>
        <w:tblW w:w="5000" w:type="pct"/>
        <w:tblInd w:w="567" w:type="dxa"/>
        <w:tblLayout w:type="fixed"/>
        <w:tblCellMar>
          <w:left w:w="0" w:type="dxa"/>
          <w:right w:w="0" w:type="dxa"/>
        </w:tblCellMar>
        <w:tblLook w:val="0000" w:firstRow="0" w:lastRow="0" w:firstColumn="0" w:lastColumn="0" w:noHBand="0" w:noVBand="0"/>
      </w:tblPr>
      <w:tblGrid>
        <w:gridCol w:w="1724"/>
        <w:gridCol w:w="5986"/>
      </w:tblGrid>
      <w:tr w:rsidR="00704FBD" w:rsidRPr="00625155" w14:paraId="1C79B58A" w14:textId="77777777" w:rsidTr="0034104B">
        <w:tc>
          <w:tcPr>
            <w:tcW w:w="1398" w:type="dxa"/>
          </w:tcPr>
          <w:p w14:paraId="7842FEEF" w14:textId="77777777" w:rsidR="00704FBD" w:rsidRPr="00CB1385" w:rsidRDefault="00704FBD" w:rsidP="00CD7429">
            <w:pPr>
              <w:spacing w:after="120"/>
              <w:rPr>
                <w:highlight w:val="green"/>
              </w:rPr>
            </w:pPr>
            <w:r w:rsidRPr="00625155">
              <w:t>NSW</w:t>
            </w:r>
          </w:p>
        </w:tc>
        <w:tc>
          <w:tcPr>
            <w:tcW w:w="4854" w:type="dxa"/>
          </w:tcPr>
          <w:p w14:paraId="3D3B069E" w14:textId="77777777" w:rsidR="00704FBD" w:rsidRPr="00CB1385" w:rsidRDefault="00704FBD" w:rsidP="00CD7429">
            <w:pPr>
              <w:spacing w:after="120"/>
              <w:rPr>
                <w:highlight w:val="green"/>
              </w:rPr>
            </w:pPr>
            <w:r w:rsidRPr="00625155">
              <w:t>New South Wales</w:t>
            </w:r>
          </w:p>
        </w:tc>
      </w:tr>
      <w:tr w:rsidR="00704FBD" w:rsidRPr="00625155" w14:paraId="449DAE9A" w14:textId="77777777" w:rsidTr="0034104B">
        <w:tc>
          <w:tcPr>
            <w:tcW w:w="1398" w:type="dxa"/>
          </w:tcPr>
          <w:p w14:paraId="04363652" w14:textId="77777777" w:rsidR="00704FBD" w:rsidRPr="00CB1385" w:rsidRDefault="00704FBD" w:rsidP="00CD7429">
            <w:pPr>
              <w:spacing w:after="120"/>
              <w:rPr>
                <w:highlight w:val="green"/>
              </w:rPr>
            </w:pPr>
            <w:r w:rsidRPr="00625155">
              <w:t>VIC</w:t>
            </w:r>
          </w:p>
        </w:tc>
        <w:tc>
          <w:tcPr>
            <w:tcW w:w="4854" w:type="dxa"/>
          </w:tcPr>
          <w:p w14:paraId="2ECE8A55" w14:textId="77777777" w:rsidR="00704FBD" w:rsidRPr="00CB1385" w:rsidRDefault="00704FBD" w:rsidP="00CD7429">
            <w:pPr>
              <w:spacing w:after="120"/>
              <w:rPr>
                <w:highlight w:val="green"/>
              </w:rPr>
            </w:pPr>
            <w:r w:rsidRPr="00625155">
              <w:t>Victoria</w:t>
            </w:r>
          </w:p>
        </w:tc>
      </w:tr>
      <w:tr w:rsidR="00704FBD" w:rsidRPr="00625155" w14:paraId="07FB4BF9" w14:textId="77777777" w:rsidTr="0034104B">
        <w:tc>
          <w:tcPr>
            <w:tcW w:w="1398" w:type="dxa"/>
          </w:tcPr>
          <w:p w14:paraId="70402DF9" w14:textId="77777777" w:rsidR="00704FBD" w:rsidRPr="00CB1385" w:rsidRDefault="00704FBD" w:rsidP="00CD7429">
            <w:pPr>
              <w:spacing w:after="120"/>
              <w:rPr>
                <w:highlight w:val="green"/>
              </w:rPr>
            </w:pPr>
            <w:r w:rsidRPr="00625155">
              <w:t>QLD</w:t>
            </w:r>
          </w:p>
        </w:tc>
        <w:tc>
          <w:tcPr>
            <w:tcW w:w="4854" w:type="dxa"/>
          </w:tcPr>
          <w:p w14:paraId="6930961A" w14:textId="77777777" w:rsidR="00704FBD" w:rsidRPr="00CB1385" w:rsidRDefault="00704FBD" w:rsidP="00CD7429">
            <w:pPr>
              <w:spacing w:after="120"/>
              <w:rPr>
                <w:highlight w:val="green"/>
              </w:rPr>
            </w:pPr>
            <w:r w:rsidRPr="00625155">
              <w:t>Queensland</w:t>
            </w:r>
          </w:p>
        </w:tc>
      </w:tr>
      <w:tr w:rsidR="00704FBD" w:rsidRPr="00625155" w14:paraId="3B8EDDC5" w14:textId="77777777" w:rsidTr="0034104B">
        <w:tc>
          <w:tcPr>
            <w:tcW w:w="1398" w:type="dxa"/>
          </w:tcPr>
          <w:p w14:paraId="4E9E51D8" w14:textId="77777777" w:rsidR="00704FBD" w:rsidRPr="00CB1385" w:rsidRDefault="00704FBD" w:rsidP="00CD7429">
            <w:pPr>
              <w:spacing w:after="120"/>
              <w:rPr>
                <w:highlight w:val="green"/>
              </w:rPr>
            </w:pPr>
            <w:r w:rsidRPr="00625155">
              <w:t>WA</w:t>
            </w:r>
          </w:p>
        </w:tc>
        <w:tc>
          <w:tcPr>
            <w:tcW w:w="4854" w:type="dxa"/>
          </w:tcPr>
          <w:p w14:paraId="2AB6A2C3" w14:textId="77777777" w:rsidR="00704FBD" w:rsidRPr="00CB1385" w:rsidRDefault="00704FBD" w:rsidP="00CD7429">
            <w:pPr>
              <w:spacing w:after="120"/>
              <w:rPr>
                <w:highlight w:val="green"/>
              </w:rPr>
            </w:pPr>
            <w:r w:rsidRPr="00625155">
              <w:t>Western Australia</w:t>
            </w:r>
          </w:p>
        </w:tc>
      </w:tr>
      <w:tr w:rsidR="00704FBD" w:rsidRPr="00625155" w14:paraId="53F772CC" w14:textId="77777777" w:rsidTr="0034104B">
        <w:tc>
          <w:tcPr>
            <w:tcW w:w="1398" w:type="dxa"/>
          </w:tcPr>
          <w:p w14:paraId="72DE9A9E" w14:textId="77777777" w:rsidR="00704FBD" w:rsidRPr="00CB1385" w:rsidRDefault="00704FBD" w:rsidP="00CD7429">
            <w:pPr>
              <w:spacing w:after="120"/>
              <w:rPr>
                <w:highlight w:val="green"/>
              </w:rPr>
            </w:pPr>
            <w:r w:rsidRPr="00625155">
              <w:t>SA</w:t>
            </w:r>
          </w:p>
        </w:tc>
        <w:tc>
          <w:tcPr>
            <w:tcW w:w="4854" w:type="dxa"/>
          </w:tcPr>
          <w:p w14:paraId="60DE873F" w14:textId="77777777" w:rsidR="00704FBD" w:rsidRPr="00CB1385" w:rsidRDefault="00704FBD" w:rsidP="00CD7429">
            <w:pPr>
              <w:spacing w:after="120"/>
              <w:rPr>
                <w:highlight w:val="green"/>
              </w:rPr>
            </w:pPr>
            <w:r w:rsidRPr="00625155">
              <w:t>South Australia</w:t>
            </w:r>
          </w:p>
        </w:tc>
      </w:tr>
      <w:tr w:rsidR="00704FBD" w:rsidRPr="00625155" w14:paraId="14F2C6E9" w14:textId="77777777" w:rsidTr="0034104B">
        <w:tc>
          <w:tcPr>
            <w:tcW w:w="1398" w:type="dxa"/>
          </w:tcPr>
          <w:p w14:paraId="56FBE010" w14:textId="77777777" w:rsidR="00704FBD" w:rsidRPr="00CB1385" w:rsidRDefault="00704FBD" w:rsidP="00CD7429">
            <w:pPr>
              <w:spacing w:after="120"/>
              <w:rPr>
                <w:highlight w:val="green"/>
              </w:rPr>
            </w:pPr>
            <w:r w:rsidRPr="00625155">
              <w:t>TAS</w:t>
            </w:r>
          </w:p>
        </w:tc>
        <w:tc>
          <w:tcPr>
            <w:tcW w:w="4854" w:type="dxa"/>
          </w:tcPr>
          <w:p w14:paraId="17CFAB7E" w14:textId="77777777" w:rsidR="00704FBD" w:rsidRPr="00CB1385" w:rsidRDefault="00704FBD" w:rsidP="00CD7429">
            <w:pPr>
              <w:spacing w:after="120"/>
              <w:rPr>
                <w:highlight w:val="green"/>
              </w:rPr>
            </w:pPr>
            <w:r w:rsidRPr="00625155">
              <w:t>Tasmania</w:t>
            </w:r>
          </w:p>
        </w:tc>
      </w:tr>
      <w:tr w:rsidR="00704FBD" w:rsidRPr="00625155" w14:paraId="21B6C357" w14:textId="77777777" w:rsidTr="0034104B">
        <w:tc>
          <w:tcPr>
            <w:tcW w:w="1398" w:type="dxa"/>
          </w:tcPr>
          <w:p w14:paraId="40C58CB8" w14:textId="77777777" w:rsidR="00704FBD" w:rsidRPr="00CB1385" w:rsidRDefault="00704FBD" w:rsidP="00CD7429">
            <w:pPr>
              <w:spacing w:after="120"/>
              <w:rPr>
                <w:highlight w:val="green"/>
              </w:rPr>
            </w:pPr>
            <w:r w:rsidRPr="00625155">
              <w:t>ACT</w:t>
            </w:r>
          </w:p>
        </w:tc>
        <w:tc>
          <w:tcPr>
            <w:tcW w:w="4854" w:type="dxa"/>
          </w:tcPr>
          <w:p w14:paraId="75B451E5" w14:textId="77777777" w:rsidR="00704FBD" w:rsidRPr="00CB1385" w:rsidRDefault="00704FBD" w:rsidP="00CD7429">
            <w:pPr>
              <w:spacing w:after="120"/>
              <w:rPr>
                <w:highlight w:val="green"/>
              </w:rPr>
            </w:pPr>
            <w:r w:rsidRPr="00625155">
              <w:t>Australian Capital Territory</w:t>
            </w:r>
          </w:p>
        </w:tc>
      </w:tr>
      <w:tr w:rsidR="00704FBD" w:rsidRPr="00625155" w14:paraId="34AFF2D9" w14:textId="77777777" w:rsidTr="0034104B">
        <w:tc>
          <w:tcPr>
            <w:tcW w:w="1398" w:type="dxa"/>
          </w:tcPr>
          <w:p w14:paraId="7B70B1E6" w14:textId="77777777" w:rsidR="00704FBD" w:rsidRPr="00CB1385" w:rsidRDefault="00704FBD" w:rsidP="00CD7429">
            <w:pPr>
              <w:spacing w:after="120"/>
              <w:rPr>
                <w:highlight w:val="green"/>
              </w:rPr>
            </w:pPr>
            <w:r w:rsidRPr="00625155">
              <w:t>NT</w:t>
            </w:r>
          </w:p>
        </w:tc>
        <w:tc>
          <w:tcPr>
            <w:tcW w:w="4854" w:type="dxa"/>
          </w:tcPr>
          <w:p w14:paraId="2D65C7D5" w14:textId="77777777" w:rsidR="00704FBD" w:rsidRPr="00625155" w:rsidRDefault="00704FBD" w:rsidP="00CD7429">
            <w:pPr>
              <w:spacing w:after="120"/>
            </w:pPr>
            <w:r w:rsidRPr="00625155">
              <w:t>Northern Territory</w:t>
            </w:r>
          </w:p>
        </w:tc>
      </w:tr>
    </w:tbl>
    <w:p w14:paraId="5D0438B6" w14:textId="77777777" w:rsidR="00704FBD" w:rsidRPr="00625155" w:rsidRDefault="00704FBD" w:rsidP="00704FBD">
      <w:pPr>
        <w:pStyle w:val="SingleParagraph"/>
      </w:pPr>
    </w:p>
    <w:p w14:paraId="06007BB5" w14:textId="511FF799" w:rsidR="00704FBD" w:rsidRPr="00625155" w:rsidRDefault="00704FBD" w:rsidP="00704FBD">
      <w:pPr>
        <w:pStyle w:val="PrelimsAlpha"/>
        <w:rPr>
          <w:color w:val="auto"/>
        </w:rPr>
      </w:pPr>
      <w:r w:rsidRPr="00625155">
        <w:rPr>
          <w:color w:val="auto"/>
        </w:rPr>
        <w:t>(f)</w:t>
      </w:r>
      <w:r w:rsidRPr="00625155">
        <w:rPr>
          <w:color w:val="auto"/>
        </w:rPr>
        <w:tab/>
        <w:t xml:space="preserve">In this paper the term </w:t>
      </w:r>
      <w:r w:rsidR="00660645">
        <w:rPr>
          <w:color w:val="auto"/>
        </w:rPr>
        <w:t>‘</w:t>
      </w:r>
      <w:r w:rsidRPr="00625155">
        <w:rPr>
          <w:color w:val="auto"/>
        </w:rPr>
        <w:t>Commonwealth</w:t>
      </w:r>
      <w:r w:rsidR="00660645">
        <w:rPr>
          <w:color w:val="auto"/>
        </w:rPr>
        <w:t>’</w:t>
      </w:r>
      <w:r w:rsidRPr="00625155">
        <w:rPr>
          <w:color w:val="auto"/>
        </w:rPr>
        <w:t xml:space="preserve"> refers to the Commonwealth of Australia. The term is used when referring to the legal entity of the Commonwealth of Australia.</w:t>
      </w:r>
    </w:p>
    <w:p w14:paraId="5B967D35" w14:textId="02DA23B7" w:rsidR="00704FBD" w:rsidRPr="00625155" w:rsidRDefault="00704FBD" w:rsidP="00704FBD">
      <w:pPr>
        <w:pStyle w:val="PrelimsAlpha"/>
        <w:rPr>
          <w:color w:val="auto"/>
        </w:rPr>
      </w:pPr>
      <w:r w:rsidRPr="00625155">
        <w:rPr>
          <w:color w:val="auto"/>
        </w:rPr>
        <w:tab/>
        <w:t xml:space="preserve">The term </w:t>
      </w:r>
      <w:r w:rsidR="00660645">
        <w:rPr>
          <w:color w:val="auto"/>
        </w:rPr>
        <w:t>‘</w:t>
      </w:r>
      <w:r w:rsidRPr="00625155">
        <w:rPr>
          <w:color w:val="auto"/>
        </w:rPr>
        <w:t>Australian Government</w:t>
      </w:r>
      <w:r w:rsidR="00660645">
        <w:rPr>
          <w:color w:val="auto"/>
        </w:rPr>
        <w:t>’</w:t>
      </w:r>
      <w:r w:rsidRPr="00625155">
        <w:rPr>
          <w:color w:val="auto"/>
        </w:rPr>
        <w:t xml:space="preserve"> is used when referring to the Government and the decisions and activities made by the Government on behalf of the Commonwealth of Australia.</w:t>
      </w:r>
    </w:p>
    <w:p w14:paraId="374E4BC5" w14:textId="77777777" w:rsidR="00704FBD" w:rsidRPr="00625155" w:rsidRDefault="00704FBD" w:rsidP="00704FBD"/>
    <w:p w14:paraId="51BDA586" w14:textId="77777777" w:rsidR="00704FBD" w:rsidRPr="00625155" w:rsidRDefault="00704FBD" w:rsidP="00704FBD"/>
    <w:p w14:paraId="7383E12A" w14:textId="77777777" w:rsidR="00704FBD" w:rsidRPr="00625155" w:rsidRDefault="00704FBD" w:rsidP="00704FBD">
      <w:pPr>
        <w:sectPr w:rsidR="00704FBD" w:rsidRPr="00625155" w:rsidSect="004B76E0">
          <w:headerReference w:type="first" r:id="rId22"/>
          <w:footerReference w:type="first" r:id="rId23"/>
          <w:pgSz w:w="11906" w:h="16838" w:code="9"/>
          <w:pgMar w:top="2835" w:right="2098" w:bottom="2466" w:left="2098" w:header="1814" w:footer="1814" w:gutter="0"/>
          <w:pgNumType w:fmt="lowerRoman"/>
          <w:cols w:space="708"/>
          <w:titlePg/>
          <w:docGrid w:linePitch="360"/>
        </w:sectPr>
      </w:pPr>
    </w:p>
    <w:p w14:paraId="25620025" w14:textId="77777777" w:rsidR="00704FBD" w:rsidRPr="00625155" w:rsidRDefault="00704FBD" w:rsidP="00704FBD">
      <w:pPr>
        <w:pStyle w:val="ContentsHeading"/>
      </w:pPr>
      <w:r w:rsidRPr="00625155">
        <w:t>Contents</w:t>
      </w:r>
    </w:p>
    <w:sdt>
      <w:sdtPr>
        <w:rPr>
          <w:rFonts w:ascii="Book Antiqua" w:hAnsi="Book Antiqua"/>
        </w:rPr>
        <w:id w:val="1414279667"/>
        <w:docPartObj>
          <w:docPartGallery w:val="Table of Contents"/>
          <w:docPartUnique/>
        </w:docPartObj>
      </w:sdtPr>
      <w:sdtEndPr>
        <w:rPr>
          <w:b/>
          <w:bCs/>
          <w:noProof/>
        </w:rPr>
      </w:sdtEndPr>
      <w:sdtContent>
        <w:p w14:paraId="47DCBFF2" w14:textId="00323E6B" w:rsidR="002C4829" w:rsidRDefault="007D6B6F">
          <w:pPr>
            <w:pStyle w:val="TOC2"/>
            <w:rPr>
              <w:rFonts w:asciiTheme="minorHAnsi" w:eastAsiaTheme="minorEastAsia" w:hAnsiTheme="minorHAnsi" w:cstheme="minorBidi"/>
              <w:noProof/>
              <w:sz w:val="22"/>
              <w:szCs w:val="22"/>
            </w:rPr>
          </w:pPr>
          <w:r w:rsidRPr="00625155">
            <w:rPr>
              <w:rFonts w:eastAsiaTheme="majorEastAsia" w:cstheme="majorBidi"/>
              <w:color w:val="024A91" w:themeColor="accent1" w:themeShade="BF"/>
              <w:sz w:val="32"/>
              <w:szCs w:val="32"/>
              <w:lang w:val="en-US" w:eastAsia="en-US"/>
            </w:rPr>
            <w:fldChar w:fldCharType="begin"/>
          </w:r>
          <w:r w:rsidRPr="00625155">
            <w:instrText xml:space="preserve"> TOC \o "1-3" \h \z \u </w:instrText>
          </w:r>
          <w:r w:rsidRPr="00625155">
            <w:rPr>
              <w:rFonts w:eastAsiaTheme="majorEastAsia" w:cstheme="majorBidi"/>
              <w:color w:val="024A91" w:themeColor="accent1" w:themeShade="BF"/>
              <w:sz w:val="32"/>
              <w:szCs w:val="32"/>
              <w:lang w:val="en-US" w:eastAsia="en-US"/>
            </w:rPr>
            <w:fldChar w:fldCharType="separate"/>
          </w:r>
        </w:p>
        <w:p w14:paraId="7ABC9162" w14:textId="18DDF70B" w:rsidR="002C4829" w:rsidRDefault="00BD1AB0">
          <w:pPr>
            <w:pStyle w:val="TOC1"/>
            <w:rPr>
              <w:rFonts w:asciiTheme="minorHAnsi" w:eastAsiaTheme="minorEastAsia" w:hAnsiTheme="minorHAnsi" w:cstheme="minorBidi"/>
              <w:b w:val="0"/>
              <w:noProof/>
              <w:szCs w:val="22"/>
            </w:rPr>
          </w:pPr>
          <w:hyperlink w:anchor="_Toc101281535" w:history="1">
            <w:r w:rsidR="002C4829" w:rsidRPr="00E47CDC">
              <w:rPr>
                <w:rStyle w:val="Hyperlink"/>
                <w:noProof/>
              </w:rPr>
              <w:t>Preface</w:t>
            </w:r>
            <w:r w:rsidR="002C4829">
              <w:rPr>
                <w:noProof/>
                <w:webHidden/>
              </w:rPr>
              <w:tab/>
            </w:r>
            <w:r w:rsidR="002C4829">
              <w:rPr>
                <w:noProof/>
                <w:webHidden/>
              </w:rPr>
              <w:fldChar w:fldCharType="begin"/>
            </w:r>
            <w:r w:rsidR="002C4829">
              <w:rPr>
                <w:noProof/>
                <w:webHidden/>
              </w:rPr>
              <w:instrText xml:space="preserve"> PAGEREF _Toc101281535 \h </w:instrText>
            </w:r>
            <w:r w:rsidR="002C4829">
              <w:rPr>
                <w:noProof/>
                <w:webHidden/>
              </w:rPr>
            </w:r>
            <w:r w:rsidR="002C4829">
              <w:rPr>
                <w:noProof/>
                <w:webHidden/>
              </w:rPr>
              <w:fldChar w:fldCharType="separate"/>
            </w:r>
            <w:r w:rsidR="001123A5">
              <w:rPr>
                <w:noProof/>
                <w:webHidden/>
              </w:rPr>
              <w:t>vii</w:t>
            </w:r>
            <w:r w:rsidR="002C4829">
              <w:rPr>
                <w:noProof/>
                <w:webHidden/>
              </w:rPr>
              <w:fldChar w:fldCharType="end"/>
            </w:r>
          </w:hyperlink>
        </w:p>
        <w:p w14:paraId="2F226113" w14:textId="4E4A64B4" w:rsidR="002C4829" w:rsidRDefault="00BD1AB0">
          <w:pPr>
            <w:pStyle w:val="TOC1"/>
            <w:rPr>
              <w:rFonts w:asciiTheme="minorHAnsi" w:eastAsiaTheme="minorEastAsia" w:hAnsiTheme="minorHAnsi" w:cstheme="minorBidi"/>
              <w:b w:val="0"/>
              <w:noProof/>
              <w:szCs w:val="22"/>
            </w:rPr>
          </w:pPr>
          <w:hyperlink w:anchor="_Toc101281536" w:history="1">
            <w:r w:rsidR="002C4829" w:rsidRPr="00E47CDC">
              <w:rPr>
                <w:rStyle w:val="Hyperlink"/>
                <w:rFonts w:cs="Arial"/>
                <w:noProof/>
              </w:rPr>
              <w:t>Statement by the Treasurer and the Minister for Finance</w:t>
            </w:r>
            <w:r w:rsidR="002C4829">
              <w:rPr>
                <w:noProof/>
                <w:webHidden/>
              </w:rPr>
              <w:tab/>
            </w:r>
            <w:r w:rsidR="002C4829">
              <w:rPr>
                <w:noProof/>
                <w:webHidden/>
              </w:rPr>
              <w:fldChar w:fldCharType="begin"/>
            </w:r>
            <w:r w:rsidR="002C4829">
              <w:rPr>
                <w:noProof/>
                <w:webHidden/>
              </w:rPr>
              <w:instrText xml:space="preserve"> PAGEREF _Toc101281536 \h </w:instrText>
            </w:r>
            <w:r w:rsidR="002C4829">
              <w:rPr>
                <w:noProof/>
                <w:webHidden/>
              </w:rPr>
            </w:r>
            <w:r w:rsidR="002C4829">
              <w:rPr>
                <w:noProof/>
                <w:webHidden/>
              </w:rPr>
              <w:fldChar w:fldCharType="separate"/>
            </w:r>
            <w:r w:rsidR="001123A5">
              <w:rPr>
                <w:noProof/>
                <w:webHidden/>
              </w:rPr>
              <w:t>viii</w:t>
            </w:r>
            <w:r w:rsidR="002C4829">
              <w:rPr>
                <w:noProof/>
                <w:webHidden/>
              </w:rPr>
              <w:fldChar w:fldCharType="end"/>
            </w:r>
          </w:hyperlink>
        </w:p>
        <w:p w14:paraId="54F2F523" w14:textId="62A2EE06" w:rsidR="002C4829" w:rsidRDefault="00BD1AB0">
          <w:pPr>
            <w:pStyle w:val="TOC1"/>
            <w:rPr>
              <w:rFonts w:asciiTheme="minorHAnsi" w:eastAsiaTheme="minorEastAsia" w:hAnsiTheme="minorHAnsi" w:cstheme="minorBidi"/>
              <w:b w:val="0"/>
              <w:noProof/>
              <w:szCs w:val="22"/>
            </w:rPr>
          </w:pPr>
          <w:hyperlink w:anchor="_Toc101281537" w:history="1">
            <w:r w:rsidR="002C4829" w:rsidRPr="00E47CDC">
              <w:rPr>
                <w:rStyle w:val="Hyperlink"/>
                <w:noProof/>
              </w:rPr>
              <w:t>Statement by the Secretary to the Treasury and the Secretary of the Department of Finance</w:t>
            </w:r>
            <w:r w:rsidR="002C4829">
              <w:rPr>
                <w:noProof/>
                <w:webHidden/>
              </w:rPr>
              <w:tab/>
            </w:r>
            <w:r w:rsidR="002C4829">
              <w:rPr>
                <w:noProof/>
                <w:webHidden/>
              </w:rPr>
              <w:fldChar w:fldCharType="begin"/>
            </w:r>
            <w:r w:rsidR="002C4829">
              <w:rPr>
                <w:noProof/>
                <w:webHidden/>
              </w:rPr>
              <w:instrText xml:space="preserve"> PAGEREF _Toc101281537 \h </w:instrText>
            </w:r>
            <w:r w:rsidR="002C4829">
              <w:rPr>
                <w:noProof/>
                <w:webHidden/>
              </w:rPr>
            </w:r>
            <w:r w:rsidR="002C4829">
              <w:rPr>
                <w:noProof/>
                <w:webHidden/>
              </w:rPr>
              <w:fldChar w:fldCharType="separate"/>
            </w:r>
            <w:r w:rsidR="001123A5">
              <w:rPr>
                <w:noProof/>
                <w:webHidden/>
              </w:rPr>
              <w:t>ix</w:t>
            </w:r>
            <w:r w:rsidR="002C4829">
              <w:rPr>
                <w:noProof/>
                <w:webHidden/>
              </w:rPr>
              <w:fldChar w:fldCharType="end"/>
            </w:r>
          </w:hyperlink>
        </w:p>
        <w:p w14:paraId="07B31463" w14:textId="4C95D148" w:rsidR="002C4829" w:rsidRDefault="00BD1AB0">
          <w:pPr>
            <w:pStyle w:val="TOC1"/>
            <w:rPr>
              <w:rFonts w:asciiTheme="minorHAnsi" w:eastAsiaTheme="minorEastAsia" w:hAnsiTheme="minorHAnsi" w:cstheme="minorBidi"/>
              <w:b w:val="0"/>
              <w:noProof/>
              <w:szCs w:val="22"/>
            </w:rPr>
          </w:pPr>
          <w:hyperlink w:anchor="_Toc101281538" w:history="1">
            <w:r w:rsidR="002C4829" w:rsidRPr="00E47CDC">
              <w:rPr>
                <w:rStyle w:val="Hyperlink"/>
                <w:rFonts w:cs="Arial"/>
                <w:noProof/>
              </w:rPr>
              <w:t>Pre</w:t>
            </w:r>
            <w:r w:rsidR="00660645">
              <w:rPr>
                <w:rStyle w:val="Hyperlink"/>
                <w:rFonts w:cs="Arial"/>
                <w:noProof/>
              </w:rPr>
              <w:noBreakHyphen/>
            </w:r>
            <w:r w:rsidR="002C4829" w:rsidRPr="00E47CDC">
              <w:rPr>
                <w:rStyle w:val="Hyperlink"/>
                <w:rFonts w:cs="Arial"/>
                <w:noProof/>
              </w:rPr>
              <w:t>election Economic and Fiscal Outlook</w:t>
            </w:r>
            <w:r w:rsidR="002C4829">
              <w:rPr>
                <w:noProof/>
                <w:webHidden/>
              </w:rPr>
              <w:tab/>
            </w:r>
            <w:r w:rsidR="002C4829">
              <w:rPr>
                <w:noProof/>
                <w:webHidden/>
              </w:rPr>
              <w:fldChar w:fldCharType="begin"/>
            </w:r>
            <w:r w:rsidR="002C4829">
              <w:rPr>
                <w:noProof/>
                <w:webHidden/>
              </w:rPr>
              <w:instrText xml:space="preserve"> PAGEREF _Toc101281538 \h </w:instrText>
            </w:r>
            <w:r w:rsidR="002C4829">
              <w:rPr>
                <w:noProof/>
                <w:webHidden/>
              </w:rPr>
            </w:r>
            <w:r w:rsidR="002C4829">
              <w:rPr>
                <w:noProof/>
                <w:webHidden/>
              </w:rPr>
              <w:fldChar w:fldCharType="separate"/>
            </w:r>
            <w:r w:rsidR="001123A5">
              <w:rPr>
                <w:noProof/>
                <w:webHidden/>
              </w:rPr>
              <w:t>1</w:t>
            </w:r>
            <w:r w:rsidR="002C4829">
              <w:rPr>
                <w:noProof/>
                <w:webHidden/>
              </w:rPr>
              <w:fldChar w:fldCharType="end"/>
            </w:r>
          </w:hyperlink>
        </w:p>
        <w:p w14:paraId="7C21D72E" w14:textId="22BDE33B" w:rsidR="002C4829" w:rsidRDefault="00BD1AB0">
          <w:pPr>
            <w:pStyle w:val="TOC2"/>
            <w:rPr>
              <w:rFonts w:asciiTheme="minorHAnsi" w:eastAsiaTheme="minorEastAsia" w:hAnsiTheme="minorHAnsi" w:cstheme="minorBidi"/>
              <w:noProof/>
              <w:sz w:val="22"/>
              <w:szCs w:val="22"/>
            </w:rPr>
          </w:pPr>
          <w:hyperlink w:anchor="_Toc101281539" w:history="1">
            <w:r w:rsidR="002C4829" w:rsidRPr="00E47CDC">
              <w:rPr>
                <w:rStyle w:val="Hyperlink"/>
                <w:noProof/>
              </w:rPr>
              <w:t>Overview</w:t>
            </w:r>
            <w:r w:rsidR="002C4829">
              <w:rPr>
                <w:noProof/>
                <w:webHidden/>
              </w:rPr>
              <w:tab/>
            </w:r>
            <w:r w:rsidR="002C4829">
              <w:rPr>
                <w:noProof/>
                <w:webHidden/>
              </w:rPr>
              <w:fldChar w:fldCharType="begin"/>
            </w:r>
            <w:r w:rsidR="002C4829">
              <w:rPr>
                <w:noProof/>
                <w:webHidden/>
              </w:rPr>
              <w:instrText xml:space="preserve"> PAGEREF _Toc101281539 \h </w:instrText>
            </w:r>
            <w:r w:rsidR="002C4829">
              <w:rPr>
                <w:noProof/>
                <w:webHidden/>
              </w:rPr>
            </w:r>
            <w:r w:rsidR="002C4829">
              <w:rPr>
                <w:noProof/>
                <w:webHidden/>
              </w:rPr>
              <w:fldChar w:fldCharType="separate"/>
            </w:r>
            <w:r w:rsidR="001123A5">
              <w:rPr>
                <w:noProof/>
                <w:webHidden/>
              </w:rPr>
              <w:t>1</w:t>
            </w:r>
            <w:r w:rsidR="002C4829">
              <w:rPr>
                <w:noProof/>
                <w:webHidden/>
              </w:rPr>
              <w:fldChar w:fldCharType="end"/>
            </w:r>
          </w:hyperlink>
        </w:p>
        <w:p w14:paraId="3948E8E9" w14:textId="7BED59A1" w:rsidR="002C4829" w:rsidRDefault="00BD1AB0">
          <w:pPr>
            <w:pStyle w:val="TOC2"/>
            <w:rPr>
              <w:rFonts w:asciiTheme="minorHAnsi" w:eastAsiaTheme="minorEastAsia" w:hAnsiTheme="minorHAnsi" w:cstheme="minorBidi"/>
              <w:noProof/>
              <w:sz w:val="22"/>
              <w:szCs w:val="22"/>
            </w:rPr>
          </w:pPr>
          <w:hyperlink w:anchor="_Toc101281540" w:history="1">
            <w:r w:rsidR="002C4829" w:rsidRPr="00E47CDC">
              <w:rPr>
                <w:rStyle w:val="Hyperlink"/>
                <w:noProof/>
              </w:rPr>
              <w:t>Economic outlook</w:t>
            </w:r>
            <w:r w:rsidR="002C4829">
              <w:rPr>
                <w:noProof/>
                <w:webHidden/>
              </w:rPr>
              <w:tab/>
            </w:r>
            <w:r w:rsidR="002C4829">
              <w:rPr>
                <w:noProof/>
                <w:webHidden/>
              </w:rPr>
              <w:fldChar w:fldCharType="begin"/>
            </w:r>
            <w:r w:rsidR="002C4829">
              <w:rPr>
                <w:noProof/>
                <w:webHidden/>
              </w:rPr>
              <w:instrText xml:space="preserve"> PAGEREF _Toc101281540 \h </w:instrText>
            </w:r>
            <w:r w:rsidR="002C4829">
              <w:rPr>
                <w:noProof/>
                <w:webHidden/>
              </w:rPr>
            </w:r>
            <w:r w:rsidR="002C4829">
              <w:rPr>
                <w:noProof/>
                <w:webHidden/>
              </w:rPr>
              <w:fldChar w:fldCharType="separate"/>
            </w:r>
            <w:r w:rsidR="001123A5">
              <w:rPr>
                <w:noProof/>
                <w:webHidden/>
              </w:rPr>
              <w:t>2</w:t>
            </w:r>
            <w:r w:rsidR="002C4829">
              <w:rPr>
                <w:noProof/>
                <w:webHidden/>
              </w:rPr>
              <w:fldChar w:fldCharType="end"/>
            </w:r>
          </w:hyperlink>
        </w:p>
        <w:p w14:paraId="3D1C0D62" w14:textId="678E0EFA" w:rsidR="002C4829" w:rsidRDefault="00BD1AB0">
          <w:pPr>
            <w:pStyle w:val="TOC2"/>
            <w:rPr>
              <w:rFonts w:asciiTheme="minorHAnsi" w:eastAsiaTheme="minorEastAsia" w:hAnsiTheme="minorHAnsi" w:cstheme="minorBidi"/>
              <w:noProof/>
              <w:sz w:val="22"/>
              <w:szCs w:val="22"/>
            </w:rPr>
          </w:pPr>
          <w:hyperlink w:anchor="_Toc101281541" w:history="1">
            <w:r w:rsidR="002C4829" w:rsidRPr="00E47CDC">
              <w:rPr>
                <w:rStyle w:val="Hyperlink"/>
                <w:noProof/>
              </w:rPr>
              <w:t>Fiscal outlook</w:t>
            </w:r>
            <w:r w:rsidR="002C4829">
              <w:rPr>
                <w:noProof/>
                <w:webHidden/>
              </w:rPr>
              <w:tab/>
            </w:r>
            <w:r w:rsidR="002C4829">
              <w:rPr>
                <w:noProof/>
                <w:webHidden/>
              </w:rPr>
              <w:fldChar w:fldCharType="begin"/>
            </w:r>
            <w:r w:rsidR="002C4829">
              <w:rPr>
                <w:noProof/>
                <w:webHidden/>
              </w:rPr>
              <w:instrText xml:space="preserve"> PAGEREF _Toc101281541 \h </w:instrText>
            </w:r>
            <w:r w:rsidR="002C4829">
              <w:rPr>
                <w:noProof/>
                <w:webHidden/>
              </w:rPr>
            </w:r>
            <w:r w:rsidR="002C4829">
              <w:rPr>
                <w:noProof/>
                <w:webHidden/>
              </w:rPr>
              <w:fldChar w:fldCharType="separate"/>
            </w:r>
            <w:r w:rsidR="001123A5">
              <w:rPr>
                <w:noProof/>
                <w:webHidden/>
              </w:rPr>
              <w:t>6</w:t>
            </w:r>
            <w:r w:rsidR="002C4829">
              <w:rPr>
                <w:noProof/>
                <w:webHidden/>
              </w:rPr>
              <w:fldChar w:fldCharType="end"/>
            </w:r>
          </w:hyperlink>
        </w:p>
        <w:p w14:paraId="33421C88" w14:textId="1814B193" w:rsidR="002C4829" w:rsidRDefault="00BD1AB0">
          <w:pPr>
            <w:pStyle w:val="TOC1"/>
            <w:rPr>
              <w:rFonts w:asciiTheme="minorHAnsi" w:eastAsiaTheme="minorEastAsia" w:hAnsiTheme="minorHAnsi" w:cstheme="minorBidi"/>
              <w:b w:val="0"/>
              <w:noProof/>
              <w:szCs w:val="22"/>
            </w:rPr>
          </w:pPr>
          <w:hyperlink w:anchor="_Toc101281544" w:history="1">
            <w:r w:rsidR="002C4829" w:rsidRPr="00E47CDC">
              <w:rPr>
                <w:rStyle w:val="Hyperlink"/>
                <w:noProof/>
              </w:rPr>
              <w:t>Appendix A: Financial Statements</w:t>
            </w:r>
            <w:r w:rsidR="002C4829">
              <w:rPr>
                <w:noProof/>
                <w:webHidden/>
              </w:rPr>
              <w:tab/>
            </w:r>
            <w:r w:rsidR="002C4829">
              <w:rPr>
                <w:noProof/>
                <w:webHidden/>
              </w:rPr>
              <w:fldChar w:fldCharType="begin"/>
            </w:r>
            <w:r w:rsidR="002C4829">
              <w:rPr>
                <w:noProof/>
                <w:webHidden/>
              </w:rPr>
              <w:instrText xml:space="preserve"> PAGEREF _Toc101281544 \h </w:instrText>
            </w:r>
            <w:r w:rsidR="002C4829">
              <w:rPr>
                <w:noProof/>
                <w:webHidden/>
              </w:rPr>
            </w:r>
            <w:r w:rsidR="002C4829">
              <w:rPr>
                <w:noProof/>
                <w:webHidden/>
              </w:rPr>
              <w:fldChar w:fldCharType="separate"/>
            </w:r>
            <w:r w:rsidR="001123A5">
              <w:rPr>
                <w:noProof/>
                <w:webHidden/>
              </w:rPr>
              <w:t>14</w:t>
            </w:r>
            <w:r w:rsidR="002C4829">
              <w:rPr>
                <w:noProof/>
                <w:webHidden/>
              </w:rPr>
              <w:fldChar w:fldCharType="end"/>
            </w:r>
          </w:hyperlink>
        </w:p>
        <w:p w14:paraId="0A4D5C4F" w14:textId="5D48696A" w:rsidR="002C4829" w:rsidRDefault="00BD1AB0">
          <w:pPr>
            <w:pStyle w:val="TOC2"/>
            <w:rPr>
              <w:rFonts w:asciiTheme="minorHAnsi" w:eastAsiaTheme="minorEastAsia" w:hAnsiTheme="minorHAnsi" w:cstheme="minorBidi"/>
              <w:noProof/>
              <w:sz w:val="22"/>
              <w:szCs w:val="22"/>
            </w:rPr>
          </w:pPr>
          <w:hyperlink w:anchor="_Toc101281545" w:history="1">
            <w:r w:rsidR="002C4829" w:rsidRPr="00E47CDC">
              <w:rPr>
                <w:rStyle w:val="Hyperlink"/>
                <w:noProof/>
              </w:rPr>
              <w:t>Departures from external reporting standards</w:t>
            </w:r>
            <w:r w:rsidR="002C4829">
              <w:rPr>
                <w:noProof/>
                <w:webHidden/>
              </w:rPr>
              <w:tab/>
            </w:r>
            <w:r w:rsidR="002C4829">
              <w:rPr>
                <w:noProof/>
                <w:webHidden/>
              </w:rPr>
              <w:fldChar w:fldCharType="begin"/>
            </w:r>
            <w:r w:rsidR="002C4829">
              <w:rPr>
                <w:noProof/>
                <w:webHidden/>
              </w:rPr>
              <w:instrText xml:space="preserve"> PAGEREF _Toc101281545 \h </w:instrText>
            </w:r>
            <w:r w:rsidR="002C4829">
              <w:rPr>
                <w:noProof/>
                <w:webHidden/>
              </w:rPr>
            </w:r>
            <w:r w:rsidR="002C4829">
              <w:rPr>
                <w:noProof/>
                <w:webHidden/>
              </w:rPr>
              <w:fldChar w:fldCharType="separate"/>
            </w:r>
            <w:r w:rsidR="001123A5">
              <w:rPr>
                <w:noProof/>
                <w:webHidden/>
              </w:rPr>
              <w:t>15</w:t>
            </w:r>
            <w:r w:rsidR="002C4829">
              <w:rPr>
                <w:noProof/>
                <w:webHidden/>
              </w:rPr>
              <w:fldChar w:fldCharType="end"/>
            </w:r>
          </w:hyperlink>
        </w:p>
        <w:p w14:paraId="54DB0070" w14:textId="47C2AC1A" w:rsidR="002C4829" w:rsidRDefault="00BD1AB0">
          <w:pPr>
            <w:pStyle w:val="TOC1"/>
            <w:rPr>
              <w:rFonts w:asciiTheme="minorHAnsi" w:eastAsiaTheme="minorEastAsia" w:hAnsiTheme="minorHAnsi" w:cstheme="minorBidi"/>
              <w:b w:val="0"/>
              <w:noProof/>
              <w:szCs w:val="22"/>
            </w:rPr>
          </w:pPr>
          <w:hyperlink w:anchor="_Toc101281546" w:history="1">
            <w:r w:rsidR="002C4829" w:rsidRPr="00E47CDC">
              <w:rPr>
                <w:rStyle w:val="Hyperlink"/>
                <w:noProof/>
              </w:rPr>
              <w:t>Appendix B: Policy decisions since the 2022</w:t>
            </w:r>
            <w:r w:rsidR="00660645">
              <w:rPr>
                <w:rStyle w:val="Hyperlink"/>
                <w:noProof/>
              </w:rPr>
              <w:noBreakHyphen/>
            </w:r>
            <w:r w:rsidR="002C4829" w:rsidRPr="00E47CDC">
              <w:rPr>
                <w:rStyle w:val="Hyperlink"/>
                <w:noProof/>
              </w:rPr>
              <w:t>23 Budget</w:t>
            </w:r>
            <w:r w:rsidR="002C4829">
              <w:rPr>
                <w:noProof/>
                <w:webHidden/>
              </w:rPr>
              <w:tab/>
            </w:r>
            <w:r w:rsidR="002C4829">
              <w:rPr>
                <w:noProof/>
                <w:webHidden/>
              </w:rPr>
              <w:fldChar w:fldCharType="begin"/>
            </w:r>
            <w:r w:rsidR="002C4829">
              <w:rPr>
                <w:noProof/>
                <w:webHidden/>
              </w:rPr>
              <w:instrText xml:space="preserve"> PAGEREF _Toc101281546 \h </w:instrText>
            </w:r>
            <w:r w:rsidR="002C4829">
              <w:rPr>
                <w:noProof/>
                <w:webHidden/>
              </w:rPr>
            </w:r>
            <w:r w:rsidR="002C4829">
              <w:rPr>
                <w:noProof/>
                <w:webHidden/>
              </w:rPr>
              <w:fldChar w:fldCharType="separate"/>
            </w:r>
            <w:r w:rsidR="001123A5">
              <w:rPr>
                <w:noProof/>
                <w:webHidden/>
              </w:rPr>
              <w:t>24</w:t>
            </w:r>
            <w:r w:rsidR="002C4829">
              <w:rPr>
                <w:noProof/>
                <w:webHidden/>
              </w:rPr>
              <w:fldChar w:fldCharType="end"/>
            </w:r>
          </w:hyperlink>
        </w:p>
        <w:p w14:paraId="70ACBC4D" w14:textId="4FC4038E" w:rsidR="002C4829" w:rsidRDefault="00BD1AB0">
          <w:pPr>
            <w:pStyle w:val="TOC1"/>
            <w:rPr>
              <w:rFonts w:asciiTheme="minorHAnsi" w:eastAsiaTheme="minorEastAsia" w:hAnsiTheme="minorHAnsi" w:cstheme="minorBidi"/>
              <w:b w:val="0"/>
              <w:noProof/>
              <w:szCs w:val="22"/>
            </w:rPr>
          </w:pPr>
          <w:hyperlink w:anchor="_Toc101281547" w:history="1">
            <w:r w:rsidR="002C4829" w:rsidRPr="00E47CDC">
              <w:rPr>
                <w:rStyle w:val="Hyperlink"/>
                <w:rFonts w:cs="Arial"/>
                <w:noProof/>
              </w:rPr>
              <w:t>Appendix C: Statement of Risks</w:t>
            </w:r>
            <w:r w:rsidR="002C4829">
              <w:rPr>
                <w:noProof/>
                <w:webHidden/>
              </w:rPr>
              <w:tab/>
            </w:r>
            <w:r w:rsidR="002C4829">
              <w:rPr>
                <w:noProof/>
                <w:webHidden/>
              </w:rPr>
              <w:fldChar w:fldCharType="begin"/>
            </w:r>
            <w:r w:rsidR="002C4829">
              <w:rPr>
                <w:noProof/>
                <w:webHidden/>
              </w:rPr>
              <w:instrText xml:space="preserve"> PAGEREF _Toc101281547 \h </w:instrText>
            </w:r>
            <w:r w:rsidR="002C4829">
              <w:rPr>
                <w:noProof/>
                <w:webHidden/>
              </w:rPr>
            </w:r>
            <w:r w:rsidR="002C4829">
              <w:rPr>
                <w:noProof/>
                <w:webHidden/>
              </w:rPr>
              <w:fldChar w:fldCharType="separate"/>
            </w:r>
            <w:r w:rsidR="001123A5">
              <w:rPr>
                <w:noProof/>
                <w:webHidden/>
              </w:rPr>
              <w:t>30</w:t>
            </w:r>
            <w:r w:rsidR="002C4829">
              <w:rPr>
                <w:noProof/>
                <w:webHidden/>
              </w:rPr>
              <w:fldChar w:fldCharType="end"/>
            </w:r>
          </w:hyperlink>
        </w:p>
        <w:p w14:paraId="2DC0BA3A" w14:textId="1CEAEF3C" w:rsidR="002C4829" w:rsidRDefault="00BD1AB0">
          <w:pPr>
            <w:pStyle w:val="TOC2"/>
            <w:rPr>
              <w:rFonts w:asciiTheme="minorHAnsi" w:eastAsiaTheme="minorEastAsia" w:hAnsiTheme="minorHAnsi" w:cstheme="minorBidi"/>
              <w:noProof/>
              <w:sz w:val="22"/>
              <w:szCs w:val="22"/>
            </w:rPr>
          </w:pPr>
          <w:hyperlink w:anchor="_Toc101281548" w:history="1">
            <w:r w:rsidR="002C4829" w:rsidRPr="00E47CDC">
              <w:rPr>
                <w:rStyle w:val="Hyperlink"/>
                <w:noProof/>
              </w:rPr>
              <w:t>Overview</w:t>
            </w:r>
            <w:r w:rsidR="002C4829">
              <w:rPr>
                <w:noProof/>
                <w:webHidden/>
              </w:rPr>
              <w:tab/>
            </w:r>
            <w:r w:rsidR="002C4829">
              <w:rPr>
                <w:noProof/>
                <w:webHidden/>
              </w:rPr>
              <w:fldChar w:fldCharType="begin"/>
            </w:r>
            <w:r w:rsidR="002C4829">
              <w:rPr>
                <w:noProof/>
                <w:webHidden/>
              </w:rPr>
              <w:instrText xml:space="preserve"> PAGEREF _Toc101281548 \h </w:instrText>
            </w:r>
            <w:r w:rsidR="002C4829">
              <w:rPr>
                <w:noProof/>
                <w:webHidden/>
              </w:rPr>
            </w:r>
            <w:r w:rsidR="002C4829">
              <w:rPr>
                <w:noProof/>
                <w:webHidden/>
              </w:rPr>
              <w:fldChar w:fldCharType="separate"/>
            </w:r>
            <w:r w:rsidR="001123A5">
              <w:rPr>
                <w:noProof/>
                <w:webHidden/>
              </w:rPr>
              <w:t>30</w:t>
            </w:r>
            <w:r w:rsidR="002C4829">
              <w:rPr>
                <w:noProof/>
                <w:webHidden/>
              </w:rPr>
              <w:fldChar w:fldCharType="end"/>
            </w:r>
          </w:hyperlink>
        </w:p>
        <w:p w14:paraId="55B51E68" w14:textId="25FE56E0" w:rsidR="002C4829" w:rsidRDefault="00BD1AB0">
          <w:pPr>
            <w:pStyle w:val="TOC3"/>
            <w:rPr>
              <w:rFonts w:asciiTheme="minorHAnsi" w:eastAsiaTheme="minorEastAsia" w:hAnsiTheme="minorHAnsi" w:cstheme="minorBidi"/>
              <w:noProof/>
              <w:sz w:val="22"/>
              <w:szCs w:val="22"/>
            </w:rPr>
          </w:pPr>
          <w:hyperlink w:anchor="_Toc101281549" w:history="1">
            <w:r w:rsidR="002C4829" w:rsidRPr="00E47CDC">
              <w:rPr>
                <w:rStyle w:val="Hyperlink"/>
                <w:noProof/>
              </w:rPr>
              <w:t>Fiscal risks</w:t>
            </w:r>
            <w:r w:rsidR="002C4829">
              <w:rPr>
                <w:noProof/>
                <w:webHidden/>
              </w:rPr>
              <w:tab/>
            </w:r>
            <w:r w:rsidR="002C4829">
              <w:rPr>
                <w:noProof/>
                <w:webHidden/>
              </w:rPr>
              <w:fldChar w:fldCharType="begin"/>
            </w:r>
            <w:r w:rsidR="002C4829">
              <w:rPr>
                <w:noProof/>
                <w:webHidden/>
              </w:rPr>
              <w:instrText xml:space="preserve"> PAGEREF _Toc101281549 \h </w:instrText>
            </w:r>
            <w:r w:rsidR="002C4829">
              <w:rPr>
                <w:noProof/>
                <w:webHidden/>
              </w:rPr>
            </w:r>
            <w:r w:rsidR="002C4829">
              <w:rPr>
                <w:noProof/>
                <w:webHidden/>
              </w:rPr>
              <w:fldChar w:fldCharType="separate"/>
            </w:r>
            <w:r w:rsidR="001123A5">
              <w:rPr>
                <w:noProof/>
                <w:webHidden/>
              </w:rPr>
              <w:t>30</w:t>
            </w:r>
            <w:r w:rsidR="002C4829">
              <w:rPr>
                <w:noProof/>
                <w:webHidden/>
              </w:rPr>
              <w:fldChar w:fldCharType="end"/>
            </w:r>
          </w:hyperlink>
        </w:p>
        <w:p w14:paraId="205C65BB" w14:textId="1EB3A651" w:rsidR="002C4829" w:rsidRDefault="00BD1AB0">
          <w:pPr>
            <w:pStyle w:val="TOC2"/>
            <w:rPr>
              <w:rFonts w:asciiTheme="minorHAnsi" w:eastAsiaTheme="minorEastAsia" w:hAnsiTheme="minorHAnsi" w:cstheme="minorBidi"/>
              <w:noProof/>
              <w:sz w:val="22"/>
              <w:szCs w:val="22"/>
            </w:rPr>
          </w:pPr>
          <w:hyperlink w:anchor="_Toc101281550" w:history="1">
            <w:r w:rsidR="002C4829" w:rsidRPr="00E47CDC">
              <w:rPr>
                <w:rStyle w:val="Hyperlink"/>
                <w:noProof/>
              </w:rPr>
              <w:t>Contingent liabilities and assets</w:t>
            </w:r>
            <w:r w:rsidR="002C4829">
              <w:rPr>
                <w:noProof/>
                <w:webHidden/>
              </w:rPr>
              <w:tab/>
            </w:r>
            <w:r w:rsidR="002C4829">
              <w:rPr>
                <w:noProof/>
                <w:webHidden/>
              </w:rPr>
              <w:fldChar w:fldCharType="begin"/>
            </w:r>
            <w:r w:rsidR="002C4829">
              <w:rPr>
                <w:noProof/>
                <w:webHidden/>
              </w:rPr>
              <w:instrText xml:space="preserve"> PAGEREF _Toc101281550 \h </w:instrText>
            </w:r>
            <w:r w:rsidR="002C4829">
              <w:rPr>
                <w:noProof/>
                <w:webHidden/>
              </w:rPr>
            </w:r>
            <w:r w:rsidR="002C4829">
              <w:rPr>
                <w:noProof/>
                <w:webHidden/>
              </w:rPr>
              <w:fldChar w:fldCharType="separate"/>
            </w:r>
            <w:r w:rsidR="001123A5">
              <w:rPr>
                <w:noProof/>
                <w:webHidden/>
              </w:rPr>
              <w:t>32</w:t>
            </w:r>
            <w:r w:rsidR="002C4829">
              <w:rPr>
                <w:noProof/>
                <w:webHidden/>
              </w:rPr>
              <w:fldChar w:fldCharType="end"/>
            </w:r>
          </w:hyperlink>
        </w:p>
        <w:p w14:paraId="13B78AA2" w14:textId="3AF333D0" w:rsidR="002C4829" w:rsidRDefault="00BD1AB0">
          <w:pPr>
            <w:pStyle w:val="TOC2"/>
            <w:rPr>
              <w:rFonts w:asciiTheme="minorHAnsi" w:eastAsiaTheme="minorEastAsia" w:hAnsiTheme="minorHAnsi" w:cstheme="minorBidi"/>
              <w:noProof/>
              <w:sz w:val="22"/>
              <w:szCs w:val="22"/>
            </w:rPr>
          </w:pPr>
          <w:hyperlink w:anchor="_Toc101281551" w:history="1">
            <w:r w:rsidR="002C4829" w:rsidRPr="00E47CDC">
              <w:rPr>
                <w:rStyle w:val="Hyperlink"/>
                <w:noProof/>
              </w:rPr>
              <w:t>Government loans</w:t>
            </w:r>
            <w:r w:rsidR="002C4829">
              <w:rPr>
                <w:noProof/>
                <w:webHidden/>
              </w:rPr>
              <w:tab/>
            </w:r>
            <w:r w:rsidR="002C4829">
              <w:rPr>
                <w:noProof/>
                <w:webHidden/>
              </w:rPr>
              <w:fldChar w:fldCharType="begin"/>
            </w:r>
            <w:r w:rsidR="002C4829">
              <w:rPr>
                <w:noProof/>
                <w:webHidden/>
              </w:rPr>
              <w:instrText xml:space="preserve"> PAGEREF _Toc101281551 \h </w:instrText>
            </w:r>
            <w:r w:rsidR="002C4829">
              <w:rPr>
                <w:noProof/>
                <w:webHidden/>
              </w:rPr>
            </w:r>
            <w:r w:rsidR="002C4829">
              <w:rPr>
                <w:noProof/>
                <w:webHidden/>
              </w:rPr>
              <w:fldChar w:fldCharType="separate"/>
            </w:r>
            <w:r w:rsidR="001123A5">
              <w:rPr>
                <w:noProof/>
                <w:webHidden/>
              </w:rPr>
              <w:t>34</w:t>
            </w:r>
            <w:r w:rsidR="002C4829">
              <w:rPr>
                <w:noProof/>
                <w:webHidden/>
              </w:rPr>
              <w:fldChar w:fldCharType="end"/>
            </w:r>
          </w:hyperlink>
        </w:p>
        <w:p w14:paraId="1FA50256" w14:textId="034E1836" w:rsidR="007D6B6F" w:rsidRPr="00625155" w:rsidRDefault="007D6B6F">
          <w:r w:rsidRPr="00625155">
            <w:rPr>
              <w:b/>
              <w:bCs/>
              <w:noProof/>
            </w:rPr>
            <w:fldChar w:fldCharType="end"/>
          </w:r>
        </w:p>
      </w:sdtContent>
    </w:sdt>
    <w:p w14:paraId="2616E1C1" w14:textId="733ECC0F" w:rsidR="008409DE" w:rsidRPr="00625155" w:rsidRDefault="003048F7" w:rsidP="008409DE">
      <w:r>
        <w:t xml:space="preserve"> </w:t>
      </w:r>
    </w:p>
    <w:p w14:paraId="1346DD87" w14:textId="1A24B020" w:rsidR="00704FBD" w:rsidRPr="00625155" w:rsidRDefault="00704FBD" w:rsidP="005E421F">
      <w:pPr>
        <w:pStyle w:val="TOC1"/>
      </w:pPr>
    </w:p>
    <w:p w14:paraId="1A7851D8" w14:textId="61A09971" w:rsidR="00704FBD" w:rsidRPr="00625155" w:rsidRDefault="00704FBD" w:rsidP="00704FBD"/>
    <w:p w14:paraId="14E88E3C" w14:textId="77777777" w:rsidR="00704FBD" w:rsidRPr="00625155" w:rsidRDefault="00704FBD" w:rsidP="00704FBD">
      <w:pPr>
        <w:pStyle w:val="Heading1"/>
        <w:sectPr w:rsidR="00704FBD" w:rsidRPr="00625155" w:rsidSect="0034104B">
          <w:footerReference w:type="first" r:id="rId24"/>
          <w:type w:val="oddPage"/>
          <w:pgSz w:w="11906" w:h="16838" w:code="9"/>
          <w:pgMar w:top="2835" w:right="2098" w:bottom="2466" w:left="2098" w:header="1814" w:footer="1814" w:gutter="0"/>
          <w:pgNumType w:fmt="lowerRoman"/>
          <w:cols w:space="708"/>
          <w:titlePg/>
          <w:docGrid w:linePitch="360"/>
        </w:sectPr>
      </w:pPr>
    </w:p>
    <w:p w14:paraId="38A54134" w14:textId="3356DCB0" w:rsidR="00704FBD" w:rsidRPr="00625155" w:rsidRDefault="00704FBD" w:rsidP="00704FBD">
      <w:pPr>
        <w:pStyle w:val="Heading1"/>
      </w:pPr>
      <w:bookmarkStart w:id="8" w:name="_Toc451247555"/>
      <w:bookmarkStart w:id="9" w:name="_Toc100752510"/>
      <w:bookmarkStart w:id="10" w:name="_Toc101281535"/>
      <w:r w:rsidRPr="00625155">
        <w:t>Preface</w:t>
      </w:r>
      <w:bookmarkEnd w:id="8"/>
      <w:bookmarkEnd w:id="9"/>
      <w:bookmarkEnd w:id="10"/>
    </w:p>
    <w:p w14:paraId="7EF507E5" w14:textId="76D16007" w:rsidR="000E2B55" w:rsidRPr="00625155" w:rsidRDefault="000E2B55" w:rsidP="000E2B55">
      <w:r w:rsidRPr="00625155">
        <w:rPr>
          <w:rStyle w:val="italic"/>
          <w:i w:val="0"/>
        </w:rPr>
        <w:t xml:space="preserve">The </w:t>
      </w:r>
      <w:r w:rsidRPr="00625155">
        <w:rPr>
          <w:rStyle w:val="italic"/>
        </w:rPr>
        <w:t>Charter of Budget Honesty Act 1998</w:t>
      </w:r>
      <w:r w:rsidRPr="00625155">
        <w:t xml:space="preserve"> (the Charter) provides for the Secretary to the Treasury and the Secretary of the Department of Finance (the Secretaries) to release publicly a Pre</w:t>
      </w:r>
      <w:r w:rsidR="00660645">
        <w:noBreakHyphen/>
      </w:r>
      <w:r w:rsidRPr="00625155">
        <w:t xml:space="preserve">election Economic and Fiscal Outlook report (PEFO) within 10 days of the issue of the writs for a general election. Such writs were issued on </w:t>
      </w:r>
      <w:r w:rsidR="00DF0B9F" w:rsidRPr="00625155">
        <w:t>11</w:t>
      </w:r>
      <w:r w:rsidRPr="00625155">
        <w:t> April 2022.</w:t>
      </w:r>
    </w:p>
    <w:p w14:paraId="193CD5E1" w14:textId="088D92D8" w:rsidR="000E2B55" w:rsidRPr="00625155" w:rsidRDefault="000E2B55" w:rsidP="000E2B55">
      <w:r w:rsidRPr="00625155">
        <w:t>The purpose of the PEFO is to provide updated information on the economic and fiscal outlook. The information in the report takes into account, to the fullest extent possible, all Government decisions and all other circumstances that may have a material effect on the economic and fiscal outlook that were in existence before the issue of the writs for the election.</w:t>
      </w:r>
      <w:r w:rsidR="00DB15D6" w:rsidRPr="00625155">
        <w:t xml:space="preserve"> The PEFO does not include the impact of election commitments that do not constitute decisions of Government and that are costed separately during the election campaign.</w:t>
      </w:r>
    </w:p>
    <w:p w14:paraId="4DE5CB9D" w14:textId="6D70EF02" w:rsidR="000E2B55" w:rsidRPr="00625155" w:rsidRDefault="000E2B55" w:rsidP="000E2B55">
      <w:r w:rsidRPr="00625155">
        <w:t xml:space="preserve">The Charter provides that, where there is information unchanged from that set out in full in an earlier budget report, the PEFO may summarise and state this information is unchanged. </w:t>
      </w:r>
    </w:p>
    <w:p w14:paraId="03C12CB1" w14:textId="77777777" w:rsidR="000E2B55" w:rsidRPr="00625155" w:rsidRDefault="000E2B55" w:rsidP="000E2B55">
      <w:pPr>
        <w:spacing w:after="120"/>
      </w:pPr>
      <w:r w:rsidRPr="00625155">
        <w:t>Consistent with the requirements of the Charter, the PEFO includes:</w:t>
      </w:r>
    </w:p>
    <w:p w14:paraId="24DC2FEF" w14:textId="75D47E80" w:rsidR="000E2B55" w:rsidRPr="00625155" w:rsidRDefault="000E2B55" w:rsidP="000E2B55">
      <w:pPr>
        <w:pStyle w:val="Bullet"/>
        <w:tabs>
          <w:tab w:val="clear" w:pos="283"/>
          <w:tab w:val="left" w:pos="425"/>
        </w:tabs>
        <w:ind w:left="425" w:hanging="425"/>
      </w:pPr>
      <w:r w:rsidRPr="00625155">
        <w:t>fiscal estimates and projections for the current financial year (2021</w:t>
      </w:r>
      <w:r w:rsidR="00660645">
        <w:noBreakHyphen/>
      </w:r>
      <w:r w:rsidRPr="00625155">
        <w:t xml:space="preserve">22) and the following </w:t>
      </w:r>
      <w:r w:rsidR="00B17464" w:rsidRPr="00625155">
        <w:t>4</w:t>
      </w:r>
      <w:r w:rsidRPr="00625155">
        <w:t> financial years (2022</w:t>
      </w:r>
      <w:r w:rsidR="00660645">
        <w:noBreakHyphen/>
      </w:r>
      <w:r w:rsidRPr="00625155">
        <w:t>23, 2023</w:t>
      </w:r>
      <w:r w:rsidR="00660645">
        <w:noBreakHyphen/>
      </w:r>
      <w:r w:rsidRPr="00625155">
        <w:t>24, 2024</w:t>
      </w:r>
      <w:r w:rsidR="00660645">
        <w:noBreakHyphen/>
      </w:r>
      <w:r w:rsidRPr="00625155">
        <w:t>25 and 2025</w:t>
      </w:r>
      <w:r w:rsidR="00660645">
        <w:noBreakHyphen/>
      </w:r>
      <w:r w:rsidRPr="00625155">
        <w:t>26)</w:t>
      </w:r>
    </w:p>
    <w:p w14:paraId="2E27AF0E" w14:textId="77732E92" w:rsidR="000E2B55" w:rsidRPr="00625155" w:rsidRDefault="000E2B55" w:rsidP="000E2B55">
      <w:pPr>
        <w:pStyle w:val="Bullet"/>
        <w:tabs>
          <w:tab w:val="clear" w:pos="283"/>
          <w:tab w:val="left" w:pos="425"/>
        </w:tabs>
        <w:ind w:left="425" w:hanging="425"/>
      </w:pPr>
      <w:r w:rsidRPr="00625155">
        <w:t xml:space="preserve">economic and other assumptions for the current financial year and the following </w:t>
      </w:r>
      <w:r w:rsidR="00B17464" w:rsidRPr="00625155">
        <w:t>4 </w:t>
      </w:r>
      <w:r w:rsidRPr="00625155">
        <w:t>financial years used in preparing these updated fiscal estimates</w:t>
      </w:r>
    </w:p>
    <w:p w14:paraId="43736DA6" w14:textId="03FBE60A" w:rsidR="000E2B55" w:rsidRPr="00625155" w:rsidRDefault="000E2B55" w:rsidP="000E2B55">
      <w:pPr>
        <w:pStyle w:val="Bullet"/>
        <w:tabs>
          <w:tab w:val="clear" w:pos="283"/>
          <w:tab w:val="left" w:pos="425"/>
        </w:tabs>
        <w:ind w:left="425" w:hanging="425"/>
      </w:pPr>
      <w:r w:rsidRPr="00625155">
        <w:t>discussion of the sensitivity of updated fiscal estimates to changes in those economic and other assumptions</w:t>
      </w:r>
    </w:p>
    <w:p w14:paraId="6333002B" w14:textId="3CB2C7D7" w:rsidR="006741E7" w:rsidRPr="00625155" w:rsidRDefault="00860790" w:rsidP="000E2B55">
      <w:pPr>
        <w:pStyle w:val="Bullet"/>
        <w:tabs>
          <w:tab w:val="clear" w:pos="283"/>
          <w:tab w:val="left" w:pos="425"/>
        </w:tabs>
        <w:ind w:left="425" w:hanging="425"/>
      </w:pPr>
      <w:r w:rsidRPr="00625155">
        <w:t>debt</w:t>
      </w:r>
      <w:r w:rsidR="000C1D2C" w:rsidRPr="00625155">
        <w:t xml:space="preserve"> aggregates and </w:t>
      </w:r>
      <w:r w:rsidR="000A5728" w:rsidRPr="00625155">
        <w:t>similar</w:t>
      </w:r>
      <w:r w:rsidR="000C1D2C" w:rsidRPr="00625155">
        <w:t xml:space="preserve"> information presented in the</w:t>
      </w:r>
      <w:r w:rsidR="00BF6E3E" w:rsidRPr="00625155">
        <w:t xml:space="preserve"> debt statement</w:t>
      </w:r>
    </w:p>
    <w:p w14:paraId="3E4250AC" w14:textId="42612FC4" w:rsidR="000E2B55" w:rsidRPr="00625155" w:rsidRDefault="000E2B55" w:rsidP="000E2B55">
      <w:pPr>
        <w:pStyle w:val="Bullet"/>
        <w:tabs>
          <w:tab w:val="clear" w:pos="283"/>
          <w:tab w:val="left" w:pos="425"/>
        </w:tabs>
        <w:ind w:left="425" w:hanging="425"/>
      </w:pPr>
      <w:r w:rsidRPr="00625155">
        <w:t>an updated set of financial statements and summary of the external reporting standards used in the preparation of the PEFO (</w:t>
      </w:r>
      <w:r w:rsidRPr="00625155">
        <w:rPr>
          <w:b/>
        </w:rPr>
        <w:t>Appendix A</w:t>
      </w:r>
      <w:r w:rsidRPr="00625155">
        <w:t>)</w:t>
      </w:r>
    </w:p>
    <w:p w14:paraId="111DA862" w14:textId="2452A616" w:rsidR="000E2B55" w:rsidRPr="00625155" w:rsidRDefault="000E2B55" w:rsidP="000E2B55">
      <w:pPr>
        <w:pStyle w:val="Bullet"/>
        <w:tabs>
          <w:tab w:val="clear" w:pos="283"/>
          <w:tab w:val="left" w:pos="425"/>
        </w:tabs>
        <w:ind w:left="425" w:hanging="425"/>
      </w:pPr>
      <w:r w:rsidRPr="00625155">
        <w:t>a list of policy decisions taken by the Government since the 2022</w:t>
      </w:r>
      <w:r w:rsidR="00660645">
        <w:noBreakHyphen/>
      </w:r>
      <w:r w:rsidRPr="00625155">
        <w:t>23 Budget and decisions that were taken but not announced at that time (</w:t>
      </w:r>
      <w:r w:rsidRPr="00625155">
        <w:rPr>
          <w:b/>
        </w:rPr>
        <w:t>Appendix B</w:t>
      </w:r>
      <w:r w:rsidRPr="00625155">
        <w:t xml:space="preserve">) </w:t>
      </w:r>
    </w:p>
    <w:p w14:paraId="132AFEF5" w14:textId="7E013D7E" w:rsidR="00704FBD" w:rsidRPr="00625155" w:rsidRDefault="000E2B55" w:rsidP="00AA5C39">
      <w:pPr>
        <w:pStyle w:val="Bullet"/>
        <w:tabs>
          <w:tab w:val="clear" w:pos="283"/>
          <w:tab w:val="left" w:pos="425"/>
        </w:tabs>
        <w:ind w:left="425" w:hanging="425"/>
        <w:sectPr w:rsidR="00704FBD" w:rsidRPr="00625155" w:rsidSect="0034104B">
          <w:footerReference w:type="first" r:id="rId25"/>
          <w:type w:val="oddPage"/>
          <w:pgSz w:w="11906" w:h="16838" w:code="9"/>
          <w:pgMar w:top="2835" w:right="2098" w:bottom="2466" w:left="2098" w:header="1814" w:footer="1814" w:gutter="0"/>
          <w:pgNumType w:fmt="lowerRoman"/>
          <w:cols w:space="708"/>
          <w:titlePg/>
          <w:docGrid w:linePitch="360"/>
        </w:sectPr>
      </w:pPr>
      <w:r w:rsidRPr="00625155">
        <w:t xml:space="preserve">an updated statement of the risks that may have a material effect on the fiscal outlook </w:t>
      </w:r>
      <w:r w:rsidRPr="00625155">
        <w:rPr>
          <w:b/>
        </w:rPr>
        <w:t>(Appendix C</w:t>
      </w:r>
      <w:r w:rsidRPr="00625155">
        <w:t xml:space="preserve">). </w:t>
      </w:r>
    </w:p>
    <w:p w14:paraId="7383C096" w14:textId="481E9CB7" w:rsidR="00704FBD" w:rsidRPr="00625155" w:rsidRDefault="00704FBD" w:rsidP="00704FBD">
      <w:pPr>
        <w:pStyle w:val="Heading1"/>
      </w:pPr>
      <w:bookmarkStart w:id="11" w:name="_Toc448833448"/>
      <w:bookmarkStart w:id="12" w:name="_Toc363734440"/>
      <w:bookmarkStart w:id="13" w:name="_Toc267746905"/>
      <w:bookmarkStart w:id="14" w:name="_Toc267740129"/>
      <w:bookmarkStart w:id="15" w:name="_Toc267740044"/>
      <w:bookmarkStart w:id="16" w:name="_Toc267736243"/>
      <w:bookmarkStart w:id="17" w:name="_Toc267736209"/>
      <w:bookmarkStart w:id="18" w:name="_Toc267736150"/>
      <w:bookmarkStart w:id="19" w:name="_Toc180647542"/>
      <w:bookmarkStart w:id="20" w:name="_Toc101281536"/>
      <w:r w:rsidRPr="00625155">
        <w:rPr>
          <w:rFonts w:cs="Arial"/>
        </w:rPr>
        <w:t>Statement by the Treasurer and the</w:t>
      </w:r>
      <w:r w:rsidRPr="00625155">
        <w:rPr>
          <w:rFonts w:cs="Arial"/>
        </w:rPr>
        <w:br/>
        <w:t>Minister for Finance</w:t>
      </w:r>
      <w:bookmarkStart w:id="21" w:name="_Toc100752511"/>
      <w:bookmarkEnd w:id="11"/>
      <w:bookmarkEnd w:id="12"/>
      <w:bookmarkEnd w:id="13"/>
      <w:bookmarkEnd w:id="14"/>
      <w:bookmarkEnd w:id="15"/>
      <w:bookmarkEnd w:id="16"/>
      <w:bookmarkEnd w:id="17"/>
      <w:bookmarkEnd w:id="18"/>
      <w:bookmarkEnd w:id="19"/>
      <w:bookmarkEnd w:id="20"/>
      <w:r w:rsidRPr="00625155">
        <w:t xml:space="preserve"> </w:t>
      </w:r>
      <w:bookmarkEnd w:id="21"/>
    </w:p>
    <w:p w14:paraId="2080400E" w14:textId="47C2AA0C" w:rsidR="00704FBD" w:rsidRPr="00625155" w:rsidRDefault="00704FBD" w:rsidP="00704FBD">
      <w:r w:rsidRPr="00625155">
        <w:t xml:space="preserve">Consistent with the </w:t>
      </w:r>
      <w:r w:rsidRPr="00625155">
        <w:rPr>
          <w:i/>
        </w:rPr>
        <w:t>Charter of Budget Honesty Act 1998</w:t>
      </w:r>
      <w:r w:rsidRPr="00625155">
        <w:t>, we declare that we have disclosed to the Secretary to the Treasury and the Secretary of the Department of Finance all details of any Government decision, or any other circumstance, that we know about:</w:t>
      </w:r>
    </w:p>
    <w:p w14:paraId="73261733" w14:textId="12CDC935" w:rsidR="00704FBD" w:rsidRPr="00625155" w:rsidRDefault="00704FBD" w:rsidP="00704FBD">
      <w:pPr>
        <w:pStyle w:val="PrelimsAlpha"/>
        <w:rPr>
          <w:color w:val="auto"/>
          <w:lang w:eastAsia="en-AU"/>
        </w:rPr>
      </w:pPr>
      <w:r w:rsidRPr="00625155">
        <w:rPr>
          <w:color w:val="auto"/>
          <w:lang w:eastAsia="en-AU"/>
        </w:rPr>
        <w:t>(</w:t>
      </w:r>
      <w:proofErr w:type="spellStart"/>
      <w:r w:rsidRPr="00625155">
        <w:rPr>
          <w:color w:val="auto"/>
          <w:lang w:eastAsia="en-AU"/>
        </w:rPr>
        <w:t>i</w:t>
      </w:r>
      <w:proofErr w:type="spellEnd"/>
      <w:r w:rsidRPr="00625155">
        <w:rPr>
          <w:color w:val="auto"/>
          <w:lang w:eastAsia="en-AU"/>
        </w:rPr>
        <w:t>)</w:t>
      </w:r>
      <w:r w:rsidRPr="00625155">
        <w:rPr>
          <w:color w:val="auto"/>
          <w:lang w:eastAsia="en-AU"/>
        </w:rPr>
        <w:tab/>
        <w:t>that has, or could have, material fiscal or economic implications</w:t>
      </w:r>
    </w:p>
    <w:p w14:paraId="1754EF9F" w14:textId="44932E34" w:rsidR="00704FBD" w:rsidRPr="00625155" w:rsidRDefault="00704FBD" w:rsidP="00704FBD">
      <w:pPr>
        <w:pStyle w:val="PrelimsAlpha"/>
        <w:rPr>
          <w:color w:val="auto"/>
          <w:lang w:eastAsia="en-AU"/>
        </w:rPr>
      </w:pPr>
      <w:r w:rsidRPr="00625155">
        <w:rPr>
          <w:color w:val="auto"/>
          <w:lang w:eastAsia="en-AU"/>
        </w:rPr>
        <w:t>(ii)</w:t>
      </w:r>
      <w:r w:rsidRPr="00625155">
        <w:rPr>
          <w:color w:val="auto"/>
          <w:lang w:eastAsia="en-AU"/>
        </w:rPr>
        <w:tab/>
        <w:t>that neither of the responsible Secretaries could reasonably be expected to know</w:t>
      </w:r>
      <w:r w:rsidR="00CE4973" w:rsidRPr="00625155">
        <w:rPr>
          <w:color w:val="auto"/>
          <w:lang w:eastAsia="en-AU"/>
        </w:rPr>
        <w:t> </w:t>
      </w:r>
      <w:r w:rsidRPr="00625155">
        <w:rPr>
          <w:color w:val="auto"/>
          <w:lang w:eastAsia="en-AU"/>
        </w:rPr>
        <w:t>about.</w:t>
      </w:r>
    </w:p>
    <w:tbl>
      <w:tblPr>
        <w:tblW w:w="0" w:type="auto"/>
        <w:tblCellMar>
          <w:left w:w="0" w:type="dxa"/>
          <w:right w:w="0" w:type="dxa"/>
        </w:tblCellMar>
        <w:tblLook w:val="04A0" w:firstRow="1" w:lastRow="0" w:firstColumn="1" w:lastColumn="0" w:noHBand="0" w:noVBand="1"/>
      </w:tblPr>
      <w:tblGrid>
        <w:gridCol w:w="3802"/>
        <w:gridCol w:w="3908"/>
      </w:tblGrid>
      <w:tr w:rsidR="0034104B" w:rsidRPr="00625155" w14:paraId="5D193F77" w14:textId="77777777" w:rsidTr="00581755">
        <w:trPr>
          <w:trHeight w:val="2855"/>
        </w:trPr>
        <w:tc>
          <w:tcPr>
            <w:tcW w:w="3963" w:type="dxa"/>
            <w:shd w:val="clear" w:color="auto" w:fill="auto"/>
            <w:vAlign w:val="bottom"/>
          </w:tcPr>
          <w:p w14:paraId="674FCB0B" w14:textId="05DB7749" w:rsidR="00581755" w:rsidRPr="00625155" w:rsidRDefault="006F54BE" w:rsidP="00BE0030">
            <w:pPr>
              <w:pStyle w:val="SingleParagraph"/>
              <w:spacing w:after="120" w:line="240" w:lineRule="auto"/>
              <w:jc w:val="left"/>
            </w:pPr>
            <w:r>
              <w:rPr>
                <w:noProof/>
              </w:rPr>
              <w:drawing>
                <wp:inline distT="0" distB="0" distL="0" distR="0" wp14:anchorId="4F7BDB2C" wp14:editId="5D8FABCC">
                  <wp:extent cx="2088836" cy="1050562"/>
                  <wp:effectExtent l="0" t="0" r="0" b="0"/>
                  <wp:docPr id="3" name="Picture 3" descr="Signature for The Hon Josh Frydenberg MP, Treasur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for The Hon Josh Frydenberg MP, Treasurer.&#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88836" cy="1050562"/>
                          </a:xfrm>
                          <a:prstGeom prst="rect">
                            <a:avLst/>
                          </a:prstGeom>
                        </pic:spPr>
                      </pic:pic>
                    </a:graphicData>
                  </a:graphic>
                </wp:inline>
              </w:drawing>
            </w:r>
          </w:p>
          <w:p w14:paraId="580FFF2C" w14:textId="2E8CB6DB" w:rsidR="00581755" w:rsidRPr="00625155" w:rsidRDefault="00581755" w:rsidP="00E449DC">
            <w:pPr>
              <w:pStyle w:val="SingleParagraph"/>
              <w:spacing w:line="240" w:lineRule="auto"/>
              <w:jc w:val="left"/>
            </w:pPr>
            <w:r w:rsidRPr="00625155">
              <w:t xml:space="preserve">The Hon Josh Frydenberg MP </w:t>
            </w:r>
          </w:p>
          <w:p w14:paraId="557AAB56" w14:textId="5F5914D8" w:rsidR="00581755" w:rsidRPr="00625155" w:rsidRDefault="00581755" w:rsidP="00E449DC">
            <w:pPr>
              <w:pStyle w:val="SingleParagraph"/>
              <w:spacing w:line="240" w:lineRule="auto"/>
              <w:jc w:val="left"/>
            </w:pPr>
            <w:r w:rsidRPr="00625155">
              <w:t>Treasurer</w:t>
            </w:r>
          </w:p>
          <w:p w14:paraId="5E0BF69B" w14:textId="2C40C1D2" w:rsidR="00581755" w:rsidRPr="00CB1385" w:rsidRDefault="00236405" w:rsidP="00E449DC">
            <w:pPr>
              <w:pStyle w:val="SingleParagraph"/>
              <w:spacing w:line="240" w:lineRule="auto"/>
              <w:jc w:val="left"/>
              <w:rPr>
                <w:highlight w:val="green"/>
              </w:rPr>
            </w:pPr>
            <w:r>
              <w:t xml:space="preserve">12 </w:t>
            </w:r>
            <w:r w:rsidR="00581755" w:rsidRPr="00625155">
              <w:t>April 2022</w:t>
            </w:r>
          </w:p>
        </w:tc>
        <w:tc>
          <w:tcPr>
            <w:tcW w:w="3963" w:type="dxa"/>
            <w:shd w:val="clear" w:color="auto" w:fill="auto"/>
            <w:vAlign w:val="bottom"/>
          </w:tcPr>
          <w:p w14:paraId="4221B32C" w14:textId="154311D4" w:rsidR="00581755" w:rsidRPr="00625155" w:rsidRDefault="006F54BE" w:rsidP="00BE0030">
            <w:pPr>
              <w:pStyle w:val="SingleParagraph"/>
              <w:spacing w:after="120" w:line="240" w:lineRule="auto"/>
              <w:jc w:val="left"/>
            </w:pPr>
            <w:r>
              <w:rPr>
                <w:noProof/>
              </w:rPr>
              <w:drawing>
                <wp:inline distT="0" distB="0" distL="0" distR="0" wp14:anchorId="490FB9CC" wp14:editId="5FC542C7">
                  <wp:extent cx="2371349" cy="1124714"/>
                  <wp:effectExtent l="0" t="0" r="0" b="0"/>
                  <wp:docPr id="4" name="Picture 4" descr="Signature for Senator the Hon Simon Birmingham, Minister for Fina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for Senator the Hon Simon Birmingham, Minister for Finance.&#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71349" cy="1124714"/>
                          </a:xfrm>
                          <a:prstGeom prst="rect">
                            <a:avLst/>
                          </a:prstGeom>
                        </pic:spPr>
                      </pic:pic>
                    </a:graphicData>
                  </a:graphic>
                </wp:inline>
              </w:drawing>
            </w:r>
          </w:p>
          <w:p w14:paraId="0C007586" w14:textId="644EE7DB" w:rsidR="00581755" w:rsidRPr="00625155" w:rsidRDefault="00581755" w:rsidP="00E449DC">
            <w:pPr>
              <w:pStyle w:val="SingleParagraph"/>
              <w:spacing w:line="240" w:lineRule="auto"/>
              <w:jc w:val="left"/>
            </w:pPr>
            <w:r w:rsidRPr="00625155">
              <w:t>Senator the Hon Simon Birmingham</w:t>
            </w:r>
          </w:p>
          <w:p w14:paraId="08A947A9" w14:textId="0FCE1A96" w:rsidR="00581755" w:rsidRPr="00625155" w:rsidRDefault="00581755" w:rsidP="00E449DC">
            <w:pPr>
              <w:pStyle w:val="SingleParagraph"/>
              <w:spacing w:line="240" w:lineRule="auto"/>
              <w:jc w:val="left"/>
            </w:pPr>
            <w:r w:rsidRPr="00625155">
              <w:t>Minister for Finance</w:t>
            </w:r>
          </w:p>
          <w:p w14:paraId="612ED7CA" w14:textId="19954335" w:rsidR="00581755" w:rsidRPr="00625155" w:rsidRDefault="00236405" w:rsidP="00E449DC">
            <w:pPr>
              <w:pStyle w:val="SingleParagraph"/>
              <w:spacing w:line="240" w:lineRule="auto"/>
              <w:jc w:val="left"/>
            </w:pPr>
            <w:r>
              <w:t xml:space="preserve">12 </w:t>
            </w:r>
            <w:r w:rsidR="00581755" w:rsidRPr="00625155">
              <w:t>April 2022</w:t>
            </w:r>
          </w:p>
        </w:tc>
      </w:tr>
    </w:tbl>
    <w:p w14:paraId="592680C5" w14:textId="77777777" w:rsidR="00704FBD" w:rsidRPr="00625155" w:rsidRDefault="00704FBD" w:rsidP="00704FBD"/>
    <w:p w14:paraId="3526EF37" w14:textId="77777777" w:rsidR="00704FBD" w:rsidRPr="00625155" w:rsidRDefault="00704FBD" w:rsidP="00704FBD"/>
    <w:p w14:paraId="31B3EF2B" w14:textId="4DB77A50" w:rsidR="00704FBD" w:rsidRPr="00625155" w:rsidRDefault="00704FBD" w:rsidP="00704FBD"/>
    <w:p w14:paraId="5EEB0475" w14:textId="77777777" w:rsidR="00704FBD" w:rsidRPr="00625155" w:rsidRDefault="00704FBD" w:rsidP="00704FBD">
      <w:pPr>
        <w:sectPr w:rsidR="00704FBD" w:rsidRPr="00625155" w:rsidSect="0034104B">
          <w:footerReference w:type="first" r:id="rId28"/>
          <w:pgSz w:w="11906" w:h="16838" w:code="9"/>
          <w:pgMar w:top="2835" w:right="2098" w:bottom="2466" w:left="2098" w:header="1814" w:footer="1814" w:gutter="0"/>
          <w:pgNumType w:fmt="lowerRoman"/>
          <w:cols w:space="708"/>
          <w:titlePg/>
          <w:docGrid w:linePitch="360"/>
        </w:sectPr>
      </w:pPr>
    </w:p>
    <w:p w14:paraId="7916F369" w14:textId="4D564C6A" w:rsidR="00704FBD" w:rsidRPr="00625155" w:rsidRDefault="00704FBD" w:rsidP="00704FBD">
      <w:pPr>
        <w:pStyle w:val="Heading1"/>
      </w:pPr>
      <w:bookmarkStart w:id="22" w:name="_Toc180647543"/>
      <w:bookmarkStart w:id="23" w:name="_Toc267736151"/>
      <w:bookmarkStart w:id="24" w:name="_Toc267736210"/>
      <w:bookmarkStart w:id="25" w:name="_Toc267736244"/>
      <w:bookmarkStart w:id="26" w:name="_Toc267740045"/>
      <w:bookmarkStart w:id="27" w:name="_Toc267740130"/>
      <w:bookmarkStart w:id="28" w:name="_Toc267746906"/>
      <w:bookmarkStart w:id="29" w:name="_Toc363734441"/>
      <w:bookmarkStart w:id="30" w:name="_Toc451247557"/>
      <w:bookmarkStart w:id="31" w:name="_Toc100752512"/>
      <w:bookmarkStart w:id="32" w:name="_Toc101281537"/>
      <w:r w:rsidRPr="00625155">
        <w:t>Statement by the Secretary to the</w:t>
      </w:r>
      <w:r w:rsidRPr="00625155">
        <w:br/>
        <w:t>Treasury and the Secretary of the</w:t>
      </w:r>
      <w:r w:rsidRPr="00625155">
        <w:br/>
        <w:t>Department of Finance</w:t>
      </w:r>
      <w:bookmarkEnd w:id="22"/>
      <w:bookmarkEnd w:id="23"/>
      <w:bookmarkEnd w:id="24"/>
      <w:bookmarkEnd w:id="25"/>
      <w:bookmarkEnd w:id="26"/>
      <w:bookmarkEnd w:id="27"/>
      <w:bookmarkEnd w:id="28"/>
      <w:bookmarkEnd w:id="29"/>
      <w:bookmarkEnd w:id="30"/>
      <w:bookmarkEnd w:id="31"/>
      <w:bookmarkEnd w:id="32"/>
    </w:p>
    <w:p w14:paraId="00850D77" w14:textId="36FADB12" w:rsidR="00704FBD" w:rsidRPr="00625155" w:rsidRDefault="00704FBD" w:rsidP="00704FBD">
      <w:pPr>
        <w:spacing w:after="280"/>
      </w:pPr>
      <w:r w:rsidRPr="00625155">
        <w:t xml:space="preserve">Consistent with the </w:t>
      </w:r>
      <w:r w:rsidRPr="00625155">
        <w:rPr>
          <w:i/>
        </w:rPr>
        <w:t>Charter of Budget Honesty Act 1998</w:t>
      </w:r>
      <w:r w:rsidRPr="00625155">
        <w:t>, we declare that, to the fullest extent possible, the information in the Pre</w:t>
      </w:r>
      <w:r w:rsidR="00660645">
        <w:noBreakHyphen/>
      </w:r>
      <w:r w:rsidRPr="00625155">
        <w:t>election Economic and Fiscal Outlook 20</w:t>
      </w:r>
      <w:r w:rsidR="008A449A" w:rsidRPr="00625155">
        <w:t>22</w:t>
      </w:r>
      <w:r w:rsidRPr="00625155">
        <w:t xml:space="preserve"> for which we are responsible:</w:t>
      </w:r>
    </w:p>
    <w:p w14:paraId="0B624DB3" w14:textId="01BD832A" w:rsidR="00704FBD" w:rsidRPr="00625155" w:rsidRDefault="00704FBD" w:rsidP="0034104B">
      <w:pPr>
        <w:pStyle w:val="PrelimsAlpha"/>
      </w:pPr>
      <w:r w:rsidRPr="00625155">
        <w:t>(</w:t>
      </w:r>
      <w:proofErr w:type="spellStart"/>
      <w:r w:rsidRPr="00625155">
        <w:t>i</w:t>
      </w:r>
      <w:proofErr w:type="spellEnd"/>
      <w:r w:rsidRPr="00625155">
        <w:t>)</w:t>
      </w:r>
      <w:r w:rsidRPr="00625155">
        <w:tab/>
        <w:t>reflects the best professional judgment of the officers of the Treasury and the Department of Finance</w:t>
      </w:r>
    </w:p>
    <w:p w14:paraId="554B79BC" w14:textId="538701E5" w:rsidR="00704FBD" w:rsidRPr="00625155" w:rsidRDefault="00704FBD" w:rsidP="0034104B">
      <w:pPr>
        <w:pStyle w:val="PrelimsAlpha"/>
      </w:pPr>
      <w:r w:rsidRPr="00625155">
        <w:t>(ii)</w:t>
      </w:r>
      <w:r w:rsidRPr="00625155">
        <w:tab/>
        <w:t>takes into account all economic and fiscal information available</w:t>
      </w:r>
    </w:p>
    <w:p w14:paraId="4B89FEFF" w14:textId="7C60C479" w:rsidR="00704FBD" w:rsidRPr="00625155" w:rsidRDefault="00704FBD" w:rsidP="0034104B">
      <w:pPr>
        <w:pStyle w:val="PrelimsAlpha"/>
      </w:pPr>
      <w:r w:rsidRPr="00625155">
        <w:t>(iii)</w:t>
      </w:r>
      <w:r w:rsidRPr="00625155">
        <w:tab/>
        <w:t>incorporates the fiscal implications of Government decisions and circumstances disclosed by the responsible Ministers.</w:t>
      </w:r>
    </w:p>
    <w:tbl>
      <w:tblPr>
        <w:tblW w:w="0" w:type="auto"/>
        <w:tblCellMar>
          <w:left w:w="0" w:type="dxa"/>
          <w:right w:w="0" w:type="dxa"/>
        </w:tblCellMar>
        <w:tblLook w:val="04A0" w:firstRow="1" w:lastRow="0" w:firstColumn="1" w:lastColumn="0" w:noHBand="0" w:noVBand="1"/>
      </w:tblPr>
      <w:tblGrid>
        <w:gridCol w:w="3778"/>
        <w:gridCol w:w="3932"/>
      </w:tblGrid>
      <w:tr w:rsidR="00704FBD" w:rsidRPr="00625155" w14:paraId="64733DE4" w14:textId="77777777" w:rsidTr="00581755">
        <w:trPr>
          <w:trHeight w:val="2855"/>
        </w:trPr>
        <w:tc>
          <w:tcPr>
            <w:tcW w:w="3963" w:type="dxa"/>
            <w:shd w:val="clear" w:color="auto" w:fill="auto"/>
            <w:vAlign w:val="bottom"/>
          </w:tcPr>
          <w:p w14:paraId="08A95B42" w14:textId="24110E08" w:rsidR="00581755" w:rsidRPr="00625155" w:rsidRDefault="00824C00" w:rsidP="00BE0030">
            <w:pPr>
              <w:pStyle w:val="SingleParagraph"/>
              <w:spacing w:after="120" w:line="240" w:lineRule="auto"/>
              <w:jc w:val="left"/>
              <w:rPr>
                <w:noProof/>
              </w:rPr>
            </w:pPr>
            <w:r>
              <w:rPr>
                <w:noProof/>
              </w:rPr>
              <w:drawing>
                <wp:inline distT="0" distB="0" distL="0" distR="0" wp14:anchorId="3D541230" wp14:editId="0F974A93">
                  <wp:extent cx="1695450" cy="1535947"/>
                  <wp:effectExtent l="0" t="0" r="0" b="0"/>
                  <wp:docPr id="6" name="Picture 6" descr="Signature for Dr Steven Kennedy, PSM, Secretary to the Treasu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ature for Dr Steven Kennedy, PSM, Secretary to the Treasury&#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97661" cy="1537950"/>
                          </a:xfrm>
                          <a:prstGeom prst="rect">
                            <a:avLst/>
                          </a:prstGeom>
                        </pic:spPr>
                      </pic:pic>
                    </a:graphicData>
                  </a:graphic>
                </wp:inline>
              </w:drawing>
            </w:r>
          </w:p>
          <w:p w14:paraId="080848C5" w14:textId="04C73684" w:rsidR="00704FBD" w:rsidRPr="00625155" w:rsidRDefault="0017653B" w:rsidP="00CD7429">
            <w:pPr>
              <w:pStyle w:val="SingleParagraph"/>
              <w:spacing w:line="240" w:lineRule="auto"/>
              <w:jc w:val="left"/>
            </w:pPr>
            <w:r w:rsidRPr="00625155">
              <w:rPr>
                <w:noProof/>
              </w:rPr>
              <w:t>Dr Steven Kennedy</w:t>
            </w:r>
            <w:r w:rsidR="00B8063F" w:rsidRPr="00625155">
              <w:rPr>
                <w:noProof/>
              </w:rPr>
              <w:t>,</w:t>
            </w:r>
            <w:r w:rsidR="007F64FD" w:rsidRPr="00625155">
              <w:rPr>
                <w:noProof/>
              </w:rPr>
              <w:t xml:space="preserve"> PSM</w:t>
            </w:r>
          </w:p>
          <w:p w14:paraId="40DC4FA9" w14:textId="77777777" w:rsidR="00704FBD" w:rsidRPr="00625155" w:rsidRDefault="00704FBD" w:rsidP="00CD7429">
            <w:pPr>
              <w:pStyle w:val="SingleParagraph"/>
              <w:spacing w:line="240" w:lineRule="auto"/>
              <w:jc w:val="left"/>
            </w:pPr>
            <w:r w:rsidRPr="00625155">
              <w:t>Secretary to the Treasury</w:t>
            </w:r>
          </w:p>
          <w:p w14:paraId="5EE8D2AC" w14:textId="6D8878C6" w:rsidR="00704FBD" w:rsidRPr="00CB1385" w:rsidRDefault="00476707" w:rsidP="00CD7429">
            <w:pPr>
              <w:pStyle w:val="SingleParagraph"/>
              <w:spacing w:line="240" w:lineRule="auto"/>
              <w:jc w:val="left"/>
              <w:rPr>
                <w:highlight w:val="green"/>
              </w:rPr>
            </w:pPr>
            <w:r>
              <w:t xml:space="preserve">19 </w:t>
            </w:r>
            <w:r w:rsidR="000302CF" w:rsidRPr="00625155">
              <w:t xml:space="preserve">April </w:t>
            </w:r>
            <w:r w:rsidR="00704FBD" w:rsidRPr="00625155">
              <w:t>20</w:t>
            </w:r>
            <w:r w:rsidR="0017653B" w:rsidRPr="00625155">
              <w:t>22</w:t>
            </w:r>
          </w:p>
        </w:tc>
        <w:tc>
          <w:tcPr>
            <w:tcW w:w="3963" w:type="dxa"/>
            <w:shd w:val="clear" w:color="auto" w:fill="auto"/>
            <w:vAlign w:val="bottom"/>
          </w:tcPr>
          <w:p w14:paraId="10A81CE0" w14:textId="7B31F23F" w:rsidR="00581755" w:rsidRPr="00625155" w:rsidRDefault="006F54BE" w:rsidP="00BE0030">
            <w:pPr>
              <w:pStyle w:val="SingleParagraph"/>
              <w:spacing w:after="120" w:line="240" w:lineRule="auto"/>
              <w:jc w:val="left"/>
              <w:rPr>
                <w:lang w:val="en"/>
              </w:rPr>
            </w:pPr>
            <w:r>
              <w:rPr>
                <w:noProof/>
              </w:rPr>
              <w:drawing>
                <wp:inline distT="0" distB="0" distL="0" distR="0" wp14:anchorId="462764AE" wp14:editId="64B770DB">
                  <wp:extent cx="2377445" cy="926594"/>
                  <wp:effectExtent l="0" t="0" r="0" b="0"/>
                  <wp:docPr id="5" name="Picture 5" descr="Signature for Ms Rosemary Huxtable, PSM, Secretary, Department of Fina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for Ms Rosemary Huxtable, PSM, Secretary, Department of Finance&#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77445" cy="926594"/>
                          </a:xfrm>
                          <a:prstGeom prst="rect">
                            <a:avLst/>
                          </a:prstGeom>
                        </pic:spPr>
                      </pic:pic>
                    </a:graphicData>
                  </a:graphic>
                </wp:inline>
              </w:drawing>
            </w:r>
          </w:p>
          <w:p w14:paraId="24E6E6E1" w14:textId="6DE8A252" w:rsidR="00704FBD" w:rsidRPr="00625155" w:rsidRDefault="00704FBD" w:rsidP="00CD7429">
            <w:pPr>
              <w:pStyle w:val="SingleParagraph"/>
              <w:spacing w:line="240" w:lineRule="auto"/>
              <w:jc w:val="left"/>
            </w:pPr>
            <w:proofErr w:type="spellStart"/>
            <w:r w:rsidRPr="00625155">
              <w:rPr>
                <w:lang w:val="en"/>
              </w:rPr>
              <w:t>Ms</w:t>
            </w:r>
            <w:proofErr w:type="spellEnd"/>
            <w:r w:rsidRPr="00625155">
              <w:rPr>
                <w:lang w:val="en"/>
              </w:rPr>
              <w:t xml:space="preserve"> Rosemary Huxtable, PSM</w:t>
            </w:r>
            <w:r w:rsidRPr="00625155">
              <w:t xml:space="preserve"> </w:t>
            </w:r>
          </w:p>
          <w:p w14:paraId="493409C6" w14:textId="77777777" w:rsidR="00704FBD" w:rsidRPr="00625155" w:rsidRDefault="00704FBD" w:rsidP="00CD7429">
            <w:pPr>
              <w:pStyle w:val="SingleParagraph"/>
              <w:spacing w:line="240" w:lineRule="auto"/>
              <w:jc w:val="left"/>
            </w:pPr>
            <w:r w:rsidRPr="00625155">
              <w:t>Secretary, Department of Finance</w:t>
            </w:r>
          </w:p>
          <w:p w14:paraId="6C67C812" w14:textId="15C7B5E6" w:rsidR="00704FBD" w:rsidRPr="00625155" w:rsidRDefault="00476707" w:rsidP="00CD7429">
            <w:pPr>
              <w:pStyle w:val="SingleParagraph"/>
              <w:spacing w:line="240" w:lineRule="auto"/>
              <w:jc w:val="left"/>
            </w:pPr>
            <w:r>
              <w:t xml:space="preserve">19 </w:t>
            </w:r>
            <w:r w:rsidR="000302CF" w:rsidRPr="00625155">
              <w:t xml:space="preserve">April </w:t>
            </w:r>
            <w:r w:rsidR="0017653B" w:rsidRPr="00625155">
              <w:t>2022</w:t>
            </w:r>
          </w:p>
        </w:tc>
      </w:tr>
    </w:tbl>
    <w:p w14:paraId="729E251A" w14:textId="30E40850" w:rsidR="00577B49" w:rsidRPr="00625155" w:rsidRDefault="00577B49">
      <w:pPr>
        <w:spacing w:after="160" w:line="259" w:lineRule="auto"/>
        <w:jc w:val="left"/>
      </w:pPr>
    </w:p>
    <w:p w14:paraId="02E57433" w14:textId="77777777" w:rsidR="00D9446A" w:rsidRPr="00625155" w:rsidRDefault="00D9446A" w:rsidP="00702304">
      <w:pPr>
        <w:sectPr w:rsidR="00D9446A" w:rsidRPr="00625155" w:rsidSect="0034104B">
          <w:headerReference w:type="even" r:id="rId31"/>
          <w:headerReference w:type="default" r:id="rId32"/>
          <w:footerReference w:type="even" r:id="rId33"/>
          <w:footerReference w:type="default" r:id="rId34"/>
          <w:headerReference w:type="first" r:id="rId35"/>
          <w:footerReference w:type="first" r:id="rId36"/>
          <w:pgSz w:w="11906" w:h="16838" w:code="9"/>
          <w:pgMar w:top="2835" w:right="2098" w:bottom="2466" w:left="2098" w:header="1814" w:footer="1814" w:gutter="0"/>
          <w:pgNumType w:fmt="lowerRoman"/>
          <w:cols w:space="708"/>
          <w:titlePg/>
          <w:docGrid w:linePitch="360"/>
        </w:sectPr>
      </w:pPr>
    </w:p>
    <w:p w14:paraId="22B5F049" w14:textId="5F71D2E9" w:rsidR="00D40DDC" w:rsidRPr="00625155" w:rsidRDefault="00D40DDC" w:rsidP="00E449DC">
      <w:pPr>
        <w:pStyle w:val="Heading1"/>
      </w:pPr>
      <w:bookmarkStart w:id="33" w:name="_Toc100752513"/>
      <w:bookmarkStart w:id="34" w:name="_Toc101281538"/>
      <w:r w:rsidRPr="00625155">
        <w:rPr>
          <w:rFonts w:cs="Arial"/>
        </w:rPr>
        <w:t>Pre</w:t>
      </w:r>
      <w:r w:rsidR="00660645">
        <w:rPr>
          <w:rFonts w:cs="Arial"/>
        </w:rPr>
        <w:noBreakHyphen/>
      </w:r>
      <w:r w:rsidRPr="00625155">
        <w:rPr>
          <w:rFonts w:cs="Arial"/>
        </w:rPr>
        <w:t>election Economic and Fiscal Outlook</w:t>
      </w:r>
      <w:bookmarkEnd w:id="33"/>
      <w:bookmarkEnd w:id="34"/>
    </w:p>
    <w:p w14:paraId="38CFF244" w14:textId="5DC60CFD" w:rsidR="00D40DDC" w:rsidRPr="00625155" w:rsidRDefault="00D40DDC" w:rsidP="00E449DC">
      <w:pPr>
        <w:pStyle w:val="Heading2"/>
      </w:pPr>
      <w:bookmarkStart w:id="35" w:name="_Toc100752514"/>
      <w:bookmarkStart w:id="36" w:name="_Toc101281539"/>
      <w:r w:rsidRPr="00625155">
        <w:t>Overview</w:t>
      </w:r>
      <w:bookmarkEnd w:id="35"/>
      <w:bookmarkEnd w:id="36"/>
    </w:p>
    <w:p w14:paraId="1C8DFB10" w14:textId="0603B254" w:rsidR="00D40DDC" w:rsidRPr="00625155" w:rsidRDefault="00D40DDC" w:rsidP="0034104B">
      <w:r w:rsidRPr="00625155">
        <w:t>Consistent with the Charter, the 2022 PEFO provides updated fiscal and economic estimates and projections, based on the best professional judgment of the Treasury and the Department of Finance, reflecting all known information at the time of the issue of the election writs.</w:t>
      </w:r>
    </w:p>
    <w:p w14:paraId="7D7FDBF4" w14:textId="72C32C6A" w:rsidR="00D40DDC" w:rsidRPr="00625155" w:rsidRDefault="00D40DDC" w:rsidP="00714962">
      <w:r w:rsidRPr="00625155">
        <w:t>The economic</w:t>
      </w:r>
      <w:r w:rsidRPr="00F03213">
        <w:t xml:space="preserve"> </w:t>
      </w:r>
      <w:r w:rsidRPr="00625155">
        <w:t>and fiscal outlook has not materially changed since the publication of the 2022</w:t>
      </w:r>
      <w:r w:rsidR="00660645">
        <w:noBreakHyphen/>
      </w:r>
      <w:r w:rsidRPr="00625155">
        <w:t xml:space="preserve">23 Budget on 29 March 2022. </w:t>
      </w:r>
      <w:r w:rsidR="00D94BDE" w:rsidRPr="00625155">
        <w:t xml:space="preserve">While there has been recent movement in </w:t>
      </w:r>
      <w:r w:rsidR="0023266D">
        <w:t>some</w:t>
      </w:r>
      <w:r w:rsidR="00D94BDE" w:rsidRPr="00625155">
        <w:t xml:space="preserve"> economic indicators, </w:t>
      </w:r>
      <w:r w:rsidR="0039191F" w:rsidRPr="00625155">
        <w:rPr>
          <w:rFonts w:eastAsia="Calibri"/>
        </w:rPr>
        <w:t>taking into account all available information</w:t>
      </w:r>
      <w:r w:rsidR="00FB3847" w:rsidRPr="00625155">
        <w:rPr>
          <w:rFonts w:eastAsia="Calibri"/>
        </w:rPr>
        <w:t>,</w:t>
      </w:r>
      <w:r w:rsidR="0039191F" w:rsidRPr="00625155">
        <w:rPr>
          <w:rFonts w:eastAsia="Calibri"/>
        </w:rPr>
        <w:t xml:space="preserve"> </w:t>
      </w:r>
      <w:r w:rsidR="00D94BDE" w:rsidRPr="00625155">
        <w:t xml:space="preserve">our judgment is that </w:t>
      </w:r>
      <w:r w:rsidR="0078152A" w:rsidRPr="00625155">
        <w:t>the</w:t>
      </w:r>
      <w:r w:rsidR="00927E7C">
        <w:t>s</w:t>
      </w:r>
      <w:r w:rsidR="0078152A" w:rsidRPr="00625155">
        <w:t xml:space="preserve">e </w:t>
      </w:r>
      <w:r w:rsidR="00927E7C">
        <w:t>have</w:t>
      </w:r>
      <w:r w:rsidR="0078152A" w:rsidRPr="00625155">
        <w:t xml:space="preserve"> not </w:t>
      </w:r>
      <w:r w:rsidR="00927E7C">
        <w:t>materially altered</w:t>
      </w:r>
      <w:r w:rsidR="00200CE5" w:rsidRPr="00625155">
        <w:t xml:space="preserve"> th</w:t>
      </w:r>
      <w:r w:rsidR="00234B3D" w:rsidRPr="00625155">
        <w:t>e economic and fiscal outlook</w:t>
      </w:r>
      <w:r w:rsidR="00D94BDE" w:rsidRPr="00625155">
        <w:t xml:space="preserve">. </w:t>
      </w:r>
    </w:p>
    <w:p w14:paraId="28982AB3" w14:textId="601A1049" w:rsidR="00D40DDC" w:rsidRPr="00625155" w:rsidRDefault="00D40DDC" w:rsidP="00E449DC">
      <w:r w:rsidRPr="00625155">
        <w:t>An underlying cash deficit of $</w:t>
      </w:r>
      <w:r w:rsidR="00BB5069">
        <w:t xml:space="preserve">77.9 </w:t>
      </w:r>
      <w:r w:rsidRPr="00625155">
        <w:t>billion (3.4 per cent of GDP) is expected in 2022</w:t>
      </w:r>
      <w:r w:rsidR="00660645">
        <w:noBreakHyphen/>
      </w:r>
      <w:r w:rsidRPr="00625155">
        <w:t>23. The deficit is projected to narrow</w:t>
      </w:r>
      <w:r w:rsidRPr="00625155" w:rsidDel="00543964">
        <w:t xml:space="preserve"> </w:t>
      </w:r>
      <w:r w:rsidRPr="00625155">
        <w:t xml:space="preserve">across the forward estimates, reaching </w:t>
      </w:r>
      <w:r w:rsidR="00682E2E" w:rsidRPr="00625155">
        <w:t>1.6</w:t>
      </w:r>
      <w:r w:rsidRPr="00625155">
        <w:t xml:space="preserve"> per cent of GDP by </w:t>
      </w:r>
      <w:r w:rsidR="00FC1AD2" w:rsidRPr="00625155">
        <w:t>2025</w:t>
      </w:r>
      <w:r w:rsidR="00660645">
        <w:noBreakHyphen/>
      </w:r>
      <w:r w:rsidR="00FC1AD2" w:rsidRPr="00625155">
        <w:t>26</w:t>
      </w:r>
      <w:r w:rsidR="00A74A88" w:rsidRPr="00625155">
        <w:t>.</w:t>
      </w:r>
      <w:r w:rsidR="002052D1" w:rsidRPr="00625155">
        <w:t xml:space="preserve"> </w:t>
      </w:r>
      <w:r w:rsidRPr="00625155">
        <w:t xml:space="preserve">Gross debt is expected to peak at </w:t>
      </w:r>
      <w:r w:rsidR="007F6778" w:rsidRPr="00625155">
        <w:t>44</w:t>
      </w:r>
      <w:r w:rsidRPr="00625155">
        <w:t>.</w:t>
      </w:r>
      <w:r w:rsidR="007F6778" w:rsidRPr="00625155" w:rsidDel="00BB5069">
        <w:t>9</w:t>
      </w:r>
      <w:r w:rsidR="00682E2E" w:rsidRPr="00625155">
        <w:t> </w:t>
      </w:r>
      <w:r w:rsidR="00D6573D" w:rsidRPr="00625155">
        <w:t>per</w:t>
      </w:r>
      <w:r w:rsidR="00682E2E" w:rsidRPr="00625155">
        <w:t> </w:t>
      </w:r>
      <w:r w:rsidR="00D6573D" w:rsidRPr="00625155">
        <w:t>cent</w:t>
      </w:r>
      <w:r w:rsidRPr="00625155">
        <w:t xml:space="preserve"> of GDP at </w:t>
      </w:r>
      <w:r w:rsidR="007F6778" w:rsidRPr="00625155">
        <w:t>30</w:t>
      </w:r>
      <w:r w:rsidR="00682E2E" w:rsidRPr="00625155">
        <w:t> </w:t>
      </w:r>
      <w:r w:rsidR="007F6778" w:rsidRPr="00625155">
        <w:t>June</w:t>
      </w:r>
      <w:r w:rsidR="00682E2E" w:rsidRPr="00625155">
        <w:t> </w:t>
      </w:r>
      <w:r w:rsidR="007F6778" w:rsidRPr="00625155">
        <w:t>2025</w:t>
      </w:r>
      <w:r w:rsidR="002052D1" w:rsidRPr="00625155">
        <w:t xml:space="preserve">. </w:t>
      </w:r>
      <w:r w:rsidRPr="00625155">
        <w:t xml:space="preserve">Net debt is expected to </w:t>
      </w:r>
      <w:r w:rsidR="00B92D22" w:rsidRPr="00625155">
        <w:t>stabilise</w:t>
      </w:r>
      <w:r w:rsidRPr="00625155">
        <w:t xml:space="preserve"> at </w:t>
      </w:r>
      <w:r w:rsidR="00DC5EB0" w:rsidRPr="00625155">
        <w:t>33.1</w:t>
      </w:r>
      <w:r w:rsidR="00682E2E" w:rsidRPr="00625155">
        <w:t> </w:t>
      </w:r>
      <w:r w:rsidR="00021CAE" w:rsidRPr="00625155">
        <w:t>per</w:t>
      </w:r>
      <w:r w:rsidR="00682E2E" w:rsidRPr="00625155">
        <w:t> </w:t>
      </w:r>
      <w:r w:rsidR="00021CAE" w:rsidRPr="00625155">
        <w:t xml:space="preserve">cent </w:t>
      </w:r>
      <w:r w:rsidRPr="00625155">
        <w:t xml:space="preserve">of GDP </w:t>
      </w:r>
      <w:r w:rsidR="00314564" w:rsidRPr="00625155">
        <w:t>by</w:t>
      </w:r>
      <w:r w:rsidR="00B92D22" w:rsidRPr="00625155">
        <w:t xml:space="preserve"> </w:t>
      </w:r>
      <w:r w:rsidRPr="00625155">
        <w:t xml:space="preserve">the end of the </w:t>
      </w:r>
      <w:r w:rsidR="00B92D22" w:rsidRPr="00625155">
        <w:t>forward estimates</w:t>
      </w:r>
      <w:r w:rsidRPr="00625155">
        <w:t xml:space="preserve">. Table 1 provides estimates of the </w:t>
      </w:r>
      <w:r w:rsidR="00563D21" w:rsidRPr="00625155">
        <w:t xml:space="preserve">major fiscal aggregates. </w:t>
      </w:r>
    </w:p>
    <w:p w14:paraId="1C93DE55" w14:textId="54543FDC" w:rsidR="00A549B8" w:rsidRDefault="00D40DDC" w:rsidP="00DA79D2">
      <w:pPr>
        <w:pStyle w:val="TableHeading"/>
        <w:rPr>
          <w:rFonts w:asciiTheme="minorHAnsi" w:eastAsiaTheme="minorHAnsi" w:hAnsiTheme="minorHAnsi" w:cstheme="minorBidi"/>
          <w:sz w:val="22"/>
          <w:szCs w:val="22"/>
          <w:lang w:eastAsia="en-US"/>
        </w:rPr>
      </w:pPr>
      <w:r w:rsidRPr="00625155">
        <w:rPr>
          <w:rFonts w:cs="Arial"/>
        </w:rPr>
        <w:t>Table 1: Budget aggregates</w:t>
      </w:r>
    </w:p>
    <w:tbl>
      <w:tblPr>
        <w:tblW w:w="5000" w:type="pct"/>
        <w:tblCellMar>
          <w:left w:w="0" w:type="dxa"/>
          <w:right w:w="28" w:type="dxa"/>
        </w:tblCellMar>
        <w:tblLook w:val="04A0" w:firstRow="1" w:lastRow="0" w:firstColumn="1" w:lastColumn="0" w:noHBand="0" w:noVBand="1"/>
      </w:tblPr>
      <w:tblGrid>
        <w:gridCol w:w="2481"/>
        <w:gridCol w:w="685"/>
        <w:gridCol w:w="128"/>
        <w:gridCol w:w="714"/>
        <w:gridCol w:w="712"/>
        <w:gridCol w:w="712"/>
        <w:gridCol w:w="712"/>
        <w:gridCol w:w="712"/>
        <w:gridCol w:w="128"/>
        <w:gridCol w:w="726"/>
      </w:tblGrid>
      <w:tr w:rsidR="00A549B8" w:rsidRPr="00A549B8" w14:paraId="2F8D5906" w14:textId="77777777" w:rsidTr="00A549B8">
        <w:trPr>
          <w:trHeight w:hRule="exact" w:val="225"/>
        </w:trPr>
        <w:tc>
          <w:tcPr>
            <w:tcW w:w="1608" w:type="pct"/>
            <w:tcBorders>
              <w:top w:val="single" w:sz="4" w:space="0" w:color="000000"/>
              <w:left w:val="nil"/>
              <w:bottom w:val="nil"/>
              <w:right w:val="nil"/>
            </w:tcBorders>
            <w:shd w:val="clear" w:color="000000" w:fill="FFFFFF"/>
            <w:noWrap/>
            <w:vAlign w:val="center"/>
            <w:hideMark/>
          </w:tcPr>
          <w:p w14:paraId="7C282729" w14:textId="35FF4201" w:rsidR="00A549B8" w:rsidRPr="00A549B8" w:rsidRDefault="00A549B8" w:rsidP="00DA79D2">
            <w:pPr>
              <w:spacing w:after="0" w:line="240" w:lineRule="auto"/>
              <w:jc w:val="left"/>
              <w:rPr>
                <w:rFonts w:ascii="Arial" w:hAnsi="Arial" w:cs="Arial"/>
                <w:color w:val="000000"/>
                <w:sz w:val="16"/>
                <w:szCs w:val="16"/>
              </w:rPr>
            </w:pPr>
            <w:r w:rsidRPr="00A549B8">
              <w:rPr>
                <w:rFonts w:ascii="Arial" w:hAnsi="Arial" w:cs="Arial"/>
                <w:color w:val="000000"/>
                <w:sz w:val="16"/>
                <w:szCs w:val="16"/>
              </w:rPr>
              <w:t> </w:t>
            </w:r>
          </w:p>
        </w:tc>
        <w:tc>
          <w:tcPr>
            <w:tcW w:w="444" w:type="pct"/>
            <w:tcBorders>
              <w:top w:val="single" w:sz="4" w:space="0" w:color="000000"/>
              <w:left w:val="nil"/>
              <w:bottom w:val="nil"/>
              <w:right w:val="nil"/>
            </w:tcBorders>
            <w:shd w:val="clear" w:color="000000" w:fill="FFFFFF"/>
            <w:noWrap/>
            <w:vAlign w:val="center"/>
            <w:hideMark/>
          </w:tcPr>
          <w:p w14:paraId="2B735724" w14:textId="77777777" w:rsidR="00A549B8" w:rsidRPr="00DA79D2" w:rsidRDefault="00A549B8" w:rsidP="00DA79D2">
            <w:pPr>
              <w:spacing w:after="0" w:line="240" w:lineRule="auto"/>
              <w:jc w:val="center"/>
              <w:rPr>
                <w:rFonts w:ascii="Arial" w:hAnsi="Arial" w:cs="Arial"/>
                <w:color w:val="000000"/>
                <w:sz w:val="16"/>
                <w:szCs w:val="16"/>
              </w:rPr>
            </w:pPr>
            <w:r w:rsidRPr="00DA79D2">
              <w:rPr>
                <w:rFonts w:ascii="Arial" w:hAnsi="Arial" w:cs="Arial"/>
                <w:color w:val="000000"/>
                <w:sz w:val="16"/>
                <w:szCs w:val="16"/>
              </w:rPr>
              <w:t>Actual</w:t>
            </w:r>
          </w:p>
        </w:tc>
        <w:tc>
          <w:tcPr>
            <w:tcW w:w="83" w:type="pct"/>
            <w:tcBorders>
              <w:top w:val="single" w:sz="4" w:space="0" w:color="000000"/>
              <w:left w:val="nil"/>
              <w:bottom w:val="nil"/>
              <w:right w:val="nil"/>
            </w:tcBorders>
            <w:shd w:val="clear" w:color="000000" w:fill="FFFFFF"/>
            <w:noWrap/>
            <w:vAlign w:val="center"/>
            <w:hideMark/>
          </w:tcPr>
          <w:p w14:paraId="02E2D4AD" w14:textId="77777777" w:rsidR="00A549B8" w:rsidRPr="00DA79D2" w:rsidRDefault="00A549B8" w:rsidP="00DA79D2">
            <w:pPr>
              <w:spacing w:after="0" w:line="240" w:lineRule="auto"/>
              <w:jc w:val="center"/>
              <w:rPr>
                <w:rFonts w:ascii="Arial" w:hAnsi="Arial" w:cs="Arial"/>
                <w:color w:val="000000"/>
                <w:sz w:val="16"/>
                <w:szCs w:val="16"/>
              </w:rPr>
            </w:pPr>
            <w:r w:rsidRPr="00DA79D2">
              <w:rPr>
                <w:rFonts w:ascii="Arial" w:hAnsi="Arial" w:cs="Arial"/>
                <w:color w:val="000000"/>
                <w:sz w:val="16"/>
                <w:szCs w:val="16"/>
              </w:rPr>
              <w:t> </w:t>
            </w:r>
          </w:p>
        </w:tc>
        <w:tc>
          <w:tcPr>
            <w:tcW w:w="2311" w:type="pct"/>
            <w:gridSpan w:val="5"/>
            <w:tcBorders>
              <w:top w:val="single" w:sz="4" w:space="0" w:color="000000"/>
              <w:left w:val="nil"/>
              <w:bottom w:val="single" w:sz="4" w:space="0" w:color="000000"/>
              <w:right w:val="nil"/>
            </w:tcBorders>
            <w:shd w:val="clear" w:color="000000" w:fill="FFFFFF"/>
            <w:noWrap/>
            <w:vAlign w:val="center"/>
            <w:hideMark/>
          </w:tcPr>
          <w:p w14:paraId="5305A718" w14:textId="77777777" w:rsidR="00A549B8" w:rsidRPr="00DA79D2" w:rsidRDefault="00A549B8" w:rsidP="00DA79D2">
            <w:pPr>
              <w:spacing w:after="0" w:line="240" w:lineRule="auto"/>
              <w:jc w:val="center"/>
              <w:rPr>
                <w:rFonts w:ascii="Arial" w:hAnsi="Arial" w:cs="Arial"/>
                <w:sz w:val="16"/>
                <w:szCs w:val="16"/>
              </w:rPr>
            </w:pPr>
            <w:r w:rsidRPr="00DA79D2">
              <w:rPr>
                <w:rFonts w:ascii="Arial" w:hAnsi="Arial" w:cs="Arial"/>
                <w:sz w:val="16"/>
                <w:szCs w:val="16"/>
              </w:rPr>
              <w:t>Estimates</w:t>
            </w:r>
          </w:p>
        </w:tc>
        <w:tc>
          <w:tcPr>
            <w:tcW w:w="83" w:type="pct"/>
            <w:tcBorders>
              <w:top w:val="single" w:sz="4" w:space="0" w:color="000000"/>
              <w:left w:val="nil"/>
              <w:bottom w:val="nil"/>
              <w:right w:val="nil"/>
            </w:tcBorders>
            <w:shd w:val="clear" w:color="000000" w:fill="FFFFFF"/>
            <w:noWrap/>
            <w:vAlign w:val="center"/>
            <w:hideMark/>
          </w:tcPr>
          <w:p w14:paraId="1AE8310B" w14:textId="77777777" w:rsidR="00A549B8" w:rsidRPr="00DA79D2" w:rsidRDefault="00A549B8" w:rsidP="00DA79D2">
            <w:pPr>
              <w:spacing w:after="0" w:line="240" w:lineRule="auto"/>
              <w:jc w:val="left"/>
              <w:rPr>
                <w:rFonts w:ascii="Arial" w:hAnsi="Arial" w:cs="Arial"/>
                <w:sz w:val="16"/>
                <w:szCs w:val="16"/>
              </w:rPr>
            </w:pPr>
            <w:r w:rsidRPr="00DA79D2">
              <w:rPr>
                <w:rFonts w:ascii="Arial" w:hAnsi="Arial" w:cs="Arial"/>
                <w:sz w:val="16"/>
                <w:szCs w:val="16"/>
              </w:rPr>
              <w:t> </w:t>
            </w:r>
          </w:p>
        </w:tc>
        <w:tc>
          <w:tcPr>
            <w:tcW w:w="471" w:type="pct"/>
            <w:tcBorders>
              <w:top w:val="single" w:sz="4" w:space="0" w:color="000000"/>
              <w:left w:val="nil"/>
              <w:bottom w:val="nil"/>
              <w:right w:val="nil"/>
            </w:tcBorders>
            <w:shd w:val="clear" w:color="000000" w:fill="FFFFFF"/>
            <w:noWrap/>
            <w:vAlign w:val="center"/>
            <w:hideMark/>
          </w:tcPr>
          <w:p w14:paraId="58AE3E00" w14:textId="77777777" w:rsidR="00A549B8" w:rsidRPr="00DA79D2" w:rsidRDefault="00A549B8" w:rsidP="00DA79D2">
            <w:pPr>
              <w:spacing w:after="0" w:line="240" w:lineRule="auto"/>
              <w:jc w:val="left"/>
              <w:rPr>
                <w:rFonts w:ascii="Arial" w:hAnsi="Arial" w:cs="Arial"/>
                <w:sz w:val="16"/>
                <w:szCs w:val="16"/>
              </w:rPr>
            </w:pPr>
            <w:r w:rsidRPr="00DA79D2">
              <w:rPr>
                <w:rFonts w:ascii="Arial" w:hAnsi="Arial" w:cs="Arial"/>
                <w:sz w:val="16"/>
                <w:szCs w:val="16"/>
              </w:rPr>
              <w:t> </w:t>
            </w:r>
          </w:p>
        </w:tc>
      </w:tr>
      <w:tr w:rsidR="00AF05B9" w:rsidRPr="00A549B8" w14:paraId="51C48AB4"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5C9CF88B" w14:textId="77777777" w:rsidR="00A549B8" w:rsidRPr="00DA79D2" w:rsidRDefault="00A549B8" w:rsidP="00DA79D2">
            <w:pPr>
              <w:spacing w:after="0" w:line="240" w:lineRule="auto"/>
              <w:jc w:val="left"/>
              <w:rPr>
                <w:rFonts w:ascii="Arial" w:hAnsi="Arial" w:cs="Arial"/>
                <w:color w:val="000000"/>
                <w:sz w:val="16"/>
                <w:szCs w:val="16"/>
              </w:rPr>
            </w:pPr>
            <w:r w:rsidRPr="00DA79D2">
              <w:rPr>
                <w:rFonts w:ascii="Arial" w:hAnsi="Arial" w:cs="Arial"/>
                <w:color w:val="000000"/>
                <w:sz w:val="16"/>
                <w:szCs w:val="16"/>
              </w:rPr>
              <w:t> </w:t>
            </w:r>
          </w:p>
        </w:tc>
        <w:tc>
          <w:tcPr>
            <w:tcW w:w="444" w:type="pct"/>
            <w:tcBorders>
              <w:top w:val="single" w:sz="4" w:space="0" w:color="000000"/>
              <w:left w:val="nil"/>
              <w:bottom w:val="nil"/>
              <w:right w:val="nil"/>
            </w:tcBorders>
            <w:shd w:val="clear" w:color="000000" w:fill="FFFFFF"/>
            <w:noWrap/>
            <w:vAlign w:val="center"/>
            <w:hideMark/>
          </w:tcPr>
          <w:p w14:paraId="0CF7E3A3" w14:textId="0F29DB4B" w:rsidR="00A549B8" w:rsidRPr="00DA79D2" w:rsidRDefault="00A549B8" w:rsidP="00DA79D2">
            <w:pPr>
              <w:spacing w:after="0" w:line="240" w:lineRule="auto"/>
              <w:jc w:val="right"/>
              <w:rPr>
                <w:rFonts w:ascii="Arial" w:hAnsi="Arial" w:cs="Arial"/>
                <w:color w:val="000000"/>
                <w:sz w:val="16"/>
                <w:szCs w:val="16"/>
              </w:rPr>
            </w:pPr>
            <w:r w:rsidRPr="00DA79D2">
              <w:rPr>
                <w:rFonts w:ascii="Arial" w:hAnsi="Arial" w:cs="Arial"/>
                <w:color w:val="000000"/>
                <w:sz w:val="16"/>
                <w:szCs w:val="16"/>
              </w:rPr>
              <w:t>2020</w:t>
            </w:r>
            <w:r w:rsidR="00660645">
              <w:rPr>
                <w:rFonts w:ascii="Arial" w:hAnsi="Arial" w:cs="Arial"/>
                <w:color w:val="000000"/>
                <w:sz w:val="16"/>
                <w:szCs w:val="16"/>
              </w:rPr>
              <w:noBreakHyphen/>
            </w:r>
            <w:r w:rsidRPr="00DA79D2">
              <w:rPr>
                <w:rFonts w:ascii="Arial" w:hAnsi="Arial" w:cs="Arial"/>
                <w:color w:val="000000"/>
                <w:sz w:val="16"/>
                <w:szCs w:val="16"/>
              </w:rPr>
              <w:t>21</w:t>
            </w:r>
          </w:p>
        </w:tc>
        <w:tc>
          <w:tcPr>
            <w:tcW w:w="83" w:type="pct"/>
            <w:tcBorders>
              <w:top w:val="nil"/>
              <w:left w:val="nil"/>
              <w:bottom w:val="nil"/>
              <w:right w:val="nil"/>
            </w:tcBorders>
            <w:shd w:val="clear" w:color="000000" w:fill="FFFFFF"/>
            <w:noWrap/>
            <w:vAlign w:val="center"/>
            <w:hideMark/>
          </w:tcPr>
          <w:p w14:paraId="1CE4905A" w14:textId="77777777" w:rsidR="00A549B8" w:rsidRPr="00DA79D2" w:rsidRDefault="00A549B8" w:rsidP="00DA79D2">
            <w:pPr>
              <w:spacing w:after="0" w:line="240" w:lineRule="auto"/>
              <w:jc w:val="right"/>
              <w:rPr>
                <w:rFonts w:ascii="Arial" w:hAnsi="Arial" w:cs="Arial"/>
                <w:color w:val="000000"/>
                <w:sz w:val="16"/>
                <w:szCs w:val="16"/>
              </w:rPr>
            </w:pPr>
            <w:r w:rsidRPr="00DA79D2">
              <w:rPr>
                <w:rFonts w:ascii="Arial" w:hAnsi="Arial" w:cs="Arial"/>
                <w:color w:val="000000"/>
                <w:sz w:val="16"/>
                <w:szCs w:val="16"/>
              </w:rPr>
              <w:t> </w:t>
            </w:r>
          </w:p>
        </w:tc>
        <w:tc>
          <w:tcPr>
            <w:tcW w:w="463" w:type="pct"/>
            <w:tcBorders>
              <w:top w:val="single" w:sz="4" w:space="0" w:color="000000"/>
              <w:left w:val="nil"/>
              <w:bottom w:val="nil"/>
              <w:right w:val="nil"/>
            </w:tcBorders>
            <w:shd w:val="clear" w:color="000000" w:fill="FFFFFF"/>
            <w:noWrap/>
            <w:vAlign w:val="center"/>
            <w:hideMark/>
          </w:tcPr>
          <w:p w14:paraId="07827FA6" w14:textId="35BB9A39"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2021</w:t>
            </w:r>
            <w:r w:rsidR="00660645">
              <w:rPr>
                <w:rFonts w:ascii="Arial" w:hAnsi="Arial" w:cs="Arial"/>
                <w:sz w:val="16"/>
                <w:szCs w:val="16"/>
              </w:rPr>
              <w:noBreakHyphen/>
            </w:r>
            <w:r w:rsidRPr="00DA79D2">
              <w:rPr>
                <w:rFonts w:ascii="Arial" w:hAnsi="Arial" w:cs="Arial"/>
                <w:sz w:val="16"/>
                <w:szCs w:val="16"/>
              </w:rPr>
              <w:t>22</w:t>
            </w:r>
          </w:p>
        </w:tc>
        <w:tc>
          <w:tcPr>
            <w:tcW w:w="462" w:type="pct"/>
            <w:tcBorders>
              <w:top w:val="single" w:sz="4" w:space="0" w:color="000000"/>
              <w:left w:val="nil"/>
              <w:bottom w:val="nil"/>
              <w:right w:val="nil"/>
            </w:tcBorders>
            <w:shd w:val="clear" w:color="000000" w:fill="F2F9FC"/>
            <w:noWrap/>
            <w:vAlign w:val="center"/>
            <w:hideMark/>
          </w:tcPr>
          <w:p w14:paraId="3467CA90" w14:textId="33C8E109"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2022</w:t>
            </w:r>
            <w:r w:rsidR="00660645">
              <w:rPr>
                <w:rFonts w:ascii="Arial" w:hAnsi="Arial" w:cs="Arial"/>
                <w:sz w:val="16"/>
                <w:szCs w:val="16"/>
              </w:rPr>
              <w:noBreakHyphen/>
            </w:r>
            <w:r w:rsidRPr="00DA79D2">
              <w:rPr>
                <w:rFonts w:ascii="Arial" w:hAnsi="Arial" w:cs="Arial"/>
                <w:sz w:val="16"/>
                <w:szCs w:val="16"/>
              </w:rPr>
              <w:t>23</w:t>
            </w:r>
          </w:p>
        </w:tc>
        <w:tc>
          <w:tcPr>
            <w:tcW w:w="462" w:type="pct"/>
            <w:tcBorders>
              <w:top w:val="single" w:sz="4" w:space="0" w:color="000000"/>
              <w:left w:val="nil"/>
              <w:bottom w:val="nil"/>
              <w:right w:val="nil"/>
            </w:tcBorders>
            <w:shd w:val="clear" w:color="000000" w:fill="FFFFFF"/>
            <w:noWrap/>
            <w:vAlign w:val="center"/>
            <w:hideMark/>
          </w:tcPr>
          <w:p w14:paraId="0CD2C631" w14:textId="5EC9C90D"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2023</w:t>
            </w:r>
            <w:r w:rsidR="00660645">
              <w:rPr>
                <w:rFonts w:ascii="Arial" w:hAnsi="Arial" w:cs="Arial"/>
                <w:sz w:val="16"/>
                <w:szCs w:val="16"/>
              </w:rPr>
              <w:noBreakHyphen/>
            </w:r>
            <w:r w:rsidRPr="00DA79D2">
              <w:rPr>
                <w:rFonts w:ascii="Arial" w:hAnsi="Arial" w:cs="Arial"/>
                <w:sz w:val="16"/>
                <w:szCs w:val="16"/>
              </w:rPr>
              <w:t>24</w:t>
            </w:r>
          </w:p>
        </w:tc>
        <w:tc>
          <w:tcPr>
            <w:tcW w:w="462" w:type="pct"/>
            <w:tcBorders>
              <w:top w:val="single" w:sz="4" w:space="0" w:color="000000"/>
              <w:left w:val="nil"/>
              <w:bottom w:val="nil"/>
              <w:right w:val="nil"/>
            </w:tcBorders>
            <w:shd w:val="clear" w:color="000000" w:fill="FFFFFF"/>
            <w:noWrap/>
            <w:vAlign w:val="center"/>
            <w:hideMark/>
          </w:tcPr>
          <w:p w14:paraId="0D09EB0B" w14:textId="02196AE6"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2024</w:t>
            </w:r>
            <w:r w:rsidR="00660645">
              <w:rPr>
                <w:rFonts w:ascii="Arial" w:hAnsi="Arial" w:cs="Arial"/>
                <w:sz w:val="16"/>
                <w:szCs w:val="16"/>
              </w:rPr>
              <w:noBreakHyphen/>
            </w:r>
            <w:r w:rsidRPr="00DA79D2">
              <w:rPr>
                <w:rFonts w:ascii="Arial" w:hAnsi="Arial" w:cs="Arial"/>
                <w:sz w:val="16"/>
                <w:szCs w:val="16"/>
              </w:rPr>
              <w:t>25</w:t>
            </w:r>
          </w:p>
        </w:tc>
        <w:tc>
          <w:tcPr>
            <w:tcW w:w="462" w:type="pct"/>
            <w:tcBorders>
              <w:top w:val="single" w:sz="4" w:space="0" w:color="000000"/>
              <w:left w:val="nil"/>
              <w:bottom w:val="nil"/>
              <w:right w:val="nil"/>
            </w:tcBorders>
            <w:shd w:val="clear" w:color="000000" w:fill="FFFFFF"/>
            <w:noWrap/>
            <w:vAlign w:val="center"/>
            <w:hideMark/>
          </w:tcPr>
          <w:p w14:paraId="508AC309" w14:textId="78FCF245"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2025</w:t>
            </w:r>
            <w:r w:rsidR="00660645">
              <w:rPr>
                <w:rFonts w:ascii="Arial" w:hAnsi="Arial" w:cs="Arial"/>
                <w:sz w:val="16"/>
                <w:szCs w:val="16"/>
              </w:rPr>
              <w:noBreakHyphen/>
            </w:r>
            <w:r w:rsidRPr="00DA79D2">
              <w:rPr>
                <w:rFonts w:ascii="Arial" w:hAnsi="Arial" w:cs="Arial"/>
                <w:sz w:val="16"/>
                <w:szCs w:val="16"/>
              </w:rPr>
              <w:t>26</w:t>
            </w:r>
          </w:p>
        </w:tc>
        <w:tc>
          <w:tcPr>
            <w:tcW w:w="83" w:type="pct"/>
            <w:tcBorders>
              <w:top w:val="nil"/>
              <w:left w:val="nil"/>
              <w:bottom w:val="nil"/>
              <w:right w:val="nil"/>
            </w:tcBorders>
            <w:shd w:val="clear" w:color="000000" w:fill="FFFFFF"/>
            <w:noWrap/>
            <w:vAlign w:val="center"/>
            <w:hideMark/>
          </w:tcPr>
          <w:p w14:paraId="76691964"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single" w:sz="4" w:space="0" w:color="auto"/>
              <w:left w:val="nil"/>
              <w:bottom w:val="nil"/>
              <w:right w:val="nil"/>
            </w:tcBorders>
            <w:shd w:val="clear" w:color="000000" w:fill="FFFFFF"/>
            <w:vAlign w:val="center"/>
            <w:hideMark/>
          </w:tcPr>
          <w:p w14:paraId="39000B76"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Total(a)</w:t>
            </w:r>
          </w:p>
        </w:tc>
      </w:tr>
      <w:tr w:rsidR="00AF05B9" w:rsidRPr="00A549B8" w14:paraId="334F2A00"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7C09F740" w14:textId="77777777" w:rsidR="00A549B8" w:rsidRPr="00DA79D2" w:rsidRDefault="00A549B8" w:rsidP="00DA79D2">
            <w:pPr>
              <w:spacing w:after="0" w:line="240" w:lineRule="auto"/>
              <w:jc w:val="left"/>
              <w:rPr>
                <w:rFonts w:ascii="Arial" w:hAnsi="Arial" w:cs="Arial"/>
                <w:color w:val="000000"/>
                <w:sz w:val="16"/>
                <w:szCs w:val="16"/>
              </w:rPr>
            </w:pPr>
            <w:r w:rsidRPr="00DA79D2">
              <w:rPr>
                <w:rFonts w:ascii="Arial" w:hAnsi="Arial" w:cs="Arial"/>
                <w:color w:val="000000"/>
                <w:sz w:val="16"/>
                <w:szCs w:val="16"/>
              </w:rPr>
              <w:t> </w:t>
            </w:r>
          </w:p>
        </w:tc>
        <w:tc>
          <w:tcPr>
            <w:tcW w:w="444" w:type="pct"/>
            <w:tcBorders>
              <w:top w:val="nil"/>
              <w:left w:val="nil"/>
              <w:bottom w:val="nil"/>
              <w:right w:val="nil"/>
            </w:tcBorders>
            <w:shd w:val="clear" w:color="000000" w:fill="FFFFFF"/>
            <w:noWrap/>
            <w:vAlign w:val="center"/>
            <w:hideMark/>
          </w:tcPr>
          <w:p w14:paraId="255F469E" w14:textId="77777777" w:rsidR="00A549B8" w:rsidRPr="00DA79D2" w:rsidRDefault="00A549B8" w:rsidP="00DA79D2">
            <w:pPr>
              <w:spacing w:after="0" w:line="240" w:lineRule="auto"/>
              <w:jc w:val="right"/>
              <w:rPr>
                <w:rFonts w:ascii="Arial" w:hAnsi="Arial" w:cs="Arial"/>
                <w:color w:val="000000"/>
                <w:sz w:val="16"/>
                <w:szCs w:val="16"/>
              </w:rPr>
            </w:pPr>
            <w:r w:rsidRPr="00DA79D2">
              <w:rPr>
                <w:rFonts w:ascii="Arial" w:hAnsi="Arial" w:cs="Arial"/>
                <w:color w:val="000000"/>
                <w:sz w:val="16"/>
                <w:szCs w:val="16"/>
              </w:rPr>
              <w:t>$b</w:t>
            </w:r>
          </w:p>
        </w:tc>
        <w:tc>
          <w:tcPr>
            <w:tcW w:w="83" w:type="pct"/>
            <w:tcBorders>
              <w:top w:val="nil"/>
              <w:left w:val="nil"/>
              <w:bottom w:val="nil"/>
              <w:right w:val="nil"/>
            </w:tcBorders>
            <w:shd w:val="clear" w:color="000000" w:fill="FFFFFF"/>
            <w:noWrap/>
            <w:vAlign w:val="center"/>
            <w:hideMark/>
          </w:tcPr>
          <w:p w14:paraId="5324D252" w14:textId="77777777" w:rsidR="00A549B8" w:rsidRPr="00DA79D2" w:rsidRDefault="00A549B8" w:rsidP="00DA79D2">
            <w:pPr>
              <w:spacing w:after="0" w:line="240" w:lineRule="auto"/>
              <w:jc w:val="right"/>
              <w:rPr>
                <w:rFonts w:ascii="Arial" w:hAnsi="Arial" w:cs="Arial"/>
                <w:color w:val="000000"/>
                <w:sz w:val="16"/>
                <w:szCs w:val="16"/>
              </w:rPr>
            </w:pPr>
            <w:r w:rsidRPr="00DA79D2">
              <w:rPr>
                <w:rFonts w:ascii="Arial" w:hAnsi="Arial" w:cs="Arial"/>
                <w:color w:val="000000"/>
                <w:sz w:val="16"/>
                <w:szCs w:val="16"/>
              </w:rPr>
              <w:t> </w:t>
            </w:r>
          </w:p>
        </w:tc>
        <w:tc>
          <w:tcPr>
            <w:tcW w:w="463" w:type="pct"/>
            <w:tcBorders>
              <w:top w:val="nil"/>
              <w:left w:val="nil"/>
              <w:bottom w:val="single" w:sz="4" w:space="0" w:color="auto"/>
              <w:right w:val="nil"/>
            </w:tcBorders>
            <w:shd w:val="clear" w:color="000000" w:fill="FFFFFF"/>
            <w:noWrap/>
            <w:vAlign w:val="center"/>
            <w:hideMark/>
          </w:tcPr>
          <w:p w14:paraId="46A57319"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c>
          <w:tcPr>
            <w:tcW w:w="462" w:type="pct"/>
            <w:tcBorders>
              <w:top w:val="nil"/>
              <w:left w:val="nil"/>
              <w:bottom w:val="single" w:sz="4" w:space="0" w:color="auto"/>
              <w:right w:val="nil"/>
            </w:tcBorders>
            <w:shd w:val="clear" w:color="000000" w:fill="F2F9FC"/>
            <w:noWrap/>
            <w:vAlign w:val="center"/>
            <w:hideMark/>
          </w:tcPr>
          <w:p w14:paraId="543D61B8"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c>
          <w:tcPr>
            <w:tcW w:w="462" w:type="pct"/>
            <w:tcBorders>
              <w:top w:val="nil"/>
              <w:left w:val="nil"/>
              <w:bottom w:val="single" w:sz="4" w:space="0" w:color="auto"/>
              <w:right w:val="nil"/>
            </w:tcBorders>
            <w:shd w:val="clear" w:color="000000" w:fill="FFFFFF"/>
            <w:noWrap/>
            <w:vAlign w:val="center"/>
            <w:hideMark/>
          </w:tcPr>
          <w:p w14:paraId="51DAAF4D"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c>
          <w:tcPr>
            <w:tcW w:w="462" w:type="pct"/>
            <w:tcBorders>
              <w:top w:val="nil"/>
              <w:left w:val="nil"/>
              <w:bottom w:val="single" w:sz="4" w:space="0" w:color="auto"/>
              <w:right w:val="nil"/>
            </w:tcBorders>
            <w:shd w:val="clear" w:color="000000" w:fill="FFFFFF"/>
            <w:noWrap/>
            <w:vAlign w:val="center"/>
            <w:hideMark/>
          </w:tcPr>
          <w:p w14:paraId="4D84068C"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c>
          <w:tcPr>
            <w:tcW w:w="462" w:type="pct"/>
            <w:tcBorders>
              <w:top w:val="nil"/>
              <w:left w:val="nil"/>
              <w:bottom w:val="single" w:sz="4" w:space="0" w:color="auto"/>
              <w:right w:val="nil"/>
            </w:tcBorders>
            <w:shd w:val="clear" w:color="000000" w:fill="FFFFFF"/>
            <w:noWrap/>
            <w:vAlign w:val="center"/>
            <w:hideMark/>
          </w:tcPr>
          <w:p w14:paraId="5CFC0013"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c>
          <w:tcPr>
            <w:tcW w:w="83" w:type="pct"/>
            <w:tcBorders>
              <w:top w:val="nil"/>
              <w:left w:val="nil"/>
              <w:bottom w:val="nil"/>
              <w:right w:val="nil"/>
            </w:tcBorders>
            <w:shd w:val="clear" w:color="000000" w:fill="FFFFFF"/>
            <w:noWrap/>
            <w:vAlign w:val="center"/>
            <w:hideMark/>
          </w:tcPr>
          <w:p w14:paraId="4A9BC33A"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single" w:sz="4" w:space="0" w:color="auto"/>
              <w:right w:val="nil"/>
            </w:tcBorders>
            <w:shd w:val="clear" w:color="000000" w:fill="FFFFFF"/>
            <w:noWrap/>
            <w:vAlign w:val="center"/>
            <w:hideMark/>
          </w:tcPr>
          <w:p w14:paraId="549D583E"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$b</w:t>
            </w:r>
          </w:p>
        </w:tc>
      </w:tr>
      <w:tr w:rsidR="00A549B8" w:rsidRPr="00A549B8" w14:paraId="20325AAF"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7F0B15EB" w14:textId="77777777" w:rsidR="00A549B8" w:rsidRPr="00DA79D2" w:rsidRDefault="00A549B8" w:rsidP="00DA79D2">
            <w:pPr>
              <w:spacing w:after="0" w:line="240" w:lineRule="auto"/>
              <w:jc w:val="left"/>
              <w:rPr>
                <w:rFonts w:ascii="Arial" w:hAnsi="Arial" w:cs="Arial"/>
                <w:b/>
                <w:color w:val="000000"/>
                <w:sz w:val="16"/>
                <w:szCs w:val="16"/>
              </w:rPr>
            </w:pPr>
            <w:r w:rsidRPr="00DA79D2">
              <w:rPr>
                <w:rFonts w:ascii="Arial" w:hAnsi="Arial" w:cs="Arial"/>
                <w:b/>
                <w:color w:val="000000"/>
                <w:sz w:val="16"/>
                <w:szCs w:val="16"/>
              </w:rPr>
              <w:t>Underlying cash balance</w:t>
            </w:r>
          </w:p>
        </w:tc>
        <w:tc>
          <w:tcPr>
            <w:tcW w:w="444" w:type="pct"/>
            <w:tcBorders>
              <w:top w:val="single" w:sz="4" w:space="0" w:color="auto"/>
              <w:left w:val="nil"/>
              <w:bottom w:val="nil"/>
              <w:right w:val="nil"/>
            </w:tcBorders>
            <w:shd w:val="clear" w:color="000000" w:fill="FFFFFF"/>
            <w:noWrap/>
            <w:vAlign w:val="center"/>
            <w:hideMark/>
          </w:tcPr>
          <w:p w14:paraId="6754C2FE" w14:textId="3375349D"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134.2</w:t>
            </w:r>
          </w:p>
        </w:tc>
        <w:tc>
          <w:tcPr>
            <w:tcW w:w="83" w:type="pct"/>
            <w:tcBorders>
              <w:top w:val="nil"/>
              <w:left w:val="nil"/>
              <w:bottom w:val="nil"/>
              <w:right w:val="nil"/>
            </w:tcBorders>
            <w:shd w:val="clear" w:color="000000" w:fill="FFFFFF"/>
            <w:noWrap/>
            <w:vAlign w:val="center"/>
            <w:hideMark/>
          </w:tcPr>
          <w:p w14:paraId="39C97665" w14:textId="77777777" w:rsidR="00A549B8" w:rsidRPr="00DA79D2" w:rsidRDefault="00A549B8" w:rsidP="00DA79D2">
            <w:pPr>
              <w:spacing w:after="0" w:line="240" w:lineRule="auto"/>
              <w:jc w:val="left"/>
              <w:rPr>
                <w:rFonts w:ascii="Arial" w:hAnsi="Arial" w:cs="Arial"/>
                <w:b/>
                <w:color w:val="000000"/>
                <w:sz w:val="16"/>
                <w:szCs w:val="16"/>
              </w:rPr>
            </w:pPr>
            <w:r w:rsidRPr="00DA79D2">
              <w:rPr>
                <w:rFonts w:ascii="Arial" w:hAnsi="Arial" w:cs="Arial"/>
                <w:b/>
                <w:color w:val="000000"/>
                <w:sz w:val="16"/>
                <w:szCs w:val="16"/>
              </w:rPr>
              <w:t> </w:t>
            </w:r>
          </w:p>
        </w:tc>
        <w:tc>
          <w:tcPr>
            <w:tcW w:w="463" w:type="pct"/>
            <w:tcBorders>
              <w:top w:val="nil"/>
              <w:left w:val="nil"/>
              <w:bottom w:val="nil"/>
              <w:right w:val="nil"/>
            </w:tcBorders>
            <w:shd w:val="clear" w:color="000000" w:fill="FFFFFF"/>
            <w:noWrap/>
            <w:vAlign w:val="center"/>
            <w:hideMark/>
          </w:tcPr>
          <w:p w14:paraId="00CFDEA8" w14:textId="144662A2"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79.8</w:t>
            </w:r>
          </w:p>
        </w:tc>
        <w:tc>
          <w:tcPr>
            <w:tcW w:w="462" w:type="pct"/>
            <w:tcBorders>
              <w:top w:val="nil"/>
              <w:left w:val="nil"/>
              <w:bottom w:val="nil"/>
              <w:right w:val="nil"/>
            </w:tcBorders>
            <w:shd w:val="clear" w:color="000000" w:fill="F2F9FC"/>
            <w:noWrap/>
            <w:vAlign w:val="center"/>
            <w:hideMark/>
          </w:tcPr>
          <w:p w14:paraId="419D7DF7" w14:textId="7557FFA4"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77.9</w:t>
            </w:r>
          </w:p>
        </w:tc>
        <w:tc>
          <w:tcPr>
            <w:tcW w:w="462" w:type="pct"/>
            <w:tcBorders>
              <w:top w:val="nil"/>
              <w:left w:val="nil"/>
              <w:bottom w:val="nil"/>
              <w:right w:val="nil"/>
            </w:tcBorders>
            <w:shd w:val="clear" w:color="000000" w:fill="FFFFFF"/>
            <w:noWrap/>
            <w:vAlign w:val="center"/>
            <w:hideMark/>
          </w:tcPr>
          <w:p w14:paraId="51F649A4" w14:textId="638504DA"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56.5</w:t>
            </w:r>
          </w:p>
        </w:tc>
        <w:tc>
          <w:tcPr>
            <w:tcW w:w="462" w:type="pct"/>
            <w:tcBorders>
              <w:top w:val="nil"/>
              <w:left w:val="nil"/>
              <w:bottom w:val="nil"/>
              <w:right w:val="nil"/>
            </w:tcBorders>
            <w:shd w:val="clear" w:color="000000" w:fill="FFFFFF"/>
            <w:noWrap/>
            <w:vAlign w:val="center"/>
            <w:hideMark/>
          </w:tcPr>
          <w:p w14:paraId="707406DF" w14:textId="14570ACB"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47.1</w:t>
            </w:r>
          </w:p>
        </w:tc>
        <w:tc>
          <w:tcPr>
            <w:tcW w:w="462" w:type="pct"/>
            <w:tcBorders>
              <w:top w:val="nil"/>
              <w:left w:val="nil"/>
              <w:bottom w:val="nil"/>
              <w:right w:val="nil"/>
            </w:tcBorders>
            <w:shd w:val="clear" w:color="000000" w:fill="FFFFFF"/>
            <w:noWrap/>
            <w:vAlign w:val="center"/>
            <w:hideMark/>
          </w:tcPr>
          <w:p w14:paraId="2E38813D" w14:textId="1023EF9E"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42.9</w:t>
            </w:r>
          </w:p>
        </w:tc>
        <w:tc>
          <w:tcPr>
            <w:tcW w:w="83" w:type="pct"/>
            <w:tcBorders>
              <w:top w:val="nil"/>
              <w:left w:val="nil"/>
              <w:bottom w:val="nil"/>
              <w:right w:val="nil"/>
            </w:tcBorders>
            <w:shd w:val="clear" w:color="000000" w:fill="FFFFFF"/>
            <w:noWrap/>
            <w:vAlign w:val="center"/>
            <w:hideMark/>
          </w:tcPr>
          <w:p w14:paraId="48C2CE1C"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 </w:t>
            </w:r>
          </w:p>
        </w:tc>
        <w:tc>
          <w:tcPr>
            <w:tcW w:w="471" w:type="pct"/>
            <w:tcBorders>
              <w:top w:val="nil"/>
              <w:left w:val="nil"/>
              <w:bottom w:val="nil"/>
              <w:right w:val="nil"/>
            </w:tcBorders>
            <w:shd w:val="clear" w:color="000000" w:fill="FFFFFF"/>
            <w:noWrap/>
            <w:vAlign w:val="center"/>
            <w:hideMark/>
          </w:tcPr>
          <w:p w14:paraId="7469F6EA" w14:textId="63F57709" w:rsidR="00A549B8" w:rsidRPr="00DA79D2" w:rsidRDefault="00660645" w:rsidP="00DA79D2">
            <w:pPr>
              <w:spacing w:after="0" w:line="240" w:lineRule="auto"/>
              <w:jc w:val="right"/>
              <w:rPr>
                <w:rFonts w:ascii="Arial" w:hAnsi="Arial" w:cs="Arial"/>
                <w:b/>
                <w:sz w:val="16"/>
                <w:szCs w:val="16"/>
              </w:rPr>
            </w:pPr>
            <w:r>
              <w:rPr>
                <w:rFonts w:ascii="Arial" w:hAnsi="Arial" w:cs="Arial"/>
                <w:b/>
                <w:sz w:val="16"/>
                <w:szCs w:val="16"/>
              </w:rPr>
              <w:noBreakHyphen/>
            </w:r>
            <w:r w:rsidR="00A549B8" w:rsidRPr="00DA79D2">
              <w:rPr>
                <w:rFonts w:ascii="Arial" w:hAnsi="Arial" w:cs="Arial"/>
                <w:b/>
                <w:sz w:val="16"/>
                <w:szCs w:val="16"/>
              </w:rPr>
              <w:t>224.5</w:t>
            </w:r>
          </w:p>
        </w:tc>
      </w:tr>
      <w:tr w:rsidR="00A549B8" w:rsidRPr="00A549B8" w14:paraId="4DD5D88A"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46CD9FCD" w14:textId="77777777" w:rsidR="00A549B8" w:rsidRPr="00DA79D2" w:rsidRDefault="00A549B8" w:rsidP="00DA79D2">
            <w:pPr>
              <w:spacing w:after="0" w:line="240" w:lineRule="auto"/>
              <w:jc w:val="left"/>
              <w:rPr>
                <w:rFonts w:ascii="Arial" w:hAnsi="Arial" w:cs="Arial"/>
                <w:sz w:val="16"/>
                <w:szCs w:val="16"/>
              </w:rPr>
            </w:pPr>
            <w:r w:rsidRPr="00DA79D2">
              <w:rPr>
                <w:rFonts w:ascii="Arial" w:hAnsi="Arial" w:cs="Arial"/>
                <w:sz w:val="16"/>
                <w:szCs w:val="16"/>
              </w:rPr>
              <w:t>Per cent of GDP</w:t>
            </w:r>
          </w:p>
        </w:tc>
        <w:tc>
          <w:tcPr>
            <w:tcW w:w="444" w:type="pct"/>
            <w:tcBorders>
              <w:top w:val="nil"/>
              <w:left w:val="nil"/>
              <w:bottom w:val="nil"/>
              <w:right w:val="nil"/>
            </w:tcBorders>
            <w:shd w:val="clear" w:color="000000" w:fill="FFFFFF"/>
            <w:noWrap/>
            <w:vAlign w:val="center"/>
            <w:hideMark/>
          </w:tcPr>
          <w:p w14:paraId="5978461A" w14:textId="09834CC9"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6.5</w:t>
            </w:r>
          </w:p>
        </w:tc>
        <w:tc>
          <w:tcPr>
            <w:tcW w:w="83" w:type="pct"/>
            <w:tcBorders>
              <w:top w:val="nil"/>
              <w:left w:val="nil"/>
              <w:bottom w:val="nil"/>
              <w:right w:val="nil"/>
            </w:tcBorders>
            <w:shd w:val="clear" w:color="000000" w:fill="FFFFFF"/>
            <w:noWrap/>
            <w:vAlign w:val="center"/>
            <w:hideMark/>
          </w:tcPr>
          <w:p w14:paraId="762629FC" w14:textId="77777777" w:rsidR="00A549B8" w:rsidRPr="00DA79D2" w:rsidRDefault="00A549B8" w:rsidP="00DA79D2">
            <w:pPr>
              <w:spacing w:after="0" w:line="240" w:lineRule="auto"/>
              <w:jc w:val="right"/>
              <w:rPr>
                <w:rFonts w:ascii="Arial" w:hAnsi="Arial" w:cs="Arial"/>
                <w:color w:val="FF0000"/>
                <w:sz w:val="16"/>
                <w:szCs w:val="16"/>
              </w:rPr>
            </w:pPr>
            <w:r w:rsidRPr="00DA79D2">
              <w:rPr>
                <w:rFonts w:ascii="Arial" w:hAnsi="Arial" w:cs="Arial"/>
                <w:color w:val="FF0000"/>
                <w:sz w:val="16"/>
                <w:szCs w:val="16"/>
              </w:rPr>
              <w:t> </w:t>
            </w:r>
          </w:p>
        </w:tc>
        <w:tc>
          <w:tcPr>
            <w:tcW w:w="463" w:type="pct"/>
            <w:tcBorders>
              <w:top w:val="nil"/>
              <w:left w:val="nil"/>
              <w:bottom w:val="nil"/>
              <w:right w:val="nil"/>
            </w:tcBorders>
            <w:shd w:val="clear" w:color="000000" w:fill="FFFFFF"/>
            <w:noWrap/>
            <w:vAlign w:val="center"/>
            <w:hideMark/>
          </w:tcPr>
          <w:p w14:paraId="3125A0E2" w14:textId="70D8E6A0"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3.5</w:t>
            </w:r>
          </w:p>
        </w:tc>
        <w:tc>
          <w:tcPr>
            <w:tcW w:w="462" w:type="pct"/>
            <w:tcBorders>
              <w:top w:val="nil"/>
              <w:left w:val="nil"/>
              <w:bottom w:val="nil"/>
              <w:right w:val="nil"/>
            </w:tcBorders>
            <w:shd w:val="clear" w:color="000000" w:fill="F2F9FC"/>
            <w:noWrap/>
            <w:vAlign w:val="center"/>
            <w:hideMark/>
          </w:tcPr>
          <w:p w14:paraId="0B99CD28" w14:textId="4712DA7A"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3.4</w:t>
            </w:r>
          </w:p>
        </w:tc>
        <w:tc>
          <w:tcPr>
            <w:tcW w:w="462" w:type="pct"/>
            <w:tcBorders>
              <w:top w:val="nil"/>
              <w:left w:val="nil"/>
              <w:bottom w:val="nil"/>
              <w:right w:val="nil"/>
            </w:tcBorders>
            <w:shd w:val="clear" w:color="000000" w:fill="FFFFFF"/>
            <w:noWrap/>
            <w:vAlign w:val="center"/>
            <w:hideMark/>
          </w:tcPr>
          <w:p w14:paraId="26601CD9" w14:textId="73D712EF"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2.4</w:t>
            </w:r>
          </w:p>
        </w:tc>
        <w:tc>
          <w:tcPr>
            <w:tcW w:w="462" w:type="pct"/>
            <w:tcBorders>
              <w:top w:val="nil"/>
              <w:left w:val="nil"/>
              <w:bottom w:val="nil"/>
              <w:right w:val="nil"/>
            </w:tcBorders>
            <w:shd w:val="clear" w:color="000000" w:fill="FFFFFF"/>
            <w:noWrap/>
            <w:vAlign w:val="center"/>
            <w:hideMark/>
          </w:tcPr>
          <w:p w14:paraId="503F75D7" w14:textId="62F4645D"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1.9</w:t>
            </w:r>
          </w:p>
        </w:tc>
        <w:tc>
          <w:tcPr>
            <w:tcW w:w="462" w:type="pct"/>
            <w:tcBorders>
              <w:top w:val="nil"/>
              <w:left w:val="nil"/>
              <w:bottom w:val="nil"/>
              <w:right w:val="nil"/>
            </w:tcBorders>
            <w:shd w:val="clear" w:color="000000" w:fill="FFFFFF"/>
            <w:noWrap/>
            <w:vAlign w:val="center"/>
            <w:hideMark/>
          </w:tcPr>
          <w:p w14:paraId="2D989E1C" w14:textId="2AAB6671" w:rsidR="00A549B8" w:rsidRPr="00DA79D2" w:rsidRDefault="00660645" w:rsidP="00DA79D2">
            <w:pPr>
              <w:spacing w:after="0" w:line="240" w:lineRule="auto"/>
              <w:jc w:val="right"/>
              <w:rPr>
                <w:rFonts w:ascii="Arial" w:hAnsi="Arial" w:cs="Arial"/>
                <w:sz w:val="16"/>
                <w:szCs w:val="16"/>
              </w:rPr>
            </w:pPr>
            <w:r>
              <w:rPr>
                <w:rFonts w:ascii="Arial" w:hAnsi="Arial" w:cs="Arial"/>
                <w:sz w:val="16"/>
                <w:szCs w:val="16"/>
              </w:rPr>
              <w:noBreakHyphen/>
            </w:r>
            <w:r w:rsidR="00A549B8" w:rsidRPr="00DA79D2">
              <w:rPr>
                <w:rFonts w:ascii="Arial" w:hAnsi="Arial" w:cs="Arial"/>
                <w:sz w:val="16"/>
                <w:szCs w:val="16"/>
              </w:rPr>
              <w:t>1.6</w:t>
            </w:r>
          </w:p>
        </w:tc>
        <w:tc>
          <w:tcPr>
            <w:tcW w:w="83" w:type="pct"/>
            <w:tcBorders>
              <w:top w:val="nil"/>
              <w:left w:val="nil"/>
              <w:bottom w:val="nil"/>
              <w:right w:val="nil"/>
            </w:tcBorders>
            <w:shd w:val="clear" w:color="000000" w:fill="FFFFFF"/>
            <w:noWrap/>
            <w:vAlign w:val="center"/>
            <w:hideMark/>
          </w:tcPr>
          <w:p w14:paraId="52F66C51"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nil"/>
              <w:right w:val="nil"/>
            </w:tcBorders>
            <w:shd w:val="clear" w:color="000000" w:fill="FFFFFF"/>
            <w:noWrap/>
            <w:vAlign w:val="center"/>
            <w:hideMark/>
          </w:tcPr>
          <w:p w14:paraId="52A6389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r>
      <w:tr w:rsidR="00A549B8" w:rsidRPr="00A549B8" w14:paraId="66670DB6" w14:textId="77777777" w:rsidTr="00A549B8">
        <w:trPr>
          <w:trHeight w:hRule="exact" w:val="60"/>
        </w:trPr>
        <w:tc>
          <w:tcPr>
            <w:tcW w:w="1608" w:type="pct"/>
            <w:tcBorders>
              <w:top w:val="nil"/>
              <w:left w:val="nil"/>
              <w:bottom w:val="nil"/>
              <w:right w:val="nil"/>
            </w:tcBorders>
            <w:shd w:val="clear" w:color="000000" w:fill="FFFFFF"/>
            <w:noWrap/>
            <w:vAlign w:val="center"/>
            <w:hideMark/>
          </w:tcPr>
          <w:p w14:paraId="1FE0FE40" w14:textId="77777777" w:rsidR="00A549B8" w:rsidRPr="00DA79D2" w:rsidRDefault="00A549B8" w:rsidP="00DA79D2">
            <w:pPr>
              <w:spacing w:after="0" w:line="240" w:lineRule="auto"/>
              <w:jc w:val="left"/>
              <w:rPr>
                <w:rFonts w:ascii="Arial" w:hAnsi="Arial" w:cs="Arial"/>
                <w:color w:val="000000"/>
                <w:sz w:val="16"/>
                <w:szCs w:val="16"/>
              </w:rPr>
            </w:pPr>
            <w:r w:rsidRPr="00DA79D2">
              <w:rPr>
                <w:rFonts w:ascii="Arial" w:hAnsi="Arial" w:cs="Arial"/>
                <w:color w:val="000000"/>
                <w:sz w:val="16"/>
                <w:szCs w:val="16"/>
              </w:rPr>
              <w:t> </w:t>
            </w:r>
          </w:p>
        </w:tc>
        <w:tc>
          <w:tcPr>
            <w:tcW w:w="444" w:type="pct"/>
            <w:tcBorders>
              <w:top w:val="nil"/>
              <w:left w:val="nil"/>
              <w:bottom w:val="nil"/>
              <w:right w:val="nil"/>
            </w:tcBorders>
            <w:shd w:val="clear" w:color="000000" w:fill="FFFFFF"/>
            <w:noWrap/>
            <w:vAlign w:val="center"/>
            <w:hideMark/>
          </w:tcPr>
          <w:p w14:paraId="1586A81B" w14:textId="77777777" w:rsidR="00A549B8" w:rsidRPr="00DA79D2" w:rsidRDefault="00A549B8" w:rsidP="00DA79D2">
            <w:pPr>
              <w:spacing w:after="0" w:line="240" w:lineRule="auto"/>
              <w:jc w:val="right"/>
              <w:rPr>
                <w:rFonts w:ascii="Arial" w:hAnsi="Arial" w:cs="Arial"/>
                <w:color w:val="33CCCC"/>
                <w:sz w:val="16"/>
                <w:szCs w:val="16"/>
              </w:rPr>
            </w:pPr>
            <w:r w:rsidRPr="00DA79D2">
              <w:rPr>
                <w:rFonts w:ascii="Arial" w:hAnsi="Arial" w:cs="Arial"/>
                <w:color w:val="33CCCC"/>
                <w:sz w:val="16"/>
                <w:szCs w:val="16"/>
              </w:rPr>
              <w:t> </w:t>
            </w:r>
          </w:p>
        </w:tc>
        <w:tc>
          <w:tcPr>
            <w:tcW w:w="83" w:type="pct"/>
            <w:tcBorders>
              <w:top w:val="nil"/>
              <w:left w:val="nil"/>
              <w:bottom w:val="nil"/>
              <w:right w:val="nil"/>
            </w:tcBorders>
            <w:shd w:val="clear" w:color="000000" w:fill="FFFFFF"/>
            <w:noWrap/>
            <w:vAlign w:val="center"/>
            <w:hideMark/>
          </w:tcPr>
          <w:p w14:paraId="69EBD8E4" w14:textId="77777777" w:rsidR="00A549B8" w:rsidRPr="00DA79D2" w:rsidRDefault="00A549B8" w:rsidP="00DA79D2">
            <w:pPr>
              <w:spacing w:after="0" w:line="240" w:lineRule="auto"/>
              <w:jc w:val="right"/>
              <w:rPr>
                <w:rFonts w:ascii="Arial" w:hAnsi="Arial" w:cs="Arial"/>
                <w:color w:val="33CCCC"/>
                <w:sz w:val="16"/>
                <w:szCs w:val="16"/>
              </w:rPr>
            </w:pPr>
            <w:r w:rsidRPr="00DA79D2">
              <w:rPr>
                <w:rFonts w:ascii="Arial" w:hAnsi="Arial" w:cs="Arial"/>
                <w:color w:val="33CCCC"/>
                <w:sz w:val="16"/>
                <w:szCs w:val="16"/>
              </w:rPr>
              <w:t> </w:t>
            </w:r>
          </w:p>
        </w:tc>
        <w:tc>
          <w:tcPr>
            <w:tcW w:w="463" w:type="pct"/>
            <w:tcBorders>
              <w:top w:val="nil"/>
              <w:left w:val="nil"/>
              <w:bottom w:val="nil"/>
              <w:right w:val="nil"/>
            </w:tcBorders>
            <w:shd w:val="clear" w:color="000000" w:fill="FFFFFF"/>
            <w:noWrap/>
            <w:vAlign w:val="center"/>
            <w:hideMark/>
          </w:tcPr>
          <w:p w14:paraId="17EC8ECD"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2F9FC"/>
            <w:noWrap/>
            <w:vAlign w:val="center"/>
            <w:hideMark/>
          </w:tcPr>
          <w:p w14:paraId="692F1E7E"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4FB1C7AD"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72461402"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057A7A9B"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83" w:type="pct"/>
            <w:tcBorders>
              <w:top w:val="nil"/>
              <w:left w:val="nil"/>
              <w:bottom w:val="nil"/>
              <w:right w:val="nil"/>
            </w:tcBorders>
            <w:shd w:val="clear" w:color="000000" w:fill="FFFFFF"/>
            <w:noWrap/>
            <w:vAlign w:val="center"/>
            <w:hideMark/>
          </w:tcPr>
          <w:p w14:paraId="46BE32BF"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nil"/>
              <w:right w:val="nil"/>
            </w:tcBorders>
            <w:shd w:val="clear" w:color="000000" w:fill="FFFFFF"/>
            <w:noWrap/>
            <w:vAlign w:val="center"/>
            <w:hideMark/>
          </w:tcPr>
          <w:p w14:paraId="09ADAA33"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r>
      <w:tr w:rsidR="00A549B8" w:rsidRPr="00A549B8" w14:paraId="051157D6"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1A85FF3F" w14:textId="77777777" w:rsidR="00A549B8" w:rsidRPr="00DA79D2" w:rsidRDefault="00A549B8" w:rsidP="00DA79D2">
            <w:pPr>
              <w:spacing w:after="0" w:line="240" w:lineRule="auto"/>
              <w:jc w:val="left"/>
              <w:rPr>
                <w:rFonts w:ascii="Arial" w:hAnsi="Arial" w:cs="Arial"/>
                <w:b/>
                <w:color w:val="000000"/>
                <w:sz w:val="16"/>
                <w:szCs w:val="16"/>
              </w:rPr>
            </w:pPr>
            <w:r w:rsidRPr="00DA79D2">
              <w:rPr>
                <w:rFonts w:ascii="Arial" w:hAnsi="Arial" w:cs="Arial"/>
                <w:b/>
                <w:color w:val="000000"/>
                <w:sz w:val="16"/>
                <w:szCs w:val="16"/>
              </w:rPr>
              <w:t>Gross debt(b)</w:t>
            </w:r>
          </w:p>
        </w:tc>
        <w:tc>
          <w:tcPr>
            <w:tcW w:w="444" w:type="pct"/>
            <w:tcBorders>
              <w:top w:val="nil"/>
              <w:left w:val="nil"/>
              <w:bottom w:val="nil"/>
              <w:right w:val="nil"/>
            </w:tcBorders>
            <w:shd w:val="clear" w:color="000000" w:fill="FFFFFF"/>
            <w:noWrap/>
            <w:vAlign w:val="center"/>
            <w:hideMark/>
          </w:tcPr>
          <w:p w14:paraId="219DDE98"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817.0</w:t>
            </w:r>
          </w:p>
        </w:tc>
        <w:tc>
          <w:tcPr>
            <w:tcW w:w="83" w:type="pct"/>
            <w:tcBorders>
              <w:top w:val="nil"/>
              <w:left w:val="nil"/>
              <w:bottom w:val="nil"/>
              <w:right w:val="nil"/>
            </w:tcBorders>
            <w:shd w:val="clear" w:color="000000" w:fill="FFFFFF"/>
            <w:noWrap/>
            <w:vAlign w:val="center"/>
            <w:hideMark/>
          </w:tcPr>
          <w:p w14:paraId="4071245E"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 </w:t>
            </w:r>
          </w:p>
        </w:tc>
        <w:tc>
          <w:tcPr>
            <w:tcW w:w="463" w:type="pct"/>
            <w:tcBorders>
              <w:top w:val="nil"/>
              <w:left w:val="nil"/>
              <w:bottom w:val="nil"/>
              <w:right w:val="nil"/>
            </w:tcBorders>
            <w:shd w:val="clear" w:color="000000" w:fill="FFFFFF"/>
            <w:noWrap/>
            <w:vAlign w:val="center"/>
            <w:hideMark/>
          </w:tcPr>
          <w:p w14:paraId="4F8CF800"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906.0</w:t>
            </w:r>
          </w:p>
        </w:tc>
        <w:tc>
          <w:tcPr>
            <w:tcW w:w="462" w:type="pct"/>
            <w:tcBorders>
              <w:top w:val="nil"/>
              <w:left w:val="nil"/>
              <w:bottom w:val="nil"/>
              <w:right w:val="nil"/>
            </w:tcBorders>
            <w:shd w:val="clear" w:color="000000" w:fill="F2F9FC"/>
            <w:noWrap/>
            <w:vAlign w:val="center"/>
            <w:hideMark/>
          </w:tcPr>
          <w:p w14:paraId="6E12E746"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977.0</w:t>
            </w:r>
          </w:p>
        </w:tc>
        <w:tc>
          <w:tcPr>
            <w:tcW w:w="462" w:type="pct"/>
            <w:tcBorders>
              <w:top w:val="nil"/>
              <w:left w:val="nil"/>
              <w:bottom w:val="nil"/>
              <w:right w:val="nil"/>
            </w:tcBorders>
            <w:shd w:val="clear" w:color="000000" w:fill="FFFFFF"/>
            <w:noWrap/>
            <w:vAlign w:val="center"/>
            <w:hideMark/>
          </w:tcPr>
          <w:p w14:paraId="663F4903"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1,056.0</w:t>
            </w:r>
          </w:p>
        </w:tc>
        <w:tc>
          <w:tcPr>
            <w:tcW w:w="462" w:type="pct"/>
            <w:tcBorders>
              <w:top w:val="nil"/>
              <w:left w:val="nil"/>
              <w:bottom w:val="nil"/>
              <w:right w:val="nil"/>
            </w:tcBorders>
            <w:shd w:val="clear" w:color="000000" w:fill="FFFFFF"/>
            <w:noWrap/>
            <w:vAlign w:val="center"/>
            <w:hideMark/>
          </w:tcPr>
          <w:p w14:paraId="24E0D72D"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1,117.0</w:t>
            </w:r>
          </w:p>
        </w:tc>
        <w:tc>
          <w:tcPr>
            <w:tcW w:w="462" w:type="pct"/>
            <w:tcBorders>
              <w:top w:val="nil"/>
              <w:left w:val="nil"/>
              <w:bottom w:val="nil"/>
              <w:right w:val="nil"/>
            </w:tcBorders>
            <w:shd w:val="clear" w:color="000000" w:fill="FFFFFF"/>
            <w:noWrap/>
            <w:vAlign w:val="center"/>
            <w:hideMark/>
          </w:tcPr>
          <w:p w14:paraId="60ABA014"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1,169.0</w:t>
            </w:r>
          </w:p>
        </w:tc>
        <w:tc>
          <w:tcPr>
            <w:tcW w:w="83" w:type="pct"/>
            <w:tcBorders>
              <w:top w:val="nil"/>
              <w:left w:val="nil"/>
              <w:bottom w:val="nil"/>
              <w:right w:val="nil"/>
            </w:tcBorders>
            <w:shd w:val="clear" w:color="000000" w:fill="FFFFFF"/>
            <w:noWrap/>
            <w:vAlign w:val="center"/>
            <w:hideMark/>
          </w:tcPr>
          <w:p w14:paraId="33290B17"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 </w:t>
            </w:r>
          </w:p>
        </w:tc>
        <w:tc>
          <w:tcPr>
            <w:tcW w:w="471" w:type="pct"/>
            <w:tcBorders>
              <w:top w:val="nil"/>
              <w:left w:val="nil"/>
              <w:bottom w:val="nil"/>
              <w:right w:val="nil"/>
            </w:tcBorders>
            <w:shd w:val="clear" w:color="000000" w:fill="FFFFFF"/>
            <w:noWrap/>
            <w:vAlign w:val="center"/>
            <w:hideMark/>
          </w:tcPr>
          <w:p w14:paraId="489B3371"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 </w:t>
            </w:r>
          </w:p>
        </w:tc>
      </w:tr>
      <w:tr w:rsidR="00A549B8" w:rsidRPr="00A549B8" w14:paraId="4DD20E4E"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056361CC" w14:textId="77777777" w:rsidR="00A549B8" w:rsidRPr="00DA79D2" w:rsidRDefault="00A549B8" w:rsidP="00DA79D2">
            <w:pPr>
              <w:spacing w:after="0" w:line="240" w:lineRule="auto"/>
              <w:jc w:val="left"/>
              <w:rPr>
                <w:rFonts w:ascii="Arial" w:hAnsi="Arial" w:cs="Arial"/>
                <w:sz w:val="16"/>
                <w:szCs w:val="16"/>
              </w:rPr>
            </w:pPr>
            <w:r w:rsidRPr="00DA79D2">
              <w:rPr>
                <w:rFonts w:ascii="Arial" w:hAnsi="Arial" w:cs="Arial"/>
                <w:sz w:val="16"/>
                <w:szCs w:val="16"/>
              </w:rPr>
              <w:t>Per cent of GDP</w:t>
            </w:r>
          </w:p>
        </w:tc>
        <w:tc>
          <w:tcPr>
            <w:tcW w:w="444" w:type="pct"/>
            <w:tcBorders>
              <w:top w:val="nil"/>
              <w:left w:val="nil"/>
              <w:bottom w:val="nil"/>
              <w:right w:val="nil"/>
            </w:tcBorders>
            <w:shd w:val="clear" w:color="000000" w:fill="FFFFFF"/>
            <w:noWrap/>
            <w:vAlign w:val="center"/>
            <w:hideMark/>
          </w:tcPr>
          <w:p w14:paraId="50AB734D"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39.5</w:t>
            </w:r>
          </w:p>
        </w:tc>
        <w:tc>
          <w:tcPr>
            <w:tcW w:w="83" w:type="pct"/>
            <w:tcBorders>
              <w:top w:val="nil"/>
              <w:left w:val="nil"/>
              <w:bottom w:val="nil"/>
              <w:right w:val="nil"/>
            </w:tcBorders>
            <w:shd w:val="clear" w:color="000000" w:fill="FFFFFF"/>
            <w:noWrap/>
            <w:vAlign w:val="center"/>
            <w:hideMark/>
          </w:tcPr>
          <w:p w14:paraId="5C73208C" w14:textId="77777777" w:rsidR="00A549B8" w:rsidRPr="00DA79D2" w:rsidRDefault="00A549B8" w:rsidP="00DA79D2">
            <w:pPr>
              <w:spacing w:after="0" w:line="240" w:lineRule="auto"/>
              <w:jc w:val="right"/>
              <w:rPr>
                <w:rFonts w:ascii="Arial" w:hAnsi="Arial" w:cs="Arial"/>
                <w:color w:val="FF0000"/>
                <w:sz w:val="16"/>
                <w:szCs w:val="16"/>
              </w:rPr>
            </w:pPr>
            <w:r w:rsidRPr="00DA79D2">
              <w:rPr>
                <w:rFonts w:ascii="Arial" w:hAnsi="Arial" w:cs="Arial"/>
                <w:color w:val="FF0000"/>
                <w:sz w:val="16"/>
                <w:szCs w:val="16"/>
              </w:rPr>
              <w:t> </w:t>
            </w:r>
          </w:p>
        </w:tc>
        <w:tc>
          <w:tcPr>
            <w:tcW w:w="463" w:type="pct"/>
            <w:tcBorders>
              <w:top w:val="nil"/>
              <w:left w:val="nil"/>
              <w:bottom w:val="nil"/>
              <w:right w:val="nil"/>
            </w:tcBorders>
            <w:shd w:val="clear" w:color="000000" w:fill="FFFFFF"/>
            <w:noWrap/>
            <w:vAlign w:val="center"/>
            <w:hideMark/>
          </w:tcPr>
          <w:p w14:paraId="47B470F4"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39.5</w:t>
            </w:r>
          </w:p>
        </w:tc>
        <w:tc>
          <w:tcPr>
            <w:tcW w:w="462" w:type="pct"/>
            <w:tcBorders>
              <w:top w:val="nil"/>
              <w:left w:val="nil"/>
              <w:bottom w:val="nil"/>
              <w:right w:val="nil"/>
            </w:tcBorders>
            <w:shd w:val="clear" w:color="000000" w:fill="F2F9FC"/>
            <w:noWrap/>
            <w:vAlign w:val="center"/>
            <w:hideMark/>
          </w:tcPr>
          <w:p w14:paraId="705E0F2A"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42.5</w:t>
            </w:r>
          </w:p>
        </w:tc>
        <w:tc>
          <w:tcPr>
            <w:tcW w:w="462" w:type="pct"/>
            <w:tcBorders>
              <w:top w:val="nil"/>
              <w:left w:val="nil"/>
              <w:bottom w:val="nil"/>
              <w:right w:val="nil"/>
            </w:tcBorders>
            <w:shd w:val="clear" w:color="000000" w:fill="FFFFFF"/>
            <w:noWrap/>
            <w:vAlign w:val="center"/>
            <w:hideMark/>
          </w:tcPr>
          <w:p w14:paraId="6378A5E2"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44.6</w:t>
            </w:r>
          </w:p>
        </w:tc>
        <w:tc>
          <w:tcPr>
            <w:tcW w:w="462" w:type="pct"/>
            <w:tcBorders>
              <w:top w:val="nil"/>
              <w:left w:val="nil"/>
              <w:bottom w:val="nil"/>
              <w:right w:val="nil"/>
            </w:tcBorders>
            <w:shd w:val="clear" w:color="000000" w:fill="FFFFFF"/>
            <w:noWrap/>
            <w:vAlign w:val="center"/>
            <w:hideMark/>
          </w:tcPr>
          <w:p w14:paraId="2680B109"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44.9</w:t>
            </w:r>
          </w:p>
        </w:tc>
        <w:tc>
          <w:tcPr>
            <w:tcW w:w="462" w:type="pct"/>
            <w:tcBorders>
              <w:top w:val="nil"/>
              <w:left w:val="nil"/>
              <w:bottom w:val="nil"/>
              <w:right w:val="nil"/>
            </w:tcBorders>
            <w:shd w:val="clear" w:color="000000" w:fill="FFFFFF"/>
            <w:noWrap/>
            <w:vAlign w:val="center"/>
            <w:hideMark/>
          </w:tcPr>
          <w:p w14:paraId="32146942"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44.7</w:t>
            </w:r>
          </w:p>
        </w:tc>
        <w:tc>
          <w:tcPr>
            <w:tcW w:w="83" w:type="pct"/>
            <w:tcBorders>
              <w:top w:val="nil"/>
              <w:left w:val="nil"/>
              <w:bottom w:val="nil"/>
              <w:right w:val="nil"/>
            </w:tcBorders>
            <w:shd w:val="clear" w:color="000000" w:fill="FFFFFF"/>
            <w:noWrap/>
            <w:vAlign w:val="center"/>
            <w:hideMark/>
          </w:tcPr>
          <w:p w14:paraId="5416CB4A"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nil"/>
              <w:right w:val="nil"/>
            </w:tcBorders>
            <w:shd w:val="clear" w:color="000000" w:fill="FFFFFF"/>
            <w:noWrap/>
            <w:vAlign w:val="center"/>
            <w:hideMark/>
          </w:tcPr>
          <w:p w14:paraId="0981A636"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r>
      <w:tr w:rsidR="00A549B8" w:rsidRPr="00A549B8" w14:paraId="7646BE49" w14:textId="77777777" w:rsidTr="00A549B8">
        <w:trPr>
          <w:trHeight w:hRule="exact" w:val="60"/>
        </w:trPr>
        <w:tc>
          <w:tcPr>
            <w:tcW w:w="1608" w:type="pct"/>
            <w:tcBorders>
              <w:top w:val="nil"/>
              <w:left w:val="nil"/>
              <w:bottom w:val="nil"/>
              <w:right w:val="nil"/>
            </w:tcBorders>
            <w:shd w:val="clear" w:color="000000" w:fill="FFFFFF"/>
            <w:noWrap/>
            <w:vAlign w:val="center"/>
            <w:hideMark/>
          </w:tcPr>
          <w:p w14:paraId="0E7B9204" w14:textId="77777777" w:rsidR="00A549B8" w:rsidRPr="00DA79D2" w:rsidRDefault="00A549B8" w:rsidP="00DA79D2">
            <w:pPr>
              <w:spacing w:after="0" w:line="240" w:lineRule="auto"/>
              <w:jc w:val="left"/>
              <w:rPr>
                <w:rFonts w:ascii="Arial" w:hAnsi="Arial" w:cs="Arial"/>
                <w:color w:val="000000"/>
                <w:sz w:val="16"/>
                <w:szCs w:val="16"/>
              </w:rPr>
            </w:pPr>
            <w:r w:rsidRPr="00DA79D2">
              <w:rPr>
                <w:rFonts w:ascii="Arial" w:hAnsi="Arial" w:cs="Arial"/>
                <w:color w:val="000000"/>
                <w:sz w:val="16"/>
                <w:szCs w:val="16"/>
              </w:rPr>
              <w:t> </w:t>
            </w:r>
          </w:p>
        </w:tc>
        <w:tc>
          <w:tcPr>
            <w:tcW w:w="444" w:type="pct"/>
            <w:tcBorders>
              <w:top w:val="nil"/>
              <w:left w:val="nil"/>
              <w:bottom w:val="nil"/>
              <w:right w:val="nil"/>
            </w:tcBorders>
            <w:shd w:val="clear" w:color="000000" w:fill="FFFFFF"/>
            <w:noWrap/>
            <w:vAlign w:val="center"/>
            <w:hideMark/>
          </w:tcPr>
          <w:p w14:paraId="359D687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83" w:type="pct"/>
            <w:tcBorders>
              <w:top w:val="nil"/>
              <w:left w:val="nil"/>
              <w:bottom w:val="nil"/>
              <w:right w:val="nil"/>
            </w:tcBorders>
            <w:shd w:val="clear" w:color="000000" w:fill="FFFFFF"/>
            <w:noWrap/>
            <w:vAlign w:val="center"/>
            <w:hideMark/>
          </w:tcPr>
          <w:p w14:paraId="72BD5BDE" w14:textId="77777777" w:rsidR="00A549B8" w:rsidRPr="00DA79D2" w:rsidRDefault="00A549B8" w:rsidP="00DA79D2">
            <w:pPr>
              <w:spacing w:after="0" w:line="240" w:lineRule="auto"/>
              <w:jc w:val="right"/>
              <w:rPr>
                <w:rFonts w:ascii="Arial" w:hAnsi="Arial" w:cs="Arial"/>
                <w:color w:val="FF0000"/>
                <w:sz w:val="16"/>
                <w:szCs w:val="16"/>
              </w:rPr>
            </w:pPr>
            <w:r w:rsidRPr="00DA79D2">
              <w:rPr>
                <w:rFonts w:ascii="Arial" w:hAnsi="Arial" w:cs="Arial"/>
                <w:color w:val="FF0000"/>
                <w:sz w:val="16"/>
                <w:szCs w:val="16"/>
              </w:rPr>
              <w:t> </w:t>
            </w:r>
          </w:p>
        </w:tc>
        <w:tc>
          <w:tcPr>
            <w:tcW w:w="463" w:type="pct"/>
            <w:tcBorders>
              <w:top w:val="nil"/>
              <w:left w:val="nil"/>
              <w:bottom w:val="nil"/>
              <w:right w:val="nil"/>
            </w:tcBorders>
            <w:shd w:val="clear" w:color="000000" w:fill="FFFFFF"/>
            <w:noWrap/>
            <w:vAlign w:val="center"/>
            <w:hideMark/>
          </w:tcPr>
          <w:p w14:paraId="657A4E2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2F9FC"/>
            <w:noWrap/>
            <w:vAlign w:val="center"/>
            <w:hideMark/>
          </w:tcPr>
          <w:p w14:paraId="20152DC6"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6789C53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2B5FC95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62" w:type="pct"/>
            <w:tcBorders>
              <w:top w:val="nil"/>
              <w:left w:val="nil"/>
              <w:bottom w:val="nil"/>
              <w:right w:val="nil"/>
            </w:tcBorders>
            <w:shd w:val="clear" w:color="000000" w:fill="FFFFFF"/>
            <w:noWrap/>
            <w:vAlign w:val="center"/>
            <w:hideMark/>
          </w:tcPr>
          <w:p w14:paraId="14BBD9D6"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83" w:type="pct"/>
            <w:tcBorders>
              <w:top w:val="nil"/>
              <w:left w:val="nil"/>
              <w:bottom w:val="nil"/>
              <w:right w:val="nil"/>
            </w:tcBorders>
            <w:shd w:val="clear" w:color="000000" w:fill="FFFFFF"/>
            <w:noWrap/>
            <w:vAlign w:val="center"/>
            <w:hideMark/>
          </w:tcPr>
          <w:p w14:paraId="05A0A84F"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nil"/>
              <w:right w:val="nil"/>
            </w:tcBorders>
            <w:shd w:val="clear" w:color="000000" w:fill="FFFFFF"/>
            <w:noWrap/>
            <w:vAlign w:val="center"/>
            <w:hideMark/>
          </w:tcPr>
          <w:p w14:paraId="7F658FB3"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r>
      <w:tr w:rsidR="00A549B8" w:rsidRPr="00A549B8" w14:paraId="1A5F24BB" w14:textId="77777777" w:rsidTr="00A549B8">
        <w:trPr>
          <w:trHeight w:hRule="exact" w:val="225"/>
        </w:trPr>
        <w:tc>
          <w:tcPr>
            <w:tcW w:w="1608" w:type="pct"/>
            <w:tcBorders>
              <w:top w:val="nil"/>
              <w:left w:val="nil"/>
              <w:bottom w:val="nil"/>
              <w:right w:val="nil"/>
            </w:tcBorders>
            <w:shd w:val="clear" w:color="000000" w:fill="FFFFFF"/>
            <w:noWrap/>
            <w:vAlign w:val="center"/>
            <w:hideMark/>
          </w:tcPr>
          <w:p w14:paraId="12FEE4E4" w14:textId="77777777" w:rsidR="00A549B8" w:rsidRPr="00DA79D2" w:rsidRDefault="00A549B8" w:rsidP="00DA79D2">
            <w:pPr>
              <w:spacing w:after="0" w:line="240" w:lineRule="auto"/>
              <w:jc w:val="left"/>
              <w:rPr>
                <w:rFonts w:ascii="Arial" w:hAnsi="Arial" w:cs="Arial"/>
                <w:b/>
                <w:color w:val="000000"/>
                <w:sz w:val="16"/>
                <w:szCs w:val="16"/>
              </w:rPr>
            </w:pPr>
            <w:r w:rsidRPr="00DA79D2">
              <w:rPr>
                <w:rFonts w:ascii="Arial" w:hAnsi="Arial" w:cs="Arial"/>
                <w:b/>
                <w:color w:val="000000"/>
                <w:sz w:val="16"/>
                <w:szCs w:val="16"/>
              </w:rPr>
              <w:t xml:space="preserve">Net debt(c) </w:t>
            </w:r>
          </w:p>
        </w:tc>
        <w:tc>
          <w:tcPr>
            <w:tcW w:w="444" w:type="pct"/>
            <w:tcBorders>
              <w:top w:val="nil"/>
              <w:left w:val="nil"/>
              <w:bottom w:val="nil"/>
              <w:right w:val="nil"/>
            </w:tcBorders>
            <w:shd w:val="clear" w:color="000000" w:fill="FFFFFF"/>
            <w:noWrap/>
            <w:vAlign w:val="center"/>
            <w:hideMark/>
          </w:tcPr>
          <w:p w14:paraId="579FC7BB"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592.2</w:t>
            </w:r>
          </w:p>
        </w:tc>
        <w:tc>
          <w:tcPr>
            <w:tcW w:w="83" w:type="pct"/>
            <w:tcBorders>
              <w:top w:val="nil"/>
              <w:left w:val="nil"/>
              <w:bottom w:val="nil"/>
              <w:right w:val="nil"/>
            </w:tcBorders>
            <w:shd w:val="clear" w:color="000000" w:fill="FFFFFF"/>
            <w:noWrap/>
            <w:vAlign w:val="center"/>
            <w:hideMark/>
          </w:tcPr>
          <w:p w14:paraId="27BE4706" w14:textId="77777777" w:rsidR="00A549B8" w:rsidRPr="00DA79D2" w:rsidRDefault="00A549B8" w:rsidP="00DA79D2">
            <w:pPr>
              <w:spacing w:after="0" w:line="240" w:lineRule="auto"/>
              <w:jc w:val="right"/>
              <w:rPr>
                <w:rFonts w:ascii="Arial" w:hAnsi="Arial" w:cs="Arial"/>
                <w:color w:val="FF0000"/>
                <w:sz w:val="16"/>
                <w:szCs w:val="16"/>
              </w:rPr>
            </w:pPr>
            <w:r w:rsidRPr="00DA79D2">
              <w:rPr>
                <w:rFonts w:ascii="Arial" w:hAnsi="Arial" w:cs="Arial"/>
                <w:color w:val="FF0000"/>
                <w:sz w:val="16"/>
                <w:szCs w:val="16"/>
              </w:rPr>
              <w:t> </w:t>
            </w:r>
          </w:p>
        </w:tc>
        <w:tc>
          <w:tcPr>
            <w:tcW w:w="463" w:type="pct"/>
            <w:tcBorders>
              <w:top w:val="nil"/>
              <w:left w:val="nil"/>
              <w:bottom w:val="nil"/>
              <w:right w:val="nil"/>
            </w:tcBorders>
            <w:shd w:val="clear" w:color="000000" w:fill="FFFFFF"/>
            <w:noWrap/>
            <w:vAlign w:val="center"/>
            <w:hideMark/>
          </w:tcPr>
          <w:p w14:paraId="49B76ED8"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631.5</w:t>
            </w:r>
          </w:p>
        </w:tc>
        <w:tc>
          <w:tcPr>
            <w:tcW w:w="462" w:type="pct"/>
            <w:tcBorders>
              <w:top w:val="nil"/>
              <w:left w:val="nil"/>
              <w:bottom w:val="nil"/>
              <w:right w:val="nil"/>
            </w:tcBorders>
            <w:shd w:val="clear" w:color="000000" w:fill="F2F9FC"/>
            <w:noWrap/>
            <w:vAlign w:val="center"/>
            <w:hideMark/>
          </w:tcPr>
          <w:p w14:paraId="1D24411E"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714.9</w:t>
            </w:r>
          </w:p>
        </w:tc>
        <w:tc>
          <w:tcPr>
            <w:tcW w:w="462" w:type="pct"/>
            <w:tcBorders>
              <w:top w:val="nil"/>
              <w:left w:val="nil"/>
              <w:bottom w:val="nil"/>
              <w:right w:val="nil"/>
            </w:tcBorders>
            <w:shd w:val="clear" w:color="000000" w:fill="FFFFFF"/>
            <w:noWrap/>
            <w:vAlign w:val="center"/>
            <w:hideMark/>
          </w:tcPr>
          <w:p w14:paraId="12E2DDEA"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772.1</w:t>
            </w:r>
          </w:p>
        </w:tc>
        <w:tc>
          <w:tcPr>
            <w:tcW w:w="462" w:type="pct"/>
            <w:tcBorders>
              <w:top w:val="nil"/>
              <w:left w:val="nil"/>
              <w:bottom w:val="nil"/>
              <w:right w:val="nil"/>
            </w:tcBorders>
            <w:shd w:val="clear" w:color="000000" w:fill="FFFFFF"/>
            <w:noWrap/>
            <w:vAlign w:val="center"/>
            <w:hideMark/>
          </w:tcPr>
          <w:p w14:paraId="24680E76"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823.2</w:t>
            </w:r>
          </w:p>
        </w:tc>
        <w:tc>
          <w:tcPr>
            <w:tcW w:w="462" w:type="pct"/>
            <w:tcBorders>
              <w:top w:val="nil"/>
              <w:left w:val="nil"/>
              <w:bottom w:val="nil"/>
              <w:right w:val="nil"/>
            </w:tcBorders>
            <w:shd w:val="clear" w:color="000000" w:fill="FFFFFF"/>
            <w:noWrap/>
            <w:vAlign w:val="center"/>
            <w:hideMark/>
          </w:tcPr>
          <w:p w14:paraId="46FF7E0A"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864.5</w:t>
            </w:r>
          </w:p>
        </w:tc>
        <w:tc>
          <w:tcPr>
            <w:tcW w:w="83" w:type="pct"/>
            <w:tcBorders>
              <w:top w:val="nil"/>
              <w:left w:val="nil"/>
              <w:bottom w:val="nil"/>
              <w:right w:val="nil"/>
            </w:tcBorders>
            <w:shd w:val="clear" w:color="000000" w:fill="FFFFFF"/>
            <w:noWrap/>
            <w:vAlign w:val="center"/>
            <w:hideMark/>
          </w:tcPr>
          <w:p w14:paraId="52930FD0"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nil"/>
              <w:right w:val="nil"/>
            </w:tcBorders>
            <w:shd w:val="clear" w:color="000000" w:fill="FFFFFF"/>
            <w:noWrap/>
            <w:vAlign w:val="center"/>
            <w:hideMark/>
          </w:tcPr>
          <w:p w14:paraId="6ED271A8" w14:textId="77777777" w:rsidR="00A549B8" w:rsidRPr="00DA79D2" w:rsidRDefault="00A549B8" w:rsidP="00DA79D2">
            <w:pPr>
              <w:spacing w:after="0" w:line="240" w:lineRule="auto"/>
              <w:jc w:val="right"/>
              <w:rPr>
                <w:rFonts w:ascii="Arial" w:hAnsi="Arial" w:cs="Arial"/>
                <w:b/>
                <w:sz w:val="16"/>
                <w:szCs w:val="16"/>
              </w:rPr>
            </w:pPr>
            <w:r w:rsidRPr="00DA79D2">
              <w:rPr>
                <w:rFonts w:ascii="Arial" w:hAnsi="Arial" w:cs="Arial"/>
                <w:b/>
                <w:sz w:val="16"/>
                <w:szCs w:val="16"/>
              </w:rPr>
              <w:t> </w:t>
            </w:r>
          </w:p>
        </w:tc>
      </w:tr>
      <w:tr w:rsidR="00A549B8" w:rsidRPr="00A549B8" w14:paraId="363F081E" w14:textId="77777777" w:rsidTr="00A549B8">
        <w:trPr>
          <w:trHeight w:hRule="exact" w:val="225"/>
        </w:trPr>
        <w:tc>
          <w:tcPr>
            <w:tcW w:w="1608" w:type="pct"/>
            <w:tcBorders>
              <w:top w:val="nil"/>
              <w:left w:val="nil"/>
              <w:bottom w:val="single" w:sz="4" w:space="0" w:color="000000"/>
              <w:right w:val="nil"/>
            </w:tcBorders>
            <w:shd w:val="clear" w:color="000000" w:fill="FFFFFF"/>
            <w:noWrap/>
            <w:vAlign w:val="center"/>
            <w:hideMark/>
          </w:tcPr>
          <w:p w14:paraId="4F10E696" w14:textId="77777777" w:rsidR="00A549B8" w:rsidRPr="00DA79D2" w:rsidRDefault="00A549B8" w:rsidP="00DA79D2">
            <w:pPr>
              <w:spacing w:after="0" w:line="240" w:lineRule="auto"/>
              <w:jc w:val="left"/>
              <w:rPr>
                <w:rFonts w:ascii="Arial" w:hAnsi="Arial" w:cs="Arial"/>
                <w:color w:val="000000"/>
                <w:sz w:val="16"/>
                <w:szCs w:val="16"/>
              </w:rPr>
            </w:pPr>
            <w:r w:rsidRPr="00DA79D2">
              <w:rPr>
                <w:rFonts w:ascii="Arial" w:hAnsi="Arial" w:cs="Arial"/>
                <w:color w:val="000000"/>
                <w:sz w:val="16"/>
                <w:szCs w:val="16"/>
              </w:rPr>
              <w:t xml:space="preserve">Per cent of GDP </w:t>
            </w:r>
          </w:p>
        </w:tc>
        <w:tc>
          <w:tcPr>
            <w:tcW w:w="444" w:type="pct"/>
            <w:tcBorders>
              <w:top w:val="nil"/>
              <w:left w:val="nil"/>
              <w:bottom w:val="single" w:sz="4" w:space="0" w:color="auto"/>
              <w:right w:val="nil"/>
            </w:tcBorders>
            <w:shd w:val="clear" w:color="000000" w:fill="FFFFFF"/>
            <w:noWrap/>
            <w:vAlign w:val="center"/>
            <w:hideMark/>
          </w:tcPr>
          <w:p w14:paraId="566ADB5D"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28.6</w:t>
            </w:r>
          </w:p>
        </w:tc>
        <w:tc>
          <w:tcPr>
            <w:tcW w:w="83" w:type="pct"/>
            <w:tcBorders>
              <w:top w:val="nil"/>
              <w:left w:val="nil"/>
              <w:bottom w:val="single" w:sz="4" w:space="0" w:color="auto"/>
              <w:right w:val="nil"/>
            </w:tcBorders>
            <w:shd w:val="clear" w:color="000000" w:fill="FFFFFF"/>
            <w:noWrap/>
            <w:vAlign w:val="center"/>
            <w:hideMark/>
          </w:tcPr>
          <w:p w14:paraId="5C6E5494" w14:textId="77777777" w:rsidR="00A549B8" w:rsidRPr="00DA79D2" w:rsidRDefault="00A549B8" w:rsidP="00DA79D2">
            <w:pPr>
              <w:spacing w:after="0" w:line="240" w:lineRule="auto"/>
              <w:jc w:val="right"/>
              <w:rPr>
                <w:rFonts w:ascii="Arial" w:hAnsi="Arial" w:cs="Arial"/>
                <w:color w:val="33CCCC"/>
                <w:sz w:val="16"/>
                <w:szCs w:val="16"/>
              </w:rPr>
            </w:pPr>
            <w:r w:rsidRPr="00DA79D2">
              <w:rPr>
                <w:rFonts w:ascii="Arial" w:hAnsi="Arial" w:cs="Arial"/>
                <w:color w:val="33CCCC"/>
                <w:sz w:val="16"/>
                <w:szCs w:val="16"/>
              </w:rPr>
              <w:t> </w:t>
            </w:r>
          </w:p>
        </w:tc>
        <w:tc>
          <w:tcPr>
            <w:tcW w:w="463" w:type="pct"/>
            <w:tcBorders>
              <w:top w:val="nil"/>
              <w:left w:val="nil"/>
              <w:bottom w:val="single" w:sz="4" w:space="0" w:color="auto"/>
              <w:right w:val="nil"/>
            </w:tcBorders>
            <w:shd w:val="clear" w:color="000000" w:fill="FFFFFF"/>
            <w:noWrap/>
            <w:vAlign w:val="center"/>
            <w:hideMark/>
          </w:tcPr>
          <w:p w14:paraId="0FAF8AC9"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27.6</w:t>
            </w:r>
          </w:p>
        </w:tc>
        <w:tc>
          <w:tcPr>
            <w:tcW w:w="462" w:type="pct"/>
            <w:tcBorders>
              <w:top w:val="nil"/>
              <w:left w:val="nil"/>
              <w:bottom w:val="single" w:sz="4" w:space="0" w:color="auto"/>
              <w:right w:val="nil"/>
            </w:tcBorders>
            <w:shd w:val="clear" w:color="000000" w:fill="F2F9FC"/>
            <w:noWrap/>
            <w:vAlign w:val="center"/>
            <w:hideMark/>
          </w:tcPr>
          <w:p w14:paraId="5C6BEC6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31.1</w:t>
            </w:r>
          </w:p>
        </w:tc>
        <w:tc>
          <w:tcPr>
            <w:tcW w:w="462" w:type="pct"/>
            <w:tcBorders>
              <w:top w:val="nil"/>
              <w:left w:val="nil"/>
              <w:bottom w:val="single" w:sz="4" w:space="0" w:color="auto"/>
              <w:right w:val="nil"/>
            </w:tcBorders>
            <w:shd w:val="clear" w:color="000000" w:fill="FFFFFF"/>
            <w:noWrap/>
            <w:vAlign w:val="center"/>
            <w:hideMark/>
          </w:tcPr>
          <w:p w14:paraId="33590BC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32.6</w:t>
            </w:r>
          </w:p>
        </w:tc>
        <w:tc>
          <w:tcPr>
            <w:tcW w:w="462" w:type="pct"/>
            <w:tcBorders>
              <w:top w:val="nil"/>
              <w:left w:val="nil"/>
              <w:bottom w:val="single" w:sz="4" w:space="0" w:color="auto"/>
              <w:right w:val="nil"/>
            </w:tcBorders>
            <w:shd w:val="clear" w:color="000000" w:fill="FFFFFF"/>
            <w:noWrap/>
            <w:vAlign w:val="center"/>
            <w:hideMark/>
          </w:tcPr>
          <w:p w14:paraId="7A259B65"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33.1</w:t>
            </w:r>
          </w:p>
        </w:tc>
        <w:tc>
          <w:tcPr>
            <w:tcW w:w="462" w:type="pct"/>
            <w:tcBorders>
              <w:top w:val="nil"/>
              <w:left w:val="nil"/>
              <w:bottom w:val="single" w:sz="4" w:space="0" w:color="auto"/>
              <w:right w:val="nil"/>
            </w:tcBorders>
            <w:shd w:val="clear" w:color="000000" w:fill="FFFFFF"/>
            <w:noWrap/>
            <w:vAlign w:val="center"/>
            <w:hideMark/>
          </w:tcPr>
          <w:p w14:paraId="0FC7642F"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33.1</w:t>
            </w:r>
          </w:p>
        </w:tc>
        <w:tc>
          <w:tcPr>
            <w:tcW w:w="83" w:type="pct"/>
            <w:tcBorders>
              <w:top w:val="nil"/>
              <w:left w:val="nil"/>
              <w:bottom w:val="single" w:sz="4" w:space="0" w:color="auto"/>
              <w:right w:val="nil"/>
            </w:tcBorders>
            <w:shd w:val="clear" w:color="000000" w:fill="FFFFFF"/>
            <w:noWrap/>
            <w:vAlign w:val="center"/>
            <w:hideMark/>
          </w:tcPr>
          <w:p w14:paraId="6F5B2787"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c>
          <w:tcPr>
            <w:tcW w:w="471" w:type="pct"/>
            <w:tcBorders>
              <w:top w:val="nil"/>
              <w:left w:val="nil"/>
              <w:bottom w:val="single" w:sz="4" w:space="0" w:color="auto"/>
              <w:right w:val="nil"/>
            </w:tcBorders>
            <w:shd w:val="clear" w:color="000000" w:fill="FFFFFF"/>
            <w:noWrap/>
            <w:vAlign w:val="center"/>
            <w:hideMark/>
          </w:tcPr>
          <w:p w14:paraId="170858B0" w14:textId="77777777" w:rsidR="00A549B8" w:rsidRPr="00DA79D2" w:rsidRDefault="00A549B8" w:rsidP="00DA79D2">
            <w:pPr>
              <w:spacing w:after="0" w:line="240" w:lineRule="auto"/>
              <w:jc w:val="right"/>
              <w:rPr>
                <w:rFonts w:ascii="Arial" w:hAnsi="Arial" w:cs="Arial"/>
                <w:sz w:val="16"/>
                <w:szCs w:val="16"/>
              </w:rPr>
            </w:pPr>
            <w:r w:rsidRPr="00DA79D2">
              <w:rPr>
                <w:rFonts w:ascii="Arial" w:hAnsi="Arial" w:cs="Arial"/>
                <w:sz w:val="16"/>
                <w:szCs w:val="16"/>
              </w:rPr>
              <w:t> </w:t>
            </w:r>
          </w:p>
        </w:tc>
      </w:tr>
    </w:tbl>
    <w:p w14:paraId="41B2D27D" w14:textId="5F6EE4BE" w:rsidR="00D40DDC" w:rsidRPr="00625155" w:rsidRDefault="00D40DDC" w:rsidP="00424761">
      <w:pPr>
        <w:pStyle w:val="ChartandTableFootnoteAlpha"/>
        <w:numPr>
          <w:ilvl w:val="0"/>
          <w:numId w:val="5"/>
        </w:numPr>
        <w:rPr>
          <w:rFonts w:cs="Arial"/>
          <w:color w:val="auto"/>
          <w:szCs w:val="16"/>
        </w:rPr>
      </w:pPr>
      <w:r w:rsidRPr="00625155">
        <w:rPr>
          <w:color w:val="auto"/>
        </w:rPr>
        <w:t>Total is equal to the sum of amounts from 2022</w:t>
      </w:r>
      <w:r w:rsidR="00660645">
        <w:rPr>
          <w:color w:val="auto"/>
        </w:rPr>
        <w:noBreakHyphen/>
      </w:r>
      <w:r w:rsidRPr="00625155">
        <w:rPr>
          <w:color w:val="auto"/>
        </w:rPr>
        <w:t>23 to 2025</w:t>
      </w:r>
      <w:r w:rsidR="00660645">
        <w:rPr>
          <w:color w:val="auto"/>
        </w:rPr>
        <w:noBreakHyphen/>
      </w:r>
      <w:r w:rsidRPr="00625155">
        <w:rPr>
          <w:color w:val="auto"/>
        </w:rPr>
        <w:t>26.</w:t>
      </w:r>
    </w:p>
    <w:p w14:paraId="0441EDDD" w14:textId="6C28D392" w:rsidR="00D40DDC" w:rsidRPr="00625155" w:rsidRDefault="00D40DDC" w:rsidP="00424761">
      <w:pPr>
        <w:pStyle w:val="ChartandTableFootnoteAlpha"/>
        <w:numPr>
          <w:ilvl w:val="0"/>
          <w:numId w:val="5"/>
        </w:numPr>
        <w:rPr>
          <w:rFonts w:cs="Arial"/>
          <w:color w:val="auto"/>
          <w:szCs w:val="16"/>
        </w:rPr>
      </w:pPr>
      <w:r w:rsidRPr="00625155">
        <w:rPr>
          <w:color w:val="auto"/>
        </w:rPr>
        <w:t>Gross deb</w:t>
      </w:r>
      <w:r w:rsidRPr="00625155">
        <w:rPr>
          <w:rFonts w:cs="Arial"/>
          <w:color w:val="auto"/>
          <w:szCs w:val="16"/>
        </w:rPr>
        <w:t>t measures the face value of Australian Government Securities (AGS) on issue</w:t>
      </w:r>
      <w:r w:rsidRPr="00FA5281">
        <w:rPr>
          <w:rFonts w:cs="Arial"/>
          <w:color w:val="auto"/>
          <w:szCs w:val="16"/>
        </w:rPr>
        <w:t>.</w:t>
      </w:r>
    </w:p>
    <w:p w14:paraId="704EF2B3" w14:textId="3C6D99ED" w:rsidR="00D40DDC" w:rsidRPr="00625155" w:rsidDel="0076228F" w:rsidRDefault="00D40DDC" w:rsidP="00424761">
      <w:pPr>
        <w:pStyle w:val="ChartandTableFootnoteAlpha"/>
        <w:numPr>
          <w:ilvl w:val="0"/>
          <w:numId w:val="5"/>
        </w:numPr>
        <w:spacing w:after="240"/>
        <w:rPr>
          <w:color w:val="auto"/>
        </w:rPr>
      </w:pPr>
      <w:r w:rsidRPr="00625155">
        <w:rPr>
          <w:color w:val="auto"/>
        </w:rPr>
        <w:t>Net debt is the sum of interest bearing liabilities (which includes AGS on issue measured at market value) less the sum of selected financial assets (cash and deposits, advances paid and investments, loans and placements).</w:t>
      </w:r>
    </w:p>
    <w:p w14:paraId="376A024F" w14:textId="2141EF84" w:rsidR="00E375F4" w:rsidRPr="00625155" w:rsidRDefault="00E375F4" w:rsidP="00823FB3">
      <w:pPr>
        <w:pStyle w:val="ChartandTableFootnoteAlpha"/>
        <w:tabs>
          <w:tab w:val="clear" w:pos="284"/>
        </w:tabs>
        <w:spacing w:after="160" w:line="259" w:lineRule="auto"/>
        <w:ind w:left="0" w:firstLine="0"/>
        <w:jc w:val="left"/>
        <w:rPr>
          <w:color w:val="auto"/>
        </w:rPr>
        <w:sectPr w:rsidR="00E375F4" w:rsidRPr="00625155" w:rsidSect="00F12A47">
          <w:headerReference w:type="even" r:id="rId37"/>
          <w:headerReference w:type="default" r:id="rId38"/>
          <w:footerReference w:type="even" r:id="rId39"/>
          <w:footerReference w:type="default" r:id="rId40"/>
          <w:headerReference w:type="first" r:id="rId41"/>
          <w:footerReference w:type="first" r:id="rId42"/>
          <w:type w:val="oddPage"/>
          <w:pgSz w:w="11906" w:h="16838" w:code="9"/>
          <w:pgMar w:top="2835" w:right="2098" w:bottom="2466" w:left="2098" w:header="1814" w:footer="1814" w:gutter="0"/>
          <w:pgNumType w:start="1"/>
          <w:cols w:space="708"/>
          <w:titlePg/>
          <w:docGrid w:linePitch="360"/>
        </w:sectPr>
      </w:pPr>
    </w:p>
    <w:p w14:paraId="62121257" w14:textId="2607097F" w:rsidR="00521D91" w:rsidRPr="00625155" w:rsidRDefault="00521D91" w:rsidP="00E449DC">
      <w:pPr>
        <w:pStyle w:val="Heading2"/>
        <w:spacing w:before="0"/>
      </w:pPr>
      <w:bookmarkStart w:id="37" w:name="_Toc100752515"/>
      <w:bookmarkStart w:id="38" w:name="_Toc101281540"/>
      <w:r w:rsidRPr="00625155">
        <w:t>Economic outlook</w:t>
      </w:r>
      <w:bookmarkEnd w:id="37"/>
      <w:bookmarkEnd w:id="38"/>
    </w:p>
    <w:p w14:paraId="6A5684D2" w14:textId="0A50D0C1" w:rsidR="00521D91" w:rsidRPr="00625155" w:rsidRDefault="00521D91" w:rsidP="00E449DC">
      <w:r w:rsidRPr="00625155">
        <w:t xml:space="preserve">The outlook for the Australian economy remains strong, despite significant global headwinds, including rising global inflation and the conflict in Ukraine. </w:t>
      </w:r>
      <w:r w:rsidR="00CE750D" w:rsidRPr="00625155">
        <w:t xml:space="preserve">The </w:t>
      </w:r>
      <w:r w:rsidR="003D690D" w:rsidRPr="00625155">
        <w:t xml:space="preserve">major economic parameters </w:t>
      </w:r>
      <w:r w:rsidR="00BE1270" w:rsidRPr="00625155">
        <w:t>used in preparing the 2022 PEFO a</w:t>
      </w:r>
      <w:r w:rsidR="0021754E" w:rsidRPr="00625155">
        <w:t xml:space="preserve">re </w:t>
      </w:r>
      <w:r w:rsidR="00852E4A" w:rsidRPr="00625155">
        <w:t>unchanged from those presented at the 2022</w:t>
      </w:r>
      <w:r w:rsidR="00660645">
        <w:noBreakHyphen/>
      </w:r>
      <w:r w:rsidR="00852E4A" w:rsidRPr="00625155">
        <w:t>23 Budget.</w:t>
      </w:r>
      <w:r w:rsidRPr="00625155">
        <w:t xml:space="preserve"> Real GDP is forecast to grow by 4¼ per cent in 2021</w:t>
      </w:r>
      <w:r w:rsidR="00660645">
        <w:noBreakHyphen/>
      </w:r>
      <w:r w:rsidRPr="00625155">
        <w:t>22, reflecting strong momentum in the labour market and a rebound in private sector activity</w:t>
      </w:r>
      <w:r w:rsidRPr="00FA5281">
        <w:rPr>
          <w:sz w:val="16"/>
          <w:szCs w:val="16"/>
        </w:rPr>
        <w:t>.</w:t>
      </w:r>
      <w:r w:rsidRPr="00F03213">
        <w:rPr>
          <w:sz w:val="16"/>
          <w:szCs w:val="16"/>
        </w:rPr>
        <w:t xml:space="preserve"> </w:t>
      </w:r>
      <w:r w:rsidRPr="00625155">
        <w:t>Continued high labour force participation, low unemployment and strengthening wages growth</w:t>
      </w:r>
      <w:r w:rsidRPr="00F03213">
        <w:t xml:space="preserve"> </w:t>
      </w:r>
      <w:r w:rsidRPr="00625155">
        <w:t>is expected to see real GDP grow by 3½ per cent in 2022</w:t>
      </w:r>
      <w:r w:rsidR="00660645">
        <w:noBreakHyphen/>
      </w:r>
      <w:r w:rsidRPr="00625155">
        <w:t>23 and 2½ per cent in 2023</w:t>
      </w:r>
      <w:r w:rsidR="00660645">
        <w:noBreakHyphen/>
      </w:r>
      <w:r w:rsidRPr="00625155">
        <w:t>24</w:t>
      </w:r>
      <w:r w:rsidR="00C901F4">
        <w:t xml:space="preserve">. </w:t>
      </w:r>
    </w:p>
    <w:p w14:paraId="143257BD" w14:textId="1218EE9B" w:rsidR="00521D91" w:rsidRPr="00625155" w:rsidRDefault="00521D91" w:rsidP="00E449DC">
      <w:r w:rsidRPr="00625155">
        <w:t>Australia</w:t>
      </w:r>
      <w:r w:rsidR="00660645">
        <w:t>’</w:t>
      </w:r>
      <w:r w:rsidRPr="00625155">
        <w:t>s economy has proved highly resilient throughout the pandemic. Output and employment are both back above pre</w:t>
      </w:r>
      <w:r w:rsidR="00660645">
        <w:noBreakHyphen/>
      </w:r>
      <w:r w:rsidRPr="00625155">
        <w:t>pandemic levels, with Australia avoiding the labour market scarring experienced in some other advanced economies</w:t>
      </w:r>
      <w:r w:rsidRPr="00F03213">
        <w:t>.</w:t>
      </w:r>
      <w:r w:rsidR="003359C2" w:rsidRPr="003359C2">
        <w:t xml:space="preserve"> </w:t>
      </w:r>
      <w:r w:rsidRPr="00625155">
        <w:t>Recent indicators suggest that Omicron is having a relatively limited impact on economic activity. This reflects higher vaccination rates and continued adaptation to living with the virus. However, the potential emergence of new, more disruptive variants continues to pose a downside risk to domestic and global growth.</w:t>
      </w:r>
    </w:p>
    <w:p w14:paraId="6A5CB344" w14:textId="7F01BD9E" w:rsidR="00521D91" w:rsidRPr="00625155" w:rsidRDefault="00521D91" w:rsidP="00E449DC">
      <w:r w:rsidRPr="00625155">
        <w:t xml:space="preserve">The direct impact of the Queensland and New South Wales floods on national economic activity is expected to </w:t>
      </w:r>
      <w:r w:rsidR="49BE944F" w:rsidRPr="00625155">
        <w:t>occur</w:t>
      </w:r>
      <w:r w:rsidRPr="00625155">
        <w:t xml:space="preserve"> in the March quarter, detracting around ½ of a percentage point from quarterly real GDP. Over the next few years, flood recovery and rebuilding activity will add to real GDP growth, although it may also add to existing cost pressures in the construction industry. </w:t>
      </w:r>
    </w:p>
    <w:p w14:paraId="01562E18" w14:textId="058989C9" w:rsidR="00521D91" w:rsidRPr="00625155" w:rsidRDefault="00521D91" w:rsidP="00E449DC">
      <w:r w:rsidRPr="00625155">
        <w:t>The global economic outlook remains highly uncertain, with Russia</w:t>
      </w:r>
      <w:r w:rsidR="00660645">
        <w:t>’</w:t>
      </w:r>
      <w:r w:rsidRPr="00625155">
        <w:t>s invasion of Ukraine adding to global inflationary pressures, dampening investor and business confidence, and further disrupting supply chains. The invasion is expected to reduce global growth by ¾ of a percentage point in 2022 and increase global inflation by 1½</w:t>
      </w:r>
      <w:r w:rsidR="00D50E09" w:rsidRPr="00625155">
        <w:t> </w:t>
      </w:r>
      <w:r w:rsidRPr="00625155">
        <w:t>percentage points. Notwithstanding this, the global recovery is expected to continue as economies rebound and increasingly adapt to living with COVID</w:t>
      </w:r>
      <w:r w:rsidR="00660645">
        <w:noBreakHyphen/>
      </w:r>
      <w:r w:rsidRPr="00625155">
        <w:t>19. Global growth is expected to average 3¾ per cent in 2022 and 2023 and 3½ per cent in 2024, with Australia</w:t>
      </w:r>
      <w:r w:rsidR="00660645">
        <w:t>’</w:t>
      </w:r>
      <w:r w:rsidRPr="00625155">
        <w:t xml:space="preserve">s major trading partners in the Asian region forecast to grow more quickly. </w:t>
      </w:r>
    </w:p>
    <w:p w14:paraId="623301E5" w14:textId="74F2D275" w:rsidR="00521D91" w:rsidRPr="00625155" w:rsidRDefault="00521D91" w:rsidP="00E449DC">
      <w:r w:rsidRPr="00625155">
        <w:t>As an energy and food exporter with very limited direct trade exposure to Russia</w:t>
      </w:r>
      <w:r w:rsidR="00C72D03" w:rsidRPr="00625155">
        <w:t xml:space="preserve"> and Ukraine</w:t>
      </w:r>
      <w:r w:rsidRPr="00625155">
        <w:t>, Australia is relatively well</w:t>
      </w:r>
      <w:r w:rsidR="49BE944F" w:rsidRPr="00625155">
        <w:t xml:space="preserve"> </w:t>
      </w:r>
      <w:r w:rsidRPr="00625155">
        <w:t>positioned to weather the effects of Russia</w:t>
      </w:r>
      <w:r w:rsidR="00660645">
        <w:t>’</w:t>
      </w:r>
      <w:r w:rsidRPr="00625155">
        <w:t>s invasion of Ukraine. The recent record prices for key export commodities will boost Australia</w:t>
      </w:r>
      <w:r w:rsidR="00660645">
        <w:t>’</w:t>
      </w:r>
      <w:r w:rsidRPr="00625155">
        <w:t xml:space="preserve">s income and nominal GDP growth in the near term, although elevated global oil prices are flowing through to higher petrol and other consumer prices. </w:t>
      </w:r>
    </w:p>
    <w:p w14:paraId="59DC8A5A" w14:textId="5AAEC516" w:rsidR="00521D91" w:rsidRPr="00625155" w:rsidRDefault="00521D91" w:rsidP="00E449DC">
      <w:r w:rsidRPr="00625155">
        <w:t>The outlook for domestic demand in Australia remains positive. Household consumption growth is expected to remain strong in 2022</w:t>
      </w:r>
      <w:r w:rsidR="00660645">
        <w:noBreakHyphen/>
      </w:r>
      <w:r w:rsidRPr="00625155">
        <w:t>23 and 2023</w:t>
      </w:r>
      <w:r w:rsidR="00660645">
        <w:noBreakHyphen/>
      </w:r>
      <w:r w:rsidRPr="00625155">
        <w:t>24, driven by rising employment and strengthening wage growth. A record pipeline of work in the residential construction sector is expected to support elevated dwelling investment. The investment intentions of businesses also remain strong, supported by robust business balance sheets, temporary business tax incentives and strong economic momentum. While markets expect interest rates to normalise in coming years, materially higher household and business cash savings than at the start of the pandemic are expected to s</w:t>
      </w:r>
      <w:r w:rsidR="003709AF" w:rsidRPr="00625155">
        <w:t xml:space="preserve">ee </w:t>
      </w:r>
      <w:r w:rsidRPr="00625155">
        <w:t xml:space="preserve">domestic demand </w:t>
      </w:r>
      <w:r w:rsidR="003709AF" w:rsidRPr="00625155">
        <w:t xml:space="preserve">remain resilient. </w:t>
      </w:r>
    </w:p>
    <w:p w14:paraId="7CB49408" w14:textId="6A6597B5" w:rsidR="00521D91" w:rsidRPr="00625155" w:rsidRDefault="00521D91" w:rsidP="00E449DC">
      <w:r w:rsidRPr="00625155">
        <w:t>Growth will be further supported in 2022</w:t>
      </w:r>
      <w:r w:rsidR="00660645">
        <w:noBreakHyphen/>
      </w:r>
      <w:r w:rsidRPr="00625155">
        <w:t>23 by companies rebuilding inventories that have been depleted through the pandemic</w:t>
      </w:r>
      <w:r w:rsidR="003709AF" w:rsidRPr="00625155">
        <w:t xml:space="preserve"> as supply chain pressures ease</w:t>
      </w:r>
      <w:r w:rsidRPr="00625155">
        <w:t>. In contrast, net exports are expected to weigh on growth, particularly in 2022</w:t>
      </w:r>
      <w:r w:rsidR="00660645">
        <w:noBreakHyphen/>
      </w:r>
      <w:r w:rsidRPr="00625155">
        <w:t>23 as outbound tourism more than offsets inbound tourism and goods imports grow faster than exports</w:t>
      </w:r>
      <w:r w:rsidRPr="00F03213">
        <w:t>.</w:t>
      </w:r>
    </w:p>
    <w:p w14:paraId="369FE1FB" w14:textId="2D427FC0" w:rsidR="00521D91" w:rsidRPr="00625155" w:rsidRDefault="00521D91" w:rsidP="00E449DC">
      <w:r w:rsidRPr="00625155">
        <w:t xml:space="preserve">There is significant momentum in the Australian labour market. In </w:t>
      </w:r>
      <w:r w:rsidR="00446E13">
        <w:t>March</w:t>
      </w:r>
      <w:r w:rsidRPr="00625155">
        <w:t xml:space="preserve"> 2022, the unemployment rate </w:t>
      </w:r>
      <w:r w:rsidR="00776945">
        <w:t>remained at</w:t>
      </w:r>
      <w:r w:rsidRPr="00625155">
        <w:t xml:space="preserve"> 4.0 per cent, while the participation rate </w:t>
      </w:r>
      <w:r w:rsidR="00446E13">
        <w:t>remained at</w:t>
      </w:r>
      <w:r w:rsidRPr="00625155">
        <w:t xml:space="preserve"> a </w:t>
      </w:r>
      <w:r w:rsidR="006324F5">
        <w:t>record</w:t>
      </w:r>
      <w:r w:rsidRPr="00625155">
        <w:t xml:space="preserve"> high</w:t>
      </w:r>
      <w:r w:rsidR="0022184A" w:rsidRPr="00625155">
        <w:t>.</w:t>
      </w:r>
      <w:r w:rsidRPr="00625155">
        <w:t xml:space="preserve"> The unemployment rate is expected to fall further to 3¾ per cent in the September quarter of 2022 and remain at that level until the end of 202</w:t>
      </w:r>
      <w:r w:rsidR="00125DA5">
        <w:t>4</w:t>
      </w:r>
      <w:r w:rsidR="00660645">
        <w:noBreakHyphen/>
      </w:r>
      <w:r w:rsidRPr="00625155">
        <w:t>2</w:t>
      </w:r>
      <w:r w:rsidR="00125DA5">
        <w:t>5</w:t>
      </w:r>
      <w:r w:rsidRPr="00625155">
        <w:t>. The participation rate is also expected to remain at record high levels over t</w:t>
      </w:r>
      <w:r w:rsidR="49BE944F" w:rsidRPr="00625155">
        <w:t xml:space="preserve">he </w:t>
      </w:r>
      <w:r w:rsidR="00D967F2">
        <w:t>next few years</w:t>
      </w:r>
      <w:r w:rsidR="002052D1" w:rsidRPr="00625155">
        <w:t xml:space="preserve">. </w:t>
      </w:r>
    </w:p>
    <w:p w14:paraId="2EAD2364" w14:textId="07D8C0E7" w:rsidR="00521D91" w:rsidRPr="00625155" w:rsidRDefault="00521D91" w:rsidP="00E449DC">
      <w:r w:rsidRPr="00625155">
        <w:t>Wage growth is expected to pick up steadily as the unemployment rate experiences a sustained period below the assumed non</w:t>
      </w:r>
      <w:r w:rsidR="00660645">
        <w:noBreakHyphen/>
      </w:r>
      <w:r w:rsidRPr="00625155">
        <w:t>accelerating inflation rate of unemployment (NAIRU) of 4¼ per cent. Wage growth, as measured by the Wage Price Index (WPI), is forecast to increase from 2¾ per cent through the year to the June quarter of 2022 to 3¼</w:t>
      </w:r>
      <w:r w:rsidR="00F72B9E" w:rsidRPr="00625155">
        <w:t> </w:t>
      </w:r>
      <w:r w:rsidRPr="00625155">
        <w:t xml:space="preserve">per cent through the year to the June quarters of 2023 and 2024. </w:t>
      </w:r>
    </w:p>
    <w:p w14:paraId="5295F5B0" w14:textId="35F9DD51" w:rsidR="00521D91" w:rsidRPr="00625155" w:rsidRDefault="7A013B57" w:rsidP="00E449DC">
      <w:r>
        <w:t xml:space="preserve">The broader National Accounts measure of average earnings (AENA) per hour, is expected to grow faster than the WPI over the forecast period. It is forecast to grow by </w:t>
      </w:r>
      <w:r w:rsidR="004160E7">
        <w:t>5 </w:t>
      </w:r>
      <w:r>
        <w:t xml:space="preserve">per cent through the year to the June quarter of 2022, 3½ </w:t>
      </w:r>
      <w:r w:rsidR="37FFF715">
        <w:t xml:space="preserve">per cent </w:t>
      </w:r>
      <w:r>
        <w:t>through the year to the June quarter of 2023</w:t>
      </w:r>
      <w:r w:rsidR="006A4655">
        <w:t>,</w:t>
      </w:r>
      <w:r>
        <w:t xml:space="preserve"> and 3¾ per cent through the year to the June quarter of 2024.</w:t>
      </w:r>
    </w:p>
    <w:p w14:paraId="28A4FFDC" w14:textId="27D6E4CF" w:rsidR="00521D91" w:rsidRPr="00625155" w:rsidRDefault="00521D91" w:rsidP="00E449DC">
      <w:r w:rsidRPr="00625155">
        <w:t>Global inflation picked up sharply in 2021 due to significant rises in energy prices, elevated goods demand, and strained supply chains</w:t>
      </w:r>
      <w:r w:rsidRPr="00F03213">
        <w:t xml:space="preserve">. </w:t>
      </w:r>
      <w:r w:rsidRPr="00625155">
        <w:t xml:space="preserve">Inflation has also picked up in Australia, reaching 3.5 per cent through the year to the December quarter of 2021. </w:t>
      </w:r>
      <w:r w:rsidR="0A8C1895" w:rsidRPr="00625155">
        <w:t>Th</w:t>
      </w:r>
      <w:r w:rsidR="005E4328" w:rsidRPr="00625155">
        <w:t>e</w:t>
      </w:r>
      <w:r w:rsidR="49BE944F" w:rsidRPr="00625155">
        <w:t xml:space="preserve"> </w:t>
      </w:r>
      <w:proofErr w:type="spellStart"/>
      <w:r w:rsidR="49BE944F" w:rsidRPr="00625155">
        <w:t>pick up</w:t>
      </w:r>
      <w:proofErr w:type="spellEnd"/>
      <w:r w:rsidR="49BE944F" w:rsidRPr="00625155">
        <w:t xml:space="preserve"> </w:t>
      </w:r>
      <w:r w:rsidR="0A8C1895" w:rsidRPr="00625155">
        <w:t>in inflation has been stronger in</w:t>
      </w:r>
      <w:r w:rsidR="49BE944F" w:rsidRPr="00625155">
        <w:t xml:space="preserve"> </w:t>
      </w:r>
      <w:r w:rsidRPr="00625155">
        <w:t xml:space="preserve">other advanced economies, with inflation in the United States and the United Kingdom of </w:t>
      </w:r>
      <w:r w:rsidR="001268B7" w:rsidRPr="00625155">
        <w:t>8.5</w:t>
      </w:r>
      <w:r w:rsidRPr="00625155">
        <w:t xml:space="preserve"> per cent and </w:t>
      </w:r>
      <w:r w:rsidR="003C5D8B">
        <w:t>7.0</w:t>
      </w:r>
      <w:r w:rsidRPr="00625155">
        <w:t xml:space="preserve"> per cent respectively through the year to </w:t>
      </w:r>
      <w:r w:rsidR="001268B7" w:rsidRPr="00625155">
        <w:t>March</w:t>
      </w:r>
      <w:r w:rsidRPr="00625155">
        <w:t xml:space="preserve"> 2022. The Ukraine conflict will put further upwards pressure on global inflation in the near term. </w:t>
      </w:r>
    </w:p>
    <w:p w14:paraId="5CF862B4" w14:textId="141D1965" w:rsidR="00521D91" w:rsidRPr="00625155" w:rsidRDefault="00521D91" w:rsidP="00E449DC">
      <w:r w:rsidRPr="00625155">
        <w:t>Consumer price</w:t>
      </w:r>
      <w:r w:rsidR="004B341D" w:rsidRPr="00625155">
        <w:t>s</w:t>
      </w:r>
      <w:r w:rsidRPr="00625155">
        <w:t xml:space="preserve"> in Australia </w:t>
      </w:r>
      <w:r w:rsidR="000C4882" w:rsidRPr="00625155">
        <w:t>are</w:t>
      </w:r>
      <w:r w:rsidRPr="00625155">
        <w:t xml:space="preserve"> expected to grow by 4¼ per cent through the year to the June quarter of 2022, of which higher fuel costs from elevated global oil prices directly contribute around one percentage point. The fuel excise reduction is expected to reduce headline inflation by around ¼ of a percentage point in the June quarter of 2022. Beyond</w:t>
      </w:r>
      <w:r w:rsidR="00F72B9E" w:rsidRPr="00625155">
        <w:t> </w:t>
      </w:r>
      <w:r w:rsidRPr="00625155">
        <w:t>2022, inflation is expected to moderate as supply chain pressures and new dwelling costs ease, the oil price is assumed to fall, and as policy rates normalise. However, the tight domestic labour market and strengthening of wages growth will see inflation remain at the upper end of the Reserve Bank</w:t>
      </w:r>
      <w:r w:rsidR="00660645">
        <w:t>’</w:t>
      </w:r>
      <w:r w:rsidRPr="00625155">
        <w:t>s target band for some time, at 3</w:t>
      </w:r>
      <w:r w:rsidR="00F72B9E" w:rsidRPr="00625155">
        <w:t> </w:t>
      </w:r>
      <w:r w:rsidRPr="00625155">
        <w:t xml:space="preserve">per cent through the year to June </w:t>
      </w:r>
      <w:r w:rsidR="15050EF3">
        <w:t xml:space="preserve">quarter of </w:t>
      </w:r>
      <w:r w:rsidRPr="00625155">
        <w:t xml:space="preserve">2023 and 2¾ per cent through the year to </w:t>
      </w:r>
      <w:r w:rsidR="006A4655">
        <w:t xml:space="preserve">the </w:t>
      </w:r>
      <w:r w:rsidRPr="00625155">
        <w:t xml:space="preserve">June </w:t>
      </w:r>
      <w:r>
        <w:t>quarter</w:t>
      </w:r>
      <w:r w:rsidR="006A4655">
        <w:t>s</w:t>
      </w:r>
      <w:r>
        <w:t xml:space="preserve"> of </w:t>
      </w:r>
      <w:r w:rsidRPr="00625155">
        <w:t xml:space="preserve">2024 and 2025. </w:t>
      </w:r>
    </w:p>
    <w:p w14:paraId="09528C65" w14:textId="4DD8F21D" w:rsidR="00DA6362" w:rsidRPr="00625155" w:rsidRDefault="00DA6362" w:rsidP="00DA6362">
      <w:pPr>
        <w:rPr>
          <w:rFonts w:ascii="Calibri" w:hAnsi="Calibri"/>
          <w:lang w:eastAsia="en-US"/>
        </w:rPr>
      </w:pPr>
      <w:r w:rsidRPr="00625155">
        <w:t>Since the 2022</w:t>
      </w:r>
      <w:r w:rsidR="00660645">
        <w:noBreakHyphen/>
      </w:r>
      <w:r w:rsidRPr="00625155">
        <w:t xml:space="preserve">23 Budget, </w:t>
      </w:r>
      <w:r w:rsidR="00537F00">
        <w:t>in Australian dollar terms</w:t>
      </w:r>
      <w:r w:rsidR="00537F00" w:rsidRPr="00625155">
        <w:t xml:space="preserve"> </w:t>
      </w:r>
      <w:r w:rsidRPr="00625155">
        <w:t>average iron ore spot prices</w:t>
      </w:r>
      <w:r w:rsidR="004C3D24">
        <w:t xml:space="preserve"> </w:t>
      </w:r>
      <w:r w:rsidRPr="00625155">
        <w:t>have been higher than assumed, but this is offset by lower average thermal coal and oil spot prices. Given short</w:t>
      </w:r>
      <w:r w:rsidR="00660645">
        <w:noBreakHyphen/>
      </w:r>
      <w:r w:rsidRPr="00625155">
        <w:t>term volatility and offsetting movements in individual commodity prices, these differences are judged not to give rise to a material change in nominal GDP. As such, the 2022 PEFO adopts the same commodity export</w:t>
      </w:r>
      <w:r w:rsidR="00E9734D">
        <w:t xml:space="preserve"> price</w:t>
      </w:r>
      <w:r w:rsidRPr="00625155">
        <w:t xml:space="preserve"> assumptions as Budget. It is assumed that elevated coal, iron ore and metals prices return to levels implied by long</w:t>
      </w:r>
      <w:r w:rsidR="00660645">
        <w:noBreakHyphen/>
      </w:r>
      <w:r w:rsidRPr="00625155">
        <w:t xml:space="preserve">run market fundamentals by the end of the September quarter of 2022. Analysis on the effect of commodity price movements on nominal GDP and revenue forecasts is discussed in </w:t>
      </w:r>
      <w:r w:rsidRPr="00625155">
        <w:rPr>
          <w:i/>
          <w:iCs/>
        </w:rPr>
        <w:t>2022</w:t>
      </w:r>
      <w:r w:rsidR="00660645">
        <w:rPr>
          <w:i/>
          <w:iCs/>
        </w:rPr>
        <w:noBreakHyphen/>
      </w:r>
      <w:r w:rsidRPr="00625155">
        <w:rPr>
          <w:i/>
          <w:iCs/>
        </w:rPr>
        <w:t>23 Budget Statement 2: Economic Outlook</w:t>
      </w:r>
      <w:r w:rsidRPr="00625155">
        <w:t xml:space="preserve"> and </w:t>
      </w:r>
      <w:r w:rsidRPr="00625155">
        <w:rPr>
          <w:i/>
          <w:iCs/>
        </w:rPr>
        <w:t>2022</w:t>
      </w:r>
      <w:r w:rsidR="00660645">
        <w:rPr>
          <w:i/>
          <w:iCs/>
        </w:rPr>
        <w:noBreakHyphen/>
      </w:r>
      <w:r w:rsidRPr="00625155">
        <w:rPr>
          <w:i/>
          <w:iCs/>
        </w:rPr>
        <w:t>23 Budget Statement 7: Forecasting Performance and Sensitivity Analysis.</w:t>
      </w:r>
    </w:p>
    <w:p w14:paraId="08215A8C" w14:textId="6FEEDDEA" w:rsidR="00521D91" w:rsidRPr="00625155" w:rsidRDefault="00521D91" w:rsidP="00E449DC">
      <w:r w:rsidRPr="00625155">
        <w:t>The recent strength in commodity export prices, partly due to the Russian invasion of Ukraine, will still see Australia</w:t>
      </w:r>
      <w:r w:rsidR="00660645">
        <w:t>’</w:t>
      </w:r>
      <w:r w:rsidRPr="00625155">
        <w:t>s terms of trade reach a record high in 2021</w:t>
      </w:r>
      <w:r w:rsidR="00660645">
        <w:noBreakHyphen/>
      </w:r>
      <w:r w:rsidRPr="00625155">
        <w:t>22. This will support strong growth in nominal GDP of 10¾ per cent in 2021</w:t>
      </w:r>
      <w:r w:rsidR="00660645">
        <w:noBreakHyphen/>
      </w:r>
      <w:r w:rsidRPr="00625155">
        <w:t>22. Nominal GDP is expected to grow by ½ of a per cent in 2022</w:t>
      </w:r>
      <w:r w:rsidR="00660645">
        <w:noBreakHyphen/>
      </w:r>
      <w:r w:rsidRPr="00625155">
        <w:t>23 and by 3 per cent in 2023</w:t>
      </w:r>
      <w:r w:rsidR="00660645">
        <w:noBreakHyphen/>
      </w:r>
      <w:r w:rsidRPr="00625155">
        <w:t xml:space="preserve">24, reflecting the continued recovery in real GDP and growth in domestic prices. Overall, nominal GDP growth is subdued across these years due to </w:t>
      </w:r>
      <w:r w:rsidR="00C476BD" w:rsidRPr="00625155">
        <w:t xml:space="preserve">a </w:t>
      </w:r>
      <w:r w:rsidRPr="00625155">
        <w:t xml:space="preserve">sharply falling terms of trade from the assumed unwinding of commodity prices from currently elevated levels. </w:t>
      </w:r>
    </w:p>
    <w:p w14:paraId="029B56F9" w14:textId="5C342E76" w:rsidR="00521D91" w:rsidRPr="00625155" w:rsidRDefault="00521D91" w:rsidP="00E449DC">
      <w:pPr>
        <w:rPr>
          <w:i/>
          <w:iCs/>
        </w:rPr>
      </w:pPr>
      <w:r w:rsidRPr="00625155">
        <w:t xml:space="preserve">There remain a number of key risks and uncertainties around the forecasts. These are </w:t>
      </w:r>
      <w:r w:rsidR="00DB4DC9" w:rsidRPr="00625155">
        <w:t>in</w:t>
      </w:r>
      <w:r w:rsidR="00F04CF2" w:rsidRPr="00625155">
        <w:t xml:space="preserve"> </w:t>
      </w:r>
      <w:r w:rsidR="00DB4DC9" w:rsidRPr="00625155">
        <w:t>line with those</w:t>
      </w:r>
      <w:r w:rsidRPr="00625155">
        <w:t xml:space="preserve"> presented in </w:t>
      </w:r>
      <w:r w:rsidRPr="00625155">
        <w:rPr>
          <w:i/>
          <w:iCs/>
        </w:rPr>
        <w:t>2022</w:t>
      </w:r>
      <w:r w:rsidR="00660645">
        <w:rPr>
          <w:i/>
          <w:iCs/>
        </w:rPr>
        <w:noBreakHyphen/>
      </w:r>
      <w:r w:rsidRPr="00625155">
        <w:rPr>
          <w:i/>
          <w:iCs/>
        </w:rPr>
        <w:t>23 Budget Statement 2: Economic Outlook.</w:t>
      </w:r>
    </w:p>
    <w:p w14:paraId="1C644515" w14:textId="0576262B" w:rsidR="00521D91" w:rsidRPr="00625155" w:rsidRDefault="00521D91" w:rsidP="00E449DC">
      <w:r w:rsidRPr="00625155">
        <w:t xml:space="preserve">On the health front, the pandemic will continue to pose a risk to the outlook for some time. The </w:t>
      </w:r>
      <w:r w:rsidRPr="00625155">
        <w:rPr>
          <w:i/>
          <w:iCs/>
        </w:rPr>
        <w:t>2022</w:t>
      </w:r>
      <w:r w:rsidR="00660645">
        <w:rPr>
          <w:i/>
          <w:iCs/>
        </w:rPr>
        <w:noBreakHyphen/>
      </w:r>
      <w:r w:rsidRPr="00625155">
        <w:rPr>
          <w:i/>
          <w:iCs/>
        </w:rPr>
        <w:t>23 Budget Statement 2: Economic Outlook</w:t>
      </w:r>
      <w:r w:rsidRPr="00625155">
        <w:t xml:space="preserve"> identifies that real GDP growth would be ½ of a percentage point lower in 2022</w:t>
      </w:r>
      <w:r w:rsidR="00660645">
        <w:noBreakHyphen/>
      </w:r>
      <w:r w:rsidRPr="00625155">
        <w:t>23 if a more virulent or vaccine resistant variant of COVID</w:t>
      </w:r>
      <w:r w:rsidR="00660645">
        <w:noBreakHyphen/>
      </w:r>
      <w:r w:rsidRPr="00625155">
        <w:t>19 emerged. Conversely, a more benign health outlook than assumed in the forecasts would increase consumer confidence and spending, increasing real GDP growth by around ¾ of a percentage point in 2022</w:t>
      </w:r>
      <w:r w:rsidR="00660645">
        <w:noBreakHyphen/>
      </w:r>
      <w:r w:rsidRPr="00625155">
        <w:t>23.</w:t>
      </w:r>
    </w:p>
    <w:p w14:paraId="4DBAFA11" w14:textId="58626496" w:rsidR="00521D91" w:rsidRPr="00625155" w:rsidRDefault="00521D91" w:rsidP="00E449DC">
      <w:r w:rsidRPr="00625155">
        <w:t>An extended conflict between Russia and Ukraine could weigh more heavily on global energy supply and global demand, presenting a downside risk to the global and domestic outlook. Health developments in China also present a risk to global supply chains as China</w:t>
      </w:r>
      <w:r w:rsidR="00660645">
        <w:t>’</w:t>
      </w:r>
      <w:r w:rsidRPr="00625155">
        <w:t>s aggressive suppression approach to managing the virus has the potential to lead to frequent lockdowns and disruptions to industrial production and normal consumption patterns. Case numbers from the current COVID</w:t>
      </w:r>
      <w:r w:rsidR="00660645">
        <w:noBreakHyphen/>
      </w:r>
      <w:r w:rsidRPr="00625155">
        <w:t xml:space="preserve">19 outbreak have strongly increased since the Budget, and new lockdowns have emerged in the key economic centre of Shanghai. </w:t>
      </w:r>
    </w:p>
    <w:p w14:paraId="161BF3B2" w14:textId="5657A96C" w:rsidR="005960A8" w:rsidRPr="00625155" w:rsidRDefault="00521D91" w:rsidP="005960A8">
      <w:r w:rsidRPr="00625155">
        <w:t>Rising inflationary pressure is expected to result in a tightening of monetary policy both domestically and globally.</w:t>
      </w:r>
      <w:r w:rsidR="00AA780A" w:rsidRPr="00AA780A">
        <w:t xml:space="preserve"> </w:t>
      </w:r>
      <w:r w:rsidR="005960A8" w:rsidRPr="00625155">
        <w:t xml:space="preserve">At the time of finalising the key assumptions for the </w:t>
      </w:r>
      <w:r w:rsidR="001A7E56" w:rsidRPr="00625155">
        <w:br/>
      </w:r>
      <w:r w:rsidR="005960A8" w:rsidRPr="00625155">
        <w:t>2022</w:t>
      </w:r>
      <w:r w:rsidR="00660645">
        <w:noBreakHyphen/>
      </w:r>
      <w:r w:rsidR="005960A8" w:rsidRPr="00625155">
        <w:t>23 Budget, financial markets were pricing in a domestic tightening cycle in Australia from mid</w:t>
      </w:r>
      <w:r w:rsidR="7B7724C0" w:rsidRPr="00625155">
        <w:rPr>
          <w:rFonts w:eastAsia="Calibri"/>
        </w:rPr>
        <w:t>‑</w:t>
      </w:r>
      <w:r w:rsidR="005960A8" w:rsidRPr="00625155">
        <w:t xml:space="preserve">2022 until 2024. Since then, the exchange rate has appreciated modestly and market expectations of the cash rate have risen. Other things being equal, an increase in the official cash rate that is faster and higher than previously assumed, would be expected to result in a reduction in economic activity and inflationary pressures relative to the </w:t>
      </w:r>
      <w:r w:rsidR="7B7724C0" w:rsidRPr="00625155">
        <w:rPr>
          <w:rFonts w:eastAsia="Calibri"/>
        </w:rPr>
        <w:t xml:space="preserve">Budget forecasts. However, taking into account all available information and the prevailing risks around the economic outlook, recent </w:t>
      </w:r>
      <w:r w:rsidR="00063930" w:rsidRPr="00625155">
        <w:rPr>
          <w:rFonts w:eastAsia="Calibri"/>
        </w:rPr>
        <w:t>movement</w:t>
      </w:r>
      <w:r w:rsidR="7B7724C0" w:rsidRPr="00625155">
        <w:rPr>
          <w:rFonts w:eastAsia="Calibri"/>
        </w:rPr>
        <w:t xml:space="preserve"> in these indicators is not judged to </w:t>
      </w:r>
      <w:r w:rsidR="00063930" w:rsidRPr="00625155">
        <w:rPr>
          <w:rFonts w:eastAsia="Calibri"/>
        </w:rPr>
        <w:t xml:space="preserve">have </w:t>
      </w:r>
      <w:r w:rsidR="7B7724C0" w:rsidRPr="00625155">
        <w:rPr>
          <w:rFonts w:eastAsia="Calibri"/>
        </w:rPr>
        <w:t xml:space="preserve">materially </w:t>
      </w:r>
      <w:r w:rsidR="007E5F67" w:rsidRPr="00625155">
        <w:rPr>
          <w:rFonts w:eastAsia="Calibri"/>
        </w:rPr>
        <w:t>altered</w:t>
      </w:r>
      <w:r w:rsidR="7B7724C0" w:rsidRPr="00625155">
        <w:rPr>
          <w:rFonts w:eastAsia="Calibri"/>
        </w:rPr>
        <w:t xml:space="preserve"> the economic outlook. </w:t>
      </w:r>
    </w:p>
    <w:p w14:paraId="16E99DC1" w14:textId="641C6AAD" w:rsidR="00521D91" w:rsidRPr="00625155" w:rsidRDefault="00521D91" w:rsidP="00E449DC">
      <w:r w:rsidRPr="00625155">
        <w:t>Table 2 presents the major economic parameters used in preparing the 2022 PEFO. These are unchanged from those presented at the 2022</w:t>
      </w:r>
      <w:r w:rsidR="00660645">
        <w:noBreakHyphen/>
      </w:r>
      <w:r w:rsidRPr="00625155">
        <w:t>23 Budget.</w:t>
      </w:r>
    </w:p>
    <w:p w14:paraId="3CCA72CB" w14:textId="71B6AE73" w:rsidR="00BB3374" w:rsidRPr="00DD33CA" w:rsidRDefault="00521D91" w:rsidP="00BB3374">
      <w:pPr>
        <w:pStyle w:val="TableHeading"/>
        <w:rPr>
          <w:rFonts w:asciiTheme="minorHAnsi" w:eastAsiaTheme="minorHAnsi" w:hAnsiTheme="minorHAnsi" w:cstheme="minorBidi"/>
          <w:b w:val="0"/>
          <w:sz w:val="22"/>
          <w:szCs w:val="22"/>
          <w:lang w:eastAsia="en-US"/>
        </w:rPr>
      </w:pPr>
      <w:r w:rsidRPr="007D0A6E">
        <w:rPr>
          <w:rFonts w:cs="Arial"/>
        </w:rPr>
        <w:t xml:space="preserve">Table </w:t>
      </w:r>
      <w:r>
        <w:rPr>
          <w:rFonts w:cs="Arial"/>
        </w:rPr>
        <w:t>2</w:t>
      </w:r>
      <w:r w:rsidRPr="007D0A6E">
        <w:rPr>
          <w:rFonts w:cs="Arial"/>
        </w:rPr>
        <w:t>: Major economic parameters</w:t>
      </w:r>
      <w:r w:rsidRPr="007D0A6E">
        <w:rPr>
          <w:rFonts w:cs="Arial"/>
          <w:vertAlign w:val="superscript"/>
        </w:rPr>
        <w:t>(a</w:t>
      </w:r>
      <w:r w:rsidR="00BB3374" w:rsidRPr="007D0A6E">
        <w:rPr>
          <w:rFonts w:cs="Arial"/>
          <w:vertAlign w:val="superscript"/>
        </w:rPr>
        <w:t>)</w:t>
      </w:r>
    </w:p>
    <w:tbl>
      <w:tblPr>
        <w:tblW w:w="5000" w:type="pct"/>
        <w:tblCellMar>
          <w:left w:w="0" w:type="dxa"/>
          <w:right w:w="28" w:type="dxa"/>
        </w:tblCellMar>
        <w:tblLook w:val="04A0" w:firstRow="1" w:lastRow="0" w:firstColumn="1" w:lastColumn="0" w:noHBand="0" w:noVBand="1"/>
      </w:tblPr>
      <w:tblGrid>
        <w:gridCol w:w="1918"/>
        <w:gridCol w:w="820"/>
        <w:gridCol w:w="948"/>
        <w:gridCol w:w="992"/>
        <w:gridCol w:w="992"/>
        <w:gridCol w:w="995"/>
        <w:gridCol w:w="1045"/>
      </w:tblGrid>
      <w:tr w:rsidR="0017288D" w:rsidRPr="00DD33CA" w14:paraId="74D6E835" w14:textId="2BDFD449" w:rsidTr="0034104B">
        <w:trPr>
          <w:trHeight w:hRule="exact" w:val="255"/>
        </w:trPr>
        <w:tc>
          <w:tcPr>
            <w:tcW w:w="1244" w:type="pct"/>
            <w:tcBorders>
              <w:top w:val="single" w:sz="4" w:space="0" w:color="000000"/>
              <w:left w:val="nil"/>
              <w:bottom w:val="nil"/>
              <w:right w:val="nil"/>
            </w:tcBorders>
            <w:shd w:val="clear" w:color="000000" w:fill="FFFFFF"/>
            <w:noWrap/>
            <w:vAlign w:val="bottom"/>
            <w:hideMark/>
          </w:tcPr>
          <w:p w14:paraId="006B8DAB" w14:textId="3F97C76D" w:rsidR="0017288D" w:rsidRPr="00DD33CA" w:rsidRDefault="0017288D" w:rsidP="00BB3374">
            <w:pPr>
              <w:spacing w:after="0" w:line="240" w:lineRule="auto"/>
              <w:jc w:val="left"/>
              <w:rPr>
                <w:rFonts w:ascii="Arial" w:hAnsi="Arial" w:cs="Arial"/>
                <w:sz w:val="16"/>
                <w:szCs w:val="16"/>
              </w:rPr>
            </w:pPr>
            <w:r w:rsidRPr="00DD33CA">
              <w:rPr>
                <w:rFonts w:ascii="Arial" w:hAnsi="Arial" w:cs="Arial"/>
                <w:sz w:val="16"/>
                <w:szCs w:val="16"/>
              </w:rPr>
              <w:t> </w:t>
            </w:r>
          </w:p>
        </w:tc>
        <w:tc>
          <w:tcPr>
            <w:tcW w:w="532" w:type="pct"/>
            <w:tcBorders>
              <w:top w:val="single" w:sz="4" w:space="0" w:color="000000"/>
              <w:left w:val="nil"/>
              <w:bottom w:val="nil"/>
              <w:right w:val="nil"/>
            </w:tcBorders>
            <w:shd w:val="clear" w:color="000000" w:fill="FFFFFF"/>
            <w:noWrap/>
            <w:vAlign w:val="bottom"/>
            <w:hideMark/>
          </w:tcPr>
          <w:p w14:paraId="39267D03" w14:textId="77777777" w:rsidR="0017288D" w:rsidRPr="00DD33CA" w:rsidRDefault="0017288D" w:rsidP="00BB3374">
            <w:pPr>
              <w:spacing w:after="0" w:line="240" w:lineRule="auto"/>
              <w:jc w:val="right"/>
              <w:rPr>
                <w:rFonts w:ascii="Arial" w:hAnsi="Arial" w:cs="Arial"/>
                <w:sz w:val="16"/>
                <w:szCs w:val="16"/>
              </w:rPr>
            </w:pPr>
            <w:r w:rsidRPr="00DD33CA">
              <w:rPr>
                <w:rFonts w:ascii="Arial" w:hAnsi="Arial" w:cs="Arial"/>
                <w:sz w:val="16"/>
                <w:szCs w:val="16"/>
              </w:rPr>
              <w:t>Outcome</w:t>
            </w:r>
          </w:p>
        </w:tc>
        <w:tc>
          <w:tcPr>
            <w:tcW w:w="3224" w:type="pct"/>
            <w:gridSpan w:val="5"/>
            <w:tcBorders>
              <w:top w:val="single" w:sz="4" w:space="0" w:color="000000"/>
              <w:left w:val="nil"/>
              <w:bottom w:val="single" w:sz="4" w:space="0" w:color="000000"/>
              <w:right w:val="nil"/>
            </w:tcBorders>
            <w:shd w:val="clear" w:color="000000" w:fill="F2F9FC"/>
            <w:noWrap/>
            <w:vAlign w:val="bottom"/>
            <w:hideMark/>
          </w:tcPr>
          <w:p w14:paraId="44DFCBD0" w14:textId="5F0587A2" w:rsidR="0017288D" w:rsidRPr="00DD33CA" w:rsidRDefault="0017288D" w:rsidP="00BB3374">
            <w:pPr>
              <w:spacing w:after="0" w:line="240" w:lineRule="auto"/>
              <w:jc w:val="center"/>
              <w:rPr>
                <w:rFonts w:ascii="Arial" w:hAnsi="Arial" w:cs="Arial"/>
                <w:sz w:val="16"/>
                <w:szCs w:val="16"/>
              </w:rPr>
            </w:pPr>
            <w:r w:rsidRPr="00DD33CA">
              <w:rPr>
                <w:rFonts w:ascii="Arial" w:hAnsi="Arial" w:cs="Arial"/>
                <w:sz w:val="16"/>
                <w:szCs w:val="16"/>
              </w:rPr>
              <w:t>Forecasts</w:t>
            </w:r>
          </w:p>
        </w:tc>
      </w:tr>
      <w:tr w:rsidR="00684605" w:rsidRPr="00DD33CA" w14:paraId="26518334"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739724A0"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 </w:t>
            </w:r>
          </w:p>
        </w:tc>
        <w:tc>
          <w:tcPr>
            <w:tcW w:w="532" w:type="pct"/>
            <w:tcBorders>
              <w:top w:val="single" w:sz="4" w:space="0" w:color="000000"/>
              <w:left w:val="nil"/>
              <w:bottom w:val="single" w:sz="4" w:space="0" w:color="000000"/>
              <w:right w:val="nil"/>
            </w:tcBorders>
            <w:shd w:val="clear" w:color="000000" w:fill="FFFFFF"/>
            <w:noWrap/>
            <w:vAlign w:val="bottom"/>
            <w:hideMark/>
          </w:tcPr>
          <w:p w14:paraId="0864F335" w14:textId="669F3DAC"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2020</w:t>
            </w:r>
            <w:r w:rsidR="00660645">
              <w:rPr>
                <w:rFonts w:ascii="Arial" w:hAnsi="Arial" w:cs="Arial"/>
                <w:sz w:val="16"/>
                <w:szCs w:val="16"/>
              </w:rPr>
              <w:noBreakHyphen/>
            </w:r>
            <w:r w:rsidRPr="00DD33CA">
              <w:rPr>
                <w:rFonts w:ascii="Arial" w:hAnsi="Arial" w:cs="Arial"/>
                <w:sz w:val="16"/>
                <w:szCs w:val="16"/>
              </w:rPr>
              <w:t>21</w:t>
            </w:r>
          </w:p>
        </w:tc>
        <w:tc>
          <w:tcPr>
            <w:tcW w:w="615" w:type="pct"/>
            <w:tcBorders>
              <w:top w:val="nil"/>
              <w:left w:val="nil"/>
              <w:bottom w:val="single" w:sz="4" w:space="0" w:color="000000"/>
              <w:right w:val="nil"/>
            </w:tcBorders>
            <w:shd w:val="clear" w:color="000000" w:fill="F2F9FC"/>
            <w:noWrap/>
            <w:vAlign w:val="bottom"/>
            <w:hideMark/>
          </w:tcPr>
          <w:p w14:paraId="23D2ED15" w14:textId="5E74D2D5"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2021</w:t>
            </w:r>
            <w:r w:rsidR="00660645">
              <w:rPr>
                <w:rFonts w:ascii="Arial" w:hAnsi="Arial" w:cs="Arial"/>
                <w:sz w:val="16"/>
                <w:szCs w:val="16"/>
              </w:rPr>
              <w:noBreakHyphen/>
            </w:r>
            <w:r w:rsidRPr="00DD33CA">
              <w:rPr>
                <w:rFonts w:ascii="Arial" w:hAnsi="Arial" w:cs="Arial"/>
                <w:sz w:val="16"/>
                <w:szCs w:val="16"/>
              </w:rPr>
              <w:t>22</w:t>
            </w:r>
          </w:p>
        </w:tc>
        <w:tc>
          <w:tcPr>
            <w:tcW w:w="643" w:type="pct"/>
            <w:tcBorders>
              <w:top w:val="nil"/>
              <w:left w:val="nil"/>
              <w:bottom w:val="single" w:sz="4" w:space="0" w:color="000000"/>
              <w:right w:val="nil"/>
            </w:tcBorders>
            <w:shd w:val="clear" w:color="000000" w:fill="F2F9FC"/>
            <w:noWrap/>
            <w:vAlign w:val="bottom"/>
            <w:hideMark/>
          </w:tcPr>
          <w:p w14:paraId="6DDDF446" w14:textId="3AF9F3BC"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2022</w:t>
            </w:r>
            <w:r w:rsidR="00660645">
              <w:rPr>
                <w:rFonts w:ascii="Arial" w:hAnsi="Arial" w:cs="Arial"/>
                <w:sz w:val="16"/>
                <w:szCs w:val="16"/>
              </w:rPr>
              <w:noBreakHyphen/>
            </w:r>
            <w:r w:rsidRPr="00DD33CA">
              <w:rPr>
                <w:rFonts w:ascii="Arial" w:hAnsi="Arial" w:cs="Arial"/>
                <w:sz w:val="16"/>
                <w:szCs w:val="16"/>
              </w:rPr>
              <w:t>23</w:t>
            </w:r>
          </w:p>
        </w:tc>
        <w:tc>
          <w:tcPr>
            <w:tcW w:w="643" w:type="pct"/>
            <w:tcBorders>
              <w:top w:val="nil"/>
              <w:left w:val="nil"/>
              <w:bottom w:val="single" w:sz="4" w:space="0" w:color="000000"/>
              <w:right w:val="nil"/>
            </w:tcBorders>
            <w:shd w:val="clear" w:color="000000" w:fill="F2F9FC"/>
            <w:noWrap/>
            <w:vAlign w:val="bottom"/>
            <w:hideMark/>
          </w:tcPr>
          <w:p w14:paraId="76F123BA" w14:textId="31F75B3C"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2023</w:t>
            </w:r>
            <w:r w:rsidR="00660645">
              <w:rPr>
                <w:rFonts w:ascii="Arial" w:hAnsi="Arial" w:cs="Arial"/>
                <w:sz w:val="16"/>
                <w:szCs w:val="16"/>
              </w:rPr>
              <w:noBreakHyphen/>
            </w:r>
            <w:r w:rsidRPr="00DD33CA">
              <w:rPr>
                <w:rFonts w:ascii="Arial" w:hAnsi="Arial" w:cs="Arial"/>
                <w:sz w:val="16"/>
                <w:szCs w:val="16"/>
              </w:rPr>
              <w:t>24</w:t>
            </w:r>
          </w:p>
        </w:tc>
        <w:tc>
          <w:tcPr>
            <w:tcW w:w="645" w:type="pct"/>
            <w:tcBorders>
              <w:top w:val="nil"/>
              <w:left w:val="nil"/>
              <w:bottom w:val="single" w:sz="4" w:space="0" w:color="000000"/>
              <w:right w:val="nil"/>
            </w:tcBorders>
            <w:shd w:val="clear" w:color="000000" w:fill="F2F9FC"/>
            <w:vAlign w:val="bottom"/>
          </w:tcPr>
          <w:p w14:paraId="0603A45E" w14:textId="6D4FD94D"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2024</w:t>
            </w:r>
            <w:r w:rsidR="00660645">
              <w:rPr>
                <w:rFonts w:ascii="Arial" w:hAnsi="Arial" w:cs="Arial"/>
                <w:sz w:val="16"/>
                <w:szCs w:val="16"/>
              </w:rPr>
              <w:noBreakHyphen/>
            </w:r>
            <w:r w:rsidRPr="00DD33CA">
              <w:rPr>
                <w:rFonts w:ascii="Arial" w:hAnsi="Arial" w:cs="Arial"/>
                <w:sz w:val="16"/>
                <w:szCs w:val="16"/>
              </w:rPr>
              <w:t>25</w:t>
            </w:r>
          </w:p>
        </w:tc>
        <w:tc>
          <w:tcPr>
            <w:tcW w:w="678" w:type="pct"/>
            <w:tcBorders>
              <w:top w:val="nil"/>
              <w:left w:val="nil"/>
              <w:bottom w:val="single" w:sz="4" w:space="0" w:color="000000"/>
              <w:right w:val="nil"/>
            </w:tcBorders>
            <w:shd w:val="clear" w:color="000000" w:fill="F2F9FC"/>
            <w:vAlign w:val="bottom"/>
          </w:tcPr>
          <w:p w14:paraId="1F363144" w14:textId="4160C122"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2025</w:t>
            </w:r>
            <w:r w:rsidR="00660645">
              <w:rPr>
                <w:rFonts w:ascii="Arial" w:hAnsi="Arial" w:cs="Arial"/>
                <w:sz w:val="16"/>
                <w:szCs w:val="16"/>
              </w:rPr>
              <w:noBreakHyphen/>
            </w:r>
            <w:r w:rsidRPr="00DD33CA">
              <w:rPr>
                <w:rFonts w:ascii="Arial" w:hAnsi="Arial" w:cs="Arial"/>
                <w:sz w:val="16"/>
                <w:szCs w:val="16"/>
              </w:rPr>
              <w:t>26</w:t>
            </w:r>
          </w:p>
        </w:tc>
      </w:tr>
      <w:tr w:rsidR="00684605" w:rsidRPr="00DD33CA" w14:paraId="606BBC97"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20233A62"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Real GDP</w:t>
            </w:r>
          </w:p>
        </w:tc>
        <w:tc>
          <w:tcPr>
            <w:tcW w:w="532" w:type="pct"/>
            <w:tcBorders>
              <w:top w:val="nil"/>
              <w:left w:val="nil"/>
              <w:bottom w:val="nil"/>
              <w:right w:val="nil"/>
            </w:tcBorders>
            <w:shd w:val="clear" w:color="000000" w:fill="FFFFFF"/>
            <w:noWrap/>
            <w:vAlign w:val="bottom"/>
            <w:hideMark/>
          </w:tcPr>
          <w:p w14:paraId="028388F0"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1.5</w:t>
            </w:r>
          </w:p>
        </w:tc>
        <w:tc>
          <w:tcPr>
            <w:tcW w:w="615" w:type="pct"/>
            <w:tcBorders>
              <w:top w:val="nil"/>
              <w:left w:val="nil"/>
              <w:bottom w:val="nil"/>
              <w:right w:val="nil"/>
            </w:tcBorders>
            <w:shd w:val="clear" w:color="000000" w:fill="F2F9FC"/>
            <w:noWrap/>
            <w:vAlign w:val="bottom"/>
            <w:hideMark/>
          </w:tcPr>
          <w:p w14:paraId="0B290FAB"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4 1/4</w:t>
            </w:r>
          </w:p>
        </w:tc>
        <w:tc>
          <w:tcPr>
            <w:tcW w:w="643" w:type="pct"/>
            <w:tcBorders>
              <w:top w:val="nil"/>
              <w:left w:val="nil"/>
              <w:bottom w:val="nil"/>
              <w:right w:val="nil"/>
            </w:tcBorders>
            <w:shd w:val="clear" w:color="000000" w:fill="F2F9FC"/>
            <w:noWrap/>
            <w:vAlign w:val="bottom"/>
            <w:hideMark/>
          </w:tcPr>
          <w:p w14:paraId="414ADA9B"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1/2</w:t>
            </w:r>
          </w:p>
        </w:tc>
        <w:tc>
          <w:tcPr>
            <w:tcW w:w="643" w:type="pct"/>
            <w:tcBorders>
              <w:top w:val="nil"/>
              <w:left w:val="nil"/>
              <w:bottom w:val="nil"/>
              <w:right w:val="nil"/>
            </w:tcBorders>
            <w:shd w:val="clear" w:color="000000" w:fill="F2F9FC"/>
            <w:noWrap/>
            <w:vAlign w:val="bottom"/>
            <w:hideMark/>
          </w:tcPr>
          <w:p w14:paraId="6FB141B7"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1/2</w:t>
            </w:r>
          </w:p>
        </w:tc>
        <w:tc>
          <w:tcPr>
            <w:tcW w:w="645" w:type="pct"/>
            <w:tcBorders>
              <w:top w:val="nil"/>
              <w:left w:val="nil"/>
              <w:bottom w:val="nil"/>
              <w:right w:val="nil"/>
            </w:tcBorders>
            <w:shd w:val="clear" w:color="000000" w:fill="F2F9FC"/>
            <w:vAlign w:val="bottom"/>
          </w:tcPr>
          <w:p w14:paraId="3FAA8E1A" w14:textId="58921369"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1/2</w:t>
            </w:r>
          </w:p>
        </w:tc>
        <w:tc>
          <w:tcPr>
            <w:tcW w:w="678" w:type="pct"/>
            <w:tcBorders>
              <w:top w:val="nil"/>
              <w:left w:val="nil"/>
              <w:bottom w:val="nil"/>
              <w:right w:val="nil"/>
            </w:tcBorders>
            <w:shd w:val="clear" w:color="000000" w:fill="F2F9FC"/>
            <w:vAlign w:val="bottom"/>
          </w:tcPr>
          <w:p w14:paraId="3DDAF75C" w14:textId="76FF816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1/2</w:t>
            </w:r>
          </w:p>
        </w:tc>
      </w:tr>
      <w:tr w:rsidR="00684605" w:rsidRPr="00DD33CA" w14:paraId="49BE7DA3"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202ECBB8"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Employment</w:t>
            </w:r>
          </w:p>
        </w:tc>
        <w:tc>
          <w:tcPr>
            <w:tcW w:w="532" w:type="pct"/>
            <w:tcBorders>
              <w:top w:val="nil"/>
              <w:left w:val="nil"/>
              <w:bottom w:val="nil"/>
              <w:right w:val="nil"/>
            </w:tcBorders>
            <w:shd w:val="clear" w:color="000000" w:fill="FFFFFF"/>
            <w:noWrap/>
            <w:vAlign w:val="bottom"/>
            <w:hideMark/>
          </w:tcPr>
          <w:p w14:paraId="3E4A03AC"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6.5</w:t>
            </w:r>
          </w:p>
        </w:tc>
        <w:tc>
          <w:tcPr>
            <w:tcW w:w="615" w:type="pct"/>
            <w:tcBorders>
              <w:top w:val="nil"/>
              <w:left w:val="nil"/>
              <w:bottom w:val="nil"/>
              <w:right w:val="nil"/>
            </w:tcBorders>
            <w:shd w:val="clear" w:color="000000" w:fill="F2F9FC"/>
            <w:noWrap/>
            <w:vAlign w:val="bottom"/>
            <w:hideMark/>
          </w:tcPr>
          <w:p w14:paraId="387BAF4F"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3/4</w:t>
            </w:r>
          </w:p>
        </w:tc>
        <w:tc>
          <w:tcPr>
            <w:tcW w:w="643" w:type="pct"/>
            <w:tcBorders>
              <w:top w:val="nil"/>
              <w:left w:val="nil"/>
              <w:bottom w:val="nil"/>
              <w:right w:val="nil"/>
            </w:tcBorders>
            <w:shd w:val="clear" w:color="000000" w:fill="F2F9FC"/>
            <w:noWrap/>
            <w:vAlign w:val="bottom"/>
            <w:hideMark/>
          </w:tcPr>
          <w:p w14:paraId="7C012AA9"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1 1/2</w:t>
            </w:r>
          </w:p>
        </w:tc>
        <w:tc>
          <w:tcPr>
            <w:tcW w:w="643" w:type="pct"/>
            <w:tcBorders>
              <w:top w:val="nil"/>
              <w:left w:val="nil"/>
              <w:bottom w:val="nil"/>
              <w:right w:val="nil"/>
            </w:tcBorders>
            <w:shd w:val="clear" w:color="000000" w:fill="F2F9FC"/>
            <w:noWrap/>
            <w:vAlign w:val="bottom"/>
            <w:hideMark/>
          </w:tcPr>
          <w:p w14:paraId="53CE81BD"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1 1/2</w:t>
            </w:r>
          </w:p>
        </w:tc>
        <w:tc>
          <w:tcPr>
            <w:tcW w:w="645" w:type="pct"/>
            <w:tcBorders>
              <w:top w:val="nil"/>
              <w:left w:val="nil"/>
              <w:bottom w:val="nil"/>
              <w:right w:val="nil"/>
            </w:tcBorders>
            <w:shd w:val="clear" w:color="000000" w:fill="F2F9FC"/>
            <w:vAlign w:val="bottom"/>
          </w:tcPr>
          <w:p w14:paraId="4D87D425" w14:textId="4314399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1    </w:t>
            </w:r>
          </w:p>
        </w:tc>
        <w:tc>
          <w:tcPr>
            <w:tcW w:w="678" w:type="pct"/>
            <w:tcBorders>
              <w:top w:val="nil"/>
              <w:left w:val="nil"/>
              <w:bottom w:val="nil"/>
              <w:right w:val="nil"/>
            </w:tcBorders>
            <w:shd w:val="clear" w:color="000000" w:fill="F2F9FC"/>
            <w:vAlign w:val="bottom"/>
          </w:tcPr>
          <w:p w14:paraId="5930C281" w14:textId="79F2225B"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1    </w:t>
            </w:r>
          </w:p>
        </w:tc>
      </w:tr>
      <w:tr w:rsidR="00684605" w:rsidRPr="00DD33CA" w14:paraId="4EBE708D"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2BE6AF3B"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Unemployment rate</w:t>
            </w:r>
          </w:p>
        </w:tc>
        <w:tc>
          <w:tcPr>
            <w:tcW w:w="532" w:type="pct"/>
            <w:tcBorders>
              <w:top w:val="nil"/>
              <w:left w:val="nil"/>
              <w:bottom w:val="nil"/>
              <w:right w:val="nil"/>
            </w:tcBorders>
            <w:shd w:val="clear" w:color="000000" w:fill="FFFFFF"/>
            <w:noWrap/>
            <w:vAlign w:val="bottom"/>
            <w:hideMark/>
          </w:tcPr>
          <w:p w14:paraId="4BDD3C2E"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5.1</w:t>
            </w:r>
          </w:p>
        </w:tc>
        <w:tc>
          <w:tcPr>
            <w:tcW w:w="615" w:type="pct"/>
            <w:tcBorders>
              <w:top w:val="nil"/>
              <w:left w:val="nil"/>
              <w:bottom w:val="nil"/>
              <w:right w:val="nil"/>
            </w:tcBorders>
            <w:shd w:val="clear" w:color="000000" w:fill="F2F9FC"/>
            <w:noWrap/>
            <w:vAlign w:val="bottom"/>
            <w:hideMark/>
          </w:tcPr>
          <w:p w14:paraId="015A9113"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4    </w:t>
            </w:r>
          </w:p>
        </w:tc>
        <w:tc>
          <w:tcPr>
            <w:tcW w:w="643" w:type="pct"/>
            <w:tcBorders>
              <w:top w:val="nil"/>
              <w:left w:val="nil"/>
              <w:bottom w:val="nil"/>
              <w:right w:val="nil"/>
            </w:tcBorders>
            <w:shd w:val="clear" w:color="000000" w:fill="F2F9FC"/>
            <w:noWrap/>
            <w:vAlign w:val="bottom"/>
            <w:hideMark/>
          </w:tcPr>
          <w:p w14:paraId="0A7C29A6"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3/4</w:t>
            </w:r>
          </w:p>
        </w:tc>
        <w:tc>
          <w:tcPr>
            <w:tcW w:w="643" w:type="pct"/>
            <w:tcBorders>
              <w:top w:val="nil"/>
              <w:left w:val="nil"/>
              <w:bottom w:val="nil"/>
              <w:right w:val="nil"/>
            </w:tcBorders>
            <w:shd w:val="clear" w:color="000000" w:fill="F2F9FC"/>
            <w:noWrap/>
            <w:vAlign w:val="bottom"/>
            <w:hideMark/>
          </w:tcPr>
          <w:p w14:paraId="58566B12"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3/4</w:t>
            </w:r>
          </w:p>
        </w:tc>
        <w:tc>
          <w:tcPr>
            <w:tcW w:w="645" w:type="pct"/>
            <w:tcBorders>
              <w:top w:val="nil"/>
              <w:left w:val="nil"/>
              <w:bottom w:val="nil"/>
              <w:right w:val="nil"/>
            </w:tcBorders>
            <w:shd w:val="clear" w:color="000000" w:fill="F2F9FC"/>
            <w:vAlign w:val="bottom"/>
          </w:tcPr>
          <w:p w14:paraId="027370AF" w14:textId="591CE85B"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3/4</w:t>
            </w:r>
          </w:p>
        </w:tc>
        <w:tc>
          <w:tcPr>
            <w:tcW w:w="678" w:type="pct"/>
            <w:tcBorders>
              <w:top w:val="nil"/>
              <w:left w:val="nil"/>
              <w:bottom w:val="nil"/>
              <w:right w:val="nil"/>
            </w:tcBorders>
            <w:shd w:val="clear" w:color="000000" w:fill="F2F9FC"/>
            <w:vAlign w:val="bottom"/>
          </w:tcPr>
          <w:p w14:paraId="37D9C85B" w14:textId="450AC918"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4    </w:t>
            </w:r>
          </w:p>
        </w:tc>
      </w:tr>
      <w:tr w:rsidR="00684605" w:rsidRPr="00DD33CA" w14:paraId="72373593"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7AF0B985"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Consumer price index</w:t>
            </w:r>
          </w:p>
        </w:tc>
        <w:tc>
          <w:tcPr>
            <w:tcW w:w="532" w:type="pct"/>
            <w:tcBorders>
              <w:top w:val="nil"/>
              <w:left w:val="nil"/>
              <w:bottom w:val="nil"/>
              <w:right w:val="nil"/>
            </w:tcBorders>
            <w:shd w:val="clear" w:color="000000" w:fill="FFFFFF"/>
            <w:noWrap/>
            <w:vAlign w:val="bottom"/>
            <w:hideMark/>
          </w:tcPr>
          <w:p w14:paraId="000A1D87"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3.8</w:t>
            </w:r>
          </w:p>
        </w:tc>
        <w:tc>
          <w:tcPr>
            <w:tcW w:w="615" w:type="pct"/>
            <w:tcBorders>
              <w:top w:val="nil"/>
              <w:left w:val="nil"/>
              <w:bottom w:val="nil"/>
              <w:right w:val="nil"/>
            </w:tcBorders>
            <w:shd w:val="clear" w:color="000000" w:fill="F2F9FC"/>
            <w:noWrap/>
            <w:vAlign w:val="bottom"/>
            <w:hideMark/>
          </w:tcPr>
          <w:p w14:paraId="1F1B8169"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4 1/4</w:t>
            </w:r>
          </w:p>
        </w:tc>
        <w:tc>
          <w:tcPr>
            <w:tcW w:w="643" w:type="pct"/>
            <w:tcBorders>
              <w:top w:val="nil"/>
              <w:left w:val="nil"/>
              <w:bottom w:val="nil"/>
              <w:right w:val="nil"/>
            </w:tcBorders>
            <w:shd w:val="clear" w:color="000000" w:fill="F2F9FC"/>
            <w:noWrap/>
            <w:vAlign w:val="bottom"/>
            <w:hideMark/>
          </w:tcPr>
          <w:p w14:paraId="7D4069EA"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3    </w:t>
            </w:r>
          </w:p>
        </w:tc>
        <w:tc>
          <w:tcPr>
            <w:tcW w:w="643" w:type="pct"/>
            <w:tcBorders>
              <w:top w:val="nil"/>
              <w:left w:val="nil"/>
              <w:bottom w:val="nil"/>
              <w:right w:val="nil"/>
            </w:tcBorders>
            <w:shd w:val="clear" w:color="000000" w:fill="F2F9FC"/>
            <w:noWrap/>
            <w:vAlign w:val="bottom"/>
            <w:hideMark/>
          </w:tcPr>
          <w:p w14:paraId="2B2C3C81"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3/4</w:t>
            </w:r>
          </w:p>
        </w:tc>
        <w:tc>
          <w:tcPr>
            <w:tcW w:w="645" w:type="pct"/>
            <w:tcBorders>
              <w:top w:val="nil"/>
              <w:left w:val="nil"/>
              <w:bottom w:val="nil"/>
              <w:right w:val="nil"/>
            </w:tcBorders>
            <w:shd w:val="clear" w:color="000000" w:fill="F2F9FC"/>
            <w:vAlign w:val="bottom"/>
          </w:tcPr>
          <w:p w14:paraId="559CA6C1" w14:textId="49D175FC"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3/4</w:t>
            </w:r>
          </w:p>
        </w:tc>
        <w:tc>
          <w:tcPr>
            <w:tcW w:w="678" w:type="pct"/>
            <w:tcBorders>
              <w:top w:val="nil"/>
              <w:left w:val="nil"/>
              <w:bottom w:val="nil"/>
              <w:right w:val="nil"/>
            </w:tcBorders>
            <w:shd w:val="clear" w:color="000000" w:fill="F2F9FC"/>
            <w:vAlign w:val="bottom"/>
          </w:tcPr>
          <w:p w14:paraId="3E1028E3" w14:textId="03A81D5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1/2</w:t>
            </w:r>
          </w:p>
        </w:tc>
      </w:tr>
      <w:tr w:rsidR="00684605" w:rsidRPr="00DD33CA" w14:paraId="16F452D1" w14:textId="77777777" w:rsidTr="0034104B">
        <w:trPr>
          <w:trHeight w:hRule="exact" w:val="255"/>
        </w:trPr>
        <w:tc>
          <w:tcPr>
            <w:tcW w:w="1244" w:type="pct"/>
            <w:tcBorders>
              <w:top w:val="nil"/>
              <w:left w:val="nil"/>
              <w:bottom w:val="nil"/>
              <w:right w:val="nil"/>
            </w:tcBorders>
            <w:shd w:val="clear" w:color="000000" w:fill="FFFFFF"/>
            <w:noWrap/>
            <w:vAlign w:val="bottom"/>
            <w:hideMark/>
          </w:tcPr>
          <w:p w14:paraId="4B0F45FB"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Wage price index</w:t>
            </w:r>
          </w:p>
        </w:tc>
        <w:tc>
          <w:tcPr>
            <w:tcW w:w="532" w:type="pct"/>
            <w:tcBorders>
              <w:top w:val="nil"/>
              <w:left w:val="nil"/>
              <w:bottom w:val="nil"/>
              <w:right w:val="nil"/>
            </w:tcBorders>
            <w:shd w:val="clear" w:color="000000" w:fill="FFFFFF"/>
            <w:noWrap/>
            <w:vAlign w:val="bottom"/>
            <w:hideMark/>
          </w:tcPr>
          <w:p w14:paraId="23FC9882"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1.7</w:t>
            </w:r>
          </w:p>
        </w:tc>
        <w:tc>
          <w:tcPr>
            <w:tcW w:w="615" w:type="pct"/>
            <w:tcBorders>
              <w:top w:val="nil"/>
              <w:left w:val="nil"/>
              <w:bottom w:val="nil"/>
              <w:right w:val="nil"/>
            </w:tcBorders>
            <w:shd w:val="clear" w:color="000000" w:fill="F2F9FC"/>
            <w:noWrap/>
            <w:vAlign w:val="bottom"/>
            <w:hideMark/>
          </w:tcPr>
          <w:p w14:paraId="2C738367"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2 3/4</w:t>
            </w:r>
          </w:p>
        </w:tc>
        <w:tc>
          <w:tcPr>
            <w:tcW w:w="643" w:type="pct"/>
            <w:tcBorders>
              <w:top w:val="nil"/>
              <w:left w:val="nil"/>
              <w:bottom w:val="nil"/>
              <w:right w:val="nil"/>
            </w:tcBorders>
            <w:shd w:val="clear" w:color="000000" w:fill="F2F9FC"/>
            <w:noWrap/>
            <w:vAlign w:val="bottom"/>
            <w:hideMark/>
          </w:tcPr>
          <w:p w14:paraId="6684C787"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1/4</w:t>
            </w:r>
          </w:p>
        </w:tc>
        <w:tc>
          <w:tcPr>
            <w:tcW w:w="643" w:type="pct"/>
            <w:tcBorders>
              <w:top w:val="nil"/>
              <w:left w:val="nil"/>
              <w:bottom w:val="nil"/>
              <w:right w:val="nil"/>
            </w:tcBorders>
            <w:shd w:val="clear" w:color="000000" w:fill="F2F9FC"/>
            <w:noWrap/>
            <w:vAlign w:val="bottom"/>
            <w:hideMark/>
          </w:tcPr>
          <w:p w14:paraId="0EE78054"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1/4</w:t>
            </w:r>
          </w:p>
        </w:tc>
        <w:tc>
          <w:tcPr>
            <w:tcW w:w="645" w:type="pct"/>
            <w:tcBorders>
              <w:top w:val="nil"/>
              <w:left w:val="nil"/>
              <w:bottom w:val="nil"/>
              <w:right w:val="nil"/>
            </w:tcBorders>
            <w:shd w:val="clear" w:color="000000" w:fill="F2F9FC"/>
            <w:vAlign w:val="bottom"/>
          </w:tcPr>
          <w:p w14:paraId="3508C560" w14:textId="637A4F72"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1/2</w:t>
            </w:r>
          </w:p>
        </w:tc>
        <w:tc>
          <w:tcPr>
            <w:tcW w:w="678" w:type="pct"/>
            <w:tcBorders>
              <w:top w:val="nil"/>
              <w:left w:val="nil"/>
              <w:bottom w:val="nil"/>
              <w:right w:val="nil"/>
            </w:tcBorders>
            <w:shd w:val="clear" w:color="000000" w:fill="F2F9FC"/>
            <w:vAlign w:val="bottom"/>
          </w:tcPr>
          <w:p w14:paraId="537CF0CD" w14:textId="6646B522"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3 1/2</w:t>
            </w:r>
          </w:p>
        </w:tc>
      </w:tr>
      <w:tr w:rsidR="00684605" w:rsidRPr="00DD33CA" w14:paraId="26F4FF44" w14:textId="77777777" w:rsidTr="0034104B">
        <w:trPr>
          <w:trHeight w:hRule="exact" w:val="255"/>
        </w:trPr>
        <w:tc>
          <w:tcPr>
            <w:tcW w:w="1244" w:type="pct"/>
            <w:tcBorders>
              <w:top w:val="nil"/>
              <w:left w:val="nil"/>
              <w:bottom w:val="single" w:sz="4" w:space="0" w:color="000000"/>
              <w:right w:val="nil"/>
            </w:tcBorders>
            <w:shd w:val="clear" w:color="000000" w:fill="FFFFFF"/>
            <w:noWrap/>
            <w:vAlign w:val="bottom"/>
            <w:hideMark/>
          </w:tcPr>
          <w:p w14:paraId="3619CAFB" w14:textId="77777777" w:rsidR="0017288D" w:rsidRPr="00DD33CA" w:rsidRDefault="0017288D" w:rsidP="0017288D">
            <w:pPr>
              <w:spacing w:after="0" w:line="240" w:lineRule="auto"/>
              <w:jc w:val="left"/>
              <w:rPr>
                <w:rFonts w:ascii="Arial" w:hAnsi="Arial" w:cs="Arial"/>
                <w:sz w:val="16"/>
                <w:szCs w:val="16"/>
              </w:rPr>
            </w:pPr>
            <w:r w:rsidRPr="00DD33CA">
              <w:rPr>
                <w:rFonts w:ascii="Arial" w:hAnsi="Arial" w:cs="Arial"/>
                <w:sz w:val="16"/>
                <w:szCs w:val="16"/>
              </w:rPr>
              <w:t>Nominal GDP</w:t>
            </w:r>
          </w:p>
        </w:tc>
        <w:tc>
          <w:tcPr>
            <w:tcW w:w="532" w:type="pct"/>
            <w:tcBorders>
              <w:top w:val="nil"/>
              <w:left w:val="nil"/>
              <w:bottom w:val="single" w:sz="4" w:space="0" w:color="auto"/>
              <w:right w:val="nil"/>
            </w:tcBorders>
            <w:shd w:val="clear" w:color="000000" w:fill="FFFFFF"/>
            <w:noWrap/>
            <w:vAlign w:val="bottom"/>
            <w:hideMark/>
          </w:tcPr>
          <w:p w14:paraId="168CDBB9"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4.4</w:t>
            </w:r>
          </w:p>
        </w:tc>
        <w:tc>
          <w:tcPr>
            <w:tcW w:w="615" w:type="pct"/>
            <w:tcBorders>
              <w:top w:val="nil"/>
              <w:left w:val="nil"/>
              <w:bottom w:val="single" w:sz="4" w:space="0" w:color="000000"/>
              <w:right w:val="nil"/>
            </w:tcBorders>
            <w:shd w:val="clear" w:color="000000" w:fill="F2F9FC"/>
            <w:noWrap/>
            <w:vAlign w:val="bottom"/>
            <w:hideMark/>
          </w:tcPr>
          <w:p w14:paraId="34D60832"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10 3/4</w:t>
            </w:r>
          </w:p>
        </w:tc>
        <w:tc>
          <w:tcPr>
            <w:tcW w:w="643" w:type="pct"/>
            <w:tcBorders>
              <w:top w:val="nil"/>
              <w:left w:val="nil"/>
              <w:bottom w:val="single" w:sz="4" w:space="0" w:color="000000"/>
              <w:right w:val="nil"/>
            </w:tcBorders>
            <w:shd w:val="clear" w:color="000000" w:fill="F2F9FC"/>
            <w:noWrap/>
            <w:vAlign w:val="bottom"/>
            <w:hideMark/>
          </w:tcPr>
          <w:p w14:paraId="120544A7" w14:textId="77777777" w:rsidR="0017288D" w:rsidRPr="00DD33CA" w:rsidRDefault="0017288D" w:rsidP="0017288D">
            <w:pPr>
              <w:spacing w:after="0" w:line="240" w:lineRule="auto"/>
              <w:jc w:val="right"/>
              <w:rPr>
                <w:rFonts w:ascii="Arial" w:hAnsi="Arial" w:cs="Arial"/>
                <w:color w:val="000000"/>
                <w:sz w:val="16"/>
                <w:szCs w:val="16"/>
              </w:rPr>
            </w:pPr>
            <w:r w:rsidRPr="00DD33CA">
              <w:rPr>
                <w:rFonts w:ascii="Arial" w:hAnsi="Arial" w:cs="Arial"/>
                <w:sz w:val="16"/>
                <w:szCs w:val="16"/>
              </w:rPr>
              <w:t xml:space="preserve"> 1/2</w:t>
            </w:r>
          </w:p>
        </w:tc>
        <w:tc>
          <w:tcPr>
            <w:tcW w:w="643" w:type="pct"/>
            <w:tcBorders>
              <w:top w:val="nil"/>
              <w:left w:val="nil"/>
              <w:bottom w:val="single" w:sz="4" w:space="0" w:color="000000"/>
              <w:right w:val="nil"/>
            </w:tcBorders>
            <w:shd w:val="clear" w:color="000000" w:fill="F2F9FC"/>
            <w:noWrap/>
            <w:vAlign w:val="bottom"/>
            <w:hideMark/>
          </w:tcPr>
          <w:p w14:paraId="6F277004" w14:textId="77777777"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3    </w:t>
            </w:r>
          </w:p>
        </w:tc>
        <w:tc>
          <w:tcPr>
            <w:tcW w:w="645" w:type="pct"/>
            <w:tcBorders>
              <w:top w:val="nil"/>
              <w:left w:val="nil"/>
              <w:bottom w:val="single" w:sz="4" w:space="0" w:color="auto"/>
              <w:right w:val="nil"/>
            </w:tcBorders>
            <w:shd w:val="clear" w:color="000000" w:fill="F2F9FC"/>
            <w:vAlign w:val="bottom"/>
          </w:tcPr>
          <w:p w14:paraId="51C7B9CC" w14:textId="419FC8B2"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5 1/4</w:t>
            </w:r>
          </w:p>
        </w:tc>
        <w:tc>
          <w:tcPr>
            <w:tcW w:w="678" w:type="pct"/>
            <w:tcBorders>
              <w:top w:val="nil"/>
              <w:left w:val="nil"/>
              <w:bottom w:val="single" w:sz="4" w:space="0" w:color="auto"/>
              <w:right w:val="nil"/>
            </w:tcBorders>
            <w:shd w:val="clear" w:color="000000" w:fill="F2F9FC"/>
            <w:vAlign w:val="bottom"/>
          </w:tcPr>
          <w:p w14:paraId="574CD130" w14:textId="29E32B5C" w:rsidR="0017288D" w:rsidRPr="00DD33CA" w:rsidRDefault="0017288D" w:rsidP="0017288D">
            <w:pPr>
              <w:spacing w:after="0" w:line="240" w:lineRule="auto"/>
              <w:jc w:val="right"/>
              <w:rPr>
                <w:rFonts w:ascii="Arial" w:hAnsi="Arial" w:cs="Arial"/>
                <w:sz w:val="16"/>
                <w:szCs w:val="16"/>
              </w:rPr>
            </w:pPr>
            <w:r w:rsidRPr="00DD33CA">
              <w:rPr>
                <w:rFonts w:ascii="Arial" w:hAnsi="Arial" w:cs="Arial"/>
                <w:sz w:val="16"/>
                <w:szCs w:val="16"/>
              </w:rPr>
              <w:t xml:space="preserve">5    </w:t>
            </w:r>
          </w:p>
        </w:tc>
      </w:tr>
    </w:tbl>
    <w:p w14:paraId="33421EF0" w14:textId="4CBC5FDE" w:rsidR="00521D91" w:rsidRPr="00A153CE" w:rsidRDefault="00521D91" w:rsidP="00424761">
      <w:pPr>
        <w:pStyle w:val="ChartandTableFootnoteAlpha"/>
        <w:numPr>
          <w:ilvl w:val="0"/>
          <w:numId w:val="12"/>
        </w:numPr>
      </w:pPr>
      <w:r w:rsidRPr="0042285F">
        <w:rPr>
          <w:rFonts w:cs="Arial"/>
          <w:szCs w:val="16"/>
        </w:rPr>
        <w:t>Rea</w:t>
      </w:r>
      <w:r w:rsidRPr="00A153CE">
        <w:t>l GDP and Nominal GDP are percentage change on preceding year. The consumer price index, employment</w:t>
      </w:r>
      <w:r w:rsidR="006B60DC" w:rsidRPr="00A153CE">
        <w:t>, and the</w:t>
      </w:r>
      <w:r w:rsidRPr="00A153CE">
        <w:t xml:space="preserve"> wage price index are through the year growth to the June quarter. The unemployment rate is the rate for the June quarter.</w:t>
      </w:r>
    </w:p>
    <w:p w14:paraId="1A38BC56" w14:textId="77777777" w:rsidR="00521D91" w:rsidRPr="008E3595" w:rsidRDefault="00521D91" w:rsidP="00A72F24">
      <w:pPr>
        <w:pStyle w:val="Source"/>
        <w:rPr>
          <w:rFonts w:eastAsiaTheme="minorHAnsi"/>
          <w:szCs w:val="16"/>
          <w:lang w:eastAsia="en-US"/>
        </w:rPr>
      </w:pPr>
      <w:r w:rsidRPr="008E3595">
        <w:rPr>
          <w:rFonts w:eastAsiaTheme="minorHAnsi"/>
          <w:szCs w:val="16"/>
          <w:lang w:eastAsia="en-US"/>
        </w:rPr>
        <w:t xml:space="preserve">Source: </w:t>
      </w:r>
      <w:r w:rsidRPr="008E3595">
        <w:rPr>
          <w:rFonts w:eastAsiaTheme="minorHAnsi"/>
          <w:szCs w:val="16"/>
          <w:lang w:eastAsia="en-US"/>
        </w:rPr>
        <w:tab/>
        <w:t>ABS Australian National Accounts: National Income, Expenditure and Product; Labour Force, Australia; Wage Price Index, Australia; Consumer Price Index, Australia and Treasury.</w:t>
      </w:r>
    </w:p>
    <w:p w14:paraId="31957FE8" w14:textId="6CC64CAB" w:rsidR="00521D91" w:rsidRPr="00625155" w:rsidRDefault="00521D91" w:rsidP="00E449DC">
      <w:r w:rsidRPr="00625155">
        <w:t>Detailed forecasts of the economy are prepared for the current financial year (2021</w:t>
      </w:r>
      <w:r w:rsidR="00660645">
        <w:noBreakHyphen/>
      </w:r>
      <w:r w:rsidRPr="00625155">
        <w:t>22), the Budget year (2022</w:t>
      </w:r>
      <w:r w:rsidR="00660645">
        <w:noBreakHyphen/>
      </w:r>
      <w:r w:rsidRPr="00625155">
        <w:t>23) and the subsequent financial year (2023</w:t>
      </w:r>
      <w:r w:rsidR="00660645">
        <w:noBreakHyphen/>
      </w:r>
      <w:r w:rsidRPr="00625155">
        <w:t xml:space="preserve">24). Beyond </w:t>
      </w:r>
      <w:r w:rsidR="001949D2">
        <w:t>this</w:t>
      </w:r>
      <w:r w:rsidRPr="00625155">
        <w:t xml:space="preserve"> period, a </w:t>
      </w:r>
      <w:proofErr w:type="spellStart"/>
      <w:r w:rsidRPr="00625155">
        <w:t>macroeconometric</w:t>
      </w:r>
      <w:proofErr w:type="spellEnd"/>
      <w:r w:rsidRPr="00625155">
        <w:t xml:space="preserve"> model of the Australian economy is used to determine the path the economy takes to converge back to its potential level of GDP.</w:t>
      </w:r>
    </w:p>
    <w:p w14:paraId="4F58B069" w14:textId="613FF959" w:rsidR="00521D91" w:rsidRPr="00625155" w:rsidRDefault="00521D91" w:rsidP="00E449DC">
      <w:r w:rsidRPr="00625155">
        <w:t>Potential GDP is estimated based on an analysis of trends for population, productivity, and participation. As excess activity in the economy moderates and the output gap closes, real GDP is assumed to converge towards its potential level. The unemployment rate is assumed to converge towards the NAIRU assumption of 4¼ per cent, which generates the increase in the unemployment rate in the June quarter of 2026. Underlying labour productivity is assumed to converge over a 10</w:t>
      </w:r>
      <w:r w:rsidR="00660645">
        <w:noBreakHyphen/>
      </w:r>
      <w:r w:rsidRPr="00625155">
        <w:t xml:space="preserve">year period to the average growth rate </w:t>
      </w:r>
      <w:r w:rsidRPr="00625155">
        <w:rPr>
          <w:rFonts w:eastAsia="Book Antiqua" w:cs="Book Antiqua"/>
        </w:rPr>
        <w:t>in labour productivity</w:t>
      </w:r>
      <w:r w:rsidRPr="00625155">
        <w:t xml:space="preserve"> over the 30 years to 2018</w:t>
      </w:r>
      <w:r w:rsidR="00660645">
        <w:noBreakHyphen/>
      </w:r>
      <w:r w:rsidRPr="00625155">
        <w:t>19 of 1.5 per cent per annum. Domestic prices are projected to return to the midpoint of the RBA</w:t>
      </w:r>
      <w:r w:rsidR="00660645">
        <w:t>’</w:t>
      </w:r>
      <w:r w:rsidRPr="00625155">
        <w:t>s inflation target band by the June quarter of 2026.</w:t>
      </w:r>
    </w:p>
    <w:p w14:paraId="66E3FE16" w14:textId="790AF5B8" w:rsidR="00E375F4" w:rsidRPr="00625155" w:rsidRDefault="00E375F4" w:rsidP="00702304">
      <w:pPr>
        <w:sectPr w:rsidR="00E375F4" w:rsidRPr="00625155" w:rsidSect="00CE7FF8">
          <w:headerReference w:type="first" r:id="rId43"/>
          <w:footerReference w:type="first" r:id="rId44"/>
          <w:pgSz w:w="11906" w:h="16838" w:code="9"/>
          <w:pgMar w:top="2835" w:right="2098" w:bottom="2466" w:left="2098" w:header="1814" w:footer="1814" w:gutter="0"/>
          <w:cols w:space="708"/>
          <w:titlePg/>
          <w:docGrid w:linePitch="360"/>
        </w:sectPr>
      </w:pPr>
    </w:p>
    <w:p w14:paraId="3EF2B35F" w14:textId="233C3F19" w:rsidR="00076460" w:rsidRPr="00625155" w:rsidRDefault="00076460" w:rsidP="00E449DC">
      <w:pPr>
        <w:pStyle w:val="Heading2"/>
        <w:spacing w:before="0"/>
      </w:pPr>
      <w:bookmarkStart w:id="39" w:name="_Toc100752516"/>
      <w:bookmarkStart w:id="40" w:name="_Toc101281541"/>
      <w:r w:rsidRPr="00625155">
        <w:t>Fiscal outlook</w:t>
      </w:r>
      <w:bookmarkEnd w:id="39"/>
      <w:bookmarkEnd w:id="40"/>
    </w:p>
    <w:p w14:paraId="7FD80B24" w14:textId="46E72EE3" w:rsidR="00076460" w:rsidRPr="00625155" w:rsidRDefault="00076460" w:rsidP="00E449DC">
      <w:r w:rsidRPr="00625155">
        <w:t>The fiscal outlook has not materially changed since the publication of the 2022</w:t>
      </w:r>
      <w:r w:rsidR="00660645">
        <w:noBreakHyphen/>
      </w:r>
      <w:r w:rsidRPr="00625155">
        <w:t>23</w:t>
      </w:r>
      <w:r w:rsidR="00C54F03" w:rsidRPr="00625155">
        <w:t> </w:t>
      </w:r>
      <w:r w:rsidRPr="00625155">
        <w:t>Budget.</w:t>
      </w:r>
    </w:p>
    <w:p w14:paraId="05640757" w14:textId="1C74F006" w:rsidR="00076460" w:rsidRPr="00625155" w:rsidRDefault="00076460" w:rsidP="00B96F2C">
      <w:r w:rsidRPr="00625155">
        <w:t>The underlying cash balance is expected to be a deficit of $</w:t>
      </w:r>
      <w:r w:rsidR="007E260A">
        <w:t xml:space="preserve">77.9 </w:t>
      </w:r>
      <w:r w:rsidRPr="00625155">
        <w:t>billion (3.4 per cent</w:t>
      </w:r>
      <w:r w:rsidR="00CD5D3A">
        <w:t> </w:t>
      </w:r>
      <w:r w:rsidRPr="00625155">
        <w:t>of GDP) in 2022</w:t>
      </w:r>
      <w:r w:rsidR="00660645">
        <w:noBreakHyphen/>
      </w:r>
      <w:r w:rsidRPr="00625155">
        <w:t xml:space="preserve">23. </w:t>
      </w:r>
    </w:p>
    <w:p w14:paraId="697A57BD" w14:textId="22B000F9" w:rsidR="00076460" w:rsidRPr="00625155" w:rsidRDefault="00076460" w:rsidP="00C54F03">
      <w:r w:rsidRPr="00625155">
        <w:t xml:space="preserve">Table </w:t>
      </w:r>
      <w:r w:rsidR="007E260A">
        <w:t>3</w:t>
      </w:r>
      <w:r w:rsidRPr="00625155">
        <w:t xml:space="preserve"> provides estimates of key fiscal aggregates. </w:t>
      </w:r>
    </w:p>
    <w:p w14:paraId="08C43E3D" w14:textId="0B940431" w:rsidR="00BD14D8" w:rsidRDefault="00076460" w:rsidP="0086028F">
      <w:pPr>
        <w:pStyle w:val="TableHeading"/>
        <w:rPr>
          <w:rFonts w:asciiTheme="minorHAnsi" w:eastAsiaTheme="minorHAnsi" w:hAnsiTheme="minorHAnsi" w:cstheme="minorBidi"/>
          <w:sz w:val="22"/>
          <w:szCs w:val="22"/>
          <w:lang w:eastAsia="en-US"/>
        </w:rPr>
      </w:pPr>
      <w:r w:rsidRPr="00625155">
        <w:rPr>
          <w:rFonts w:cs="Arial"/>
        </w:rPr>
        <w:t xml:space="preserve">Table </w:t>
      </w:r>
      <w:r w:rsidR="00701B7A">
        <w:rPr>
          <w:rFonts w:cs="Arial"/>
        </w:rPr>
        <w:t>3</w:t>
      </w:r>
      <w:r w:rsidRPr="00625155">
        <w:rPr>
          <w:rFonts w:cs="Arial"/>
        </w:rPr>
        <w:t>: Australian Government general government sector budget aggregates</w:t>
      </w:r>
    </w:p>
    <w:tbl>
      <w:tblPr>
        <w:tblW w:w="5000" w:type="pct"/>
        <w:tblCellMar>
          <w:left w:w="0" w:type="dxa"/>
          <w:right w:w="28" w:type="dxa"/>
        </w:tblCellMar>
        <w:tblLook w:val="04A0" w:firstRow="1" w:lastRow="0" w:firstColumn="1" w:lastColumn="0" w:noHBand="0" w:noVBand="1"/>
      </w:tblPr>
      <w:tblGrid>
        <w:gridCol w:w="2452"/>
        <w:gridCol w:w="729"/>
        <w:gridCol w:w="108"/>
        <w:gridCol w:w="717"/>
        <w:gridCol w:w="717"/>
        <w:gridCol w:w="717"/>
        <w:gridCol w:w="717"/>
        <w:gridCol w:w="717"/>
        <w:gridCol w:w="108"/>
        <w:gridCol w:w="728"/>
      </w:tblGrid>
      <w:tr w:rsidR="00BD14D8" w:rsidRPr="00BD14D8" w14:paraId="42AA2464" w14:textId="77777777" w:rsidTr="00BD14D8">
        <w:trPr>
          <w:trHeight w:hRule="exact" w:val="225"/>
        </w:trPr>
        <w:tc>
          <w:tcPr>
            <w:tcW w:w="1590" w:type="pct"/>
            <w:tcBorders>
              <w:top w:val="single" w:sz="4" w:space="0" w:color="000000"/>
              <w:left w:val="nil"/>
              <w:bottom w:val="nil"/>
              <w:right w:val="nil"/>
            </w:tcBorders>
            <w:shd w:val="clear" w:color="000000" w:fill="FFFFFF"/>
            <w:noWrap/>
            <w:vAlign w:val="center"/>
            <w:hideMark/>
          </w:tcPr>
          <w:p w14:paraId="6A640806" w14:textId="3CDD16E6" w:rsidR="00BD14D8" w:rsidRPr="00BD14D8" w:rsidRDefault="00BD14D8" w:rsidP="0086028F">
            <w:pPr>
              <w:spacing w:after="0" w:line="240" w:lineRule="auto"/>
              <w:jc w:val="left"/>
              <w:rPr>
                <w:rFonts w:ascii="Arial" w:hAnsi="Arial" w:cs="Arial"/>
                <w:color w:val="000000"/>
                <w:sz w:val="16"/>
                <w:szCs w:val="16"/>
              </w:rPr>
            </w:pPr>
            <w:r w:rsidRPr="00BD14D8">
              <w:rPr>
                <w:rFonts w:ascii="Arial" w:hAnsi="Arial" w:cs="Arial"/>
                <w:color w:val="000000"/>
                <w:sz w:val="16"/>
                <w:szCs w:val="16"/>
              </w:rPr>
              <w:t> </w:t>
            </w:r>
          </w:p>
        </w:tc>
        <w:tc>
          <w:tcPr>
            <w:tcW w:w="473" w:type="pct"/>
            <w:tcBorders>
              <w:top w:val="single" w:sz="4" w:space="0" w:color="000000"/>
              <w:left w:val="nil"/>
              <w:bottom w:val="single" w:sz="4" w:space="0" w:color="000000"/>
              <w:right w:val="nil"/>
            </w:tcBorders>
            <w:shd w:val="clear" w:color="000000" w:fill="FFFFFF"/>
            <w:noWrap/>
            <w:vAlign w:val="center"/>
            <w:hideMark/>
          </w:tcPr>
          <w:p w14:paraId="1A94B6A2" w14:textId="77777777" w:rsidR="00BD14D8" w:rsidRPr="0086028F" w:rsidRDefault="00BD14D8" w:rsidP="0086028F">
            <w:pPr>
              <w:spacing w:after="0" w:line="240" w:lineRule="auto"/>
              <w:jc w:val="center"/>
              <w:rPr>
                <w:rFonts w:ascii="Arial" w:hAnsi="Arial" w:cs="Arial"/>
                <w:sz w:val="16"/>
                <w:szCs w:val="16"/>
              </w:rPr>
            </w:pPr>
            <w:r w:rsidRPr="0086028F">
              <w:rPr>
                <w:rFonts w:ascii="Arial" w:hAnsi="Arial" w:cs="Arial"/>
                <w:sz w:val="16"/>
                <w:szCs w:val="16"/>
              </w:rPr>
              <w:t>Actual</w:t>
            </w:r>
          </w:p>
        </w:tc>
        <w:tc>
          <w:tcPr>
            <w:tcW w:w="70" w:type="pct"/>
            <w:tcBorders>
              <w:top w:val="single" w:sz="4" w:space="0" w:color="000000"/>
              <w:left w:val="nil"/>
              <w:bottom w:val="nil"/>
              <w:right w:val="nil"/>
            </w:tcBorders>
            <w:shd w:val="clear" w:color="000000" w:fill="FFFFFF"/>
            <w:noWrap/>
            <w:vAlign w:val="center"/>
            <w:hideMark/>
          </w:tcPr>
          <w:p w14:paraId="562F2045" w14:textId="77777777" w:rsidR="00BD14D8" w:rsidRPr="0086028F" w:rsidRDefault="00BD14D8" w:rsidP="0086028F">
            <w:pPr>
              <w:spacing w:after="0" w:line="240" w:lineRule="auto"/>
              <w:jc w:val="center"/>
              <w:rPr>
                <w:rFonts w:ascii="Arial" w:hAnsi="Arial" w:cs="Arial"/>
                <w:color w:val="000000"/>
                <w:sz w:val="16"/>
                <w:szCs w:val="16"/>
              </w:rPr>
            </w:pPr>
            <w:r w:rsidRPr="0086028F">
              <w:rPr>
                <w:rFonts w:ascii="Arial" w:hAnsi="Arial" w:cs="Arial"/>
                <w:color w:val="000000"/>
                <w:sz w:val="16"/>
                <w:szCs w:val="16"/>
              </w:rPr>
              <w:t> </w:t>
            </w:r>
          </w:p>
        </w:tc>
        <w:tc>
          <w:tcPr>
            <w:tcW w:w="2324" w:type="pct"/>
            <w:gridSpan w:val="5"/>
            <w:tcBorders>
              <w:top w:val="single" w:sz="4" w:space="0" w:color="000000"/>
              <w:left w:val="nil"/>
              <w:bottom w:val="single" w:sz="4" w:space="0" w:color="auto"/>
              <w:right w:val="nil"/>
            </w:tcBorders>
            <w:shd w:val="clear" w:color="000000" w:fill="FFFFFF"/>
            <w:noWrap/>
            <w:vAlign w:val="center"/>
            <w:hideMark/>
          </w:tcPr>
          <w:p w14:paraId="68F5D27A" w14:textId="77777777" w:rsidR="00BD14D8" w:rsidRPr="0086028F" w:rsidRDefault="00BD14D8" w:rsidP="0086028F">
            <w:pPr>
              <w:spacing w:after="0" w:line="240" w:lineRule="auto"/>
              <w:jc w:val="center"/>
              <w:rPr>
                <w:rFonts w:ascii="Arial" w:hAnsi="Arial" w:cs="Arial"/>
                <w:color w:val="000000"/>
                <w:sz w:val="16"/>
                <w:szCs w:val="16"/>
              </w:rPr>
            </w:pPr>
            <w:r w:rsidRPr="0086028F">
              <w:rPr>
                <w:rFonts w:ascii="Arial" w:hAnsi="Arial" w:cs="Arial"/>
                <w:color w:val="000000"/>
                <w:sz w:val="16"/>
                <w:szCs w:val="16"/>
              </w:rPr>
              <w:t>Estimates</w:t>
            </w:r>
          </w:p>
        </w:tc>
        <w:tc>
          <w:tcPr>
            <w:tcW w:w="70" w:type="pct"/>
            <w:tcBorders>
              <w:top w:val="single" w:sz="4" w:space="0" w:color="000000"/>
              <w:left w:val="nil"/>
              <w:bottom w:val="nil"/>
              <w:right w:val="nil"/>
            </w:tcBorders>
            <w:shd w:val="clear" w:color="000000" w:fill="FFFFFF"/>
            <w:noWrap/>
            <w:vAlign w:val="center"/>
            <w:hideMark/>
          </w:tcPr>
          <w:p w14:paraId="3998833D" w14:textId="77777777" w:rsidR="00BD14D8" w:rsidRPr="0086028F" w:rsidRDefault="00BD14D8" w:rsidP="0086028F">
            <w:pPr>
              <w:spacing w:after="0" w:line="240" w:lineRule="auto"/>
              <w:jc w:val="left"/>
              <w:rPr>
                <w:rFonts w:ascii="Arial" w:hAnsi="Arial" w:cs="Arial"/>
                <w:color w:val="000000"/>
                <w:sz w:val="16"/>
                <w:szCs w:val="16"/>
              </w:rPr>
            </w:pPr>
            <w:r w:rsidRPr="0086028F">
              <w:rPr>
                <w:rFonts w:ascii="Arial" w:hAnsi="Arial" w:cs="Arial"/>
                <w:color w:val="000000"/>
                <w:sz w:val="16"/>
                <w:szCs w:val="16"/>
              </w:rPr>
              <w:t> </w:t>
            </w:r>
          </w:p>
        </w:tc>
        <w:tc>
          <w:tcPr>
            <w:tcW w:w="473" w:type="pct"/>
            <w:tcBorders>
              <w:top w:val="single" w:sz="4" w:space="0" w:color="000000"/>
              <w:left w:val="nil"/>
              <w:bottom w:val="single" w:sz="4" w:space="0" w:color="000000"/>
              <w:right w:val="nil"/>
            </w:tcBorders>
            <w:shd w:val="clear" w:color="000000" w:fill="FFFFFF"/>
            <w:noWrap/>
            <w:vAlign w:val="center"/>
            <w:hideMark/>
          </w:tcPr>
          <w:p w14:paraId="2AEF8ABC" w14:textId="77777777" w:rsidR="00BD14D8" w:rsidRPr="0086028F" w:rsidRDefault="00BD14D8" w:rsidP="0086028F">
            <w:pPr>
              <w:spacing w:after="0" w:line="240" w:lineRule="auto"/>
              <w:jc w:val="left"/>
              <w:rPr>
                <w:rFonts w:ascii="Arial" w:hAnsi="Arial" w:cs="Arial"/>
                <w:color w:val="000000"/>
                <w:sz w:val="16"/>
                <w:szCs w:val="16"/>
              </w:rPr>
            </w:pPr>
            <w:r w:rsidRPr="0086028F">
              <w:rPr>
                <w:rFonts w:ascii="Arial" w:hAnsi="Arial" w:cs="Arial"/>
                <w:color w:val="000000"/>
                <w:sz w:val="16"/>
                <w:szCs w:val="16"/>
              </w:rPr>
              <w:t> </w:t>
            </w:r>
          </w:p>
        </w:tc>
      </w:tr>
      <w:tr w:rsidR="00A723BD" w:rsidRPr="00BD14D8" w14:paraId="579AA78B"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1442DEDB" w14:textId="77777777" w:rsidR="00BD14D8" w:rsidRPr="0086028F" w:rsidRDefault="00BD14D8" w:rsidP="0086028F">
            <w:pPr>
              <w:spacing w:after="0" w:line="240" w:lineRule="auto"/>
              <w:jc w:val="left"/>
              <w:rPr>
                <w:rFonts w:ascii="Arial" w:hAnsi="Arial" w:cs="Arial"/>
                <w:color w:val="000000"/>
                <w:sz w:val="16"/>
                <w:szCs w:val="16"/>
              </w:rPr>
            </w:pPr>
            <w:r w:rsidRPr="0086028F">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646C38D2" w14:textId="34FA5398" w:rsidR="00BD14D8" w:rsidRPr="0086028F" w:rsidRDefault="00BD14D8" w:rsidP="0086028F">
            <w:pPr>
              <w:spacing w:after="0" w:line="240" w:lineRule="auto"/>
              <w:jc w:val="right"/>
              <w:rPr>
                <w:rFonts w:ascii="Arial" w:hAnsi="Arial" w:cs="Arial"/>
                <w:sz w:val="16"/>
                <w:szCs w:val="16"/>
              </w:rPr>
            </w:pPr>
            <w:r w:rsidRPr="0086028F">
              <w:rPr>
                <w:rFonts w:ascii="Arial" w:hAnsi="Arial" w:cs="Arial"/>
                <w:sz w:val="16"/>
                <w:szCs w:val="16"/>
              </w:rPr>
              <w:t>2020</w:t>
            </w:r>
            <w:r w:rsidR="00660645">
              <w:rPr>
                <w:rFonts w:ascii="Arial" w:hAnsi="Arial" w:cs="Arial"/>
                <w:sz w:val="16"/>
                <w:szCs w:val="16"/>
              </w:rPr>
              <w:noBreakHyphen/>
            </w:r>
            <w:r w:rsidRPr="0086028F">
              <w:rPr>
                <w:rFonts w:ascii="Arial" w:hAnsi="Arial" w:cs="Arial"/>
                <w:sz w:val="16"/>
                <w:szCs w:val="16"/>
              </w:rPr>
              <w:t>21</w:t>
            </w:r>
          </w:p>
        </w:tc>
        <w:tc>
          <w:tcPr>
            <w:tcW w:w="70" w:type="pct"/>
            <w:tcBorders>
              <w:top w:val="nil"/>
              <w:left w:val="nil"/>
              <w:bottom w:val="nil"/>
              <w:right w:val="nil"/>
            </w:tcBorders>
            <w:shd w:val="clear" w:color="000000" w:fill="FFFFFF"/>
            <w:noWrap/>
            <w:vAlign w:val="center"/>
            <w:hideMark/>
          </w:tcPr>
          <w:p w14:paraId="26CCB226"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single" w:sz="4" w:space="0" w:color="auto"/>
              <w:left w:val="nil"/>
              <w:bottom w:val="nil"/>
              <w:right w:val="nil"/>
            </w:tcBorders>
            <w:shd w:val="clear" w:color="000000" w:fill="FFFFFF"/>
            <w:noWrap/>
            <w:vAlign w:val="center"/>
            <w:hideMark/>
          </w:tcPr>
          <w:p w14:paraId="15DB17D3" w14:textId="15E0F750"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2021</w:t>
            </w:r>
            <w:r w:rsidR="00660645">
              <w:rPr>
                <w:rFonts w:ascii="Arial" w:hAnsi="Arial" w:cs="Arial"/>
                <w:color w:val="000000"/>
                <w:sz w:val="16"/>
                <w:szCs w:val="16"/>
              </w:rPr>
              <w:noBreakHyphen/>
            </w:r>
            <w:r w:rsidRPr="0086028F">
              <w:rPr>
                <w:rFonts w:ascii="Arial" w:hAnsi="Arial" w:cs="Arial"/>
                <w:color w:val="000000"/>
                <w:sz w:val="16"/>
                <w:szCs w:val="16"/>
              </w:rPr>
              <w:t>22</w:t>
            </w:r>
          </w:p>
        </w:tc>
        <w:tc>
          <w:tcPr>
            <w:tcW w:w="465" w:type="pct"/>
            <w:tcBorders>
              <w:top w:val="nil"/>
              <w:left w:val="nil"/>
              <w:bottom w:val="nil"/>
              <w:right w:val="nil"/>
            </w:tcBorders>
            <w:shd w:val="clear" w:color="000000" w:fill="F2F9FC"/>
            <w:noWrap/>
            <w:vAlign w:val="center"/>
            <w:hideMark/>
          </w:tcPr>
          <w:p w14:paraId="112DC017" w14:textId="2CFF55BC"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2022</w:t>
            </w:r>
            <w:r w:rsidR="00660645">
              <w:rPr>
                <w:rFonts w:ascii="Arial" w:hAnsi="Arial" w:cs="Arial"/>
                <w:color w:val="000000"/>
                <w:sz w:val="16"/>
                <w:szCs w:val="16"/>
              </w:rPr>
              <w:noBreakHyphen/>
            </w:r>
            <w:r w:rsidRPr="0086028F">
              <w:rPr>
                <w:rFonts w:ascii="Arial" w:hAnsi="Arial" w:cs="Arial"/>
                <w:color w:val="000000"/>
                <w:sz w:val="16"/>
                <w:szCs w:val="16"/>
              </w:rPr>
              <w:t>23</w:t>
            </w:r>
          </w:p>
        </w:tc>
        <w:tc>
          <w:tcPr>
            <w:tcW w:w="465" w:type="pct"/>
            <w:tcBorders>
              <w:top w:val="nil"/>
              <w:left w:val="nil"/>
              <w:bottom w:val="nil"/>
              <w:right w:val="nil"/>
            </w:tcBorders>
            <w:shd w:val="clear" w:color="000000" w:fill="FFFFFF"/>
            <w:noWrap/>
            <w:vAlign w:val="center"/>
            <w:hideMark/>
          </w:tcPr>
          <w:p w14:paraId="232EDBF1" w14:textId="51BEB3E3"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2023</w:t>
            </w:r>
            <w:r w:rsidR="00660645">
              <w:rPr>
                <w:rFonts w:ascii="Arial" w:hAnsi="Arial" w:cs="Arial"/>
                <w:color w:val="000000"/>
                <w:sz w:val="16"/>
                <w:szCs w:val="16"/>
              </w:rPr>
              <w:noBreakHyphen/>
            </w:r>
            <w:r w:rsidRPr="0086028F">
              <w:rPr>
                <w:rFonts w:ascii="Arial" w:hAnsi="Arial" w:cs="Arial"/>
                <w:color w:val="000000"/>
                <w:sz w:val="16"/>
                <w:szCs w:val="16"/>
              </w:rPr>
              <w:t>24</w:t>
            </w:r>
          </w:p>
        </w:tc>
        <w:tc>
          <w:tcPr>
            <w:tcW w:w="465" w:type="pct"/>
            <w:tcBorders>
              <w:top w:val="nil"/>
              <w:left w:val="nil"/>
              <w:bottom w:val="nil"/>
              <w:right w:val="nil"/>
            </w:tcBorders>
            <w:shd w:val="clear" w:color="000000" w:fill="FFFFFF"/>
            <w:noWrap/>
            <w:vAlign w:val="center"/>
            <w:hideMark/>
          </w:tcPr>
          <w:p w14:paraId="57B87F1F" w14:textId="7490430B"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2024</w:t>
            </w:r>
            <w:r w:rsidR="00660645">
              <w:rPr>
                <w:rFonts w:ascii="Arial" w:hAnsi="Arial" w:cs="Arial"/>
                <w:color w:val="000000"/>
                <w:sz w:val="16"/>
                <w:szCs w:val="16"/>
              </w:rPr>
              <w:noBreakHyphen/>
            </w:r>
            <w:r w:rsidRPr="0086028F">
              <w:rPr>
                <w:rFonts w:ascii="Arial" w:hAnsi="Arial" w:cs="Arial"/>
                <w:color w:val="000000"/>
                <w:sz w:val="16"/>
                <w:szCs w:val="16"/>
              </w:rPr>
              <w:t>25</w:t>
            </w:r>
          </w:p>
        </w:tc>
        <w:tc>
          <w:tcPr>
            <w:tcW w:w="465" w:type="pct"/>
            <w:tcBorders>
              <w:top w:val="nil"/>
              <w:left w:val="nil"/>
              <w:bottom w:val="nil"/>
              <w:right w:val="nil"/>
            </w:tcBorders>
            <w:shd w:val="clear" w:color="000000" w:fill="FFFFFF"/>
            <w:noWrap/>
            <w:vAlign w:val="center"/>
            <w:hideMark/>
          </w:tcPr>
          <w:p w14:paraId="5BF1A88B" w14:textId="1BCCCD0F"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2025</w:t>
            </w:r>
            <w:r w:rsidR="00660645">
              <w:rPr>
                <w:rFonts w:ascii="Arial" w:hAnsi="Arial" w:cs="Arial"/>
                <w:color w:val="000000"/>
                <w:sz w:val="16"/>
                <w:szCs w:val="16"/>
              </w:rPr>
              <w:noBreakHyphen/>
            </w:r>
            <w:r w:rsidRPr="0086028F">
              <w:rPr>
                <w:rFonts w:ascii="Arial" w:hAnsi="Arial" w:cs="Arial"/>
                <w:color w:val="000000"/>
                <w:sz w:val="16"/>
                <w:szCs w:val="16"/>
              </w:rPr>
              <w:t>26</w:t>
            </w:r>
          </w:p>
        </w:tc>
        <w:tc>
          <w:tcPr>
            <w:tcW w:w="70" w:type="pct"/>
            <w:tcBorders>
              <w:top w:val="nil"/>
              <w:left w:val="nil"/>
              <w:bottom w:val="nil"/>
              <w:right w:val="nil"/>
            </w:tcBorders>
            <w:shd w:val="clear" w:color="000000" w:fill="FFFFFF"/>
            <w:noWrap/>
            <w:vAlign w:val="center"/>
            <w:hideMark/>
          </w:tcPr>
          <w:p w14:paraId="60DBC5FE"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73" w:type="pct"/>
            <w:tcBorders>
              <w:top w:val="single" w:sz="4" w:space="0" w:color="auto"/>
              <w:left w:val="nil"/>
              <w:bottom w:val="nil"/>
              <w:right w:val="nil"/>
            </w:tcBorders>
            <w:shd w:val="clear" w:color="000000" w:fill="FFFFFF"/>
            <w:noWrap/>
            <w:vAlign w:val="center"/>
            <w:hideMark/>
          </w:tcPr>
          <w:p w14:paraId="6A4797E2"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Total(a)</w:t>
            </w:r>
          </w:p>
        </w:tc>
      </w:tr>
      <w:tr w:rsidR="00AF05B9" w:rsidRPr="00BD14D8" w14:paraId="5DB2B7AC"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631A75A8" w14:textId="77777777" w:rsidR="00BD14D8" w:rsidRPr="0086028F" w:rsidRDefault="00BD14D8" w:rsidP="0086028F">
            <w:pPr>
              <w:spacing w:after="0" w:line="240" w:lineRule="auto"/>
              <w:jc w:val="left"/>
              <w:rPr>
                <w:rFonts w:ascii="Arial" w:hAnsi="Arial" w:cs="Arial"/>
                <w:color w:val="000000"/>
                <w:sz w:val="16"/>
                <w:szCs w:val="16"/>
              </w:rPr>
            </w:pPr>
            <w:r w:rsidRPr="0086028F">
              <w:rPr>
                <w:rFonts w:ascii="Arial" w:hAnsi="Arial" w:cs="Arial"/>
                <w:color w:val="000000"/>
                <w:sz w:val="16"/>
                <w:szCs w:val="16"/>
              </w:rPr>
              <w:t> </w:t>
            </w:r>
          </w:p>
        </w:tc>
        <w:tc>
          <w:tcPr>
            <w:tcW w:w="473" w:type="pct"/>
            <w:tcBorders>
              <w:top w:val="nil"/>
              <w:left w:val="nil"/>
              <w:bottom w:val="single" w:sz="4" w:space="0" w:color="000000"/>
              <w:right w:val="nil"/>
            </w:tcBorders>
            <w:shd w:val="clear" w:color="000000" w:fill="FFFFFF"/>
            <w:noWrap/>
            <w:vAlign w:val="center"/>
            <w:hideMark/>
          </w:tcPr>
          <w:p w14:paraId="09209908" w14:textId="77777777" w:rsidR="00BD14D8" w:rsidRPr="0086028F" w:rsidRDefault="00BD14D8" w:rsidP="0086028F">
            <w:pPr>
              <w:spacing w:after="0" w:line="240" w:lineRule="auto"/>
              <w:jc w:val="right"/>
              <w:rPr>
                <w:rFonts w:ascii="Arial" w:hAnsi="Arial" w:cs="Arial"/>
                <w:sz w:val="16"/>
                <w:szCs w:val="16"/>
              </w:rPr>
            </w:pPr>
            <w:r w:rsidRPr="0086028F">
              <w:rPr>
                <w:rFonts w:ascii="Arial" w:hAnsi="Arial" w:cs="Arial"/>
                <w:sz w:val="16"/>
                <w:szCs w:val="16"/>
              </w:rPr>
              <w:t>$b</w:t>
            </w:r>
          </w:p>
        </w:tc>
        <w:tc>
          <w:tcPr>
            <w:tcW w:w="70" w:type="pct"/>
            <w:tcBorders>
              <w:top w:val="nil"/>
              <w:left w:val="nil"/>
              <w:bottom w:val="nil"/>
              <w:right w:val="nil"/>
            </w:tcBorders>
            <w:shd w:val="clear" w:color="000000" w:fill="FFFFFF"/>
            <w:noWrap/>
            <w:vAlign w:val="center"/>
            <w:hideMark/>
          </w:tcPr>
          <w:p w14:paraId="429B8A11"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single" w:sz="4" w:space="0" w:color="000000"/>
              <w:right w:val="nil"/>
            </w:tcBorders>
            <w:shd w:val="clear" w:color="000000" w:fill="FFFFFF"/>
            <w:noWrap/>
            <w:vAlign w:val="center"/>
            <w:hideMark/>
          </w:tcPr>
          <w:p w14:paraId="640C96EC"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c>
          <w:tcPr>
            <w:tcW w:w="465" w:type="pct"/>
            <w:tcBorders>
              <w:top w:val="nil"/>
              <w:left w:val="nil"/>
              <w:bottom w:val="single" w:sz="4" w:space="0" w:color="000000"/>
              <w:right w:val="nil"/>
            </w:tcBorders>
            <w:shd w:val="clear" w:color="000000" w:fill="F2F9FC"/>
            <w:noWrap/>
            <w:vAlign w:val="center"/>
            <w:hideMark/>
          </w:tcPr>
          <w:p w14:paraId="5206D963"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c>
          <w:tcPr>
            <w:tcW w:w="465" w:type="pct"/>
            <w:tcBorders>
              <w:top w:val="nil"/>
              <w:left w:val="nil"/>
              <w:bottom w:val="single" w:sz="4" w:space="0" w:color="000000"/>
              <w:right w:val="nil"/>
            </w:tcBorders>
            <w:shd w:val="clear" w:color="000000" w:fill="FFFFFF"/>
            <w:noWrap/>
            <w:vAlign w:val="center"/>
            <w:hideMark/>
          </w:tcPr>
          <w:p w14:paraId="6BCE9C41"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c>
          <w:tcPr>
            <w:tcW w:w="465" w:type="pct"/>
            <w:tcBorders>
              <w:top w:val="nil"/>
              <w:left w:val="nil"/>
              <w:bottom w:val="single" w:sz="4" w:space="0" w:color="000000"/>
              <w:right w:val="nil"/>
            </w:tcBorders>
            <w:shd w:val="clear" w:color="000000" w:fill="FFFFFF"/>
            <w:noWrap/>
            <w:vAlign w:val="center"/>
            <w:hideMark/>
          </w:tcPr>
          <w:p w14:paraId="704D5C07"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c>
          <w:tcPr>
            <w:tcW w:w="465" w:type="pct"/>
            <w:tcBorders>
              <w:top w:val="nil"/>
              <w:left w:val="nil"/>
              <w:bottom w:val="single" w:sz="4" w:space="0" w:color="000000"/>
              <w:right w:val="nil"/>
            </w:tcBorders>
            <w:shd w:val="clear" w:color="000000" w:fill="FFFFFF"/>
            <w:noWrap/>
            <w:vAlign w:val="center"/>
            <w:hideMark/>
          </w:tcPr>
          <w:p w14:paraId="62D06077"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c>
          <w:tcPr>
            <w:tcW w:w="70" w:type="pct"/>
            <w:tcBorders>
              <w:top w:val="nil"/>
              <w:left w:val="nil"/>
              <w:bottom w:val="nil"/>
              <w:right w:val="nil"/>
            </w:tcBorders>
            <w:shd w:val="clear" w:color="000000" w:fill="FFFFFF"/>
            <w:noWrap/>
            <w:vAlign w:val="center"/>
            <w:hideMark/>
          </w:tcPr>
          <w:p w14:paraId="6F11B308"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73" w:type="pct"/>
            <w:tcBorders>
              <w:top w:val="nil"/>
              <w:left w:val="nil"/>
              <w:bottom w:val="single" w:sz="4" w:space="0" w:color="000000"/>
              <w:right w:val="nil"/>
            </w:tcBorders>
            <w:shd w:val="clear" w:color="000000" w:fill="FFFFFF"/>
            <w:noWrap/>
            <w:vAlign w:val="center"/>
            <w:hideMark/>
          </w:tcPr>
          <w:p w14:paraId="150E3923"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$b</w:t>
            </w:r>
          </w:p>
        </w:tc>
      </w:tr>
      <w:tr w:rsidR="00BD14D8" w:rsidRPr="00BD14D8" w14:paraId="36BD723C"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2C3D3806" w14:textId="77777777" w:rsidR="00BD14D8" w:rsidRPr="0086028F" w:rsidRDefault="00BD14D8" w:rsidP="0086028F">
            <w:pPr>
              <w:spacing w:after="0" w:line="240" w:lineRule="auto"/>
              <w:jc w:val="left"/>
              <w:rPr>
                <w:rFonts w:ascii="Arial" w:hAnsi="Arial" w:cs="Arial"/>
                <w:b/>
                <w:sz w:val="16"/>
                <w:szCs w:val="16"/>
              </w:rPr>
            </w:pPr>
            <w:r w:rsidRPr="0086028F">
              <w:rPr>
                <w:rFonts w:ascii="Arial" w:hAnsi="Arial" w:cs="Arial"/>
                <w:b/>
                <w:sz w:val="16"/>
                <w:szCs w:val="16"/>
              </w:rPr>
              <w:t>Underlying cash balance</w:t>
            </w:r>
          </w:p>
        </w:tc>
        <w:tc>
          <w:tcPr>
            <w:tcW w:w="473" w:type="pct"/>
            <w:tcBorders>
              <w:top w:val="nil"/>
              <w:left w:val="nil"/>
              <w:bottom w:val="nil"/>
              <w:right w:val="nil"/>
            </w:tcBorders>
            <w:shd w:val="clear" w:color="000000" w:fill="FFFFFF"/>
            <w:noWrap/>
            <w:vAlign w:val="center"/>
            <w:hideMark/>
          </w:tcPr>
          <w:p w14:paraId="439AFF4B" w14:textId="22D287B6"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134.2</w:t>
            </w:r>
          </w:p>
        </w:tc>
        <w:tc>
          <w:tcPr>
            <w:tcW w:w="70" w:type="pct"/>
            <w:tcBorders>
              <w:top w:val="nil"/>
              <w:left w:val="nil"/>
              <w:bottom w:val="nil"/>
              <w:right w:val="nil"/>
            </w:tcBorders>
            <w:shd w:val="clear" w:color="000000" w:fill="FFFFFF"/>
            <w:noWrap/>
            <w:vAlign w:val="center"/>
            <w:hideMark/>
          </w:tcPr>
          <w:p w14:paraId="2C40B42B" w14:textId="77777777" w:rsidR="00BD14D8" w:rsidRPr="0086028F" w:rsidRDefault="00BD14D8" w:rsidP="0086028F">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494C99E1" w14:textId="666223B5"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79.8</w:t>
            </w:r>
          </w:p>
        </w:tc>
        <w:tc>
          <w:tcPr>
            <w:tcW w:w="465" w:type="pct"/>
            <w:tcBorders>
              <w:top w:val="nil"/>
              <w:left w:val="nil"/>
              <w:bottom w:val="nil"/>
              <w:right w:val="nil"/>
            </w:tcBorders>
            <w:shd w:val="clear" w:color="000000" w:fill="F2F9FC"/>
            <w:noWrap/>
            <w:vAlign w:val="center"/>
            <w:hideMark/>
          </w:tcPr>
          <w:p w14:paraId="1AB838CA" w14:textId="5D9767F8"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77.9</w:t>
            </w:r>
          </w:p>
        </w:tc>
        <w:tc>
          <w:tcPr>
            <w:tcW w:w="465" w:type="pct"/>
            <w:tcBorders>
              <w:top w:val="nil"/>
              <w:left w:val="nil"/>
              <w:bottom w:val="nil"/>
              <w:right w:val="nil"/>
            </w:tcBorders>
            <w:shd w:val="clear" w:color="000000" w:fill="FFFFFF"/>
            <w:noWrap/>
            <w:vAlign w:val="center"/>
            <w:hideMark/>
          </w:tcPr>
          <w:p w14:paraId="28674E03" w14:textId="04066085"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56.5</w:t>
            </w:r>
          </w:p>
        </w:tc>
        <w:tc>
          <w:tcPr>
            <w:tcW w:w="465" w:type="pct"/>
            <w:tcBorders>
              <w:top w:val="nil"/>
              <w:left w:val="nil"/>
              <w:bottom w:val="nil"/>
              <w:right w:val="nil"/>
            </w:tcBorders>
            <w:shd w:val="clear" w:color="000000" w:fill="FFFFFF"/>
            <w:noWrap/>
            <w:vAlign w:val="center"/>
            <w:hideMark/>
          </w:tcPr>
          <w:p w14:paraId="1E289E83" w14:textId="49C7B1B2"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47.1</w:t>
            </w:r>
          </w:p>
        </w:tc>
        <w:tc>
          <w:tcPr>
            <w:tcW w:w="465" w:type="pct"/>
            <w:tcBorders>
              <w:top w:val="nil"/>
              <w:left w:val="nil"/>
              <w:bottom w:val="nil"/>
              <w:right w:val="nil"/>
            </w:tcBorders>
            <w:shd w:val="clear" w:color="000000" w:fill="FFFFFF"/>
            <w:noWrap/>
            <w:vAlign w:val="center"/>
            <w:hideMark/>
          </w:tcPr>
          <w:p w14:paraId="1755BDC4" w14:textId="42B3F811" w:rsidR="00BD14D8" w:rsidRPr="0086028F" w:rsidRDefault="00660645" w:rsidP="0086028F">
            <w:pPr>
              <w:spacing w:after="0" w:line="240" w:lineRule="auto"/>
              <w:jc w:val="right"/>
              <w:rPr>
                <w:rFonts w:ascii="Arial" w:hAnsi="Arial" w:cs="Arial"/>
                <w:b/>
                <w:sz w:val="16"/>
                <w:szCs w:val="16"/>
              </w:rPr>
            </w:pPr>
            <w:r>
              <w:rPr>
                <w:rFonts w:ascii="Arial" w:hAnsi="Arial" w:cs="Arial"/>
                <w:b/>
                <w:sz w:val="16"/>
                <w:szCs w:val="16"/>
              </w:rPr>
              <w:noBreakHyphen/>
            </w:r>
            <w:r w:rsidR="00BD14D8" w:rsidRPr="0086028F">
              <w:rPr>
                <w:rFonts w:ascii="Arial" w:hAnsi="Arial" w:cs="Arial"/>
                <w:b/>
                <w:sz w:val="16"/>
                <w:szCs w:val="16"/>
              </w:rPr>
              <w:t>42.9</w:t>
            </w:r>
          </w:p>
        </w:tc>
        <w:tc>
          <w:tcPr>
            <w:tcW w:w="70" w:type="pct"/>
            <w:tcBorders>
              <w:top w:val="nil"/>
              <w:left w:val="nil"/>
              <w:bottom w:val="nil"/>
              <w:right w:val="nil"/>
            </w:tcBorders>
            <w:shd w:val="clear" w:color="000000" w:fill="FFFFFF"/>
            <w:noWrap/>
            <w:vAlign w:val="center"/>
            <w:hideMark/>
          </w:tcPr>
          <w:p w14:paraId="4F5DC831" w14:textId="77777777" w:rsidR="00BD14D8" w:rsidRPr="0086028F" w:rsidRDefault="00BD14D8" w:rsidP="0086028F">
            <w:pPr>
              <w:spacing w:after="0" w:line="240" w:lineRule="auto"/>
              <w:jc w:val="right"/>
              <w:rPr>
                <w:rFonts w:ascii="Arial" w:hAnsi="Arial" w:cs="Arial"/>
                <w:b/>
                <w:sz w:val="16"/>
                <w:szCs w:val="16"/>
              </w:rPr>
            </w:pPr>
            <w:r w:rsidRPr="0086028F">
              <w:rPr>
                <w:rFonts w:ascii="Arial" w:hAnsi="Arial" w:cs="Arial"/>
                <w:b/>
                <w:sz w:val="16"/>
                <w:szCs w:val="16"/>
              </w:rPr>
              <w:t> </w:t>
            </w:r>
          </w:p>
        </w:tc>
        <w:tc>
          <w:tcPr>
            <w:tcW w:w="473" w:type="pct"/>
            <w:tcBorders>
              <w:top w:val="nil"/>
              <w:left w:val="nil"/>
              <w:bottom w:val="nil"/>
              <w:right w:val="nil"/>
            </w:tcBorders>
            <w:shd w:val="clear" w:color="000000" w:fill="FFFFFF"/>
            <w:noWrap/>
            <w:vAlign w:val="center"/>
            <w:hideMark/>
          </w:tcPr>
          <w:p w14:paraId="5BD5DE49" w14:textId="7F1526C6" w:rsidR="00BD14D8" w:rsidRPr="0086028F" w:rsidRDefault="00660645" w:rsidP="0086028F">
            <w:pPr>
              <w:spacing w:after="0" w:line="240" w:lineRule="auto"/>
              <w:jc w:val="right"/>
              <w:rPr>
                <w:rFonts w:ascii="Arial" w:hAnsi="Arial" w:cs="Arial"/>
                <w:b/>
                <w:color w:val="000000"/>
                <w:sz w:val="16"/>
                <w:szCs w:val="16"/>
              </w:rPr>
            </w:pPr>
            <w:r>
              <w:rPr>
                <w:rFonts w:ascii="Arial" w:hAnsi="Arial" w:cs="Arial"/>
                <w:b/>
                <w:color w:val="000000"/>
                <w:sz w:val="16"/>
                <w:szCs w:val="16"/>
              </w:rPr>
              <w:noBreakHyphen/>
            </w:r>
            <w:r w:rsidR="00BD14D8" w:rsidRPr="0086028F">
              <w:rPr>
                <w:rFonts w:ascii="Arial" w:hAnsi="Arial" w:cs="Arial"/>
                <w:b/>
                <w:color w:val="000000"/>
                <w:sz w:val="16"/>
                <w:szCs w:val="16"/>
              </w:rPr>
              <w:t>224.5</w:t>
            </w:r>
          </w:p>
        </w:tc>
      </w:tr>
      <w:tr w:rsidR="00BD14D8" w:rsidRPr="00BD14D8" w14:paraId="080A0452"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1CD427DD" w14:textId="77777777" w:rsidR="00BD14D8" w:rsidRPr="0086028F" w:rsidRDefault="00BD14D8" w:rsidP="0086028F">
            <w:pPr>
              <w:spacing w:after="0" w:line="240" w:lineRule="auto"/>
              <w:jc w:val="left"/>
              <w:rPr>
                <w:rFonts w:ascii="Arial" w:hAnsi="Arial" w:cs="Arial"/>
                <w:sz w:val="16"/>
                <w:szCs w:val="16"/>
              </w:rPr>
            </w:pPr>
            <w:r w:rsidRPr="0086028F">
              <w:rPr>
                <w:rFonts w:ascii="Arial" w:hAnsi="Arial" w:cs="Arial"/>
                <w:sz w:val="16"/>
                <w:szCs w:val="16"/>
              </w:rPr>
              <w:t>Per cent of GDP</w:t>
            </w:r>
          </w:p>
        </w:tc>
        <w:tc>
          <w:tcPr>
            <w:tcW w:w="473" w:type="pct"/>
            <w:tcBorders>
              <w:top w:val="nil"/>
              <w:left w:val="nil"/>
              <w:bottom w:val="nil"/>
              <w:right w:val="nil"/>
            </w:tcBorders>
            <w:shd w:val="clear" w:color="000000" w:fill="FFFFFF"/>
            <w:noWrap/>
            <w:vAlign w:val="center"/>
            <w:hideMark/>
          </w:tcPr>
          <w:p w14:paraId="120A0861" w14:textId="1007E1FA"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6.5</w:t>
            </w:r>
          </w:p>
        </w:tc>
        <w:tc>
          <w:tcPr>
            <w:tcW w:w="70" w:type="pct"/>
            <w:tcBorders>
              <w:top w:val="nil"/>
              <w:left w:val="nil"/>
              <w:bottom w:val="nil"/>
              <w:right w:val="nil"/>
            </w:tcBorders>
            <w:shd w:val="clear" w:color="000000" w:fill="FFFFFF"/>
            <w:noWrap/>
            <w:vAlign w:val="center"/>
            <w:hideMark/>
          </w:tcPr>
          <w:p w14:paraId="25F02278" w14:textId="77777777" w:rsidR="00BD14D8" w:rsidRPr="0086028F" w:rsidRDefault="00BD14D8" w:rsidP="0086028F">
            <w:pPr>
              <w:spacing w:after="0" w:line="240" w:lineRule="auto"/>
              <w:jc w:val="right"/>
              <w:rPr>
                <w:rFonts w:ascii="Arial" w:hAnsi="Arial" w:cs="Arial"/>
                <w:sz w:val="16"/>
                <w:szCs w:val="16"/>
              </w:rPr>
            </w:pPr>
            <w:r w:rsidRPr="0086028F">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08671609" w14:textId="378EE11D"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3.5</w:t>
            </w:r>
          </w:p>
        </w:tc>
        <w:tc>
          <w:tcPr>
            <w:tcW w:w="465" w:type="pct"/>
            <w:tcBorders>
              <w:top w:val="nil"/>
              <w:left w:val="nil"/>
              <w:bottom w:val="nil"/>
              <w:right w:val="nil"/>
            </w:tcBorders>
            <w:shd w:val="clear" w:color="000000" w:fill="F2F9FC"/>
            <w:noWrap/>
            <w:vAlign w:val="center"/>
            <w:hideMark/>
          </w:tcPr>
          <w:p w14:paraId="75C512D6" w14:textId="78A4A0F3"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3.4</w:t>
            </w:r>
          </w:p>
        </w:tc>
        <w:tc>
          <w:tcPr>
            <w:tcW w:w="465" w:type="pct"/>
            <w:tcBorders>
              <w:top w:val="nil"/>
              <w:left w:val="nil"/>
              <w:bottom w:val="nil"/>
              <w:right w:val="nil"/>
            </w:tcBorders>
            <w:shd w:val="clear" w:color="000000" w:fill="FFFFFF"/>
            <w:noWrap/>
            <w:vAlign w:val="center"/>
            <w:hideMark/>
          </w:tcPr>
          <w:p w14:paraId="24708518" w14:textId="7261C2C2"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2.4</w:t>
            </w:r>
          </w:p>
        </w:tc>
        <w:tc>
          <w:tcPr>
            <w:tcW w:w="465" w:type="pct"/>
            <w:tcBorders>
              <w:top w:val="nil"/>
              <w:left w:val="nil"/>
              <w:bottom w:val="nil"/>
              <w:right w:val="nil"/>
            </w:tcBorders>
            <w:shd w:val="clear" w:color="000000" w:fill="FFFFFF"/>
            <w:noWrap/>
            <w:vAlign w:val="center"/>
            <w:hideMark/>
          </w:tcPr>
          <w:p w14:paraId="0BAEAC2F" w14:textId="713C1F33"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1.9</w:t>
            </w:r>
          </w:p>
        </w:tc>
        <w:tc>
          <w:tcPr>
            <w:tcW w:w="465" w:type="pct"/>
            <w:tcBorders>
              <w:top w:val="nil"/>
              <w:left w:val="nil"/>
              <w:bottom w:val="nil"/>
              <w:right w:val="nil"/>
            </w:tcBorders>
            <w:shd w:val="clear" w:color="000000" w:fill="FFFFFF"/>
            <w:noWrap/>
            <w:vAlign w:val="center"/>
            <w:hideMark/>
          </w:tcPr>
          <w:p w14:paraId="47103EF8" w14:textId="6BBEFDC8" w:rsidR="00BD14D8" w:rsidRPr="0086028F" w:rsidRDefault="00660645" w:rsidP="0086028F">
            <w:pPr>
              <w:spacing w:after="0" w:line="240" w:lineRule="auto"/>
              <w:jc w:val="right"/>
              <w:rPr>
                <w:rFonts w:ascii="Arial" w:hAnsi="Arial" w:cs="Arial"/>
                <w:sz w:val="16"/>
                <w:szCs w:val="16"/>
              </w:rPr>
            </w:pPr>
            <w:r>
              <w:rPr>
                <w:rFonts w:ascii="Arial" w:hAnsi="Arial" w:cs="Arial"/>
                <w:sz w:val="16"/>
                <w:szCs w:val="16"/>
              </w:rPr>
              <w:noBreakHyphen/>
            </w:r>
            <w:r w:rsidR="00BD14D8" w:rsidRPr="0086028F">
              <w:rPr>
                <w:rFonts w:ascii="Arial" w:hAnsi="Arial" w:cs="Arial"/>
                <w:sz w:val="16"/>
                <w:szCs w:val="16"/>
              </w:rPr>
              <w:t>1.6</w:t>
            </w:r>
          </w:p>
        </w:tc>
        <w:tc>
          <w:tcPr>
            <w:tcW w:w="70" w:type="pct"/>
            <w:tcBorders>
              <w:top w:val="nil"/>
              <w:left w:val="nil"/>
              <w:bottom w:val="nil"/>
              <w:right w:val="nil"/>
            </w:tcBorders>
            <w:shd w:val="clear" w:color="000000" w:fill="FFFFFF"/>
            <w:noWrap/>
            <w:vAlign w:val="center"/>
            <w:hideMark/>
          </w:tcPr>
          <w:p w14:paraId="554C9D43" w14:textId="77777777" w:rsidR="00BD14D8" w:rsidRPr="0086028F" w:rsidRDefault="00BD14D8" w:rsidP="0086028F">
            <w:pPr>
              <w:spacing w:after="0" w:line="240" w:lineRule="auto"/>
              <w:jc w:val="right"/>
              <w:rPr>
                <w:rFonts w:ascii="Arial" w:hAnsi="Arial" w:cs="Arial"/>
                <w:sz w:val="16"/>
                <w:szCs w:val="16"/>
              </w:rPr>
            </w:pPr>
            <w:r w:rsidRPr="0086028F">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773A0620" w14:textId="77777777" w:rsidR="00BD14D8" w:rsidRPr="0086028F" w:rsidRDefault="00BD14D8" w:rsidP="0086028F">
            <w:pPr>
              <w:spacing w:after="0" w:line="240" w:lineRule="auto"/>
              <w:jc w:val="right"/>
              <w:rPr>
                <w:rFonts w:ascii="Arial" w:hAnsi="Arial" w:cs="Arial"/>
                <w:sz w:val="16"/>
                <w:szCs w:val="16"/>
              </w:rPr>
            </w:pPr>
            <w:r w:rsidRPr="0086028F">
              <w:rPr>
                <w:rFonts w:ascii="Arial" w:hAnsi="Arial" w:cs="Arial"/>
                <w:sz w:val="16"/>
                <w:szCs w:val="16"/>
              </w:rPr>
              <w:t> </w:t>
            </w:r>
          </w:p>
        </w:tc>
      </w:tr>
      <w:tr w:rsidR="00BD14D8" w:rsidRPr="00BD14D8" w14:paraId="56B5E591"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035479A9" w14:textId="77777777" w:rsidR="00BD14D8" w:rsidRPr="0086028F" w:rsidRDefault="00BD14D8" w:rsidP="00120C89">
            <w:pPr>
              <w:spacing w:after="0" w:line="240" w:lineRule="auto"/>
              <w:jc w:val="left"/>
              <w:rPr>
                <w:rFonts w:ascii="Arial" w:hAnsi="Arial" w:cs="Arial"/>
                <w:color w:val="000000"/>
                <w:sz w:val="16"/>
                <w:szCs w:val="16"/>
              </w:rPr>
            </w:pPr>
            <w:r w:rsidRPr="0086028F">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5ACC00E4"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5F4B0305"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5BBFBFA4"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2F9FC"/>
            <w:noWrap/>
            <w:vAlign w:val="center"/>
            <w:hideMark/>
          </w:tcPr>
          <w:p w14:paraId="6627D4D6"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211D02EA"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7105976F"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7E8F61A6"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5DA225E6"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3094C77D" w14:textId="77777777" w:rsidR="00BD14D8" w:rsidRPr="0086028F" w:rsidRDefault="00BD14D8" w:rsidP="00120C89">
            <w:pPr>
              <w:spacing w:after="0" w:line="240" w:lineRule="auto"/>
              <w:jc w:val="right"/>
              <w:rPr>
                <w:rFonts w:ascii="Arial" w:hAnsi="Arial" w:cs="Arial"/>
                <w:color w:val="000000"/>
                <w:sz w:val="16"/>
                <w:szCs w:val="16"/>
              </w:rPr>
            </w:pPr>
            <w:r w:rsidRPr="0086028F">
              <w:rPr>
                <w:rFonts w:ascii="Arial" w:hAnsi="Arial" w:cs="Arial"/>
                <w:color w:val="000000"/>
                <w:sz w:val="16"/>
                <w:szCs w:val="16"/>
              </w:rPr>
              <w:t> </w:t>
            </w:r>
          </w:p>
        </w:tc>
      </w:tr>
      <w:tr w:rsidR="00BD14D8" w:rsidRPr="00BD14D8" w14:paraId="57584A20"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1B34DFBE" w14:textId="77777777" w:rsidR="00BD14D8" w:rsidRPr="00120C89" w:rsidRDefault="00BD14D8" w:rsidP="00120C89">
            <w:pPr>
              <w:spacing w:after="0" w:line="240" w:lineRule="auto"/>
              <w:jc w:val="left"/>
              <w:rPr>
                <w:rFonts w:ascii="Arial" w:hAnsi="Arial" w:cs="Arial"/>
                <w:b/>
                <w:color w:val="000000"/>
                <w:sz w:val="16"/>
                <w:szCs w:val="16"/>
              </w:rPr>
            </w:pPr>
            <w:r w:rsidRPr="00120C89">
              <w:rPr>
                <w:rFonts w:ascii="Arial" w:hAnsi="Arial" w:cs="Arial"/>
                <w:b/>
                <w:color w:val="000000"/>
                <w:sz w:val="16"/>
                <w:szCs w:val="16"/>
              </w:rPr>
              <w:t>Receipts</w:t>
            </w:r>
          </w:p>
        </w:tc>
        <w:tc>
          <w:tcPr>
            <w:tcW w:w="473" w:type="pct"/>
            <w:tcBorders>
              <w:top w:val="nil"/>
              <w:left w:val="nil"/>
              <w:bottom w:val="nil"/>
              <w:right w:val="nil"/>
            </w:tcBorders>
            <w:shd w:val="clear" w:color="000000" w:fill="FFFFFF"/>
            <w:noWrap/>
            <w:vAlign w:val="center"/>
            <w:hideMark/>
          </w:tcPr>
          <w:p w14:paraId="56783D5C"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519.9</w:t>
            </w:r>
          </w:p>
        </w:tc>
        <w:tc>
          <w:tcPr>
            <w:tcW w:w="70" w:type="pct"/>
            <w:tcBorders>
              <w:top w:val="nil"/>
              <w:left w:val="nil"/>
              <w:bottom w:val="nil"/>
              <w:right w:val="nil"/>
            </w:tcBorders>
            <w:shd w:val="clear" w:color="000000" w:fill="FFFFFF"/>
            <w:noWrap/>
            <w:vAlign w:val="center"/>
            <w:hideMark/>
          </w:tcPr>
          <w:p w14:paraId="5DD6DB3F"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 </w:t>
            </w:r>
          </w:p>
        </w:tc>
        <w:tc>
          <w:tcPr>
            <w:tcW w:w="465" w:type="pct"/>
            <w:tcBorders>
              <w:top w:val="nil"/>
              <w:left w:val="nil"/>
              <w:bottom w:val="nil"/>
              <w:right w:val="nil"/>
            </w:tcBorders>
            <w:shd w:val="clear" w:color="000000" w:fill="FFFFFF"/>
            <w:noWrap/>
            <w:vAlign w:val="center"/>
            <w:hideMark/>
          </w:tcPr>
          <w:p w14:paraId="16A5DE26"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556.8</w:t>
            </w:r>
          </w:p>
        </w:tc>
        <w:tc>
          <w:tcPr>
            <w:tcW w:w="465" w:type="pct"/>
            <w:tcBorders>
              <w:top w:val="nil"/>
              <w:left w:val="nil"/>
              <w:bottom w:val="nil"/>
              <w:right w:val="nil"/>
            </w:tcBorders>
            <w:shd w:val="clear" w:color="000000" w:fill="F2F9FC"/>
            <w:noWrap/>
            <w:vAlign w:val="center"/>
            <w:hideMark/>
          </w:tcPr>
          <w:p w14:paraId="74481E9C"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548.5</w:t>
            </w:r>
          </w:p>
        </w:tc>
        <w:tc>
          <w:tcPr>
            <w:tcW w:w="465" w:type="pct"/>
            <w:tcBorders>
              <w:top w:val="nil"/>
              <w:left w:val="nil"/>
              <w:bottom w:val="nil"/>
              <w:right w:val="nil"/>
            </w:tcBorders>
            <w:shd w:val="clear" w:color="000000" w:fill="FFFFFF"/>
            <w:noWrap/>
            <w:vAlign w:val="center"/>
            <w:hideMark/>
          </w:tcPr>
          <w:p w14:paraId="0DCB3977"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585.2</w:t>
            </w:r>
          </w:p>
        </w:tc>
        <w:tc>
          <w:tcPr>
            <w:tcW w:w="465" w:type="pct"/>
            <w:tcBorders>
              <w:top w:val="nil"/>
              <w:left w:val="nil"/>
              <w:bottom w:val="nil"/>
              <w:right w:val="nil"/>
            </w:tcBorders>
            <w:shd w:val="clear" w:color="000000" w:fill="FFFFFF"/>
            <w:noWrap/>
            <w:vAlign w:val="center"/>
            <w:hideMark/>
          </w:tcPr>
          <w:p w14:paraId="48684832"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615.2</w:t>
            </w:r>
          </w:p>
        </w:tc>
        <w:tc>
          <w:tcPr>
            <w:tcW w:w="465" w:type="pct"/>
            <w:tcBorders>
              <w:top w:val="nil"/>
              <w:left w:val="nil"/>
              <w:bottom w:val="nil"/>
              <w:right w:val="nil"/>
            </w:tcBorders>
            <w:shd w:val="clear" w:color="000000" w:fill="FFFFFF"/>
            <w:noWrap/>
            <w:vAlign w:val="center"/>
            <w:hideMark/>
          </w:tcPr>
          <w:p w14:paraId="63A68851"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643.9</w:t>
            </w:r>
          </w:p>
        </w:tc>
        <w:tc>
          <w:tcPr>
            <w:tcW w:w="70" w:type="pct"/>
            <w:tcBorders>
              <w:top w:val="nil"/>
              <w:left w:val="nil"/>
              <w:bottom w:val="nil"/>
              <w:right w:val="nil"/>
            </w:tcBorders>
            <w:shd w:val="clear" w:color="000000" w:fill="FFFFFF"/>
            <w:noWrap/>
            <w:vAlign w:val="center"/>
            <w:hideMark/>
          </w:tcPr>
          <w:p w14:paraId="06C889AF"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 </w:t>
            </w:r>
          </w:p>
        </w:tc>
        <w:tc>
          <w:tcPr>
            <w:tcW w:w="473" w:type="pct"/>
            <w:tcBorders>
              <w:top w:val="nil"/>
              <w:left w:val="nil"/>
              <w:bottom w:val="nil"/>
              <w:right w:val="nil"/>
            </w:tcBorders>
            <w:shd w:val="clear" w:color="000000" w:fill="FFFFFF"/>
            <w:noWrap/>
            <w:vAlign w:val="center"/>
            <w:hideMark/>
          </w:tcPr>
          <w:p w14:paraId="5656B486"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2,392.8</w:t>
            </w:r>
          </w:p>
        </w:tc>
      </w:tr>
      <w:tr w:rsidR="00BD14D8" w:rsidRPr="00BD14D8" w14:paraId="0169F20B"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71209878"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Per cent of GDP</w:t>
            </w:r>
          </w:p>
        </w:tc>
        <w:tc>
          <w:tcPr>
            <w:tcW w:w="473" w:type="pct"/>
            <w:tcBorders>
              <w:top w:val="nil"/>
              <w:left w:val="nil"/>
              <w:bottom w:val="nil"/>
              <w:right w:val="nil"/>
            </w:tcBorders>
            <w:shd w:val="clear" w:color="000000" w:fill="FFFFFF"/>
            <w:noWrap/>
            <w:vAlign w:val="center"/>
            <w:hideMark/>
          </w:tcPr>
          <w:p w14:paraId="0A86348D"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25.1</w:t>
            </w:r>
          </w:p>
        </w:tc>
        <w:tc>
          <w:tcPr>
            <w:tcW w:w="70" w:type="pct"/>
            <w:tcBorders>
              <w:top w:val="nil"/>
              <w:left w:val="nil"/>
              <w:bottom w:val="nil"/>
              <w:right w:val="nil"/>
            </w:tcBorders>
            <w:shd w:val="clear" w:color="000000" w:fill="FFFFFF"/>
            <w:noWrap/>
            <w:vAlign w:val="center"/>
            <w:hideMark/>
          </w:tcPr>
          <w:p w14:paraId="599AA990"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1D67D6D3"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24.3</w:t>
            </w:r>
          </w:p>
        </w:tc>
        <w:tc>
          <w:tcPr>
            <w:tcW w:w="465" w:type="pct"/>
            <w:tcBorders>
              <w:top w:val="nil"/>
              <w:left w:val="nil"/>
              <w:bottom w:val="nil"/>
              <w:right w:val="nil"/>
            </w:tcBorders>
            <w:shd w:val="clear" w:color="000000" w:fill="F2F9FC"/>
            <w:noWrap/>
            <w:vAlign w:val="center"/>
            <w:hideMark/>
          </w:tcPr>
          <w:p w14:paraId="33A92A81"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23.8</w:t>
            </w:r>
          </w:p>
        </w:tc>
        <w:tc>
          <w:tcPr>
            <w:tcW w:w="465" w:type="pct"/>
            <w:tcBorders>
              <w:top w:val="nil"/>
              <w:left w:val="nil"/>
              <w:bottom w:val="nil"/>
              <w:right w:val="nil"/>
            </w:tcBorders>
            <w:shd w:val="clear" w:color="000000" w:fill="FFFFFF"/>
            <w:noWrap/>
            <w:vAlign w:val="center"/>
            <w:hideMark/>
          </w:tcPr>
          <w:p w14:paraId="7BD0662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24.7</w:t>
            </w:r>
          </w:p>
        </w:tc>
        <w:tc>
          <w:tcPr>
            <w:tcW w:w="465" w:type="pct"/>
            <w:tcBorders>
              <w:top w:val="nil"/>
              <w:left w:val="nil"/>
              <w:bottom w:val="nil"/>
              <w:right w:val="nil"/>
            </w:tcBorders>
            <w:shd w:val="clear" w:color="000000" w:fill="FFFFFF"/>
            <w:noWrap/>
            <w:vAlign w:val="center"/>
            <w:hideMark/>
          </w:tcPr>
          <w:p w14:paraId="04EB2D4D"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24.7</w:t>
            </w:r>
          </w:p>
        </w:tc>
        <w:tc>
          <w:tcPr>
            <w:tcW w:w="465" w:type="pct"/>
            <w:tcBorders>
              <w:top w:val="nil"/>
              <w:left w:val="nil"/>
              <w:bottom w:val="nil"/>
              <w:right w:val="nil"/>
            </w:tcBorders>
            <w:shd w:val="clear" w:color="000000" w:fill="FFFFFF"/>
            <w:noWrap/>
            <w:vAlign w:val="center"/>
            <w:hideMark/>
          </w:tcPr>
          <w:p w14:paraId="4D359BB1"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24.6</w:t>
            </w:r>
          </w:p>
        </w:tc>
        <w:tc>
          <w:tcPr>
            <w:tcW w:w="70" w:type="pct"/>
            <w:tcBorders>
              <w:top w:val="nil"/>
              <w:left w:val="nil"/>
              <w:bottom w:val="nil"/>
              <w:right w:val="nil"/>
            </w:tcBorders>
            <w:shd w:val="clear" w:color="000000" w:fill="FFFFFF"/>
            <w:noWrap/>
            <w:vAlign w:val="center"/>
            <w:hideMark/>
          </w:tcPr>
          <w:p w14:paraId="1CA2C26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B088884"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2D762B31"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58774B6A"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7394FCEB"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35B7BFC1"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54416AB"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2F9FC"/>
            <w:noWrap/>
            <w:vAlign w:val="center"/>
            <w:hideMark/>
          </w:tcPr>
          <w:p w14:paraId="002689DF"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183EB21"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1CE036E5"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0A6B240"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761130E4"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0C8D8D66"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743CB1E1"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2963C5ED" w14:textId="77777777" w:rsidR="00BD14D8" w:rsidRPr="00120C89" w:rsidRDefault="00BD14D8" w:rsidP="00120C89">
            <w:pPr>
              <w:spacing w:after="0" w:line="240" w:lineRule="auto"/>
              <w:ind w:left="170"/>
              <w:jc w:val="left"/>
              <w:rPr>
                <w:rFonts w:ascii="Arial" w:hAnsi="Arial" w:cs="Arial"/>
                <w:b/>
                <w:color w:val="000000"/>
                <w:sz w:val="16"/>
                <w:szCs w:val="16"/>
              </w:rPr>
            </w:pPr>
            <w:r w:rsidRPr="00120C89">
              <w:rPr>
                <w:rFonts w:ascii="Arial" w:hAnsi="Arial" w:cs="Arial"/>
                <w:b/>
                <w:color w:val="000000"/>
                <w:sz w:val="16"/>
                <w:szCs w:val="16"/>
              </w:rPr>
              <w:t>Tax receipts</w:t>
            </w:r>
          </w:p>
        </w:tc>
        <w:tc>
          <w:tcPr>
            <w:tcW w:w="473" w:type="pct"/>
            <w:tcBorders>
              <w:top w:val="nil"/>
              <w:left w:val="nil"/>
              <w:bottom w:val="nil"/>
              <w:right w:val="nil"/>
            </w:tcBorders>
            <w:shd w:val="clear" w:color="000000" w:fill="FFFFFF"/>
            <w:noWrap/>
            <w:vAlign w:val="center"/>
            <w:hideMark/>
          </w:tcPr>
          <w:p w14:paraId="73ACE7BE"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473.9</w:t>
            </w:r>
          </w:p>
        </w:tc>
        <w:tc>
          <w:tcPr>
            <w:tcW w:w="70" w:type="pct"/>
            <w:tcBorders>
              <w:top w:val="nil"/>
              <w:left w:val="nil"/>
              <w:bottom w:val="nil"/>
              <w:right w:val="nil"/>
            </w:tcBorders>
            <w:shd w:val="clear" w:color="000000" w:fill="FFFFFF"/>
            <w:noWrap/>
            <w:vAlign w:val="center"/>
            <w:hideMark/>
          </w:tcPr>
          <w:p w14:paraId="4B434B46"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FABA1F4"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512.5</w:t>
            </w:r>
          </w:p>
        </w:tc>
        <w:tc>
          <w:tcPr>
            <w:tcW w:w="465" w:type="pct"/>
            <w:tcBorders>
              <w:top w:val="nil"/>
              <w:left w:val="nil"/>
              <w:bottom w:val="nil"/>
              <w:right w:val="nil"/>
            </w:tcBorders>
            <w:shd w:val="clear" w:color="000000" w:fill="F2F9FC"/>
            <w:noWrap/>
            <w:vAlign w:val="center"/>
            <w:hideMark/>
          </w:tcPr>
          <w:p w14:paraId="26711291"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508.4</w:t>
            </w:r>
          </w:p>
        </w:tc>
        <w:tc>
          <w:tcPr>
            <w:tcW w:w="465" w:type="pct"/>
            <w:tcBorders>
              <w:top w:val="nil"/>
              <w:left w:val="nil"/>
              <w:bottom w:val="nil"/>
              <w:right w:val="nil"/>
            </w:tcBorders>
            <w:shd w:val="clear" w:color="000000" w:fill="FFFFFF"/>
            <w:noWrap/>
            <w:vAlign w:val="center"/>
            <w:hideMark/>
          </w:tcPr>
          <w:p w14:paraId="5AE20124"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541.7</w:t>
            </w:r>
          </w:p>
        </w:tc>
        <w:tc>
          <w:tcPr>
            <w:tcW w:w="465" w:type="pct"/>
            <w:tcBorders>
              <w:top w:val="nil"/>
              <w:left w:val="nil"/>
              <w:bottom w:val="nil"/>
              <w:right w:val="nil"/>
            </w:tcBorders>
            <w:shd w:val="clear" w:color="000000" w:fill="FFFFFF"/>
            <w:noWrap/>
            <w:vAlign w:val="center"/>
            <w:hideMark/>
          </w:tcPr>
          <w:p w14:paraId="2B52B253"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566.6</w:t>
            </w:r>
          </w:p>
        </w:tc>
        <w:tc>
          <w:tcPr>
            <w:tcW w:w="465" w:type="pct"/>
            <w:tcBorders>
              <w:top w:val="nil"/>
              <w:left w:val="nil"/>
              <w:bottom w:val="nil"/>
              <w:right w:val="nil"/>
            </w:tcBorders>
            <w:shd w:val="clear" w:color="000000" w:fill="FFFFFF"/>
            <w:noWrap/>
            <w:vAlign w:val="center"/>
            <w:hideMark/>
          </w:tcPr>
          <w:p w14:paraId="1E8FD160"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598.2</w:t>
            </w:r>
          </w:p>
        </w:tc>
        <w:tc>
          <w:tcPr>
            <w:tcW w:w="70" w:type="pct"/>
            <w:tcBorders>
              <w:top w:val="nil"/>
              <w:left w:val="nil"/>
              <w:bottom w:val="nil"/>
              <w:right w:val="nil"/>
            </w:tcBorders>
            <w:shd w:val="clear" w:color="000000" w:fill="FFFFFF"/>
            <w:noWrap/>
            <w:vAlign w:val="center"/>
            <w:hideMark/>
          </w:tcPr>
          <w:p w14:paraId="0E6024B2"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196C8BD2"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2,214.9</w:t>
            </w:r>
          </w:p>
        </w:tc>
      </w:tr>
      <w:tr w:rsidR="00BD14D8" w:rsidRPr="00BD14D8" w14:paraId="0801AD84"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57810697" w14:textId="77777777" w:rsidR="00BD14D8" w:rsidRPr="00120C89" w:rsidRDefault="00BD14D8" w:rsidP="00120C89">
            <w:pPr>
              <w:spacing w:after="0" w:line="240" w:lineRule="auto"/>
              <w:ind w:left="170"/>
              <w:jc w:val="left"/>
              <w:rPr>
                <w:rFonts w:ascii="Arial" w:hAnsi="Arial" w:cs="Arial"/>
                <w:color w:val="000000"/>
                <w:sz w:val="16"/>
                <w:szCs w:val="16"/>
              </w:rPr>
            </w:pPr>
            <w:r w:rsidRPr="00120C89">
              <w:rPr>
                <w:rFonts w:ascii="Arial" w:hAnsi="Arial" w:cs="Arial"/>
                <w:color w:val="000000"/>
                <w:sz w:val="16"/>
                <w:szCs w:val="16"/>
              </w:rPr>
              <w:t>Per cent of GDP</w:t>
            </w:r>
          </w:p>
        </w:tc>
        <w:tc>
          <w:tcPr>
            <w:tcW w:w="473" w:type="pct"/>
            <w:tcBorders>
              <w:top w:val="nil"/>
              <w:left w:val="nil"/>
              <w:bottom w:val="nil"/>
              <w:right w:val="nil"/>
            </w:tcBorders>
            <w:shd w:val="clear" w:color="000000" w:fill="FFFFFF"/>
            <w:noWrap/>
            <w:vAlign w:val="center"/>
            <w:hideMark/>
          </w:tcPr>
          <w:p w14:paraId="0BE6A07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22.9</w:t>
            </w:r>
          </w:p>
        </w:tc>
        <w:tc>
          <w:tcPr>
            <w:tcW w:w="70" w:type="pct"/>
            <w:tcBorders>
              <w:top w:val="nil"/>
              <w:left w:val="nil"/>
              <w:bottom w:val="nil"/>
              <w:right w:val="nil"/>
            </w:tcBorders>
            <w:shd w:val="clear" w:color="000000" w:fill="FFFFFF"/>
            <w:noWrap/>
            <w:vAlign w:val="center"/>
            <w:hideMark/>
          </w:tcPr>
          <w:p w14:paraId="29A65490"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D06EAA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22.4</w:t>
            </w:r>
          </w:p>
        </w:tc>
        <w:tc>
          <w:tcPr>
            <w:tcW w:w="465" w:type="pct"/>
            <w:tcBorders>
              <w:top w:val="nil"/>
              <w:left w:val="nil"/>
              <w:bottom w:val="nil"/>
              <w:right w:val="nil"/>
            </w:tcBorders>
            <w:shd w:val="clear" w:color="000000" w:fill="F2F9FC"/>
            <w:noWrap/>
            <w:vAlign w:val="center"/>
            <w:hideMark/>
          </w:tcPr>
          <w:p w14:paraId="3D6520C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22.1</w:t>
            </w:r>
          </w:p>
        </w:tc>
        <w:tc>
          <w:tcPr>
            <w:tcW w:w="465" w:type="pct"/>
            <w:tcBorders>
              <w:top w:val="nil"/>
              <w:left w:val="nil"/>
              <w:bottom w:val="nil"/>
              <w:right w:val="nil"/>
            </w:tcBorders>
            <w:shd w:val="clear" w:color="000000" w:fill="FFFFFF"/>
            <w:noWrap/>
            <w:vAlign w:val="center"/>
            <w:hideMark/>
          </w:tcPr>
          <w:p w14:paraId="6BA71B93"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22.9</w:t>
            </w:r>
          </w:p>
        </w:tc>
        <w:tc>
          <w:tcPr>
            <w:tcW w:w="465" w:type="pct"/>
            <w:tcBorders>
              <w:top w:val="nil"/>
              <w:left w:val="nil"/>
              <w:bottom w:val="nil"/>
              <w:right w:val="nil"/>
            </w:tcBorders>
            <w:shd w:val="clear" w:color="000000" w:fill="FFFFFF"/>
            <w:noWrap/>
            <w:vAlign w:val="center"/>
            <w:hideMark/>
          </w:tcPr>
          <w:p w14:paraId="04D9D9D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22.8</w:t>
            </w:r>
          </w:p>
        </w:tc>
        <w:tc>
          <w:tcPr>
            <w:tcW w:w="465" w:type="pct"/>
            <w:tcBorders>
              <w:top w:val="nil"/>
              <w:left w:val="nil"/>
              <w:bottom w:val="nil"/>
              <w:right w:val="nil"/>
            </w:tcBorders>
            <w:shd w:val="clear" w:color="000000" w:fill="FFFFFF"/>
            <w:noWrap/>
            <w:vAlign w:val="center"/>
            <w:hideMark/>
          </w:tcPr>
          <w:p w14:paraId="3486649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22.9</w:t>
            </w:r>
          </w:p>
        </w:tc>
        <w:tc>
          <w:tcPr>
            <w:tcW w:w="70" w:type="pct"/>
            <w:tcBorders>
              <w:top w:val="nil"/>
              <w:left w:val="nil"/>
              <w:bottom w:val="nil"/>
              <w:right w:val="nil"/>
            </w:tcBorders>
            <w:shd w:val="clear" w:color="000000" w:fill="FFFFFF"/>
            <w:noWrap/>
            <w:vAlign w:val="center"/>
            <w:hideMark/>
          </w:tcPr>
          <w:p w14:paraId="22CD049D"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2E36D121"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619F2EF4"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436A6237"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6346B9D6"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70" w:type="pct"/>
            <w:tcBorders>
              <w:top w:val="nil"/>
              <w:left w:val="nil"/>
              <w:bottom w:val="nil"/>
              <w:right w:val="nil"/>
            </w:tcBorders>
            <w:shd w:val="clear" w:color="000000" w:fill="FFFFFF"/>
            <w:noWrap/>
            <w:vAlign w:val="center"/>
            <w:hideMark/>
          </w:tcPr>
          <w:p w14:paraId="2B542920"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56BA770E"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2F9FC"/>
            <w:noWrap/>
            <w:vAlign w:val="center"/>
            <w:hideMark/>
          </w:tcPr>
          <w:p w14:paraId="4A764A66"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3710FDA0"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21DEC369"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79FB5647"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70" w:type="pct"/>
            <w:tcBorders>
              <w:top w:val="nil"/>
              <w:left w:val="nil"/>
              <w:bottom w:val="nil"/>
              <w:right w:val="nil"/>
            </w:tcBorders>
            <w:shd w:val="clear" w:color="000000" w:fill="FFFFFF"/>
            <w:noWrap/>
            <w:vAlign w:val="center"/>
            <w:hideMark/>
          </w:tcPr>
          <w:p w14:paraId="3A29D868"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725FD5EF"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4D7DCBA5"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32D92DAB" w14:textId="363533CE" w:rsidR="00BD14D8" w:rsidRPr="00120C89" w:rsidRDefault="00BD14D8" w:rsidP="00120C89">
            <w:pPr>
              <w:spacing w:after="0" w:line="240" w:lineRule="auto"/>
              <w:ind w:left="170"/>
              <w:jc w:val="left"/>
              <w:rPr>
                <w:rFonts w:ascii="Arial" w:hAnsi="Arial" w:cs="Arial"/>
                <w:b/>
                <w:color w:val="000000"/>
                <w:sz w:val="16"/>
                <w:szCs w:val="16"/>
              </w:rPr>
            </w:pPr>
            <w:r w:rsidRPr="00120C89">
              <w:rPr>
                <w:rFonts w:ascii="Arial" w:hAnsi="Arial" w:cs="Arial"/>
                <w:b/>
                <w:color w:val="000000"/>
                <w:sz w:val="16"/>
                <w:szCs w:val="16"/>
              </w:rPr>
              <w:t>Non</w:t>
            </w:r>
            <w:r w:rsidR="00660645">
              <w:rPr>
                <w:rFonts w:ascii="Arial" w:hAnsi="Arial" w:cs="Arial"/>
                <w:b/>
                <w:color w:val="000000"/>
                <w:sz w:val="16"/>
                <w:szCs w:val="16"/>
              </w:rPr>
              <w:noBreakHyphen/>
            </w:r>
            <w:r w:rsidRPr="00120C89">
              <w:rPr>
                <w:rFonts w:ascii="Arial" w:hAnsi="Arial" w:cs="Arial"/>
                <w:b/>
                <w:color w:val="000000"/>
                <w:sz w:val="16"/>
                <w:szCs w:val="16"/>
              </w:rPr>
              <w:t>tax receipts</w:t>
            </w:r>
          </w:p>
        </w:tc>
        <w:tc>
          <w:tcPr>
            <w:tcW w:w="473" w:type="pct"/>
            <w:tcBorders>
              <w:top w:val="nil"/>
              <w:left w:val="nil"/>
              <w:bottom w:val="nil"/>
              <w:right w:val="nil"/>
            </w:tcBorders>
            <w:shd w:val="clear" w:color="000000" w:fill="FFFFFF"/>
            <w:noWrap/>
            <w:vAlign w:val="center"/>
            <w:hideMark/>
          </w:tcPr>
          <w:p w14:paraId="50B9C998"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46.1</w:t>
            </w:r>
          </w:p>
        </w:tc>
        <w:tc>
          <w:tcPr>
            <w:tcW w:w="70" w:type="pct"/>
            <w:tcBorders>
              <w:top w:val="nil"/>
              <w:left w:val="nil"/>
              <w:bottom w:val="nil"/>
              <w:right w:val="nil"/>
            </w:tcBorders>
            <w:shd w:val="clear" w:color="000000" w:fill="FFFFFF"/>
            <w:noWrap/>
            <w:vAlign w:val="center"/>
            <w:hideMark/>
          </w:tcPr>
          <w:p w14:paraId="0277A935"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43A319B1"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44.3</w:t>
            </w:r>
          </w:p>
        </w:tc>
        <w:tc>
          <w:tcPr>
            <w:tcW w:w="465" w:type="pct"/>
            <w:tcBorders>
              <w:top w:val="nil"/>
              <w:left w:val="nil"/>
              <w:bottom w:val="nil"/>
              <w:right w:val="nil"/>
            </w:tcBorders>
            <w:shd w:val="clear" w:color="000000" w:fill="F2F9FC"/>
            <w:noWrap/>
            <w:vAlign w:val="center"/>
            <w:hideMark/>
          </w:tcPr>
          <w:p w14:paraId="631D610F"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40.1</w:t>
            </w:r>
          </w:p>
        </w:tc>
        <w:tc>
          <w:tcPr>
            <w:tcW w:w="465" w:type="pct"/>
            <w:tcBorders>
              <w:top w:val="nil"/>
              <w:left w:val="nil"/>
              <w:bottom w:val="nil"/>
              <w:right w:val="nil"/>
            </w:tcBorders>
            <w:shd w:val="clear" w:color="000000" w:fill="FFFFFF"/>
            <w:noWrap/>
            <w:vAlign w:val="center"/>
            <w:hideMark/>
          </w:tcPr>
          <w:p w14:paraId="79217169"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43.5</w:t>
            </w:r>
          </w:p>
        </w:tc>
        <w:tc>
          <w:tcPr>
            <w:tcW w:w="465" w:type="pct"/>
            <w:tcBorders>
              <w:top w:val="nil"/>
              <w:left w:val="nil"/>
              <w:bottom w:val="nil"/>
              <w:right w:val="nil"/>
            </w:tcBorders>
            <w:shd w:val="clear" w:color="000000" w:fill="FFFFFF"/>
            <w:noWrap/>
            <w:vAlign w:val="center"/>
            <w:hideMark/>
          </w:tcPr>
          <w:p w14:paraId="1308B7BE"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48.6</w:t>
            </w:r>
          </w:p>
        </w:tc>
        <w:tc>
          <w:tcPr>
            <w:tcW w:w="465" w:type="pct"/>
            <w:tcBorders>
              <w:top w:val="nil"/>
              <w:left w:val="nil"/>
              <w:bottom w:val="nil"/>
              <w:right w:val="nil"/>
            </w:tcBorders>
            <w:shd w:val="clear" w:color="000000" w:fill="FFFFFF"/>
            <w:noWrap/>
            <w:vAlign w:val="center"/>
            <w:hideMark/>
          </w:tcPr>
          <w:p w14:paraId="507DAB65"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45.7</w:t>
            </w:r>
          </w:p>
        </w:tc>
        <w:tc>
          <w:tcPr>
            <w:tcW w:w="70" w:type="pct"/>
            <w:tcBorders>
              <w:top w:val="nil"/>
              <w:left w:val="nil"/>
              <w:bottom w:val="nil"/>
              <w:right w:val="nil"/>
            </w:tcBorders>
            <w:shd w:val="clear" w:color="000000" w:fill="FFFFFF"/>
            <w:noWrap/>
            <w:vAlign w:val="center"/>
            <w:hideMark/>
          </w:tcPr>
          <w:p w14:paraId="00252473"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2BF412B1"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177.9</w:t>
            </w:r>
          </w:p>
        </w:tc>
      </w:tr>
      <w:tr w:rsidR="00BD14D8" w:rsidRPr="00BD14D8" w14:paraId="20FB6EFC"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6DFA5BC5" w14:textId="77777777" w:rsidR="00BD14D8" w:rsidRPr="00120C89" w:rsidRDefault="00BD14D8" w:rsidP="00120C89">
            <w:pPr>
              <w:spacing w:after="0" w:line="240" w:lineRule="auto"/>
              <w:ind w:left="170"/>
              <w:jc w:val="left"/>
              <w:rPr>
                <w:rFonts w:ascii="Arial" w:hAnsi="Arial" w:cs="Arial"/>
                <w:color w:val="000000"/>
                <w:sz w:val="16"/>
                <w:szCs w:val="16"/>
              </w:rPr>
            </w:pPr>
            <w:r w:rsidRPr="00120C89">
              <w:rPr>
                <w:rFonts w:ascii="Arial" w:hAnsi="Arial" w:cs="Arial"/>
                <w:color w:val="000000"/>
                <w:sz w:val="16"/>
                <w:szCs w:val="16"/>
              </w:rPr>
              <w:t>Per cent of GDP</w:t>
            </w:r>
          </w:p>
        </w:tc>
        <w:tc>
          <w:tcPr>
            <w:tcW w:w="473" w:type="pct"/>
            <w:tcBorders>
              <w:top w:val="nil"/>
              <w:left w:val="nil"/>
              <w:bottom w:val="nil"/>
              <w:right w:val="nil"/>
            </w:tcBorders>
            <w:shd w:val="clear" w:color="000000" w:fill="FFFFFF"/>
            <w:noWrap/>
            <w:vAlign w:val="center"/>
            <w:hideMark/>
          </w:tcPr>
          <w:p w14:paraId="389F84CF"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2.2</w:t>
            </w:r>
          </w:p>
        </w:tc>
        <w:tc>
          <w:tcPr>
            <w:tcW w:w="70" w:type="pct"/>
            <w:tcBorders>
              <w:top w:val="nil"/>
              <w:left w:val="nil"/>
              <w:bottom w:val="nil"/>
              <w:right w:val="nil"/>
            </w:tcBorders>
            <w:shd w:val="clear" w:color="000000" w:fill="FFFFFF"/>
            <w:noWrap/>
            <w:vAlign w:val="center"/>
            <w:hideMark/>
          </w:tcPr>
          <w:p w14:paraId="5AB6D6EF"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3360719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1.9</w:t>
            </w:r>
          </w:p>
        </w:tc>
        <w:tc>
          <w:tcPr>
            <w:tcW w:w="465" w:type="pct"/>
            <w:tcBorders>
              <w:top w:val="nil"/>
              <w:left w:val="nil"/>
              <w:bottom w:val="nil"/>
              <w:right w:val="nil"/>
            </w:tcBorders>
            <w:shd w:val="clear" w:color="000000" w:fill="F2F9FC"/>
            <w:noWrap/>
            <w:vAlign w:val="center"/>
            <w:hideMark/>
          </w:tcPr>
          <w:p w14:paraId="15F2240B"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1.7</w:t>
            </w:r>
          </w:p>
        </w:tc>
        <w:tc>
          <w:tcPr>
            <w:tcW w:w="465" w:type="pct"/>
            <w:tcBorders>
              <w:top w:val="nil"/>
              <w:left w:val="nil"/>
              <w:bottom w:val="nil"/>
              <w:right w:val="nil"/>
            </w:tcBorders>
            <w:shd w:val="clear" w:color="000000" w:fill="FFFFFF"/>
            <w:noWrap/>
            <w:vAlign w:val="center"/>
            <w:hideMark/>
          </w:tcPr>
          <w:p w14:paraId="055D755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1.8</w:t>
            </w:r>
          </w:p>
        </w:tc>
        <w:tc>
          <w:tcPr>
            <w:tcW w:w="465" w:type="pct"/>
            <w:tcBorders>
              <w:top w:val="nil"/>
              <w:left w:val="nil"/>
              <w:bottom w:val="nil"/>
              <w:right w:val="nil"/>
            </w:tcBorders>
            <w:shd w:val="clear" w:color="000000" w:fill="FFFFFF"/>
            <w:noWrap/>
            <w:vAlign w:val="center"/>
            <w:hideMark/>
          </w:tcPr>
          <w:p w14:paraId="6D6B5F0C"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2.0</w:t>
            </w:r>
          </w:p>
        </w:tc>
        <w:tc>
          <w:tcPr>
            <w:tcW w:w="465" w:type="pct"/>
            <w:tcBorders>
              <w:top w:val="nil"/>
              <w:left w:val="nil"/>
              <w:bottom w:val="nil"/>
              <w:right w:val="nil"/>
            </w:tcBorders>
            <w:shd w:val="clear" w:color="000000" w:fill="FFFFFF"/>
            <w:noWrap/>
            <w:vAlign w:val="center"/>
            <w:hideMark/>
          </w:tcPr>
          <w:p w14:paraId="4B2A446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1.7</w:t>
            </w:r>
          </w:p>
        </w:tc>
        <w:tc>
          <w:tcPr>
            <w:tcW w:w="70" w:type="pct"/>
            <w:tcBorders>
              <w:top w:val="nil"/>
              <w:left w:val="nil"/>
              <w:bottom w:val="nil"/>
              <w:right w:val="nil"/>
            </w:tcBorders>
            <w:shd w:val="clear" w:color="000000" w:fill="FFFFFF"/>
            <w:noWrap/>
            <w:vAlign w:val="center"/>
            <w:hideMark/>
          </w:tcPr>
          <w:p w14:paraId="2F8ECC68"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144472F9"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694680C7"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68DD79AF"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13921B00"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70" w:type="pct"/>
            <w:tcBorders>
              <w:top w:val="nil"/>
              <w:left w:val="nil"/>
              <w:bottom w:val="nil"/>
              <w:right w:val="nil"/>
            </w:tcBorders>
            <w:shd w:val="clear" w:color="000000" w:fill="FFFFFF"/>
            <w:noWrap/>
            <w:vAlign w:val="center"/>
            <w:hideMark/>
          </w:tcPr>
          <w:p w14:paraId="67227C1B"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30FFFEFC"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2F9FC"/>
            <w:noWrap/>
            <w:vAlign w:val="center"/>
            <w:hideMark/>
          </w:tcPr>
          <w:p w14:paraId="67E5E7F4"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7A0076BF"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7ED867EE"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65" w:type="pct"/>
            <w:tcBorders>
              <w:top w:val="nil"/>
              <w:left w:val="nil"/>
              <w:bottom w:val="nil"/>
              <w:right w:val="nil"/>
            </w:tcBorders>
            <w:shd w:val="clear" w:color="000000" w:fill="FFFFFF"/>
            <w:noWrap/>
            <w:vAlign w:val="center"/>
            <w:hideMark/>
          </w:tcPr>
          <w:p w14:paraId="4F18210D"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70" w:type="pct"/>
            <w:tcBorders>
              <w:top w:val="nil"/>
              <w:left w:val="nil"/>
              <w:bottom w:val="nil"/>
              <w:right w:val="nil"/>
            </w:tcBorders>
            <w:shd w:val="clear" w:color="000000" w:fill="FFFFFF"/>
            <w:noWrap/>
            <w:vAlign w:val="center"/>
            <w:hideMark/>
          </w:tcPr>
          <w:p w14:paraId="6BB8D8D8" w14:textId="77777777" w:rsidR="00BD14D8" w:rsidRPr="00120C89" w:rsidRDefault="00BD14D8" w:rsidP="00120C89">
            <w:pPr>
              <w:spacing w:after="0" w:line="240" w:lineRule="auto"/>
              <w:jc w:val="right"/>
              <w:rPr>
                <w:rFonts w:ascii="Arial" w:hAnsi="Arial" w:cs="Arial"/>
                <w:i/>
                <w:color w:val="000000"/>
                <w:sz w:val="16"/>
                <w:szCs w:val="16"/>
              </w:rPr>
            </w:pPr>
            <w:r w:rsidRPr="00120C89">
              <w:rPr>
                <w:rFonts w:ascii="Arial" w:hAnsi="Arial" w:cs="Arial"/>
                <w:i/>
                <w:color w:val="000000"/>
                <w:sz w:val="16"/>
                <w:szCs w:val="16"/>
              </w:rPr>
              <w:t> </w:t>
            </w:r>
          </w:p>
        </w:tc>
        <w:tc>
          <w:tcPr>
            <w:tcW w:w="473" w:type="pct"/>
            <w:tcBorders>
              <w:top w:val="nil"/>
              <w:left w:val="nil"/>
              <w:bottom w:val="nil"/>
              <w:right w:val="nil"/>
            </w:tcBorders>
            <w:shd w:val="clear" w:color="000000" w:fill="FFFFFF"/>
            <w:noWrap/>
            <w:vAlign w:val="center"/>
            <w:hideMark/>
          </w:tcPr>
          <w:p w14:paraId="2D63D09A"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333EBE8E"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50C75485" w14:textId="77777777" w:rsidR="00BD14D8" w:rsidRPr="00120C89" w:rsidRDefault="00BD14D8" w:rsidP="00120C89">
            <w:pPr>
              <w:spacing w:after="0" w:line="240" w:lineRule="auto"/>
              <w:jc w:val="left"/>
              <w:rPr>
                <w:rFonts w:ascii="Arial" w:hAnsi="Arial" w:cs="Arial"/>
                <w:b/>
                <w:color w:val="000000"/>
                <w:sz w:val="16"/>
                <w:szCs w:val="16"/>
              </w:rPr>
            </w:pPr>
            <w:r w:rsidRPr="00120C89">
              <w:rPr>
                <w:rFonts w:ascii="Arial" w:hAnsi="Arial" w:cs="Arial"/>
                <w:b/>
                <w:color w:val="000000"/>
                <w:sz w:val="16"/>
                <w:szCs w:val="16"/>
              </w:rPr>
              <w:t>Payments(b)</w:t>
            </w:r>
          </w:p>
        </w:tc>
        <w:tc>
          <w:tcPr>
            <w:tcW w:w="473" w:type="pct"/>
            <w:tcBorders>
              <w:top w:val="nil"/>
              <w:left w:val="nil"/>
              <w:bottom w:val="nil"/>
              <w:right w:val="nil"/>
            </w:tcBorders>
            <w:shd w:val="clear" w:color="000000" w:fill="FFFFFF"/>
            <w:noWrap/>
            <w:vAlign w:val="center"/>
            <w:hideMark/>
          </w:tcPr>
          <w:p w14:paraId="0A024052"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654.1</w:t>
            </w:r>
          </w:p>
        </w:tc>
        <w:tc>
          <w:tcPr>
            <w:tcW w:w="70" w:type="pct"/>
            <w:tcBorders>
              <w:top w:val="nil"/>
              <w:left w:val="nil"/>
              <w:bottom w:val="nil"/>
              <w:right w:val="nil"/>
            </w:tcBorders>
            <w:shd w:val="clear" w:color="000000" w:fill="FFFFFF"/>
            <w:noWrap/>
            <w:vAlign w:val="center"/>
            <w:hideMark/>
          </w:tcPr>
          <w:p w14:paraId="136A40A4"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 </w:t>
            </w:r>
          </w:p>
        </w:tc>
        <w:tc>
          <w:tcPr>
            <w:tcW w:w="465" w:type="pct"/>
            <w:tcBorders>
              <w:top w:val="nil"/>
              <w:left w:val="nil"/>
              <w:bottom w:val="nil"/>
              <w:right w:val="nil"/>
            </w:tcBorders>
            <w:shd w:val="clear" w:color="000000" w:fill="FFFFFF"/>
            <w:noWrap/>
            <w:vAlign w:val="center"/>
            <w:hideMark/>
          </w:tcPr>
          <w:p w14:paraId="6E3E858E"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636.6</w:t>
            </w:r>
          </w:p>
        </w:tc>
        <w:tc>
          <w:tcPr>
            <w:tcW w:w="465" w:type="pct"/>
            <w:tcBorders>
              <w:top w:val="nil"/>
              <w:left w:val="nil"/>
              <w:bottom w:val="nil"/>
              <w:right w:val="nil"/>
            </w:tcBorders>
            <w:shd w:val="clear" w:color="000000" w:fill="F2F9FC"/>
            <w:noWrap/>
            <w:vAlign w:val="center"/>
            <w:hideMark/>
          </w:tcPr>
          <w:p w14:paraId="6F967857"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626.5</w:t>
            </w:r>
          </w:p>
        </w:tc>
        <w:tc>
          <w:tcPr>
            <w:tcW w:w="465" w:type="pct"/>
            <w:tcBorders>
              <w:top w:val="nil"/>
              <w:left w:val="nil"/>
              <w:bottom w:val="nil"/>
              <w:right w:val="nil"/>
            </w:tcBorders>
            <w:shd w:val="clear" w:color="000000" w:fill="FFFFFF"/>
            <w:noWrap/>
            <w:vAlign w:val="center"/>
            <w:hideMark/>
          </w:tcPr>
          <w:p w14:paraId="7A93A733"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641.7</w:t>
            </w:r>
          </w:p>
        </w:tc>
        <w:tc>
          <w:tcPr>
            <w:tcW w:w="465" w:type="pct"/>
            <w:tcBorders>
              <w:top w:val="nil"/>
              <w:left w:val="nil"/>
              <w:bottom w:val="nil"/>
              <w:right w:val="nil"/>
            </w:tcBorders>
            <w:shd w:val="clear" w:color="000000" w:fill="FFFFFF"/>
            <w:noWrap/>
            <w:vAlign w:val="center"/>
            <w:hideMark/>
          </w:tcPr>
          <w:p w14:paraId="0D824AA3"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662.3</w:t>
            </w:r>
          </w:p>
        </w:tc>
        <w:tc>
          <w:tcPr>
            <w:tcW w:w="465" w:type="pct"/>
            <w:tcBorders>
              <w:top w:val="nil"/>
              <w:left w:val="nil"/>
              <w:bottom w:val="nil"/>
              <w:right w:val="nil"/>
            </w:tcBorders>
            <w:shd w:val="clear" w:color="000000" w:fill="FFFFFF"/>
            <w:noWrap/>
            <w:vAlign w:val="center"/>
            <w:hideMark/>
          </w:tcPr>
          <w:p w14:paraId="5A761379"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686.8</w:t>
            </w:r>
          </w:p>
        </w:tc>
        <w:tc>
          <w:tcPr>
            <w:tcW w:w="70" w:type="pct"/>
            <w:tcBorders>
              <w:top w:val="nil"/>
              <w:left w:val="nil"/>
              <w:bottom w:val="nil"/>
              <w:right w:val="nil"/>
            </w:tcBorders>
            <w:shd w:val="clear" w:color="000000" w:fill="FFFFFF"/>
            <w:noWrap/>
            <w:vAlign w:val="center"/>
            <w:hideMark/>
          </w:tcPr>
          <w:p w14:paraId="7ED5F500"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 </w:t>
            </w:r>
          </w:p>
        </w:tc>
        <w:tc>
          <w:tcPr>
            <w:tcW w:w="473" w:type="pct"/>
            <w:tcBorders>
              <w:top w:val="nil"/>
              <w:left w:val="nil"/>
              <w:bottom w:val="nil"/>
              <w:right w:val="nil"/>
            </w:tcBorders>
            <w:shd w:val="clear" w:color="000000" w:fill="FFFFFF"/>
            <w:noWrap/>
            <w:vAlign w:val="center"/>
            <w:hideMark/>
          </w:tcPr>
          <w:p w14:paraId="7124FE5A" w14:textId="77777777" w:rsidR="00BD14D8" w:rsidRPr="00120C89" w:rsidRDefault="00BD14D8" w:rsidP="00120C89">
            <w:pPr>
              <w:spacing w:after="0" w:line="240" w:lineRule="auto"/>
              <w:jc w:val="right"/>
              <w:rPr>
                <w:rFonts w:ascii="Arial" w:hAnsi="Arial" w:cs="Arial"/>
                <w:b/>
                <w:color w:val="000000"/>
                <w:sz w:val="16"/>
                <w:szCs w:val="16"/>
              </w:rPr>
            </w:pPr>
            <w:r w:rsidRPr="00120C89">
              <w:rPr>
                <w:rFonts w:ascii="Arial" w:hAnsi="Arial" w:cs="Arial"/>
                <w:b/>
                <w:color w:val="000000"/>
                <w:sz w:val="16"/>
                <w:szCs w:val="16"/>
              </w:rPr>
              <w:t>2,617.3</w:t>
            </w:r>
          </w:p>
        </w:tc>
      </w:tr>
      <w:tr w:rsidR="00BD14D8" w:rsidRPr="00BD14D8" w14:paraId="5EEB9D81"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09210ACE"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Per cent of GDP</w:t>
            </w:r>
          </w:p>
        </w:tc>
        <w:tc>
          <w:tcPr>
            <w:tcW w:w="473" w:type="pct"/>
            <w:tcBorders>
              <w:top w:val="nil"/>
              <w:left w:val="nil"/>
              <w:bottom w:val="nil"/>
              <w:right w:val="nil"/>
            </w:tcBorders>
            <w:shd w:val="clear" w:color="000000" w:fill="FFFFFF"/>
            <w:noWrap/>
            <w:vAlign w:val="center"/>
            <w:hideMark/>
          </w:tcPr>
          <w:p w14:paraId="53A843AC"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31.6</w:t>
            </w:r>
          </w:p>
        </w:tc>
        <w:tc>
          <w:tcPr>
            <w:tcW w:w="70" w:type="pct"/>
            <w:tcBorders>
              <w:top w:val="nil"/>
              <w:left w:val="nil"/>
              <w:bottom w:val="nil"/>
              <w:right w:val="nil"/>
            </w:tcBorders>
            <w:shd w:val="clear" w:color="000000" w:fill="FFFFFF"/>
            <w:noWrap/>
            <w:vAlign w:val="center"/>
            <w:hideMark/>
          </w:tcPr>
          <w:p w14:paraId="7938F838"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19977B4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27.8</w:t>
            </w:r>
          </w:p>
        </w:tc>
        <w:tc>
          <w:tcPr>
            <w:tcW w:w="465" w:type="pct"/>
            <w:tcBorders>
              <w:top w:val="nil"/>
              <w:left w:val="nil"/>
              <w:bottom w:val="nil"/>
              <w:right w:val="nil"/>
            </w:tcBorders>
            <w:shd w:val="clear" w:color="000000" w:fill="F2F9FC"/>
            <w:noWrap/>
            <w:vAlign w:val="center"/>
            <w:hideMark/>
          </w:tcPr>
          <w:p w14:paraId="6360FAE1"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27.2</w:t>
            </w:r>
          </w:p>
        </w:tc>
        <w:tc>
          <w:tcPr>
            <w:tcW w:w="465" w:type="pct"/>
            <w:tcBorders>
              <w:top w:val="nil"/>
              <w:left w:val="nil"/>
              <w:bottom w:val="nil"/>
              <w:right w:val="nil"/>
            </w:tcBorders>
            <w:shd w:val="clear" w:color="000000" w:fill="FFFFFF"/>
            <w:noWrap/>
            <w:vAlign w:val="center"/>
            <w:hideMark/>
          </w:tcPr>
          <w:p w14:paraId="1A856A6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27.1</w:t>
            </w:r>
          </w:p>
        </w:tc>
        <w:tc>
          <w:tcPr>
            <w:tcW w:w="465" w:type="pct"/>
            <w:tcBorders>
              <w:top w:val="nil"/>
              <w:left w:val="nil"/>
              <w:bottom w:val="nil"/>
              <w:right w:val="nil"/>
            </w:tcBorders>
            <w:shd w:val="clear" w:color="000000" w:fill="FFFFFF"/>
            <w:noWrap/>
            <w:vAlign w:val="center"/>
            <w:hideMark/>
          </w:tcPr>
          <w:p w14:paraId="0B4F8AAC"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26.6</w:t>
            </w:r>
          </w:p>
        </w:tc>
        <w:tc>
          <w:tcPr>
            <w:tcW w:w="465" w:type="pct"/>
            <w:tcBorders>
              <w:top w:val="nil"/>
              <w:left w:val="nil"/>
              <w:bottom w:val="nil"/>
              <w:right w:val="nil"/>
            </w:tcBorders>
            <w:shd w:val="clear" w:color="000000" w:fill="FFFFFF"/>
            <w:noWrap/>
            <w:vAlign w:val="center"/>
            <w:hideMark/>
          </w:tcPr>
          <w:p w14:paraId="0587A42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26.3</w:t>
            </w:r>
          </w:p>
        </w:tc>
        <w:tc>
          <w:tcPr>
            <w:tcW w:w="70" w:type="pct"/>
            <w:tcBorders>
              <w:top w:val="nil"/>
              <w:left w:val="nil"/>
              <w:bottom w:val="nil"/>
              <w:right w:val="nil"/>
            </w:tcBorders>
            <w:shd w:val="clear" w:color="000000" w:fill="FFFFFF"/>
            <w:noWrap/>
            <w:vAlign w:val="center"/>
            <w:hideMark/>
          </w:tcPr>
          <w:p w14:paraId="3FB04FF1"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69F7B51A"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2A990487"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10064FC2"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5D2E7C8C"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5B6CF41A"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7DDD8333"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2F9FC"/>
            <w:noWrap/>
            <w:vAlign w:val="center"/>
            <w:hideMark/>
          </w:tcPr>
          <w:p w14:paraId="35FF4219"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1C979B9D"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7F39AA67"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65" w:type="pct"/>
            <w:tcBorders>
              <w:top w:val="nil"/>
              <w:left w:val="nil"/>
              <w:bottom w:val="nil"/>
              <w:right w:val="nil"/>
            </w:tcBorders>
            <w:shd w:val="clear" w:color="000000" w:fill="FFFFFF"/>
            <w:noWrap/>
            <w:vAlign w:val="center"/>
            <w:hideMark/>
          </w:tcPr>
          <w:p w14:paraId="624B1F7C"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70" w:type="pct"/>
            <w:tcBorders>
              <w:top w:val="nil"/>
              <w:left w:val="nil"/>
              <w:bottom w:val="nil"/>
              <w:right w:val="nil"/>
            </w:tcBorders>
            <w:shd w:val="clear" w:color="000000" w:fill="FFFFFF"/>
            <w:noWrap/>
            <w:vAlign w:val="center"/>
            <w:hideMark/>
          </w:tcPr>
          <w:p w14:paraId="7703D1CD"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6894AC0B" w14:textId="77777777" w:rsidR="00BD14D8" w:rsidRPr="00120C89" w:rsidRDefault="00BD14D8" w:rsidP="00120C89">
            <w:pPr>
              <w:spacing w:after="0" w:line="240" w:lineRule="auto"/>
              <w:jc w:val="right"/>
              <w:rPr>
                <w:rFonts w:ascii="Arial" w:hAnsi="Arial" w:cs="Arial"/>
                <w:color w:val="000000"/>
                <w:sz w:val="16"/>
                <w:szCs w:val="16"/>
              </w:rPr>
            </w:pPr>
            <w:r w:rsidRPr="00120C89">
              <w:rPr>
                <w:rFonts w:ascii="Arial" w:hAnsi="Arial" w:cs="Arial"/>
                <w:color w:val="000000"/>
                <w:sz w:val="16"/>
                <w:szCs w:val="16"/>
              </w:rPr>
              <w:t> </w:t>
            </w:r>
          </w:p>
        </w:tc>
      </w:tr>
      <w:tr w:rsidR="00BD14D8" w:rsidRPr="00BD14D8" w14:paraId="7D29F143"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4B4F8369" w14:textId="77777777" w:rsidR="00BD14D8" w:rsidRPr="00120C89" w:rsidRDefault="00BD14D8" w:rsidP="00120C89">
            <w:pPr>
              <w:spacing w:after="0" w:line="240" w:lineRule="auto"/>
              <w:jc w:val="left"/>
              <w:rPr>
                <w:rFonts w:ascii="Arial" w:hAnsi="Arial" w:cs="Arial"/>
                <w:b/>
                <w:color w:val="000000"/>
                <w:sz w:val="16"/>
                <w:szCs w:val="16"/>
              </w:rPr>
            </w:pPr>
            <w:r w:rsidRPr="00120C89">
              <w:rPr>
                <w:rFonts w:ascii="Arial" w:hAnsi="Arial" w:cs="Arial"/>
                <w:b/>
                <w:color w:val="000000"/>
                <w:sz w:val="16"/>
                <w:szCs w:val="16"/>
              </w:rPr>
              <w:t>Gross debt(c)</w:t>
            </w:r>
          </w:p>
        </w:tc>
        <w:tc>
          <w:tcPr>
            <w:tcW w:w="473" w:type="pct"/>
            <w:tcBorders>
              <w:top w:val="nil"/>
              <w:left w:val="nil"/>
              <w:bottom w:val="nil"/>
              <w:right w:val="nil"/>
            </w:tcBorders>
            <w:shd w:val="clear" w:color="000000" w:fill="FFFFFF"/>
            <w:noWrap/>
            <w:vAlign w:val="center"/>
            <w:hideMark/>
          </w:tcPr>
          <w:p w14:paraId="44714137"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817.0</w:t>
            </w:r>
          </w:p>
        </w:tc>
        <w:tc>
          <w:tcPr>
            <w:tcW w:w="70" w:type="pct"/>
            <w:tcBorders>
              <w:top w:val="nil"/>
              <w:left w:val="nil"/>
              <w:bottom w:val="nil"/>
              <w:right w:val="nil"/>
            </w:tcBorders>
            <w:shd w:val="clear" w:color="000000" w:fill="FFFFFF"/>
            <w:noWrap/>
            <w:vAlign w:val="center"/>
            <w:hideMark/>
          </w:tcPr>
          <w:p w14:paraId="47DFAE4D"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 </w:t>
            </w:r>
          </w:p>
        </w:tc>
        <w:tc>
          <w:tcPr>
            <w:tcW w:w="465" w:type="pct"/>
            <w:tcBorders>
              <w:top w:val="nil"/>
              <w:left w:val="nil"/>
              <w:bottom w:val="nil"/>
              <w:right w:val="nil"/>
            </w:tcBorders>
            <w:shd w:val="clear" w:color="000000" w:fill="FFFFFF"/>
            <w:noWrap/>
            <w:vAlign w:val="center"/>
            <w:hideMark/>
          </w:tcPr>
          <w:p w14:paraId="6B2E9936"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906.0</w:t>
            </w:r>
          </w:p>
        </w:tc>
        <w:tc>
          <w:tcPr>
            <w:tcW w:w="465" w:type="pct"/>
            <w:tcBorders>
              <w:top w:val="nil"/>
              <w:left w:val="nil"/>
              <w:bottom w:val="nil"/>
              <w:right w:val="nil"/>
            </w:tcBorders>
            <w:shd w:val="clear" w:color="000000" w:fill="F2F9FC"/>
            <w:noWrap/>
            <w:vAlign w:val="center"/>
            <w:hideMark/>
          </w:tcPr>
          <w:p w14:paraId="75B89344"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977.0</w:t>
            </w:r>
          </w:p>
        </w:tc>
        <w:tc>
          <w:tcPr>
            <w:tcW w:w="465" w:type="pct"/>
            <w:tcBorders>
              <w:top w:val="nil"/>
              <w:left w:val="nil"/>
              <w:bottom w:val="nil"/>
              <w:right w:val="nil"/>
            </w:tcBorders>
            <w:shd w:val="clear" w:color="000000" w:fill="FFFFFF"/>
            <w:noWrap/>
            <w:vAlign w:val="center"/>
            <w:hideMark/>
          </w:tcPr>
          <w:p w14:paraId="44F69236"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1,056.0</w:t>
            </w:r>
          </w:p>
        </w:tc>
        <w:tc>
          <w:tcPr>
            <w:tcW w:w="465" w:type="pct"/>
            <w:tcBorders>
              <w:top w:val="nil"/>
              <w:left w:val="nil"/>
              <w:bottom w:val="nil"/>
              <w:right w:val="nil"/>
            </w:tcBorders>
            <w:shd w:val="clear" w:color="000000" w:fill="FFFFFF"/>
            <w:noWrap/>
            <w:vAlign w:val="center"/>
            <w:hideMark/>
          </w:tcPr>
          <w:p w14:paraId="4253FADB"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1,117.0</w:t>
            </w:r>
          </w:p>
        </w:tc>
        <w:tc>
          <w:tcPr>
            <w:tcW w:w="465" w:type="pct"/>
            <w:tcBorders>
              <w:top w:val="nil"/>
              <w:left w:val="nil"/>
              <w:bottom w:val="nil"/>
              <w:right w:val="nil"/>
            </w:tcBorders>
            <w:shd w:val="clear" w:color="000000" w:fill="FFFFFF"/>
            <w:noWrap/>
            <w:vAlign w:val="center"/>
            <w:hideMark/>
          </w:tcPr>
          <w:p w14:paraId="2ACB8A36"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1,169.0</w:t>
            </w:r>
          </w:p>
        </w:tc>
        <w:tc>
          <w:tcPr>
            <w:tcW w:w="70" w:type="pct"/>
            <w:tcBorders>
              <w:top w:val="nil"/>
              <w:left w:val="nil"/>
              <w:bottom w:val="nil"/>
              <w:right w:val="nil"/>
            </w:tcBorders>
            <w:shd w:val="clear" w:color="000000" w:fill="FFFFFF"/>
            <w:noWrap/>
            <w:vAlign w:val="center"/>
            <w:hideMark/>
          </w:tcPr>
          <w:p w14:paraId="5D820D9C"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 </w:t>
            </w:r>
          </w:p>
        </w:tc>
        <w:tc>
          <w:tcPr>
            <w:tcW w:w="473" w:type="pct"/>
            <w:tcBorders>
              <w:top w:val="nil"/>
              <w:left w:val="nil"/>
              <w:bottom w:val="nil"/>
              <w:right w:val="nil"/>
            </w:tcBorders>
            <w:shd w:val="clear" w:color="000000" w:fill="FFFFFF"/>
            <w:noWrap/>
            <w:vAlign w:val="center"/>
            <w:hideMark/>
          </w:tcPr>
          <w:p w14:paraId="61510B43"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 </w:t>
            </w:r>
          </w:p>
        </w:tc>
      </w:tr>
      <w:tr w:rsidR="00BD14D8" w:rsidRPr="00BD14D8" w14:paraId="589C83AC"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4D199512" w14:textId="77777777" w:rsidR="00BD14D8" w:rsidRPr="00120C89" w:rsidRDefault="00BD14D8" w:rsidP="00120C89">
            <w:pPr>
              <w:spacing w:after="0" w:line="240" w:lineRule="auto"/>
              <w:jc w:val="left"/>
              <w:rPr>
                <w:rFonts w:ascii="Arial" w:hAnsi="Arial" w:cs="Arial"/>
                <w:sz w:val="16"/>
                <w:szCs w:val="16"/>
              </w:rPr>
            </w:pPr>
            <w:r w:rsidRPr="00120C89">
              <w:rPr>
                <w:rFonts w:ascii="Arial" w:hAnsi="Arial" w:cs="Arial"/>
                <w:sz w:val="16"/>
                <w:szCs w:val="16"/>
              </w:rPr>
              <w:t>Per cent of GDP</w:t>
            </w:r>
          </w:p>
        </w:tc>
        <w:tc>
          <w:tcPr>
            <w:tcW w:w="473" w:type="pct"/>
            <w:tcBorders>
              <w:top w:val="nil"/>
              <w:left w:val="nil"/>
              <w:bottom w:val="nil"/>
              <w:right w:val="nil"/>
            </w:tcBorders>
            <w:shd w:val="clear" w:color="000000" w:fill="FFFFFF"/>
            <w:noWrap/>
            <w:vAlign w:val="center"/>
            <w:hideMark/>
          </w:tcPr>
          <w:p w14:paraId="6978A59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39.5</w:t>
            </w:r>
          </w:p>
        </w:tc>
        <w:tc>
          <w:tcPr>
            <w:tcW w:w="70" w:type="pct"/>
            <w:tcBorders>
              <w:top w:val="nil"/>
              <w:left w:val="nil"/>
              <w:bottom w:val="nil"/>
              <w:right w:val="nil"/>
            </w:tcBorders>
            <w:shd w:val="clear" w:color="000000" w:fill="FFFFFF"/>
            <w:noWrap/>
            <w:vAlign w:val="center"/>
            <w:hideMark/>
          </w:tcPr>
          <w:p w14:paraId="5475415C" w14:textId="77777777" w:rsidR="00BD14D8" w:rsidRPr="00120C89" w:rsidRDefault="00BD14D8" w:rsidP="00120C89">
            <w:pPr>
              <w:spacing w:after="0" w:line="240" w:lineRule="auto"/>
              <w:jc w:val="right"/>
              <w:rPr>
                <w:rFonts w:ascii="Arial" w:hAnsi="Arial" w:cs="Arial"/>
                <w:color w:val="FF0000"/>
                <w:sz w:val="16"/>
                <w:szCs w:val="16"/>
              </w:rPr>
            </w:pPr>
            <w:r w:rsidRPr="00120C89">
              <w:rPr>
                <w:rFonts w:ascii="Arial" w:hAnsi="Arial" w:cs="Arial"/>
                <w:color w:val="FF0000"/>
                <w:sz w:val="16"/>
                <w:szCs w:val="16"/>
              </w:rPr>
              <w:t> </w:t>
            </w:r>
          </w:p>
        </w:tc>
        <w:tc>
          <w:tcPr>
            <w:tcW w:w="465" w:type="pct"/>
            <w:tcBorders>
              <w:top w:val="nil"/>
              <w:left w:val="nil"/>
              <w:bottom w:val="nil"/>
              <w:right w:val="nil"/>
            </w:tcBorders>
            <w:shd w:val="clear" w:color="000000" w:fill="FFFFFF"/>
            <w:noWrap/>
            <w:vAlign w:val="center"/>
            <w:hideMark/>
          </w:tcPr>
          <w:p w14:paraId="3159466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39.5</w:t>
            </w:r>
          </w:p>
        </w:tc>
        <w:tc>
          <w:tcPr>
            <w:tcW w:w="465" w:type="pct"/>
            <w:tcBorders>
              <w:top w:val="nil"/>
              <w:left w:val="nil"/>
              <w:bottom w:val="nil"/>
              <w:right w:val="nil"/>
            </w:tcBorders>
            <w:shd w:val="clear" w:color="000000" w:fill="F2F9FC"/>
            <w:noWrap/>
            <w:vAlign w:val="center"/>
            <w:hideMark/>
          </w:tcPr>
          <w:p w14:paraId="48EED16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42.5</w:t>
            </w:r>
          </w:p>
        </w:tc>
        <w:tc>
          <w:tcPr>
            <w:tcW w:w="465" w:type="pct"/>
            <w:tcBorders>
              <w:top w:val="nil"/>
              <w:left w:val="nil"/>
              <w:bottom w:val="nil"/>
              <w:right w:val="nil"/>
            </w:tcBorders>
            <w:shd w:val="clear" w:color="000000" w:fill="FFFFFF"/>
            <w:noWrap/>
            <w:vAlign w:val="center"/>
            <w:hideMark/>
          </w:tcPr>
          <w:p w14:paraId="0CE46384"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44.6</w:t>
            </w:r>
          </w:p>
        </w:tc>
        <w:tc>
          <w:tcPr>
            <w:tcW w:w="465" w:type="pct"/>
            <w:tcBorders>
              <w:top w:val="nil"/>
              <w:left w:val="nil"/>
              <w:bottom w:val="nil"/>
              <w:right w:val="nil"/>
            </w:tcBorders>
            <w:shd w:val="clear" w:color="000000" w:fill="FFFFFF"/>
            <w:noWrap/>
            <w:vAlign w:val="center"/>
            <w:hideMark/>
          </w:tcPr>
          <w:p w14:paraId="30CA8589"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44.9</w:t>
            </w:r>
          </w:p>
        </w:tc>
        <w:tc>
          <w:tcPr>
            <w:tcW w:w="465" w:type="pct"/>
            <w:tcBorders>
              <w:top w:val="nil"/>
              <w:left w:val="nil"/>
              <w:bottom w:val="nil"/>
              <w:right w:val="nil"/>
            </w:tcBorders>
            <w:shd w:val="clear" w:color="000000" w:fill="FFFFFF"/>
            <w:noWrap/>
            <w:vAlign w:val="center"/>
            <w:hideMark/>
          </w:tcPr>
          <w:p w14:paraId="6471B6A7"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44.7</w:t>
            </w:r>
          </w:p>
        </w:tc>
        <w:tc>
          <w:tcPr>
            <w:tcW w:w="70" w:type="pct"/>
            <w:tcBorders>
              <w:top w:val="nil"/>
              <w:left w:val="nil"/>
              <w:bottom w:val="nil"/>
              <w:right w:val="nil"/>
            </w:tcBorders>
            <w:shd w:val="clear" w:color="000000" w:fill="FFFFFF"/>
            <w:noWrap/>
            <w:vAlign w:val="center"/>
            <w:hideMark/>
          </w:tcPr>
          <w:p w14:paraId="7979155B"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5354B74"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r>
      <w:tr w:rsidR="00BD14D8" w:rsidRPr="00BD14D8" w14:paraId="44CBD253"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077431DB"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0FA9664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70" w:type="pct"/>
            <w:tcBorders>
              <w:top w:val="nil"/>
              <w:left w:val="nil"/>
              <w:bottom w:val="nil"/>
              <w:right w:val="nil"/>
            </w:tcBorders>
            <w:shd w:val="clear" w:color="000000" w:fill="FFFFFF"/>
            <w:noWrap/>
            <w:vAlign w:val="center"/>
            <w:hideMark/>
          </w:tcPr>
          <w:p w14:paraId="70C51205" w14:textId="77777777" w:rsidR="00BD14D8" w:rsidRPr="00120C89" w:rsidRDefault="00BD14D8" w:rsidP="00120C89">
            <w:pPr>
              <w:spacing w:after="0" w:line="240" w:lineRule="auto"/>
              <w:jc w:val="right"/>
              <w:rPr>
                <w:rFonts w:ascii="Arial" w:hAnsi="Arial" w:cs="Arial"/>
                <w:color w:val="FF0000"/>
                <w:sz w:val="16"/>
                <w:szCs w:val="16"/>
              </w:rPr>
            </w:pPr>
            <w:r w:rsidRPr="00120C89">
              <w:rPr>
                <w:rFonts w:ascii="Arial" w:hAnsi="Arial" w:cs="Arial"/>
                <w:color w:val="FF0000"/>
                <w:sz w:val="16"/>
                <w:szCs w:val="16"/>
              </w:rPr>
              <w:t> </w:t>
            </w:r>
          </w:p>
        </w:tc>
        <w:tc>
          <w:tcPr>
            <w:tcW w:w="465" w:type="pct"/>
            <w:tcBorders>
              <w:top w:val="nil"/>
              <w:left w:val="nil"/>
              <w:bottom w:val="nil"/>
              <w:right w:val="nil"/>
            </w:tcBorders>
            <w:shd w:val="clear" w:color="000000" w:fill="FFFFFF"/>
            <w:noWrap/>
            <w:vAlign w:val="center"/>
            <w:hideMark/>
          </w:tcPr>
          <w:p w14:paraId="5351496B"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2F9FC"/>
            <w:noWrap/>
            <w:vAlign w:val="center"/>
            <w:hideMark/>
          </w:tcPr>
          <w:p w14:paraId="707A749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24D7EC8C"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0A9A7E1F"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63E514C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70" w:type="pct"/>
            <w:tcBorders>
              <w:top w:val="nil"/>
              <w:left w:val="nil"/>
              <w:bottom w:val="nil"/>
              <w:right w:val="nil"/>
            </w:tcBorders>
            <w:shd w:val="clear" w:color="000000" w:fill="FFFFFF"/>
            <w:noWrap/>
            <w:vAlign w:val="center"/>
            <w:hideMark/>
          </w:tcPr>
          <w:p w14:paraId="665ABB8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41D934CF"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r>
      <w:tr w:rsidR="00BD14D8" w:rsidRPr="00BD14D8" w14:paraId="745BC5E3"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5A508DEC" w14:textId="77777777" w:rsidR="00BD14D8" w:rsidRPr="00120C89" w:rsidRDefault="00BD14D8" w:rsidP="00120C89">
            <w:pPr>
              <w:spacing w:after="0" w:line="240" w:lineRule="auto"/>
              <w:jc w:val="left"/>
              <w:rPr>
                <w:rFonts w:ascii="Arial" w:hAnsi="Arial" w:cs="Arial"/>
                <w:b/>
                <w:color w:val="000000"/>
                <w:sz w:val="16"/>
                <w:szCs w:val="16"/>
              </w:rPr>
            </w:pPr>
            <w:r w:rsidRPr="00120C89">
              <w:rPr>
                <w:rFonts w:ascii="Arial" w:hAnsi="Arial" w:cs="Arial"/>
                <w:b/>
                <w:color w:val="000000"/>
                <w:sz w:val="16"/>
                <w:szCs w:val="16"/>
              </w:rPr>
              <w:t xml:space="preserve">Net debt(d) </w:t>
            </w:r>
          </w:p>
        </w:tc>
        <w:tc>
          <w:tcPr>
            <w:tcW w:w="473" w:type="pct"/>
            <w:tcBorders>
              <w:top w:val="nil"/>
              <w:left w:val="nil"/>
              <w:bottom w:val="nil"/>
              <w:right w:val="nil"/>
            </w:tcBorders>
            <w:shd w:val="clear" w:color="000000" w:fill="FFFFFF"/>
            <w:noWrap/>
            <w:vAlign w:val="center"/>
            <w:hideMark/>
          </w:tcPr>
          <w:p w14:paraId="5F61736B"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592.2</w:t>
            </w:r>
          </w:p>
        </w:tc>
        <w:tc>
          <w:tcPr>
            <w:tcW w:w="70" w:type="pct"/>
            <w:tcBorders>
              <w:top w:val="nil"/>
              <w:left w:val="nil"/>
              <w:bottom w:val="nil"/>
              <w:right w:val="nil"/>
            </w:tcBorders>
            <w:shd w:val="clear" w:color="000000" w:fill="FFFFFF"/>
            <w:noWrap/>
            <w:vAlign w:val="center"/>
            <w:hideMark/>
          </w:tcPr>
          <w:p w14:paraId="3895C429" w14:textId="77777777" w:rsidR="00BD14D8" w:rsidRPr="00120C89" w:rsidRDefault="00BD14D8" w:rsidP="00120C89">
            <w:pPr>
              <w:spacing w:after="0" w:line="240" w:lineRule="auto"/>
              <w:jc w:val="right"/>
              <w:rPr>
                <w:rFonts w:ascii="Arial" w:hAnsi="Arial" w:cs="Arial"/>
                <w:color w:val="FF0000"/>
                <w:sz w:val="16"/>
                <w:szCs w:val="16"/>
              </w:rPr>
            </w:pPr>
            <w:r w:rsidRPr="00120C89">
              <w:rPr>
                <w:rFonts w:ascii="Arial" w:hAnsi="Arial" w:cs="Arial"/>
                <w:color w:val="FF0000"/>
                <w:sz w:val="16"/>
                <w:szCs w:val="16"/>
              </w:rPr>
              <w:t> </w:t>
            </w:r>
          </w:p>
        </w:tc>
        <w:tc>
          <w:tcPr>
            <w:tcW w:w="465" w:type="pct"/>
            <w:tcBorders>
              <w:top w:val="nil"/>
              <w:left w:val="nil"/>
              <w:bottom w:val="nil"/>
              <w:right w:val="nil"/>
            </w:tcBorders>
            <w:shd w:val="clear" w:color="000000" w:fill="FFFFFF"/>
            <w:noWrap/>
            <w:vAlign w:val="center"/>
            <w:hideMark/>
          </w:tcPr>
          <w:p w14:paraId="64932F23"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631.5</w:t>
            </w:r>
          </w:p>
        </w:tc>
        <w:tc>
          <w:tcPr>
            <w:tcW w:w="465" w:type="pct"/>
            <w:tcBorders>
              <w:top w:val="nil"/>
              <w:left w:val="nil"/>
              <w:bottom w:val="nil"/>
              <w:right w:val="nil"/>
            </w:tcBorders>
            <w:shd w:val="clear" w:color="000000" w:fill="F2F9FC"/>
            <w:noWrap/>
            <w:vAlign w:val="center"/>
            <w:hideMark/>
          </w:tcPr>
          <w:p w14:paraId="7D842E2C"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714.9</w:t>
            </w:r>
          </w:p>
        </w:tc>
        <w:tc>
          <w:tcPr>
            <w:tcW w:w="465" w:type="pct"/>
            <w:tcBorders>
              <w:top w:val="nil"/>
              <w:left w:val="nil"/>
              <w:bottom w:val="nil"/>
              <w:right w:val="nil"/>
            </w:tcBorders>
            <w:shd w:val="clear" w:color="000000" w:fill="FFFFFF"/>
            <w:noWrap/>
            <w:vAlign w:val="center"/>
            <w:hideMark/>
          </w:tcPr>
          <w:p w14:paraId="52EC53BB"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772.1</w:t>
            </w:r>
          </w:p>
        </w:tc>
        <w:tc>
          <w:tcPr>
            <w:tcW w:w="465" w:type="pct"/>
            <w:tcBorders>
              <w:top w:val="nil"/>
              <w:left w:val="nil"/>
              <w:bottom w:val="nil"/>
              <w:right w:val="nil"/>
            </w:tcBorders>
            <w:shd w:val="clear" w:color="000000" w:fill="FFFFFF"/>
            <w:noWrap/>
            <w:vAlign w:val="center"/>
            <w:hideMark/>
          </w:tcPr>
          <w:p w14:paraId="4F550F9D"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823.2</w:t>
            </w:r>
          </w:p>
        </w:tc>
        <w:tc>
          <w:tcPr>
            <w:tcW w:w="465" w:type="pct"/>
            <w:tcBorders>
              <w:top w:val="nil"/>
              <w:left w:val="nil"/>
              <w:bottom w:val="nil"/>
              <w:right w:val="nil"/>
            </w:tcBorders>
            <w:shd w:val="clear" w:color="000000" w:fill="FFFFFF"/>
            <w:noWrap/>
            <w:vAlign w:val="center"/>
            <w:hideMark/>
          </w:tcPr>
          <w:p w14:paraId="0D44DC58"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864.5</w:t>
            </w:r>
          </w:p>
        </w:tc>
        <w:tc>
          <w:tcPr>
            <w:tcW w:w="70" w:type="pct"/>
            <w:tcBorders>
              <w:top w:val="nil"/>
              <w:left w:val="nil"/>
              <w:bottom w:val="nil"/>
              <w:right w:val="nil"/>
            </w:tcBorders>
            <w:shd w:val="clear" w:color="000000" w:fill="FFFFFF"/>
            <w:noWrap/>
            <w:vAlign w:val="center"/>
            <w:hideMark/>
          </w:tcPr>
          <w:p w14:paraId="25C5DB6F"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32800565"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 </w:t>
            </w:r>
          </w:p>
        </w:tc>
      </w:tr>
      <w:tr w:rsidR="00BD14D8" w:rsidRPr="00BD14D8" w14:paraId="14CD1F72"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7FC37944"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xml:space="preserve">Per cent of GDP </w:t>
            </w:r>
          </w:p>
        </w:tc>
        <w:tc>
          <w:tcPr>
            <w:tcW w:w="473" w:type="pct"/>
            <w:tcBorders>
              <w:top w:val="nil"/>
              <w:left w:val="nil"/>
              <w:bottom w:val="nil"/>
              <w:right w:val="nil"/>
            </w:tcBorders>
            <w:shd w:val="clear" w:color="000000" w:fill="FFFFFF"/>
            <w:noWrap/>
            <w:vAlign w:val="center"/>
            <w:hideMark/>
          </w:tcPr>
          <w:p w14:paraId="091023D0"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28.6</w:t>
            </w:r>
          </w:p>
        </w:tc>
        <w:tc>
          <w:tcPr>
            <w:tcW w:w="70" w:type="pct"/>
            <w:tcBorders>
              <w:top w:val="nil"/>
              <w:left w:val="nil"/>
              <w:bottom w:val="nil"/>
              <w:right w:val="nil"/>
            </w:tcBorders>
            <w:shd w:val="clear" w:color="000000" w:fill="FFFFFF"/>
            <w:noWrap/>
            <w:vAlign w:val="center"/>
            <w:hideMark/>
          </w:tcPr>
          <w:p w14:paraId="4B3A8AA6" w14:textId="77777777" w:rsidR="00BD14D8" w:rsidRPr="00120C89" w:rsidRDefault="00BD14D8" w:rsidP="00120C89">
            <w:pPr>
              <w:spacing w:after="0" w:line="240" w:lineRule="auto"/>
              <w:jc w:val="right"/>
              <w:rPr>
                <w:rFonts w:ascii="Arial" w:hAnsi="Arial" w:cs="Arial"/>
                <w:color w:val="33CCCC"/>
                <w:sz w:val="16"/>
                <w:szCs w:val="16"/>
              </w:rPr>
            </w:pPr>
            <w:r w:rsidRPr="00120C89">
              <w:rPr>
                <w:rFonts w:ascii="Arial" w:hAnsi="Arial" w:cs="Arial"/>
                <w:color w:val="33CCCC"/>
                <w:sz w:val="16"/>
                <w:szCs w:val="16"/>
              </w:rPr>
              <w:t> </w:t>
            </w:r>
          </w:p>
        </w:tc>
        <w:tc>
          <w:tcPr>
            <w:tcW w:w="465" w:type="pct"/>
            <w:tcBorders>
              <w:top w:val="nil"/>
              <w:left w:val="nil"/>
              <w:bottom w:val="nil"/>
              <w:right w:val="nil"/>
            </w:tcBorders>
            <w:shd w:val="clear" w:color="000000" w:fill="FFFFFF"/>
            <w:noWrap/>
            <w:vAlign w:val="center"/>
            <w:hideMark/>
          </w:tcPr>
          <w:p w14:paraId="1FE5E2F7"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27.6</w:t>
            </w:r>
          </w:p>
        </w:tc>
        <w:tc>
          <w:tcPr>
            <w:tcW w:w="465" w:type="pct"/>
            <w:tcBorders>
              <w:top w:val="nil"/>
              <w:left w:val="nil"/>
              <w:bottom w:val="nil"/>
              <w:right w:val="nil"/>
            </w:tcBorders>
            <w:shd w:val="clear" w:color="000000" w:fill="F2F9FC"/>
            <w:noWrap/>
            <w:vAlign w:val="center"/>
            <w:hideMark/>
          </w:tcPr>
          <w:p w14:paraId="5140DD5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31.1</w:t>
            </w:r>
          </w:p>
        </w:tc>
        <w:tc>
          <w:tcPr>
            <w:tcW w:w="465" w:type="pct"/>
            <w:tcBorders>
              <w:top w:val="nil"/>
              <w:left w:val="nil"/>
              <w:bottom w:val="nil"/>
              <w:right w:val="nil"/>
            </w:tcBorders>
            <w:shd w:val="clear" w:color="000000" w:fill="FFFFFF"/>
            <w:noWrap/>
            <w:vAlign w:val="center"/>
            <w:hideMark/>
          </w:tcPr>
          <w:p w14:paraId="40785AFA"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32.6</w:t>
            </w:r>
          </w:p>
        </w:tc>
        <w:tc>
          <w:tcPr>
            <w:tcW w:w="465" w:type="pct"/>
            <w:tcBorders>
              <w:top w:val="nil"/>
              <w:left w:val="nil"/>
              <w:bottom w:val="nil"/>
              <w:right w:val="nil"/>
            </w:tcBorders>
            <w:shd w:val="clear" w:color="000000" w:fill="FFFFFF"/>
            <w:noWrap/>
            <w:vAlign w:val="center"/>
            <w:hideMark/>
          </w:tcPr>
          <w:p w14:paraId="6446F2C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33.1</w:t>
            </w:r>
          </w:p>
        </w:tc>
        <w:tc>
          <w:tcPr>
            <w:tcW w:w="465" w:type="pct"/>
            <w:tcBorders>
              <w:top w:val="nil"/>
              <w:left w:val="nil"/>
              <w:bottom w:val="nil"/>
              <w:right w:val="nil"/>
            </w:tcBorders>
            <w:shd w:val="clear" w:color="000000" w:fill="FFFFFF"/>
            <w:noWrap/>
            <w:vAlign w:val="center"/>
            <w:hideMark/>
          </w:tcPr>
          <w:p w14:paraId="10DC7A7D"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33.1</w:t>
            </w:r>
          </w:p>
        </w:tc>
        <w:tc>
          <w:tcPr>
            <w:tcW w:w="70" w:type="pct"/>
            <w:tcBorders>
              <w:top w:val="nil"/>
              <w:left w:val="nil"/>
              <w:bottom w:val="nil"/>
              <w:right w:val="nil"/>
            </w:tcBorders>
            <w:shd w:val="clear" w:color="000000" w:fill="FFFFFF"/>
            <w:noWrap/>
            <w:vAlign w:val="center"/>
            <w:hideMark/>
          </w:tcPr>
          <w:p w14:paraId="7553B7BE"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27BCE5EB"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r>
      <w:tr w:rsidR="00BD14D8" w:rsidRPr="00BD14D8" w14:paraId="24E0A3F2" w14:textId="77777777" w:rsidTr="00BD14D8">
        <w:trPr>
          <w:trHeight w:hRule="exact" w:val="60"/>
        </w:trPr>
        <w:tc>
          <w:tcPr>
            <w:tcW w:w="1590" w:type="pct"/>
            <w:tcBorders>
              <w:top w:val="nil"/>
              <w:left w:val="nil"/>
              <w:bottom w:val="nil"/>
              <w:right w:val="nil"/>
            </w:tcBorders>
            <w:shd w:val="clear" w:color="000000" w:fill="FFFFFF"/>
            <w:noWrap/>
            <w:vAlign w:val="center"/>
            <w:hideMark/>
          </w:tcPr>
          <w:p w14:paraId="1C3C1F4C" w14:textId="77777777" w:rsidR="00BD14D8" w:rsidRPr="00120C89" w:rsidRDefault="00BD14D8" w:rsidP="00120C89">
            <w:pPr>
              <w:spacing w:after="0" w:line="240" w:lineRule="auto"/>
              <w:jc w:val="left"/>
              <w:rPr>
                <w:rFonts w:ascii="Arial" w:hAnsi="Arial" w:cs="Arial"/>
                <w:color w:val="000000"/>
                <w:sz w:val="16"/>
                <w:szCs w:val="16"/>
              </w:rPr>
            </w:pPr>
            <w:r w:rsidRPr="00120C89">
              <w:rPr>
                <w:rFonts w:ascii="Arial" w:hAnsi="Arial" w:cs="Arial"/>
                <w:color w:val="000000"/>
                <w:sz w:val="16"/>
                <w:szCs w:val="16"/>
              </w:rPr>
              <w:t> </w:t>
            </w:r>
          </w:p>
        </w:tc>
        <w:tc>
          <w:tcPr>
            <w:tcW w:w="473" w:type="pct"/>
            <w:tcBorders>
              <w:top w:val="nil"/>
              <w:left w:val="nil"/>
              <w:bottom w:val="nil"/>
              <w:right w:val="nil"/>
            </w:tcBorders>
            <w:shd w:val="clear" w:color="000000" w:fill="FFFFFF"/>
            <w:noWrap/>
            <w:vAlign w:val="center"/>
            <w:hideMark/>
          </w:tcPr>
          <w:p w14:paraId="49897A01"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70" w:type="pct"/>
            <w:tcBorders>
              <w:top w:val="nil"/>
              <w:left w:val="nil"/>
              <w:bottom w:val="nil"/>
              <w:right w:val="nil"/>
            </w:tcBorders>
            <w:shd w:val="clear" w:color="000000" w:fill="FFFFFF"/>
            <w:noWrap/>
            <w:vAlign w:val="center"/>
            <w:hideMark/>
          </w:tcPr>
          <w:p w14:paraId="3A1A5892" w14:textId="77777777" w:rsidR="00BD14D8" w:rsidRPr="00120C89" w:rsidRDefault="00BD14D8" w:rsidP="00120C89">
            <w:pPr>
              <w:spacing w:after="0" w:line="240" w:lineRule="auto"/>
              <w:jc w:val="right"/>
              <w:rPr>
                <w:rFonts w:ascii="Arial" w:hAnsi="Arial" w:cs="Arial"/>
                <w:color w:val="33CCCC"/>
                <w:sz w:val="16"/>
                <w:szCs w:val="16"/>
              </w:rPr>
            </w:pPr>
            <w:r w:rsidRPr="00120C89">
              <w:rPr>
                <w:rFonts w:ascii="Arial" w:hAnsi="Arial" w:cs="Arial"/>
                <w:color w:val="33CCCC"/>
                <w:sz w:val="16"/>
                <w:szCs w:val="16"/>
              </w:rPr>
              <w:t> </w:t>
            </w:r>
          </w:p>
        </w:tc>
        <w:tc>
          <w:tcPr>
            <w:tcW w:w="465" w:type="pct"/>
            <w:tcBorders>
              <w:top w:val="nil"/>
              <w:left w:val="nil"/>
              <w:bottom w:val="nil"/>
              <w:right w:val="nil"/>
            </w:tcBorders>
            <w:shd w:val="clear" w:color="000000" w:fill="FFFFFF"/>
            <w:noWrap/>
            <w:vAlign w:val="center"/>
            <w:hideMark/>
          </w:tcPr>
          <w:p w14:paraId="1FC4BB9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2F9FC"/>
            <w:noWrap/>
            <w:vAlign w:val="center"/>
            <w:hideMark/>
          </w:tcPr>
          <w:p w14:paraId="595CA468"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521C17DA"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1ACBD985"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nil"/>
              <w:right w:val="nil"/>
            </w:tcBorders>
            <w:shd w:val="clear" w:color="000000" w:fill="FFFFFF"/>
            <w:noWrap/>
            <w:vAlign w:val="center"/>
            <w:hideMark/>
          </w:tcPr>
          <w:p w14:paraId="1964763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70" w:type="pct"/>
            <w:tcBorders>
              <w:top w:val="nil"/>
              <w:left w:val="nil"/>
              <w:bottom w:val="nil"/>
              <w:right w:val="nil"/>
            </w:tcBorders>
            <w:shd w:val="clear" w:color="000000" w:fill="FFFFFF"/>
            <w:noWrap/>
            <w:vAlign w:val="center"/>
            <w:hideMark/>
          </w:tcPr>
          <w:p w14:paraId="3E171C74"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73" w:type="pct"/>
            <w:tcBorders>
              <w:top w:val="nil"/>
              <w:left w:val="nil"/>
              <w:bottom w:val="nil"/>
              <w:right w:val="nil"/>
            </w:tcBorders>
            <w:shd w:val="clear" w:color="000000" w:fill="FFFFFF"/>
            <w:noWrap/>
            <w:vAlign w:val="center"/>
            <w:hideMark/>
          </w:tcPr>
          <w:p w14:paraId="17AB6223"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r>
      <w:tr w:rsidR="00BD14D8" w:rsidRPr="00BD14D8" w14:paraId="7AD9DA58" w14:textId="77777777" w:rsidTr="00BD14D8">
        <w:trPr>
          <w:trHeight w:hRule="exact" w:val="225"/>
        </w:trPr>
        <w:tc>
          <w:tcPr>
            <w:tcW w:w="1590" w:type="pct"/>
            <w:tcBorders>
              <w:top w:val="nil"/>
              <w:left w:val="nil"/>
              <w:bottom w:val="nil"/>
              <w:right w:val="nil"/>
            </w:tcBorders>
            <w:shd w:val="clear" w:color="000000" w:fill="FFFFFF"/>
            <w:noWrap/>
            <w:vAlign w:val="center"/>
            <w:hideMark/>
          </w:tcPr>
          <w:p w14:paraId="58FE3C7A" w14:textId="77777777" w:rsidR="00BD14D8" w:rsidRPr="00120C89" w:rsidRDefault="00BD14D8" w:rsidP="00120C89">
            <w:pPr>
              <w:spacing w:after="0" w:line="240" w:lineRule="auto"/>
              <w:jc w:val="left"/>
              <w:rPr>
                <w:rFonts w:ascii="Arial" w:hAnsi="Arial" w:cs="Arial"/>
                <w:b/>
                <w:sz w:val="16"/>
                <w:szCs w:val="16"/>
              </w:rPr>
            </w:pPr>
            <w:r w:rsidRPr="00120C89">
              <w:rPr>
                <w:rFonts w:ascii="Arial" w:hAnsi="Arial" w:cs="Arial"/>
                <w:b/>
                <w:sz w:val="16"/>
                <w:szCs w:val="16"/>
              </w:rPr>
              <w:t>Net interest payments(e)</w:t>
            </w:r>
          </w:p>
        </w:tc>
        <w:tc>
          <w:tcPr>
            <w:tcW w:w="473" w:type="pct"/>
            <w:tcBorders>
              <w:top w:val="nil"/>
              <w:left w:val="nil"/>
              <w:bottom w:val="nil"/>
              <w:right w:val="nil"/>
            </w:tcBorders>
            <w:shd w:val="clear" w:color="000000" w:fill="FFFFFF"/>
            <w:noWrap/>
            <w:vAlign w:val="center"/>
            <w:hideMark/>
          </w:tcPr>
          <w:p w14:paraId="2C62EBB0"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14.3</w:t>
            </w:r>
          </w:p>
        </w:tc>
        <w:tc>
          <w:tcPr>
            <w:tcW w:w="70" w:type="pct"/>
            <w:tcBorders>
              <w:top w:val="nil"/>
              <w:left w:val="nil"/>
              <w:bottom w:val="nil"/>
              <w:right w:val="nil"/>
            </w:tcBorders>
            <w:shd w:val="clear" w:color="000000" w:fill="FFFFFF"/>
            <w:noWrap/>
            <w:vAlign w:val="center"/>
            <w:hideMark/>
          </w:tcPr>
          <w:p w14:paraId="69F890D5"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 </w:t>
            </w:r>
          </w:p>
        </w:tc>
        <w:tc>
          <w:tcPr>
            <w:tcW w:w="465" w:type="pct"/>
            <w:tcBorders>
              <w:top w:val="nil"/>
              <w:left w:val="nil"/>
              <w:bottom w:val="nil"/>
              <w:right w:val="nil"/>
            </w:tcBorders>
            <w:shd w:val="clear" w:color="000000" w:fill="FFFFFF"/>
            <w:noWrap/>
            <w:vAlign w:val="center"/>
            <w:hideMark/>
          </w:tcPr>
          <w:p w14:paraId="7FD929AB"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14.9</w:t>
            </w:r>
          </w:p>
        </w:tc>
        <w:tc>
          <w:tcPr>
            <w:tcW w:w="465" w:type="pct"/>
            <w:tcBorders>
              <w:top w:val="nil"/>
              <w:left w:val="nil"/>
              <w:bottom w:val="nil"/>
              <w:right w:val="nil"/>
            </w:tcBorders>
            <w:shd w:val="clear" w:color="000000" w:fill="F2F9FC"/>
            <w:noWrap/>
            <w:vAlign w:val="center"/>
            <w:hideMark/>
          </w:tcPr>
          <w:p w14:paraId="492093B6"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15.1</w:t>
            </w:r>
          </w:p>
        </w:tc>
        <w:tc>
          <w:tcPr>
            <w:tcW w:w="465" w:type="pct"/>
            <w:tcBorders>
              <w:top w:val="nil"/>
              <w:left w:val="nil"/>
              <w:bottom w:val="nil"/>
              <w:right w:val="nil"/>
            </w:tcBorders>
            <w:shd w:val="clear" w:color="000000" w:fill="FFFFFF"/>
            <w:noWrap/>
            <w:vAlign w:val="center"/>
            <w:hideMark/>
          </w:tcPr>
          <w:p w14:paraId="01CF7A13"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16.9</w:t>
            </w:r>
          </w:p>
        </w:tc>
        <w:tc>
          <w:tcPr>
            <w:tcW w:w="465" w:type="pct"/>
            <w:tcBorders>
              <w:top w:val="nil"/>
              <w:left w:val="nil"/>
              <w:bottom w:val="nil"/>
              <w:right w:val="nil"/>
            </w:tcBorders>
            <w:shd w:val="clear" w:color="000000" w:fill="FFFFFF"/>
            <w:noWrap/>
            <w:vAlign w:val="center"/>
            <w:hideMark/>
          </w:tcPr>
          <w:p w14:paraId="0F8ACCEC"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18.0</w:t>
            </w:r>
          </w:p>
        </w:tc>
        <w:tc>
          <w:tcPr>
            <w:tcW w:w="465" w:type="pct"/>
            <w:tcBorders>
              <w:top w:val="nil"/>
              <w:left w:val="nil"/>
              <w:bottom w:val="nil"/>
              <w:right w:val="nil"/>
            </w:tcBorders>
            <w:shd w:val="clear" w:color="000000" w:fill="FFFFFF"/>
            <w:noWrap/>
            <w:vAlign w:val="center"/>
            <w:hideMark/>
          </w:tcPr>
          <w:p w14:paraId="5AE43F0B" w14:textId="77777777" w:rsidR="00BD14D8" w:rsidRPr="00120C89" w:rsidRDefault="00BD14D8" w:rsidP="00120C89">
            <w:pPr>
              <w:spacing w:after="0" w:line="240" w:lineRule="auto"/>
              <w:jc w:val="right"/>
              <w:rPr>
                <w:rFonts w:ascii="Arial" w:hAnsi="Arial" w:cs="Arial"/>
                <w:b/>
                <w:sz w:val="16"/>
                <w:szCs w:val="16"/>
              </w:rPr>
            </w:pPr>
            <w:r w:rsidRPr="00120C89">
              <w:rPr>
                <w:rFonts w:ascii="Arial" w:hAnsi="Arial" w:cs="Arial"/>
                <w:b/>
                <w:sz w:val="16"/>
                <w:szCs w:val="16"/>
              </w:rPr>
              <w:t>22.4</w:t>
            </w:r>
          </w:p>
        </w:tc>
        <w:tc>
          <w:tcPr>
            <w:tcW w:w="70" w:type="pct"/>
            <w:tcBorders>
              <w:top w:val="nil"/>
              <w:left w:val="nil"/>
              <w:bottom w:val="nil"/>
              <w:right w:val="nil"/>
            </w:tcBorders>
            <w:shd w:val="clear" w:color="auto" w:fill="auto"/>
            <w:noWrap/>
            <w:vAlign w:val="center"/>
            <w:hideMark/>
          </w:tcPr>
          <w:p w14:paraId="01537A84" w14:textId="77777777" w:rsidR="00BD14D8" w:rsidRPr="00120C89" w:rsidRDefault="00BD14D8" w:rsidP="00120C89">
            <w:pPr>
              <w:spacing w:after="0" w:line="240" w:lineRule="auto"/>
              <w:jc w:val="right"/>
              <w:rPr>
                <w:rFonts w:ascii="Arial" w:hAnsi="Arial" w:cs="Arial"/>
                <w:b/>
                <w:sz w:val="16"/>
                <w:szCs w:val="16"/>
              </w:rPr>
            </w:pPr>
          </w:p>
        </w:tc>
        <w:tc>
          <w:tcPr>
            <w:tcW w:w="473" w:type="pct"/>
            <w:tcBorders>
              <w:top w:val="nil"/>
              <w:left w:val="nil"/>
              <w:bottom w:val="nil"/>
              <w:right w:val="nil"/>
            </w:tcBorders>
            <w:shd w:val="clear" w:color="000000" w:fill="FFFFFF"/>
            <w:noWrap/>
            <w:vAlign w:val="center"/>
            <w:hideMark/>
          </w:tcPr>
          <w:p w14:paraId="7A8FD48B" w14:textId="64B4CD52" w:rsidR="00BD14D8" w:rsidRPr="00120C89" w:rsidRDefault="00BD14D8" w:rsidP="00120C89">
            <w:pPr>
              <w:spacing w:after="0" w:line="240" w:lineRule="auto"/>
              <w:jc w:val="right"/>
              <w:rPr>
                <w:rFonts w:ascii="Arial" w:hAnsi="Arial" w:cs="Arial"/>
                <w:b/>
                <w:sz w:val="16"/>
                <w:szCs w:val="16"/>
              </w:rPr>
            </w:pPr>
            <w:r>
              <w:rPr>
                <w:rFonts w:ascii="Arial" w:hAnsi="Arial" w:cs="Arial"/>
                <w:b/>
                <w:bCs/>
                <w:sz w:val="16"/>
                <w:szCs w:val="16"/>
              </w:rPr>
              <w:t xml:space="preserve">72.3 </w:t>
            </w:r>
          </w:p>
        </w:tc>
      </w:tr>
      <w:tr w:rsidR="00BD14D8" w:rsidRPr="00BD14D8" w14:paraId="23092BC9" w14:textId="77777777" w:rsidTr="00BD14D8">
        <w:trPr>
          <w:trHeight w:hRule="exact" w:val="225"/>
        </w:trPr>
        <w:tc>
          <w:tcPr>
            <w:tcW w:w="1590" w:type="pct"/>
            <w:tcBorders>
              <w:top w:val="nil"/>
              <w:left w:val="nil"/>
              <w:bottom w:val="single" w:sz="4" w:space="0" w:color="000000"/>
              <w:right w:val="nil"/>
            </w:tcBorders>
            <w:shd w:val="clear" w:color="000000" w:fill="FFFFFF"/>
            <w:noWrap/>
            <w:vAlign w:val="center"/>
            <w:hideMark/>
          </w:tcPr>
          <w:p w14:paraId="129A6579" w14:textId="77777777" w:rsidR="00BD14D8" w:rsidRPr="00120C89" w:rsidRDefault="00BD14D8" w:rsidP="00120C89">
            <w:pPr>
              <w:spacing w:after="0" w:line="240" w:lineRule="auto"/>
              <w:jc w:val="left"/>
              <w:rPr>
                <w:rFonts w:ascii="Arial" w:hAnsi="Arial" w:cs="Arial"/>
                <w:sz w:val="16"/>
                <w:szCs w:val="16"/>
              </w:rPr>
            </w:pPr>
            <w:r w:rsidRPr="00120C89">
              <w:rPr>
                <w:rFonts w:ascii="Arial" w:hAnsi="Arial" w:cs="Arial"/>
                <w:sz w:val="16"/>
                <w:szCs w:val="16"/>
              </w:rPr>
              <w:t>Per cent of GDP</w:t>
            </w:r>
          </w:p>
        </w:tc>
        <w:tc>
          <w:tcPr>
            <w:tcW w:w="473" w:type="pct"/>
            <w:tcBorders>
              <w:top w:val="nil"/>
              <w:left w:val="nil"/>
              <w:bottom w:val="single" w:sz="4" w:space="0" w:color="000000"/>
              <w:right w:val="nil"/>
            </w:tcBorders>
            <w:shd w:val="clear" w:color="000000" w:fill="FFFFFF"/>
            <w:noWrap/>
            <w:vAlign w:val="center"/>
            <w:hideMark/>
          </w:tcPr>
          <w:p w14:paraId="48337E0A"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0.7</w:t>
            </w:r>
          </w:p>
        </w:tc>
        <w:tc>
          <w:tcPr>
            <w:tcW w:w="70" w:type="pct"/>
            <w:tcBorders>
              <w:top w:val="nil"/>
              <w:left w:val="nil"/>
              <w:bottom w:val="single" w:sz="4" w:space="0" w:color="000000"/>
              <w:right w:val="nil"/>
            </w:tcBorders>
            <w:shd w:val="clear" w:color="000000" w:fill="FFFFFF"/>
            <w:noWrap/>
            <w:vAlign w:val="center"/>
            <w:hideMark/>
          </w:tcPr>
          <w:p w14:paraId="7A77307A"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 </w:t>
            </w:r>
          </w:p>
        </w:tc>
        <w:tc>
          <w:tcPr>
            <w:tcW w:w="465" w:type="pct"/>
            <w:tcBorders>
              <w:top w:val="nil"/>
              <w:left w:val="nil"/>
              <w:bottom w:val="single" w:sz="4" w:space="0" w:color="000000"/>
              <w:right w:val="nil"/>
            </w:tcBorders>
            <w:shd w:val="clear" w:color="000000" w:fill="FFFFFF"/>
            <w:noWrap/>
            <w:vAlign w:val="center"/>
            <w:hideMark/>
          </w:tcPr>
          <w:p w14:paraId="498BB946"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0.7</w:t>
            </w:r>
          </w:p>
        </w:tc>
        <w:tc>
          <w:tcPr>
            <w:tcW w:w="465" w:type="pct"/>
            <w:tcBorders>
              <w:top w:val="nil"/>
              <w:left w:val="nil"/>
              <w:bottom w:val="single" w:sz="4" w:space="0" w:color="000000"/>
              <w:right w:val="nil"/>
            </w:tcBorders>
            <w:shd w:val="clear" w:color="000000" w:fill="F2F9FC"/>
            <w:noWrap/>
            <w:vAlign w:val="center"/>
            <w:hideMark/>
          </w:tcPr>
          <w:p w14:paraId="104F7D23"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0.7</w:t>
            </w:r>
          </w:p>
        </w:tc>
        <w:tc>
          <w:tcPr>
            <w:tcW w:w="465" w:type="pct"/>
            <w:tcBorders>
              <w:top w:val="nil"/>
              <w:left w:val="nil"/>
              <w:bottom w:val="single" w:sz="4" w:space="0" w:color="000000"/>
              <w:right w:val="nil"/>
            </w:tcBorders>
            <w:shd w:val="clear" w:color="000000" w:fill="FFFFFF"/>
            <w:noWrap/>
            <w:vAlign w:val="center"/>
            <w:hideMark/>
          </w:tcPr>
          <w:p w14:paraId="54805EDC"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0.7</w:t>
            </w:r>
          </w:p>
        </w:tc>
        <w:tc>
          <w:tcPr>
            <w:tcW w:w="465" w:type="pct"/>
            <w:tcBorders>
              <w:top w:val="nil"/>
              <w:left w:val="nil"/>
              <w:bottom w:val="single" w:sz="4" w:space="0" w:color="000000"/>
              <w:right w:val="nil"/>
            </w:tcBorders>
            <w:shd w:val="clear" w:color="000000" w:fill="FFFFFF"/>
            <w:noWrap/>
            <w:vAlign w:val="center"/>
            <w:hideMark/>
          </w:tcPr>
          <w:p w14:paraId="5BC41222"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0.7</w:t>
            </w:r>
          </w:p>
        </w:tc>
        <w:tc>
          <w:tcPr>
            <w:tcW w:w="465" w:type="pct"/>
            <w:tcBorders>
              <w:top w:val="nil"/>
              <w:left w:val="nil"/>
              <w:bottom w:val="single" w:sz="4" w:space="0" w:color="000000"/>
              <w:right w:val="nil"/>
            </w:tcBorders>
            <w:shd w:val="clear" w:color="000000" w:fill="FFFFFF"/>
            <w:noWrap/>
            <w:vAlign w:val="center"/>
            <w:hideMark/>
          </w:tcPr>
          <w:p w14:paraId="0BF897FE" w14:textId="77777777" w:rsidR="00BD14D8" w:rsidRPr="00120C89" w:rsidRDefault="00BD14D8" w:rsidP="00120C89">
            <w:pPr>
              <w:spacing w:after="0" w:line="240" w:lineRule="auto"/>
              <w:jc w:val="right"/>
              <w:rPr>
                <w:rFonts w:ascii="Arial" w:hAnsi="Arial" w:cs="Arial"/>
                <w:sz w:val="16"/>
                <w:szCs w:val="16"/>
              </w:rPr>
            </w:pPr>
            <w:r w:rsidRPr="00120C89">
              <w:rPr>
                <w:rFonts w:ascii="Arial" w:hAnsi="Arial" w:cs="Arial"/>
                <w:sz w:val="16"/>
                <w:szCs w:val="16"/>
              </w:rPr>
              <w:t>0.9</w:t>
            </w:r>
          </w:p>
        </w:tc>
        <w:tc>
          <w:tcPr>
            <w:tcW w:w="70" w:type="pct"/>
            <w:tcBorders>
              <w:top w:val="nil"/>
              <w:left w:val="nil"/>
              <w:bottom w:val="single" w:sz="4" w:space="0" w:color="000000"/>
              <w:right w:val="nil"/>
            </w:tcBorders>
            <w:shd w:val="clear" w:color="auto" w:fill="auto"/>
            <w:noWrap/>
            <w:vAlign w:val="center"/>
            <w:hideMark/>
          </w:tcPr>
          <w:p w14:paraId="5AEBA57E" w14:textId="77777777" w:rsidR="00BD14D8" w:rsidRPr="00120C89" w:rsidRDefault="00BD14D8" w:rsidP="00120C89">
            <w:pPr>
              <w:spacing w:after="0" w:line="240" w:lineRule="auto"/>
              <w:jc w:val="left"/>
              <w:rPr>
                <w:rFonts w:ascii="Arial" w:hAnsi="Arial" w:cs="Arial"/>
                <w:sz w:val="16"/>
                <w:szCs w:val="16"/>
              </w:rPr>
            </w:pPr>
            <w:r w:rsidRPr="00120C89">
              <w:rPr>
                <w:rFonts w:ascii="Arial" w:hAnsi="Arial" w:cs="Arial"/>
                <w:sz w:val="16"/>
                <w:szCs w:val="16"/>
              </w:rPr>
              <w:t> </w:t>
            </w:r>
          </w:p>
        </w:tc>
        <w:tc>
          <w:tcPr>
            <w:tcW w:w="473" w:type="pct"/>
            <w:tcBorders>
              <w:top w:val="nil"/>
              <w:left w:val="nil"/>
              <w:bottom w:val="single" w:sz="4" w:space="0" w:color="000000"/>
              <w:right w:val="nil"/>
            </w:tcBorders>
            <w:shd w:val="clear" w:color="000000" w:fill="FFFFFF"/>
            <w:noWrap/>
            <w:vAlign w:val="center"/>
            <w:hideMark/>
          </w:tcPr>
          <w:p w14:paraId="1D38B1C9" w14:textId="77777777" w:rsidR="00BD14D8" w:rsidRPr="00120C89" w:rsidRDefault="00BD14D8" w:rsidP="00120C89">
            <w:pPr>
              <w:spacing w:after="0" w:line="240" w:lineRule="auto"/>
              <w:jc w:val="left"/>
              <w:rPr>
                <w:rFonts w:ascii="Arial" w:hAnsi="Arial" w:cs="Arial"/>
                <w:sz w:val="16"/>
                <w:szCs w:val="16"/>
              </w:rPr>
            </w:pPr>
            <w:r w:rsidRPr="00120C89">
              <w:rPr>
                <w:rFonts w:ascii="Arial" w:hAnsi="Arial" w:cs="Arial"/>
                <w:sz w:val="16"/>
                <w:szCs w:val="16"/>
              </w:rPr>
              <w:t> </w:t>
            </w:r>
          </w:p>
        </w:tc>
      </w:tr>
    </w:tbl>
    <w:p w14:paraId="26361983" w14:textId="358DE6DD" w:rsidR="00076460" w:rsidRPr="005D62DB" w:rsidRDefault="00076460" w:rsidP="00424761">
      <w:pPr>
        <w:pStyle w:val="ChartandTableFootnoteAlpha"/>
        <w:numPr>
          <w:ilvl w:val="0"/>
          <w:numId w:val="10"/>
        </w:numPr>
        <w:rPr>
          <w:color w:val="auto"/>
        </w:rPr>
      </w:pPr>
      <w:r w:rsidRPr="005D62DB">
        <w:rPr>
          <w:color w:val="auto"/>
        </w:rPr>
        <w:t>Total is equal to the sum of amounts from 2022</w:t>
      </w:r>
      <w:r w:rsidR="00660645">
        <w:rPr>
          <w:color w:val="auto"/>
        </w:rPr>
        <w:noBreakHyphen/>
      </w:r>
      <w:r w:rsidRPr="005D62DB">
        <w:rPr>
          <w:color w:val="auto"/>
        </w:rPr>
        <w:t>23 to 2025</w:t>
      </w:r>
      <w:r w:rsidR="00660645">
        <w:rPr>
          <w:color w:val="auto"/>
        </w:rPr>
        <w:noBreakHyphen/>
      </w:r>
      <w:r w:rsidRPr="005D62DB">
        <w:rPr>
          <w:color w:val="auto"/>
        </w:rPr>
        <w:t>26.</w:t>
      </w:r>
    </w:p>
    <w:p w14:paraId="047D8664" w14:textId="37D1DF87" w:rsidR="00076460" w:rsidRPr="00625155" w:rsidRDefault="00076460" w:rsidP="00424761">
      <w:pPr>
        <w:pStyle w:val="ChartandTableFootnoteAlpha"/>
        <w:numPr>
          <w:ilvl w:val="0"/>
          <w:numId w:val="10"/>
        </w:numPr>
        <w:rPr>
          <w:color w:val="auto"/>
        </w:rPr>
      </w:pPr>
      <w:r>
        <w:t>Equivalent to cash payments for operating activities, purchases of non</w:t>
      </w:r>
      <w:r w:rsidR="00660645">
        <w:noBreakHyphen/>
      </w:r>
      <w:r>
        <w:t xml:space="preserve">financial assets and net </w:t>
      </w:r>
      <w:r w:rsidR="008165AF">
        <w:t>cash flows from financing activities for</w:t>
      </w:r>
      <w:r>
        <w:t xml:space="preserve"> leases.</w:t>
      </w:r>
    </w:p>
    <w:p w14:paraId="5E996EF6" w14:textId="30F9105F" w:rsidR="00076460" w:rsidRPr="00625155" w:rsidRDefault="00076460" w:rsidP="00424761">
      <w:pPr>
        <w:pStyle w:val="ChartandTableFootnoteAlpha"/>
        <w:numPr>
          <w:ilvl w:val="0"/>
          <w:numId w:val="10"/>
        </w:numPr>
        <w:rPr>
          <w:color w:val="auto"/>
        </w:rPr>
      </w:pPr>
      <w:r w:rsidRPr="00625155">
        <w:rPr>
          <w:color w:val="auto"/>
        </w:rPr>
        <w:t xml:space="preserve">Gross debt measures the face value of Australian Government Securities (AGS) on issue. </w:t>
      </w:r>
    </w:p>
    <w:p w14:paraId="3F42BBE4" w14:textId="3A0A7BFF" w:rsidR="00076460" w:rsidRPr="00625155" w:rsidRDefault="00076460" w:rsidP="00424761">
      <w:pPr>
        <w:pStyle w:val="ChartandTableFootnoteAlpha"/>
        <w:numPr>
          <w:ilvl w:val="0"/>
          <w:numId w:val="10"/>
        </w:numPr>
        <w:rPr>
          <w:color w:val="auto"/>
        </w:rPr>
      </w:pPr>
      <w:r w:rsidRPr="00625155">
        <w:rPr>
          <w:color w:val="auto"/>
        </w:rPr>
        <w:t xml:space="preserve">Net debt is the sum of interest bearing liabilities (which includes AGS on issue measured at market value) less the sum of selected financial assets (cash and deposits, advances paid and investments, loans and placements). </w:t>
      </w:r>
    </w:p>
    <w:p w14:paraId="6C82BF0E" w14:textId="19718AAC" w:rsidR="00076460" w:rsidRPr="00625155" w:rsidRDefault="00076460" w:rsidP="00424761">
      <w:pPr>
        <w:pStyle w:val="ChartandTableFootnoteAlpha"/>
        <w:numPr>
          <w:ilvl w:val="0"/>
          <w:numId w:val="10"/>
        </w:numPr>
        <w:spacing w:after="160" w:line="259" w:lineRule="auto"/>
        <w:jc w:val="left"/>
      </w:pPr>
      <w:r w:rsidRPr="00625155">
        <w:rPr>
          <w:color w:val="auto"/>
        </w:rPr>
        <w:t>Net interest payments are equal to the difference between interest payments and interest receipts. The increase in 2025</w:t>
      </w:r>
      <w:r w:rsidR="00660645">
        <w:rPr>
          <w:color w:val="auto"/>
        </w:rPr>
        <w:noBreakHyphen/>
      </w:r>
      <w:r w:rsidRPr="00625155">
        <w:rPr>
          <w:color w:val="auto"/>
        </w:rPr>
        <w:t xml:space="preserve">26 primarily reflects a Treasury Indexed Bond maturing in that year (details can be found in </w:t>
      </w:r>
      <w:r w:rsidRPr="005D62DB">
        <w:rPr>
          <w:i/>
          <w:iCs/>
          <w:color w:val="auto"/>
        </w:rPr>
        <w:t>2022</w:t>
      </w:r>
      <w:r w:rsidR="00660645">
        <w:rPr>
          <w:i/>
          <w:iCs/>
          <w:color w:val="auto"/>
        </w:rPr>
        <w:noBreakHyphen/>
      </w:r>
      <w:r w:rsidRPr="005D62DB">
        <w:rPr>
          <w:i/>
          <w:iCs/>
          <w:color w:val="auto"/>
        </w:rPr>
        <w:t>23 Budget Statement 6: Debt Statement</w:t>
      </w:r>
      <w:r w:rsidRPr="00625155">
        <w:rPr>
          <w:color w:val="auto"/>
        </w:rPr>
        <w:t>).</w:t>
      </w:r>
      <w:r w:rsidR="003A1EA3" w:rsidRPr="00F03213">
        <w:t xml:space="preserve"> </w:t>
      </w:r>
      <w:r w:rsidRPr="00F03213">
        <w:br w:type="page"/>
      </w:r>
    </w:p>
    <w:p w14:paraId="65BBCE3C" w14:textId="4988FAC8" w:rsidR="00076460" w:rsidRPr="00625155" w:rsidRDefault="00076460" w:rsidP="00E449DC">
      <w:pPr>
        <w:pStyle w:val="Heading3"/>
      </w:pPr>
      <w:bookmarkStart w:id="41" w:name="_Toc100843270"/>
      <w:bookmarkStart w:id="42" w:name="_Toc101254457"/>
      <w:bookmarkStart w:id="43" w:name="_Toc101277289"/>
      <w:bookmarkStart w:id="44" w:name="_Toc101281542"/>
      <w:r w:rsidRPr="00625155">
        <w:t>Underlying cash balance estimates</w:t>
      </w:r>
      <w:bookmarkEnd w:id="41"/>
      <w:bookmarkEnd w:id="42"/>
      <w:bookmarkEnd w:id="43"/>
      <w:bookmarkEnd w:id="44"/>
      <w:r w:rsidRPr="00625155">
        <w:t xml:space="preserve"> </w:t>
      </w:r>
    </w:p>
    <w:p w14:paraId="70E3BE91" w14:textId="77777777" w:rsidR="00076460" w:rsidRPr="00625155" w:rsidRDefault="00076460" w:rsidP="00E449DC">
      <w:pPr>
        <w:pStyle w:val="ChartHeading"/>
      </w:pPr>
    </w:p>
    <w:p w14:paraId="6C12BAA8" w14:textId="6FB085B8" w:rsidR="00076460" w:rsidRPr="00625155" w:rsidRDefault="00076460" w:rsidP="00E449DC">
      <w:r w:rsidRPr="00625155">
        <w:t xml:space="preserve">Table </w:t>
      </w:r>
      <w:r w:rsidR="007E260A">
        <w:t>4</w:t>
      </w:r>
      <w:r w:rsidRPr="00625155">
        <w:t xml:space="preserve"> provides a reconciliation of the underlying cash balance estimates from the Budget to the PEFO. </w:t>
      </w:r>
    </w:p>
    <w:p w14:paraId="5C029CFE" w14:textId="4A326CEE" w:rsidR="00E36C92" w:rsidRDefault="00076460" w:rsidP="0008340F">
      <w:pPr>
        <w:pStyle w:val="TableHeading"/>
        <w:rPr>
          <w:rFonts w:asciiTheme="minorHAnsi" w:eastAsiaTheme="minorHAnsi" w:hAnsiTheme="minorHAnsi" w:cstheme="minorBidi"/>
          <w:sz w:val="22"/>
          <w:szCs w:val="22"/>
          <w:lang w:eastAsia="en-US"/>
        </w:rPr>
      </w:pPr>
      <w:r w:rsidRPr="00EF501A">
        <w:t xml:space="preserve">Table </w:t>
      </w:r>
      <w:r w:rsidR="007E260A" w:rsidRPr="00EF501A">
        <w:t>4</w:t>
      </w:r>
      <w:r w:rsidRPr="003019CD">
        <w:t xml:space="preserve">: Reconciliation of </w:t>
      </w:r>
      <w:r w:rsidR="00B508FE" w:rsidRPr="00B508FE">
        <w:t xml:space="preserve">the general government sector </w:t>
      </w:r>
      <w:r w:rsidRPr="003019CD">
        <w:t>underlying cash balance estimates</w:t>
      </w:r>
    </w:p>
    <w:tbl>
      <w:tblPr>
        <w:tblW w:w="5000" w:type="pct"/>
        <w:tblCellMar>
          <w:left w:w="0" w:type="dxa"/>
          <w:right w:w="28" w:type="dxa"/>
        </w:tblCellMar>
        <w:tblLook w:val="04A0" w:firstRow="1" w:lastRow="0" w:firstColumn="1" w:lastColumn="0" w:noHBand="0" w:noVBand="1"/>
      </w:tblPr>
      <w:tblGrid>
        <w:gridCol w:w="3088"/>
        <w:gridCol w:w="738"/>
        <w:gridCol w:w="758"/>
        <w:gridCol w:w="759"/>
        <w:gridCol w:w="759"/>
        <w:gridCol w:w="759"/>
        <w:gridCol w:w="73"/>
        <w:gridCol w:w="776"/>
      </w:tblGrid>
      <w:tr w:rsidR="00E36C92" w:rsidRPr="00E36C92" w14:paraId="01EB2D42" w14:textId="77777777" w:rsidTr="0008340F">
        <w:trPr>
          <w:trHeight w:hRule="exact" w:val="225"/>
        </w:trPr>
        <w:tc>
          <w:tcPr>
            <w:tcW w:w="2003" w:type="pct"/>
            <w:tcBorders>
              <w:top w:val="single" w:sz="4" w:space="0" w:color="000000"/>
              <w:left w:val="nil"/>
              <w:bottom w:val="nil"/>
              <w:right w:val="nil"/>
            </w:tcBorders>
            <w:shd w:val="clear" w:color="000000" w:fill="FFFFFF"/>
            <w:noWrap/>
            <w:vAlign w:val="bottom"/>
            <w:hideMark/>
          </w:tcPr>
          <w:p w14:paraId="056E60DC" w14:textId="28C52F1D" w:rsidR="00E36C92" w:rsidRPr="00E36C92" w:rsidRDefault="00E36C92" w:rsidP="0008340F">
            <w:pPr>
              <w:spacing w:after="0" w:line="240" w:lineRule="auto"/>
              <w:jc w:val="left"/>
              <w:rPr>
                <w:rFonts w:ascii="Calibri" w:hAnsi="Calibri" w:cs="Calibri"/>
                <w:color w:val="000000"/>
                <w:sz w:val="22"/>
                <w:szCs w:val="22"/>
              </w:rPr>
            </w:pPr>
            <w:r w:rsidRPr="00E36C92">
              <w:rPr>
                <w:rFonts w:ascii="Calibri" w:hAnsi="Calibri" w:cs="Calibri"/>
                <w:color w:val="000000"/>
                <w:sz w:val="22"/>
                <w:szCs w:val="22"/>
              </w:rPr>
              <w:t> </w:t>
            </w:r>
          </w:p>
        </w:tc>
        <w:tc>
          <w:tcPr>
            <w:tcW w:w="2447" w:type="pct"/>
            <w:gridSpan w:val="5"/>
            <w:tcBorders>
              <w:top w:val="single" w:sz="4" w:space="0" w:color="000000"/>
              <w:left w:val="nil"/>
              <w:bottom w:val="nil"/>
              <w:right w:val="nil"/>
            </w:tcBorders>
            <w:shd w:val="clear" w:color="000000" w:fill="FFFFFF"/>
            <w:noWrap/>
            <w:vAlign w:val="center"/>
            <w:hideMark/>
          </w:tcPr>
          <w:p w14:paraId="76868EB1" w14:textId="77777777" w:rsidR="00E36C92" w:rsidRPr="0008340F" w:rsidRDefault="00E36C92" w:rsidP="0008340F">
            <w:pPr>
              <w:spacing w:after="0" w:line="240" w:lineRule="auto"/>
              <w:jc w:val="center"/>
              <w:rPr>
                <w:rFonts w:ascii="Arial" w:hAnsi="Arial" w:cs="Arial"/>
                <w:sz w:val="16"/>
                <w:szCs w:val="16"/>
              </w:rPr>
            </w:pPr>
            <w:r w:rsidRPr="0008340F">
              <w:rPr>
                <w:rFonts w:ascii="Arial" w:hAnsi="Arial" w:cs="Arial"/>
                <w:sz w:val="16"/>
                <w:szCs w:val="16"/>
              </w:rPr>
              <w:t>Estimates</w:t>
            </w:r>
          </w:p>
        </w:tc>
        <w:tc>
          <w:tcPr>
            <w:tcW w:w="47" w:type="pct"/>
            <w:tcBorders>
              <w:top w:val="single" w:sz="4" w:space="0" w:color="000000"/>
              <w:left w:val="nil"/>
              <w:bottom w:val="nil"/>
              <w:right w:val="nil"/>
            </w:tcBorders>
            <w:shd w:val="clear" w:color="000000" w:fill="FFFFFF"/>
            <w:noWrap/>
            <w:vAlign w:val="center"/>
            <w:hideMark/>
          </w:tcPr>
          <w:p w14:paraId="231D140A"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503" w:type="pct"/>
            <w:tcBorders>
              <w:top w:val="single" w:sz="4" w:space="0" w:color="000000"/>
              <w:left w:val="nil"/>
              <w:bottom w:val="nil"/>
              <w:right w:val="nil"/>
            </w:tcBorders>
            <w:shd w:val="clear" w:color="000000" w:fill="FFFFFF"/>
            <w:noWrap/>
            <w:vAlign w:val="center"/>
            <w:hideMark/>
          </w:tcPr>
          <w:p w14:paraId="2D96814D"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E36C92" w:rsidRPr="00E36C92" w14:paraId="12D448F2" w14:textId="77777777" w:rsidTr="00E36C92">
        <w:trPr>
          <w:trHeight w:hRule="exact" w:val="225"/>
        </w:trPr>
        <w:tc>
          <w:tcPr>
            <w:tcW w:w="2003" w:type="pct"/>
            <w:tcBorders>
              <w:top w:val="nil"/>
              <w:left w:val="nil"/>
              <w:bottom w:val="nil"/>
              <w:right w:val="nil"/>
            </w:tcBorders>
            <w:shd w:val="clear" w:color="000000" w:fill="FFFFFF"/>
            <w:noWrap/>
            <w:vAlign w:val="bottom"/>
            <w:hideMark/>
          </w:tcPr>
          <w:p w14:paraId="3633FEFD" w14:textId="5A434A1B"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479" w:type="pct"/>
            <w:tcBorders>
              <w:top w:val="single" w:sz="4" w:space="0" w:color="auto"/>
              <w:left w:val="nil"/>
              <w:bottom w:val="nil"/>
              <w:right w:val="nil"/>
            </w:tcBorders>
            <w:shd w:val="clear" w:color="000000" w:fill="FFFFFF"/>
            <w:noWrap/>
            <w:vAlign w:val="center"/>
            <w:hideMark/>
          </w:tcPr>
          <w:p w14:paraId="03CA0ABB" w14:textId="0127860A"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2021</w:t>
            </w:r>
            <w:r w:rsidR="00660645">
              <w:rPr>
                <w:rFonts w:ascii="Arial" w:hAnsi="Arial" w:cs="Arial"/>
                <w:sz w:val="16"/>
                <w:szCs w:val="16"/>
              </w:rPr>
              <w:noBreakHyphen/>
            </w:r>
            <w:r w:rsidRPr="0008340F">
              <w:rPr>
                <w:rFonts w:ascii="Arial" w:hAnsi="Arial" w:cs="Arial"/>
                <w:sz w:val="16"/>
                <w:szCs w:val="16"/>
              </w:rPr>
              <w:t>22</w:t>
            </w:r>
          </w:p>
        </w:tc>
        <w:tc>
          <w:tcPr>
            <w:tcW w:w="492" w:type="pct"/>
            <w:tcBorders>
              <w:top w:val="single" w:sz="4" w:space="0" w:color="auto"/>
              <w:left w:val="nil"/>
              <w:bottom w:val="nil"/>
              <w:right w:val="nil"/>
            </w:tcBorders>
            <w:shd w:val="clear" w:color="000000" w:fill="F2F9FC"/>
            <w:noWrap/>
            <w:vAlign w:val="center"/>
            <w:hideMark/>
          </w:tcPr>
          <w:p w14:paraId="790A51BE" w14:textId="17EA8191"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2022</w:t>
            </w:r>
            <w:r w:rsidR="00660645">
              <w:rPr>
                <w:rFonts w:ascii="Arial" w:hAnsi="Arial" w:cs="Arial"/>
                <w:sz w:val="16"/>
                <w:szCs w:val="16"/>
              </w:rPr>
              <w:noBreakHyphen/>
            </w:r>
            <w:r w:rsidRPr="0008340F">
              <w:rPr>
                <w:rFonts w:ascii="Arial" w:hAnsi="Arial" w:cs="Arial"/>
                <w:sz w:val="16"/>
                <w:szCs w:val="16"/>
              </w:rPr>
              <w:t>23</w:t>
            </w:r>
          </w:p>
        </w:tc>
        <w:tc>
          <w:tcPr>
            <w:tcW w:w="492" w:type="pct"/>
            <w:tcBorders>
              <w:top w:val="single" w:sz="4" w:space="0" w:color="auto"/>
              <w:left w:val="nil"/>
              <w:bottom w:val="nil"/>
              <w:right w:val="nil"/>
            </w:tcBorders>
            <w:shd w:val="clear" w:color="000000" w:fill="FFFFFF"/>
            <w:noWrap/>
            <w:vAlign w:val="center"/>
            <w:hideMark/>
          </w:tcPr>
          <w:p w14:paraId="1BEECD80" w14:textId="3CF10A10"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2023</w:t>
            </w:r>
            <w:r w:rsidR="00660645">
              <w:rPr>
                <w:rFonts w:ascii="Arial" w:hAnsi="Arial" w:cs="Arial"/>
                <w:sz w:val="16"/>
                <w:szCs w:val="16"/>
              </w:rPr>
              <w:noBreakHyphen/>
            </w:r>
            <w:r w:rsidRPr="0008340F">
              <w:rPr>
                <w:rFonts w:ascii="Arial" w:hAnsi="Arial" w:cs="Arial"/>
                <w:sz w:val="16"/>
                <w:szCs w:val="16"/>
              </w:rPr>
              <w:t>24</w:t>
            </w:r>
          </w:p>
        </w:tc>
        <w:tc>
          <w:tcPr>
            <w:tcW w:w="492" w:type="pct"/>
            <w:tcBorders>
              <w:top w:val="single" w:sz="4" w:space="0" w:color="auto"/>
              <w:left w:val="nil"/>
              <w:bottom w:val="nil"/>
              <w:right w:val="nil"/>
            </w:tcBorders>
            <w:shd w:val="clear" w:color="000000" w:fill="FFFFFF"/>
            <w:noWrap/>
            <w:vAlign w:val="center"/>
            <w:hideMark/>
          </w:tcPr>
          <w:p w14:paraId="334E7B7F" w14:textId="7359BB9E"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2024</w:t>
            </w:r>
            <w:r w:rsidR="00660645">
              <w:rPr>
                <w:rFonts w:ascii="Arial" w:hAnsi="Arial" w:cs="Arial"/>
                <w:sz w:val="16"/>
                <w:szCs w:val="16"/>
              </w:rPr>
              <w:noBreakHyphen/>
            </w:r>
            <w:r w:rsidRPr="0008340F">
              <w:rPr>
                <w:rFonts w:ascii="Arial" w:hAnsi="Arial" w:cs="Arial"/>
                <w:sz w:val="16"/>
                <w:szCs w:val="16"/>
              </w:rPr>
              <w:t>25</w:t>
            </w:r>
          </w:p>
        </w:tc>
        <w:tc>
          <w:tcPr>
            <w:tcW w:w="492" w:type="pct"/>
            <w:tcBorders>
              <w:top w:val="single" w:sz="4" w:space="0" w:color="auto"/>
              <w:left w:val="nil"/>
              <w:bottom w:val="nil"/>
              <w:right w:val="nil"/>
            </w:tcBorders>
            <w:shd w:val="clear" w:color="000000" w:fill="FFFFFF"/>
            <w:noWrap/>
            <w:vAlign w:val="center"/>
            <w:hideMark/>
          </w:tcPr>
          <w:p w14:paraId="64E4825D" w14:textId="3D6B5FEB"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2025</w:t>
            </w:r>
            <w:r w:rsidR="00660645">
              <w:rPr>
                <w:rFonts w:ascii="Arial" w:hAnsi="Arial" w:cs="Arial"/>
                <w:sz w:val="16"/>
                <w:szCs w:val="16"/>
              </w:rPr>
              <w:noBreakHyphen/>
            </w:r>
            <w:r w:rsidRPr="0008340F">
              <w:rPr>
                <w:rFonts w:ascii="Arial" w:hAnsi="Arial" w:cs="Arial"/>
                <w:sz w:val="16"/>
                <w:szCs w:val="16"/>
              </w:rPr>
              <w:t>26</w:t>
            </w:r>
          </w:p>
        </w:tc>
        <w:tc>
          <w:tcPr>
            <w:tcW w:w="47" w:type="pct"/>
            <w:tcBorders>
              <w:top w:val="nil"/>
              <w:left w:val="nil"/>
              <w:bottom w:val="nil"/>
              <w:right w:val="nil"/>
            </w:tcBorders>
            <w:shd w:val="clear" w:color="000000" w:fill="FFFFFF"/>
            <w:noWrap/>
            <w:vAlign w:val="center"/>
            <w:hideMark/>
          </w:tcPr>
          <w:p w14:paraId="2D6A11B6" w14:textId="627ED030"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single" w:sz="4" w:space="0" w:color="auto"/>
              <w:left w:val="nil"/>
              <w:bottom w:val="nil"/>
              <w:right w:val="nil"/>
            </w:tcBorders>
            <w:shd w:val="clear" w:color="000000" w:fill="FFFFFF"/>
            <w:noWrap/>
            <w:vAlign w:val="center"/>
            <w:hideMark/>
          </w:tcPr>
          <w:p w14:paraId="59364A7B"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Total(a)</w:t>
            </w:r>
          </w:p>
        </w:tc>
      </w:tr>
      <w:tr w:rsidR="00E36C92" w:rsidRPr="00E36C92" w14:paraId="0949F430"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74FF33D8"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479" w:type="pct"/>
            <w:tcBorders>
              <w:top w:val="nil"/>
              <w:left w:val="nil"/>
              <w:bottom w:val="single" w:sz="4" w:space="0" w:color="000000"/>
              <w:right w:val="nil"/>
            </w:tcBorders>
            <w:shd w:val="clear" w:color="000000" w:fill="FFFFFF"/>
            <w:noWrap/>
            <w:vAlign w:val="center"/>
            <w:hideMark/>
          </w:tcPr>
          <w:p w14:paraId="7D74CDB1"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c>
          <w:tcPr>
            <w:tcW w:w="492" w:type="pct"/>
            <w:tcBorders>
              <w:top w:val="nil"/>
              <w:left w:val="nil"/>
              <w:bottom w:val="single" w:sz="4" w:space="0" w:color="000000"/>
              <w:right w:val="nil"/>
            </w:tcBorders>
            <w:shd w:val="clear" w:color="000000" w:fill="F2F9FC"/>
            <w:noWrap/>
            <w:vAlign w:val="center"/>
            <w:hideMark/>
          </w:tcPr>
          <w:p w14:paraId="0503F29F"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c>
          <w:tcPr>
            <w:tcW w:w="492" w:type="pct"/>
            <w:tcBorders>
              <w:top w:val="nil"/>
              <w:left w:val="nil"/>
              <w:bottom w:val="single" w:sz="4" w:space="0" w:color="000000"/>
              <w:right w:val="nil"/>
            </w:tcBorders>
            <w:shd w:val="clear" w:color="000000" w:fill="FFFFFF"/>
            <w:noWrap/>
            <w:vAlign w:val="center"/>
            <w:hideMark/>
          </w:tcPr>
          <w:p w14:paraId="037F5FDC"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c>
          <w:tcPr>
            <w:tcW w:w="492" w:type="pct"/>
            <w:tcBorders>
              <w:top w:val="nil"/>
              <w:left w:val="nil"/>
              <w:bottom w:val="single" w:sz="4" w:space="0" w:color="000000"/>
              <w:right w:val="nil"/>
            </w:tcBorders>
            <w:shd w:val="clear" w:color="000000" w:fill="FFFFFF"/>
            <w:noWrap/>
            <w:vAlign w:val="center"/>
            <w:hideMark/>
          </w:tcPr>
          <w:p w14:paraId="488D20D6"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c>
          <w:tcPr>
            <w:tcW w:w="492" w:type="pct"/>
            <w:tcBorders>
              <w:top w:val="nil"/>
              <w:left w:val="nil"/>
              <w:bottom w:val="single" w:sz="4" w:space="0" w:color="000000"/>
              <w:right w:val="nil"/>
            </w:tcBorders>
            <w:shd w:val="clear" w:color="000000" w:fill="FFFFFF"/>
            <w:noWrap/>
            <w:vAlign w:val="center"/>
            <w:hideMark/>
          </w:tcPr>
          <w:p w14:paraId="69318822"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c>
          <w:tcPr>
            <w:tcW w:w="47" w:type="pct"/>
            <w:tcBorders>
              <w:top w:val="nil"/>
              <w:left w:val="nil"/>
              <w:bottom w:val="nil"/>
              <w:right w:val="nil"/>
            </w:tcBorders>
            <w:shd w:val="clear" w:color="000000" w:fill="FFFFFF"/>
            <w:noWrap/>
            <w:vAlign w:val="center"/>
            <w:hideMark/>
          </w:tcPr>
          <w:p w14:paraId="2C406AC0"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single" w:sz="4" w:space="0" w:color="000000"/>
              <w:right w:val="nil"/>
            </w:tcBorders>
            <w:shd w:val="clear" w:color="000000" w:fill="FFFFFF"/>
            <w:noWrap/>
            <w:vAlign w:val="center"/>
            <w:hideMark/>
          </w:tcPr>
          <w:p w14:paraId="3E4C1EE4"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$m</w:t>
            </w:r>
          </w:p>
        </w:tc>
      </w:tr>
      <w:tr w:rsidR="00347031" w:rsidRPr="00E36C92" w14:paraId="5E2B3DE2"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7529835E" w14:textId="7D6D8E31"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2022</w:t>
            </w:r>
            <w:r w:rsidR="00660645">
              <w:rPr>
                <w:rFonts w:ascii="Arial" w:hAnsi="Arial" w:cs="Arial"/>
                <w:b/>
                <w:bCs/>
                <w:sz w:val="16"/>
                <w:szCs w:val="16"/>
              </w:rPr>
              <w:noBreakHyphen/>
            </w:r>
            <w:r w:rsidRPr="0008340F">
              <w:rPr>
                <w:rFonts w:ascii="Arial" w:hAnsi="Arial" w:cs="Arial"/>
                <w:b/>
                <w:bCs/>
                <w:sz w:val="16"/>
                <w:szCs w:val="16"/>
              </w:rPr>
              <w:t>23 Budget underlying cash</w:t>
            </w:r>
          </w:p>
        </w:tc>
        <w:tc>
          <w:tcPr>
            <w:tcW w:w="479" w:type="pct"/>
            <w:tcBorders>
              <w:top w:val="nil"/>
              <w:left w:val="nil"/>
              <w:bottom w:val="nil"/>
              <w:right w:val="nil"/>
            </w:tcBorders>
            <w:shd w:val="clear" w:color="000000" w:fill="FFFFFF"/>
            <w:noWrap/>
            <w:vAlign w:val="center"/>
            <w:hideMark/>
          </w:tcPr>
          <w:p w14:paraId="54A19440"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2F9FC"/>
            <w:noWrap/>
            <w:vAlign w:val="center"/>
            <w:hideMark/>
          </w:tcPr>
          <w:p w14:paraId="55C132B1" w14:textId="3605AE3C"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6FC2892A"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1514FA6F"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60D836A2"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7" w:type="pct"/>
            <w:tcBorders>
              <w:top w:val="nil"/>
              <w:left w:val="nil"/>
              <w:bottom w:val="nil"/>
              <w:right w:val="nil"/>
            </w:tcBorders>
            <w:shd w:val="clear" w:color="000000" w:fill="FFFFFF"/>
            <w:noWrap/>
            <w:vAlign w:val="center"/>
            <w:hideMark/>
          </w:tcPr>
          <w:p w14:paraId="61B4DB89"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72570C2E"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r>
      <w:tr w:rsidR="00D43F09" w:rsidRPr="00E36C92" w14:paraId="07D387A6"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6156DB45" w14:textId="77777777" w:rsidR="00E36C92" w:rsidRPr="0008340F" w:rsidRDefault="00E36C92" w:rsidP="0008340F">
            <w:pPr>
              <w:spacing w:after="0" w:line="240" w:lineRule="auto"/>
              <w:ind w:left="170"/>
              <w:jc w:val="left"/>
              <w:rPr>
                <w:rFonts w:ascii="Arial" w:hAnsi="Arial" w:cs="Arial"/>
                <w:b/>
                <w:bCs/>
                <w:sz w:val="16"/>
                <w:szCs w:val="16"/>
              </w:rPr>
            </w:pPr>
            <w:r w:rsidRPr="0008340F">
              <w:rPr>
                <w:rFonts w:ascii="Arial" w:hAnsi="Arial" w:cs="Arial"/>
                <w:b/>
                <w:bCs/>
                <w:sz w:val="16"/>
                <w:szCs w:val="16"/>
              </w:rPr>
              <w:t>balance</w:t>
            </w:r>
          </w:p>
        </w:tc>
        <w:tc>
          <w:tcPr>
            <w:tcW w:w="479" w:type="pct"/>
            <w:tcBorders>
              <w:top w:val="nil"/>
              <w:left w:val="nil"/>
              <w:bottom w:val="nil"/>
              <w:right w:val="nil"/>
            </w:tcBorders>
            <w:shd w:val="clear" w:color="000000" w:fill="FFFFFF"/>
            <w:noWrap/>
            <w:vAlign w:val="bottom"/>
            <w:hideMark/>
          </w:tcPr>
          <w:p w14:paraId="5C26D901" w14:textId="43DD1F63"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79,821</w:t>
            </w:r>
          </w:p>
        </w:tc>
        <w:tc>
          <w:tcPr>
            <w:tcW w:w="492" w:type="pct"/>
            <w:tcBorders>
              <w:top w:val="nil"/>
              <w:left w:val="nil"/>
              <w:bottom w:val="nil"/>
              <w:right w:val="nil"/>
            </w:tcBorders>
            <w:shd w:val="clear" w:color="000000" w:fill="F2F9FC"/>
            <w:noWrap/>
            <w:vAlign w:val="bottom"/>
            <w:hideMark/>
          </w:tcPr>
          <w:p w14:paraId="595FEDA1" w14:textId="37A3B24E"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77,961</w:t>
            </w:r>
          </w:p>
        </w:tc>
        <w:tc>
          <w:tcPr>
            <w:tcW w:w="492" w:type="pct"/>
            <w:tcBorders>
              <w:top w:val="nil"/>
              <w:left w:val="nil"/>
              <w:bottom w:val="nil"/>
              <w:right w:val="nil"/>
            </w:tcBorders>
            <w:shd w:val="clear" w:color="000000" w:fill="FFFFFF"/>
            <w:noWrap/>
            <w:vAlign w:val="bottom"/>
            <w:hideMark/>
          </w:tcPr>
          <w:p w14:paraId="502C1367" w14:textId="6E004450"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56,532</w:t>
            </w:r>
          </w:p>
        </w:tc>
        <w:tc>
          <w:tcPr>
            <w:tcW w:w="492" w:type="pct"/>
            <w:tcBorders>
              <w:top w:val="nil"/>
              <w:left w:val="nil"/>
              <w:bottom w:val="nil"/>
              <w:right w:val="nil"/>
            </w:tcBorders>
            <w:shd w:val="clear" w:color="000000" w:fill="FFFFFF"/>
            <w:noWrap/>
            <w:vAlign w:val="bottom"/>
            <w:hideMark/>
          </w:tcPr>
          <w:p w14:paraId="45F12F0F" w14:textId="7264EF01"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47,108</w:t>
            </w:r>
          </w:p>
        </w:tc>
        <w:tc>
          <w:tcPr>
            <w:tcW w:w="492" w:type="pct"/>
            <w:tcBorders>
              <w:top w:val="nil"/>
              <w:left w:val="nil"/>
              <w:bottom w:val="nil"/>
              <w:right w:val="nil"/>
            </w:tcBorders>
            <w:shd w:val="clear" w:color="000000" w:fill="FFFFFF"/>
            <w:noWrap/>
            <w:vAlign w:val="bottom"/>
            <w:hideMark/>
          </w:tcPr>
          <w:p w14:paraId="50A727B8" w14:textId="05B0CA7F"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43,068</w:t>
            </w:r>
          </w:p>
        </w:tc>
        <w:tc>
          <w:tcPr>
            <w:tcW w:w="47" w:type="pct"/>
            <w:tcBorders>
              <w:top w:val="nil"/>
              <w:left w:val="nil"/>
              <w:bottom w:val="nil"/>
              <w:right w:val="nil"/>
            </w:tcBorders>
            <w:shd w:val="clear" w:color="000000" w:fill="FFFFFF"/>
            <w:noWrap/>
            <w:vAlign w:val="center"/>
            <w:hideMark/>
          </w:tcPr>
          <w:p w14:paraId="37AB8C72"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4B37B9A5" w14:textId="60B0E6EF"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224,670</w:t>
            </w:r>
          </w:p>
        </w:tc>
      </w:tr>
      <w:tr w:rsidR="00D43F09" w:rsidRPr="00E36C92" w14:paraId="41EC07FF"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458DEB9A"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Per cent of GDP</w:t>
            </w:r>
          </w:p>
        </w:tc>
        <w:tc>
          <w:tcPr>
            <w:tcW w:w="479" w:type="pct"/>
            <w:tcBorders>
              <w:top w:val="nil"/>
              <w:left w:val="nil"/>
              <w:bottom w:val="nil"/>
              <w:right w:val="nil"/>
            </w:tcBorders>
            <w:shd w:val="clear" w:color="000000" w:fill="FFFFFF"/>
            <w:noWrap/>
            <w:vAlign w:val="center"/>
            <w:hideMark/>
          </w:tcPr>
          <w:p w14:paraId="70945C38" w14:textId="581551A3"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3.5</w:t>
            </w:r>
          </w:p>
        </w:tc>
        <w:tc>
          <w:tcPr>
            <w:tcW w:w="492" w:type="pct"/>
            <w:tcBorders>
              <w:top w:val="nil"/>
              <w:left w:val="nil"/>
              <w:bottom w:val="nil"/>
              <w:right w:val="nil"/>
            </w:tcBorders>
            <w:shd w:val="clear" w:color="000000" w:fill="F2F9FC"/>
            <w:noWrap/>
            <w:vAlign w:val="center"/>
            <w:hideMark/>
          </w:tcPr>
          <w:p w14:paraId="06A2B20E" w14:textId="5850A4DB"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3.4</w:t>
            </w:r>
          </w:p>
        </w:tc>
        <w:tc>
          <w:tcPr>
            <w:tcW w:w="492" w:type="pct"/>
            <w:tcBorders>
              <w:top w:val="nil"/>
              <w:left w:val="nil"/>
              <w:bottom w:val="nil"/>
              <w:right w:val="nil"/>
            </w:tcBorders>
            <w:shd w:val="clear" w:color="000000" w:fill="FFFFFF"/>
            <w:noWrap/>
            <w:vAlign w:val="center"/>
            <w:hideMark/>
          </w:tcPr>
          <w:p w14:paraId="2A95712B" w14:textId="7F883191"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2.4</w:t>
            </w:r>
          </w:p>
        </w:tc>
        <w:tc>
          <w:tcPr>
            <w:tcW w:w="492" w:type="pct"/>
            <w:tcBorders>
              <w:top w:val="nil"/>
              <w:left w:val="nil"/>
              <w:bottom w:val="nil"/>
              <w:right w:val="nil"/>
            </w:tcBorders>
            <w:shd w:val="clear" w:color="000000" w:fill="FFFFFF"/>
            <w:noWrap/>
            <w:vAlign w:val="center"/>
            <w:hideMark/>
          </w:tcPr>
          <w:p w14:paraId="42234D4C" w14:textId="5AE29BBA"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1.9</w:t>
            </w:r>
          </w:p>
        </w:tc>
        <w:tc>
          <w:tcPr>
            <w:tcW w:w="492" w:type="pct"/>
            <w:tcBorders>
              <w:top w:val="nil"/>
              <w:left w:val="nil"/>
              <w:bottom w:val="nil"/>
              <w:right w:val="nil"/>
            </w:tcBorders>
            <w:shd w:val="clear" w:color="000000" w:fill="FFFFFF"/>
            <w:noWrap/>
            <w:vAlign w:val="center"/>
            <w:hideMark/>
          </w:tcPr>
          <w:p w14:paraId="5F592BCF" w14:textId="52C98988"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1.6</w:t>
            </w:r>
          </w:p>
        </w:tc>
        <w:tc>
          <w:tcPr>
            <w:tcW w:w="47" w:type="pct"/>
            <w:tcBorders>
              <w:top w:val="nil"/>
              <w:left w:val="nil"/>
              <w:bottom w:val="nil"/>
              <w:right w:val="nil"/>
            </w:tcBorders>
            <w:shd w:val="clear" w:color="000000" w:fill="FFFFFF"/>
            <w:noWrap/>
            <w:vAlign w:val="center"/>
            <w:hideMark/>
          </w:tcPr>
          <w:p w14:paraId="7AF27DCF"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43D177B1" w14:textId="12FA03C0"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33E40D18" w14:textId="77777777" w:rsidTr="00E36C92">
        <w:trPr>
          <w:trHeight w:hRule="exact" w:val="60"/>
        </w:trPr>
        <w:tc>
          <w:tcPr>
            <w:tcW w:w="2003" w:type="pct"/>
            <w:tcBorders>
              <w:top w:val="nil"/>
              <w:left w:val="nil"/>
              <w:bottom w:val="nil"/>
              <w:right w:val="nil"/>
            </w:tcBorders>
            <w:shd w:val="clear" w:color="000000" w:fill="FFFFFF"/>
            <w:noWrap/>
            <w:vAlign w:val="center"/>
            <w:hideMark/>
          </w:tcPr>
          <w:p w14:paraId="7FBD710E" w14:textId="1C6E88F6"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479" w:type="pct"/>
            <w:tcBorders>
              <w:top w:val="nil"/>
              <w:left w:val="nil"/>
              <w:bottom w:val="nil"/>
              <w:right w:val="nil"/>
            </w:tcBorders>
            <w:shd w:val="clear" w:color="000000" w:fill="FFFFFF"/>
            <w:noWrap/>
            <w:vAlign w:val="center"/>
            <w:hideMark/>
          </w:tcPr>
          <w:p w14:paraId="21A71EA6" w14:textId="5788FF49"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2F9FC"/>
            <w:noWrap/>
            <w:vAlign w:val="center"/>
            <w:hideMark/>
          </w:tcPr>
          <w:p w14:paraId="234F83D3"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3C80EE00"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39374041"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17A8D7AE"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7" w:type="pct"/>
            <w:tcBorders>
              <w:top w:val="nil"/>
              <w:left w:val="nil"/>
              <w:bottom w:val="nil"/>
              <w:right w:val="nil"/>
            </w:tcBorders>
            <w:shd w:val="clear" w:color="000000" w:fill="FFFFFF"/>
            <w:noWrap/>
            <w:vAlign w:val="center"/>
            <w:hideMark/>
          </w:tcPr>
          <w:p w14:paraId="4366EE6D"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5ED5989F"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3797D07B"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7C3E6681" w14:textId="650D30E9"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Changes from 2022</w:t>
            </w:r>
            <w:r w:rsidR="00660645">
              <w:rPr>
                <w:rFonts w:ascii="Arial" w:hAnsi="Arial" w:cs="Arial"/>
                <w:b/>
                <w:bCs/>
                <w:sz w:val="16"/>
                <w:szCs w:val="16"/>
              </w:rPr>
              <w:noBreakHyphen/>
            </w:r>
            <w:r w:rsidRPr="0008340F">
              <w:rPr>
                <w:rFonts w:ascii="Arial" w:hAnsi="Arial" w:cs="Arial"/>
                <w:b/>
                <w:bCs/>
                <w:sz w:val="16"/>
                <w:szCs w:val="16"/>
              </w:rPr>
              <w:t>23 Budget to</w:t>
            </w:r>
          </w:p>
        </w:tc>
        <w:tc>
          <w:tcPr>
            <w:tcW w:w="479" w:type="pct"/>
            <w:tcBorders>
              <w:top w:val="nil"/>
              <w:left w:val="nil"/>
              <w:bottom w:val="nil"/>
              <w:right w:val="nil"/>
            </w:tcBorders>
            <w:shd w:val="clear" w:color="000000" w:fill="FFFFFF"/>
            <w:noWrap/>
            <w:vAlign w:val="center"/>
            <w:hideMark/>
          </w:tcPr>
          <w:p w14:paraId="00EF641E"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2F9FC"/>
            <w:noWrap/>
            <w:vAlign w:val="center"/>
            <w:hideMark/>
          </w:tcPr>
          <w:p w14:paraId="7AE0931C" w14:textId="3DB67D05"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14788C91"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6FB54B33" w14:textId="1CE6F911"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1912CA08"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7" w:type="pct"/>
            <w:tcBorders>
              <w:top w:val="nil"/>
              <w:left w:val="nil"/>
              <w:bottom w:val="nil"/>
              <w:right w:val="nil"/>
            </w:tcBorders>
            <w:shd w:val="clear" w:color="000000" w:fill="FFFFFF"/>
            <w:noWrap/>
            <w:vAlign w:val="center"/>
            <w:hideMark/>
          </w:tcPr>
          <w:p w14:paraId="00DD5AF8" w14:textId="63EDC941"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46F78933" w14:textId="344EB8C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783A88FB"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2DBFF344" w14:textId="77777777" w:rsidR="00E36C92" w:rsidRPr="0008340F" w:rsidRDefault="00E36C92" w:rsidP="0008340F">
            <w:pPr>
              <w:spacing w:after="0" w:line="240" w:lineRule="auto"/>
              <w:ind w:left="170"/>
              <w:jc w:val="left"/>
              <w:rPr>
                <w:rFonts w:ascii="Arial" w:hAnsi="Arial" w:cs="Arial"/>
                <w:b/>
                <w:bCs/>
                <w:sz w:val="16"/>
                <w:szCs w:val="16"/>
              </w:rPr>
            </w:pPr>
            <w:r w:rsidRPr="0008340F">
              <w:rPr>
                <w:rFonts w:ascii="Arial" w:hAnsi="Arial" w:cs="Arial"/>
                <w:b/>
                <w:bCs/>
                <w:sz w:val="16"/>
                <w:szCs w:val="16"/>
              </w:rPr>
              <w:t>2022 PEFO</w:t>
            </w:r>
          </w:p>
        </w:tc>
        <w:tc>
          <w:tcPr>
            <w:tcW w:w="479" w:type="pct"/>
            <w:tcBorders>
              <w:top w:val="nil"/>
              <w:left w:val="nil"/>
              <w:bottom w:val="nil"/>
              <w:right w:val="nil"/>
            </w:tcBorders>
            <w:shd w:val="clear" w:color="000000" w:fill="FFFFFF"/>
            <w:noWrap/>
            <w:vAlign w:val="center"/>
            <w:hideMark/>
          </w:tcPr>
          <w:p w14:paraId="37E4446E" w14:textId="4B136EED"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2F9FC"/>
            <w:noWrap/>
            <w:vAlign w:val="center"/>
            <w:hideMark/>
          </w:tcPr>
          <w:p w14:paraId="4B2209CD"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73DECF24" w14:textId="4393629F"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45BD97D5" w14:textId="77777777"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157694AF" w14:textId="083B5684"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 </w:t>
            </w:r>
          </w:p>
        </w:tc>
        <w:tc>
          <w:tcPr>
            <w:tcW w:w="47" w:type="pct"/>
            <w:tcBorders>
              <w:top w:val="nil"/>
              <w:left w:val="nil"/>
              <w:bottom w:val="nil"/>
              <w:right w:val="nil"/>
            </w:tcBorders>
            <w:shd w:val="clear" w:color="000000" w:fill="FFFFFF"/>
            <w:noWrap/>
            <w:vAlign w:val="center"/>
            <w:hideMark/>
          </w:tcPr>
          <w:p w14:paraId="0132A9F0" w14:textId="77777777"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 </w:t>
            </w:r>
          </w:p>
        </w:tc>
        <w:tc>
          <w:tcPr>
            <w:tcW w:w="503" w:type="pct"/>
            <w:tcBorders>
              <w:top w:val="nil"/>
              <w:left w:val="nil"/>
              <w:bottom w:val="nil"/>
              <w:right w:val="nil"/>
            </w:tcBorders>
            <w:shd w:val="clear" w:color="000000" w:fill="FFFFFF"/>
            <w:noWrap/>
            <w:vAlign w:val="center"/>
            <w:hideMark/>
          </w:tcPr>
          <w:p w14:paraId="0FADFDAF" w14:textId="6772B6E1"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4670D2A4"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46E22118"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Effect of policy decisions(b)(c)</w:t>
            </w:r>
          </w:p>
        </w:tc>
        <w:tc>
          <w:tcPr>
            <w:tcW w:w="479" w:type="pct"/>
            <w:tcBorders>
              <w:top w:val="nil"/>
              <w:left w:val="nil"/>
              <w:bottom w:val="nil"/>
              <w:right w:val="nil"/>
            </w:tcBorders>
            <w:shd w:val="clear" w:color="000000" w:fill="FFFFFF"/>
            <w:noWrap/>
            <w:vAlign w:val="center"/>
            <w:hideMark/>
          </w:tcPr>
          <w:p w14:paraId="6C1C6567" w14:textId="36DEC708"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2F9FC"/>
            <w:noWrap/>
            <w:vAlign w:val="center"/>
            <w:hideMark/>
          </w:tcPr>
          <w:p w14:paraId="186B141C"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5EEF3B08"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1AB878FA"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3205C4D8"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7" w:type="pct"/>
            <w:tcBorders>
              <w:top w:val="nil"/>
              <w:left w:val="nil"/>
              <w:bottom w:val="nil"/>
              <w:right w:val="nil"/>
            </w:tcBorders>
            <w:shd w:val="clear" w:color="000000" w:fill="FFFFFF"/>
            <w:noWrap/>
            <w:vAlign w:val="center"/>
            <w:hideMark/>
          </w:tcPr>
          <w:p w14:paraId="225D6AE3"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74DA46D3"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3B450F59"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39111D71" w14:textId="77777777" w:rsidR="00E36C92" w:rsidRPr="0008340F" w:rsidRDefault="00E36C92" w:rsidP="0008340F">
            <w:pPr>
              <w:spacing w:after="0" w:line="240" w:lineRule="auto"/>
              <w:ind w:left="170"/>
              <w:jc w:val="left"/>
              <w:rPr>
                <w:rFonts w:ascii="Arial" w:hAnsi="Arial" w:cs="Arial"/>
                <w:i/>
                <w:iCs/>
                <w:sz w:val="16"/>
                <w:szCs w:val="16"/>
              </w:rPr>
            </w:pPr>
            <w:r w:rsidRPr="0008340F">
              <w:rPr>
                <w:rFonts w:ascii="Arial" w:hAnsi="Arial" w:cs="Arial"/>
                <w:i/>
                <w:iCs/>
                <w:sz w:val="16"/>
                <w:szCs w:val="16"/>
              </w:rPr>
              <w:t>Receipts</w:t>
            </w:r>
          </w:p>
        </w:tc>
        <w:tc>
          <w:tcPr>
            <w:tcW w:w="479" w:type="pct"/>
            <w:tcBorders>
              <w:top w:val="nil"/>
              <w:left w:val="nil"/>
              <w:bottom w:val="nil"/>
              <w:right w:val="nil"/>
            </w:tcBorders>
            <w:shd w:val="clear" w:color="000000" w:fill="FFFFFF"/>
            <w:noWrap/>
            <w:vAlign w:val="center"/>
            <w:hideMark/>
          </w:tcPr>
          <w:p w14:paraId="60A347FF"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190</w:t>
            </w:r>
          </w:p>
        </w:tc>
        <w:tc>
          <w:tcPr>
            <w:tcW w:w="492" w:type="pct"/>
            <w:tcBorders>
              <w:top w:val="nil"/>
              <w:left w:val="nil"/>
              <w:bottom w:val="nil"/>
              <w:right w:val="nil"/>
            </w:tcBorders>
            <w:shd w:val="clear" w:color="000000" w:fill="F2F9FC"/>
            <w:noWrap/>
            <w:vAlign w:val="center"/>
            <w:hideMark/>
          </w:tcPr>
          <w:p w14:paraId="730DFA91"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815</w:t>
            </w:r>
          </w:p>
        </w:tc>
        <w:tc>
          <w:tcPr>
            <w:tcW w:w="492" w:type="pct"/>
            <w:tcBorders>
              <w:top w:val="nil"/>
              <w:left w:val="nil"/>
              <w:bottom w:val="nil"/>
              <w:right w:val="nil"/>
            </w:tcBorders>
            <w:shd w:val="clear" w:color="000000" w:fill="FFFFFF"/>
            <w:noWrap/>
            <w:vAlign w:val="center"/>
            <w:hideMark/>
          </w:tcPr>
          <w:p w14:paraId="7A529352" w14:textId="7B9AAE52"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120</w:t>
            </w:r>
          </w:p>
        </w:tc>
        <w:tc>
          <w:tcPr>
            <w:tcW w:w="492" w:type="pct"/>
            <w:tcBorders>
              <w:top w:val="nil"/>
              <w:left w:val="nil"/>
              <w:bottom w:val="nil"/>
              <w:right w:val="nil"/>
            </w:tcBorders>
            <w:shd w:val="clear" w:color="000000" w:fill="FFFFFF"/>
            <w:noWrap/>
            <w:vAlign w:val="center"/>
            <w:hideMark/>
          </w:tcPr>
          <w:p w14:paraId="4CEA9A5D" w14:textId="441B70B7"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155</w:t>
            </w:r>
          </w:p>
        </w:tc>
        <w:tc>
          <w:tcPr>
            <w:tcW w:w="492" w:type="pct"/>
            <w:tcBorders>
              <w:top w:val="nil"/>
              <w:left w:val="nil"/>
              <w:bottom w:val="nil"/>
              <w:right w:val="nil"/>
            </w:tcBorders>
            <w:shd w:val="clear" w:color="000000" w:fill="FFFFFF"/>
            <w:noWrap/>
            <w:vAlign w:val="center"/>
            <w:hideMark/>
          </w:tcPr>
          <w:p w14:paraId="5F30B913" w14:textId="3D0088FB"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155</w:t>
            </w:r>
          </w:p>
        </w:tc>
        <w:tc>
          <w:tcPr>
            <w:tcW w:w="47" w:type="pct"/>
            <w:tcBorders>
              <w:top w:val="nil"/>
              <w:left w:val="nil"/>
              <w:bottom w:val="nil"/>
              <w:right w:val="nil"/>
            </w:tcBorders>
            <w:shd w:val="clear" w:color="000000" w:fill="FFFFFF"/>
            <w:noWrap/>
            <w:vAlign w:val="center"/>
            <w:hideMark/>
          </w:tcPr>
          <w:p w14:paraId="6B38FF31"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nil"/>
              <w:left w:val="nil"/>
              <w:bottom w:val="nil"/>
              <w:right w:val="nil"/>
            </w:tcBorders>
            <w:shd w:val="clear" w:color="000000" w:fill="FFFFFF"/>
            <w:noWrap/>
            <w:vAlign w:val="center"/>
            <w:hideMark/>
          </w:tcPr>
          <w:p w14:paraId="04A2ED38"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385</w:t>
            </w:r>
          </w:p>
        </w:tc>
      </w:tr>
      <w:tr w:rsidR="00E36C92" w:rsidRPr="00E36C92" w14:paraId="44695E70"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554121A6" w14:textId="77777777" w:rsidR="00E36C92" w:rsidRPr="0008340F" w:rsidRDefault="00E36C92" w:rsidP="0008340F">
            <w:pPr>
              <w:spacing w:after="0" w:line="240" w:lineRule="auto"/>
              <w:ind w:left="170"/>
              <w:jc w:val="left"/>
              <w:rPr>
                <w:rFonts w:ascii="Arial" w:hAnsi="Arial" w:cs="Arial"/>
                <w:i/>
                <w:iCs/>
                <w:sz w:val="16"/>
                <w:szCs w:val="16"/>
              </w:rPr>
            </w:pPr>
            <w:r w:rsidRPr="0008340F">
              <w:rPr>
                <w:rFonts w:ascii="Arial" w:hAnsi="Arial" w:cs="Arial"/>
                <w:i/>
                <w:iCs/>
                <w:sz w:val="16"/>
                <w:szCs w:val="16"/>
              </w:rPr>
              <w:t>Payments</w:t>
            </w:r>
          </w:p>
        </w:tc>
        <w:tc>
          <w:tcPr>
            <w:tcW w:w="479" w:type="pct"/>
            <w:tcBorders>
              <w:top w:val="nil"/>
              <w:left w:val="nil"/>
              <w:bottom w:val="nil"/>
              <w:right w:val="nil"/>
            </w:tcBorders>
            <w:shd w:val="clear" w:color="000000" w:fill="FFFFFF"/>
            <w:noWrap/>
            <w:vAlign w:val="center"/>
            <w:hideMark/>
          </w:tcPr>
          <w:p w14:paraId="3EB4AF5A"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166</w:t>
            </w:r>
          </w:p>
        </w:tc>
        <w:tc>
          <w:tcPr>
            <w:tcW w:w="492" w:type="pct"/>
            <w:tcBorders>
              <w:top w:val="nil"/>
              <w:left w:val="nil"/>
              <w:bottom w:val="nil"/>
              <w:right w:val="nil"/>
            </w:tcBorders>
            <w:shd w:val="clear" w:color="000000" w:fill="F2F9FC"/>
            <w:noWrap/>
            <w:vAlign w:val="center"/>
            <w:hideMark/>
          </w:tcPr>
          <w:p w14:paraId="34B7E590"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1,358</w:t>
            </w:r>
          </w:p>
        </w:tc>
        <w:tc>
          <w:tcPr>
            <w:tcW w:w="492" w:type="pct"/>
            <w:tcBorders>
              <w:top w:val="nil"/>
              <w:left w:val="nil"/>
              <w:bottom w:val="single" w:sz="4" w:space="0" w:color="auto"/>
              <w:right w:val="nil"/>
            </w:tcBorders>
            <w:shd w:val="clear" w:color="000000" w:fill="FFFFFF"/>
            <w:noWrap/>
            <w:vAlign w:val="center"/>
            <w:hideMark/>
          </w:tcPr>
          <w:p w14:paraId="0DEEA54D" w14:textId="3B33429D"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59</w:t>
            </w:r>
          </w:p>
        </w:tc>
        <w:tc>
          <w:tcPr>
            <w:tcW w:w="492" w:type="pct"/>
            <w:tcBorders>
              <w:top w:val="nil"/>
              <w:left w:val="nil"/>
              <w:bottom w:val="single" w:sz="4" w:space="0" w:color="auto"/>
              <w:right w:val="nil"/>
            </w:tcBorders>
            <w:shd w:val="clear" w:color="000000" w:fill="FFFFFF"/>
            <w:noWrap/>
            <w:vAlign w:val="center"/>
            <w:hideMark/>
          </w:tcPr>
          <w:p w14:paraId="1748223D" w14:textId="6B5C7A8D"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88</w:t>
            </w:r>
          </w:p>
        </w:tc>
        <w:tc>
          <w:tcPr>
            <w:tcW w:w="492" w:type="pct"/>
            <w:tcBorders>
              <w:top w:val="nil"/>
              <w:left w:val="nil"/>
              <w:bottom w:val="single" w:sz="4" w:space="0" w:color="auto"/>
              <w:right w:val="nil"/>
            </w:tcBorders>
            <w:shd w:val="clear" w:color="000000" w:fill="FFFFFF"/>
            <w:noWrap/>
            <w:vAlign w:val="center"/>
            <w:hideMark/>
          </w:tcPr>
          <w:p w14:paraId="45563888" w14:textId="1A262740"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112</w:t>
            </w:r>
          </w:p>
        </w:tc>
        <w:tc>
          <w:tcPr>
            <w:tcW w:w="47" w:type="pct"/>
            <w:tcBorders>
              <w:top w:val="nil"/>
              <w:left w:val="nil"/>
              <w:bottom w:val="nil"/>
              <w:right w:val="nil"/>
            </w:tcBorders>
            <w:shd w:val="clear" w:color="000000" w:fill="FFFFFF"/>
            <w:noWrap/>
            <w:vAlign w:val="center"/>
            <w:hideMark/>
          </w:tcPr>
          <w:p w14:paraId="17C37FFE" w14:textId="1B8649F6"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nil"/>
              <w:left w:val="nil"/>
              <w:bottom w:val="nil"/>
              <w:right w:val="nil"/>
            </w:tcBorders>
            <w:shd w:val="clear" w:color="000000" w:fill="FFFFFF"/>
            <w:noWrap/>
            <w:vAlign w:val="center"/>
            <w:hideMark/>
          </w:tcPr>
          <w:p w14:paraId="4211EACC"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1,099</w:t>
            </w:r>
          </w:p>
        </w:tc>
      </w:tr>
      <w:tr w:rsidR="00E36C92" w:rsidRPr="00E36C92" w14:paraId="46B0B11F"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1958CFB9"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Total policy decisions impact on</w:t>
            </w:r>
          </w:p>
        </w:tc>
        <w:tc>
          <w:tcPr>
            <w:tcW w:w="479" w:type="pct"/>
            <w:tcBorders>
              <w:top w:val="single" w:sz="4" w:space="0" w:color="auto"/>
              <w:left w:val="nil"/>
              <w:bottom w:val="nil"/>
              <w:right w:val="nil"/>
            </w:tcBorders>
            <w:shd w:val="clear" w:color="000000" w:fill="FFFFFF"/>
            <w:noWrap/>
            <w:vAlign w:val="center"/>
            <w:hideMark/>
          </w:tcPr>
          <w:p w14:paraId="7F25A84C"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single" w:sz="4" w:space="0" w:color="auto"/>
              <w:left w:val="nil"/>
              <w:bottom w:val="nil"/>
              <w:right w:val="nil"/>
            </w:tcBorders>
            <w:shd w:val="clear" w:color="000000" w:fill="F2F9FC"/>
            <w:noWrap/>
            <w:vAlign w:val="center"/>
            <w:hideMark/>
          </w:tcPr>
          <w:p w14:paraId="62B65F5F" w14:textId="09D023DC"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0975B1C8"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0331F936"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2F323EE5"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7" w:type="pct"/>
            <w:tcBorders>
              <w:top w:val="nil"/>
              <w:left w:val="nil"/>
              <w:bottom w:val="nil"/>
              <w:right w:val="nil"/>
            </w:tcBorders>
            <w:shd w:val="clear" w:color="000000" w:fill="FFFFFF"/>
            <w:noWrap/>
            <w:vAlign w:val="center"/>
            <w:hideMark/>
          </w:tcPr>
          <w:p w14:paraId="35A3AC77"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single" w:sz="4" w:space="0" w:color="auto"/>
              <w:left w:val="nil"/>
              <w:bottom w:val="nil"/>
              <w:right w:val="nil"/>
            </w:tcBorders>
            <w:shd w:val="clear" w:color="000000" w:fill="FFFFFF"/>
            <w:noWrap/>
            <w:vAlign w:val="center"/>
            <w:hideMark/>
          </w:tcPr>
          <w:p w14:paraId="631C1078"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r>
      <w:tr w:rsidR="00E36C92" w:rsidRPr="00E36C92" w14:paraId="548EA981"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0387D0D3" w14:textId="77777777" w:rsidR="00E36C92" w:rsidRPr="0008340F" w:rsidRDefault="00E36C92" w:rsidP="0008340F">
            <w:pPr>
              <w:spacing w:after="0" w:line="240" w:lineRule="auto"/>
              <w:ind w:left="170"/>
              <w:jc w:val="left"/>
              <w:rPr>
                <w:rFonts w:ascii="Arial" w:hAnsi="Arial" w:cs="Arial"/>
                <w:sz w:val="16"/>
                <w:szCs w:val="16"/>
              </w:rPr>
            </w:pPr>
            <w:r w:rsidRPr="0008340F">
              <w:rPr>
                <w:rFonts w:ascii="Arial" w:hAnsi="Arial" w:cs="Arial"/>
                <w:sz w:val="16"/>
                <w:szCs w:val="16"/>
              </w:rPr>
              <w:t>underlying cash balance</w:t>
            </w:r>
          </w:p>
        </w:tc>
        <w:tc>
          <w:tcPr>
            <w:tcW w:w="479" w:type="pct"/>
            <w:tcBorders>
              <w:top w:val="nil"/>
              <w:left w:val="nil"/>
              <w:bottom w:val="single" w:sz="4" w:space="0" w:color="000000"/>
              <w:right w:val="nil"/>
            </w:tcBorders>
            <w:shd w:val="clear" w:color="000000" w:fill="FFFFFF"/>
            <w:vAlign w:val="center"/>
            <w:hideMark/>
          </w:tcPr>
          <w:p w14:paraId="0C62EAF9"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24</w:t>
            </w:r>
          </w:p>
        </w:tc>
        <w:tc>
          <w:tcPr>
            <w:tcW w:w="492" w:type="pct"/>
            <w:tcBorders>
              <w:top w:val="nil"/>
              <w:left w:val="nil"/>
              <w:bottom w:val="single" w:sz="4" w:space="0" w:color="000000"/>
              <w:right w:val="nil"/>
            </w:tcBorders>
            <w:shd w:val="clear" w:color="000000" w:fill="F2F9FC"/>
            <w:vAlign w:val="center"/>
            <w:hideMark/>
          </w:tcPr>
          <w:p w14:paraId="49DD0E66" w14:textId="0F7E3568"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543</w:t>
            </w:r>
          </w:p>
        </w:tc>
        <w:tc>
          <w:tcPr>
            <w:tcW w:w="492" w:type="pct"/>
            <w:tcBorders>
              <w:top w:val="nil"/>
              <w:left w:val="nil"/>
              <w:bottom w:val="single" w:sz="4" w:space="0" w:color="000000"/>
              <w:right w:val="nil"/>
            </w:tcBorders>
            <w:shd w:val="clear" w:color="000000" w:fill="FFFFFF"/>
            <w:vAlign w:val="center"/>
            <w:hideMark/>
          </w:tcPr>
          <w:p w14:paraId="407E44E2" w14:textId="099CB574"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61</w:t>
            </w:r>
          </w:p>
        </w:tc>
        <w:tc>
          <w:tcPr>
            <w:tcW w:w="492" w:type="pct"/>
            <w:tcBorders>
              <w:top w:val="nil"/>
              <w:left w:val="nil"/>
              <w:bottom w:val="single" w:sz="4" w:space="0" w:color="000000"/>
              <w:right w:val="nil"/>
            </w:tcBorders>
            <w:shd w:val="clear" w:color="000000" w:fill="FFFFFF"/>
            <w:vAlign w:val="center"/>
            <w:hideMark/>
          </w:tcPr>
          <w:p w14:paraId="4725662C" w14:textId="35CCB235"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67</w:t>
            </w:r>
          </w:p>
        </w:tc>
        <w:tc>
          <w:tcPr>
            <w:tcW w:w="492" w:type="pct"/>
            <w:tcBorders>
              <w:top w:val="nil"/>
              <w:left w:val="nil"/>
              <w:bottom w:val="single" w:sz="4" w:space="0" w:color="000000"/>
              <w:right w:val="nil"/>
            </w:tcBorders>
            <w:shd w:val="clear" w:color="000000" w:fill="FFFFFF"/>
            <w:vAlign w:val="center"/>
            <w:hideMark/>
          </w:tcPr>
          <w:p w14:paraId="00CD782F" w14:textId="32AE2DB8"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43</w:t>
            </w:r>
          </w:p>
        </w:tc>
        <w:tc>
          <w:tcPr>
            <w:tcW w:w="47" w:type="pct"/>
            <w:tcBorders>
              <w:top w:val="nil"/>
              <w:left w:val="nil"/>
              <w:bottom w:val="nil"/>
              <w:right w:val="nil"/>
            </w:tcBorders>
            <w:shd w:val="clear" w:color="000000" w:fill="FFFFFF"/>
            <w:vAlign w:val="center"/>
            <w:hideMark/>
          </w:tcPr>
          <w:p w14:paraId="65886083" w14:textId="10FC58F6"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503" w:type="pct"/>
            <w:tcBorders>
              <w:top w:val="nil"/>
              <w:left w:val="nil"/>
              <w:bottom w:val="single" w:sz="4" w:space="0" w:color="000000"/>
              <w:right w:val="nil"/>
            </w:tcBorders>
            <w:shd w:val="clear" w:color="000000" w:fill="FFFFFF"/>
            <w:vAlign w:val="center"/>
            <w:hideMark/>
          </w:tcPr>
          <w:p w14:paraId="3BEB7FB2" w14:textId="6D65A16B"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714</w:t>
            </w:r>
          </w:p>
        </w:tc>
      </w:tr>
      <w:tr w:rsidR="00D43F09" w:rsidRPr="00E36C92" w14:paraId="6F009C4D" w14:textId="77777777" w:rsidTr="00E36C92">
        <w:trPr>
          <w:trHeight w:hRule="exact" w:val="60"/>
        </w:trPr>
        <w:tc>
          <w:tcPr>
            <w:tcW w:w="2003" w:type="pct"/>
            <w:tcBorders>
              <w:top w:val="nil"/>
              <w:left w:val="nil"/>
              <w:bottom w:val="nil"/>
              <w:right w:val="nil"/>
            </w:tcBorders>
            <w:shd w:val="clear" w:color="000000" w:fill="FFFFFF"/>
            <w:noWrap/>
            <w:vAlign w:val="center"/>
            <w:hideMark/>
          </w:tcPr>
          <w:p w14:paraId="00098B8A" w14:textId="3BED8506" w:rsidR="00E36C92" w:rsidRPr="0008340F" w:rsidRDefault="00E36C92" w:rsidP="0008340F">
            <w:pPr>
              <w:spacing w:after="0" w:line="240" w:lineRule="auto"/>
              <w:ind w:left="170"/>
              <w:jc w:val="left"/>
              <w:rPr>
                <w:rFonts w:ascii="Arial" w:hAnsi="Arial" w:cs="Arial"/>
                <w:i/>
                <w:iCs/>
                <w:sz w:val="16"/>
                <w:szCs w:val="16"/>
              </w:rPr>
            </w:pPr>
            <w:r w:rsidRPr="0008340F">
              <w:rPr>
                <w:rFonts w:ascii="Arial" w:hAnsi="Arial" w:cs="Arial"/>
                <w:i/>
                <w:iCs/>
                <w:sz w:val="16"/>
                <w:szCs w:val="16"/>
              </w:rPr>
              <w:t> </w:t>
            </w:r>
          </w:p>
        </w:tc>
        <w:tc>
          <w:tcPr>
            <w:tcW w:w="479" w:type="pct"/>
            <w:tcBorders>
              <w:top w:val="nil"/>
              <w:left w:val="nil"/>
              <w:bottom w:val="nil"/>
              <w:right w:val="nil"/>
            </w:tcBorders>
            <w:shd w:val="clear" w:color="000000" w:fill="FFFFFF"/>
            <w:noWrap/>
            <w:vAlign w:val="center"/>
            <w:hideMark/>
          </w:tcPr>
          <w:p w14:paraId="093AE02A" w14:textId="2214FEBD"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2F9FC"/>
            <w:noWrap/>
            <w:vAlign w:val="center"/>
            <w:hideMark/>
          </w:tcPr>
          <w:p w14:paraId="32B6531F"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179FA5AC" w14:textId="1A7D5E0C"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62A37DD7"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nil"/>
              <w:left w:val="nil"/>
              <w:bottom w:val="nil"/>
              <w:right w:val="nil"/>
            </w:tcBorders>
            <w:shd w:val="clear" w:color="000000" w:fill="FFFFFF"/>
            <w:noWrap/>
            <w:vAlign w:val="center"/>
            <w:hideMark/>
          </w:tcPr>
          <w:p w14:paraId="351F9073"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7" w:type="pct"/>
            <w:tcBorders>
              <w:top w:val="nil"/>
              <w:left w:val="nil"/>
              <w:bottom w:val="nil"/>
              <w:right w:val="nil"/>
            </w:tcBorders>
            <w:shd w:val="clear" w:color="000000" w:fill="FFFFFF"/>
            <w:noWrap/>
            <w:vAlign w:val="center"/>
            <w:hideMark/>
          </w:tcPr>
          <w:p w14:paraId="16F56279" w14:textId="568DAD7A"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nil"/>
              <w:left w:val="nil"/>
              <w:bottom w:val="nil"/>
              <w:right w:val="nil"/>
            </w:tcBorders>
            <w:shd w:val="clear" w:color="000000" w:fill="FFFFFF"/>
            <w:noWrap/>
            <w:vAlign w:val="center"/>
            <w:hideMark/>
          </w:tcPr>
          <w:p w14:paraId="5ECF7580"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E36C92" w:rsidRPr="00E36C92" w14:paraId="10225863" w14:textId="77777777" w:rsidTr="0008340F">
        <w:trPr>
          <w:trHeight w:hRule="exact" w:val="225"/>
        </w:trPr>
        <w:tc>
          <w:tcPr>
            <w:tcW w:w="2481" w:type="pct"/>
            <w:gridSpan w:val="2"/>
            <w:tcBorders>
              <w:top w:val="nil"/>
              <w:left w:val="nil"/>
              <w:bottom w:val="nil"/>
              <w:right w:val="nil"/>
            </w:tcBorders>
            <w:shd w:val="clear" w:color="000000" w:fill="FFFFFF"/>
            <w:noWrap/>
            <w:vAlign w:val="bottom"/>
            <w:hideMark/>
          </w:tcPr>
          <w:p w14:paraId="1F107F2C"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Effect of parameter and other variations(c)</w:t>
            </w:r>
          </w:p>
        </w:tc>
        <w:tc>
          <w:tcPr>
            <w:tcW w:w="492" w:type="pct"/>
            <w:tcBorders>
              <w:top w:val="nil"/>
              <w:left w:val="nil"/>
              <w:bottom w:val="nil"/>
              <w:right w:val="nil"/>
            </w:tcBorders>
            <w:shd w:val="clear" w:color="000000" w:fill="F2F9FC"/>
            <w:noWrap/>
            <w:vAlign w:val="center"/>
            <w:hideMark/>
          </w:tcPr>
          <w:p w14:paraId="56EB8131"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23C81636" w14:textId="1445073A"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4E08CE30" w14:textId="3732F0BF"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nil"/>
              <w:left w:val="nil"/>
              <w:bottom w:val="nil"/>
              <w:right w:val="nil"/>
            </w:tcBorders>
            <w:shd w:val="clear" w:color="000000" w:fill="FFFFFF"/>
            <w:noWrap/>
            <w:vAlign w:val="center"/>
            <w:hideMark/>
          </w:tcPr>
          <w:p w14:paraId="42DAE699"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7" w:type="pct"/>
            <w:tcBorders>
              <w:top w:val="nil"/>
              <w:left w:val="nil"/>
              <w:bottom w:val="nil"/>
              <w:right w:val="nil"/>
            </w:tcBorders>
            <w:shd w:val="clear" w:color="000000" w:fill="FFFFFF"/>
            <w:noWrap/>
            <w:vAlign w:val="center"/>
            <w:hideMark/>
          </w:tcPr>
          <w:p w14:paraId="62CD4948" w14:textId="384A9D76"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788136DB"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r>
      <w:tr w:rsidR="00D43F09" w:rsidRPr="00E36C92" w14:paraId="2B7FAC4E"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10A585F1" w14:textId="77777777" w:rsidR="00E36C92" w:rsidRPr="0008340F" w:rsidRDefault="00E36C92" w:rsidP="0008340F">
            <w:pPr>
              <w:spacing w:after="0" w:line="240" w:lineRule="auto"/>
              <w:ind w:left="170"/>
              <w:jc w:val="left"/>
              <w:rPr>
                <w:rFonts w:ascii="Arial" w:hAnsi="Arial" w:cs="Arial"/>
                <w:i/>
                <w:iCs/>
                <w:sz w:val="16"/>
                <w:szCs w:val="16"/>
              </w:rPr>
            </w:pPr>
            <w:r w:rsidRPr="0008340F">
              <w:rPr>
                <w:rFonts w:ascii="Arial" w:hAnsi="Arial" w:cs="Arial"/>
                <w:i/>
                <w:iCs/>
                <w:sz w:val="16"/>
                <w:szCs w:val="16"/>
              </w:rPr>
              <w:t>Receipts</w:t>
            </w:r>
          </w:p>
        </w:tc>
        <w:tc>
          <w:tcPr>
            <w:tcW w:w="479" w:type="pct"/>
            <w:tcBorders>
              <w:top w:val="nil"/>
              <w:left w:val="nil"/>
              <w:bottom w:val="nil"/>
              <w:right w:val="nil"/>
            </w:tcBorders>
            <w:shd w:val="clear" w:color="000000" w:fill="FFFFFF"/>
            <w:noWrap/>
            <w:vAlign w:val="center"/>
            <w:hideMark/>
          </w:tcPr>
          <w:p w14:paraId="391015F7"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0</w:t>
            </w:r>
          </w:p>
        </w:tc>
        <w:tc>
          <w:tcPr>
            <w:tcW w:w="492" w:type="pct"/>
            <w:tcBorders>
              <w:top w:val="nil"/>
              <w:left w:val="nil"/>
              <w:bottom w:val="nil"/>
              <w:right w:val="nil"/>
            </w:tcBorders>
            <w:shd w:val="clear" w:color="000000" w:fill="F2F9FC"/>
            <w:noWrap/>
            <w:vAlign w:val="center"/>
            <w:hideMark/>
          </w:tcPr>
          <w:p w14:paraId="39276D09"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86</w:t>
            </w:r>
          </w:p>
        </w:tc>
        <w:tc>
          <w:tcPr>
            <w:tcW w:w="492" w:type="pct"/>
            <w:tcBorders>
              <w:top w:val="nil"/>
              <w:left w:val="nil"/>
              <w:bottom w:val="nil"/>
              <w:right w:val="nil"/>
            </w:tcBorders>
            <w:shd w:val="clear" w:color="000000" w:fill="FFFFFF"/>
            <w:noWrap/>
            <w:vAlign w:val="center"/>
            <w:hideMark/>
          </w:tcPr>
          <w:p w14:paraId="388ED6F9"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101</w:t>
            </w:r>
          </w:p>
        </w:tc>
        <w:tc>
          <w:tcPr>
            <w:tcW w:w="492" w:type="pct"/>
            <w:tcBorders>
              <w:top w:val="nil"/>
              <w:left w:val="nil"/>
              <w:bottom w:val="nil"/>
              <w:right w:val="nil"/>
            </w:tcBorders>
            <w:shd w:val="clear" w:color="000000" w:fill="FFFFFF"/>
            <w:noWrap/>
            <w:vAlign w:val="center"/>
            <w:hideMark/>
          </w:tcPr>
          <w:p w14:paraId="5AD9ED17"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102</w:t>
            </w:r>
          </w:p>
        </w:tc>
        <w:tc>
          <w:tcPr>
            <w:tcW w:w="492" w:type="pct"/>
            <w:tcBorders>
              <w:top w:val="nil"/>
              <w:left w:val="nil"/>
              <w:bottom w:val="nil"/>
              <w:right w:val="nil"/>
            </w:tcBorders>
            <w:shd w:val="clear" w:color="000000" w:fill="FFFFFF"/>
            <w:noWrap/>
            <w:vAlign w:val="center"/>
            <w:hideMark/>
          </w:tcPr>
          <w:p w14:paraId="75697500"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155</w:t>
            </w:r>
          </w:p>
        </w:tc>
        <w:tc>
          <w:tcPr>
            <w:tcW w:w="47" w:type="pct"/>
            <w:tcBorders>
              <w:top w:val="nil"/>
              <w:left w:val="nil"/>
              <w:bottom w:val="nil"/>
              <w:right w:val="nil"/>
            </w:tcBorders>
            <w:shd w:val="clear" w:color="000000" w:fill="FFFFFF"/>
            <w:noWrap/>
            <w:vAlign w:val="center"/>
            <w:hideMark/>
          </w:tcPr>
          <w:p w14:paraId="69BA858C"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nil"/>
              <w:left w:val="nil"/>
              <w:bottom w:val="nil"/>
              <w:right w:val="nil"/>
            </w:tcBorders>
            <w:shd w:val="clear" w:color="000000" w:fill="FFFFFF"/>
            <w:noWrap/>
            <w:vAlign w:val="center"/>
            <w:hideMark/>
          </w:tcPr>
          <w:p w14:paraId="33A23223"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445</w:t>
            </w:r>
          </w:p>
        </w:tc>
      </w:tr>
      <w:tr w:rsidR="00E36C92" w:rsidRPr="00E36C92" w14:paraId="0503867F"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372EF745" w14:textId="77777777" w:rsidR="00E36C92" w:rsidRPr="0008340F" w:rsidRDefault="00E36C92" w:rsidP="0008340F">
            <w:pPr>
              <w:spacing w:after="0" w:line="240" w:lineRule="auto"/>
              <w:ind w:left="170"/>
              <w:jc w:val="left"/>
              <w:rPr>
                <w:rFonts w:ascii="Arial" w:hAnsi="Arial" w:cs="Arial"/>
                <w:i/>
                <w:iCs/>
                <w:sz w:val="16"/>
                <w:szCs w:val="16"/>
              </w:rPr>
            </w:pPr>
            <w:r w:rsidRPr="0008340F">
              <w:rPr>
                <w:rFonts w:ascii="Arial" w:hAnsi="Arial" w:cs="Arial"/>
                <w:i/>
                <w:iCs/>
                <w:sz w:val="16"/>
                <w:szCs w:val="16"/>
              </w:rPr>
              <w:t>Payments</w:t>
            </w:r>
          </w:p>
        </w:tc>
        <w:tc>
          <w:tcPr>
            <w:tcW w:w="479" w:type="pct"/>
            <w:tcBorders>
              <w:top w:val="nil"/>
              <w:left w:val="nil"/>
              <w:bottom w:val="nil"/>
              <w:right w:val="nil"/>
            </w:tcBorders>
            <w:shd w:val="clear" w:color="000000" w:fill="FFFFFF"/>
            <w:noWrap/>
            <w:vAlign w:val="center"/>
            <w:hideMark/>
          </w:tcPr>
          <w:p w14:paraId="1FD0D1D5"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2</w:t>
            </w:r>
          </w:p>
        </w:tc>
        <w:tc>
          <w:tcPr>
            <w:tcW w:w="492" w:type="pct"/>
            <w:tcBorders>
              <w:top w:val="nil"/>
              <w:left w:val="nil"/>
              <w:bottom w:val="nil"/>
              <w:right w:val="nil"/>
            </w:tcBorders>
            <w:shd w:val="clear" w:color="000000" w:fill="F2F9FC"/>
            <w:noWrap/>
            <w:vAlign w:val="center"/>
            <w:hideMark/>
          </w:tcPr>
          <w:p w14:paraId="290EA1F6" w14:textId="4B7E47FB"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481</w:t>
            </w:r>
          </w:p>
        </w:tc>
        <w:tc>
          <w:tcPr>
            <w:tcW w:w="492" w:type="pct"/>
            <w:tcBorders>
              <w:top w:val="nil"/>
              <w:left w:val="nil"/>
              <w:bottom w:val="nil"/>
              <w:right w:val="nil"/>
            </w:tcBorders>
            <w:shd w:val="clear" w:color="000000" w:fill="FFFFFF"/>
            <w:noWrap/>
            <w:vAlign w:val="center"/>
            <w:hideMark/>
          </w:tcPr>
          <w:p w14:paraId="31681C15"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32</w:t>
            </w:r>
          </w:p>
        </w:tc>
        <w:tc>
          <w:tcPr>
            <w:tcW w:w="492" w:type="pct"/>
            <w:tcBorders>
              <w:top w:val="nil"/>
              <w:left w:val="nil"/>
              <w:bottom w:val="nil"/>
              <w:right w:val="nil"/>
            </w:tcBorders>
            <w:shd w:val="clear" w:color="000000" w:fill="FFFFFF"/>
            <w:noWrap/>
            <w:vAlign w:val="center"/>
            <w:hideMark/>
          </w:tcPr>
          <w:p w14:paraId="020A1093"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20</w:t>
            </w:r>
          </w:p>
        </w:tc>
        <w:tc>
          <w:tcPr>
            <w:tcW w:w="492" w:type="pct"/>
            <w:tcBorders>
              <w:top w:val="nil"/>
              <w:left w:val="nil"/>
              <w:bottom w:val="nil"/>
              <w:right w:val="nil"/>
            </w:tcBorders>
            <w:shd w:val="clear" w:color="000000" w:fill="FFFFFF"/>
            <w:noWrap/>
            <w:vAlign w:val="center"/>
            <w:hideMark/>
          </w:tcPr>
          <w:p w14:paraId="572A7AB1" w14:textId="766C5184"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20</w:t>
            </w:r>
          </w:p>
        </w:tc>
        <w:tc>
          <w:tcPr>
            <w:tcW w:w="47" w:type="pct"/>
            <w:tcBorders>
              <w:top w:val="nil"/>
              <w:left w:val="nil"/>
              <w:bottom w:val="nil"/>
              <w:right w:val="nil"/>
            </w:tcBorders>
            <w:shd w:val="clear" w:color="000000" w:fill="FFFFFF"/>
            <w:noWrap/>
            <w:vAlign w:val="center"/>
            <w:hideMark/>
          </w:tcPr>
          <w:p w14:paraId="13B1C75A" w14:textId="21879C0C"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503" w:type="pct"/>
            <w:tcBorders>
              <w:top w:val="nil"/>
              <w:left w:val="nil"/>
              <w:bottom w:val="single" w:sz="4" w:space="0" w:color="auto"/>
              <w:right w:val="nil"/>
            </w:tcBorders>
            <w:shd w:val="clear" w:color="000000" w:fill="FFFFFF"/>
            <w:noWrap/>
            <w:vAlign w:val="center"/>
            <w:hideMark/>
          </w:tcPr>
          <w:p w14:paraId="26397328" w14:textId="3647887C" w:rsidR="00E36C92" w:rsidRPr="0008340F" w:rsidRDefault="00660645" w:rsidP="0008340F">
            <w:pPr>
              <w:spacing w:after="0" w:line="240" w:lineRule="auto"/>
              <w:jc w:val="right"/>
              <w:rPr>
                <w:rFonts w:ascii="Arial" w:hAnsi="Arial" w:cs="Arial"/>
                <w:i/>
                <w:iCs/>
                <w:sz w:val="16"/>
                <w:szCs w:val="16"/>
              </w:rPr>
            </w:pPr>
            <w:r>
              <w:rPr>
                <w:rFonts w:ascii="Arial" w:hAnsi="Arial" w:cs="Arial"/>
                <w:i/>
                <w:iCs/>
                <w:sz w:val="16"/>
                <w:szCs w:val="16"/>
              </w:rPr>
              <w:noBreakHyphen/>
            </w:r>
            <w:r w:rsidR="00E36C92" w:rsidRPr="0008340F">
              <w:rPr>
                <w:rFonts w:ascii="Arial" w:hAnsi="Arial" w:cs="Arial"/>
                <w:i/>
                <w:iCs/>
                <w:sz w:val="16"/>
                <w:szCs w:val="16"/>
              </w:rPr>
              <w:t>449</w:t>
            </w:r>
          </w:p>
        </w:tc>
      </w:tr>
      <w:tr w:rsidR="00E36C92" w:rsidRPr="00E36C92" w14:paraId="48E30053"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734B7C1E"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Total parameter and other variations</w:t>
            </w:r>
          </w:p>
        </w:tc>
        <w:tc>
          <w:tcPr>
            <w:tcW w:w="479" w:type="pct"/>
            <w:tcBorders>
              <w:top w:val="single" w:sz="4" w:space="0" w:color="auto"/>
              <w:left w:val="nil"/>
              <w:bottom w:val="nil"/>
              <w:right w:val="nil"/>
            </w:tcBorders>
            <w:shd w:val="clear" w:color="000000" w:fill="FFFFFF"/>
            <w:noWrap/>
            <w:vAlign w:val="center"/>
            <w:hideMark/>
          </w:tcPr>
          <w:p w14:paraId="31E57DC4"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single" w:sz="4" w:space="0" w:color="auto"/>
              <w:left w:val="nil"/>
              <w:bottom w:val="nil"/>
              <w:right w:val="nil"/>
            </w:tcBorders>
            <w:shd w:val="clear" w:color="000000" w:fill="F2F9FC"/>
            <w:noWrap/>
            <w:vAlign w:val="center"/>
            <w:hideMark/>
          </w:tcPr>
          <w:p w14:paraId="4C168D36"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492" w:type="pct"/>
            <w:tcBorders>
              <w:top w:val="single" w:sz="4" w:space="0" w:color="auto"/>
              <w:left w:val="nil"/>
              <w:bottom w:val="nil"/>
              <w:right w:val="nil"/>
            </w:tcBorders>
            <w:shd w:val="clear" w:color="000000" w:fill="FFFFFF"/>
            <w:noWrap/>
            <w:vAlign w:val="center"/>
            <w:hideMark/>
          </w:tcPr>
          <w:p w14:paraId="183435A0"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single" w:sz="4" w:space="0" w:color="auto"/>
              <w:left w:val="nil"/>
              <w:bottom w:val="nil"/>
              <w:right w:val="nil"/>
            </w:tcBorders>
            <w:shd w:val="clear" w:color="000000" w:fill="FFFFFF"/>
            <w:noWrap/>
            <w:vAlign w:val="center"/>
            <w:hideMark/>
          </w:tcPr>
          <w:p w14:paraId="25F9E8E8"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92" w:type="pct"/>
            <w:tcBorders>
              <w:top w:val="single" w:sz="4" w:space="0" w:color="auto"/>
              <w:left w:val="nil"/>
              <w:bottom w:val="nil"/>
              <w:right w:val="nil"/>
            </w:tcBorders>
            <w:shd w:val="clear" w:color="000000" w:fill="FFFFFF"/>
            <w:noWrap/>
            <w:vAlign w:val="center"/>
            <w:hideMark/>
          </w:tcPr>
          <w:p w14:paraId="7F68E571"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c>
          <w:tcPr>
            <w:tcW w:w="47" w:type="pct"/>
            <w:tcBorders>
              <w:top w:val="nil"/>
              <w:left w:val="nil"/>
              <w:bottom w:val="nil"/>
              <w:right w:val="nil"/>
            </w:tcBorders>
            <w:shd w:val="clear" w:color="000000" w:fill="FFFFFF"/>
            <w:noWrap/>
            <w:vAlign w:val="center"/>
            <w:hideMark/>
          </w:tcPr>
          <w:p w14:paraId="76372618"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3CBD6546" w14:textId="77777777" w:rsidR="00E36C92" w:rsidRPr="0008340F" w:rsidRDefault="00E36C92" w:rsidP="0008340F">
            <w:pPr>
              <w:spacing w:after="0" w:line="240" w:lineRule="auto"/>
              <w:jc w:val="right"/>
              <w:rPr>
                <w:rFonts w:ascii="Arial" w:hAnsi="Arial" w:cs="Arial"/>
                <w:i/>
                <w:iCs/>
                <w:sz w:val="16"/>
                <w:szCs w:val="16"/>
              </w:rPr>
            </w:pPr>
            <w:r w:rsidRPr="0008340F">
              <w:rPr>
                <w:rFonts w:ascii="Arial" w:hAnsi="Arial" w:cs="Arial"/>
                <w:i/>
                <w:iCs/>
                <w:sz w:val="16"/>
                <w:szCs w:val="16"/>
              </w:rPr>
              <w:t> </w:t>
            </w:r>
          </w:p>
        </w:tc>
      </w:tr>
      <w:tr w:rsidR="00D43F09" w:rsidRPr="00E36C92" w14:paraId="3D67ECD4"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47905E72" w14:textId="77777777" w:rsidR="00E36C92" w:rsidRPr="0008340F" w:rsidRDefault="00E36C92" w:rsidP="0008340F">
            <w:pPr>
              <w:spacing w:after="0" w:line="240" w:lineRule="auto"/>
              <w:ind w:left="170"/>
              <w:jc w:val="left"/>
              <w:rPr>
                <w:rFonts w:ascii="Arial" w:hAnsi="Arial" w:cs="Arial"/>
                <w:sz w:val="16"/>
                <w:szCs w:val="16"/>
              </w:rPr>
            </w:pPr>
            <w:r w:rsidRPr="0008340F">
              <w:rPr>
                <w:rFonts w:ascii="Arial" w:hAnsi="Arial" w:cs="Arial"/>
                <w:sz w:val="16"/>
                <w:szCs w:val="16"/>
              </w:rPr>
              <w:t>impact on underlying cash balance</w:t>
            </w:r>
          </w:p>
        </w:tc>
        <w:tc>
          <w:tcPr>
            <w:tcW w:w="479" w:type="pct"/>
            <w:tcBorders>
              <w:top w:val="nil"/>
              <w:left w:val="nil"/>
              <w:bottom w:val="nil"/>
              <w:right w:val="nil"/>
            </w:tcBorders>
            <w:shd w:val="clear" w:color="000000" w:fill="FFFFFF"/>
            <w:noWrap/>
            <w:vAlign w:val="center"/>
            <w:hideMark/>
          </w:tcPr>
          <w:p w14:paraId="088423A5" w14:textId="04B93D10"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1</w:t>
            </w:r>
          </w:p>
        </w:tc>
        <w:tc>
          <w:tcPr>
            <w:tcW w:w="492" w:type="pct"/>
            <w:tcBorders>
              <w:top w:val="nil"/>
              <w:left w:val="nil"/>
              <w:bottom w:val="nil"/>
              <w:right w:val="nil"/>
            </w:tcBorders>
            <w:shd w:val="clear" w:color="000000" w:fill="F2F9FC"/>
            <w:noWrap/>
            <w:vAlign w:val="center"/>
            <w:hideMark/>
          </w:tcPr>
          <w:p w14:paraId="50581774"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568</w:t>
            </w:r>
          </w:p>
        </w:tc>
        <w:tc>
          <w:tcPr>
            <w:tcW w:w="492" w:type="pct"/>
            <w:tcBorders>
              <w:top w:val="nil"/>
              <w:left w:val="nil"/>
              <w:bottom w:val="nil"/>
              <w:right w:val="nil"/>
            </w:tcBorders>
            <w:shd w:val="clear" w:color="000000" w:fill="FFFFFF"/>
            <w:noWrap/>
            <w:vAlign w:val="center"/>
            <w:hideMark/>
          </w:tcPr>
          <w:p w14:paraId="5E88A4EA"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69</w:t>
            </w:r>
          </w:p>
        </w:tc>
        <w:tc>
          <w:tcPr>
            <w:tcW w:w="492" w:type="pct"/>
            <w:tcBorders>
              <w:top w:val="nil"/>
              <w:left w:val="nil"/>
              <w:bottom w:val="nil"/>
              <w:right w:val="nil"/>
            </w:tcBorders>
            <w:shd w:val="clear" w:color="000000" w:fill="FFFFFF"/>
            <w:noWrap/>
            <w:vAlign w:val="center"/>
            <w:hideMark/>
          </w:tcPr>
          <w:p w14:paraId="3B2B94CD"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82</w:t>
            </w:r>
          </w:p>
        </w:tc>
        <w:tc>
          <w:tcPr>
            <w:tcW w:w="492" w:type="pct"/>
            <w:tcBorders>
              <w:top w:val="nil"/>
              <w:left w:val="nil"/>
              <w:bottom w:val="nil"/>
              <w:right w:val="nil"/>
            </w:tcBorders>
            <w:shd w:val="clear" w:color="000000" w:fill="FFFFFF"/>
            <w:noWrap/>
            <w:vAlign w:val="center"/>
            <w:hideMark/>
          </w:tcPr>
          <w:p w14:paraId="11F8569D"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175</w:t>
            </w:r>
          </w:p>
        </w:tc>
        <w:tc>
          <w:tcPr>
            <w:tcW w:w="47" w:type="pct"/>
            <w:tcBorders>
              <w:top w:val="nil"/>
              <w:left w:val="nil"/>
              <w:bottom w:val="nil"/>
              <w:right w:val="nil"/>
            </w:tcBorders>
            <w:shd w:val="clear" w:color="000000" w:fill="FFFFFF"/>
            <w:noWrap/>
            <w:vAlign w:val="center"/>
            <w:hideMark/>
          </w:tcPr>
          <w:p w14:paraId="7F1F8C37"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nil"/>
              <w:right w:val="nil"/>
            </w:tcBorders>
            <w:shd w:val="clear" w:color="000000" w:fill="FFFFFF"/>
            <w:noWrap/>
            <w:vAlign w:val="center"/>
            <w:hideMark/>
          </w:tcPr>
          <w:p w14:paraId="7853093F"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894</w:t>
            </w:r>
          </w:p>
        </w:tc>
      </w:tr>
      <w:tr w:rsidR="00E36C92" w:rsidRPr="00E36C92" w14:paraId="5E62A3DE" w14:textId="77777777" w:rsidTr="00E36C92">
        <w:trPr>
          <w:trHeight w:hRule="exact" w:val="60"/>
        </w:trPr>
        <w:tc>
          <w:tcPr>
            <w:tcW w:w="2003" w:type="pct"/>
            <w:tcBorders>
              <w:top w:val="nil"/>
              <w:left w:val="nil"/>
              <w:bottom w:val="nil"/>
              <w:right w:val="nil"/>
            </w:tcBorders>
            <w:shd w:val="clear" w:color="000000" w:fill="FFFFFF"/>
            <w:noWrap/>
            <w:vAlign w:val="center"/>
            <w:hideMark/>
          </w:tcPr>
          <w:p w14:paraId="4353336F" w14:textId="6A7A4C94"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 </w:t>
            </w:r>
          </w:p>
        </w:tc>
        <w:tc>
          <w:tcPr>
            <w:tcW w:w="479" w:type="pct"/>
            <w:tcBorders>
              <w:top w:val="nil"/>
              <w:left w:val="nil"/>
              <w:bottom w:val="single" w:sz="4" w:space="0" w:color="auto"/>
              <w:right w:val="nil"/>
            </w:tcBorders>
            <w:shd w:val="clear" w:color="000000" w:fill="FFFFFF"/>
            <w:noWrap/>
            <w:vAlign w:val="center"/>
            <w:hideMark/>
          </w:tcPr>
          <w:p w14:paraId="69E8F274" w14:textId="70D8A9E5"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492" w:type="pct"/>
            <w:tcBorders>
              <w:top w:val="nil"/>
              <w:left w:val="nil"/>
              <w:bottom w:val="single" w:sz="4" w:space="0" w:color="auto"/>
              <w:right w:val="nil"/>
            </w:tcBorders>
            <w:shd w:val="clear" w:color="000000" w:fill="F2F9FC"/>
            <w:noWrap/>
            <w:vAlign w:val="center"/>
            <w:hideMark/>
          </w:tcPr>
          <w:p w14:paraId="28AA30C5" w14:textId="42FAB81E"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492" w:type="pct"/>
            <w:tcBorders>
              <w:top w:val="nil"/>
              <w:left w:val="nil"/>
              <w:bottom w:val="single" w:sz="4" w:space="0" w:color="auto"/>
              <w:right w:val="nil"/>
            </w:tcBorders>
            <w:shd w:val="clear" w:color="000000" w:fill="FFFFFF"/>
            <w:noWrap/>
            <w:vAlign w:val="center"/>
            <w:hideMark/>
          </w:tcPr>
          <w:p w14:paraId="241DCD3C" w14:textId="27762F8A"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492" w:type="pct"/>
            <w:tcBorders>
              <w:top w:val="nil"/>
              <w:left w:val="nil"/>
              <w:bottom w:val="single" w:sz="4" w:space="0" w:color="auto"/>
              <w:right w:val="nil"/>
            </w:tcBorders>
            <w:shd w:val="clear" w:color="000000" w:fill="FFFFFF"/>
            <w:noWrap/>
            <w:vAlign w:val="center"/>
            <w:hideMark/>
          </w:tcPr>
          <w:p w14:paraId="26573E35" w14:textId="77777777"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492" w:type="pct"/>
            <w:tcBorders>
              <w:top w:val="nil"/>
              <w:left w:val="nil"/>
              <w:bottom w:val="single" w:sz="4" w:space="0" w:color="auto"/>
              <w:right w:val="nil"/>
            </w:tcBorders>
            <w:shd w:val="clear" w:color="000000" w:fill="FFFFFF"/>
            <w:noWrap/>
            <w:vAlign w:val="center"/>
            <w:hideMark/>
          </w:tcPr>
          <w:p w14:paraId="7BFA2EB3" w14:textId="7C0A9666"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47" w:type="pct"/>
            <w:tcBorders>
              <w:top w:val="nil"/>
              <w:left w:val="nil"/>
              <w:bottom w:val="nil"/>
              <w:right w:val="nil"/>
            </w:tcBorders>
            <w:shd w:val="clear" w:color="000000" w:fill="FFFFFF"/>
            <w:noWrap/>
            <w:vAlign w:val="center"/>
            <w:hideMark/>
          </w:tcPr>
          <w:p w14:paraId="47DE72C0" w14:textId="3D38BC05"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c>
          <w:tcPr>
            <w:tcW w:w="503" w:type="pct"/>
            <w:tcBorders>
              <w:top w:val="nil"/>
              <w:left w:val="nil"/>
              <w:bottom w:val="single" w:sz="4" w:space="0" w:color="auto"/>
              <w:right w:val="nil"/>
            </w:tcBorders>
            <w:shd w:val="clear" w:color="000000" w:fill="FFFFFF"/>
            <w:noWrap/>
            <w:vAlign w:val="center"/>
            <w:hideMark/>
          </w:tcPr>
          <w:p w14:paraId="3BE514FB" w14:textId="4491D41F" w:rsidR="00E36C92" w:rsidRPr="0008340F" w:rsidRDefault="00E36C92" w:rsidP="0008340F">
            <w:pPr>
              <w:spacing w:after="0" w:line="240" w:lineRule="auto"/>
              <w:jc w:val="right"/>
              <w:rPr>
                <w:rFonts w:ascii="Arial" w:hAnsi="Arial" w:cs="Arial"/>
                <w:color w:val="0066CC"/>
                <w:sz w:val="16"/>
                <w:szCs w:val="16"/>
              </w:rPr>
            </w:pPr>
            <w:r w:rsidRPr="0008340F">
              <w:rPr>
                <w:rFonts w:ascii="Arial" w:hAnsi="Arial" w:cs="Arial"/>
                <w:color w:val="0066CC"/>
                <w:sz w:val="16"/>
                <w:szCs w:val="16"/>
              </w:rPr>
              <w:t> </w:t>
            </w:r>
          </w:p>
        </w:tc>
      </w:tr>
      <w:tr w:rsidR="00D43F09" w:rsidRPr="00E36C92" w14:paraId="7E613FB6"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09356ED1" w14:textId="77777777" w:rsidR="00E36C92" w:rsidRPr="0008340F" w:rsidRDefault="00E36C92" w:rsidP="0008340F">
            <w:pPr>
              <w:spacing w:after="0" w:line="240" w:lineRule="auto"/>
              <w:jc w:val="left"/>
              <w:rPr>
                <w:rFonts w:ascii="Arial" w:hAnsi="Arial" w:cs="Arial"/>
                <w:b/>
                <w:bCs/>
                <w:sz w:val="16"/>
                <w:szCs w:val="16"/>
              </w:rPr>
            </w:pPr>
            <w:r w:rsidRPr="0008340F">
              <w:rPr>
                <w:rFonts w:ascii="Arial" w:hAnsi="Arial" w:cs="Arial"/>
                <w:b/>
                <w:bCs/>
                <w:sz w:val="16"/>
                <w:szCs w:val="16"/>
              </w:rPr>
              <w:t>2022 PEFO underlying cash</w:t>
            </w:r>
          </w:p>
        </w:tc>
        <w:tc>
          <w:tcPr>
            <w:tcW w:w="479" w:type="pct"/>
            <w:tcBorders>
              <w:top w:val="nil"/>
              <w:left w:val="nil"/>
              <w:bottom w:val="nil"/>
              <w:right w:val="nil"/>
            </w:tcBorders>
            <w:shd w:val="clear" w:color="000000" w:fill="FFFFFF"/>
            <w:noWrap/>
            <w:vAlign w:val="center"/>
            <w:hideMark/>
          </w:tcPr>
          <w:p w14:paraId="61E9025E"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2F9FC"/>
            <w:noWrap/>
            <w:vAlign w:val="center"/>
            <w:hideMark/>
          </w:tcPr>
          <w:p w14:paraId="430CC410"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5BCA7393"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00C0BF79"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92" w:type="pct"/>
            <w:tcBorders>
              <w:top w:val="nil"/>
              <w:left w:val="nil"/>
              <w:bottom w:val="nil"/>
              <w:right w:val="nil"/>
            </w:tcBorders>
            <w:shd w:val="clear" w:color="000000" w:fill="FFFFFF"/>
            <w:noWrap/>
            <w:vAlign w:val="center"/>
            <w:hideMark/>
          </w:tcPr>
          <w:p w14:paraId="7D7E3C1A"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47" w:type="pct"/>
            <w:tcBorders>
              <w:top w:val="nil"/>
              <w:left w:val="nil"/>
              <w:bottom w:val="nil"/>
              <w:right w:val="nil"/>
            </w:tcBorders>
            <w:shd w:val="clear" w:color="000000" w:fill="FFFFFF"/>
            <w:noWrap/>
            <w:vAlign w:val="center"/>
            <w:hideMark/>
          </w:tcPr>
          <w:p w14:paraId="6ED4A5A8"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503" w:type="pct"/>
            <w:tcBorders>
              <w:top w:val="nil"/>
              <w:left w:val="nil"/>
              <w:bottom w:val="nil"/>
              <w:right w:val="nil"/>
            </w:tcBorders>
            <w:shd w:val="clear" w:color="000000" w:fill="FFFFFF"/>
            <w:noWrap/>
            <w:vAlign w:val="center"/>
            <w:hideMark/>
          </w:tcPr>
          <w:p w14:paraId="6EE41F48" w14:textId="77777777"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r>
      <w:tr w:rsidR="00D43F09" w:rsidRPr="00E36C92" w14:paraId="79C7FE60" w14:textId="77777777" w:rsidTr="00E36C92">
        <w:trPr>
          <w:trHeight w:hRule="exact" w:val="225"/>
        </w:trPr>
        <w:tc>
          <w:tcPr>
            <w:tcW w:w="2003" w:type="pct"/>
            <w:tcBorders>
              <w:top w:val="nil"/>
              <w:left w:val="nil"/>
              <w:bottom w:val="nil"/>
              <w:right w:val="nil"/>
            </w:tcBorders>
            <w:shd w:val="clear" w:color="000000" w:fill="FFFFFF"/>
            <w:noWrap/>
            <w:vAlign w:val="center"/>
            <w:hideMark/>
          </w:tcPr>
          <w:p w14:paraId="13E34067" w14:textId="77777777" w:rsidR="00E36C92" w:rsidRPr="0008340F" w:rsidRDefault="00E36C92" w:rsidP="0008340F">
            <w:pPr>
              <w:spacing w:after="0" w:line="240" w:lineRule="auto"/>
              <w:ind w:left="170"/>
              <w:jc w:val="left"/>
              <w:rPr>
                <w:rFonts w:ascii="Arial" w:hAnsi="Arial" w:cs="Arial"/>
                <w:b/>
                <w:bCs/>
                <w:sz w:val="16"/>
                <w:szCs w:val="16"/>
              </w:rPr>
            </w:pPr>
            <w:r w:rsidRPr="0008340F">
              <w:rPr>
                <w:rFonts w:ascii="Arial" w:hAnsi="Arial" w:cs="Arial"/>
                <w:b/>
                <w:bCs/>
                <w:sz w:val="16"/>
                <w:szCs w:val="16"/>
              </w:rPr>
              <w:t>balance</w:t>
            </w:r>
          </w:p>
        </w:tc>
        <w:tc>
          <w:tcPr>
            <w:tcW w:w="479" w:type="pct"/>
            <w:tcBorders>
              <w:top w:val="nil"/>
              <w:left w:val="nil"/>
              <w:bottom w:val="nil"/>
              <w:right w:val="nil"/>
            </w:tcBorders>
            <w:shd w:val="clear" w:color="000000" w:fill="FFFFFF"/>
            <w:noWrap/>
            <w:vAlign w:val="center"/>
            <w:hideMark/>
          </w:tcPr>
          <w:p w14:paraId="102A5F60" w14:textId="2A1407EA"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79,799</w:t>
            </w:r>
          </w:p>
        </w:tc>
        <w:tc>
          <w:tcPr>
            <w:tcW w:w="492" w:type="pct"/>
            <w:tcBorders>
              <w:top w:val="nil"/>
              <w:left w:val="nil"/>
              <w:bottom w:val="nil"/>
              <w:right w:val="nil"/>
            </w:tcBorders>
            <w:shd w:val="clear" w:color="000000" w:fill="F2F9FC"/>
            <w:noWrap/>
            <w:vAlign w:val="center"/>
            <w:hideMark/>
          </w:tcPr>
          <w:p w14:paraId="4499A2F1" w14:textId="2366E0D1"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77,937</w:t>
            </w:r>
          </w:p>
        </w:tc>
        <w:tc>
          <w:tcPr>
            <w:tcW w:w="492" w:type="pct"/>
            <w:tcBorders>
              <w:top w:val="nil"/>
              <w:left w:val="nil"/>
              <w:bottom w:val="nil"/>
              <w:right w:val="nil"/>
            </w:tcBorders>
            <w:shd w:val="clear" w:color="000000" w:fill="FFFFFF"/>
            <w:noWrap/>
            <w:vAlign w:val="center"/>
            <w:hideMark/>
          </w:tcPr>
          <w:p w14:paraId="550CD2D0" w14:textId="6625823D"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56,525</w:t>
            </w:r>
          </w:p>
        </w:tc>
        <w:tc>
          <w:tcPr>
            <w:tcW w:w="492" w:type="pct"/>
            <w:tcBorders>
              <w:top w:val="nil"/>
              <w:left w:val="nil"/>
              <w:bottom w:val="nil"/>
              <w:right w:val="nil"/>
            </w:tcBorders>
            <w:shd w:val="clear" w:color="000000" w:fill="FFFFFF"/>
            <w:noWrap/>
            <w:vAlign w:val="center"/>
            <w:hideMark/>
          </w:tcPr>
          <w:p w14:paraId="6800588A" w14:textId="198F99A3"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47,093</w:t>
            </w:r>
          </w:p>
        </w:tc>
        <w:tc>
          <w:tcPr>
            <w:tcW w:w="492" w:type="pct"/>
            <w:tcBorders>
              <w:top w:val="nil"/>
              <w:left w:val="nil"/>
              <w:bottom w:val="nil"/>
              <w:right w:val="nil"/>
            </w:tcBorders>
            <w:shd w:val="clear" w:color="000000" w:fill="FFFFFF"/>
            <w:noWrap/>
            <w:vAlign w:val="center"/>
            <w:hideMark/>
          </w:tcPr>
          <w:p w14:paraId="7051A44F" w14:textId="3AEF2CBE"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42,936</w:t>
            </w:r>
          </w:p>
        </w:tc>
        <w:tc>
          <w:tcPr>
            <w:tcW w:w="47" w:type="pct"/>
            <w:tcBorders>
              <w:top w:val="nil"/>
              <w:left w:val="nil"/>
              <w:bottom w:val="nil"/>
              <w:right w:val="nil"/>
            </w:tcBorders>
            <w:shd w:val="clear" w:color="000000" w:fill="FFFFFF"/>
            <w:noWrap/>
            <w:vAlign w:val="center"/>
            <w:hideMark/>
          </w:tcPr>
          <w:p w14:paraId="07196669" w14:textId="29838DF8" w:rsidR="00E36C92" w:rsidRPr="0008340F" w:rsidRDefault="00E36C92" w:rsidP="0008340F">
            <w:pPr>
              <w:spacing w:after="0" w:line="240" w:lineRule="auto"/>
              <w:jc w:val="right"/>
              <w:rPr>
                <w:rFonts w:ascii="Arial" w:hAnsi="Arial" w:cs="Arial"/>
                <w:b/>
                <w:bCs/>
                <w:sz w:val="16"/>
                <w:szCs w:val="16"/>
              </w:rPr>
            </w:pPr>
            <w:r w:rsidRPr="0008340F">
              <w:rPr>
                <w:rFonts w:ascii="Arial" w:hAnsi="Arial" w:cs="Arial"/>
                <w:b/>
                <w:bCs/>
                <w:sz w:val="16"/>
                <w:szCs w:val="16"/>
              </w:rPr>
              <w:t> </w:t>
            </w:r>
          </w:p>
        </w:tc>
        <w:tc>
          <w:tcPr>
            <w:tcW w:w="503" w:type="pct"/>
            <w:tcBorders>
              <w:top w:val="nil"/>
              <w:left w:val="nil"/>
              <w:bottom w:val="nil"/>
              <w:right w:val="nil"/>
            </w:tcBorders>
            <w:shd w:val="clear" w:color="000000" w:fill="FFFFFF"/>
            <w:noWrap/>
            <w:vAlign w:val="center"/>
            <w:hideMark/>
          </w:tcPr>
          <w:p w14:paraId="747A796C" w14:textId="4A123567" w:rsidR="00E36C92" w:rsidRPr="0008340F" w:rsidRDefault="00660645" w:rsidP="0008340F">
            <w:pPr>
              <w:spacing w:after="0" w:line="240" w:lineRule="auto"/>
              <w:jc w:val="right"/>
              <w:rPr>
                <w:rFonts w:ascii="Arial" w:hAnsi="Arial" w:cs="Arial"/>
                <w:b/>
                <w:bCs/>
                <w:sz w:val="16"/>
                <w:szCs w:val="16"/>
              </w:rPr>
            </w:pPr>
            <w:r>
              <w:rPr>
                <w:rFonts w:ascii="Arial" w:hAnsi="Arial" w:cs="Arial"/>
                <w:b/>
                <w:bCs/>
                <w:sz w:val="16"/>
                <w:szCs w:val="16"/>
              </w:rPr>
              <w:noBreakHyphen/>
            </w:r>
            <w:r w:rsidR="00E36C92" w:rsidRPr="0008340F">
              <w:rPr>
                <w:rFonts w:ascii="Arial" w:hAnsi="Arial" w:cs="Arial"/>
                <w:b/>
                <w:bCs/>
                <w:sz w:val="16"/>
                <w:szCs w:val="16"/>
              </w:rPr>
              <w:t>224,490</w:t>
            </w:r>
          </w:p>
        </w:tc>
      </w:tr>
      <w:tr w:rsidR="00D43F09" w:rsidRPr="00E36C92" w14:paraId="0E1A4A5A" w14:textId="77777777" w:rsidTr="00E36C92">
        <w:trPr>
          <w:trHeight w:hRule="exact" w:val="225"/>
        </w:trPr>
        <w:tc>
          <w:tcPr>
            <w:tcW w:w="2003" w:type="pct"/>
            <w:tcBorders>
              <w:top w:val="nil"/>
              <w:left w:val="nil"/>
              <w:bottom w:val="single" w:sz="4" w:space="0" w:color="000000"/>
              <w:right w:val="nil"/>
            </w:tcBorders>
            <w:shd w:val="clear" w:color="000000" w:fill="FFFFFF"/>
            <w:noWrap/>
            <w:vAlign w:val="center"/>
            <w:hideMark/>
          </w:tcPr>
          <w:p w14:paraId="6DF967FC" w14:textId="77777777" w:rsidR="00E36C92" w:rsidRPr="0008340F" w:rsidRDefault="00E36C92" w:rsidP="0008340F">
            <w:pPr>
              <w:spacing w:after="0" w:line="240" w:lineRule="auto"/>
              <w:jc w:val="left"/>
              <w:rPr>
                <w:rFonts w:ascii="Arial" w:hAnsi="Arial" w:cs="Arial"/>
                <w:sz w:val="16"/>
                <w:szCs w:val="16"/>
              </w:rPr>
            </w:pPr>
            <w:r w:rsidRPr="0008340F">
              <w:rPr>
                <w:rFonts w:ascii="Arial" w:hAnsi="Arial" w:cs="Arial"/>
                <w:sz w:val="16"/>
                <w:szCs w:val="16"/>
              </w:rPr>
              <w:t>Per cent of GDP</w:t>
            </w:r>
          </w:p>
        </w:tc>
        <w:tc>
          <w:tcPr>
            <w:tcW w:w="479" w:type="pct"/>
            <w:tcBorders>
              <w:top w:val="nil"/>
              <w:left w:val="nil"/>
              <w:bottom w:val="single" w:sz="4" w:space="0" w:color="000000"/>
              <w:right w:val="nil"/>
            </w:tcBorders>
            <w:shd w:val="clear" w:color="000000" w:fill="FFFFFF"/>
            <w:noWrap/>
            <w:vAlign w:val="center"/>
            <w:hideMark/>
          </w:tcPr>
          <w:p w14:paraId="14171C18" w14:textId="4CFE87DF"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3.5</w:t>
            </w:r>
          </w:p>
        </w:tc>
        <w:tc>
          <w:tcPr>
            <w:tcW w:w="492" w:type="pct"/>
            <w:tcBorders>
              <w:top w:val="nil"/>
              <w:left w:val="nil"/>
              <w:bottom w:val="single" w:sz="4" w:space="0" w:color="000000"/>
              <w:right w:val="nil"/>
            </w:tcBorders>
            <w:shd w:val="clear" w:color="000000" w:fill="F2F9FC"/>
            <w:noWrap/>
            <w:vAlign w:val="center"/>
            <w:hideMark/>
          </w:tcPr>
          <w:p w14:paraId="559D8DC6" w14:textId="6EEAB7A0"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3.4</w:t>
            </w:r>
          </w:p>
        </w:tc>
        <w:tc>
          <w:tcPr>
            <w:tcW w:w="492" w:type="pct"/>
            <w:tcBorders>
              <w:top w:val="nil"/>
              <w:left w:val="nil"/>
              <w:bottom w:val="single" w:sz="4" w:space="0" w:color="000000"/>
              <w:right w:val="nil"/>
            </w:tcBorders>
            <w:shd w:val="clear" w:color="000000" w:fill="FFFFFF"/>
            <w:noWrap/>
            <w:vAlign w:val="center"/>
            <w:hideMark/>
          </w:tcPr>
          <w:p w14:paraId="1854C298" w14:textId="59C74EC4"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2.4</w:t>
            </w:r>
          </w:p>
        </w:tc>
        <w:tc>
          <w:tcPr>
            <w:tcW w:w="492" w:type="pct"/>
            <w:tcBorders>
              <w:top w:val="nil"/>
              <w:left w:val="nil"/>
              <w:bottom w:val="single" w:sz="4" w:space="0" w:color="000000"/>
              <w:right w:val="nil"/>
            </w:tcBorders>
            <w:shd w:val="clear" w:color="000000" w:fill="FFFFFF"/>
            <w:noWrap/>
            <w:vAlign w:val="center"/>
            <w:hideMark/>
          </w:tcPr>
          <w:p w14:paraId="06B9F6A5" w14:textId="13C7B555"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1.9</w:t>
            </w:r>
          </w:p>
        </w:tc>
        <w:tc>
          <w:tcPr>
            <w:tcW w:w="492" w:type="pct"/>
            <w:tcBorders>
              <w:top w:val="nil"/>
              <w:left w:val="nil"/>
              <w:bottom w:val="single" w:sz="4" w:space="0" w:color="000000"/>
              <w:right w:val="nil"/>
            </w:tcBorders>
            <w:shd w:val="clear" w:color="000000" w:fill="FFFFFF"/>
            <w:noWrap/>
            <w:vAlign w:val="center"/>
            <w:hideMark/>
          </w:tcPr>
          <w:p w14:paraId="2737DEFA" w14:textId="3EEA5046" w:rsidR="00E36C92" w:rsidRPr="0008340F" w:rsidRDefault="00660645" w:rsidP="0008340F">
            <w:pPr>
              <w:spacing w:after="0" w:line="240" w:lineRule="auto"/>
              <w:jc w:val="right"/>
              <w:rPr>
                <w:rFonts w:ascii="Arial" w:hAnsi="Arial" w:cs="Arial"/>
                <w:sz w:val="16"/>
                <w:szCs w:val="16"/>
              </w:rPr>
            </w:pPr>
            <w:r>
              <w:rPr>
                <w:rFonts w:ascii="Arial" w:hAnsi="Arial" w:cs="Arial"/>
                <w:sz w:val="16"/>
                <w:szCs w:val="16"/>
              </w:rPr>
              <w:noBreakHyphen/>
            </w:r>
            <w:r w:rsidR="00E36C92" w:rsidRPr="0008340F">
              <w:rPr>
                <w:rFonts w:ascii="Arial" w:hAnsi="Arial" w:cs="Arial"/>
                <w:sz w:val="16"/>
                <w:szCs w:val="16"/>
              </w:rPr>
              <w:t>1.6</w:t>
            </w:r>
          </w:p>
        </w:tc>
        <w:tc>
          <w:tcPr>
            <w:tcW w:w="47" w:type="pct"/>
            <w:tcBorders>
              <w:top w:val="nil"/>
              <w:left w:val="nil"/>
              <w:bottom w:val="single" w:sz="4" w:space="0" w:color="000000"/>
              <w:right w:val="nil"/>
            </w:tcBorders>
            <w:shd w:val="clear" w:color="000000" w:fill="FFFFFF"/>
            <w:noWrap/>
            <w:vAlign w:val="center"/>
            <w:hideMark/>
          </w:tcPr>
          <w:p w14:paraId="2571D7CA" w14:textId="36EA1B5E"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c>
          <w:tcPr>
            <w:tcW w:w="503" w:type="pct"/>
            <w:tcBorders>
              <w:top w:val="nil"/>
              <w:left w:val="nil"/>
              <w:bottom w:val="single" w:sz="4" w:space="0" w:color="000000"/>
              <w:right w:val="nil"/>
            </w:tcBorders>
            <w:shd w:val="clear" w:color="000000" w:fill="FFFFFF"/>
            <w:noWrap/>
            <w:vAlign w:val="center"/>
            <w:hideMark/>
          </w:tcPr>
          <w:p w14:paraId="1B70385A" w14:textId="77777777" w:rsidR="00E36C92" w:rsidRPr="0008340F" w:rsidRDefault="00E36C92" w:rsidP="0008340F">
            <w:pPr>
              <w:spacing w:after="0" w:line="240" w:lineRule="auto"/>
              <w:jc w:val="right"/>
              <w:rPr>
                <w:rFonts w:ascii="Arial" w:hAnsi="Arial" w:cs="Arial"/>
                <w:sz w:val="16"/>
                <w:szCs w:val="16"/>
              </w:rPr>
            </w:pPr>
            <w:r w:rsidRPr="0008340F">
              <w:rPr>
                <w:rFonts w:ascii="Arial" w:hAnsi="Arial" w:cs="Arial"/>
                <w:sz w:val="16"/>
                <w:szCs w:val="16"/>
              </w:rPr>
              <w:t> </w:t>
            </w:r>
          </w:p>
        </w:tc>
      </w:tr>
    </w:tbl>
    <w:p w14:paraId="0CF2A70A" w14:textId="071012E7" w:rsidR="00076460" w:rsidRPr="00FC57F9" w:rsidRDefault="00076460" w:rsidP="00424761">
      <w:pPr>
        <w:pStyle w:val="ChartandTableFootnoteAlpha"/>
        <w:numPr>
          <w:ilvl w:val="0"/>
          <w:numId w:val="11"/>
        </w:numPr>
        <w:rPr>
          <w:color w:val="auto"/>
        </w:rPr>
      </w:pPr>
      <w:r w:rsidRPr="00FC57F9">
        <w:rPr>
          <w:color w:val="auto"/>
        </w:rPr>
        <w:t>Total is equal to the sum of amounts from 2022</w:t>
      </w:r>
      <w:r w:rsidR="00660645">
        <w:rPr>
          <w:color w:val="auto"/>
        </w:rPr>
        <w:noBreakHyphen/>
      </w:r>
      <w:r w:rsidRPr="00FC57F9">
        <w:rPr>
          <w:color w:val="auto"/>
        </w:rPr>
        <w:t>23 to 2025</w:t>
      </w:r>
      <w:r w:rsidR="00660645">
        <w:rPr>
          <w:color w:val="auto"/>
        </w:rPr>
        <w:noBreakHyphen/>
      </w:r>
      <w:r w:rsidRPr="00FC57F9">
        <w:rPr>
          <w:color w:val="auto"/>
        </w:rPr>
        <w:t>26.</w:t>
      </w:r>
    </w:p>
    <w:p w14:paraId="74706045" w14:textId="05EB5243" w:rsidR="00076460" w:rsidRPr="00625155" w:rsidRDefault="00076460" w:rsidP="00424761">
      <w:pPr>
        <w:pStyle w:val="ChartandTableFootnoteAlpha"/>
        <w:numPr>
          <w:ilvl w:val="0"/>
          <w:numId w:val="11"/>
        </w:numPr>
        <w:rPr>
          <w:color w:val="auto"/>
        </w:rPr>
      </w:pPr>
      <w:r w:rsidRPr="00625155">
        <w:rPr>
          <w:color w:val="auto"/>
        </w:rPr>
        <w:t>Excludes secondary impacts on public debt interest of policy decisions and offsets from the</w:t>
      </w:r>
      <w:r w:rsidR="00927BF0" w:rsidRPr="00625155">
        <w:rPr>
          <w:color w:val="auto"/>
        </w:rPr>
        <w:t xml:space="preserve"> </w:t>
      </w:r>
      <w:r w:rsidRPr="00625155">
        <w:rPr>
          <w:color w:val="auto"/>
        </w:rPr>
        <w:t>Contingency Reserve for decisions taken.</w:t>
      </w:r>
    </w:p>
    <w:p w14:paraId="6CD0A139" w14:textId="42563818" w:rsidR="00076460" w:rsidRPr="00625155" w:rsidRDefault="00076460" w:rsidP="00424761">
      <w:pPr>
        <w:pStyle w:val="ChartandTableFootnoteAlpha"/>
        <w:numPr>
          <w:ilvl w:val="0"/>
          <w:numId w:val="11"/>
        </w:numPr>
        <w:rPr>
          <w:color w:val="auto"/>
        </w:rPr>
      </w:pPr>
      <w:r w:rsidRPr="00625155">
        <w:rPr>
          <w:color w:val="auto"/>
        </w:rPr>
        <w:t>A positive number for receipts improves the underlying cash balance, while a</w:t>
      </w:r>
      <w:r w:rsidR="00927BF0" w:rsidRPr="00625155">
        <w:rPr>
          <w:color w:val="auto"/>
        </w:rPr>
        <w:t xml:space="preserve"> </w:t>
      </w:r>
      <w:r w:rsidRPr="00625155">
        <w:rPr>
          <w:color w:val="auto"/>
        </w:rPr>
        <w:t>positive number for payments worsens the underlying cash balance.</w:t>
      </w:r>
    </w:p>
    <w:p w14:paraId="1AC608BC" w14:textId="731E801B" w:rsidR="00076460" w:rsidRPr="00625155" w:rsidRDefault="00076460" w:rsidP="00927BF0">
      <w:pPr>
        <w:pStyle w:val="SingleParagraph"/>
      </w:pPr>
    </w:p>
    <w:p w14:paraId="6B7283AB" w14:textId="63A486E2" w:rsidR="00347031" w:rsidRDefault="00076460" w:rsidP="00E449DC">
      <w:r w:rsidRPr="00625155">
        <w:t>Policy decisions taken since the Budget have had a negative underlying cash balance impact of $</w:t>
      </w:r>
      <w:r w:rsidR="00CB0738">
        <w:t>54</w:t>
      </w:r>
      <w:r w:rsidR="00D83E40">
        <w:t>2.7</w:t>
      </w:r>
      <w:r w:rsidRPr="00625155">
        <w:t xml:space="preserve"> million in </w:t>
      </w:r>
      <w:r w:rsidR="00CB0738">
        <w:t>2022</w:t>
      </w:r>
      <w:r w:rsidR="00660645">
        <w:noBreakHyphen/>
      </w:r>
      <w:r w:rsidR="00CB0738">
        <w:t>23</w:t>
      </w:r>
      <w:r w:rsidRPr="00625155">
        <w:t xml:space="preserve"> and $</w:t>
      </w:r>
      <w:r w:rsidR="00CB0738">
        <w:t>71</w:t>
      </w:r>
      <w:r w:rsidR="00D83E40">
        <w:t>3.9</w:t>
      </w:r>
      <w:r w:rsidRPr="00625155">
        <w:t xml:space="preserve"> million over the 4 years to 2025</w:t>
      </w:r>
      <w:r w:rsidR="00660645">
        <w:noBreakHyphen/>
      </w:r>
      <w:r w:rsidRPr="00625155">
        <w:t xml:space="preserve">26. </w:t>
      </w:r>
    </w:p>
    <w:p w14:paraId="42B9DEA4" w14:textId="6E612DFF" w:rsidR="008C1813" w:rsidRDefault="00076460" w:rsidP="0034104B">
      <w:bookmarkStart w:id="45" w:name="_Hlk100843388"/>
      <w:r w:rsidRPr="00625155">
        <w:t>This primarily reflects decisions</w:t>
      </w:r>
      <w:r w:rsidR="002B4CC9">
        <w:t xml:space="preserve"> to fund additional projects under the Infrastructure Investment Program and through Community Development Grants, and to extend the reporting period for the Royal Commission into Defence and Veteran Suicide for a further 12 months to 17 June 2024</w:t>
      </w:r>
      <w:r w:rsidR="00086CF5">
        <w:t xml:space="preserve">, </w:t>
      </w:r>
      <w:r w:rsidR="0006618C">
        <w:t>as well as</w:t>
      </w:r>
      <w:r w:rsidR="00086CF5">
        <w:t xml:space="preserve"> t</w:t>
      </w:r>
      <w:r w:rsidR="00086CF5" w:rsidRPr="00625155">
        <w:t>he finalisation of the Australia</w:t>
      </w:r>
      <w:r w:rsidR="00660645">
        <w:noBreakHyphen/>
      </w:r>
      <w:r w:rsidR="00086CF5" w:rsidRPr="00625155">
        <w:t>India Economic Cooperation and Trade Agreement (AI ECTA)</w:t>
      </w:r>
      <w:r w:rsidR="00347031">
        <w:t>.</w:t>
      </w:r>
      <w:r w:rsidR="00DA79D2">
        <w:t xml:space="preserve"> </w:t>
      </w:r>
    </w:p>
    <w:p w14:paraId="28209850" w14:textId="445FA064" w:rsidR="00FB265A" w:rsidRDefault="008C1813" w:rsidP="00FB265A">
      <w:r>
        <w:t>The  impact of these policy decisions ha</w:t>
      </w:r>
      <w:r w:rsidR="00EE6009">
        <w:t>s</w:t>
      </w:r>
      <w:r>
        <w:t xml:space="preserve"> been partially offset by the reversal of a number of decisions previously taken but not yet announced </w:t>
      </w:r>
      <w:r w:rsidRPr="0008340F">
        <w:t>($36</w:t>
      </w:r>
      <w:r w:rsidR="00EE6009">
        <w:t>4.6</w:t>
      </w:r>
      <w:r w:rsidRPr="0008340F">
        <w:t> million</w:t>
      </w:r>
      <w:r>
        <w:t xml:space="preserve"> over the 4 years to 2025</w:t>
      </w:r>
      <w:r w:rsidR="00660645">
        <w:noBreakHyphen/>
      </w:r>
      <w:r>
        <w:t xml:space="preserve">26) and the decision not to proceed with contingency measures to support the implementation of Workforce Australia, which are no longer required as the </w:t>
      </w:r>
      <w:r w:rsidRPr="00590078">
        <w:rPr>
          <w:i/>
        </w:rPr>
        <w:t>Social Security Legislation Amendment (Streamlined Participation Requirements and Other Measures) Bill 2022</w:t>
      </w:r>
      <w:r>
        <w:t xml:space="preserve"> received Royal Assent on 1 April 2022 </w:t>
      </w:r>
      <w:r w:rsidRPr="00784C4D">
        <w:t>($256</w:t>
      </w:r>
      <w:r w:rsidR="00EE6009">
        <w:t>.0</w:t>
      </w:r>
      <w:r w:rsidRPr="00784C4D">
        <w:t> million</w:t>
      </w:r>
      <w:r>
        <w:t xml:space="preserve"> over the 4 years to 2025</w:t>
      </w:r>
      <w:r w:rsidR="00660645">
        <w:noBreakHyphen/>
      </w:r>
      <w:r>
        <w:t>26).</w:t>
      </w:r>
      <w:bookmarkEnd w:id="45"/>
      <w:r w:rsidR="00FB265A">
        <w:t xml:space="preserve"> </w:t>
      </w:r>
    </w:p>
    <w:p w14:paraId="6C0E41B3" w14:textId="25A5E3B0" w:rsidR="00DA79D2" w:rsidRDefault="00DA79D2" w:rsidP="0034104B">
      <w:r>
        <w:t xml:space="preserve">In addition, in response to the floods in parts of New South Wales (NSW) and Queensland the Government </w:t>
      </w:r>
      <w:r w:rsidRPr="00C90CF6">
        <w:t>has committed</w:t>
      </w:r>
      <w:r>
        <w:t xml:space="preserve"> a further</w:t>
      </w:r>
      <w:r w:rsidRPr="00C90CF6">
        <w:t xml:space="preserve"> </w:t>
      </w:r>
      <w:r w:rsidRPr="00784C4D">
        <w:t>$534</w:t>
      </w:r>
      <w:r w:rsidR="006A1E0C">
        <w:t>.0</w:t>
      </w:r>
      <w:r w:rsidRPr="00784C4D">
        <w:t xml:space="preserve"> million in 2022</w:t>
      </w:r>
      <w:r w:rsidR="00660645">
        <w:noBreakHyphen/>
      </w:r>
      <w:r w:rsidRPr="00784C4D">
        <w:t>23</w:t>
      </w:r>
      <w:r>
        <w:t>. The costs of these flood</w:t>
      </w:r>
      <w:r w:rsidR="00660645">
        <w:noBreakHyphen/>
      </w:r>
      <w:r>
        <w:t>related measures will be met by drawing down the spending provision included in the Budget</w:t>
      </w:r>
      <w:r w:rsidDel="002678E1">
        <w:t xml:space="preserve"> </w:t>
      </w:r>
      <w:r>
        <w:t xml:space="preserve">to provide for additional Commonwealth expenditure for the floods response in </w:t>
      </w:r>
      <w:r w:rsidR="006A1E0C" w:rsidRPr="00976DF7">
        <w:t xml:space="preserve">those </w:t>
      </w:r>
      <w:r w:rsidR="00F406F4">
        <w:t>s</w:t>
      </w:r>
      <w:r w:rsidR="006A1E0C" w:rsidRPr="00976DF7">
        <w:t>tates</w:t>
      </w:r>
      <w:r>
        <w:t>.</w:t>
      </w:r>
      <w:r w:rsidRPr="009D4CB6">
        <w:t xml:space="preserve"> </w:t>
      </w:r>
    </w:p>
    <w:p w14:paraId="4784F26C" w14:textId="5B3C1ADE" w:rsidR="00076460" w:rsidRPr="00625155" w:rsidRDefault="00076460" w:rsidP="00E449DC">
      <w:r w:rsidRPr="00625155">
        <w:t xml:space="preserve">Details of all policy decisions taken since the Budget are provided at Appendix B. </w:t>
      </w:r>
    </w:p>
    <w:p w14:paraId="20E6F39D" w14:textId="0C06F114" w:rsidR="00FB167D" w:rsidRDefault="00076460" w:rsidP="00784C4D">
      <w:r w:rsidRPr="00625155">
        <w:t xml:space="preserve">Parameter and other variations since the Budget have had a positive underlying cash balance impact of </w:t>
      </w:r>
      <w:r w:rsidRPr="00836605">
        <w:t>$</w:t>
      </w:r>
      <w:r w:rsidR="008908B3" w:rsidRPr="00836605">
        <w:t>89</w:t>
      </w:r>
      <w:r w:rsidR="00836605">
        <w:t>3.7</w:t>
      </w:r>
      <w:r w:rsidR="008908B3" w:rsidRPr="00836605">
        <w:t xml:space="preserve"> </w:t>
      </w:r>
      <w:r w:rsidRPr="00A4627C">
        <w:t>million</w:t>
      </w:r>
      <w:r w:rsidRPr="00625155">
        <w:t xml:space="preserve"> over the 4 years to 2025</w:t>
      </w:r>
      <w:r w:rsidR="00660645">
        <w:noBreakHyphen/>
      </w:r>
      <w:r w:rsidRPr="00625155">
        <w:t xml:space="preserve">26, </w:t>
      </w:r>
      <w:r w:rsidR="00A02A60">
        <w:t xml:space="preserve">largely </w:t>
      </w:r>
      <w:r w:rsidR="00A02A60" w:rsidRPr="003F465B">
        <w:t xml:space="preserve">reflecting </w:t>
      </w:r>
      <w:r w:rsidR="00A02A60">
        <w:rPr>
          <w:color w:val="000000"/>
        </w:rPr>
        <w:t xml:space="preserve">the </w:t>
      </w:r>
      <w:r w:rsidR="00FB167D">
        <w:t>drawdown of the flood response spending provision included in the Budget ($</w:t>
      </w:r>
      <w:r w:rsidR="00836605" w:rsidRPr="003E3DBA">
        <w:t>686.8</w:t>
      </w:r>
      <w:r w:rsidR="00836605">
        <w:t> </w:t>
      </w:r>
      <w:r w:rsidR="00FB167D" w:rsidRPr="00784C4D">
        <w:t xml:space="preserve">million over </w:t>
      </w:r>
      <w:r w:rsidR="00AF1EEF">
        <w:t>2</w:t>
      </w:r>
      <w:r w:rsidR="00FB167D" w:rsidRPr="00784C4D">
        <w:t xml:space="preserve"> years from 2021</w:t>
      </w:r>
      <w:r w:rsidR="00660645">
        <w:noBreakHyphen/>
      </w:r>
      <w:r w:rsidR="00FB167D" w:rsidRPr="00784C4D">
        <w:t>22)</w:t>
      </w:r>
      <w:r w:rsidR="00FB167D">
        <w:t xml:space="preserve">. </w:t>
      </w:r>
      <w:r w:rsidR="00836605" w:rsidRPr="00976DF7">
        <w:rPr>
          <w:color w:val="000000"/>
        </w:rPr>
        <w:t>The drawdown from the flood response provision</w:t>
      </w:r>
      <w:r w:rsidR="00FB167D">
        <w:t xml:space="preserve"> includes funding of </w:t>
      </w:r>
      <w:r w:rsidR="00FB167D" w:rsidRPr="00784C4D">
        <w:t>$150</w:t>
      </w:r>
      <w:r w:rsidR="00836605">
        <w:t>.0</w:t>
      </w:r>
      <w:r w:rsidR="00FB167D" w:rsidRPr="00784C4D">
        <w:t> million</w:t>
      </w:r>
      <w:r w:rsidR="00FB167D">
        <w:t xml:space="preserve"> in 2021</w:t>
      </w:r>
      <w:r w:rsidR="00660645">
        <w:noBreakHyphen/>
      </w:r>
      <w:r w:rsidR="00FB167D">
        <w:t xml:space="preserve">22 for the Australian Government Disaster Recovery Payments (AGDRP) and Disaster Recovery Allowance. The flood response provision is discussed in the </w:t>
      </w:r>
      <w:r w:rsidR="00FB167D">
        <w:rPr>
          <w:i/>
        </w:rPr>
        <w:t>2022</w:t>
      </w:r>
      <w:r w:rsidR="00660645">
        <w:rPr>
          <w:i/>
        </w:rPr>
        <w:noBreakHyphen/>
      </w:r>
      <w:r w:rsidR="00FB167D">
        <w:rPr>
          <w:i/>
        </w:rPr>
        <w:t>23 Budget Statement 5: Expenses and Net Capital Investment.</w:t>
      </w:r>
      <w:r w:rsidR="002A5476">
        <w:rPr>
          <w:i/>
        </w:rPr>
        <w:t xml:space="preserve"> </w:t>
      </w:r>
    </w:p>
    <w:p w14:paraId="1DF5A8FC" w14:textId="0AD3913E" w:rsidR="00076460" w:rsidRPr="00625155" w:rsidRDefault="6AAC6FDA" w:rsidP="00784C4D">
      <w:r w:rsidRPr="00625155">
        <w:t>Th</w:t>
      </w:r>
      <w:r w:rsidR="00DF6A54">
        <w:t>is also reflects</w:t>
      </w:r>
      <w:r w:rsidR="00587E13">
        <w:t xml:space="preserve"> the</w:t>
      </w:r>
      <w:r w:rsidRPr="00625155">
        <w:t xml:space="preserve"> reversal of the customs duty provision in the Budget for AI ECTA, </w:t>
      </w:r>
      <w:r w:rsidR="00CF15E5">
        <w:t xml:space="preserve">with </w:t>
      </w:r>
      <w:r w:rsidR="00924BEE">
        <w:t>a</w:t>
      </w:r>
      <w:r w:rsidR="00F23ECE">
        <w:t xml:space="preserve"> </w:t>
      </w:r>
      <w:r w:rsidR="00F23ECE" w:rsidRPr="00625155">
        <w:t xml:space="preserve">positive underlying cash balance </w:t>
      </w:r>
      <w:r w:rsidR="00CF15E5">
        <w:t>impact of</w:t>
      </w:r>
      <w:r w:rsidRPr="00625155">
        <w:t xml:space="preserve"> $370.0 million over the </w:t>
      </w:r>
      <w:r w:rsidR="32DC0A72" w:rsidRPr="00625155">
        <w:t>4</w:t>
      </w:r>
      <w:r w:rsidR="00863713">
        <w:t> </w:t>
      </w:r>
      <w:r w:rsidRPr="00625155">
        <w:t>years to 2025</w:t>
      </w:r>
      <w:r w:rsidR="00660645">
        <w:noBreakHyphen/>
      </w:r>
      <w:r w:rsidRPr="00625155">
        <w:t>26</w:t>
      </w:r>
      <w:r w:rsidRPr="00F03213">
        <w:t>.</w:t>
      </w:r>
      <w:r w:rsidR="007E758F" w:rsidRPr="00625155" w:rsidDel="00FB167D">
        <w:t xml:space="preserve"> </w:t>
      </w:r>
    </w:p>
    <w:p w14:paraId="2AA5F0E2" w14:textId="691C404B" w:rsidR="002B4CC9" w:rsidRDefault="002B4CC9" w:rsidP="002B4CC9">
      <w:pPr>
        <w:rPr>
          <w:color w:val="000000"/>
        </w:rPr>
      </w:pPr>
      <w:r w:rsidRPr="001C08AD">
        <w:t xml:space="preserve">In line with normal practice, the forward estimates in the PEFO do not incorporate ongoing funding for some items that are considered on a year by year or more frequent basis, including </w:t>
      </w:r>
      <w:r>
        <w:rPr>
          <w:color w:val="000000"/>
        </w:rPr>
        <w:t xml:space="preserve">defence operations and costs for Pharmaceutical Benefits Scheme new listings. </w:t>
      </w:r>
    </w:p>
    <w:p w14:paraId="2139FC22" w14:textId="10CB2C42" w:rsidR="007B6CA7" w:rsidRPr="00625155" w:rsidRDefault="002B4CC9" w:rsidP="002B4CC9">
      <w:r>
        <w:t>Payments to partly reimburse states and territories for any future natural disasters under the Disaster Recovery Funding Arrangements (DRFA) are also not generally included in the forward estimates. The Budget included a spending provision of $3.0</w:t>
      </w:r>
      <w:r w:rsidR="004C5A3A">
        <w:t> </w:t>
      </w:r>
      <w:r>
        <w:t xml:space="preserve">billion over the forward estimates to accommodate additional Commonwealth expenditure on the flood response in parts of NSW and Queensland. </w:t>
      </w:r>
      <w:r w:rsidRPr="00784C4D">
        <w:t>$2.3 billion</w:t>
      </w:r>
      <w:r>
        <w:t xml:space="preserve"> of this provision remains to contribute to the future costs stemming from </w:t>
      </w:r>
      <w:r w:rsidR="00A4627C">
        <w:t>these</w:t>
      </w:r>
      <w:r>
        <w:t xml:space="preserve"> events (including for demand</w:t>
      </w:r>
      <w:r w:rsidR="00660645">
        <w:noBreakHyphen/>
      </w:r>
      <w:r>
        <w:t xml:space="preserve">driven payments under categories A and B of the DRFA and delayed claims on the AGDRP and Disaster Recovery Allowance). </w:t>
      </w:r>
      <w:r w:rsidR="001964DB" w:rsidRPr="00FF5F72">
        <w:t>It is likely there will be additional costs from these or other disaster events that the Commonwealth will need to fund under the DRFA, the AGDRP and Disaster Recovery Allowance.</w:t>
      </w:r>
      <w:r w:rsidR="007B6CA7" w:rsidRPr="00625155">
        <w:t xml:space="preserve"> </w:t>
      </w:r>
    </w:p>
    <w:p w14:paraId="7E1D0955" w14:textId="0324F43D" w:rsidR="00076460" w:rsidRPr="00625155" w:rsidRDefault="00076460" w:rsidP="00E449DC">
      <w:pPr>
        <w:pStyle w:val="Heading4"/>
        <w:rPr>
          <w:rFonts w:cs="Arial"/>
        </w:rPr>
      </w:pPr>
      <w:r w:rsidRPr="00625155">
        <w:rPr>
          <w:rFonts w:cs="Arial"/>
        </w:rPr>
        <w:t>Contingency Reserve</w:t>
      </w:r>
    </w:p>
    <w:p w14:paraId="1BB2E935" w14:textId="4F8ADD24" w:rsidR="002B4CC9" w:rsidRDefault="002B4CC9" w:rsidP="002B4CC9">
      <w:r w:rsidRPr="003F465B">
        <w:t xml:space="preserve">The Contingency Reserve estimates in the PEFO have been reduced since the Budget by </w:t>
      </w:r>
      <w:r w:rsidRPr="00784C4D">
        <w:t>$339</w:t>
      </w:r>
      <w:r w:rsidR="00A9451B" w:rsidRPr="00784C4D">
        <w:t>.4</w:t>
      </w:r>
      <w:r w:rsidRPr="00784C4D">
        <w:t> million</w:t>
      </w:r>
      <w:r w:rsidRPr="00636761">
        <w:t xml:space="preserve"> over the </w:t>
      </w:r>
      <w:r w:rsidR="00C9502A">
        <w:t>4</w:t>
      </w:r>
      <w:r w:rsidRPr="00636761">
        <w:t xml:space="preserve"> years to 202</w:t>
      </w:r>
      <w:r>
        <w:t>5</w:t>
      </w:r>
      <w:r w:rsidR="00660645">
        <w:noBreakHyphen/>
      </w:r>
      <w:r w:rsidRPr="00636761">
        <w:t>2</w:t>
      </w:r>
      <w:r>
        <w:t>6. Significant decreases</w:t>
      </w:r>
      <w:r w:rsidRPr="00636761">
        <w:t xml:space="preserve"> </w:t>
      </w:r>
      <w:r>
        <w:t>since the Budget include:</w:t>
      </w:r>
    </w:p>
    <w:p w14:paraId="39A953EC" w14:textId="69BDF314" w:rsidR="002B4CC9" w:rsidRPr="002B4CC9" w:rsidRDefault="002B4CC9" w:rsidP="002B4CC9">
      <w:pPr>
        <w:pStyle w:val="Bullet"/>
        <w:rPr>
          <w:color w:val="000000"/>
        </w:rPr>
      </w:pPr>
      <w:r w:rsidRPr="002B4CC9">
        <w:rPr>
          <w:color w:val="000000"/>
        </w:rPr>
        <w:t>the partial drawdown of the Budget provision for the potential costs of the long</w:t>
      </w:r>
      <w:r w:rsidR="00660645">
        <w:rPr>
          <w:color w:val="000000"/>
        </w:rPr>
        <w:noBreakHyphen/>
      </w:r>
      <w:r w:rsidRPr="002B4CC9">
        <w:rPr>
          <w:color w:val="000000"/>
        </w:rPr>
        <w:t>term response to the February</w:t>
      </w:r>
      <w:r w:rsidR="00660645">
        <w:rPr>
          <w:color w:val="000000"/>
        </w:rPr>
        <w:noBreakHyphen/>
      </w:r>
      <w:r w:rsidRPr="002B4CC9">
        <w:rPr>
          <w:color w:val="000000"/>
        </w:rPr>
        <w:t>March 2022 floods in parts of NSW and Queensland</w:t>
      </w:r>
    </w:p>
    <w:p w14:paraId="629E143A" w14:textId="3EE8A088" w:rsidR="002B4CC9" w:rsidRDefault="002B4CC9" w:rsidP="002B4CC9">
      <w:pPr>
        <w:pStyle w:val="Bullet"/>
        <w:rPr>
          <w:color w:val="000000"/>
        </w:rPr>
      </w:pPr>
      <w:r w:rsidRPr="002B4CC9">
        <w:rPr>
          <w:color w:val="000000"/>
        </w:rPr>
        <w:t>the removal of decisions taken but not yet announced (DTBNYAs) from the Budget or prior rounds, which have now been reflected against entity estimates. These movements do not have any impact on the underlying cash balance as funding for DTBNYA items have already been reflected in the estimates in the previous budget rounds</w:t>
      </w:r>
    </w:p>
    <w:p w14:paraId="043A0C74" w14:textId="63AFBF67" w:rsidR="003E08D1" w:rsidRPr="002B4CC9" w:rsidRDefault="002B4CC9" w:rsidP="002B4CC9">
      <w:pPr>
        <w:pStyle w:val="Bullet"/>
        <w:rPr>
          <w:color w:val="000000"/>
        </w:rPr>
      </w:pPr>
      <w:r w:rsidRPr="0088592D">
        <w:t>the reversal of DTBNYA</w:t>
      </w:r>
      <w:r>
        <w:t>s</w:t>
      </w:r>
      <w:r w:rsidRPr="0088592D">
        <w:t xml:space="preserve"> from the Budget</w:t>
      </w:r>
      <w:r>
        <w:t xml:space="preserve"> or prior rounds, the value of </w:t>
      </w:r>
      <w:r w:rsidR="00601F51">
        <w:t>which</w:t>
      </w:r>
      <w:r>
        <w:t xml:space="preserve"> are included in </w:t>
      </w:r>
      <w:r w:rsidRPr="00784C4D">
        <w:t>Appendix B</w:t>
      </w:r>
      <w:r>
        <w:t>.</w:t>
      </w:r>
    </w:p>
    <w:p w14:paraId="68839267" w14:textId="5BE03438" w:rsidR="002B4CC9" w:rsidRDefault="005210DC" w:rsidP="0034104B">
      <w:r>
        <w:t>I</w:t>
      </w:r>
      <w:r w:rsidR="002B4CC9" w:rsidRPr="00636761">
        <w:t>n the PEFO</w:t>
      </w:r>
      <w:r>
        <w:t>,</w:t>
      </w:r>
      <w:r w:rsidR="002B4CC9" w:rsidRPr="00636761">
        <w:t xml:space="preserve"> the Contingency Reserve estimates reduce expenses by </w:t>
      </w:r>
      <w:r w:rsidR="002B4CC9" w:rsidRPr="003E3DBA">
        <w:t>$2.</w:t>
      </w:r>
      <w:r w:rsidRPr="003E3DBA">
        <w:t>5</w:t>
      </w:r>
      <w:r w:rsidR="002B4CC9" w:rsidRPr="003E3DBA">
        <w:t xml:space="preserve"> billion in 2022</w:t>
      </w:r>
      <w:r w:rsidR="00660645">
        <w:noBreakHyphen/>
      </w:r>
      <w:r w:rsidR="002B4CC9" w:rsidRPr="003E3DBA">
        <w:t>23, $6.</w:t>
      </w:r>
      <w:r w:rsidRPr="003E3DBA">
        <w:t>2</w:t>
      </w:r>
      <w:r w:rsidR="002B4CC9" w:rsidRPr="003E3DBA">
        <w:t> billion in 2023</w:t>
      </w:r>
      <w:r w:rsidR="00660645">
        <w:noBreakHyphen/>
      </w:r>
      <w:r w:rsidR="002B4CC9" w:rsidRPr="003E3DBA">
        <w:t>24, $</w:t>
      </w:r>
      <w:r w:rsidRPr="003E3DBA">
        <w:t>9.8</w:t>
      </w:r>
      <w:r w:rsidR="002B4CC9" w:rsidRPr="003E3DBA">
        <w:t xml:space="preserve"> billion in 2024</w:t>
      </w:r>
      <w:r w:rsidR="00660645">
        <w:noBreakHyphen/>
      </w:r>
      <w:r w:rsidR="002B4CC9" w:rsidRPr="003E3DBA">
        <w:t>25 and $16.</w:t>
      </w:r>
      <w:r w:rsidRPr="003E3DBA">
        <w:t>4</w:t>
      </w:r>
      <w:r w:rsidR="002B4CC9" w:rsidRPr="003E3DBA">
        <w:t> billion in 2025</w:t>
      </w:r>
      <w:r w:rsidR="00660645">
        <w:noBreakHyphen/>
      </w:r>
      <w:r w:rsidR="002B4CC9" w:rsidRPr="003E3DBA">
        <w:t>26</w:t>
      </w:r>
      <w:r w:rsidR="002B4CC9" w:rsidRPr="00636761">
        <w:t>. The largest components of the Contingency Reserve are unchanged from the Budget and are as follows:</w:t>
      </w:r>
    </w:p>
    <w:p w14:paraId="5A8BA159" w14:textId="10AB1CE2" w:rsidR="002B4CC9" w:rsidRPr="00430676" w:rsidRDefault="002B4CC9" w:rsidP="002B4CC9">
      <w:pPr>
        <w:pStyle w:val="Bullet"/>
        <w:numPr>
          <w:ilvl w:val="0"/>
          <w:numId w:val="3"/>
        </w:numPr>
      </w:pPr>
      <w:r w:rsidRPr="00430676">
        <w:t>an underspend provision in 2021</w:t>
      </w:r>
      <w:r w:rsidR="00660645">
        <w:noBreakHyphen/>
      </w:r>
      <w:r w:rsidRPr="00430676">
        <w:t>22 that reflects the tendency for budgeted expenses for some entities or functions not to be met</w:t>
      </w:r>
    </w:p>
    <w:p w14:paraId="39B9C3E0" w14:textId="6B7E94F4" w:rsidR="002B4CC9" w:rsidRPr="00430676" w:rsidRDefault="002B4CC9" w:rsidP="002B4CC9">
      <w:pPr>
        <w:pStyle w:val="Bullet"/>
        <w:tabs>
          <w:tab w:val="clear" w:pos="283"/>
          <w:tab w:val="left" w:pos="284"/>
        </w:tabs>
        <w:ind w:left="284" w:hanging="284"/>
      </w:pPr>
      <w:r w:rsidRPr="00430676">
        <w:t xml:space="preserve">the conservative bias allowance, which makes provision for the tendency for estimates of expenses for existing Government policy to be revised upwards in the forward years </w:t>
      </w:r>
      <w:r w:rsidRPr="001C2EB5">
        <w:t>($2.7 billion in 2023</w:t>
      </w:r>
      <w:r w:rsidR="00660645">
        <w:noBreakHyphen/>
      </w:r>
      <w:r w:rsidRPr="001C2EB5">
        <w:t>24, $5.6 billion in 2024</w:t>
      </w:r>
      <w:r w:rsidR="00660645">
        <w:noBreakHyphen/>
      </w:r>
      <w:r w:rsidRPr="001C2EB5">
        <w:t>25 and $11.6 billion in 2025</w:t>
      </w:r>
      <w:r w:rsidR="00660645">
        <w:noBreakHyphen/>
      </w:r>
      <w:r w:rsidRPr="001C2EB5">
        <w:t>26</w:t>
      </w:r>
      <w:r w:rsidRPr="00642B62">
        <w:t>)</w:t>
      </w:r>
    </w:p>
    <w:p w14:paraId="079E4579" w14:textId="1CFE169A" w:rsidR="002B4CC9" w:rsidRDefault="002B4CC9" w:rsidP="002B4CC9">
      <w:pPr>
        <w:pStyle w:val="Bullet"/>
        <w:tabs>
          <w:tab w:val="clear" w:pos="283"/>
          <w:tab w:val="left" w:pos="284"/>
        </w:tabs>
        <w:ind w:left="284" w:hanging="284"/>
      </w:pPr>
      <w:r w:rsidRPr="00A41B2D">
        <w:t xml:space="preserve">a provision to reflect the effects of economic parameter revisions received too late in the </w:t>
      </w:r>
      <w:r>
        <w:t>2022</w:t>
      </w:r>
      <w:r w:rsidR="00660645">
        <w:noBreakHyphen/>
      </w:r>
      <w:r>
        <w:t>23</w:t>
      </w:r>
      <w:r w:rsidRPr="00A41B2D">
        <w:t xml:space="preserve"> Budget process for inclusion in entity estimates</w:t>
      </w:r>
    </w:p>
    <w:p w14:paraId="12F9330D" w14:textId="1ABF79F5" w:rsidR="002B4CC9" w:rsidRDefault="002B4CC9" w:rsidP="002B4CC9">
      <w:pPr>
        <w:pStyle w:val="Bullet"/>
        <w:tabs>
          <w:tab w:val="clear" w:pos="283"/>
          <w:tab w:val="left" w:pos="284"/>
        </w:tabs>
        <w:ind w:left="284" w:hanging="284"/>
      </w:pPr>
      <w:r w:rsidRPr="00A41B2D">
        <w:t xml:space="preserve">a provision of </w:t>
      </w:r>
      <w:r w:rsidRPr="00784C4D">
        <w:t>$148 million</w:t>
      </w:r>
      <w:r>
        <w:t xml:space="preserve"> </w:t>
      </w:r>
      <w:r w:rsidRPr="00A41B2D">
        <w:t xml:space="preserve">over </w:t>
      </w:r>
      <w:r w:rsidR="000C4D5F">
        <w:t>4</w:t>
      </w:r>
      <w:r w:rsidRPr="00A41B2D">
        <w:t xml:space="preserve"> years from </w:t>
      </w:r>
      <w:r>
        <w:t>2022</w:t>
      </w:r>
      <w:r w:rsidR="00660645">
        <w:noBreakHyphen/>
      </w:r>
      <w:r>
        <w:t>23</w:t>
      </w:r>
      <w:r w:rsidRPr="00636761">
        <w:t xml:space="preserve"> </w:t>
      </w:r>
      <w:r w:rsidRPr="00A41B2D">
        <w:t>for the continuation of some expiring National Partnerships and possible by</w:t>
      </w:r>
      <w:r w:rsidR="00660645">
        <w:noBreakHyphen/>
      </w:r>
      <w:r w:rsidRPr="00A41B2D">
        <w:t>election costs for the Australian Electoral Commission.</w:t>
      </w:r>
    </w:p>
    <w:p w14:paraId="06689EF6" w14:textId="5A1335B7" w:rsidR="002B4CC9" w:rsidRPr="00636761" w:rsidRDefault="002B4CC9" w:rsidP="0034104B">
      <w:r w:rsidRPr="00636761">
        <w:t xml:space="preserve">As noted in the Budget, the Contingency Reserve contains estimates </w:t>
      </w:r>
      <w:r>
        <w:t xml:space="preserve">or funding </w:t>
      </w:r>
      <w:r w:rsidRPr="00636761">
        <w:t>for measures which have been announced but cannot yet be included in entity estimates, usually due to some uncertainty as to their final cost and/or outcomes, or because they are subject to negotiations.</w:t>
      </w:r>
      <w:r>
        <w:t xml:space="preserve"> These include:</w:t>
      </w:r>
    </w:p>
    <w:p w14:paraId="7C75A3DD" w14:textId="766B387D" w:rsidR="002B4CC9" w:rsidRPr="00A94CC9" w:rsidRDefault="002B4CC9" w:rsidP="002B4CC9">
      <w:pPr>
        <w:pStyle w:val="Bullet"/>
        <w:rPr>
          <w:rFonts w:eastAsia="Book Antiqua"/>
        </w:rPr>
      </w:pPr>
      <w:r w:rsidRPr="00DA0471">
        <w:rPr>
          <w:rFonts w:eastAsia="Book Antiqua"/>
        </w:rPr>
        <w:t>funding for the negotiation of a new National Skills Agreement with the states</w:t>
      </w:r>
      <w:r w:rsidR="005210DC" w:rsidRPr="005210DC">
        <w:rPr>
          <w:rFonts w:eastAsia="Book Antiqua"/>
        </w:rPr>
        <w:t xml:space="preserve"> </w:t>
      </w:r>
      <w:r w:rsidR="005210DC" w:rsidRPr="00976DF7">
        <w:rPr>
          <w:rFonts w:eastAsia="Book Antiqua"/>
        </w:rPr>
        <w:t xml:space="preserve">of around $2.7 billion over the </w:t>
      </w:r>
      <w:r w:rsidR="00602D7A">
        <w:rPr>
          <w:rFonts w:eastAsia="Book Antiqua"/>
        </w:rPr>
        <w:t>4</w:t>
      </w:r>
      <w:r w:rsidR="005210DC" w:rsidRPr="00976DF7">
        <w:rPr>
          <w:rFonts w:eastAsia="Book Antiqua"/>
        </w:rPr>
        <w:t xml:space="preserve"> years to 2025</w:t>
      </w:r>
      <w:r w:rsidR="00660645">
        <w:rPr>
          <w:rFonts w:eastAsia="Book Antiqua"/>
        </w:rPr>
        <w:noBreakHyphen/>
      </w:r>
      <w:r w:rsidR="005210DC" w:rsidRPr="00976DF7">
        <w:rPr>
          <w:rFonts w:eastAsia="Book Antiqua"/>
        </w:rPr>
        <w:t>26</w:t>
      </w:r>
      <w:r>
        <w:rPr>
          <w:rFonts w:eastAsia="Book Antiqua"/>
        </w:rPr>
        <w:t>, which</w:t>
      </w:r>
      <w:r w:rsidRPr="00DA0471">
        <w:rPr>
          <w:rFonts w:eastAsia="Book Antiqua"/>
        </w:rPr>
        <w:t xml:space="preserve"> will remain in the Contingency Reserve as the agreement is subject to ongoing negotiations with the states</w:t>
      </w:r>
    </w:p>
    <w:p w14:paraId="481C56FC" w14:textId="15C0821D" w:rsidR="002B4CC9" w:rsidRPr="00DA0471" w:rsidRDefault="002B4CC9" w:rsidP="002B4CC9">
      <w:pPr>
        <w:pStyle w:val="Bullet"/>
        <w:rPr>
          <w:rFonts w:eastAsia="Book Antiqua"/>
        </w:rPr>
      </w:pPr>
      <w:r w:rsidRPr="00DA0471">
        <w:rPr>
          <w:rFonts w:eastAsia="Book Antiqua"/>
        </w:rPr>
        <w:t xml:space="preserve">funding for the Indigenous Recognition Referendum ($160 million) and the establishment of a Commonwealth Integrity Commission ($67 million over </w:t>
      </w:r>
      <w:r w:rsidR="00FE301F">
        <w:rPr>
          <w:rFonts w:eastAsia="Book Antiqua"/>
        </w:rPr>
        <w:t>4</w:t>
      </w:r>
      <w:r w:rsidRPr="00DA0471">
        <w:rPr>
          <w:rFonts w:eastAsia="Book Antiqua"/>
        </w:rPr>
        <w:t xml:space="preserve"> years from 2022</w:t>
      </w:r>
      <w:r w:rsidR="00660645">
        <w:rPr>
          <w:rFonts w:eastAsia="Book Antiqua"/>
        </w:rPr>
        <w:noBreakHyphen/>
      </w:r>
      <w:r w:rsidRPr="00DA0471">
        <w:rPr>
          <w:rFonts w:eastAsia="Book Antiqua"/>
        </w:rPr>
        <w:t>23, this is an ongoing meas</w:t>
      </w:r>
      <w:r>
        <w:rPr>
          <w:rFonts w:eastAsia="Book Antiqua"/>
        </w:rPr>
        <w:t>ure).</w:t>
      </w:r>
    </w:p>
    <w:p w14:paraId="2A633543" w14:textId="34D48E80" w:rsidR="002B4CC9" w:rsidRPr="002B4CC9" w:rsidRDefault="002B4CC9" w:rsidP="0034104B">
      <w:r w:rsidRPr="00DA0471">
        <w:t>The Contingency Reserve also includes a number of items that cannot be disclosed for commercial</w:t>
      </w:r>
      <w:r w:rsidR="00660645">
        <w:noBreakHyphen/>
      </w:r>
      <w:r w:rsidRPr="00DA0471">
        <w:t>in</w:t>
      </w:r>
      <w:r w:rsidR="00660645">
        <w:noBreakHyphen/>
      </w:r>
      <w:r w:rsidRPr="00DA0471">
        <w:t>confidence or national security reasons. These include a provision for the replacement of the Australian Electoral Commission</w:t>
      </w:r>
      <w:r w:rsidR="00660645">
        <w:t>’</w:t>
      </w:r>
      <w:r w:rsidRPr="00DA0471">
        <w:t>s election and roll management systems as part of tranche 2 of their ICT modernisation program. The amount of this provision is not</w:t>
      </w:r>
      <w:r w:rsidR="00660645">
        <w:noBreakHyphen/>
      </w:r>
      <w:r w:rsidRPr="00DA0471">
        <w:t>for</w:t>
      </w:r>
      <w:r w:rsidR="00660645">
        <w:noBreakHyphen/>
      </w:r>
      <w:r w:rsidRPr="00DA0471">
        <w:t>publication due to commercial sensitivities, as the program is subject to future procurement activity.</w:t>
      </w:r>
    </w:p>
    <w:p w14:paraId="6DB92DE0" w14:textId="45B51B5F" w:rsidR="00DE6E77" w:rsidRPr="00625155" w:rsidRDefault="00DE6E77" w:rsidP="00E449DC">
      <w:pPr>
        <w:pStyle w:val="Heading4"/>
        <w:rPr>
          <w:rFonts w:cs="Arial"/>
        </w:rPr>
      </w:pPr>
      <w:r w:rsidRPr="00625155">
        <w:rPr>
          <w:rFonts w:cs="Arial"/>
        </w:rPr>
        <w:t>Medium</w:t>
      </w:r>
      <w:r w:rsidR="00660645">
        <w:rPr>
          <w:rFonts w:cs="Arial"/>
        </w:rPr>
        <w:noBreakHyphen/>
      </w:r>
      <w:r w:rsidRPr="00625155">
        <w:rPr>
          <w:rFonts w:cs="Arial"/>
        </w:rPr>
        <w:t xml:space="preserve">term fiscal </w:t>
      </w:r>
      <w:r w:rsidR="00791D3C" w:rsidRPr="00625155">
        <w:rPr>
          <w:rFonts w:cs="Arial"/>
        </w:rPr>
        <w:t>outlook</w:t>
      </w:r>
    </w:p>
    <w:p w14:paraId="247D1060" w14:textId="6A83A68F" w:rsidR="006243CD" w:rsidRPr="00625155" w:rsidRDefault="002C0146" w:rsidP="006243CD">
      <w:r w:rsidRPr="00625155">
        <w:t>The underlying cash balance is projected to improve over the medium term to a deficit of 0.7 per cent of GDP in 2032</w:t>
      </w:r>
      <w:r w:rsidR="00660645">
        <w:noBreakHyphen/>
      </w:r>
      <w:r w:rsidRPr="00625155">
        <w:t xml:space="preserve">33 (Chart </w:t>
      </w:r>
      <w:r w:rsidR="0088203F">
        <w:t>1</w:t>
      </w:r>
      <w:r w:rsidRPr="00625155">
        <w:t>).</w:t>
      </w:r>
      <w:r w:rsidR="006243CD">
        <w:t xml:space="preserve"> </w:t>
      </w:r>
      <w:r w:rsidR="006243CD" w:rsidRPr="00625155">
        <w:t xml:space="preserve">Chart </w:t>
      </w:r>
      <w:r w:rsidR="006243CD">
        <w:t>2</w:t>
      </w:r>
      <w:r w:rsidR="006243CD" w:rsidRPr="00625155">
        <w:t xml:space="preserve"> shows total payments and total receipts projected to 2032</w:t>
      </w:r>
      <w:r w:rsidR="00660645">
        <w:noBreakHyphen/>
      </w:r>
      <w:r w:rsidR="006243CD" w:rsidRPr="00625155">
        <w:t>33.</w:t>
      </w:r>
    </w:p>
    <w:p w14:paraId="3D4B45FD" w14:textId="13B9BEC3" w:rsidR="00074506" w:rsidRPr="00625155" w:rsidRDefault="00074506" w:rsidP="00074506">
      <w:pPr>
        <w:pStyle w:val="ChartHeading"/>
      </w:pPr>
      <w:r w:rsidRPr="00625155">
        <w:t xml:space="preserve">Chart </w:t>
      </w:r>
      <w:r w:rsidR="0088203F">
        <w:t>1</w:t>
      </w:r>
      <w:r w:rsidRPr="00625155">
        <w:t xml:space="preserve">: Underlying cash balance </w:t>
      </w:r>
    </w:p>
    <w:p w14:paraId="0BC8DC3F" w14:textId="56C005AB" w:rsidR="00074506" w:rsidRPr="00625155" w:rsidRDefault="00D15595" w:rsidP="00B2500E">
      <w:pPr>
        <w:pStyle w:val="ChartGraphic"/>
      </w:pPr>
      <w:r>
        <w:rPr>
          <w:noProof/>
        </w:rPr>
        <w:drawing>
          <wp:inline distT="0" distB="0" distL="0" distR="0" wp14:anchorId="5A2DB963" wp14:editId="65DD7A73">
            <wp:extent cx="4688205" cy="2524125"/>
            <wp:effectExtent l="0" t="0" r="0" b="9525"/>
            <wp:docPr id="8" name="Picture 8" descr="This chart shows the trajectory of the underlying cash balance as at the 2022 PEFO. The underlying cash balance is expected to improve from a deficit of 3.4 per cent of GDP in 2022-23 to a deficit of 0.7 per cent of GDP at the end of the medium te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chart shows the trajectory of the underlying cash balance as at the 2022 PEFO. The underlying cash balance is expected to improve from a deficit of 3.4 per cent of GDP in 2022-23 to a deficit of 0.7 per cent of GDP at the end of the medium term.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88205" cy="2524125"/>
                    </a:xfrm>
                    <a:prstGeom prst="rect">
                      <a:avLst/>
                    </a:prstGeom>
                    <a:noFill/>
                  </pic:spPr>
                </pic:pic>
              </a:graphicData>
            </a:graphic>
          </wp:inline>
        </w:drawing>
      </w:r>
    </w:p>
    <w:p w14:paraId="16726355" w14:textId="101143C3" w:rsidR="00095B80" w:rsidRPr="00625155" w:rsidRDefault="00095B80" w:rsidP="00095B80">
      <w:pPr>
        <w:pStyle w:val="ChartandTableFootnote"/>
        <w:rPr>
          <w:rFonts w:eastAsiaTheme="minorHAnsi"/>
          <w:color w:val="auto"/>
        </w:rPr>
      </w:pPr>
      <w:r w:rsidRPr="00625155">
        <w:rPr>
          <w:color w:val="auto"/>
        </w:rPr>
        <w:t xml:space="preserve">Note: </w:t>
      </w:r>
      <w:r w:rsidRPr="00625155">
        <w:rPr>
          <w:color w:val="auto"/>
        </w:rPr>
        <w:tab/>
        <w:t xml:space="preserve">The </w:t>
      </w:r>
      <w:r w:rsidR="002854DA" w:rsidRPr="00625155">
        <w:rPr>
          <w:color w:val="auto"/>
        </w:rPr>
        <w:t>PEFO</w:t>
      </w:r>
      <w:r w:rsidRPr="00625155">
        <w:rPr>
          <w:color w:val="auto"/>
        </w:rPr>
        <w:t xml:space="preserve"> projections have tax receipts reaching the 23.9 per cent tax</w:t>
      </w:r>
      <w:r w:rsidR="00660645">
        <w:rPr>
          <w:color w:val="auto"/>
        </w:rPr>
        <w:noBreakHyphen/>
      </w:r>
      <w:r w:rsidRPr="00625155">
        <w:rPr>
          <w:color w:val="auto"/>
        </w:rPr>
        <w:t>to</w:t>
      </w:r>
      <w:r w:rsidR="00660645">
        <w:rPr>
          <w:color w:val="auto"/>
        </w:rPr>
        <w:noBreakHyphen/>
      </w:r>
      <w:r w:rsidRPr="00625155">
        <w:rPr>
          <w:color w:val="auto"/>
        </w:rPr>
        <w:t>GDP cap in 2031</w:t>
      </w:r>
      <w:r w:rsidR="00660645">
        <w:rPr>
          <w:color w:val="auto"/>
        </w:rPr>
        <w:noBreakHyphen/>
      </w:r>
      <w:r w:rsidRPr="00625155">
        <w:rPr>
          <w:color w:val="auto"/>
        </w:rPr>
        <w:t>32. Underlying cash balance projections exclude net Future Fund earnings before 2020</w:t>
      </w:r>
      <w:r w:rsidR="00660645">
        <w:rPr>
          <w:color w:val="auto"/>
        </w:rPr>
        <w:noBreakHyphen/>
      </w:r>
      <w:r w:rsidRPr="00625155">
        <w:rPr>
          <w:color w:val="auto"/>
        </w:rPr>
        <w:t xml:space="preserve">21. </w:t>
      </w:r>
    </w:p>
    <w:p w14:paraId="474C000F" w14:textId="06608235" w:rsidR="006243CD" w:rsidRDefault="00095B80" w:rsidP="006243CD">
      <w:pPr>
        <w:pStyle w:val="Source"/>
      </w:pPr>
      <w:r w:rsidRPr="00625155">
        <w:t xml:space="preserve">Source: </w:t>
      </w:r>
      <w:r w:rsidRPr="00625155">
        <w:tab/>
        <w:t>Treasury.</w:t>
      </w:r>
    </w:p>
    <w:p w14:paraId="183EECAE" w14:textId="06A17FBE" w:rsidR="00145D5D" w:rsidRPr="00625155" w:rsidRDefault="00145D5D" w:rsidP="007B6DF4">
      <w:pPr>
        <w:pStyle w:val="ChartHeading"/>
      </w:pPr>
      <w:r w:rsidRPr="00625155">
        <w:t xml:space="preserve">Chart </w:t>
      </w:r>
      <w:r w:rsidR="0088203F">
        <w:t>2</w:t>
      </w:r>
      <w:r w:rsidRPr="00625155">
        <w:t xml:space="preserve">: </w:t>
      </w:r>
      <w:r w:rsidR="00E55A01" w:rsidRPr="00625155">
        <w:t>Total payments and receipts</w:t>
      </w:r>
    </w:p>
    <w:p w14:paraId="26763918" w14:textId="6E4E9AAA" w:rsidR="00253C3C" w:rsidRDefault="00985BCB" w:rsidP="00AC4F0A">
      <w:pPr>
        <w:pStyle w:val="ChartGraphic"/>
        <w:rPr>
          <w:rFonts w:cs="Arial"/>
        </w:rPr>
      </w:pPr>
      <w:r>
        <w:rPr>
          <w:rFonts w:cs="Arial"/>
          <w:noProof/>
        </w:rPr>
        <w:drawing>
          <wp:inline distT="0" distB="0" distL="0" distR="0" wp14:anchorId="2EE3C8C1" wp14:editId="47F6B8B6">
            <wp:extent cx="4681855" cy="2573020"/>
            <wp:effectExtent l="0" t="0" r="0" b="0"/>
            <wp:docPr id="9" name="Picture 9" descr="This chart shows 2022 PEFO projections for total payments and receipts as a share of GDP. Total receipts are expected to be 23.8 per cent of GDP in 2022-23 and are projected to reach 25.8 per cent of GDP in 2032-33. Total payments are expected to fall from 27.2 per cent of GDP in 2022-23 to be 26.5 per cent of GDP in 2032-3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chart shows 2022 PEFO projections for total payments and receipts as a share of GDP. Total receipts are expected to be 23.8 per cent of GDP in 2022-23 and are projected to reach 25.8 per cent of GDP in 2032-33. Total payments are expected to fall from 27.2 per cent of GDP in 2022-23 to be 26.5 per cent of GDP in 2032-33.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81855" cy="2573020"/>
                    </a:xfrm>
                    <a:prstGeom prst="rect">
                      <a:avLst/>
                    </a:prstGeom>
                    <a:noFill/>
                  </pic:spPr>
                </pic:pic>
              </a:graphicData>
            </a:graphic>
          </wp:inline>
        </w:drawing>
      </w:r>
    </w:p>
    <w:p w14:paraId="5C2BDA42" w14:textId="0808EE81" w:rsidR="00820009" w:rsidRPr="00625155" w:rsidRDefault="00820009" w:rsidP="00820009">
      <w:pPr>
        <w:pStyle w:val="ChartandTableFootnote"/>
        <w:rPr>
          <w:color w:val="auto"/>
        </w:rPr>
      </w:pPr>
      <w:r w:rsidRPr="00625155">
        <w:rPr>
          <w:color w:val="auto"/>
        </w:rPr>
        <w:t xml:space="preserve">Note: </w:t>
      </w:r>
      <w:r w:rsidRPr="00625155">
        <w:rPr>
          <w:color w:val="auto"/>
        </w:rPr>
        <w:tab/>
        <w:t>Total receipts includes taxation and non</w:t>
      </w:r>
      <w:r w:rsidR="00660645">
        <w:rPr>
          <w:color w:val="auto"/>
        </w:rPr>
        <w:noBreakHyphen/>
      </w:r>
      <w:r w:rsidRPr="00625155">
        <w:rPr>
          <w:color w:val="auto"/>
        </w:rPr>
        <w:t>taxation receipts.</w:t>
      </w:r>
      <w:r w:rsidR="005B2FDF" w:rsidRPr="00625155">
        <w:rPr>
          <w:color w:val="auto"/>
        </w:rPr>
        <w:t xml:space="preserve"> The PEFO projections have tax receipts reaching the 23.9 per cent tax to GDP cap in 2031</w:t>
      </w:r>
      <w:r w:rsidR="00660645">
        <w:rPr>
          <w:color w:val="auto"/>
        </w:rPr>
        <w:noBreakHyphen/>
      </w:r>
      <w:r w:rsidR="005B2FDF" w:rsidRPr="00625155">
        <w:rPr>
          <w:color w:val="auto"/>
        </w:rPr>
        <w:t>32.</w:t>
      </w:r>
    </w:p>
    <w:p w14:paraId="24F2BC87" w14:textId="14AE2DA4" w:rsidR="00206734" w:rsidRPr="00625155" w:rsidRDefault="00820009" w:rsidP="0034104B">
      <w:pPr>
        <w:pStyle w:val="Source"/>
      </w:pPr>
      <w:r w:rsidRPr="00625155">
        <w:t xml:space="preserve">Source: </w:t>
      </w:r>
      <w:r w:rsidRPr="00625155">
        <w:tab/>
        <w:t>Treasury.</w:t>
      </w:r>
    </w:p>
    <w:p w14:paraId="5B574C6D" w14:textId="646F95F1" w:rsidR="00206734" w:rsidRPr="00625155" w:rsidRDefault="00476404" w:rsidP="009611DA">
      <w:r w:rsidRPr="00625155">
        <w:t>Total receipts are expected to be 23.8 per cent of GDP in 2022</w:t>
      </w:r>
      <w:r w:rsidR="00660645">
        <w:noBreakHyphen/>
      </w:r>
      <w:r w:rsidRPr="00625155">
        <w:t>23 and are projected to reach 25.8 per cent of GDP in 2032</w:t>
      </w:r>
      <w:r w:rsidR="00660645">
        <w:noBreakHyphen/>
      </w:r>
      <w:r w:rsidRPr="00625155">
        <w:t>33. Total payments are expected to fall from 27.2 per cent of GDP in 2022</w:t>
      </w:r>
      <w:r w:rsidR="00660645">
        <w:noBreakHyphen/>
      </w:r>
      <w:r w:rsidRPr="00625155">
        <w:t>23 to be 26.3 per cent of GDP in 2025</w:t>
      </w:r>
      <w:r w:rsidR="00660645">
        <w:noBreakHyphen/>
      </w:r>
      <w:r w:rsidRPr="00625155">
        <w:t>26. Payments as a share of GDP are projected to remain largely stable across the medium term to be 26.5 per cent</w:t>
      </w:r>
      <w:r w:rsidR="00A46D33">
        <w:t xml:space="preserve"> of GDP</w:t>
      </w:r>
      <w:r w:rsidRPr="00625155">
        <w:t xml:space="preserve"> in 2032</w:t>
      </w:r>
      <w:r w:rsidR="00660645">
        <w:noBreakHyphen/>
      </w:r>
      <w:r w:rsidRPr="00625155">
        <w:t>33</w:t>
      </w:r>
      <w:r w:rsidR="008E77F0" w:rsidRPr="00625155">
        <w:t xml:space="preserve">. </w:t>
      </w:r>
    </w:p>
    <w:p w14:paraId="6EA538FF" w14:textId="78BF41A2" w:rsidR="00830D6A" w:rsidRPr="00625155" w:rsidRDefault="00830D6A" w:rsidP="00830D6A">
      <w:r w:rsidRPr="00625155">
        <w:t>The structural budget balance has undergone a</w:t>
      </w:r>
      <w:r w:rsidRPr="00625155">
        <w:rPr>
          <w:b/>
        </w:rPr>
        <w:t xml:space="preserve"> </w:t>
      </w:r>
      <w:r w:rsidRPr="00625155">
        <w:t>deterioration since the onset of the pandemic. This reflects the increased spending that</w:t>
      </w:r>
      <w:r w:rsidRPr="00625155" w:rsidDel="00A23C13">
        <w:t xml:space="preserve"> </w:t>
      </w:r>
      <w:r w:rsidRPr="00625155" w:rsidDel="00C56697">
        <w:t xml:space="preserve">the Government has undertaken in </w:t>
      </w:r>
      <w:r w:rsidRPr="00625155">
        <w:t>areas such as the National Disability Insurance Scheme and aged care. An increase in interest payments also contributes to the higher payments profile over the medium term, reflecting the increased levels of debt accumulated as a result of the pandemic.</w:t>
      </w:r>
      <w:r w:rsidR="006C0F91" w:rsidRPr="006C0F91">
        <w:t xml:space="preserve"> </w:t>
      </w:r>
      <w:r w:rsidR="00FB6316">
        <w:t xml:space="preserve">More details can be found in </w:t>
      </w:r>
      <w:r w:rsidR="00FB6316" w:rsidRPr="00625155">
        <w:rPr>
          <w:i/>
          <w:iCs/>
        </w:rPr>
        <w:t>2022</w:t>
      </w:r>
      <w:r w:rsidR="00660645">
        <w:rPr>
          <w:i/>
          <w:iCs/>
        </w:rPr>
        <w:noBreakHyphen/>
      </w:r>
      <w:r w:rsidR="00FB6316" w:rsidRPr="00625155">
        <w:rPr>
          <w:i/>
          <w:iCs/>
        </w:rPr>
        <w:t>23 Budget Statement </w:t>
      </w:r>
      <w:r w:rsidR="00FB6316">
        <w:rPr>
          <w:i/>
          <w:iCs/>
        </w:rPr>
        <w:t>3</w:t>
      </w:r>
      <w:r w:rsidR="00FB6316" w:rsidRPr="00625155">
        <w:t>:</w:t>
      </w:r>
      <w:r w:rsidR="00FB6316" w:rsidRPr="00625155">
        <w:rPr>
          <w:i/>
        </w:rPr>
        <w:t xml:space="preserve"> </w:t>
      </w:r>
      <w:r w:rsidR="00FB6316">
        <w:rPr>
          <w:i/>
          <w:iCs/>
        </w:rPr>
        <w:t>Fiscal Strategy and Outlook</w:t>
      </w:r>
      <w:r w:rsidR="00FB6316">
        <w:t>.</w:t>
      </w:r>
    </w:p>
    <w:p w14:paraId="56862008" w14:textId="5257A0E2" w:rsidR="00EE736F" w:rsidRPr="00C46588" w:rsidRDefault="00184C4B" w:rsidP="00C46588">
      <w:r w:rsidRPr="00625155">
        <w:t>Treasury</w:t>
      </w:r>
      <w:r w:rsidR="00660645">
        <w:t>’</w:t>
      </w:r>
      <w:r w:rsidRPr="00625155">
        <w:t>s medium</w:t>
      </w:r>
      <w:r w:rsidR="00660645">
        <w:noBreakHyphen/>
      </w:r>
      <w:r w:rsidRPr="00625155">
        <w:t>term fiscal projections outline the broad trajectory of the fiscal position under current policy settings. They use the Budget</w:t>
      </w:r>
      <w:r w:rsidR="00660645">
        <w:t>’</w:t>
      </w:r>
      <w:r w:rsidRPr="00625155">
        <w:t>s forward estimates as a base. Therefore</w:t>
      </w:r>
      <w:r w:rsidR="00F64E98" w:rsidRPr="00625155">
        <w:t>,</w:t>
      </w:r>
      <w:r w:rsidRPr="00625155">
        <w:t xml:space="preserve"> they are subject to risks and uncertainties similar to those affecting the forward estimates. However, the longer timeframes across the medium term mean these risks and uncertainties can be amplified.</w:t>
      </w:r>
      <w:r w:rsidR="009C41D1" w:rsidRPr="009C41D1">
        <w:t xml:space="preserve"> </w:t>
      </w:r>
      <w:r w:rsidR="00EE736F">
        <w:br w:type="page"/>
      </w:r>
    </w:p>
    <w:p w14:paraId="61672D73" w14:textId="77F180BB" w:rsidR="00076460" w:rsidRPr="00625155" w:rsidRDefault="00FB4B85" w:rsidP="00A65251">
      <w:pPr>
        <w:pStyle w:val="Heading3"/>
        <w:rPr>
          <w:rFonts w:cs="Arial"/>
        </w:rPr>
      </w:pPr>
      <w:bookmarkStart w:id="46" w:name="_Toc100843271"/>
      <w:bookmarkStart w:id="47" w:name="_Toc101254458"/>
      <w:bookmarkStart w:id="48" w:name="_Toc101277290"/>
      <w:bookmarkStart w:id="49" w:name="_Toc101281543"/>
      <w:r w:rsidRPr="00625155">
        <w:t>Balance sheet aggregates</w:t>
      </w:r>
      <w:bookmarkEnd w:id="46"/>
      <w:bookmarkEnd w:id="47"/>
      <w:bookmarkEnd w:id="48"/>
      <w:bookmarkEnd w:id="49"/>
      <w:r w:rsidRPr="00625155">
        <w:t xml:space="preserve"> </w:t>
      </w:r>
    </w:p>
    <w:p w14:paraId="4E478219" w14:textId="1717C1D1" w:rsidR="00076460" w:rsidRPr="00625155" w:rsidRDefault="00076460" w:rsidP="00E449DC">
      <w:r w:rsidRPr="00625155">
        <w:t>Estimates of gross debt, net debt, net financial worth, net worth and net interest payments have not changed materially since the Budget</w:t>
      </w:r>
      <w:r w:rsidR="00740014" w:rsidRPr="00625155">
        <w:t xml:space="preserve">, as reported in </w:t>
      </w:r>
      <w:r w:rsidR="00D22701" w:rsidRPr="00625155">
        <w:rPr>
          <w:i/>
          <w:iCs/>
        </w:rPr>
        <w:t>2022</w:t>
      </w:r>
      <w:r w:rsidR="00660645">
        <w:rPr>
          <w:i/>
          <w:iCs/>
        </w:rPr>
        <w:noBreakHyphen/>
      </w:r>
      <w:r w:rsidR="00D22701" w:rsidRPr="00625155">
        <w:rPr>
          <w:i/>
          <w:iCs/>
        </w:rPr>
        <w:t xml:space="preserve">23 </w:t>
      </w:r>
      <w:r w:rsidR="00740014" w:rsidRPr="00625155">
        <w:rPr>
          <w:i/>
          <w:iCs/>
        </w:rPr>
        <w:t>Budget Statement </w:t>
      </w:r>
      <w:r w:rsidR="00CB0738">
        <w:rPr>
          <w:i/>
          <w:iCs/>
        </w:rPr>
        <w:t>3</w:t>
      </w:r>
      <w:r w:rsidR="00740014" w:rsidRPr="00625155">
        <w:t>:</w:t>
      </w:r>
      <w:r w:rsidR="00740014" w:rsidRPr="00625155">
        <w:rPr>
          <w:i/>
        </w:rPr>
        <w:t xml:space="preserve"> </w:t>
      </w:r>
      <w:r w:rsidR="00CB0738">
        <w:rPr>
          <w:i/>
          <w:iCs/>
        </w:rPr>
        <w:t>Fiscal Strategy and Outlook</w:t>
      </w:r>
      <w:r w:rsidR="00C901F4">
        <w:t xml:space="preserve">. </w:t>
      </w:r>
      <w:r w:rsidR="00AC37BB">
        <w:t>A</w:t>
      </w:r>
      <w:r w:rsidR="000A3FC2" w:rsidRPr="00625155">
        <w:t xml:space="preserve"> </w:t>
      </w:r>
      <w:r w:rsidR="002D579B" w:rsidRPr="00625155">
        <w:t xml:space="preserve">breakdown of </w:t>
      </w:r>
      <w:r w:rsidR="00D64B13" w:rsidRPr="00625155">
        <w:t>Australian Government Securities</w:t>
      </w:r>
      <w:r w:rsidR="002D579B" w:rsidRPr="00625155">
        <w:t xml:space="preserve"> on issue</w:t>
      </w:r>
      <w:r w:rsidR="00AC37BB">
        <w:t xml:space="preserve"> was reported </w:t>
      </w:r>
      <w:r w:rsidR="000D75E7">
        <w:t>in</w:t>
      </w:r>
      <w:r w:rsidR="00AC37BB">
        <w:t xml:space="preserve"> </w:t>
      </w:r>
      <w:r w:rsidR="00AC37BB" w:rsidRPr="001A6D8D">
        <w:rPr>
          <w:i/>
          <w:iCs/>
        </w:rPr>
        <w:t>2022</w:t>
      </w:r>
      <w:r w:rsidR="00660645">
        <w:rPr>
          <w:i/>
          <w:iCs/>
        </w:rPr>
        <w:noBreakHyphen/>
      </w:r>
      <w:r w:rsidR="00AC37BB" w:rsidRPr="001A6D8D">
        <w:rPr>
          <w:i/>
          <w:iCs/>
        </w:rPr>
        <w:t>23 Budget Statement 6: Debt Statement</w:t>
      </w:r>
      <w:r w:rsidRPr="00625155">
        <w:t xml:space="preserve">. </w:t>
      </w:r>
    </w:p>
    <w:p w14:paraId="2E513DD5" w14:textId="176CCB97" w:rsidR="009B72E8" w:rsidRPr="00625155" w:rsidRDefault="00BC0639" w:rsidP="00BC0639">
      <w:r w:rsidRPr="00625155">
        <w:t>Government borrowing rates</w:t>
      </w:r>
      <w:r w:rsidR="00652359" w:rsidRPr="00625155">
        <w:t>, proxied by the 10</w:t>
      </w:r>
      <w:r w:rsidR="00660645">
        <w:noBreakHyphen/>
      </w:r>
      <w:r w:rsidR="00652359" w:rsidRPr="00625155">
        <w:t xml:space="preserve">year yield, </w:t>
      </w:r>
      <w:r w:rsidR="00D91A13" w:rsidRPr="00625155">
        <w:t>increased between MYEFO and the 2022</w:t>
      </w:r>
      <w:r w:rsidR="00660645">
        <w:noBreakHyphen/>
      </w:r>
      <w:r w:rsidR="00D91A13" w:rsidRPr="00625155">
        <w:t>23 Budget</w:t>
      </w:r>
      <w:r w:rsidR="00260DEF" w:rsidRPr="00625155">
        <w:t xml:space="preserve">, and </w:t>
      </w:r>
      <w:r w:rsidRPr="00625155">
        <w:t xml:space="preserve">have </w:t>
      </w:r>
      <w:r w:rsidR="00652359" w:rsidRPr="00625155">
        <w:t>increased</w:t>
      </w:r>
      <w:r w:rsidRPr="00625155">
        <w:t xml:space="preserve"> </w:t>
      </w:r>
      <w:r w:rsidR="00260DEF" w:rsidRPr="00625155">
        <w:t>further over the past few weeks</w:t>
      </w:r>
      <w:r w:rsidRPr="00625155">
        <w:t>, reflecting domestic and global factors</w:t>
      </w:r>
      <w:r w:rsidR="00DB4DC9" w:rsidRPr="00625155">
        <w:t xml:space="preserve">, particularly </w:t>
      </w:r>
      <w:r w:rsidRPr="00625155">
        <w:t xml:space="preserve">higher US bond rates. Should this increase be sustained, interest payments on Australian Government Securities </w:t>
      </w:r>
      <w:r w:rsidR="006D6CA3" w:rsidRPr="00625155">
        <w:t xml:space="preserve">as a share of GDP </w:t>
      </w:r>
      <w:r w:rsidRPr="00625155">
        <w:t>would be around 0.1 percentage points higher in 2025</w:t>
      </w:r>
      <w:r w:rsidR="00660645">
        <w:noBreakHyphen/>
      </w:r>
      <w:r w:rsidRPr="00625155">
        <w:t>26 than estimated at Budget. Gross debt as a share of GDP at 30 June 2026 would be 0.5 percentage points higher</w:t>
      </w:r>
      <w:r w:rsidR="006D6CA3" w:rsidRPr="00625155">
        <w:t>.</w:t>
      </w:r>
      <w:r w:rsidRPr="00625155">
        <w:t xml:space="preserve"> </w:t>
      </w:r>
    </w:p>
    <w:p w14:paraId="10AB7EA3" w14:textId="2580B23B" w:rsidR="00641B08" w:rsidRPr="00625155" w:rsidRDefault="00E0450E" w:rsidP="00BC0639">
      <w:r w:rsidRPr="00625155">
        <w:t xml:space="preserve">In the context of </w:t>
      </w:r>
      <w:r w:rsidR="002005E5" w:rsidRPr="00625155">
        <w:t xml:space="preserve">the </w:t>
      </w:r>
      <w:r w:rsidR="00A0077A" w:rsidRPr="00625155">
        <w:t xml:space="preserve">inherent </w:t>
      </w:r>
      <w:r w:rsidR="002005E5" w:rsidRPr="00625155">
        <w:t>risks around the outlook</w:t>
      </w:r>
      <w:r w:rsidR="009B72E8" w:rsidRPr="00625155">
        <w:t xml:space="preserve"> and all available information, </w:t>
      </w:r>
      <w:r w:rsidR="007A0641" w:rsidRPr="00625155">
        <w:t>the increase in yields is</w:t>
      </w:r>
      <w:r w:rsidR="00AF075D" w:rsidRPr="00625155">
        <w:t xml:space="preserve"> </w:t>
      </w:r>
      <w:r w:rsidR="00A0077A" w:rsidRPr="00625155">
        <w:t xml:space="preserve">judged </w:t>
      </w:r>
      <w:r w:rsidR="00AF075D" w:rsidRPr="00625155">
        <w:t xml:space="preserve">not </w:t>
      </w:r>
      <w:r w:rsidR="007A0641" w:rsidRPr="00625155">
        <w:t xml:space="preserve">to </w:t>
      </w:r>
      <w:r w:rsidR="00DF0C76" w:rsidRPr="00625155">
        <w:t>have materially altered</w:t>
      </w:r>
      <w:r w:rsidR="0091170E" w:rsidRPr="00625155">
        <w:t xml:space="preserve"> the fiscal outlook</w:t>
      </w:r>
      <w:r w:rsidR="00E2003E" w:rsidRPr="00625155">
        <w:t>.</w:t>
      </w:r>
      <w:r w:rsidR="00AF075D" w:rsidRPr="00625155">
        <w:t xml:space="preserve"> </w:t>
      </w:r>
    </w:p>
    <w:p w14:paraId="3E2C0C8B" w14:textId="06CC0D42" w:rsidR="00641B08" w:rsidRPr="00625155" w:rsidRDefault="00D43F09" w:rsidP="00641B08">
      <w:pPr>
        <w:rPr>
          <w:i/>
        </w:rPr>
      </w:pPr>
      <w:r w:rsidRPr="00625155">
        <w:rPr>
          <w:i/>
          <w:iCs/>
        </w:rPr>
        <w:t>2022</w:t>
      </w:r>
      <w:r w:rsidR="00660645">
        <w:rPr>
          <w:i/>
          <w:iCs/>
        </w:rPr>
        <w:noBreakHyphen/>
      </w:r>
      <w:r w:rsidRPr="00625155">
        <w:rPr>
          <w:i/>
          <w:iCs/>
        </w:rPr>
        <w:t xml:space="preserve">23 </w:t>
      </w:r>
      <w:r w:rsidR="00641B08" w:rsidRPr="00625155">
        <w:rPr>
          <w:i/>
        </w:rPr>
        <w:t>Budget Statement 7</w:t>
      </w:r>
      <w:r>
        <w:rPr>
          <w:i/>
        </w:rPr>
        <w:t>: Forecasting Performance and Sensitivity Analysis</w:t>
      </w:r>
      <w:r w:rsidR="00641B08" w:rsidRPr="00625155">
        <w:t xml:space="preserve"> </w:t>
      </w:r>
      <w:r w:rsidR="00641B08" w:rsidRPr="00625155">
        <w:rPr>
          <w:iCs/>
        </w:rPr>
        <w:t>presents analysis about the impact that higher and lower yield assumptions have on the underlying cash balance and gross debt estimates and projections.</w:t>
      </w:r>
      <w:r w:rsidR="00850BBD" w:rsidRPr="00850BBD">
        <w:t xml:space="preserve"> </w:t>
      </w:r>
    </w:p>
    <w:p w14:paraId="2856D373" w14:textId="422BC034" w:rsidR="00076460" w:rsidRPr="00625155" w:rsidRDefault="00076460" w:rsidP="00E449DC">
      <w:r w:rsidRPr="00625155">
        <w:t xml:space="preserve">Table </w:t>
      </w:r>
      <w:r w:rsidR="009E44C8">
        <w:t>5</w:t>
      </w:r>
      <w:r w:rsidRPr="00625155">
        <w:t xml:space="preserve"> provides a summary of the Australian Government general government sector balance sheet aggregates.</w:t>
      </w:r>
    </w:p>
    <w:p w14:paraId="45BCA023" w14:textId="77777777" w:rsidR="000D004F" w:rsidRDefault="000D004F" w:rsidP="00CB0738">
      <w:pPr>
        <w:pStyle w:val="TableGraphic"/>
        <w:jc w:val="left"/>
        <w:rPr>
          <w:rFonts w:ascii="Arial" w:hAnsi="Arial" w:cs="Arial"/>
        </w:rPr>
      </w:pPr>
    </w:p>
    <w:p w14:paraId="658C6E43" w14:textId="77777777" w:rsidR="00EE736F" w:rsidRDefault="00EE736F">
      <w:pPr>
        <w:spacing w:after="160" w:line="259" w:lineRule="auto"/>
        <w:jc w:val="left"/>
        <w:rPr>
          <w:rFonts w:cs="Arial"/>
        </w:rPr>
      </w:pPr>
      <w:r>
        <w:rPr>
          <w:rFonts w:cs="Arial"/>
        </w:rPr>
        <w:br w:type="page"/>
      </w:r>
    </w:p>
    <w:p w14:paraId="79BE9958" w14:textId="6B5F3F80" w:rsidR="00E6647C" w:rsidRPr="003B3511" w:rsidRDefault="00B52A50" w:rsidP="0034104B">
      <w:pPr>
        <w:pStyle w:val="TableHeading"/>
        <w:rPr>
          <w:rFonts w:eastAsiaTheme="minorHAnsi" w:cs="Arial"/>
          <w:sz w:val="22"/>
          <w:szCs w:val="22"/>
          <w:lang w:eastAsia="en-US"/>
        </w:rPr>
      </w:pPr>
      <w:r w:rsidRPr="003B3511">
        <w:rPr>
          <w:rFonts w:cs="Arial"/>
        </w:rPr>
        <w:t>T</w:t>
      </w:r>
      <w:r w:rsidR="00076460" w:rsidRPr="003B3511">
        <w:rPr>
          <w:rFonts w:cs="Arial"/>
        </w:rPr>
        <w:t xml:space="preserve">able </w:t>
      </w:r>
      <w:r w:rsidR="009E44C8" w:rsidRPr="003B3511">
        <w:rPr>
          <w:rFonts w:cs="Arial"/>
        </w:rPr>
        <w:t>5</w:t>
      </w:r>
      <w:r w:rsidR="00076460" w:rsidRPr="003B3511">
        <w:rPr>
          <w:rFonts w:cs="Arial"/>
        </w:rPr>
        <w:t>: Australian Government general government sector balance sheet aggregates</w:t>
      </w:r>
    </w:p>
    <w:tbl>
      <w:tblPr>
        <w:tblW w:w="5000" w:type="pct"/>
        <w:tblCellMar>
          <w:left w:w="0" w:type="dxa"/>
          <w:right w:w="28" w:type="dxa"/>
        </w:tblCellMar>
        <w:tblLook w:val="04A0" w:firstRow="1" w:lastRow="0" w:firstColumn="1" w:lastColumn="0" w:noHBand="0" w:noVBand="1"/>
      </w:tblPr>
      <w:tblGrid>
        <w:gridCol w:w="2597"/>
        <w:gridCol w:w="843"/>
        <w:gridCol w:w="116"/>
        <w:gridCol w:w="831"/>
        <w:gridCol w:w="831"/>
        <w:gridCol w:w="831"/>
        <w:gridCol w:w="831"/>
        <w:gridCol w:w="830"/>
      </w:tblGrid>
      <w:tr w:rsidR="00D43F09" w:rsidRPr="00E6647C" w14:paraId="46A269ED" w14:textId="77777777" w:rsidTr="00E6647C">
        <w:trPr>
          <w:trHeight w:hRule="exact" w:val="225"/>
        </w:trPr>
        <w:tc>
          <w:tcPr>
            <w:tcW w:w="1684" w:type="pct"/>
            <w:tcBorders>
              <w:top w:val="single" w:sz="4" w:space="0" w:color="000000"/>
              <w:left w:val="nil"/>
              <w:bottom w:val="nil"/>
              <w:right w:val="nil"/>
            </w:tcBorders>
            <w:shd w:val="clear" w:color="000000" w:fill="FFFFFF"/>
            <w:noWrap/>
            <w:vAlign w:val="center"/>
            <w:hideMark/>
          </w:tcPr>
          <w:p w14:paraId="20DCB7F9" w14:textId="703343D8" w:rsidR="00E6647C" w:rsidRPr="00E6647C" w:rsidRDefault="00E6647C" w:rsidP="00AC4F0A">
            <w:pPr>
              <w:pStyle w:val="TableGraphic"/>
              <w:jc w:val="left"/>
              <w:rPr>
                <w:rFonts w:ascii="Arial" w:hAnsi="Arial" w:cs="Arial"/>
                <w:sz w:val="16"/>
                <w:szCs w:val="16"/>
              </w:rPr>
            </w:pPr>
            <w:r w:rsidRPr="00E6647C">
              <w:rPr>
                <w:rFonts w:ascii="Arial" w:hAnsi="Arial" w:cs="Arial"/>
                <w:sz w:val="16"/>
                <w:szCs w:val="16"/>
              </w:rPr>
              <w:t> </w:t>
            </w:r>
          </w:p>
        </w:tc>
        <w:tc>
          <w:tcPr>
            <w:tcW w:w="547" w:type="pct"/>
            <w:tcBorders>
              <w:top w:val="single" w:sz="4" w:space="0" w:color="000000"/>
              <w:left w:val="nil"/>
              <w:bottom w:val="single" w:sz="4" w:space="0" w:color="000000"/>
              <w:right w:val="nil"/>
            </w:tcBorders>
            <w:shd w:val="clear" w:color="000000" w:fill="FFFFFF"/>
            <w:noWrap/>
            <w:vAlign w:val="center"/>
            <w:hideMark/>
          </w:tcPr>
          <w:p w14:paraId="4E8AA179" w14:textId="77777777" w:rsidR="00E6647C" w:rsidRPr="00AC4F0A" w:rsidRDefault="00E6647C" w:rsidP="008A7771">
            <w:pPr>
              <w:pStyle w:val="TableGraphic"/>
              <w:jc w:val="center"/>
              <w:rPr>
                <w:rFonts w:ascii="Arial" w:hAnsi="Arial" w:cs="Arial"/>
                <w:sz w:val="16"/>
                <w:szCs w:val="16"/>
              </w:rPr>
            </w:pPr>
            <w:r w:rsidRPr="00AC4F0A">
              <w:rPr>
                <w:rFonts w:ascii="Arial" w:hAnsi="Arial" w:cs="Arial"/>
                <w:sz w:val="16"/>
                <w:szCs w:val="16"/>
              </w:rPr>
              <w:t>Actual</w:t>
            </w:r>
          </w:p>
        </w:tc>
        <w:tc>
          <w:tcPr>
            <w:tcW w:w="75" w:type="pct"/>
            <w:tcBorders>
              <w:top w:val="single" w:sz="4" w:space="0" w:color="000000"/>
              <w:left w:val="nil"/>
              <w:bottom w:val="nil"/>
              <w:right w:val="nil"/>
            </w:tcBorders>
            <w:shd w:val="clear" w:color="000000" w:fill="FFFFFF"/>
            <w:noWrap/>
            <w:vAlign w:val="center"/>
            <w:hideMark/>
          </w:tcPr>
          <w:p w14:paraId="37618CE1"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2695" w:type="pct"/>
            <w:gridSpan w:val="5"/>
            <w:tcBorders>
              <w:top w:val="single" w:sz="4" w:space="0" w:color="000000"/>
              <w:left w:val="nil"/>
              <w:bottom w:val="single" w:sz="4" w:space="0" w:color="000000"/>
              <w:right w:val="nil"/>
            </w:tcBorders>
            <w:shd w:val="clear" w:color="000000" w:fill="FFFFFF"/>
            <w:noWrap/>
            <w:vAlign w:val="center"/>
            <w:hideMark/>
          </w:tcPr>
          <w:p w14:paraId="3466591F" w14:textId="77777777" w:rsidR="00E6647C" w:rsidRPr="00AC4F0A" w:rsidRDefault="00E6647C" w:rsidP="00B22A75">
            <w:pPr>
              <w:pStyle w:val="TableGraphic"/>
              <w:jc w:val="center"/>
              <w:rPr>
                <w:rFonts w:ascii="Arial" w:hAnsi="Arial" w:cs="Arial"/>
                <w:sz w:val="16"/>
                <w:szCs w:val="16"/>
              </w:rPr>
            </w:pPr>
            <w:r w:rsidRPr="00AC4F0A">
              <w:rPr>
                <w:rFonts w:ascii="Arial" w:hAnsi="Arial" w:cs="Arial"/>
                <w:sz w:val="16"/>
                <w:szCs w:val="16"/>
              </w:rPr>
              <w:t>Estimates</w:t>
            </w:r>
          </w:p>
        </w:tc>
      </w:tr>
      <w:tr w:rsidR="00E6647C" w:rsidRPr="00E6647C" w14:paraId="22C7CDDD"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257BEDEE"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47" w:type="pct"/>
            <w:tcBorders>
              <w:top w:val="single" w:sz="4" w:space="0" w:color="auto"/>
              <w:left w:val="nil"/>
              <w:bottom w:val="nil"/>
              <w:right w:val="nil"/>
            </w:tcBorders>
            <w:shd w:val="clear" w:color="000000" w:fill="FFFFFF"/>
            <w:noWrap/>
            <w:vAlign w:val="center"/>
            <w:hideMark/>
          </w:tcPr>
          <w:p w14:paraId="1E637823" w14:textId="7B63A097" w:rsidR="00E6647C" w:rsidRPr="00A83BD9" w:rsidRDefault="00E6647C" w:rsidP="00A83BD9">
            <w:pPr>
              <w:spacing w:after="0" w:line="240" w:lineRule="auto"/>
              <w:jc w:val="right"/>
              <w:rPr>
                <w:rFonts w:ascii="Arial" w:hAnsi="Arial" w:cs="Arial"/>
                <w:sz w:val="16"/>
                <w:szCs w:val="16"/>
              </w:rPr>
            </w:pPr>
            <w:r w:rsidRPr="00A83BD9">
              <w:rPr>
                <w:rFonts w:ascii="Arial" w:hAnsi="Arial" w:cs="Arial"/>
                <w:sz w:val="16"/>
                <w:szCs w:val="16"/>
              </w:rPr>
              <w:t>2020</w:t>
            </w:r>
            <w:r w:rsidR="00660645">
              <w:rPr>
                <w:rFonts w:ascii="Arial" w:hAnsi="Arial" w:cs="Arial"/>
                <w:sz w:val="16"/>
                <w:szCs w:val="16"/>
              </w:rPr>
              <w:noBreakHyphen/>
            </w:r>
            <w:r w:rsidRPr="00A83BD9">
              <w:rPr>
                <w:rFonts w:ascii="Arial" w:hAnsi="Arial" w:cs="Arial"/>
                <w:sz w:val="16"/>
                <w:szCs w:val="16"/>
              </w:rPr>
              <w:t>21</w:t>
            </w:r>
          </w:p>
        </w:tc>
        <w:tc>
          <w:tcPr>
            <w:tcW w:w="75" w:type="pct"/>
            <w:tcBorders>
              <w:top w:val="nil"/>
              <w:left w:val="nil"/>
              <w:bottom w:val="nil"/>
              <w:right w:val="nil"/>
            </w:tcBorders>
            <w:shd w:val="clear" w:color="000000" w:fill="FFFFFF"/>
            <w:noWrap/>
            <w:vAlign w:val="center"/>
            <w:hideMark/>
          </w:tcPr>
          <w:p w14:paraId="6904A4CA" w14:textId="77777777" w:rsidR="00E6647C" w:rsidRPr="00AC4F0A" w:rsidRDefault="00E6647C" w:rsidP="00AC4F0A">
            <w:pPr>
              <w:pStyle w:val="TableGraphic"/>
              <w:jc w:val="left"/>
              <w:rPr>
                <w:rFonts w:ascii="Arial" w:hAnsi="Arial" w:cs="Arial"/>
                <w:color w:val="000000"/>
                <w:sz w:val="16"/>
                <w:szCs w:val="16"/>
              </w:rPr>
            </w:pPr>
            <w:r w:rsidRPr="00AC4F0A">
              <w:rPr>
                <w:rFonts w:ascii="Arial" w:hAnsi="Arial" w:cs="Arial"/>
                <w:color w:val="000000"/>
                <w:sz w:val="16"/>
                <w:szCs w:val="16"/>
              </w:rPr>
              <w:t> </w:t>
            </w:r>
          </w:p>
        </w:tc>
        <w:tc>
          <w:tcPr>
            <w:tcW w:w="539" w:type="pct"/>
            <w:tcBorders>
              <w:top w:val="single" w:sz="4" w:space="0" w:color="auto"/>
              <w:left w:val="nil"/>
              <w:bottom w:val="nil"/>
              <w:right w:val="nil"/>
            </w:tcBorders>
            <w:shd w:val="clear" w:color="000000" w:fill="FFFFFF"/>
            <w:noWrap/>
            <w:vAlign w:val="center"/>
            <w:hideMark/>
          </w:tcPr>
          <w:p w14:paraId="7232BD8F" w14:textId="0C95ECED" w:rsidR="00E6647C" w:rsidRPr="008A7771" w:rsidRDefault="00E6647C" w:rsidP="008A7771">
            <w:pPr>
              <w:spacing w:after="0" w:line="240" w:lineRule="auto"/>
              <w:jc w:val="right"/>
              <w:rPr>
                <w:rFonts w:ascii="Arial" w:hAnsi="Arial" w:cs="Arial"/>
                <w:sz w:val="16"/>
                <w:szCs w:val="16"/>
              </w:rPr>
            </w:pPr>
            <w:r w:rsidRPr="008A7771">
              <w:rPr>
                <w:rFonts w:ascii="Arial" w:hAnsi="Arial" w:cs="Arial"/>
                <w:sz w:val="16"/>
                <w:szCs w:val="16"/>
              </w:rPr>
              <w:t>2021</w:t>
            </w:r>
            <w:r w:rsidR="00660645">
              <w:rPr>
                <w:rFonts w:ascii="Arial" w:hAnsi="Arial" w:cs="Arial"/>
                <w:sz w:val="16"/>
                <w:szCs w:val="16"/>
              </w:rPr>
              <w:noBreakHyphen/>
            </w:r>
            <w:r w:rsidRPr="008A7771">
              <w:rPr>
                <w:rFonts w:ascii="Arial" w:hAnsi="Arial" w:cs="Arial"/>
                <w:sz w:val="16"/>
                <w:szCs w:val="16"/>
              </w:rPr>
              <w:t>22</w:t>
            </w:r>
          </w:p>
        </w:tc>
        <w:tc>
          <w:tcPr>
            <w:tcW w:w="539" w:type="pct"/>
            <w:tcBorders>
              <w:top w:val="single" w:sz="4" w:space="0" w:color="auto"/>
              <w:left w:val="nil"/>
              <w:bottom w:val="nil"/>
              <w:right w:val="nil"/>
            </w:tcBorders>
            <w:shd w:val="clear" w:color="000000" w:fill="F2F9FC"/>
            <w:noWrap/>
            <w:vAlign w:val="center"/>
            <w:hideMark/>
          </w:tcPr>
          <w:p w14:paraId="1F9F1189" w14:textId="47AC4C9E" w:rsidR="00E6647C" w:rsidRPr="008A7771" w:rsidRDefault="00E6647C" w:rsidP="008A7771">
            <w:pPr>
              <w:spacing w:after="0" w:line="240" w:lineRule="auto"/>
              <w:jc w:val="right"/>
              <w:rPr>
                <w:rFonts w:ascii="Arial" w:hAnsi="Arial" w:cs="Arial"/>
                <w:sz w:val="16"/>
                <w:szCs w:val="16"/>
              </w:rPr>
            </w:pPr>
            <w:r w:rsidRPr="008A7771">
              <w:rPr>
                <w:rFonts w:ascii="Arial" w:hAnsi="Arial" w:cs="Arial"/>
                <w:sz w:val="16"/>
                <w:szCs w:val="16"/>
              </w:rPr>
              <w:t>2022</w:t>
            </w:r>
            <w:r w:rsidR="00660645">
              <w:rPr>
                <w:rFonts w:ascii="Arial" w:hAnsi="Arial" w:cs="Arial"/>
                <w:sz w:val="16"/>
                <w:szCs w:val="16"/>
              </w:rPr>
              <w:noBreakHyphen/>
            </w:r>
            <w:r w:rsidRPr="008A7771">
              <w:rPr>
                <w:rFonts w:ascii="Arial" w:hAnsi="Arial" w:cs="Arial"/>
                <w:sz w:val="16"/>
                <w:szCs w:val="16"/>
              </w:rPr>
              <w:t>23</w:t>
            </w:r>
          </w:p>
        </w:tc>
        <w:tc>
          <w:tcPr>
            <w:tcW w:w="539" w:type="pct"/>
            <w:tcBorders>
              <w:top w:val="single" w:sz="4" w:space="0" w:color="auto"/>
              <w:left w:val="nil"/>
              <w:bottom w:val="nil"/>
              <w:right w:val="nil"/>
            </w:tcBorders>
            <w:shd w:val="clear" w:color="000000" w:fill="FFFFFF"/>
            <w:noWrap/>
            <w:vAlign w:val="center"/>
            <w:hideMark/>
          </w:tcPr>
          <w:p w14:paraId="34706E8A" w14:textId="142451AD" w:rsidR="00E6647C" w:rsidRPr="008A7771" w:rsidRDefault="00E6647C" w:rsidP="008A7771">
            <w:pPr>
              <w:spacing w:after="0" w:line="240" w:lineRule="auto"/>
              <w:jc w:val="right"/>
              <w:rPr>
                <w:rFonts w:ascii="Arial" w:hAnsi="Arial" w:cs="Arial"/>
                <w:sz w:val="16"/>
                <w:szCs w:val="16"/>
              </w:rPr>
            </w:pPr>
            <w:r w:rsidRPr="008A7771">
              <w:rPr>
                <w:rFonts w:ascii="Arial" w:hAnsi="Arial" w:cs="Arial"/>
                <w:sz w:val="16"/>
                <w:szCs w:val="16"/>
              </w:rPr>
              <w:t>2023</w:t>
            </w:r>
            <w:r w:rsidR="00660645">
              <w:rPr>
                <w:rFonts w:ascii="Arial" w:hAnsi="Arial" w:cs="Arial"/>
                <w:sz w:val="16"/>
                <w:szCs w:val="16"/>
              </w:rPr>
              <w:noBreakHyphen/>
            </w:r>
            <w:r w:rsidRPr="008A7771">
              <w:rPr>
                <w:rFonts w:ascii="Arial" w:hAnsi="Arial" w:cs="Arial"/>
                <w:sz w:val="16"/>
                <w:szCs w:val="16"/>
              </w:rPr>
              <w:t>24</w:t>
            </w:r>
          </w:p>
        </w:tc>
        <w:tc>
          <w:tcPr>
            <w:tcW w:w="539" w:type="pct"/>
            <w:tcBorders>
              <w:top w:val="single" w:sz="4" w:space="0" w:color="auto"/>
              <w:left w:val="nil"/>
              <w:bottom w:val="nil"/>
              <w:right w:val="nil"/>
            </w:tcBorders>
            <w:shd w:val="clear" w:color="000000" w:fill="FFFFFF"/>
            <w:noWrap/>
            <w:vAlign w:val="center"/>
            <w:hideMark/>
          </w:tcPr>
          <w:p w14:paraId="584D7FB2" w14:textId="45AA5E5F" w:rsidR="00E6647C" w:rsidRPr="008A7771" w:rsidRDefault="00E6647C" w:rsidP="008A7771">
            <w:pPr>
              <w:spacing w:after="0" w:line="240" w:lineRule="auto"/>
              <w:jc w:val="right"/>
              <w:rPr>
                <w:rFonts w:ascii="Arial" w:hAnsi="Arial" w:cs="Arial"/>
                <w:sz w:val="16"/>
                <w:szCs w:val="16"/>
              </w:rPr>
            </w:pPr>
            <w:r w:rsidRPr="008A7771">
              <w:rPr>
                <w:rFonts w:ascii="Arial" w:hAnsi="Arial" w:cs="Arial"/>
                <w:sz w:val="16"/>
                <w:szCs w:val="16"/>
              </w:rPr>
              <w:t>2024</w:t>
            </w:r>
            <w:r w:rsidR="00660645">
              <w:rPr>
                <w:rFonts w:ascii="Arial" w:hAnsi="Arial" w:cs="Arial"/>
                <w:sz w:val="16"/>
                <w:szCs w:val="16"/>
              </w:rPr>
              <w:noBreakHyphen/>
            </w:r>
            <w:r w:rsidRPr="008A7771">
              <w:rPr>
                <w:rFonts w:ascii="Arial" w:hAnsi="Arial" w:cs="Arial"/>
                <w:sz w:val="16"/>
                <w:szCs w:val="16"/>
              </w:rPr>
              <w:t>25</w:t>
            </w:r>
          </w:p>
        </w:tc>
        <w:tc>
          <w:tcPr>
            <w:tcW w:w="539" w:type="pct"/>
            <w:tcBorders>
              <w:top w:val="single" w:sz="4" w:space="0" w:color="auto"/>
              <w:left w:val="nil"/>
              <w:bottom w:val="nil"/>
              <w:right w:val="nil"/>
            </w:tcBorders>
            <w:shd w:val="clear" w:color="000000" w:fill="FFFFFF"/>
            <w:noWrap/>
            <w:vAlign w:val="center"/>
            <w:hideMark/>
          </w:tcPr>
          <w:p w14:paraId="3028A828" w14:textId="176A42D5" w:rsidR="00E6647C" w:rsidRPr="008A7771" w:rsidRDefault="00E6647C" w:rsidP="008A7771">
            <w:pPr>
              <w:spacing w:after="0" w:line="240" w:lineRule="auto"/>
              <w:jc w:val="right"/>
              <w:rPr>
                <w:rFonts w:ascii="Arial" w:hAnsi="Arial" w:cs="Arial"/>
                <w:sz w:val="16"/>
                <w:szCs w:val="16"/>
              </w:rPr>
            </w:pPr>
            <w:r w:rsidRPr="008A7771">
              <w:rPr>
                <w:rFonts w:ascii="Arial" w:hAnsi="Arial" w:cs="Arial"/>
                <w:sz w:val="16"/>
                <w:szCs w:val="16"/>
              </w:rPr>
              <w:t>2025</w:t>
            </w:r>
            <w:r w:rsidR="00660645">
              <w:rPr>
                <w:rFonts w:ascii="Arial" w:hAnsi="Arial" w:cs="Arial"/>
                <w:sz w:val="16"/>
                <w:szCs w:val="16"/>
              </w:rPr>
              <w:noBreakHyphen/>
            </w:r>
            <w:r w:rsidRPr="008A7771">
              <w:rPr>
                <w:rFonts w:ascii="Arial" w:hAnsi="Arial" w:cs="Arial"/>
                <w:sz w:val="16"/>
                <w:szCs w:val="16"/>
              </w:rPr>
              <w:t>26</w:t>
            </w:r>
          </w:p>
        </w:tc>
      </w:tr>
      <w:tr w:rsidR="00E6647C" w:rsidRPr="00E6647C" w14:paraId="5034E182"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66316E20"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47" w:type="pct"/>
            <w:tcBorders>
              <w:top w:val="nil"/>
              <w:left w:val="nil"/>
              <w:bottom w:val="single" w:sz="4" w:space="0" w:color="000000"/>
              <w:right w:val="nil"/>
            </w:tcBorders>
            <w:shd w:val="clear" w:color="000000" w:fill="FFFFFF"/>
            <w:noWrap/>
            <w:vAlign w:val="center"/>
            <w:hideMark/>
          </w:tcPr>
          <w:p w14:paraId="115AAF79" w14:textId="77777777" w:rsidR="00E6647C" w:rsidRPr="00AC4F0A" w:rsidRDefault="00E6647C" w:rsidP="00A83BD9">
            <w:pPr>
              <w:spacing w:after="0" w:line="240" w:lineRule="auto"/>
              <w:jc w:val="right"/>
              <w:rPr>
                <w:rFonts w:ascii="Arial" w:hAnsi="Arial" w:cs="Arial"/>
                <w:sz w:val="16"/>
                <w:szCs w:val="16"/>
              </w:rPr>
            </w:pPr>
            <w:r w:rsidRPr="00AC4F0A">
              <w:rPr>
                <w:rFonts w:ascii="Arial" w:hAnsi="Arial" w:cs="Arial"/>
                <w:sz w:val="16"/>
                <w:szCs w:val="16"/>
              </w:rPr>
              <w:t>$b</w:t>
            </w:r>
          </w:p>
        </w:tc>
        <w:tc>
          <w:tcPr>
            <w:tcW w:w="75" w:type="pct"/>
            <w:tcBorders>
              <w:top w:val="nil"/>
              <w:left w:val="nil"/>
              <w:bottom w:val="nil"/>
              <w:right w:val="nil"/>
            </w:tcBorders>
            <w:shd w:val="clear" w:color="000000" w:fill="FFFFFF"/>
            <w:noWrap/>
            <w:vAlign w:val="center"/>
            <w:hideMark/>
          </w:tcPr>
          <w:p w14:paraId="5F0A735F"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39" w:type="pct"/>
            <w:tcBorders>
              <w:top w:val="nil"/>
              <w:left w:val="nil"/>
              <w:bottom w:val="single" w:sz="4" w:space="0" w:color="000000"/>
              <w:right w:val="nil"/>
            </w:tcBorders>
            <w:shd w:val="clear" w:color="000000" w:fill="FFFFFF"/>
            <w:noWrap/>
            <w:vAlign w:val="center"/>
            <w:hideMark/>
          </w:tcPr>
          <w:p w14:paraId="2EF8E91E" w14:textId="77777777" w:rsidR="00E6647C" w:rsidRPr="00AC4F0A" w:rsidRDefault="00E6647C" w:rsidP="008A7771">
            <w:pPr>
              <w:spacing w:after="0" w:line="240" w:lineRule="auto"/>
              <w:jc w:val="right"/>
              <w:rPr>
                <w:rFonts w:ascii="Arial" w:hAnsi="Arial" w:cs="Arial"/>
                <w:sz w:val="16"/>
                <w:szCs w:val="16"/>
              </w:rPr>
            </w:pPr>
            <w:r w:rsidRPr="00AC4F0A">
              <w:rPr>
                <w:rFonts w:ascii="Arial" w:hAnsi="Arial" w:cs="Arial"/>
                <w:sz w:val="16"/>
                <w:szCs w:val="16"/>
              </w:rPr>
              <w:t>$b</w:t>
            </w:r>
          </w:p>
        </w:tc>
        <w:tc>
          <w:tcPr>
            <w:tcW w:w="539" w:type="pct"/>
            <w:tcBorders>
              <w:top w:val="nil"/>
              <w:left w:val="nil"/>
              <w:bottom w:val="single" w:sz="4" w:space="0" w:color="000000"/>
              <w:right w:val="nil"/>
            </w:tcBorders>
            <w:shd w:val="clear" w:color="000000" w:fill="F2F9FC"/>
            <w:noWrap/>
            <w:vAlign w:val="center"/>
            <w:hideMark/>
          </w:tcPr>
          <w:p w14:paraId="1E13E311" w14:textId="77777777" w:rsidR="00E6647C" w:rsidRPr="00AC4F0A" w:rsidRDefault="00E6647C" w:rsidP="008A7771">
            <w:pPr>
              <w:spacing w:after="0" w:line="240" w:lineRule="auto"/>
              <w:jc w:val="right"/>
              <w:rPr>
                <w:rFonts w:ascii="Arial" w:hAnsi="Arial" w:cs="Arial"/>
                <w:sz w:val="16"/>
                <w:szCs w:val="16"/>
              </w:rPr>
            </w:pPr>
            <w:r w:rsidRPr="00AC4F0A">
              <w:rPr>
                <w:rFonts w:ascii="Arial" w:hAnsi="Arial" w:cs="Arial"/>
                <w:sz w:val="16"/>
                <w:szCs w:val="16"/>
              </w:rPr>
              <w:t>$b</w:t>
            </w:r>
          </w:p>
        </w:tc>
        <w:tc>
          <w:tcPr>
            <w:tcW w:w="539" w:type="pct"/>
            <w:tcBorders>
              <w:top w:val="nil"/>
              <w:left w:val="nil"/>
              <w:bottom w:val="single" w:sz="4" w:space="0" w:color="000000"/>
              <w:right w:val="nil"/>
            </w:tcBorders>
            <w:shd w:val="clear" w:color="000000" w:fill="FFFFFF"/>
            <w:noWrap/>
            <w:vAlign w:val="center"/>
            <w:hideMark/>
          </w:tcPr>
          <w:p w14:paraId="7BFABB5E" w14:textId="77777777" w:rsidR="00E6647C" w:rsidRPr="00AC4F0A" w:rsidRDefault="00E6647C" w:rsidP="008A7771">
            <w:pPr>
              <w:spacing w:after="0" w:line="240" w:lineRule="auto"/>
              <w:jc w:val="right"/>
              <w:rPr>
                <w:rFonts w:ascii="Arial" w:hAnsi="Arial" w:cs="Arial"/>
                <w:sz w:val="16"/>
                <w:szCs w:val="16"/>
              </w:rPr>
            </w:pPr>
            <w:r w:rsidRPr="00AC4F0A">
              <w:rPr>
                <w:rFonts w:ascii="Arial" w:hAnsi="Arial" w:cs="Arial"/>
                <w:sz w:val="16"/>
                <w:szCs w:val="16"/>
              </w:rPr>
              <w:t>$b</w:t>
            </w:r>
          </w:p>
        </w:tc>
        <w:tc>
          <w:tcPr>
            <w:tcW w:w="539" w:type="pct"/>
            <w:tcBorders>
              <w:top w:val="nil"/>
              <w:left w:val="nil"/>
              <w:bottom w:val="single" w:sz="4" w:space="0" w:color="000000"/>
              <w:right w:val="nil"/>
            </w:tcBorders>
            <w:shd w:val="clear" w:color="000000" w:fill="FFFFFF"/>
            <w:noWrap/>
            <w:vAlign w:val="center"/>
            <w:hideMark/>
          </w:tcPr>
          <w:p w14:paraId="5CF30E31" w14:textId="77777777" w:rsidR="00E6647C" w:rsidRPr="00AC4F0A" w:rsidRDefault="00E6647C" w:rsidP="008A7771">
            <w:pPr>
              <w:spacing w:after="0" w:line="240" w:lineRule="auto"/>
              <w:jc w:val="right"/>
              <w:rPr>
                <w:rFonts w:ascii="Arial" w:hAnsi="Arial" w:cs="Arial"/>
                <w:sz w:val="16"/>
                <w:szCs w:val="16"/>
              </w:rPr>
            </w:pPr>
            <w:r w:rsidRPr="00AC4F0A">
              <w:rPr>
                <w:rFonts w:ascii="Arial" w:hAnsi="Arial" w:cs="Arial"/>
                <w:sz w:val="16"/>
                <w:szCs w:val="16"/>
              </w:rPr>
              <w:t>$b</w:t>
            </w:r>
          </w:p>
        </w:tc>
        <w:tc>
          <w:tcPr>
            <w:tcW w:w="539" w:type="pct"/>
            <w:tcBorders>
              <w:top w:val="nil"/>
              <w:left w:val="nil"/>
              <w:bottom w:val="single" w:sz="4" w:space="0" w:color="000000"/>
              <w:right w:val="nil"/>
            </w:tcBorders>
            <w:shd w:val="clear" w:color="000000" w:fill="FFFFFF"/>
            <w:noWrap/>
            <w:vAlign w:val="center"/>
            <w:hideMark/>
          </w:tcPr>
          <w:p w14:paraId="7374502E" w14:textId="77777777" w:rsidR="00E6647C" w:rsidRPr="00AC4F0A" w:rsidRDefault="00E6647C" w:rsidP="008A7771">
            <w:pPr>
              <w:spacing w:after="0" w:line="240" w:lineRule="auto"/>
              <w:jc w:val="right"/>
              <w:rPr>
                <w:rFonts w:ascii="Arial" w:hAnsi="Arial" w:cs="Arial"/>
                <w:sz w:val="16"/>
                <w:szCs w:val="16"/>
              </w:rPr>
            </w:pPr>
            <w:r w:rsidRPr="00AC4F0A">
              <w:rPr>
                <w:rFonts w:ascii="Arial" w:hAnsi="Arial" w:cs="Arial"/>
                <w:sz w:val="16"/>
                <w:szCs w:val="16"/>
              </w:rPr>
              <w:t>$b</w:t>
            </w:r>
          </w:p>
        </w:tc>
      </w:tr>
      <w:tr w:rsidR="00E6647C" w:rsidRPr="00E6647C" w14:paraId="5192FBCD"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17BC082E" w14:textId="77777777"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Financial assets</w:t>
            </w:r>
          </w:p>
        </w:tc>
        <w:tc>
          <w:tcPr>
            <w:tcW w:w="547" w:type="pct"/>
            <w:tcBorders>
              <w:top w:val="nil"/>
              <w:left w:val="nil"/>
              <w:bottom w:val="nil"/>
              <w:right w:val="nil"/>
            </w:tcBorders>
            <w:shd w:val="clear" w:color="000000" w:fill="FFFFFF"/>
            <w:noWrap/>
            <w:vAlign w:val="center"/>
            <w:hideMark/>
          </w:tcPr>
          <w:p w14:paraId="239278EC" w14:textId="77777777" w:rsidR="00E6647C" w:rsidRPr="00AC4F0A" w:rsidRDefault="00E6647C" w:rsidP="00B97EB5">
            <w:pPr>
              <w:spacing w:after="0" w:line="240" w:lineRule="auto"/>
              <w:jc w:val="right"/>
              <w:rPr>
                <w:rFonts w:ascii="Arial" w:hAnsi="Arial" w:cs="Arial"/>
                <w:b/>
                <w:sz w:val="16"/>
                <w:szCs w:val="16"/>
              </w:rPr>
            </w:pPr>
            <w:r w:rsidRPr="00B97EB5">
              <w:rPr>
                <w:rFonts w:ascii="Arial" w:hAnsi="Arial" w:cs="Arial"/>
                <w:b/>
                <w:bCs/>
                <w:sz w:val="16"/>
                <w:szCs w:val="16"/>
              </w:rPr>
              <w:t>547.0</w:t>
            </w:r>
          </w:p>
        </w:tc>
        <w:tc>
          <w:tcPr>
            <w:tcW w:w="75" w:type="pct"/>
            <w:tcBorders>
              <w:top w:val="nil"/>
              <w:left w:val="nil"/>
              <w:bottom w:val="nil"/>
              <w:right w:val="nil"/>
            </w:tcBorders>
            <w:shd w:val="clear" w:color="000000" w:fill="FFFFFF"/>
            <w:noWrap/>
            <w:vAlign w:val="center"/>
            <w:hideMark/>
          </w:tcPr>
          <w:p w14:paraId="4535AFA7" w14:textId="77777777"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37A0832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566.0</w:t>
            </w:r>
          </w:p>
        </w:tc>
        <w:tc>
          <w:tcPr>
            <w:tcW w:w="539" w:type="pct"/>
            <w:tcBorders>
              <w:top w:val="nil"/>
              <w:left w:val="nil"/>
              <w:bottom w:val="nil"/>
              <w:right w:val="nil"/>
            </w:tcBorders>
            <w:shd w:val="clear" w:color="000000" w:fill="F2F9FC"/>
            <w:noWrap/>
            <w:vAlign w:val="center"/>
            <w:hideMark/>
          </w:tcPr>
          <w:p w14:paraId="23D4D8D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575.5</w:t>
            </w:r>
          </w:p>
        </w:tc>
        <w:tc>
          <w:tcPr>
            <w:tcW w:w="539" w:type="pct"/>
            <w:tcBorders>
              <w:top w:val="nil"/>
              <w:left w:val="nil"/>
              <w:bottom w:val="nil"/>
              <w:right w:val="nil"/>
            </w:tcBorders>
            <w:shd w:val="clear" w:color="000000" w:fill="FFFFFF"/>
            <w:noWrap/>
            <w:vAlign w:val="center"/>
            <w:hideMark/>
          </w:tcPr>
          <w:p w14:paraId="3790AB1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610.3</w:t>
            </w:r>
          </w:p>
        </w:tc>
        <w:tc>
          <w:tcPr>
            <w:tcW w:w="539" w:type="pct"/>
            <w:tcBorders>
              <w:top w:val="nil"/>
              <w:left w:val="nil"/>
              <w:bottom w:val="nil"/>
              <w:right w:val="nil"/>
            </w:tcBorders>
            <w:shd w:val="clear" w:color="000000" w:fill="FFFFFF"/>
            <w:noWrap/>
            <w:vAlign w:val="center"/>
            <w:hideMark/>
          </w:tcPr>
          <w:p w14:paraId="44008784"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636.2</w:t>
            </w:r>
          </w:p>
        </w:tc>
        <w:tc>
          <w:tcPr>
            <w:tcW w:w="539" w:type="pct"/>
            <w:tcBorders>
              <w:top w:val="nil"/>
              <w:left w:val="nil"/>
              <w:bottom w:val="nil"/>
              <w:right w:val="nil"/>
            </w:tcBorders>
            <w:shd w:val="clear" w:color="000000" w:fill="FFFFFF"/>
            <w:noWrap/>
            <w:vAlign w:val="center"/>
            <w:hideMark/>
          </w:tcPr>
          <w:p w14:paraId="635BBDF3"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659.8</w:t>
            </w:r>
          </w:p>
        </w:tc>
      </w:tr>
      <w:tr w:rsidR="00E6647C" w:rsidRPr="004C6D43" w14:paraId="5D9783CD"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0ED2D03A"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488AF200" w14:textId="77777777" w:rsidR="00E6647C" w:rsidRPr="00AC4F0A" w:rsidRDefault="00E6647C" w:rsidP="00B97EB5">
            <w:pPr>
              <w:spacing w:after="0" w:line="240" w:lineRule="auto"/>
              <w:jc w:val="right"/>
              <w:rPr>
                <w:rFonts w:ascii="Arial" w:hAnsi="Arial" w:cs="Arial"/>
                <w:sz w:val="16"/>
                <w:szCs w:val="16"/>
              </w:rPr>
            </w:pPr>
            <w:r w:rsidRPr="00AC4F0A">
              <w:rPr>
                <w:rFonts w:ascii="Arial" w:hAnsi="Arial" w:cs="Arial"/>
                <w:sz w:val="16"/>
                <w:szCs w:val="16"/>
              </w:rPr>
              <w:t>26.5</w:t>
            </w:r>
          </w:p>
        </w:tc>
        <w:tc>
          <w:tcPr>
            <w:tcW w:w="75" w:type="pct"/>
            <w:tcBorders>
              <w:top w:val="nil"/>
              <w:left w:val="nil"/>
              <w:bottom w:val="nil"/>
              <w:right w:val="nil"/>
            </w:tcBorders>
            <w:shd w:val="clear" w:color="000000" w:fill="FFFFFF"/>
            <w:noWrap/>
            <w:vAlign w:val="center"/>
            <w:hideMark/>
          </w:tcPr>
          <w:p w14:paraId="1572B4EE"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C93DA83"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24.7</w:t>
            </w:r>
          </w:p>
        </w:tc>
        <w:tc>
          <w:tcPr>
            <w:tcW w:w="539" w:type="pct"/>
            <w:tcBorders>
              <w:top w:val="nil"/>
              <w:left w:val="nil"/>
              <w:bottom w:val="nil"/>
              <w:right w:val="nil"/>
            </w:tcBorders>
            <w:shd w:val="clear" w:color="000000" w:fill="F2F9FC"/>
            <w:noWrap/>
            <w:vAlign w:val="center"/>
            <w:hideMark/>
          </w:tcPr>
          <w:p w14:paraId="7F32BB70"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25.0</w:t>
            </w:r>
          </w:p>
        </w:tc>
        <w:tc>
          <w:tcPr>
            <w:tcW w:w="539" w:type="pct"/>
            <w:tcBorders>
              <w:top w:val="nil"/>
              <w:left w:val="nil"/>
              <w:bottom w:val="nil"/>
              <w:right w:val="nil"/>
            </w:tcBorders>
            <w:shd w:val="clear" w:color="000000" w:fill="FFFFFF"/>
            <w:noWrap/>
            <w:vAlign w:val="center"/>
            <w:hideMark/>
          </w:tcPr>
          <w:p w14:paraId="584DAE99"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25.8</w:t>
            </w:r>
          </w:p>
        </w:tc>
        <w:tc>
          <w:tcPr>
            <w:tcW w:w="539" w:type="pct"/>
            <w:tcBorders>
              <w:top w:val="nil"/>
              <w:left w:val="nil"/>
              <w:bottom w:val="nil"/>
              <w:right w:val="nil"/>
            </w:tcBorders>
            <w:shd w:val="clear" w:color="000000" w:fill="FFFFFF"/>
            <w:noWrap/>
            <w:vAlign w:val="center"/>
            <w:hideMark/>
          </w:tcPr>
          <w:p w14:paraId="3730079D"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25.5</w:t>
            </w:r>
          </w:p>
        </w:tc>
        <w:tc>
          <w:tcPr>
            <w:tcW w:w="539" w:type="pct"/>
            <w:tcBorders>
              <w:top w:val="nil"/>
              <w:left w:val="nil"/>
              <w:bottom w:val="nil"/>
              <w:right w:val="nil"/>
            </w:tcBorders>
            <w:shd w:val="clear" w:color="000000" w:fill="FFFFFF"/>
            <w:noWrap/>
            <w:vAlign w:val="center"/>
            <w:hideMark/>
          </w:tcPr>
          <w:p w14:paraId="48A0D851"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25.2</w:t>
            </w:r>
          </w:p>
        </w:tc>
      </w:tr>
      <w:tr w:rsidR="00E6647C" w:rsidRPr="00E6647C" w14:paraId="1C2FEB1C"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18A82A4A" w14:textId="77777777"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066B120F" w14:textId="77777777"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54A06D44" w14:textId="77777777"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298C9CCD"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126828C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40F259D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2C6DD31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0C4708F9"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1069E18D"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755B62EA" w14:textId="2F82BE43" w:rsidR="00E6647C" w:rsidRPr="00AC4F0A" w:rsidRDefault="00E6647C" w:rsidP="00AC4F0A">
            <w:pPr>
              <w:pStyle w:val="TableGraphic"/>
              <w:jc w:val="left"/>
              <w:rPr>
                <w:rFonts w:ascii="Arial" w:hAnsi="Arial" w:cs="Arial"/>
                <w:b/>
                <w:sz w:val="16"/>
                <w:szCs w:val="16"/>
              </w:rPr>
            </w:pPr>
            <w:r w:rsidRPr="00AC4F0A">
              <w:rPr>
                <w:rFonts w:ascii="Arial" w:hAnsi="Arial" w:cs="Arial"/>
                <w:b/>
                <w:sz w:val="16"/>
                <w:szCs w:val="16"/>
              </w:rPr>
              <w:t>Non</w:t>
            </w:r>
            <w:r w:rsidR="00660645">
              <w:rPr>
                <w:rFonts w:ascii="Arial" w:hAnsi="Arial" w:cs="Arial"/>
                <w:b/>
                <w:sz w:val="16"/>
                <w:szCs w:val="16"/>
              </w:rPr>
              <w:noBreakHyphen/>
            </w:r>
            <w:r w:rsidRPr="00AC4F0A">
              <w:rPr>
                <w:rFonts w:ascii="Arial" w:hAnsi="Arial" w:cs="Arial"/>
                <w:b/>
                <w:sz w:val="16"/>
                <w:szCs w:val="16"/>
              </w:rPr>
              <w:t>financial assets</w:t>
            </w:r>
          </w:p>
        </w:tc>
        <w:tc>
          <w:tcPr>
            <w:tcW w:w="547" w:type="pct"/>
            <w:tcBorders>
              <w:top w:val="nil"/>
              <w:left w:val="nil"/>
              <w:bottom w:val="nil"/>
              <w:right w:val="nil"/>
            </w:tcBorders>
            <w:shd w:val="clear" w:color="000000" w:fill="FFFFFF"/>
            <w:noWrap/>
            <w:vAlign w:val="center"/>
            <w:hideMark/>
          </w:tcPr>
          <w:p w14:paraId="4DEEB1BA" w14:textId="77777777" w:rsidR="00E6647C" w:rsidRPr="00AC4F0A" w:rsidRDefault="00E6647C" w:rsidP="00B97EB5">
            <w:pPr>
              <w:spacing w:after="0" w:line="240" w:lineRule="auto"/>
              <w:jc w:val="right"/>
              <w:rPr>
                <w:rFonts w:ascii="Arial" w:hAnsi="Arial" w:cs="Arial"/>
                <w:b/>
                <w:sz w:val="16"/>
                <w:szCs w:val="16"/>
              </w:rPr>
            </w:pPr>
            <w:r w:rsidRPr="00AC4F0A">
              <w:rPr>
                <w:rFonts w:ascii="Arial" w:hAnsi="Arial" w:cs="Arial"/>
                <w:b/>
                <w:sz w:val="16"/>
                <w:szCs w:val="16"/>
              </w:rPr>
              <w:t>180.7</w:t>
            </w:r>
          </w:p>
        </w:tc>
        <w:tc>
          <w:tcPr>
            <w:tcW w:w="75" w:type="pct"/>
            <w:tcBorders>
              <w:top w:val="nil"/>
              <w:left w:val="nil"/>
              <w:bottom w:val="nil"/>
              <w:right w:val="nil"/>
            </w:tcBorders>
            <w:shd w:val="clear" w:color="000000" w:fill="FFFFFF"/>
            <w:noWrap/>
            <w:vAlign w:val="center"/>
            <w:hideMark/>
          </w:tcPr>
          <w:p w14:paraId="59251D30"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7FDD947F"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191.6</w:t>
            </w:r>
          </w:p>
        </w:tc>
        <w:tc>
          <w:tcPr>
            <w:tcW w:w="539" w:type="pct"/>
            <w:tcBorders>
              <w:top w:val="nil"/>
              <w:left w:val="nil"/>
              <w:bottom w:val="nil"/>
              <w:right w:val="nil"/>
            </w:tcBorders>
            <w:shd w:val="clear" w:color="000000" w:fill="F2F9FC"/>
            <w:noWrap/>
            <w:vAlign w:val="center"/>
            <w:hideMark/>
          </w:tcPr>
          <w:p w14:paraId="7296D913"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201.8</w:t>
            </w:r>
          </w:p>
        </w:tc>
        <w:tc>
          <w:tcPr>
            <w:tcW w:w="539" w:type="pct"/>
            <w:tcBorders>
              <w:top w:val="nil"/>
              <w:left w:val="nil"/>
              <w:bottom w:val="nil"/>
              <w:right w:val="nil"/>
            </w:tcBorders>
            <w:shd w:val="clear" w:color="000000" w:fill="FFFFFF"/>
            <w:noWrap/>
            <w:vAlign w:val="center"/>
            <w:hideMark/>
          </w:tcPr>
          <w:p w14:paraId="2012A15E"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211.5</w:t>
            </w:r>
          </w:p>
        </w:tc>
        <w:tc>
          <w:tcPr>
            <w:tcW w:w="539" w:type="pct"/>
            <w:tcBorders>
              <w:top w:val="nil"/>
              <w:left w:val="nil"/>
              <w:bottom w:val="nil"/>
              <w:right w:val="nil"/>
            </w:tcBorders>
            <w:shd w:val="clear" w:color="000000" w:fill="FFFFFF"/>
            <w:noWrap/>
            <w:vAlign w:val="center"/>
            <w:hideMark/>
          </w:tcPr>
          <w:p w14:paraId="05C5698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220.2</w:t>
            </w:r>
          </w:p>
        </w:tc>
        <w:tc>
          <w:tcPr>
            <w:tcW w:w="539" w:type="pct"/>
            <w:tcBorders>
              <w:top w:val="nil"/>
              <w:left w:val="nil"/>
              <w:bottom w:val="nil"/>
              <w:right w:val="nil"/>
            </w:tcBorders>
            <w:shd w:val="clear" w:color="000000" w:fill="FFFFFF"/>
            <w:noWrap/>
            <w:vAlign w:val="center"/>
            <w:hideMark/>
          </w:tcPr>
          <w:p w14:paraId="016EBD89"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227.5</w:t>
            </w:r>
          </w:p>
        </w:tc>
      </w:tr>
      <w:tr w:rsidR="00E6647C" w:rsidRPr="00E6647C" w14:paraId="0370ED20"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48FE9B37"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6A956CC6" w14:textId="77777777" w:rsidR="00E6647C" w:rsidRPr="00AC4F0A" w:rsidRDefault="00E6647C" w:rsidP="00B97EB5">
            <w:pPr>
              <w:spacing w:after="0" w:line="240" w:lineRule="auto"/>
              <w:jc w:val="right"/>
              <w:rPr>
                <w:rFonts w:ascii="Arial" w:hAnsi="Arial" w:cs="Arial"/>
                <w:sz w:val="16"/>
                <w:szCs w:val="16"/>
              </w:rPr>
            </w:pPr>
            <w:r w:rsidRPr="00AC4F0A">
              <w:rPr>
                <w:rFonts w:ascii="Arial" w:hAnsi="Arial" w:cs="Arial"/>
                <w:sz w:val="16"/>
                <w:szCs w:val="16"/>
              </w:rPr>
              <w:t>8.7</w:t>
            </w:r>
          </w:p>
        </w:tc>
        <w:tc>
          <w:tcPr>
            <w:tcW w:w="75" w:type="pct"/>
            <w:tcBorders>
              <w:top w:val="nil"/>
              <w:left w:val="nil"/>
              <w:bottom w:val="nil"/>
              <w:right w:val="nil"/>
            </w:tcBorders>
            <w:shd w:val="clear" w:color="000000" w:fill="FFFFFF"/>
            <w:noWrap/>
            <w:vAlign w:val="center"/>
            <w:hideMark/>
          </w:tcPr>
          <w:p w14:paraId="017ADDB9"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198A3FF"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8.4</w:t>
            </w:r>
          </w:p>
        </w:tc>
        <w:tc>
          <w:tcPr>
            <w:tcW w:w="539" w:type="pct"/>
            <w:tcBorders>
              <w:top w:val="nil"/>
              <w:left w:val="nil"/>
              <w:bottom w:val="nil"/>
              <w:right w:val="nil"/>
            </w:tcBorders>
            <w:shd w:val="clear" w:color="000000" w:fill="F2F9FC"/>
            <w:noWrap/>
            <w:vAlign w:val="center"/>
            <w:hideMark/>
          </w:tcPr>
          <w:p w14:paraId="37D86AC5"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8.8</w:t>
            </w:r>
          </w:p>
        </w:tc>
        <w:tc>
          <w:tcPr>
            <w:tcW w:w="539" w:type="pct"/>
            <w:tcBorders>
              <w:top w:val="nil"/>
              <w:left w:val="nil"/>
              <w:bottom w:val="nil"/>
              <w:right w:val="nil"/>
            </w:tcBorders>
            <w:shd w:val="clear" w:color="000000" w:fill="FFFFFF"/>
            <w:noWrap/>
            <w:vAlign w:val="center"/>
            <w:hideMark/>
          </w:tcPr>
          <w:p w14:paraId="0484D38C"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8.9</w:t>
            </w:r>
          </w:p>
        </w:tc>
        <w:tc>
          <w:tcPr>
            <w:tcW w:w="539" w:type="pct"/>
            <w:tcBorders>
              <w:top w:val="nil"/>
              <w:left w:val="nil"/>
              <w:bottom w:val="nil"/>
              <w:right w:val="nil"/>
            </w:tcBorders>
            <w:shd w:val="clear" w:color="000000" w:fill="FFFFFF"/>
            <w:noWrap/>
            <w:vAlign w:val="center"/>
            <w:hideMark/>
          </w:tcPr>
          <w:p w14:paraId="76B45C60"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8.8</w:t>
            </w:r>
          </w:p>
        </w:tc>
        <w:tc>
          <w:tcPr>
            <w:tcW w:w="539" w:type="pct"/>
            <w:tcBorders>
              <w:top w:val="nil"/>
              <w:left w:val="nil"/>
              <w:bottom w:val="nil"/>
              <w:right w:val="nil"/>
            </w:tcBorders>
            <w:shd w:val="clear" w:color="000000" w:fill="FFFFFF"/>
            <w:noWrap/>
            <w:vAlign w:val="center"/>
            <w:hideMark/>
          </w:tcPr>
          <w:p w14:paraId="0048C9C3"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8.7</w:t>
            </w:r>
          </w:p>
        </w:tc>
      </w:tr>
      <w:tr w:rsidR="00E6647C" w:rsidRPr="00E6647C" w14:paraId="408FC9A8"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1E458958"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47" w:type="pct"/>
            <w:tcBorders>
              <w:top w:val="nil"/>
              <w:left w:val="nil"/>
              <w:bottom w:val="nil"/>
              <w:right w:val="nil"/>
            </w:tcBorders>
            <w:shd w:val="clear" w:color="000000" w:fill="FFFFFF"/>
            <w:noWrap/>
            <w:vAlign w:val="center"/>
            <w:hideMark/>
          </w:tcPr>
          <w:p w14:paraId="6CB2B6F7"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75" w:type="pct"/>
            <w:tcBorders>
              <w:top w:val="nil"/>
              <w:left w:val="nil"/>
              <w:bottom w:val="nil"/>
              <w:right w:val="nil"/>
            </w:tcBorders>
            <w:shd w:val="clear" w:color="000000" w:fill="FFFFFF"/>
            <w:noWrap/>
            <w:vAlign w:val="center"/>
            <w:hideMark/>
          </w:tcPr>
          <w:p w14:paraId="1F220C05" w14:textId="77777777" w:rsidR="00E6647C" w:rsidRPr="00AC4F0A" w:rsidRDefault="00E6647C" w:rsidP="00AC4F0A">
            <w:pPr>
              <w:pStyle w:val="TableGraphic"/>
              <w:jc w:val="left"/>
              <w:rPr>
                <w:rFonts w:ascii="Arial" w:hAnsi="Arial" w:cs="Arial"/>
                <w:sz w:val="16"/>
                <w:szCs w:val="16"/>
              </w:rPr>
            </w:pPr>
            <w:r w:rsidRPr="00AC4F0A">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7833D56F"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778FF74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690F98C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166590C5"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516F940E"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77E96A6E"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67381370" w14:textId="77777777" w:rsidR="00E6647C" w:rsidRPr="00AC4F0A" w:rsidRDefault="00E6647C" w:rsidP="00784C4D">
            <w:pPr>
              <w:pStyle w:val="TableGraphic"/>
              <w:jc w:val="left"/>
              <w:rPr>
                <w:rFonts w:ascii="Arial" w:hAnsi="Arial" w:cs="Arial"/>
                <w:b/>
                <w:sz w:val="16"/>
                <w:szCs w:val="16"/>
              </w:rPr>
            </w:pPr>
            <w:r w:rsidRPr="00AC4F0A">
              <w:rPr>
                <w:rFonts w:ascii="Arial" w:hAnsi="Arial" w:cs="Arial"/>
                <w:b/>
                <w:sz w:val="16"/>
                <w:szCs w:val="16"/>
              </w:rPr>
              <w:t>Total assets</w:t>
            </w:r>
          </w:p>
        </w:tc>
        <w:tc>
          <w:tcPr>
            <w:tcW w:w="547" w:type="pct"/>
            <w:tcBorders>
              <w:top w:val="nil"/>
              <w:left w:val="nil"/>
              <w:bottom w:val="nil"/>
              <w:right w:val="nil"/>
            </w:tcBorders>
            <w:shd w:val="clear" w:color="000000" w:fill="FFFFFF"/>
            <w:noWrap/>
            <w:vAlign w:val="center"/>
            <w:hideMark/>
          </w:tcPr>
          <w:p w14:paraId="6D4E8E9F" w14:textId="77777777" w:rsidR="00E6647C" w:rsidRPr="00AC4F0A" w:rsidRDefault="00E6647C" w:rsidP="00B97EB5">
            <w:pPr>
              <w:spacing w:after="0" w:line="240" w:lineRule="auto"/>
              <w:jc w:val="right"/>
              <w:rPr>
                <w:rFonts w:ascii="Arial" w:hAnsi="Arial" w:cs="Arial"/>
                <w:b/>
                <w:sz w:val="16"/>
                <w:szCs w:val="16"/>
              </w:rPr>
            </w:pPr>
            <w:r w:rsidRPr="00AC4F0A">
              <w:rPr>
                <w:rFonts w:ascii="Arial" w:hAnsi="Arial" w:cs="Arial"/>
                <w:b/>
                <w:sz w:val="16"/>
                <w:szCs w:val="16"/>
              </w:rPr>
              <w:t>727.7</w:t>
            </w:r>
          </w:p>
        </w:tc>
        <w:tc>
          <w:tcPr>
            <w:tcW w:w="75" w:type="pct"/>
            <w:tcBorders>
              <w:top w:val="nil"/>
              <w:left w:val="nil"/>
              <w:bottom w:val="nil"/>
              <w:right w:val="nil"/>
            </w:tcBorders>
            <w:shd w:val="clear" w:color="000000" w:fill="FFFFFF"/>
            <w:noWrap/>
            <w:vAlign w:val="center"/>
            <w:hideMark/>
          </w:tcPr>
          <w:p w14:paraId="79C248EB" w14:textId="77777777" w:rsidR="00E6647C" w:rsidRPr="00AC4F0A" w:rsidRDefault="00E6647C" w:rsidP="00784C4D">
            <w:pPr>
              <w:pStyle w:val="TableGraphic"/>
              <w:jc w:val="left"/>
              <w:rPr>
                <w:rFonts w:ascii="Arial" w:hAnsi="Arial" w:cs="Arial"/>
                <w:b/>
                <w:sz w:val="16"/>
                <w:szCs w:val="16"/>
              </w:rPr>
            </w:pPr>
            <w:r w:rsidRPr="00AC4F0A">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2D745396"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757.6</w:t>
            </w:r>
          </w:p>
        </w:tc>
        <w:tc>
          <w:tcPr>
            <w:tcW w:w="539" w:type="pct"/>
            <w:tcBorders>
              <w:top w:val="nil"/>
              <w:left w:val="nil"/>
              <w:bottom w:val="nil"/>
              <w:right w:val="nil"/>
            </w:tcBorders>
            <w:shd w:val="clear" w:color="000000" w:fill="F2F9FC"/>
            <w:noWrap/>
            <w:vAlign w:val="center"/>
            <w:hideMark/>
          </w:tcPr>
          <w:p w14:paraId="62B770D7"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777.3</w:t>
            </w:r>
          </w:p>
        </w:tc>
        <w:tc>
          <w:tcPr>
            <w:tcW w:w="539" w:type="pct"/>
            <w:tcBorders>
              <w:top w:val="nil"/>
              <w:left w:val="nil"/>
              <w:bottom w:val="nil"/>
              <w:right w:val="nil"/>
            </w:tcBorders>
            <w:shd w:val="clear" w:color="000000" w:fill="FFFFFF"/>
            <w:noWrap/>
            <w:vAlign w:val="center"/>
            <w:hideMark/>
          </w:tcPr>
          <w:p w14:paraId="3270CFA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821.8</w:t>
            </w:r>
          </w:p>
        </w:tc>
        <w:tc>
          <w:tcPr>
            <w:tcW w:w="539" w:type="pct"/>
            <w:tcBorders>
              <w:top w:val="nil"/>
              <w:left w:val="nil"/>
              <w:bottom w:val="nil"/>
              <w:right w:val="nil"/>
            </w:tcBorders>
            <w:shd w:val="clear" w:color="000000" w:fill="FFFFFF"/>
            <w:noWrap/>
            <w:vAlign w:val="center"/>
            <w:hideMark/>
          </w:tcPr>
          <w:p w14:paraId="2CDB3AEC"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856.3</w:t>
            </w:r>
          </w:p>
        </w:tc>
        <w:tc>
          <w:tcPr>
            <w:tcW w:w="539" w:type="pct"/>
            <w:tcBorders>
              <w:top w:val="nil"/>
              <w:left w:val="nil"/>
              <w:bottom w:val="nil"/>
              <w:right w:val="nil"/>
            </w:tcBorders>
            <w:shd w:val="clear" w:color="000000" w:fill="FFFFFF"/>
            <w:noWrap/>
            <w:vAlign w:val="center"/>
            <w:hideMark/>
          </w:tcPr>
          <w:p w14:paraId="71702FDF"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887.3</w:t>
            </w:r>
          </w:p>
        </w:tc>
      </w:tr>
      <w:tr w:rsidR="00E6647C" w:rsidRPr="00E6647C" w14:paraId="09B6BCA3"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50A4F7DE" w14:textId="77777777" w:rsidR="00E6647C" w:rsidRPr="00784C4D" w:rsidRDefault="00E6647C" w:rsidP="00784C4D">
            <w:pPr>
              <w:pStyle w:val="TableGraphic"/>
              <w:jc w:val="left"/>
              <w:rPr>
                <w:rFonts w:ascii="Arial" w:hAnsi="Arial" w:cs="Arial"/>
                <w:sz w:val="16"/>
                <w:szCs w:val="16"/>
              </w:rPr>
            </w:pPr>
            <w:r w:rsidRPr="00784C4D">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63C5EDDE"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35.2</w:t>
            </w:r>
          </w:p>
        </w:tc>
        <w:tc>
          <w:tcPr>
            <w:tcW w:w="75" w:type="pct"/>
            <w:tcBorders>
              <w:top w:val="nil"/>
              <w:left w:val="nil"/>
              <w:bottom w:val="nil"/>
              <w:right w:val="nil"/>
            </w:tcBorders>
            <w:shd w:val="clear" w:color="000000" w:fill="FFFFFF"/>
            <w:noWrap/>
            <w:vAlign w:val="center"/>
            <w:hideMark/>
          </w:tcPr>
          <w:p w14:paraId="3B433EE8" w14:textId="77777777" w:rsidR="00E6647C" w:rsidRPr="00784C4D" w:rsidRDefault="00E6647C" w:rsidP="00784C4D">
            <w:pPr>
              <w:pStyle w:val="TableGraphic"/>
              <w:jc w:val="left"/>
              <w:rPr>
                <w:rFonts w:ascii="Arial" w:hAnsi="Arial" w:cs="Arial"/>
                <w:sz w:val="16"/>
                <w:szCs w:val="16"/>
              </w:rPr>
            </w:pPr>
            <w:r w:rsidRPr="00784C4D">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DD11B48"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33.1</w:t>
            </w:r>
          </w:p>
        </w:tc>
        <w:tc>
          <w:tcPr>
            <w:tcW w:w="539" w:type="pct"/>
            <w:tcBorders>
              <w:top w:val="nil"/>
              <w:left w:val="nil"/>
              <w:bottom w:val="nil"/>
              <w:right w:val="nil"/>
            </w:tcBorders>
            <w:shd w:val="clear" w:color="000000" w:fill="F2F9FC"/>
            <w:noWrap/>
            <w:vAlign w:val="center"/>
            <w:hideMark/>
          </w:tcPr>
          <w:p w14:paraId="7A105A31"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33.8</w:t>
            </w:r>
          </w:p>
        </w:tc>
        <w:tc>
          <w:tcPr>
            <w:tcW w:w="539" w:type="pct"/>
            <w:tcBorders>
              <w:top w:val="nil"/>
              <w:left w:val="nil"/>
              <w:bottom w:val="nil"/>
              <w:right w:val="nil"/>
            </w:tcBorders>
            <w:shd w:val="clear" w:color="000000" w:fill="FFFFFF"/>
            <w:noWrap/>
            <w:vAlign w:val="center"/>
            <w:hideMark/>
          </w:tcPr>
          <w:p w14:paraId="6060FD1D"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34.7</w:t>
            </w:r>
          </w:p>
        </w:tc>
        <w:tc>
          <w:tcPr>
            <w:tcW w:w="539" w:type="pct"/>
            <w:tcBorders>
              <w:top w:val="nil"/>
              <w:left w:val="nil"/>
              <w:bottom w:val="nil"/>
              <w:right w:val="nil"/>
            </w:tcBorders>
            <w:shd w:val="clear" w:color="000000" w:fill="FFFFFF"/>
            <w:noWrap/>
            <w:vAlign w:val="center"/>
            <w:hideMark/>
          </w:tcPr>
          <w:p w14:paraId="03DB305C"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34.4</w:t>
            </w:r>
          </w:p>
        </w:tc>
        <w:tc>
          <w:tcPr>
            <w:tcW w:w="539" w:type="pct"/>
            <w:tcBorders>
              <w:top w:val="nil"/>
              <w:left w:val="nil"/>
              <w:bottom w:val="nil"/>
              <w:right w:val="nil"/>
            </w:tcBorders>
            <w:shd w:val="clear" w:color="000000" w:fill="FFFFFF"/>
            <w:noWrap/>
            <w:vAlign w:val="center"/>
            <w:hideMark/>
          </w:tcPr>
          <w:p w14:paraId="0ADADF57"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33.9</w:t>
            </w:r>
          </w:p>
        </w:tc>
      </w:tr>
      <w:tr w:rsidR="00E6647C" w:rsidRPr="00E6647C" w14:paraId="4B9FDB3E"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426F7D40" w14:textId="77777777" w:rsidR="00E6647C" w:rsidRPr="00784C4D" w:rsidRDefault="00E6647C" w:rsidP="00784C4D">
            <w:pPr>
              <w:pStyle w:val="TableGraphic"/>
              <w:jc w:val="left"/>
              <w:rPr>
                <w:rFonts w:ascii="Arial" w:hAnsi="Arial" w:cs="Arial"/>
                <w:b/>
                <w:sz w:val="16"/>
                <w:szCs w:val="16"/>
              </w:rPr>
            </w:pPr>
            <w:r w:rsidRPr="00784C4D">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4A24D764" w14:textId="77777777" w:rsidR="00E6647C" w:rsidRPr="00784C4D" w:rsidRDefault="00E6647C" w:rsidP="00B97EB5">
            <w:pPr>
              <w:spacing w:after="0" w:line="240" w:lineRule="auto"/>
              <w:jc w:val="right"/>
              <w:rPr>
                <w:rFonts w:ascii="Arial" w:hAnsi="Arial" w:cs="Arial"/>
                <w:b/>
                <w:sz w:val="16"/>
                <w:szCs w:val="16"/>
              </w:rPr>
            </w:pPr>
            <w:r w:rsidRPr="00784C4D">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0267FAB0" w14:textId="77777777" w:rsidR="00E6647C" w:rsidRPr="00784C4D" w:rsidRDefault="00E6647C" w:rsidP="00784C4D">
            <w:pPr>
              <w:pStyle w:val="TableGraphic"/>
              <w:jc w:val="left"/>
              <w:rPr>
                <w:rFonts w:ascii="Arial" w:hAnsi="Arial" w:cs="Arial"/>
                <w:b/>
                <w:sz w:val="16"/>
                <w:szCs w:val="16"/>
              </w:rPr>
            </w:pPr>
            <w:r w:rsidRPr="00784C4D">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6A08DFDE"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71812EC0"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03EB6A33"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7955D01C"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6C1DBB1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06453992"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4EAAAAAC" w14:textId="77777777" w:rsidR="00E6647C" w:rsidRPr="00784C4D" w:rsidRDefault="00E6647C" w:rsidP="00784C4D">
            <w:pPr>
              <w:pStyle w:val="TableGraphic"/>
              <w:jc w:val="left"/>
              <w:rPr>
                <w:rFonts w:ascii="Arial" w:hAnsi="Arial" w:cs="Arial"/>
                <w:b/>
                <w:sz w:val="16"/>
                <w:szCs w:val="16"/>
              </w:rPr>
            </w:pPr>
            <w:r w:rsidRPr="00784C4D">
              <w:rPr>
                <w:rFonts w:ascii="Arial" w:hAnsi="Arial" w:cs="Arial"/>
                <w:b/>
                <w:sz w:val="16"/>
                <w:szCs w:val="16"/>
              </w:rPr>
              <w:t>Total liabilities</w:t>
            </w:r>
          </w:p>
        </w:tc>
        <w:tc>
          <w:tcPr>
            <w:tcW w:w="547" w:type="pct"/>
            <w:tcBorders>
              <w:top w:val="nil"/>
              <w:left w:val="nil"/>
              <w:bottom w:val="nil"/>
              <w:right w:val="nil"/>
            </w:tcBorders>
            <w:shd w:val="clear" w:color="000000" w:fill="FFFFFF"/>
            <w:noWrap/>
            <w:vAlign w:val="center"/>
            <w:hideMark/>
          </w:tcPr>
          <w:p w14:paraId="04625776" w14:textId="77777777" w:rsidR="00E6647C" w:rsidRPr="00784C4D" w:rsidRDefault="00E6647C" w:rsidP="00B97EB5">
            <w:pPr>
              <w:spacing w:after="0" w:line="240" w:lineRule="auto"/>
              <w:jc w:val="right"/>
              <w:rPr>
                <w:rFonts w:ascii="Arial" w:hAnsi="Arial" w:cs="Arial"/>
                <w:b/>
                <w:sz w:val="16"/>
                <w:szCs w:val="16"/>
              </w:rPr>
            </w:pPr>
            <w:r w:rsidRPr="00784C4D">
              <w:rPr>
                <w:rFonts w:ascii="Arial" w:hAnsi="Arial" w:cs="Arial"/>
                <w:b/>
                <w:sz w:val="16"/>
                <w:szCs w:val="16"/>
              </w:rPr>
              <w:t>1,453.0</w:t>
            </w:r>
          </w:p>
        </w:tc>
        <w:tc>
          <w:tcPr>
            <w:tcW w:w="75" w:type="pct"/>
            <w:tcBorders>
              <w:top w:val="nil"/>
              <w:left w:val="nil"/>
              <w:bottom w:val="nil"/>
              <w:right w:val="nil"/>
            </w:tcBorders>
            <w:shd w:val="clear" w:color="000000" w:fill="FFFFFF"/>
            <w:noWrap/>
            <w:vAlign w:val="center"/>
            <w:hideMark/>
          </w:tcPr>
          <w:p w14:paraId="4BC20E93" w14:textId="77777777" w:rsidR="00E6647C" w:rsidRPr="00784C4D" w:rsidRDefault="00E6647C" w:rsidP="00AF7A95">
            <w:pPr>
              <w:pStyle w:val="TableGraphic"/>
              <w:jc w:val="left"/>
              <w:rPr>
                <w:rFonts w:ascii="Arial" w:hAnsi="Arial" w:cs="Arial"/>
                <w:b/>
                <w:sz w:val="16"/>
                <w:szCs w:val="16"/>
              </w:rPr>
            </w:pPr>
            <w:r w:rsidRPr="00784C4D">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6EB60CE5"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1,352.9</w:t>
            </w:r>
          </w:p>
        </w:tc>
        <w:tc>
          <w:tcPr>
            <w:tcW w:w="539" w:type="pct"/>
            <w:tcBorders>
              <w:top w:val="nil"/>
              <w:left w:val="nil"/>
              <w:bottom w:val="nil"/>
              <w:right w:val="nil"/>
            </w:tcBorders>
            <w:shd w:val="clear" w:color="000000" w:fill="F2F9FC"/>
            <w:noWrap/>
            <w:vAlign w:val="center"/>
            <w:hideMark/>
          </w:tcPr>
          <w:p w14:paraId="591991D2"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1,434.8</w:t>
            </w:r>
          </w:p>
        </w:tc>
        <w:tc>
          <w:tcPr>
            <w:tcW w:w="539" w:type="pct"/>
            <w:tcBorders>
              <w:top w:val="nil"/>
              <w:left w:val="nil"/>
              <w:bottom w:val="nil"/>
              <w:right w:val="nil"/>
            </w:tcBorders>
            <w:shd w:val="clear" w:color="000000" w:fill="FFFFFF"/>
            <w:noWrap/>
            <w:vAlign w:val="center"/>
            <w:hideMark/>
          </w:tcPr>
          <w:p w14:paraId="44FBFD0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1,528.3</w:t>
            </w:r>
          </w:p>
        </w:tc>
        <w:tc>
          <w:tcPr>
            <w:tcW w:w="539" w:type="pct"/>
            <w:tcBorders>
              <w:top w:val="nil"/>
              <w:left w:val="nil"/>
              <w:bottom w:val="nil"/>
              <w:right w:val="nil"/>
            </w:tcBorders>
            <w:shd w:val="clear" w:color="000000" w:fill="FFFFFF"/>
            <w:noWrap/>
            <w:vAlign w:val="center"/>
            <w:hideMark/>
          </w:tcPr>
          <w:p w14:paraId="1226EA49"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1,604.2</w:t>
            </w:r>
          </w:p>
        </w:tc>
        <w:tc>
          <w:tcPr>
            <w:tcW w:w="539" w:type="pct"/>
            <w:tcBorders>
              <w:top w:val="nil"/>
              <w:left w:val="nil"/>
              <w:bottom w:val="nil"/>
              <w:right w:val="nil"/>
            </w:tcBorders>
            <w:shd w:val="clear" w:color="000000" w:fill="FFFFFF"/>
            <w:noWrap/>
            <w:vAlign w:val="center"/>
            <w:hideMark/>
          </w:tcPr>
          <w:p w14:paraId="79F6A5D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1,666.2</w:t>
            </w:r>
          </w:p>
        </w:tc>
      </w:tr>
      <w:tr w:rsidR="00E6647C" w:rsidRPr="00E6647C" w14:paraId="68EC8F31"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28BE514F" w14:textId="77777777" w:rsidR="00E6647C" w:rsidRPr="00784C4D" w:rsidRDefault="00E6647C" w:rsidP="00784C4D">
            <w:pPr>
              <w:pStyle w:val="TableGraphic"/>
              <w:jc w:val="left"/>
              <w:rPr>
                <w:rFonts w:ascii="Arial" w:hAnsi="Arial" w:cs="Arial"/>
                <w:sz w:val="16"/>
                <w:szCs w:val="16"/>
              </w:rPr>
            </w:pPr>
            <w:r w:rsidRPr="00784C4D">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2842112D"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70.3</w:t>
            </w:r>
          </w:p>
        </w:tc>
        <w:tc>
          <w:tcPr>
            <w:tcW w:w="75" w:type="pct"/>
            <w:tcBorders>
              <w:top w:val="nil"/>
              <w:left w:val="nil"/>
              <w:bottom w:val="nil"/>
              <w:right w:val="nil"/>
            </w:tcBorders>
            <w:shd w:val="clear" w:color="000000" w:fill="FFFFFF"/>
            <w:noWrap/>
            <w:vAlign w:val="center"/>
            <w:hideMark/>
          </w:tcPr>
          <w:p w14:paraId="0999BE26" w14:textId="77777777" w:rsidR="00E6647C" w:rsidRPr="00784C4D" w:rsidRDefault="00E6647C" w:rsidP="00AF7A95">
            <w:pPr>
              <w:pStyle w:val="TableGraphic"/>
              <w:jc w:val="left"/>
              <w:rPr>
                <w:rFonts w:ascii="Arial" w:hAnsi="Arial" w:cs="Arial"/>
                <w:sz w:val="16"/>
                <w:szCs w:val="16"/>
              </w:rPr>
            </w:pPr>
            <w:r w:rsidRPr="00784C4D">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A206044"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59.1</w:t>
            </w:r>
          </w:p>
        </w:tc>
        <w:tc>
          <w:tcPr>
            <w:tcW w:w="539" w:type="pct"/>
            <w:tcBorders>
              <w:top w:val="nil"/>
              <w:left w:val="nil"/>
              <w:bottom w:val="nil"/>
              <w:right w:val="nil"/>
            </w:tcBorders>
            <w:shd w:val="clear" w:color="000000" w:fill="F2F9FC"/>
            <w:noWrap/>
            <w:vAlign w:val="center"/>
            <w:hideMark/>
          </w:tcPr>
          <w:p w14:paraId="7719EDD6"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62.4</w:t>
            </w:r>
          </w:p>
        </w:tc>
        <w:tc>
          <w:tcPr>
            <w:tcW w:w="539" w:type="pct"/>
            <w:tcBorders>
              <w:top w:val="nil"/>
              <w:left w:val="nil"/>
              <w:bottom w:val="nil"/>
              <w:right w:val="nil"/>
            </w:tcBorders>
            <w:shd w:val="clear" w:color="000000" w:fill="FFFFFF"/>
            <w:noWrap/>
            <w:vAlign w:val="center"/>
            <w:hideMark/>
          </w:tcPr>
          <w:p w14:paraId="38C6227A"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64.6</w:t>
            </w:r>
          </w:p>
        </w:tc>
        <w:tc>
          <w:tcPr>
            <w:tcW w:w="539" w:type="pct"/>
            <w:tcBorders>
              <w:top w:val="nil"/>
              <w:left w:val="nil"/>
              <w:bottom w:val="nil"/>
              <w:right w:val="nil"/>
            </w:tcBorders>
            <w:shd w:val="clear" w:color="000000" w:fill="FFFFFF"/>
            <w:noWrap/>
            <w:vAlign w:val="center"/>
            <w:hideMark/>
          </w:tcPr>
          <w:p w14:paraId="2425865A"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64.4</w:t>
            </w:r>
          </w:p>
        </w:tc>
        <w:tc>
          <w:tcPr>
            <w:tcW w:w="539" w:type="pct"/>
            <w:tcBorders>
              <w:top w:val="nil"/>
              <w:left w:val="nil"/>
              <w:bottom w:val="nil"/>
              <w:right w:val="nil"/>
            </w:tcBorders>
            <w:shd w:val="clear" w:color="000000" w:fill="FFFFFF"/>
            <w:noWrap/>
            <w:vAlign w:val="center"/>
            <w:hideMark/>
          </w:tcPr>
          <w:p w14:paraId="4E9FF0FA"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63.7</w:t>
            </w:r>
          </w:p>
        </w:tc>
      </w:tr>
      <w:tr w:rsidR="00E6647C" w:rsidRPr="00E6647C" w14:paraId="2991736D"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563E4BFA"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2EF5955B"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1E6F8E3D"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38B08D42"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6827E14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5CFB86B6"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86BED5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1F7D6B7E"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3EC49EE6"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4C05EE58"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Net worth</w:t>
            </w:r>
          </w:p>
        </w:tc>
        <w:tc>
          <w:tcPr>
            <w:tcW w:w="547" w:type="pct"/>
            <w:tcBorders>
              <w:top w:val="nil"/>
              <w:left w:val="nil"/>
              <w:bottom w:val="nil"/>
              <w:right w:val="nil"/>
            </w:tcBorders>
            <w:shd w:val="clear" w:color="000000" w:fill="FFFFFF"/>
            <w:noWrap/>
            <w:vAlign w:val="center"/>
            <w:hideMark/>
          </w:tcPr>
          <w:p w14:paraId="1A958654" w14:textId="6DBC7D4B" w:rsidR="00E6647C" w:rsidRPr="00AF7A95" w:rsidRDefault="00660645" w:rsidP="00B97EB5">
            <w:pPr>
              <w:spacing w:after="0" w:line="240" w:lineRule="auto"/>
              <w:jc w:val="right"/>
              <w:rPr>
                <w:rFonts w:ascii="Arial" w:hAnsi="Arial" w:cs="Arial"/>
                <w:b/>
                <w:sz w:val="16"/>
                <w:szCs w:val="16"/>
              </w:rPr>
            </w:pPr>
            <w:r>
              <w:rPr>
                <w:rFonts w:ascii="Arial" w:hAnsi="Arial" w:cs="Arial"/>
                <w:b/>
                <w:sz w:val="16"/>
                <w:szCs w:val="16"/>
              </w:rPr>
              <w:noBreakHyphen/>
            </w:r>
            <w:r w:rsidR="00E6647C" w:rsidRPr="00AF7A95">
              <w:rPr>
                <w:rFonts w:ascii="Arial" w:hAnsi="Arial" w:cs="Arial"/>
                <w:b/>
                <w:sz w:val="16"/>
                <w:szCs w:val="16"/>
              </w:rPr>
              <w:t>725.2</w:t>
            </w:r>
          </w:p>
        </w:tc>
        <w:tc>
          <w:tcPr>
            <w:tcW w:w="75" w:type="pct"/>
            <w:tcBorders>
              <w:top w:val="nil"/>
              <w:left w:val="nil"/>
              <w:bottom w:val="nil"/>
              <w:right w:val="nil"/>
            </w:tcBorders>
            <w:shd w:val="clear" w:color="000000" w:fill="FFFFFF"/>
            <w:noWrap/>
            <w:vAlign w:val="center"/>
            <w:hideMark/>
          </w:tcPr>
          <w:p w14:paraId="754F0E9E"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74F0B5E3" w14:textId="20A8D6DF"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595.3</w:t>
            </w:r>
          </w:p>
        </w:tc>
        <w:tc>
          <w:tcPr>
            <w:tcW w:w="539" w:type="pct"/>
            <w:tcBorders>
              <w:top w:val="nil"/>
              <w:left w:val="nil"/>
              <w:bottom w:val="nil"/>
              <w:right w:val="nil"/>
            </w:tcBorders>
            <w:shd w:val="clear" w:color="000000" w:fill="F2F9FC"/>
            <w:noWrap/>
            <w:vAlign w:val="center"/>
            <w:hideMark/>
          </w:tcPr>
          <w:p w14:paraId="517EB448" w14:textId="49A2E4E8" w:rsidR="00E6647C" w:rsidRPr="004C6D43" w:rsidRDefault="00660645" w:rsidP="004C6D43">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4C6D43">
              <w:rPr>
                <w:rFonts w:ascii="Arial" w:hAnsi="Arial" w:cs="Arial"/>
                <w:b/>
                <w:bCs/>
                <w:sz w:val="16"/>
                <w:szCs w:val="16"/>
              </w:rPr>
              <w:t>657.5</w:t>
            </w:r>
          </w:p>
        </w:tc>
        <w:tc>
          <w:tcPr>
            <w:tcW w:w="539" w:type="pct"/>
            <w:tcBorders>
              <w:top w:val="nil"/>
              <w:left w:val="nil"/>
              <w:bottom w:val="nil"/>
              <w:right w:val="nil"/>
            </w:tcBorders>
            <w:shd w:val="clear" w:color="000000" w:fill="FFFFFF"/>
            <w:noWrap/>
            <w:vAlign w:val="center"/>
            <w:hideMark/>
          </w:tcPr>
          <w:p w14:paraId="04D720E0" w14:textId="3D5E11AC"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706.5</w:t>
            </w:r>
          </w:p>
        </w:tc>
        <w:tc>
          <w:tcPr>
            <w:tcW w:w="539" w:type="pct"/>
            <w:tcBorders>
              <w:top w:val="nil"/>
              <w:left w:val="nil"/>
              <w:bottom w:val="nil"/>
              <w:right w:val="nil"/>
            </w:tcBorders>
            <w:shd w:val="clear" w:color="000000" w:fill="FFFFFF"/>
            <w:noWrap/>
            <w:vAlign w:val="center"/>
            <w:hideMark/>
          </w:tcPr>
          <w:p w14:paraId="4C14E85F" w14:textId="0615A623"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747.9</w:t>
            </w:r>
          </w:p>
        </w:tc>
        <w:tc>
          <w:tcPr>
            <w:tcW w:w="539" w:type="pct"/>
            <w:tcBorders>
              <w:top w:val="nil"/>
              <w:left w:val="nil"/>
              <w:bottom w:val="nil"/>
              <w:right w:val="nil"/>
            </w:tcBorders>
            <w:shd w:val="clear" w:color="000000" w:fill="FFFFFF"/>
            <w:noWrap/>
            <w:vAlign w:val="center"/>
            <w:hideMark/>
          </w:tcPr>
          <w:p w14:paraId="59236ACA" w14:textId="35ED36AA"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778.9</w:t>
            </w:r>
          </w:p>
        </w:tc>
      </w:tr>
      <w:tr w:rsidR="00E6647C" w:rsidRPr="00E6647C" w14:paraId="457022C5"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1810BD64"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553E6504" w14:textId="6A2ECFDF" w:rsidR="00E6647C" w:rsidRPr="00B97EB5" w:rsidRDefault="00660645" w:rsidP="00B97EB5">
            <w:pPr>
              <w:spacing w:after="0" w:line="240" w:lineRule="auto"/>
              <w:jc w:val="right"/>
              <w:rPr>
                <w:rFonts w:ascii="Arial" w:hAnsi="Arial" w:cs="Arial"/>
                <w:bCs/>
                <w:sz w:val="16"/>
                <w:szCs w:val="16"/>
              </w:rPr>
            </w:pPr>
            <w:r>
              <w:rPr>
                <w:rFonts w:ascii="Arial" w:hAnsi="Arial" w:cs="Arial"/>
                <w:bCs/>
                <w:sz w:val="16"/>
                <w:szCs w:val="16"/>
              </w:rPr>
              <w:noBreakHyphen/>
            </w:r>
            <w:r w:rsidR="00E6647C" w:rsidRPr="00B97EB5">
              <w:rPr>
                <w:rFonts w:ascii="Arial" w:hAnsi="Arial" w:cs="Arial"/>
                <w:bCs/>
                <w:sz w:val="16"/>
                <w:szCs w:val="16"/>
              </w:rPr>
              <w:t>35.1</w:t>
            </w:r>
          </w:p>
        </w:tc>
        <w:tc>
          <w:tcPr>
            <w:tcW w:w="75" w:type="pct"/>
            <w:tcBorders>
              <w:top w:val="nil"/>
              <w:left w:val="nil"/>
              <w:bottom w:val="nil"/>
              <w:right w:val="nil"/>
            </w:tcBorders>
            <w:shd w:val="clear" w:color="000000" w:fill="FFFFFF"/>
            <w:noWrap/>
            <w:vAlign w:val="center"/>
            <w:hideMark/>
          </w:tcPr>
          <w:p w14:paraId="55B6336D"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49DFC8CB" w14:textId="3D61B5E9"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26.0</w:t>
            </w:r>
          </w:p>
        </w:tc>
        <w:tc>
          <w:tcPr>
            <w:tcW w:w="539" w:type="pct"/>
            <w:tcBorders>
              <w:top w:val="nil"/>
              <w:left w:val="nil"/>
              <w:bottom w:val="nil"/>
              <w:right w:val="nil"/>
            </w:tcBorders>
            <w:shd w:val="clear" w:color="000000" w:fill="F2F9FC"/>
            <w:noWrap/>
            <w:vAlign w:val="center"/>
            <w:hideMark/>
          </w:tcPr>
          <w:p w14:paraId="2926F8AD" w14:textId="7314AA44" w:rsidR="00E6647C" w:rsidRPr="004C6D43" w:rsidRDefault="00660645" w:rsidP="004C6D43">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28.6</w:t>
            </w:r>
          </w:p>
        </w:tc>
        <w:tc>
          <w:tcPr>
            <w:tcW w:w="539" w:type="pct"/>
            <w:tcBorders>
              <w:top w:val="nil"/>
              <w:left w:val="nil"/>
              <w:bottom w:val="nil"/>
              <w:right w:val="nil"/>
            </w:tcBorders>
            <w:shd w:val="clear" w:color="000000" w:fill="FFFFFF"/>
            <w:noWrap/>
            <w:vAlign w:val="center"/>
            <w:hideMark/>
          </w:tcPr>
          <w:p w14:paraId="571ED206" w14:textId="55694C2F"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29.8</w:t>
            </w:r>
          </w:p>
        </w:tc>
        <w:tc>
          <w:tcPr>
            <w:tcW w:w="539" w:type="pct"/>
            <w:tcBorders>
              <w:top w:val="nil"/>
              <w:left w:val="nil"/>
              <w:bottom w:val="nil"/>
              <w:right w:val="nil"/>
            </w:tcBorders>
            <w:shd w:val="clear" w:color="000000" w:fill="FFFFFF"/>
            <w:noWrap/>
            <w:vAlign w:val="center"/>
            <w:hideMark/>
          </w:tcPr>
          <w:p w14:paraId="546C0D77" w14:textId="679710D5"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30.0</w:t>
            </w:r>
          </w:p>
        </w:tc>
        <w:tc>
          <w:tcPr>
            <w:tcW w:w="539" w:type="pct"/>
            <w:tcBorders>
              <w:top w:val="nil"/>
              <w:left w:val="nil"/>
              <w:bottom w:val="nil"/>
              <w:right w:val="nil"/>
            </w:tcBorders>
            <w:shd w:val="clear" w:color="000000" w:fill="FFFFFF"/>
            <w:noWrap/>
            <w:vAlign w:val="center"/>
            <w:hideMark/>
          </w:tcPr>
          <w:p w14:paraId="504D6D8A" w14:textId="6CF3CC26"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29.8</w:t>
            </w:r>
          </w:p>
        </w:tc>
      </w:tr>
      <w:tr w:rsidR="00E6647C" w:rsidRPr="00E6647C" w14:paraId="4EB1955E"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79F2BF06"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709732C0"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7382ED67"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00DA79C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587EE71D"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17752E3D"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057B8BE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6FB35ADC"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0329D215"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0DBC2346"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xml:space="preserve">Net financial worth(a) </w:t>
            </w:r>
          </w:p>
        </w:tc>
        <w:tc>
          <w:tcPr>
            <w:tcW w:w="547" w:type="pct"/>
            <w:tcBorders>
              <w:top w:val="nil"/>
              <w:left w:val="nil"/>
              <w:bottom w:val="nil"/>
              <w:right w:val="nil"/>
            </w:tcBorders>
            <w:shd w:val="clear" w:color="000000" w:fill="FFFFFF"/>
            <w:noWrap/>
            <w:vAlign w:val="center"/>
            <w:hideMark/>
          </w:tcPr>
          <w:p w14:paraId="05A1EC08" w14:textId="741736CC" w:rsidR="00E6647C" w:rsidRPr="00AF7A95" w:rsidRDefault="00660645" w:rsidP="00B97EB5">
            <w:pPr>
              <w:spacing w:after="0" w:line="240" w:lineRule="auto"/>
              <w:jc w:val="right"/>
              <w:rPr>
                <w:rFonts w:ascii="Arial" w:hAnsi="Arial" w:cs="Arial"/>
                <w:b/>
                <w:sz w:val="16"/>
                <w:szCs w:val="16"/>
              </w:rPr>
            </w:pPr>
            <w:r>
              <w:rPr>
                <w:rFonts w:ascii="Arial" w:hAnsi="Arial" w:cs="Arial"/>
                <w:b/>
                <w:sz w:val="16"/>
                <w:szCs w:val="16"/>
              </w:rPr>
              <w:noBreakHyphen/>
            </w:r>
            <w:r w:rsidR="00E6647C" w:rsidRPr="00AF7A95">
              <w:rPr>
                <w:rFonts w:ascii="Arial" w:hAnsi="Arial" w:cs="Arial"/>
                <w:b/>
                <w:sz w:val="16"/>
                <w:szCs w:val="16"/>
              </w:rPr>
              <w:t>905.9</w:t>
            </w:r>
          </w:p>
        </w:tc>
        <w:tc>
          <w:tcPr>
            <w:tcW w:w="75" w:type="pct"/>
            <w:tcBorders>
              <w:top w:val="nil"/>
              <w:left w:val="nil"/>
              <w:bottom w:val="nil"/>
              <w:right w:val="nil"/>
            </w:tcBorders>
            <w:shd w:val="clear" w:color="000000" w:fill="FFFFFF"/>
            <w:noWrap/>
            <w:vAlign w:val="center"/>
            <w:hideMark/>
          </w:tcPr>
          <w:p w14:paraId="2FE899D7"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0962AA05" w14:textId="054897E2"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786.8</w:t>
            </w:r>
          </w:p>
        </w:tc>
        <w:tc>
          <w:tcPr>
            <w:tcW w:w="539" w:type="pct"/>
            <w:tcBorders>
              <w:top w:val="nil"/>
              <w:left w:val="nil"/>
              <w:bottom w:val="nil"/>
              <w:right w:val="nil"/>
            </w:tcBorders>
            <w:shd w:val="clear" w:color="000000" w:fill="F2F9FC"/>
            <w:noWrap/>
            <w:vAlign w:val="center"/>
            <w:hideMark/>
          </w:tcPr>
          <w:p w14:paraId="29213E49" w14:textId="4CBF47E9" w:rsidR="00E6647C" w:rsidRPr="004C6D43" w:rsidRDefault="00660645" w:rsidP="004C6D43">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4C6D43">
              <w:rPr>
                <w:rFonts w:ascii="Arial" w:hAnsi="Arial" w:cs="Arial"/>
                <w:b/>
                <w:bCs/>
                <w:sz w:val="16"/>
                <w:szCs w:val="16"/>
              </w:rPr>
              <w:t>859.3</w:t>
            </w:r>
          </w:p>
        </w:tc>
        <w:tc>
          <w:tcPr>
            <w:tcW w:w="539" w:type="pct"/>
            <w:tcBorders>
              <w:top w:val="nil"/>
              <w:left w:val="nil"/>
              <w:bottom w:val="nil"/>
              <w:right w:val="nil"/>
            </w:tcBorders>
            <w:shd w:val="clear" w:color="000000" w:fill="FFFFFF"/>
            <w:noWrap/>
            <w:vAlign w:val="center"/>
            <w:hideMark/>
          </w:tcPr>
          <w:p w14:paraId="7B5F4065" w14:textId="03D5491D"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918.0</w:t>
            </w:r>
          </w:p>
        </w:tc>
        <w:tc>
          <w:tcPr>
            <w:tcW w:w="539" w:type="pct"/>
            <w:tcBorders>
              <w:top w:val="nil"/>
              <w:left w:val="nil"/>
              <w:bottom w:val="nil"/>
              <w:right w:val="nil"/>
            </w:tcBorders>
            <w:shd w:val="clear" w:color="000000" w:fill="FFFFFF"/>
            <w:noWrap/>
            <w:vAlign w:val="center"/>
            <w:hideMark/>
          </w:tcPr>
          <w:p w14:paraId="103666A5" w14:textId="6711A0E4"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968.0</w:t>
            </w:r>
          </w:p>
        </w:tc>
        <w:tc>
          <w:tcPr>
            <w:tcW w:w="539" w:type="pct"/>
            <w:tcBorders>
              <w:top w:val="nil"/>
              <w:left w:val="nil"/>
              <w:bottom w:val="nil"/>
              <w:right w:val="nil"/>
            </w:tcBorders>
            <w:shd w:val="clear" w:color="000000" w:fill="FFFFFF"/>
            <w:noWrap/>
            <w:vAlign w:val="center"/>
            <w:hideMark/>
          </w:tcPr>
          <w:p w14:paraId="120C767A" w14:textId="48FCC0EF" w:rsidR="00E6647C" w:rsidRPr="00B97EB5" w:rsidRDefault="00660645" w:rsidP="00B97EB5">
            <w:pPr>
              <w:spacing w:after="0" w:line="240" w:lineRule="auto"/>
              <w:jc w:val="right"/>
              <w:rPr>
                <w:rFonts w:ascii="Arial" w:hAnsi="Arial" w:cs="Arial"/>
                <w:b/>
                <w:bCs/>
                <w:sz w:val="16"/>
                <w:szCs w:val="16"/>
              </w:rPr>
            </w:pPr>
            <w:r>
              <w:rPr>
                <w:rFonts w:ascii="Arial" w:hAnsi="Arial" w:cs="Arial"/>
                <w:b/>
                <w:bCs/>
                <w:sz w:val="16"/>
                <w:szCs w:val="16"/>
              </w:rPr>
              <w:noBreakHyphen/>
            </w:r>
            <w:r w:rsidR="00E6647C" w:rsidRPr="00B97EB5">
              <w:rPr>
                <w:rFonts w:ascii="Arial" w:hAnsi="Arial" w:cs="Arial"/>
                <w:b/>
                <w:bCs/>
                <w:sz w:val="16"/>
                <w:szCs w:val="16"/>
              </w:rPr>
              <w:t>1,006.4</w:t>
            </w:r>
          </w:p>
        </w:tc>
      </w:tr>
      <w:tr w:rsidR="00E6647C" w:rsidRPr="00E6647C" w14:paraId="5B2AB7E4"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766D2619" w14:textId="77777777" w:rsidR="00E6647C" w:rsidRPr="00784C4D" w:rsidRDefault="00E6647C" w:rsidP="00AF7A95">
            <w:pPr>
              <w:pStyle w:val="TableGraphic"/>
              <w:jc w:val="left"/>
              <w:rPr>
                <w:rFonts w:ascii="Arial" w:hAnsi="Arial" w:cs="Arial"/>
                <w:sz w:val="16"/>
                <w:szCs w:val="16"/>
              </w:rPr>
            </w:pPr>
            <w:r w:rsidRPr="00784C4D">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545B8F4F" w14:textId="5F67D4BA" w:rsidR="00E6647C" w:rsidRPr="00B97EB5" w:rsidRDefault="00660645" w:rsidP="00B97EB5">
            <w:pPr>
              <w:spacing w:after="0" w:line="240" w:lineRule="auto"/>
              <w:jc w:val="right"/>
              <w:rPr>
                <w:rFonts w:ascii="Arial" w:hAnsi="Arial" w:cs="Arial"/>
                <w:bCs/>
                <w:sz w:val="16"/>
                <w:szCs w:val="16"/>
              </w:rPr>
            </w:pPr>
            <w:r>
              <w:rPr>
                <w:rFonts w:ascii="Arial" w:hAnsi="Arial" w:cs="Arial"/>
                <w:bCs/>
                <w:sz w:val="16"/>
                <w:szCs w:val="16"/>
              </w:rPr>
              <w:noBreakHyphen/>
            </w:r>
            <w:r w:rsidR="00E6647C" w:rsidRPr="00B97EB5">
              <w:rPr>
                <w:rFonts w:ascii="Arial" w:hAnsi="Arial" w:cs="Arial"/>
                <w:bCs/>
                <w:sz w:val="16"/>
                <w:szCs w:val="16"/>
              </w:rPr>
              <w:t>43.8</w:t>
            </w:r>
          </w:p>
        </w:tc>
        <w:tc>
          <w:tcPr>
            <w:tcW w:w="75" w:type="pct"/>
            <w:tcBorders>
              <w:top w:val="nil"/>
              <w:left w:val="nil"/>
              <w:bottom w:val="nil"/>
              <w:right w:val="nil"/>
            </w:tcBorders>
            <w:shd w:val="clear" w:color="000000" w:fill="FFFFFF"/>
            <w:noWrap/>
            <w:vAlign w:val="center"/>
            <w:hideMark/>
          </w:tcPr>
          <w:p w14:paraId="5795AEC7" w14:textId="77777777" w:rsidR="00E6647C" w:rsidRPr="00784C4D" w:rsidRDefault="00E6647C" w:rsidP="00AF7A95">
            <w:pPr>
              <w:pStyle w:val="TableGraphic"/>
              <w:jc w:val="left"/>
              <w:rPr>
                <w:rFonts w:ascii="Arial" w:hAnsi="Arial" w:cs="Arial"/>
                <w:sz w:val="16"/>
                <w:szCs w:val="16"/>
              </w:rPr>
            </w:pPr>
            <w:r w:rsidRPr="00784C4D">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245EE368" w14:textId="431BF7A6"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34.3</w:t>
            </w:r>
          </w:p>
        </w:tc>
        <w:tc>
          <w:tcPr>
            <w:tcW w:w="539" w:type="pct"/>
            <w:tcBorders>
              <w:top w:val="nil"/>
              <w:left w:val="nil"/>
              <w:bottom w:val="nil"/>
              <w:right w:val="nil"/>
            </w:tcBorders>
            <w:shd w:val="clear" w:color="000000" w:fill="F2F9FC"/>
            <w:noWrap/>
            <w:vAlign w:val="center"/>
            <w:hideMark/>
          </w:tcPr>
          <w:p w14:paraId="6746E1D3" w14:textId="31457785" w:rsidR="00E6647C" w:rsidRPr="004C6D43" w:rsidRDefault="00660645" w:rsidP="004C6D43">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37.4</w:t>
            </w:r>
          </w:p>
        </w:tc>
        <w:tc>
          <w:tcPr>
            <w:tcW w:w="539" w:type="pct"/>
            <w:tcBorders>
              <w:top w:val="nil"/>
              <w:left w:val="nil"/>
              <w:bottom w:val="nil"/>
              <w:right w:val="nil"/>
            </w:tcBorders>
            <w:shd w:val="clear" w:color="000000" w:fill="FFFFFF"/>
            <w:noWrap/>
            <w:vAlign w:val="center"/>
            <w:hideMark/>
          </w:tcPr>
          <w:p w14:paraId="25523BB6" w14:textId="123F67AB"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38.8</w:t>
            </w:r>
          </w:p>
        </w:tc>
        <w:tc>
          <w:tcPr>
            <w:tcW w:w="539" w:type="pct"/>
            <w:tcBorders>
              <w:top w:val="nil"/>
              <w:left w:val="nil"/>
              <w:bottom w:val="nil"/>
              <w:right w:val="nil"/>
            </w:tcBorders>
            <w:shd w:val="clear" w:color="000000" w:fill="FFFFFF"/>
            <w:noWrap/>
            <w:vAlign w:val="center"/>
            <w:hideMark/>
          </w:tcPr>
          <w:p w14:paraId="5EC989B6" w14:textId="23ECE87D"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38.9</w:t>
            </w:r>
          </w:p>
        </w:tc>
        <w:tc>
          <w:tcPr>
            <w:tcW w:w="539" w:type="pct"/>
            <w:tcBorders>
              <w:top w:val="nil"/>
              <w:left w:val="nil"/>
              <w:bottom w:val="nil"/>
              <w:right w:val="nil"/>
            </w:tcBorders>
            <w:shd w:val="clear" w:color="000000" w:fill="FFFFFF"/>
            <w:noWrap/>
            <w:vAlign w:val="center"/>
            <w:hideMark/>
          </w:tcPr>
          <w:p w14:paraId="74B4E7BA" w14:textId="5817A785" w:rsidR="00E6647C" w:rsidRPr="004C6D43" w:rsidRDefault="00660645" w:rsidP="00B97EB5">
            <w:pPr>
              <w:spacing w:after="0" w:line="240" w:lineRule="auto"/>
              <w:jc w:val="right"/>
              <w:rPr>
                <w:rFonts w:ascii="Arial" w:hAnsi="Arial" w:cs="Arial"/>
                <w:sz w:val="16"/>
                <w:szCs w:val="16"/>
              </w:rPr>
            </w:pPr>
            <w:r>
              <w:rPr>
                <w:rFonts w:ascii="Arial" w:hAnsi="Arial" w:cs="Arial"/>
                <w:sz w:val="16"/>
                <w:szCs w:val="16"/>
              </w:rPr>
              <w:noBreakHyphen/>
            </w:r>
            <w:r w:rsidR="00E6647C" w:rsidRPr="004C6D43">
              <w:rPr>
                <w:rFonts w:ascii="Arial" w:hAnsi="Arial" w:cs="Arial"/>
                <w:sz w:val="16"/>
                <w:szCs w:val="16"/>
              </w:rPr>
              <w:t>38.5</w:t>
            </w:r>
          </w:p>
        </w:tc>
      </w:tr>
      <w:tr w:rsidR="00E6647C" w:rsidRPr="00E6647C" w14:paraId="476A855A"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10DD8045"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1C8E93C3"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24C75843"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0E91D39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0B6E1142"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1898D19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9AC712E"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277ED2D2"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6C085843"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5C8A96F9"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Gross debt(b)</w:t>
            </w:r>
          </w:p>
        </w:tc>
        <w:tc>
          <w:tcPr>
            <w:tcW w:w="547" w:type="pct"/>
            <w:tcBorders>
              <w:top w:val="nil"/>
              <w:left w:val="nil"/>
              <w:bottom w:val="nil"/>
              <w:right w:val="nil"/>
            </w:tcBorders>
            <w:shd w:val="clear" w:color="000000" w:fill="FFFFFF"/>
            <w:noWrap/>
            <w:vAlign w:val="center"/>
            <w:hideMark/>
          </w:tcPr>
          <w:p w14:paraId="4BCEC106"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817.0</w:t>
            </w:r>
          </w:p>
        </w:tc>
        <w:tc>
          <w:tcPr>
            <w:tcW w:w="75" w:type="pct"/>
            <w:tcBorders>
              <w:top w:val="nil"/>
              <w:left w:val="nil"/>
              <w:bottom w:val="nil"/>
              <w:right w:val="nil"/>
            </w:tcBorders>
            <w:shd w:val="clear" w:color="000000" w:fill="FFFFFF"/>
            <w:noWrap/>
            <w:vAlign w:val="center"/>
            <w:hideMark/>
          </w:tcPr>
          <w:p w14:paraId="55CFD29A"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20CF4C77"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906.0</w:t>
            </w:r>
          </w:p>
        </w:tc>
        <w:tc>
          <w:tcPr>
            <w:tcW w:w="539" w:type="pct"/>
            <w:tcBorders>
              <w:top w:val="nil"/>
              <w:left w:val="nil"/>
              <w:bottom w:val="nil"/>
              <w:right w:val="nil"/>
            </w:tcBorders>
            <w:shd w:val="clear" w:color="000000" w:fill="F2F9FC"/>
            <w:noWrap/>
            <w:vAlign w:val="center"/>
            <w:hideMark/>
          </w:tcPr>
          <w:p w14:paraId="4BB547F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977.0</w:t>
            </w:r>
          </w:p>
        </w:tc>
        <w:tc>
          <w:tcPr>
            <w:tcW w:w="539" w:type="pct"/>
            <w:tcBorders>
              <w:top w:val="nil"/>
              <w:left w:val="nil"/>
              <w:bottom w:val="nil"/>
              <w:right w:val="nil"/>
            </w:tcBorders>
            <w:shd w:val="clear" w:color="000000" w:fill="FFFFFF"/>
            <w:noWrap/>
            <w:vAlign w:val="center"/>
            <w:hideMark/>
          </w:tcPr>
          <w:p w14:paraId="0497E884"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1,056.0</w:t>
            </w:r>
          </w:p>
        </w:tc>
        <w:tc>
          <w:tcPr>
            <w:tcW w:w="539" w:type="pct"/>
            <w:tcBorders>
              <w:top w:val="nil"/>
              <w:left w:val="nil"/>
              <w:bottom w:val="nil"/>
              <w:right w:val="nil"/>
            </w:tcBorders>
            <w:shd w:val="clear" w:color="000000" w:fill="FFFFFF"/>
            <w:noWrap/>
            <w:vAlign w:val="center"/>
            <w:hideMark/>
          </w:tcPr>
          <w:p w14:paraId="52BFD27D"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1,117.0</w:t>
            </w:r>
          </w:p>
        </w:tc>
        <w:tc>
          <w:tcPr>
            <w:tcW w:w="539" w:type="pct"/>
            <w:tcBorders>
              <w:top w:val="nil"/>
              <w:left w:val="nil"/>
              <w:bottom w:val="nil"/>
              <w:right w:val="nil"/>
            </w:tcBorders>
            <w:shd w:val="clear" w:color="000000" w:fill="FFFFFF"/>
            <w:noWrap/>
            <w:vAlign w:val="center"/>
            <w:hideMark/>
          </w:tcPr>
          <w:p w14:paraId="23FAEAA4"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1,169.0</w:t>
            </w:r>
          </w:p>
        </w:tc>
      </w:tr>
      <w:tr w:rsidR="00E6647C" w:rsidRPr="00E6647C" w14:paraId="1FFF21F2"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172EF582" w14:textId="77777777" w:rsidR="00E6647C" w:rsidRPr="00784C4D" w:rsidRDefault="00E6647C" w:rsidP="00AF7A95">
            <w:pPr>
              <w:pStyle w:val="TableGraphic"/>
              <w:jc w:val="left"/>
              <w:rPr>
                <w:rFonts w:ascii="Arial" w:hAnsi="Arial" w:cs="Arial"/>
                <w:sz w:val="16"/>
                <w:szCs w:val="16"/>
              </w:rPr>
            </w:pPr>
            <w:r w:rsidRPr="00784C4D">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7F8D36BE"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39.5</w:t>
            </w:r>
          </w:p>
        </w:tc>
        <w:tc>
          <w:tcPr>
            <w:tcW w:w="75" w:type="pct"/>
            <w:tcBorders>
              <w:top w:val="nil"/>
              <w:left w:val="nil"/>
              <w:bottom w:val="nil"/>
              <w:right w:val="nil"/>
            </w:tcBorders>
            <w:shd w:val="clear" w:color="000000" w:fill="FFFFFF"/>
            <w:noWrap/>
            <w:vAlign w:val="center"/>
            <w:hideMark/>
          </w:tcPr>
          <w:p w14:paraId="677A11E7" w14:textId="77777777" w:rsidR="00E6647C" w:rsidRPr="00AF7A95" w:rsidRDefault="00E6647C" w:rsidP="00AF7A95">
            <w:pPr>
              <w:pStyle w:val="TableGraphic"/>
              <w:jc w:val="left"/>
              <w:rPr>
                <w:rFonts w:ascii="Arial" w:hAnsi="Arial" w:cs="Arial"/>
                <w:color w:val="FF0000"/>
                <w:sz w:val="16"/>
                <w:szCs w:val="16"/>
              </w:rPr>
            </w:pPr>
            <w:r w:rsidRPr="00AF7A95">
              <w:rPr>
                <w:rFonts w:ascii="Arial" w:hAnsi="Arial" w:cs="Arial"/>
                <w:color w:val="FF0000"/>
                <w:sz w:val="16"/>
                <w:szCs w:val="16"/>
              </w:rPr>
              <w:t> </w:t>
            </w:r>
          </w:p>
        </w:tc>
        <w:tc>
          <w:tcPr>
            <w:tcW w:w="539" w:type="pct"/>
            <w:tcBorders>
              <w:top w:val="nil"/>
              <w:left w:val="nil"/>
              <w:bottom w:val="nil"/>
              <w:right w:val="nil"/>
            </w:tcBorders>
            <w:shd w:val="clear" w:color="000000" w:fill="FFFFFF"/>
            <w:noWrap/>
            <w:vAlign w:val="center"/>
            <w:hideMark/>
          </w:tcPr>
          <w:p w14:paraId="510DC6EC"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39.5</w:t>
            </w:r>
          </w:p>
        </w:tc>
        <w:tc>
          <w:tcPr>
            <w:tcW w:w="539" w:type="pct"/>
            <w:tcBorders>
              <w:top w:val="nil"/>
              <w:left w:val="nil"/>
              <w:bottom w:val="nil"/>
              <w:right w:val="nil"/>
            </w:tcBorders>
            <w:shd w:val="clear" w:color="000000" w:fill="F2F9FC"/>
            <w:noWrap/>
            <w:vAlign w:val="center"/>
            <w:hideMark/>
          </w:tcPr>
          <w:p w14:paraId="18953D2E"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42.5</w:t>
            </w:r>
          </w:p>
        </w:tc>
        <w:tc>
          <w:tcPr>
            <w:tcW w:w="539" w:type="pct"/>
            <w:tcBorders>
              <w:top w:val="nil"/>
              <w:left w:val="nil"/>
              <w:bottom w:val="nil"/>
              <w:right w:val="nil"/>
            </w:tcBorders>
            <w:shd w:val="clear" w:color="000000" w:fill="FFFFFF"/>
            <w:noWrap/>
            <w:vAlign w:val="center"/>
            <w:hideMark/>
          </w:tcPr>
          <w:p w14:paraId="3058C156"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44.6</w:t>
            </w:r>
          </w:p>
        </w:tc>
        <w:tc>
          <w:tcPr>
            <w:tcW w:w="539" w:type="pct"/>
            <w:tcBorders>
              <w:top w:val="nil"/>
              <w:left w:val="nil"/>
              <w:bottom w:val="nil"/>
              <w:right w:val="nil"/>
            </w:tcBorders>
            <w:shd w:val="clear" w:color="000000" w:fill="FFFFFF"/>
            <w:noWrap/>
            <w:vAlign w:val="center"/>
            <w:hideMark/>
          </w:tcPr>
          <w:p w14:paraId="57FDDFD9"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44.9</w:t>
            </w:r>
          </w:p>
        </w:tc>
        <w:tc>
          <w:tcPr>
            <w:tcW w:w="539" w:type="pct"/>
            <w:tcBorders>
              <w:top w:val="nil"/>
              <w:left w:val="nil"/>
              <w:bottom w:val="nil"/>
              <w:right w:val="nil"/>
            </w:tcBorders>
            <w:shd w:val="clear" w:color="000000" w:fill="FFFFFF"/>
            <w:noWrap/>
            <w:vAlign w:val="center"/>
            <w:hideMark/>
          </w:tcPr>
          <w:p w14:paraId="41817F58"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44.7</w:t>
            </w:r>
          </w:p>
        </w:tc>
      </w:tr>
      <w:tr w:rsidR="00E6647C" w:rsidRPr="00E6647C" w14:paraId="1FF84CD1"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19C605A0"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47" w:type="pct"/>
            <w:tcBorders>
              <w:top w:val="nil"/>
              <w:left w:val="nil"/>
              <w:bottom w:val="nil"/>
              <w:right w:val="nil"/>
            </w:tcBorders>
            <w:shd w:val="clear" w:color="000000" w:fill="FFFFFF"/>
            <w:noWrap/>
            <w:vAlign w:val="center"/>
            <w:hideMark/>
          </w:tcPr>
          <w:p w14:paraId="5CD29441"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158E663F"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12F5303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63468F35"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24F0C21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4351C989"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3AD71EC"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3711F4C0"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13A7BEDA"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Net debt(c)</w:t>
            </w:r>
          </w:p>
        </w:tc>
        <w:tc>
          <w:tcPr>
            <w:tcW w:w="547" w:type="pct"/>
            <w:tcBorders>
              <w:top w:val="nil"/>
              <w:left w:val="nil"/>
              <w:bottom w:val="nil"/>
              <w:right w:val="nil"/>
            </w:tcBorders>
            <w:shd w:val="clear" w:color="000000" w:fill="FFFFFF"/>
            <w:noWrap/>
            <w:vAlign w:val="center"/>
            <w:hideMark/>
          </w:tcPr>
          <w:p w14:paraId="25516B44"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592.2</w:t>
            </w:r>
          </w:p>
        </w:tc>
        <w:tc>
          <w:tcPr>
            <w:tcW w:w="75" w:type="pct"/>
            <w:tcBorders>
              <w:top w:val="nil"/>
              <w:left w:val="nil"/>
              <w:bottom w:val="nil"/>
              <w:right w:val="nil"/>
            </w:tcBorders>
            <w:shd w:val="clear" w:color="000000" w:fill="FFFFFF"/>
            <w:noWrap/>
            <w:vAlign w:val="center"/>
            <w:hideMark/>
          </w:tcPr>
          <w:p w14:paraId="3F8CE0C7"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1A97FA4D"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631.5</w:t>
            </w:r>
          </w:p>
        </w:tc>
        <w:tc>
          <w:tcPr>
            <w:tcW w:w="539" w:type="pct"/>
            <w:tcBorders>
              <w:top w:val="nil"/>
              <w:left w:val="nil"/>
              <w:bottom w:val="nil"/>
              <w:right w:val="nil"/>
            </w:tcBorders>
            <w:shd w:val="clear" w:color="000000" w:fill="F2F9FC"/>
            <w:noWrap/>
            <w:vAlign w:val="center"/>
            <w:hideMark/>
          </w:tcPr>
          <w:p w14:paraId="536A24CD"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714.9</w:t>
            </w:r>
          </w:p>
        </w:tc>
        <w:tc>
          <w:tcPr>
            <w:tcW w:w="539" w:type="pct"/>
            <w:tcBorders>
              <w:top w:val="nil"/>
              <w:left w:val="nil"/>
              <w:bottom w:val="nil"/>
              <w:right w:val="nil"/>
            </w:tcBorders>
            <w:shd w:val="clear" w:color="000000" w:fill="FFFFFF"/>
            <w:noWrap/>
            <w:vAlign w:val="center"/>
            <w:hideMark/>
          </w:tcPr>
          <w:p w14:paraId="2A12BB9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772.1</w:t>
            </w:r>
          </w:p>
        </w:tc>
        <w:tc>
          <w:tcPr>
            <w:tcW w:w="539" w:type="pct"/>
            <w:tcBorders>
              <w:top w:val="nil"/>
              <w:left w:val="nil"/>
              <w:bottom w:val="nil"/>
              <w:right w:val="nil"/>
            </w:tcBorders>
            <w:shd w:val="clear" w:color="000000" w:fill="FFFFFF"/>
            <w:noWrap/>
            <w:vAlign w:val="center"/>
            <w:hideMark/>
          </w:tcPr>
          <w:p w14:paraId="2BB37802"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823.2</w:t>
            </w:r>
          </w:p>
        </w:tc>
        <w:tc>
          <w:tcPr>
            <w:tcW w:w="539" w:type="pct"/>
            <w:tcBorders>
              <w:top w:val="nil"/>
              <w:left w:val="nil"/>
              <w:bottom w:val="nil"/>
              <w:right w:val="nil"/>
            </w:tcBorders>
            <w:shd w:val="clear" w:color="000000" w:fill="FFFFFF"/>
            <w:noWrap/>
            <w:vAlign w:val="center"/>
            <w:hideMark/>
          </w:tcPr>
          <w:p w14:paraId="1F0FAAA3"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864.5</w:t>
            </w:r>
          </w:p>
        </w:tc>
      </w:tr>
      <w:tr w:rsidR="00E6647C" w:rsidRPr="00E6647C" w14:paraId="1DB99BAE"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46E732CE"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2E94E67F"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28.6</w:t>
            </w:r>
          </w:p>
        </w:tc>
        <w:tc>
          <w:tcPr>
            <w:tcW w:w="75" w:type="pct"/>
            <w:tcBorders>
              <w:top w:val="nil"/>
              <w:left w:val="nil"/>
              <w:bottom w:val="nil"/>
              <w:right w:val="nil"/>
            </w:tcBorders>
            <w:shd w:val="clear" w:color="000000" w:fill="FFFFFF"/>
            <w:noWrap/>
            <w:vAlign w:val="center"/>
            <w:hideMark/>
          </w:tcPr>
          <w:p w14:paraId="215B71ED"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4C2E5821"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27.6</w:t>
            </w:r>
          </w:p>
        </w:tc>
        <w:tc>
          <w:tcPr>
            <w:tcW w:w="539" w:type="pct"/>
            <w:tcBorders>
              <w:top w:val="nil"/>
              <w:left w:val="nil"/>
              <w:bottom w:val="nil"/>
              <w:right w:val="nil"/>
            </w:tcBorders>
            <w:shd w:val="clear" w:color="000000" w:fill="F2F9FC"/>
            <w:noWrap/>
            <w:vAlign w:val="center"/>
            <w:hideMark/>
          </w:tcPr>
          <w:p w14:paraId="28F7CB52"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31.1</w:t>
            </w:r>
          </w:p>
        </w:tc>
        <w:tc>
          <w:tcPr>
            <w:tcW w:w="539" w:type="pct"/>
            <w:tcBorders>
              <w:top w:val="nil"/>
              <w:left w:val="nil"/>
              <w:bottom w:val="nil"/>
              <w:right w:val="nil"/>
            </w:tcBorders>
            <w:shd w:val="clear" w:color="000000" w:fill="FFFFFF"/>
            <w:noWrap/>
            <w:vAlign w:val="center"/>
            <w:hideMark/>
          </w:tcPr>
          <w:p w14:paraId="453FE0C1"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32.6</w:t>
            </w:r>
          </w:p>
        </w:tc>
        <w:tc>
          <w:tcPr>
            <w:tcW w:w="539" w:type="pct"/>
            <w:tcBorders>
              <w:top w:val="nil"/>
              <w:left w:val="nil"/>
              <w:bottom w:val="nil"/>
              <w:right w:val="nil"/>
            </w:tcBorders>
            <w:shd w:val="clear" w:color="000000" w:fill="FFFFFF"/>
            <w:noWrap/>
            <w:vAlign w:val="center"/>
            <w:hideMark/>
          </w:tcPr>
          <w:p w14:paraId="3E9E2F65"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33.1</w:t>
            </w:r>
          </w:p>
        </w:tc>
        <w:tc>
          <w:tcPr>
            <w:tcW w:w="539" w:type="pct"/>
            <w:tcBorders>
              <w:top w:val="nil"/>
              <w:left w:val="nil"/>
              <w:bottom w:val="nil"/>
              <w:right w:val="nil"/>
            </w:tcBorders>
            <w:shd w:val="clear" w:color="000000" w:fill="FFFFFF"/>
            <w:noWrap/>
            <w:vAlign w:val="center"/>
            <w:hideMark/>
          </w:tcPr>
          <w:p w14:paraId="558D0304"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33.1</w:t>
            </w:r>
          </w:p>
        </w:tc>
      </w:tr>
      <w:tr w:rsidR="00E6647C" w:rsidRPr="00E6647C" w14:paraId="3295519E"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749612E9" w14:textId="77777777" w:rsidR="00E6647C" w:rsidRPr="00AF7A95" w:rsidRDefault="00E6647C" w:rsidP="00AF7A95">
            <w:pPr>
              <w:pStyle w:val="TableGraphic"/>
              <w:jc w:val="left"/>
              <w:rPr>
                <w:rFonts w:ascii="Arial" w:hAnsi="Arial" w:cs="Arial"/>
                <w:color w:val="0000FF"/>
                <w:sz w:val="16"/>
                <w:szCs w:val="16"/>
              </w:rPr>
            </w:pPr>
            <w:r w:rsidRPr="00AF7A95">
              <w:rPr>
                <w:rFonts w:ascii="Arial" w:hAnsi="Arial" w:cs="Arial"/>
                <w:color w:val="0000FF"/>
                <w:sz w:val="16"/>
                <w:szCs w:val="16"/>
              </w:rPr>
              <w:t> </w:t>
            </w:r>
          </w:p>
        </w:tc>
        <w:tc>
          <w:tcPr>
            <w:tcW w:w="547" w:type="pct"/>
            <w:tcBorders>
              <w:top w:val="nil"/>
              <w:left w:val="nil"/>
              <w:bottom w:val="nil"/>
              <w:right w:val="nil"/>
            </w:tcBorders>
            <w:shd w:val="clear" w:color="000000" w:fill="FFFFFF"/>
            <w:noWrap/>
            <w:vAlign w:val="center"/>
            <w:hideMark/>
          </w:tcPr>
          <w:p w14:paraId="3C607765" w14:textId="77777777" w:rsidR="00E6647C" w:rsidRPr="00B97EB5" w:rsidRDefault="00E6647C" w:rsidP="00B97EB5">
            <w:pPr>
              <w:spacing w:after="0" w:line="240" w:lineRule="auto"/>
              <w:jc w:val="right"/>
              <w:rPr>
                <w:rFonts w:ascii="Arial" w:hAnsi="Arial" w:cs="Arial"/>
                <w:b/>
                <w:sz w:val="16"/>
                <w:szCs w:val="16"/>
              </w:rPr>
            </w:pPr>
            <w:r w:rsidRPr="00B97EB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5BD1362E" w14:textId="77777777" w:rsidR="00E6647C" w:rsidRPr="00AF7A95" w:rsidRDefault="00E6647C" w:rsidP="00AF7A95">
            <w:pPr>
              <w:pStyle w:val="TableGraphic"/>
              <w:jc w:val="left"/>
              <w:rPr>
                <w:rFonts w:ascii="Arial" w:hAnsi="Arial" w:cs="Arial"/>
                <w:color w:val="0000FF"/>
                <w:sz w:val="16"/>
                <w:szCs w:val="16"/>
              </w:rPr>
            </w:pPr>
            <w:r w:rsidRPr="00AF7A95">
              <w:rPr>
                <w:rFonts w:ascii="Arial" w:hAnsi="Arial" w:cs="Arial"/>
                <w:color w:val="0000FF"/>
                <w:sz w:val="16"/>
                <w:szCs w:val="16"/>
              </w:rPr>
              <w:t> </w:t>
            </w:r>
          </w:p>
        </w:tc>
        <w:tc>
          <w:tcPr>
            <w:tcW w:w="539" w:type="pct"/>
            <w:tcBorders>
              <w:top w:val="nil"/>
              <w:left w:val="nil"/>
              <w:bottom w:val="nil"/>
              <w:right w:val="nil"/>
            </w:tcBorders>
            <w:shd w:val="clear" w:color="000000" w:fill="FFFFFF"/>
            <w:noWrap/>
            <w:vAlign w:val="center"/>
            <w:hideMark/>
          </w:tcPr>
          <w:p w14:paraId="04187069"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389D1CA0"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7E5FED9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412B3816"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21389AC"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6EC8D919"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2568F4D7"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Total interest payments</w:t>
            </w:r>
          </w:p>
        </w:tc>
        <w:tc>
          <w:tcPr>
            <w:tcW w:w="547" w:type="pct"/>
            <w:tcBorders>
              <w:top w:val="nil"/>
              <w:left w:val="nil"/>
              <w:bottom w:val="nil"/>
              <w:right w:val="nil"/>
            </w:tcBorders>
            <w:shd w:val="clear" w:color="000000" w:fill="FFFFFF"/>
            <w:noWrap/>
            <w:vAlign w:val="center"/>
            <w:hideMark/>
          </w:tcPr>
          <w:p w14:paraId="468598CC"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17.1</w:t>
            </w:r>
          </w:p>
        </w:tc>
        <w:tc>
          <w:tcPr>
            <w:tcW w:w="75" w:type="pct"/>
            <w:tcBorders>
              <w:top w:val="nil"/>
              <w:left w:val="nil"/>
              <w:bottom w:val="nil"/>
              <w:right w:val="nil"/>
            </w:tcBorders>
            <w:shd w:val="clear" w:color="000000" w:fill="FFFFFF"/>
            <w:noWrap/>
            <w:vAlign w:val="center"/>
            <w:hideMark/>
          </w:tcPr>
          <w:p w14:paraId="0E43A8E6"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54B32A6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17.5</w:t>
            </w:r>
          </w:p>
        </w:tc>
        <w:tc>
          <w:tcPr>
            <w:tcW w:w="539" w:type="pct"/>
            <w:tcBorders>
              <w:top w:val="nil"/>
              <w:left w:val="nil"/>
              <w:bottom w:val="nil"/>
              <w:right w:val="nil"/>
            </w:tcBorders>
            <w:shd w:val="clear" w:color="000000" w:fill="F2F9FC"/>
            <w:noWrap/>
            <w:vAlign w:val="center"/>
            <w:hideMark/>
          </w:tcPr>
          <w:p w14:paraId="786EFA73"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17.9</w:t>
            </w:r>
          </w:p>
        </w:tc>
        <w:tc>
          <w:tcPr>
            <w:tcW w:w="539" w:type="pct"/>
            <w:tcBorders>
              <w:top w:val="nil"/>
              <w:left w:val="nil"/>
              <w:bottom w:val="nil"/>
              <w:right w:val="nil"/>
            </w:tcBorders>
            <w:shd w:val="clear" w:color="000000" w:fill="FFFFFF"/>
            <w:noWrap/>
            <w:vAlign w:val="center"/>
            <w:hideMark/>
          </w:tcPr>
          <w:p w14:paraId="548AF4B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20.3</w:t>
            </w:r>
          </w:p>
        </w:tc>
        <w:tc>
          <w:tcPr>
            <w:tcW w:w="539" w:type="pct"/>
            <w:tcBorders>
              <w:top w:val="nil"/>
              <w:left w:val="nil"/>
              <w:bottom w:val="nil"/>
              <w:right w:val="nil"/>
            </w:tcBorders>
            <w:shd w:val="clear" w:color="000000" w:fill="FFFFFF"/>
            <w:noWrap/>
            <w:vAlign w:val="center"/>
            <w:hideMark/>
          </w:tcPr>
          <w:p w14:paraId="71DB7396"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21.6</w:t>
            </w:r>
          </w:p>
        </w:tc>
        <w:tc>
          <w:tcPr>
            <w:tcW w:w="539" w:type="pct"/>
            <w:tcBorders>
              <w:top w:val="nil"/>
              <w:left w:val="nil"/>
              <w:bottom w:val="nil"/>
              <w:right w:val="nil"/>
            </w:tcBorders>
            <w:shd w:val="clear" w:color="000000" w:fill="FFFFFF"/>
            <w:noWrap/>
            <w:vAlign w:val="center"/>
            <w:hideMark/>
          </w:tcPr>
          <w:p w14:paraId="0AEE308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26.3</w:t>
            </w:r>
          </w:p>
        </w:tc>
      </w:tr>
      <w:tr w:rsidR="00E6647C" w:rsidRPr="00E6647C" w14:paraId="0D5646FB"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2A3D926A"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Per cent of GDP</w:t>
            </w:r>
          </w:p>
        </w:tc>
        <w:tc>
          <w:tcPr>
            <w:tcW w:w="547" w:type="pct"/>
            <w:tcBorders>
              <w:top w:val="nil"/>
              <w:left w:val="nil"/>
              <w:bottom w:val="nil"/>
              <w:right w:val="nil"/>
            </w:tcBorders>
            <w:shd w:val="clear" w:color="000000" w:fill="FFFFFF"/>
            <w:noWrap/>
            <w:vAlign w:val="center"/>
            <w:hideMark/>
          </w:tcPr>
          <w:p w14:paraId="1726A994"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0.8</w:t>
            </w:r>
          </w:p>
        </w:tc>
        <w:tc>
          <w:tcPr>
            <w:tcW w:w="75" w:type="pct"/>
            <w:tcBorders>
              <w:top w:val="nil"/>
              <w:left w:val="nil"/>
              <w:bottom w:val="nil"/>
              <w:right w:val="nil"/>
            </w:tcBorders>
            <w:shd w:val="clear" w:color="000000" w:fill="FFFFFF"/>
            <w:noWrap/>
            <w:vAlign w:val="center"/>
            <w:hideMark/>
          </w:tcPr>
          <w:p w14:paraId="414447AA"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737E27BC"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0.8</w:t>
            </w:r>
          </w:p>
        </w:tc>
        <w:tc>
          <w:tcPr>
            <w:tcW w:w="539" w:type="pct"/>
            <w:tcBorders>
              <w:top w:val="nil"/>
              <w:left w:val="nil"/>
              <w:bottom w:val="nil"/>
              <w:right w:val="nil"/>
            </w:tcBorders>
            <w:shd w:val="clear" w:color="000000" w:fill="F2F9FC"/>
            <w:noWrap/>
            <w:vAlign w:val="center"/>
            <w:hideMark/>
          </w:tcPr>
          <w:p w14:paraId="49C7557A"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0.8</w:t>
            </w:r>
          </w:p>
        </w:tc>
        <w:tc>
          <w:tcPr>
            <w:tcW w:w="539" w:type="pct"/>
            <w:tcBorders>
              <w:top w:val="nil"/>
              <w:left w:val="nil"/>
              <w:bottom w:val="nil"/>
              <w:right w:val="nil"/>
            </w:tcBorders>
            <w:shd w:val="clear" w:color="000000" w:fill="FFFFFF"/>
            <w:noWrap/>
            <w:vAlign w:val="center"/>
            <w:hideMark/>
          </w:tcPr>
          <w:p w14:paraId="7F26FEA9"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0.9</w:t>
            </w:r>
          </w:p>
        </w:tc>
        <w:tc>
          <w:tcPr>
            <w:tcW w:w="539" w:type="pct"/>
            <w:tcBorders>
              <w:top w:val="nil"/>
              <w:left w:val="nil"/>
              <w:bottom w:val="nil"/>
              <w:right w:val="nil"/>
            </w:tcBorders>
            <w:shd w:val="clear" w:color="000000" w:fill="FFFFFF"/>
            <w:noWrap/>
            <w:vAlign w:val="center"/>
            <w:hideMark/>
          </w:tcPr>
          <w:p w14:paraId="16049554"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0.9</w:t>
            </w:r>
          </w:p>
        </w:tc>
        <w:tc>
          <w:tcPr>
            <w:tcW w:w="539" w:type="pct"/>
            <w:tcBorders>
              <w:top w:val="nil"/>
              <w:left w:val="nil"/>
              <w:bottom w:val="nil"/>
              <w:right w:val="nil"/>
            </w:tcBorders>
            <w:shd w:val="clear" w:color="000000" w:fill="FFFFFF"/>
            <w:noWrap/>
            <w:vAlign w:val="center"/>
            <w:hideMark/>
          </w:tcPr>
          <w:p w14:paraId="48E17BC6"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1.0</w:t>
            </w:r>
          </w:p>
        </w:tc>
      </w:tr>
      <w:tr w:rsidR="00E6647C" w:rsidRPr="00E6647C" w14:paraId="22B17899" w14:textId="77777777" w:rsidTr="00E6647C">
        <w:trPr>
          <w:trHeight w:hRule="exact" w:val="60"/>
        </w:trPr>
        <w:tc>
          <w:tcPr>
            <w:tcW w:w="1684" w:type="pct"/>
            <w:tcBorders>
              <w:top w:val="nil"/>
              <w:left w:val="nil"/>
              <w:bottom w:val="nil"/>
              <w:right w:val="nil"/>
            </w:tcBorders>
            <w:shd w:val="clear" w:color="000000" w:fill="FFFFFF"/>
            <w:noWrap/>
            <w:vAlign w:val="center"/>
            <w:hideMark/>
          </w:tcPr>
          <w:p w14:paraId="41EDBBD0" w14:textId="77777777" w:rsidR="00E6647C" w:rsidRPr="00AF7A95" w:rsidRDefault="00E6647C" w:rsidP="00AF7A95">
            <w:pPr>
              <w:pStyle w:val="TableGraphic"/>
              <w:jc w:val="left"/>
              <w:rPr>
                <w:rFonts w:ascii="Arial" w:hAnsi="Arial" w:cs="Arial"/>
                <w:color w:val="0000FF"/>
                <w:sz w:val="16"/>
                <w:szCs w:val="16"/>
              </w:rPr>
            </w:pPr>
            <w:r w:rsidRPr="00AF7A95">
              <w:rPr>
                <w:rFonts w:ascii="Arial" w:hAnsi="Arial" w:cs="Arial"/>
                <w:color w:val="0000FF"/>
                <w:sz w:val="16"/>
                <w:szCs w:val="16"/>
              </w:rPr>
              <w:t> </w:t>
            </w:r>
          </w:p>
        </w:tc>
        <w:tc>
          <w:tcPr>
            <w:tcW w:w="547" w:type="pct"/>
            <w:tcBorders>
              <w:top w:val="nil"/>
              <w:left w:val="nil"/>
              <w:bottom w:val="nil"/>
              <w:right w:val="nil"/>
            </w:tcBorders>
            <w:shd w:val="clear" w:color="000000" w:fill="FFFFFF"/>
            <w:noWrap/>
            <w:vAlign w:val="center"/>
            <w:hideMark/>
          </w:tcPr>
          <w:p w14:paraId="584AEFFB" w14:textId="77777777" w:rsidR="00E6647C" w:rsidRPr="00B97EB5" w:rsidRDefault="00E6647C" w:rsidP="00B97EB5">
            <w:pPr>
              <w:spacing w:after="0" w:line="240" w:lineRule="auto"/>
              <w:jc w:val="right"/>
              <w:rPr>
                <w:rFonts w:ascii="Arial" w:hAnsi="Arial" w:cs="Arial"/>
                <w:b/>
                <w:sz w:val="16"/>
                <w:szCs w:val="16"/>
              </w:rPr>
            </w:pPr>
            <w:r w:rsidRPr="00B97EB5">
              <w:rPr>
                <w:rFonts w:ascii="Arial" w:hAnsi="Arial" w:cs="Arial"/>
                <w:b/>
                <w:sz w:val="16"/>
                <w:szCs w:val="16"/>
              </w:rPr>
              <w:t> </w:t>
            </w:r>
          </w:p>
        </w:tc>
        <w:tc>
          <w:tcPr>
            <w:tcW w:w="75" w:type="pct"/>
            <w:tcBorders>
              <w:top w:val="nil"/>
              <w:left w:val="nil"/>
              <w:bottom w:val="nil"/>
              <w:right w:val="nil"/>
            </w:tcBorders>
            <w:shd w:val="clear" w:color="000000" w:fill="FFFFFF"/>
            <w:noWrap/>
            <w:vAlign w:val="center"/>
            <w:hideMark/>
          </w:tcPr>
          <w:p w14:paraId="4DE54CB8" w14:textId="77777777" w:rsidR="00E6647C" w:rsidRPr="00AF7A95" w:rsidRDefault="00E6647C" w:rsidP="00AF7A95">
            <w:pPr>
              <w:pStyle w:val="TableGraphic"/>
              <w:jc w:val="left"/>
              <w:rPr>
                <w:rFonts w:ascii="Arial" w:hAnsi="Arial" w:cs="Arial"/>
                <w:color w:val="0000FF"/>
                <w:sz w:val="16"/>
                <w:szCs w:val="16"/>
              </w:rPr>
            </w:pPr>
            <w:r w:rsidRPr="00AF7A95">
              <w:rPr>
                <w:rFonts w:ascii="Arial" w:hAnsi="Arial" w:cs="Arial"/>
                <w:color w:val="0000FF"/>
                <w:sz w:val="16"/>
                <w:szCs w:val="16"/>
              </w:rPr>
              <w:t> </w:t>
            </w:r>
          </w:p>
        </w:tc>
        <w:tc>
          <w:tcPr>
            <w:tcW w:w="539" w:type="pct"/>
            <w:tcBorders>
              <w:top w:val="nil"/>
              <w:left w:val="nil"/>
              <w:bottom w:val="nil"/>
              <w:right w:val="nil"/>
            </w:tcBorders>
            <w:shd w:val="clear" w:color="000000" w:fill="FFFFFF"/>
            <w:noWrap/>
            <w:vAlign w:val="center"/>
            <w:hideMark/>
          </w:tcPr>
          <w:p w14:paraId="70BD1531"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2F9FC"/>
            <w:noWrap/>
            <w:vAlign w:val="center"/>
            <w:hideMark/>
          </w:tcPr>
          <w:p w14:paraId="20E2FDA7"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F29A518"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3BAF50C0"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c>
          <w:tcPr>
            <w:tcW w:w="539" w:type="pct"/>
            <w:tcBorders>
              <w:top w:val="nil"/>
              <w:left w:val="nil"/>
              <w:bottom w:val="nil"/>
              <w:right w:val="nil"/>
            </w:tcBorders>
            <w:shd w:val="clear" w:color="000000" w:fill="FFFFFF"/>
            <w:noWrap/>
            <w:vAlign w:val="center"/>
            <w:hideMark/>
          </w:tcPr>
          <w:p w14:paraId="4FB9B715"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 </w:t>
            </w:r>
          </w:p>
        </w:tc>
      </w:tr>
      <w:tr w:rsidR="00E6647C" w:rsidRPr="00E6647C" w14:paraId="2A8DFC6B" w14:textId="77777777" w:rsidTr="00E6647C">
        <w:trPr>
          <w:trHeight w:hRule="exact" w:val="225"/>
        </w:trPr>
        <w:tc>
          <w:tcPr>
            <w:tcW w:w="1684" w:type="pct"/>
            <w:tcBorders>
              <w:top w:val="nil"/>
              <w:left w:val="nil"/>
              <w:bottom w:val="nil"/>
              <w:right w:val="nil"/>
            </w:tcBorders>
            <w:shd w:val="clear" w:color="000000" w:fill="FFFFFF"/>
            <w:noWrap/>
            <w:vAlign w:val="center"/>
            <w:hideMark/>
          </w:tcPr>
          <w:p w14:paraId="0D6C4281"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Net interest payments(d)</w:t>
            </w:r>
          </w:p>
        </w:tc>
        <w:tc>
          <w:tcPr>
            <w:tcW w:w="547" w:type="pct"/>
            <w:tcBorders>
              <w:top w:val="nil"/>
              <w:left w:val="nil"/>
              <w:bottom w:val="nil"/>
              <w:right w:val="nil"/>
            </w:tcBorders>
            <w:shd w:val="clear" w:color="000000" w:fill="FFFFFF"/>
            <w:noWrap/>
            <w:vAlign w:val="center"/>
            <w:hideMark/>
          </w:tcPr>
          <w:p w14:paraId="0D3FF5D4" w14:textId="77777777" w:rsidR="00E6647C" w:rsidRPr="00AF7A95" w:rsidRDefault="00E6647C" w:rsidP="00B97EB5">
            <w:pPr>
              <w:spacing w:after="0" w:line="240" w:lineRule="auto"/>
              <w:jc w:val="right"/>
              <w:rPr>
                <w:rFonts w:ascii="Arial" w:hAnsi="Arial" w:cs="Arial"/>
                <w:b/>
                <w:sz w:val="16"/>
                <w:szCs w:val="16"/>
              </w:rPr>
            </w:pPr>
            <w:r w:rsidRPr="00AF7A95">
              <w:rPr>
                <w:rFonts w:ascii="Arial" w:hAnsi="Arial" w:cs="Arial"/>
                <w:b/>
                <w:sz w:val="16"/>
                <w:szCs w:val="16"/>
              </w:rPr>
              <w:t>14.3</w:t>
            </w:r>
          </w:p>
        </w:tc>
        <w:tc>
          <w:tcPr>
            <w:tcW w:w="75" w:type="pct"/>
            <w:tcBorders>
              <w:top w:val="nil"/>
              <w:left w:val="nil"/>
              <w:bottom w:val="nil"/>
              <w:right w:val="nil"/>
            </w:tcBorders>
            <w:shd w:val="clear" w:color="000000" w:fill="FFFFFF"/>
            <w:noWrap/>
            <w:vAlign w:val="center"/>
            <w:hideMark/>
          </w:tcPr>
          <w:p w14:paraId="69C68ADF" w14:textId="77777777" w:rsidR="00E6647C" w:rsidRPr="00AF7A95" w:rsidRDefault="00E6647C" w:rsidP="00AF7A95">
            <w:pPr>
              <w:pStyle w:val="TableGraphic"/>
              <w:jc w:val="left"/>
              <w:rPr>
                <w:rFonts w:ascii="Arial" w:hAnsi="Arial" w:cs="Arial"/>
                <w:b/>
                <w:sz w:val="16"/>
                <w:szCs w:val="16"/>
              </w:rPr>
            </w:pPr>
            <w:r w:rsidRPr="00AF7A95">
              <w:rPr>
                <w:rFonts w:ascii="Arial" w:hAnsi="Arial" w:cs="Arial"/>
                <w:b/>
                <w:sz w:val="16"/>
                <w:szCs w:val="16"/>
              </w:rPr>
              <w:t> </w:t>
            </w:r>
          </w:p>
        </w:tc>
        <w:tc>
          <w:tcPr>
            <w:tcW w:w="539" w:type="pct"/>
            <w:tcBorders>
              <w:top w:val="nil"/>
              <w:left w:val="nil"/>
              <w:bottom w:val="nil"/>
              <w:right w:val="nil"/>
            </w:tcBorders>
            <w:shd w:val="clear" w:color="000000" w:fill="FFFFFF"/>
            <w:noWrap/>
            <w:vAlign w:val="center"/>
            <w:hideMark/>
          </w:tcPr>
          <w:p w14:paraId="00CA8A72"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14.9</w:t>
            </w:r>
          </w:p>
        </w:tc>
        <w:tc>
          <w:tcPr>
            <w:tcW w:w="539" w:type="pct"/>
            <w:tcBorders>
              <w:top w:val="nil"/>
              <w:left w:val="nil"/>
              <w:bottom w:val="nil"/>
              <w:right w:val="nil"/>
            </w:tcBorders>
            <w:shd w:val="clear" w:color="000000" w:fill="F2F9FC"/>
            <w:noWrap/>
            <w:vAlign w:val="center"/>
            <w:hideMark/>
          </w:tcPr>
          <w:p w14:paraId="752DED6F" w14:textId="77777777" w:rsidR="00E6647C" w:rsidRPr="004C6D43" w:rsidRDefault="00E6647C" w:rsidP="004C6D43">
            <w:pPr>
              <w:spacing w:after="0" w:line="240" w:lineRule="auto"/>
              <w:jc w:val="right"/>
              <w:rPr>
                <w:rFonts w:ascii="Arial" w:hAnsi="Arial" w:cs="Arial"/>
                <w:b/>
                <w:bCs/>
                <w:sz w:val="16"/>
                <w:szCs w:val="16"/>
              </w:rPr>
            </w:pPr>
            <w:r w:rsidRPr="004C6D43">
              <w:rPr>
                <w:rFonts w:ascii="Arial" w:hAnsi="Arial" w:cs="Arial"/>
                <w:b/>
                <w:bCs/>
                <w:sz w:val="16"/>
                <w:szCs w:val="16"/>
              </w:rPr>
              <w:t>15.1</w:t>
            </w:r>
          </w:p>
        </w:tc>
        <w:tc>
          <w:tcPr>
            <w:tcW w:w="539" w:type="pct"/>
            <w:tcBorders>
              <w:top w:val="nil"/>
              <w:left w:val="nil"/>
              <w:bottom w:val="nil"/>
              <w:right w:val="nil"/>
            </w:tcBorders>
            <w:shd w:val="clear" w:color="000000" w:fill="FFFFFF"/>
            <w:noWrap/>
            <w:vAlign w:val="center"/>
            <w:hideMark/>
          </w:tcPr>
          <w:p w14:paraId="7DFABA1A"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16.9</w:t>
            </w:r>
          </w:p>
        </w:tc>
        <w:tc>
          <w:tcPr>
            <w:tcW w:w="539" w:type="pct"/>
            <w:tcBorders>
              <w:top w:val="nil"/>
              <w:left w:val="nil"/>
              <w:bottom w:val="nil"/>
              <w:right w:val="nil"/>
            </w:tcBorders>
            <w:shd w:val="clear" w:color="000000" w:fill="FFFFFF"/>
            <w:noWrap/>
            <w:vAlign w:val="center"/>
            <w:hideMark/>
          </w:tcPr>
          <w:p w14:paraId="16C269B7"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18.0</w:t>
            </w:r>
          </w:p>
        </w:tc>
        <w:tc>
          <w:tcPr>
            <w:tcW w:w="539" w:type="pct"/>
            <w:tcBorders>
              <w:top w:val="nil"/>
              <w:left w:val="nil"/>
              <w:bottom w:val="nil"/>
              <w:right w:val="nil"/>
            </w:tcBorders>
            <w:shd w:val="clear" w:color="000000" w:fill="FFFFFF"/>
            <w:noWrap/>
            <w:vAlign w:val="center"/>
            <w:hideMark/>
          </w:tcPr>
          <w:p w14:paraId="3B5E451B" w14:textId="77777777" w:rsidR="00E6647C" w:rsidRPr="00B97EB5" w:rsidRDefault="00E6647C" w:rsidP="00B97EB5">
            <w:pPr>
              <w:spacing w:after="0" w:line="240" w:lineRule="auto"/>
              <w:jc w:val="right"/>
              <w:rPr>
                <w:rFonts w:ascii="Arial" w:hAnsi="Arial" w:cs="Arial"/>
                <w:b/>
                <w:bCs/>
                <w:sz w:val="16"/>
                <w:szCs w:val="16"/>
              </w:rPr>
            </w:pPr>
            <w:r w:rsidRPr="00B97EB5">
              <w:rPr>
                <w:rFonts w:ascii="Arial" w:hAnsi="Arial" w:cs="Arial"/>
                <w:b/>
                <w:bCs/>
                <w:sz w:val="16"/>
                <w:szCs w:val="16"/>
              </w:rPr>
              <w:t>22.4</w:t>
            </w:r>
          </w:p>
        </w:tc>
      </w:tr>
      <w:tr w:rsidR="00E6647C" w:rsidRPr="00E6647C" w14:paraId="5D07173E" w14:textId="77777777" w:rsidTr="00E6647C">
        <w:trPr>
          <w:trHeight w:hRule="exact" w:val="225"/>
        </w:trPr>
        <w:tc>
          <w:tcPr>
            <w:tcW w:w="1684" w:type="pct"/>
            <w:tcBorders>
              <w:top w:val="nil"/>
              <w:left w:val="nil"/>
              <w:bottom w:val="single" w:sz="4" w:space="0" w:color="000000"/>
              <w:right w:val="nil"/>
            </w:tcBorders>
            <w:shd w:val="clear" w:color="000000" w:fill="FFFFFF"/>
            <w:noWrap/>
            <w:vAlign w:val="center"/>
            <w:hideMark/>
          </w:tcPr>
          <w:p w14:paraId="24196605"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Per cent of GDP</w:t>
            </w:r>
          </w:p>
        </w:tc>
        <w:tc>
          <w:tcPr>
            <w:tcW w:w="547" w:type="pct"/>
            <w:tcBorders>
              <w:top w:val="nil"/>
              <w:left w:val="nil"/>
              <w:bottom w:val="single" w:sz="4" w:space="0" w:color="000000"/>
              <w:right w:val="nil"/>
            </w:tcBorders>
            <w:shd w:val="clear" w:color="000000" w:fill="FFFFFF"/>
            <w:noWrap/>
            <w:vAlign w:val="center"/>
            <w:hideMark/>
          </w:tcPr>
          <w:p w14:paraId="7D6B9CCA" w14:textId="77777777" w:rsidR="00E6647C" w:rsidRPr="00B97EB5" w:rsidRDefault="00E6647C" w:rsidP="00B97EB5">
            <w:pPr>
              <w:spacing w:after="0" w:line="240" w:lineRule="auto"/>
              <w:jc w:val="right"/>
              <w:rPr>
                <w:rFonts w:ascii="Arial" w:hAnsi="Arial" w:cs="Arial"/>
                <w:bCs/>
                <w:sz w:val="16"/>
                <w:szCs w:val="16"/>
              </w:rPr>
            </w:pPr>
            <w:r w:rsidRPr="00B97EB5">
              <w:rPr>
                <w:rFonts w:ascii="Arial" w:hAnsi="Arial" w:cs="Arial"/>
                <w:bCs/>
                <w:sz w:val="16"/>
                <w:szCs w:val="16"/>
              </w:rPr>
              <w:t>0.7</w:t>
            </w:r>
          </w:p>
        </w:tc>
        <w:tc>
          <w:tcPr>
            <w:tcW w:w="75" w:type="pct"/>
            <w:tcBorders>
              <w:top w:val="nil"/>
              <w:left w:val="nil"/>
              <w:bottom w:val="single" w:sz="4" w:space="0" w:color="000000"/>
              <w:right w:val="nil"/>
            </w:tcBorders>
            <w:shd w:val="clear" w:color="000000" w:fill="FFFFFF"/>
            <w:noWrap/>
            <w:vAlign w:val="center"/>
            <w:hideMark/>
          </w:tcPr>
          <w:p w14:paraId="246ADC75" w14:textId="77777777" w:rsidR="00E6647C" w:rsidRPr="00AF7A95" w:rsidRDefault="00E6647C" w:rsidP="00AF7A95">
            <w:pPr>
              <w:pStyle w:val="TableGraphic"/>
              <w:jc w:val="left"/>
              <w:rPr>
                <w:rFonts w:ascii="Arial" w:hAnsi="Arial" w:cs="Arial"/>
                <w:sz w:val="16"/>
                <w:szCs w:val="16"/>
              </w:rPr>
            </w:pPr>
            <w:r w:rsidRPr="00AF7A95">
              <w:rPr>
                <w:rFonts w:ascii="Arial" w:hAnsi="Arial" w:cs="Arial"/>
                <w:sz w:val="16"/>
                <w:szCs w:val="16"/>
              </w:rPr>
              <w:t> </w:t>
            </w:r>
          </w:p>
        </w:tc>
        <w:tc>
          <w:tcPr>
            <w:tcW w:w="539" w:type="pct"/>
            <w:tcBorders>
              <w:top w:val="nil"/>
              <w:left w:val="nil"/>
              <w:bottom w:val="single" w:sz="4" w:space="0" w:color="000000"/>
              <w:right w:val="nil"/>
            </w:tcBorders>
            <w:shd w:val="clear" w:color="000000" w:fill="FFFFFF"/>
            <w:noWrap/>
            <w:vAlign w:val="center"/>
            <w:hideMark/>
          </w:tcPr>
          <w:p w14:paraId="32983DB6"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0.7</w:t>
            </w:r>
          </w:p>
        </w:tc>
        <w:tc>
          <w:tcPr>
            <w:tcW w:w="539" w:type="pct"/>
            <w:tcBorders>
              <w:top w:val="nil"/>
              <w:left w:val="nil"/>
              <w:bottom w:val="single" w:sz="4" w:space="0" w:color="000000"/>
              <w:right w:val="nil"/>
            </w:tcBorders>
            <w:shd w:val="clear" w:color="000000" w:fill="F2F9FC"/>
            <w:noWrap/>
            <w:vAlign w:val="center"/>
            <w:hideMark/>
          </w:tcPr>
          <w:p w14:paraId="1584345B" w14:textId="77777777" w:rsidR="00E6647C" w:rsidRPr="004C6D43" w:rsidRDefault="00E6647C" w:rsidP="004C6D43">
            <w:pPr>
              <w:spacing w:after="0" w:line="240" w:lineRule="auto"/>
              <w:jc w:val="right"/>
              <w:rPr>
                <w:rFonts w:ascii="Arial" w:hAnsi="Arial" w:cs="Arial"/>
                <w:sz w:val="16"/>
                <w:szCs w:val="16"/>
              </w:rPr>
            </w:pPr>
            <w:r w:rsidRPr="004C6D43">
              <w:rPr>
                <w:rFonts w:ascii="Arial" w:hAnsi="Arial" w:cs="Arial"/>
                <w:sz w:val="16"/>
                <w:szCs w:val="16"/>
              </w:rPr>
              <w:t>0.7</w:t>
            </w:r>
          </w:p>
        </w:tc>
        <w:tc>
          <w:tcPr>
            <w:tcW w:w="539" w:type="pct"/>
            <w:tcBorders>
              <w:top w:val="nil"/>
              <w:left w:val="nil"/>
              <w:bottom w:val="single" w:sz="4" w:space="0" w:color="000000"/>
              <w:right w:val="nil"/>
            </w:tcBorders>
            <w:shd w:val="clear" w:color="000000" w:fill="FFFFFF"/>
            <w:noWrap/>
            <w:vAlign w:val="center"/>
            <w:hideMark/>
          </w:tcPr>
          <w:p w14:paraId="0BD9343E"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0.7</w:t>
            </w:r>
          </w:p>
        </w:tc>
        <w:tc>
          <w:tcPr>
            <w:tcW w:w="539" w:type="pct"/>
            <w:tcBorders>
              <w:top w:val="nil"/>
              <w:left w:val="nil"/>
              <w:bottom w:val="single" w:sz="4" w:space="0" w:color="000000"/>
              <w:right w:val="nil"/>
            </w:tcBorders>
            <w:shd w:val="clear" w:color="000000" w:fill="FFFFFF"/>
            <w:noWrap/>
            <w:vAlign w:val="center"/>
            <w:hideMark/>
          </w:tcPr>
          <w:p w14:paraId="26B5F64E"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0.7</w:t>
            </w:r>
          </w:p>
        </w:tc>
        <w:tc>
          <w:tcPr>
            <w:tcW w:w="539" w:type="pct"/>
            <w:tcBorders>
              <w:top w:val="nil"/>
              <w:left w:val="nil"/>
              <w:bottom w:val="single" w:sz="4" w:space="0" w:color="000000"/>
              <w:right w:val="nil"/>
            </w:tcBorders>
            <w:shd w:val="clear" w:color="000000" w:fill="FFFFFF"/>
            <w:noWrap/>
            <w:vAlign w:val="center"/>
            <w:hideMark/>
          </w:tcPr>
          <w:p w14:paraId="2DB6E8A0" w14:textId="77777777" w:rsidR="00E6647C" w:rsidRPr="004C6D43" w:rsidRDefault="00E6647C" w:rsidP="00B97EB5">
            <w:pPr>
              <w:spacing w:after="0" w:line="240" w:lineRule="auto"/>
              <w:jc w:val="right"/>
              <w:rPr>
                <w:rFonts w:ascii="Arial" w:hAnsi="Arial" w:cs="Arial"/>
                <w:sz w:val="16"/>
                <w:szCs w:val="16"/>
              </w:rPr>
            </w:pPr>
            <w:r w:rsidRPr="004C6D43">
              <w:rPr>
                <w:rFonts w:ascii="Arial" w:hAnsi="Arial" w:cs="Arial"/>
                <w:sz w:val="16"/>
                <w:szCs w:val="16"/>
              </w:rPr>
              <w:t>0.9</w:t>
            </w:r>
          </w:p>
        </w:tc>
      </w:tr>
    </w:tbl>
    <w:p w14:paraId="7441EBA0" w14:textId="77777777" w:rsidR="00076460" w:rsidRPr="00625155" w:rsidRDefault="00076460" w:rsidP="00424761">
      <w:pPr>
        <w:pStyle w:val="ChartandTableFootnoteAlpha"/>
        <w:numPr>
          <w:ilvl w:val="0"/>
          <w:numId w:val="7"/>
        </w:numPr>
        <w:rPr>
          <w:color w:val="auto"/>
        </w:rPr>
      </w:pPr>
      <w:r w:rsidRPr="00625155">
        <w:rPr>
          <w:color w:val="auto"/>
        </w:rPr>
        <w:t xml:space="preserve">Net financial worth equals total financial assets minus total liabilities. </w:t>
      </w:r>
    </w:p>
    <w:p w14:paraId="1FF958F4" w14:textId="7FC34ECC" w:rsidR="00076460" w:rsidRPr="00625155" w:rsidRDefault="00076460" w:rsidP="00424761">
      <w:pPr>
        <w:pStyle w:val="ChartandTableFootnoteAlpha"/>
        <w:numPr>
          <w:ilvl w:val="0"/>
          <w:numId w:val="7"/>
        </w:numPr>
        <w:rPr>
          <w:color w:val="auto"/>
        </w:rPr>
      </w:pPr>
      <w:r w:rsidRPr="00625155">
        <w:rPr>
          <w:color w:val="auto"/>
        </w:rPr>
        <w:t xml:space="preserve">Gross debt measures the face value of </w:t>
      </w:r>
      <w:r w:rsidR="00DE6456" w:rsidRPr="00DE6456">
        <w:rPr>
          <w:color w:val="auto"/>
        </w:rPr>
        <w:t>Australian Government Securities (</w:t>
      </w:r>
      <w:r w:rsidRPr="00625155">
        <w:rPr>
          <w:color w:val="auto"/>
        </w:rPr>
        <w:t>AGS</w:t>
      </w:r>
      <w:r w:rsidR="00DE6456" w:rsidRPr="00DE6456">
        <w:rPr>
          <w:color w:val="auto"/>
        </w:rPr>
        <w:t>)</w:t>
      </w:r>
      <w:r w:rsidRPr="00625155">
        <w:rPr>
          <w:color w:val="auto"/>
        </w:rPr>
        <w:t xml:space="preserve"> on issue</w:t>
      </w:r>
      <w:r w:rsidRPr="00F03213">
        <w:rPr>
          <w:color w:val="auto"/>
        </w:rPr>
        <w:t>.</w:t>
      </w:r>
    </w:p>
    <w:p w14:paraId="3BD65DFC" w14:textId="1F3E5065" w:rsidR="00076460" w:rsidRPr="00625155" w:rsidRDefault="00076460" w:rsidP="00424761">
      <w:pPr>
        <w:pStyle w:val="ChartandTableFootnoteAlpha"/>
        <w:numPr>
          <w:ilvl w:val="0"/>
          <w:numId w:val="7"/>
        </w:numPr>
        <w:rPr>
          <w:color w:val="auto"/>
        </w:rPr>
      </w:pPr>
      <w:r>
        <w:t xml:space="preserve">Net debt </w:t>
      </w:r>
      <w:r w:rsidR="00DE6456">
        <w:t>is</w:t>
      </w:r>
      <w:r>
        <w:t xml:space="preserve"> the sum of </w:t>
      </w:r>
      <w:r w:rsidR="00DE6456">
        <w:t>interest bearing liabilities (which includes AGS on issue measured at market value) less</w:t>
      </w:r>
      <w:r>
        <w:t xml:space="preserve"> the sum of </w:t>
      </w:r>
      <w:r w:rsidR="00DE6456">
        <w:t>selected financial assets (</w:t>
      </w:r>
      <w:r>
        <w:t>cash and deposits, advances paid and investments, loans and placements</w:t>
      </w:r>
      <w:r w:rsidR="00DE6456">
        <w:t>).</w:t>
      </w:r>
    </w:p>
    <w:p w14:paraId="29E0621E" w14:textId="044797E9" w:rsidR="00076460" w:rsidRPr="00625155" w:rsidRDefault="00076460" w:rsidP="00424761">
      <w:pPr>
        <w:pStyle w:val="ChartandTableFootnoteAlpha"/>
        <w:numPr>
          <w:ilvl w:val="0"/>
          <w:numId w:val="7"/>
        </w:numPr>
        <w:rPr>
          <w:color w:val="auto"/>
        </w:rPr>
      </w:pPr>
      <w:r w:rsidRPr="00625155">
        <w:rPr>
          <w:color w:val="auto"/>
        </w:rPr>
        <w:t>Net interest payments are equal to the difference between interest payments and interest receipts. The increase in 2025</w:t>
      </w:r>
      <w:r w:rsidR="00660645">
        <w:rPr>
          <w:color w:val="auto"/>
        </w:rPr>
        <w:noBreakHyphen/>
      </w:r>
      <w:r w:rsidRPr="00625155">
        <w:rPr>
          <w:color w:val="auto"/>
        </w:rPr>
        <w:t xml:space="preserve">26 primarily reflects a Treasury Indexed Bond maturing in that year (details can be found in </w:t>
      </w:r>
      <w:r w:rsidR="009E44C8" w:rsidRPr="001A6D8D">
        <w:rPr>
          <w:i/>
          <w:iCs/>
          <w:color w:val="auto"/>
        </w:rPr>
        <w:t>2022</w:t>
      </w:r>
      <w:r w:rsidR="00660645">
        <w:rPr>
          <w:i/>
          <w:iCs/>
          <w:color w:val="auto"/>
        </w:rPr>
        <w:noBreakHyphen/>
      </w:r>
      <w:r w:rsidR="009E44C8" w:rsidRPr="001A6D8D">
        <w:rPr>
          <w:i/>
          <w:iCs/>
          <w:color w:val="auto"/>
        </w:rPr>
        <w:t xml:space="preserve">23 Budget </w:t>
      </w:r>
      <w:r w:rsidRPr="001A6D8D">
        <w:rPr>
          <w:i/>
          <w:iCs/>
          <w:color w:val="auto"/>
        </w:rPr>
        <w:t>Statement 6: Debt Statement</w:t>
      </w:r>
      <w:r w:rsidRPr="001A6D8D">
        <w:rPr>
          <w:color w:val="auto"/>
        </w:rPr>
        <w:t>)</w:t>
      </w:r>
      <w:r w:rsidRPr="00F03213">
        <w:rPr>
          <w:color w:val="auto"/>
        </w:rPr>
        <w:t>.</w:t>
      </w:r>
    </w:p>
    <w:p w14:paraId="2020DD03" w14:textId="77777777" w:rsidR="00076460" w:rsidRPr="001A6D8D" w:rsidRDefault="00076460" w:rsidP="001A6D8D">
      <w:pPr>
        <w:pStyle w:val="ChartandTableFootnoteAlpha"/>
        <w:tabs>
          <w:tab w:val="clear" w:pos="284"/>
        </w:tabs>
        <w:ind w:firstLine="0"/>
        <w:rPr>
          <w:color w:val="auto"/>
        </w:rPr>
      </w:pPr>
    </w:p>
    <w:p w14:paraId="65C9C67D" w14:textId="674E1CBF" w:rsidR="00076460" w:rsidRPr="00625155" w:rsidRDefault="00076460" w:rsidP="00E449DC">
      <w:r w:rsidRPr="00625155">
        <w:t xml:space="preserve"> </w:t>
      </w:r>
    </w:p>
    <w:p w14:paraId="08D08CFE" w14:textId="77777777" w:rsidR="00076460" w:rsidRPr="00625155" w:rsidRDefault="00076460" w:rsidP="00E449DC"/>
    <w:p w14:paraId="2F218DFB" w14:textId="77777777" w:rsidR="00076460" w:rsidRPr="00625155" w:rsidRDefault="00076460" w:rsidP="00702304">
      <w:pPr>
        <w:sectPr w:rsidR="00076460" w:rsidRPr="00625155" w:rsidSect="009D7A36">
          <w:headerReference w:type="even" r:id="rId47"/>
          <w:headerReference w:type="default" r:id="rId48"/>
          <w:footerReference w:type="even" r:id="rId49"/>
          <w:footerReference w:type="default" r:id="rId50"/>
          <w:headerReference w:type="first" r:id="rId51"/>
          <w:footerReference w:type="first" r:id="rId52"/>
          <w:pgSz w:w="11906" w:h="16838" w:code="9"/>
          <w:pgMar w:top="2835" w:right="2098" w:bottom="2466" w:left="2098" w:header="1814" w:footer="1814" w:gutter="0"/>
          <w:cols w:space="708"/>
          <w:titlePg/>
          <w:docGrid w:linePitch="360"/>
        </w:sectPr>
      </w:pPr>
    </w:p>
    <w:p w14:paraId="1EC58986" w14:textId="4F9A1001" w:rsidR="00076460" w:rsidRPr="00625155" w:rsidRDefault="00076460" w:rsidP="00E449DC">
      <w:pPr>
        <w:pStyle w:val="Heading1"/>
      </w:pPr>
      <w:bookmarkStart w:id="50" w:name="_Toc100752517"/>
      <w:bookmarkStart w:id="51" w:name="_Toc101281544"/>
      <w:r w:rsidRPr="00625155">
        <w:t>Appendix A: Financial Statements</w:t>
      </w:r>
      <w:bookmarkEnd w:id="50"/>
      <w:bookmarkEnd w:id="51"/>
    </w:p>
    <w:p w14:paraId="1B3992DA" w14:textId="77777777" w:rsidR="00076460" w:rsidRPr="00625155" w:rsidRDefault="00076460" w:rsidP="00E449DC">
      <w:r w:rsidRPr="00625155">
        <w:t>The financial statements consist of an operating statement, including other economic flows, a balance sheet, and a cash flow statement for the Australian Government general government sector (GGS).</w:t>
      </w:r>
    </w:p>
    <w:p w14:paraId="0AC37F61" w14:textId="5D0B02BB" w:rsidR="00076460" w:rsidRPr="00625155" w:rsidRDefault="00AB139A" w:rsidP="00E449DC">
      <w:r>
        <w:t xml:space="preserve">The </w:t>
      </w:r>
      <w:r>
        <w:rPr>
          <w:i/>
        </w:rPr>
        <w:t>Charter of Budget Honesty Act</w:t>
      </w:r>
      <w:r>
        <w:t xml:space="preserve"> </w:t>
      </w:r>
      <w:r>
        <w:rPr>
          <w:i/>
        </w:rPr>
        <w:t>1998</w:t>
      </w:r>
      <w:r>
        <w:t xml:space="preserve"> (the Charter)</w:t>
      </w:r>
      <w:r w:rsidR="00076460" w:rsidRPr="00625155">
        <w:t xml:space="preserve"> requires that the PEFO be based on external reporting standards and that departures from applicable external reporting standards be identified.</w:t>
      </w:r>
    </w:p>
    <w:p w14:paraId="08FA58F9" w14:textId="77777777" w:rsidR="00076460" w:rsidRPr="00625155" w:rsidRDefault="00076460" w:rsidP="00E449DC">
      <w:r w:rsidRPr="00625155">
        <w:t>The external standards used for reporting purposes are:</w:t>
      </w:r>
    </w:p>
    <w:p w14:paraId="07340CCC" w14:textId="0E08CCCA" w:rsidR="00076460" w:rsidRPr="00625155" w:rsidRDefault="00076460" w:rsidP="00AB139A">
      <w:pPr>
        <w:pStyle w:val="Bullet"/>
        <w:tabs>
          <w:tab w:val="clear" w:pos="283"/>
          <w:tab w:val="left" w:pos="425"/>
        </w:tabs>
        <w:ind w:left="425" w:hanging="425"/>
      </w:pPr>
      <w:r w:rsidRPr="00625155">
        <w:t>the Australian Bureau of Statistics</w:t>
      </w:r>
      <w:r w:rsidR="00660645">
        <w:t>’</w:t>
      </w:r>
      <w:r w:rsidRPr="00625155">
        <w:t xml:space="preserve"> (ABS) accrual Government Finance Statistics (GFS) publication, </w:t>
      </w:r>
      <w:r w:rsidRPr="00625155">
        <w:rPr>
          <w:i/>
        </w:rPr>
        <w:t>Australian System of Government Finance Statistics: Concepts, Sources and Methods</w:t>
      </w:r>
      <w:r w:rsidR="00AB139A">
        <w:rPr>
          <w:i/>
        </w:rPr>
        <w:t>,</w:t>
      </w:r>
      <w:r w:rsidRPr="00625155">
        <w:rPr>
          <w:i/>
        </w:rPr>
        <w:t xml:space="preserve"> 2015</w:t>
      </w:r>
      <w:r w:rsidRPr="00625155">
        <w:t xml:space="preserve"> (cat. no. 5514.0), which is based on the International Monetary Fund (IMF) accrual GFS framework</w:t>
      </w:r>
    </w:p>
    <w:p w14:paraId="4469B7C9" w14:textId="3EE8F988" w:rsidR="00386A9A" w:rsidRDefault="00386A9A" w:rsidP="00386A9A">
      <w:pPr>
        <w:pStyle w:val="Bullet"/>
        <w:tabs>
          <w:tab w:val="clear" w:pos="283"/>
          <w:tab w:val="left" w:pos="425"/>
        </w:tabs>
        <w:ind w:left="425" w:hanging="425"/>
      </w:pPr>
      <w:r>
        <w:t>the Australian Accounting Standards (AAS), issued by the Australian Accounting Standards Board (AASB), which includes International Financial Reporting Standards as adopted in Australia for use by the not</w:t>
      </w:r>
      <w:r w:rsidR="00660645">
        <w:noBreakHyphen/>
      </w:r>
      <w:r>
        <w:t>for</w:t>
      </w:r>
      <w:r w:rsidR="00660645">
        <w:noBreakHyphen/>
      </w:r>
      <w:r>
        <w:t>profit sector and specific standards such as AASB 1049</w:t>
      </w:r>
      <w:r>
        <w:rPr>
          <w:i/>
        </w:rPr>
        <w:t xml:space="preserve"> Whole of Government and General Government Sector Financial Reporting </w:t>
      </w:r>
      <w:r>
        <w:t>(AASB 1049).</w:t>
      </w:r>
    </w:p>
    <w:p w14:paraId="26BC67DF" w14:textId="14B32FDA" w:rsidR="00386A9A" w:rsidRDefault="00386A9A" w:rsidP="00386A9A">
      <w:r>
        <w:t>The financial statements have been prepared on the same basis as the budget papers. The statements reflect the Government</w:t>
      </w:r>
      <w:r w:rsidR="00660645">
        <w:t>’</w:t>
      </w:r>
      <w:r>
        <w:t>s policy that the ABS GFS remains the basis of budget accounting policy, except where AAS is applied because it provides a better conceptual basis for presenting information of relevance to users of public sector financial reports.</w:t>
      </w:r>
    </w:p>
    <w:p w14:paraId="24E9A54A" w14:textId="1223C19F" w:rsidR="00386A9A" w:rsidRDefault="00386A9A" w:rsidP="00386A9A">
      <w:r>
        <w:t>Fiscal reporting focuses on the GGS. The GGS provides public services that are mainly non</w:t>
      </w:r>
      <w:r w:rsidR="00660645">
        <w:noBreakHyphen/>
      </w:r>
      <w:r>
        <w:t>market in nature and for the collective consumption of the community, or involve the transfer or redistribution of income. These services are largely financed through taxes and other compulsory levies. This sector comprises all government departments, offices and some other bodies. In preparing financial statements for the GGS, all material transactions and balances between entities within the GGS have been eliminated.</w:t>
      </w:r>
    </w:p>
    <w:p w14:paraId="3276C21A" w14:textId="5396A989" w:rsidR="00386A9A" w:rsidRDefault="00386A9A" w:rsidP="00386A9A">
      <w:r>
        <w:t>The Government</w:t>
      </w:r>
      <w:r w:rsidR="00660645">
        <w:t>’</w:t>
      </w:r>
      <w:r>
        <w:t xml:space="preserve">s key fiscal aggregates are based on the ABS GFS concepts and definitions, including the ABS GFS cash surplus/deficit and net financial worth. </w:t>
      </w:r>
      <w:r>
        <w:br/>
        <w:t>AASB 1049 requires the disclosure of other ABS GFS fiscal aggregates, including the net operating balance, net lending/borrowing (fiscal balance) and net worth. In addition to these ABS GFS aggregates, the Uniform Presentation Framework requires disclosure of net debt, net financial worth and net financial liabilities.</w:t>
      </w:r>
    </w:p>
    <w:p w14:paraId="3FFC6F22" w14:textId="240E683D" w:rsidR="00386A9A" w:rsidRDefault="00386A9A" w:rsidP="00386A9A">
      <w:pPr>
        <w:pStyle w:val="Heading2"/>
      </w:pPr>
      <w:bookmarkStart w:id="52" w:name="_Toc101281545"/>
      <w:r>
        <w:t>Departures from external reporting standards</w:t>
      </w:r>
      <w:bookmarkStart w:id="53" w:name="_Toc100752518"/>
      <w:bookmarkEnd w:id="52"/>
    </w:p>
    <w:p w14:paraId="52403049" w14:textId="77777777" w:rsidR="00386A9A" w:rsidRDefault="00386A9A" w:rsidP="00386A9A">
      <w:r>
        <w:t>The Charter requires that departures from applicable external reporting standards be identified. The major differences between AAS and the ABS GFS treatments of transactions are outlined in the below table.</w:t>
      </w:r>
    </w:p>
    <w:p w14:paraId="03893E8F" w14:textId="77777777" w:rsidR="00386A9A" w:rsidRDefault="00386A9A" w:rsidP="00386A9A">
      <w:r>
        <w:t xml:space="preserve">AASB 1049 requires AAS measurement of items to be disclosed on the face of the financial statements. Only one measure of each aggregate has been included on the face statements to avoid confusion. </w:t>
      </w:r>
    </w:p>
    <w:p w14:paraId="4331A5DA" w14:textId="77777777" w:rsidR="00386A9A" w:rsidRDefault="00386A9A" w:rsidP="00386A9A">
      <w:r>
        <w:t xml:space="preserve">Further information on the differences between the two systems is provided in the ABS publication </w:t>
      </w:r>
      <w:r>
        <w:rPr>
          <w:i/>
        </w:rPr>
        <w:t>Australian System of Government Finance Statistics: Concepts, Sources and Methods</w:t>
      </w:r>
      <w:r>
        <w:t>, 2015 (cat. no. 5514.0).</w:t>
      </w:r>
    </w:p>
    <w:p w14:paraId="3CB73AA8" w14:textId="77777777" w:rsidR="00386A9A" w:rsidRDefault="00076460" w:rsidP="00386A9A">
      <w:pPr>
        <w:pStyle w:val="TableHeading"/>
      </w:pPr>
      <w:bookmarkStart w:id="54" w:name="_Toc443562235"/>
      <w:bookmarkEnd w:id="53"/>
      <w:r w:rsidRPr="00625155">
        <w:br w:type="page"/>
      </w:r>
    </w:p>
    <w:p w14:paraId="0B4C71E3" w14:textId="77777777" w:rsidR="00386A9A" w:rsidRDefault="00386A9A" w:rsidP="00386A9A">
      <w:pPr>
        <w:pStyle w:val="TableHeading"/>
      </w:pPr>
      <w:r>
        <w:t>Major differences between AAS and ABS GFS</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9FC"/>
        <w:tblLayout w:type="fixed"/>
        <w:tblLook w:val="04A0" w:firstRow="1" w:lastRow="0" w:firstColumn="1" w:lastColumn="0" w:noHBand="0" w:noVBand="1"/>
      </w:tblPr>
      <w:tblGrid>
        <w:gridCol w:w="1527"/>
        <w:gridCol w:w="2492"/>
        <w:gridCol w:w="2630"/>
        <w:gridCol w:w="1015"/>
      </w:tblGrid>
      <w:tr w:rsidR="00386A9A" w14:paraId="2F9264F0" w14:textId="77777777">
        <w:trPr>
          <w:trHeight w:val="407"/>
          <w:tblHeader/>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0EB9DAF9" w14:textId="77777777" w:rsidR="00386A9A" w:rsidRDefault="00386A9A">
            <w:pPr>
              <w:pStyle w:val="TableColumnHeading"/>
              <w:spacing w:before="80" w:after="80" w:line="256" w:lineRule="auto"/>
              <w:rPr>
                <w:color w:val="000000"/>
                <w:lang w:eastAsia="en-US"/>
              </w:rPr>
            </w:pPr>
            <w:r>
              <w:rPr>
                <w:color w:val="000000"/>
                <w:lang w:eastAsia="en-US"/>
              </w:rPr>
              <w:t>Issue</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0B123D34" w14:textId="77777777" w:rsidR="00386A9A" w:rsidRDefault="00386A9A">
            <w:pPr>
              <w:pStyle w:val="TableColumnHeading"/>
              <w:spacing w:before="80" w:after="80" w:line="256" w:lineRule="auto"/>
              <w:rPr>
                <w:color w:val="000000"/>
                <w:lang w:eastAsia="en-US"/>
              </w:rPr>
            </w:pPr>
            <w:r>
              <w:rPr>
                <w:color w:val="000000"/>
                <w:lang w:eastAsia="en-US"/>
              </w:rPr>
              <w:t>AAS treatment</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55C2B6F3" w14:textId="77777777" w:rsidR="00386A9A" w:rsidRDefault="00386A9A">
            <w:pPr>
              <w:pStyle w:val="TableColumnHeading"/>
              <w:spacing w:before="80" w:after="80" w:line="256" w:lineRule="auto"/>
              <w:rPr>
                <w:color w:val="000000"/>
                <w:lang w:eastAsia="en-US"/>
              </w:rPr>
            </w:pPr>
            <w:r>
              <w:rPr>
                <w:color w:val="000000"/>
                <w:lang w:eastAsia="en-US"/>
              </w:rPr>
              <w:t>ABS GFS treatment</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29F177EC" w14:textId="77777777" w:rsidR="00386A9A" w:rsidRDefault="00386A9A">
            <w:pPr>
              <w:pStyle w:val="TableColumnHeading"/>
              <w:spacing w:before="80" w:after="80" w:line="256" w:lineRule="auto"/>
              <w:rPr>
                <w:color w:val="000000"/>
                <w:lang w:eastAsia="en-US"/>
              </w:rPr>
            </w:pPr>
            <w:r>
              <w:rPr>
                <w:color w:val="000000"/>
                <w:lang w:eastAsia="en-US"/>
              </w:rPr>
              <w:t>Treatment adopted</w:t>
            </w:r>
          </w:p>
        </w:tc>
      </w:tr>
      <w:tr w:rsidR="00386A9A" w14:paraId="2E4A6A20"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1E371A9D" w14:textId="77777777" w:rsidR="00386A9A" w:rsidRDefault="00386A9A">
            <w:pPr>
              <w:pStyle w:val="TableTextLeft"/>
              <w:spacing w:before="80" w:after="80" w:line="256" w:lineRule="auto"/>
              <w:rPr>
                <w:lang w:eastAsia="en-US"/>
              </w:rPr>
            </w:pPr>
            <w:r>
              <w:rPr>
                <w:lang w:eastAsia="en-US"/>
              </w:rPr>
              <w:t xml:space="preserve">Circulating coins – </w:t>
            </w:r>
            <w:r>
              <w:rPr>
                <w:bCs/>
                <w:lang w:eastAsia="en-US"/>
              </w:rPr>
              <w:t>seigniorage</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4304C131" w14:textId="77777777" w:rsidR="00386A9A" w:rsidRDefault="00386A9A">
            <w:pPr>
              <w:pStyle w:val="TableTextLeft"/>
              <w:spacing w:before="80" w:after="80" w:line="256" w:lineRule="auto"/>
              <w:rPr>
                <w:lang w:eastAsia="en-US"/>
              </w:rPr>
            </w:pPr>
            <w:r>
              <w:rPr>
                <w:lang w:eastAsia="en-US"/>
              </w:rPr>
              <w:t>The profit between the cost and sale of circulating coins (seigniorage) is treated as revenue.</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28744B92" w14:textId="77777777" w:rsidR="00386A9A" w:rsidRDefault="00386A9A">
            <w:pPr>
              <w:pStyle w:val="TableTextLeft"/>
              <w:spacing w:before="80" w:after="80" w:line="256" w:lineRule="auto"/>
              <w:rPr>
                <w:lang w:eastAsia="en-US"/>
              </w:rPr>
            </w:pPr>
            <w:r>
              <w:rPr>
                <w:lang w:eastAsia="en-US"/>
              </w:rPr>
              <w:t>Circulating coins is treated as a liability, and the cost of producing the coins is treated as an expense.</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1083E08E" w14:textId="77777777" w:rsidR="00386A9A" w:rsidRDefault="00386A9A">
            <w:pPr>
              <w:pStyle w:val="TableTextLeft"/>
              <w:spacing w:before="80" w:after="80" w:line="256" w:lineRule="auto"/>
              <w:rPr>
                <w:lang w:eastAsia="en-US"/>
              </w:rPr>
            </w:pPr>
            <w:r>
              <w:rPr>
                <w:lang w:eastAsia="en-US"/>
              </w:rPr>
              <w:t>AAS</w:t>
            </w:r>
          </w:p>
        </w:tc>
      </w:tr>
      <w:tr w:rsidR="00386A9A" w14:paraId="54466C55"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77D60C7D" w14:textId="77777777" w:rsidR="00386A9A" w:rsidRDefault="00386A9A">
            <w:pPr>
              <w:pStyle w:val="TableTextLeft"/>
              <w:spacing w:before="80" w:after="80" w:line="256" w:lineRule="auto"/>
              <w:rPr>
                <w:lang w:eastAsia="en-US"/>
              </w:rPr>
            </w:pPr>
            <w:r>
              <w:rPr>
                <w:rFonts w:cs="Arial"/>
                <w:lang w:eastAsia="en-US"/>
              </w:rPr>
              <w:t>Valuation of loans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69AA0075" w14:textId="77777777" w:rsidR="00386A9A" w:rsidRDefault="00386A9A">
            <w:pPr>
              <w:pStyle w:val="TableTextLeft"/>
              <w:spacing w:after="60" w:line="256" w:lineRule="auto"/>
              <w:rPr>
                <w:lang w:eastAsia="en-US"/>
              </w:rPr>
            </w:pPr>
            <w:r>
              <w:rPr>
                <w:lang w:eastAsia="en-US"/>
              </w:rPr>
              <w:t>Changes in the valuation of loans are treated as a revenue or an expense.</w:t>
            </w:r>
          </w:p>
          <w:p w14:paraId="39E07BD2" w14:textId="77777777" w:rsidR="00386A9A" w:rsidRDefault="00386A9A">
            <w:pPr>
              <w:pStyle w:val="TableTextLeft"/>
              <w:spacing w:before="80" w:after="80" w:line="256" w:lineRule="auto"/>
              <w:rPr>
                <w:lang w:eastAsia="en-US"/>
              </w:rPr>
            </w:pPr>
            <w:r>
              <w:rPr>
                <w:lang w:eastAsia="en-US"/>
              </w:rPr>
              <w:t>In some circumstances recognition as a revenue or an expense is delayed until the loan ends or is transferred.</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73FAEFAB" w14:textId="0FE26A0D" w:rsidR="00386A9A" w:rsidRDefault="00386A9A">
            <w:pPr>
              <w:pStyle w:val="TableTextLeft"/>
              <w:spacing w:before="80" w:after="80" w:line="256" w:lineRule="auto"/>
              <w:rPr>
                <w:lang w:eastAsia="en-US"/>
              </w:rPr>
            </w:pPr>
            <w:r>
              <w:rPr>
                <w:lang w:eastAsia="en-US"/>
              </w:rPr>
              <w:t>Changes in the valuation of loans (excluding mutually agreed write</w:t>
            </w:r>
            <w:r w:rsidR="00660645">
              <w:rPr>
                <w:lang w:eastAsia="en-US"/>
              </w:rPr>
              <w:noBreakHyphen/>
            </w:r>
            <w:r>
              <w:rPr>
                <w:lang w:eastAsia="en-US"/>
              </w:rPr>
              <w:t xml:space="preserve">downs) are treated as an </w:t>
            </w:r>
            <w:r w:rsidR="00660645">
              <w:rPr>
                <w:lang w:eastAsia="en-US"/>
              </w:rPr>
              <w:t>‘</w:t>
            </w:r>
            <w:r>
              <w:rPr>
                <w:lang w:eastAsia="en-US"/>
              </w:rPr>
              <w:t>other economic flow</w:t>
            </w:r>
            <w:r w:rsidR="00660645">
              <w:rPr>
                <w:lang w:eastAsia="en-US"/>
              </w:rPr>
              <w:t>’</w:t>
            </w:r>
            <w:r>
              <w:rPr>
                <w:lang w:eastAsia="en-US"/>
              </w:rPr>
              <w:t>.</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7CC95ECA" w14:textId="77777777" w:rsidR="00386A9A" w:rsidRDefault="00386A9A">
            <w:pPr>
              <w:pStyle w:val="TableTextLeft"/>
              <w:spacing w:before="80" w:after="80" w:line="256" w:lineRule="auto"/>
              <w:rPr>
                <w:lang w:eastAsia="en-US"/>
              </w:rPr>
            </w:pPr>
            <w:r>
              <w:rPr>
                <w:lang w:eastAsia="en-US"/>
              </w:rPr>
              <w:t xml:space="preserve">ABS GFS </w:t>
            </w:r>
          </w:p>
        </w:tc>
      </w:tr>
      <w:tr w:rsidR="00386A9A" w14:paraId="2A2339B1"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2CB6E9F2" w14:textId="77777777" w:rsidR="00386A9A" w:rsidRDefault="00386A9A">
            <w:pPr>
              <w:pStyle w:val="TableTextLeft"/>
              <w:spacing w:before="80" w:after="80" w:line="256" w:lineRule="auto"/>
              <w:rPr>
                <w:lang w:eastAsia="en-US"/>
              </w:rPr>
            </w:pPr>
            <w:r>
              <w:rPr>
                <w:lang w:eastAsia="en-US"/>
              </w:rPr>
              <w:t xml:space="preserve">Timing recognition of Boosting Cash Flow for Employers </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0039C66E" w14:textId="77777777" w:rsidR="00386A9A" w:rsidRDefault="00386A9A">
            <w:pPr>
              <w:pStyle w:val="TableTextLeft"/>
              <w:spacing w:before="80" w:after="80" w:line="256" w:lineRule="auto"/>
              <w:rPr>
                <w:lang w:eastAsia="en-US"/>
              </w:rPr>
            </w:pPr>
            <w:r>
              <w:rPr>
                <w:rFonts w:cs="Arial"/>
                <w:szCs w:val="16"/>
                <w:lang w:eastAsia="en-US"/>
              </w:rPr>
              <w:t>Expense recognition based on underlying economic activity that gives rise to the Cash Flow Boost payment.</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437E1173" w14:textId="77777777" w:rsidR="00386A9A" w:rsidRDefault="00386A9A">
            <w:pPr>
              <w:pStyle w:val="TableTextLeft"/>
              <w:spacing w:before="80" w:after="80" w:line="256" w:lineRule="auto"/>
              <w:rPr>
                <w:lang w:eastAsia="en-US"/>
              </w:rPr>
            </w:pPr>
            <w:r>
              <w:rPr>
                <w:lang w:eastAsia="en-US"/>
              </w:rPr>
              <w:t>Recognised when the businesses receive payments after submitting their activity statements and having met all requirements.</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5670380D" w14:textId="77777777" w:rsidR="00386A9A" w:rsidRDefault="00386A9A">
            <w:pPr>
              <w:pStyle w:val="TableTextLeft"/>
              <w:spacing w:before="80" w:after="80" w:line="256" w:lineRule="auto"/>
              <w:rPr>
                <w:lang w:eastAsia="en-US"/>
              </w:rPr>
            </w:pPr>
            <w:r>
              <w:rPr>
                <w:lang w:eastAsia="en-US"/>
              </w:rPr>
              <w:t>AAS</w:t>
            </w:r>
          </w:p>
        </w:tc>
      </w:tr>
      <w:tr w:rsidR="00386A9A" w14:paraId="594A01AC"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24691584" w14:textId="77777777" w:rsidR="00386A9A" w:rsidRDefault="00386A9A">
            <w:pPr>
              <w:pStyle w:val="TableTextLeft"/>
              <w:spacing w:before="80" w:after="80" w:line="256" w:lineRule="auto"/>
              <w:rPr>
                <w:lang w:eastAsia="en-US"/>
              </w:rPr>
            </w:pPr>
            <w:r>
              <w:rPr>
                <w:rFonts w:cs="Arial"/>
                <w:lang w:eastAsia="en-US"/>
              </w:rPr>
              <w:t>Leases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6E6B371A" w14:textId="77777777" w:rsidR="00386A9A" w:rsidRDefault="00386A9A">
            <w:pPr>
              <w:pStyle w:val="TableTextLeft"/>
              <w:spacing w:before="80" w:after="80" w:line="256" w:lineRule="auto"/>
              <w:rPr>
                <w:lang w:eastAsia="en-US"/>
              </w:rPr>
            </w:pPr>
            <w:r>
              <w:rPr>
                <w:rFonts w:cs="Arial"/>
                <w:lang w:eastAsia="en-US"/>
              </w:rPr>
              <w:t>AASB 16 introduced a single lease accounting framework for lessees, which replaced the distinction between operating and finance leases. Right of use assets and lease liabilities are recognised on the balance sheets for leases that were previously accounted for as operating expense.</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222DCB98" w14:textId="77777777" w:rsidR="00386A9A" w:rsidRDefault="00386A9A">
            <w:pPr>
              <w:pStyle w:val="TableTextLeft"/>
              <w:spacing w:before="80" w:after="80" w:line="256" w:lineRule="auto"/>
              <w:rPr>
                <w:lang w:eastAsia="en-US"/>
              </w:rPr>
            </w:pPr>
            <w:r>
              <w:rPr>
                <w:rFonts w:cs="Arial"/>
                <w:lang w:eastAsia="en-US"/>
              </w:rPr>
              <w:t>The distinction between operating leases and finance leases is continued for lessees.</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51E85677" w14:textId="77777777" w:rsidR="00386A9A" w:rsidRDefault="00386A9A">
            <w:pPr>
              <w:pStyle w:val="TableTextLeft"/>
              <w:spacing w:before="80" w:after="80" w:line="256" w:lineRule="auto"/>
              <w:rPr>
                <w:lang w:eastAsia="en-US"/>
              </w:rPr>
            </w:pPr>
            <w:r>
              <w:rPr>
                <w:rFonts w:cs="Arial"/>
                <w:lang w:eastAsia="en-US"/>
              </w:rPr>
              <w:t>AAS</w:t>
            </w:r>
          </w:p>
        </w:tc>
      </w:tr>
      <w:tr w:rsidR="00386A9A" w14:paraId="4AFB85F1"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072F19A6" w14:textId="77777777" w:rsidR="00386A9A" w:rsidRDefault="00386A9A">
            <w:pPr>
              <w:pStyle w:val="TableTextLeft"/>
              <w:spacing w:before="80" w:after="80" w:line="256" w:lineRule="auto"/>
              <w:rPr>
                <w:lang w:eastAsia="en-US"/>
              </w:rPr>
            </w:pPr>
            <w:r>
              <w:br w:type="page"/>
            </w:r>
            <w:r>
              <w:rPr>
                <w:lang w:eastAsia="en-US"/>
              </w:rPr>
              <w:t>Concessional loans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34F7B9F1" w14:textId="77777777" w:rsidR="00386A9A" w:rsidRDefault="00386A9A">
            <w:pPr>
              <w:pStyle w:val="TableTextLeft"/>
              <w:spacing w:before="80" w:after="80" w:line="256" w:lineRule="auto"/>
              <w:rPr>
                <w:lang w:eastAsia="en-US"/>
              </w:rPr>
            </w:pPr>
            <w:r>
              <w:rPr>
                <w:color w:val="000000"/>
                <w:lang w:eastAsia="en-US"/>
              </w:rPr>
              <w:t>Concessional elements are treated as an expense on initial recognition and unwound over the loan term.</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1EA514B7" w14:textId="20086DED" w:rsidR="00386A9A" w:rsidRDefault="00386A9A">
            <w:pPr>
              <w:pStyle w:val="TableTextLeft"/>
              <w:spacing w:before="80" w:after="80" w:line="256" w:lineRule="auto"/>
              <w:rPr>
                <w:lang w:eastAsia="en-US"/>
              </w:rPr>
            </w:pPr>
            <w:r>
              <w:rPr>
                <w:color w:val="000000"/>
                <w:lang w:eastAsia="en-US"/>
              </w:rPr>
              <w:t xml:space="preserve">Concessional elements are treated as an </w:t>
            </w:r>
            <w:r w:rsidR="00660645">
              <w:rPr>
                <w:color w:val="000000"/>
                <w:lang w:eastAsia="en-US"/>
              </w:rPr>
              <w:t>‘</w:t>
            </w:r>
            <w:r>
              <w:rPr>
                <w:color w:val="000000"/>
                <w:lang w:eastAsia="en-US"/>
              </w:rPr>
              <w:t>other economic flow</w:t>
            </w:r>
            <w:r w:rsidR="00660645">
              <w:rPr>
                <w:color w:val="000000"/>
                <w:lang w:eastAsia="en-US"/>
              </w:rPr>
              <w:t>’</w:t>
            </w:r>
            <w:r>
              <w:rPr>
                <w:color w:val="000000"/>
                <w:lang w:eastAsia="en-US"/>
              </w:rPr>
              <w:t>.</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3E1872DE" w14:textId="77777777" w:rsidR="00386A9A" w:rsidRDefault="00386A9A">
            <w:pPr>
              <w:pStyle w:val="TableTextLeft"/>
              <w:spacing w:before="80" w:after="80" w:line="256" w:lineRule="auto"/>
              <w:rPr>
                <w:lang w:eastAsia="en-US"/>
              </w:rPr>
            </w:pPr>
            <w:r>
              <w:rPr>
                <w:lang w:eastAsia="en-US"/>
              </w:rPr>
              <w:t>AAS</w:t>
            </w:r>
          </w:p>
        </w:tc>
      </w:tr>
      <w:tr w:rsidR="00386A9A" w14:paraId="64D639E8"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2E4E397B" w14:textId="77777777" w:rsidR="00386A9A" w:rsidRDefault="00386A9A">
            <w:pPr>
              <w:pStyle w:val="TableTextLeft"/>
              <w:spacing w:before="80" w:after="80" w:line="256" w:lineRule="auto"/>
              <w:rPr>
                <w:lang w:eastAsia="en-US"/>
              </w:rPr>
            </w:pPr>
            <w:r>
              <w:rPr>
                <w:lang w:eastAsia="en-US"/>
              </w:rPr>
              <w:t>Investment in other public sector entities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09FFEFBD" w14:textId="77777777" w:rsidR="00386A9A" w:rsidRDefault="00386A9A">
            <w:pPr>
              <w:pStyle w:val="TableTextLeft"/>
              <w:spacing w:before="80" w:after="80" w:line="256" w:lineRule="auto"/>
              <w:rPr>
                <w:lang w:eastAsia="en-US"/>
              </w:rPr>
            </w:pPr>
            <w:r>
              <w:rPr>
                <w:lang w:eastAsia="en-US"/>
              </w:rPr>
              <w:t>Valued at fair value in the balance sheet as long as it can be reliably measured, otherwise net assets is permissible.</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3A9CE726" w14:textId="77777777" w:rsidR="00386A9A" w:rsidRDefault="00386A9A">
            <w:pPr>
              <w:pStyle w:val="TableTextLeft"/>
              <w:spacing w:before="80" w:after="80" w:line="256" w:lineRule="auto"/>
              <w:rPr>
                <w:lang w:eastAsia="en-US"/>
              </w:rPr>
            </w:pPr>
            <w:r>
              <w:rPr>
                <w:lang w:eastAsia="en-US"/>
              </w:rPr>
              <w:t>Unlisted entities valued based on their net assets in the balance sheet.</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305C6D34" w14:textId="77777777" w:rsidR="00386A9A" w:rsidRDefault="00386A9A">
            <w:pPr>
              <w:pStyle w:val="TableTextLeft"/>
              <w:spacing w:before="80" w:after="80" w:line="256" w:lineRule="auto"/>
              <w:rPr>
                <w:lang w:eastAsia="en-US"/>
              </w:rPr>
            </w:pPr>
            <w:r>
              <w:rPr>
                <w:lang w:eastAsia="en-US"/>
              </w:rPr>
              <w:t>AAS</w:t>
            </w:r>
          </w:p>
        </w:tc>
      </w:tr>
      <w:tr w:rsidR="00386A9A" w14:paraId="10C5FAC5"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09786734" w14:textId="7ED8AB91" w:rsidR="00386A9A" w:rsidRDefault="00386A9A">
            <w:pPr>
              <w:pStyle w:val="TableTextLeft"/>
              <w:spacing w:before="80" w:after="80" w:line="256" w:lineRule="auto"/>
              <w:rPr>
                <w:lang w:eastAsia="en-US"/>
              </w:rPr>
            </w:pPr>
            <w:r>
              <w:rPr>
                <w:lang w:eastAsia="en-US"/>
              </w:rPr>
              <w:t>Provision for restoration, decommissioning and make</w:t>
            </w:r>
            <w:r w:rsidR="00660645">
              <w:rPr>
                <w:lang w:eastAsia="en-US"/>
              </w:rPr>
              <w:noBreakHyphen/>
            </w:r>
            <w:r>
              <w:rPr>
                <w:lang w:eastAsia="en-US"/>
              </w:rPr>
              <w:t>good</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6B1BFB46" w14:textId="77777777" w:rsidR="00386A9A" w:rsidRDefault="00386A9A">
            <w:pPr>
              <w:pStyle w:val="TableTextLeft"/>
              <w:spacing w:before="80" w:after="80" w:line="256" w:lineRule="auto"/>
              <w:rPr>
                <w:lang w:eastAsia="en-US"/>
              </w:rPr>
            </w:pPr>
            <w:r>
              <w:rPr>
                <w:color w:val="000000"/>
                <w:lang w:eastAsia="en-US"/>
              </w:rPr>
              <w:t>Capitalised when the asset is acquired.</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2B838DEA" w14:textId="4068D62F" w:rsidR="00386A9A" w:rsidRDefault="00386A9A">
            <w:pPr>
              <w:pStyle w:val="TableTextLeft"/>
              <w:spacing w:before="80" w:after="80" w:line="256" w:lineRule="auto"/>
              <w:rPr>
                <w:lang w:eastAsia="en-US"/>
              </w:rPr>
            </w:pPr>
            <w:r>
              <w:rPr>
                <w:color w:val="000000"/>
                <w:lang w:eastAsia="en-US"/>
              </w:rPr>
              <w:t>Capitalised when make</w:t>
            </w:r>
            <w:r w:rsidR="00660645">
              <w:rPr>
                <w:color w:val="000000"/>
                <w:lang w:eastAsia="en-US"/>
              </w:rPr>
              <w:noBreakHyphen/>
            </w:r>
            <w:r>
              <w:rPr>
                <w:color w:val="000000"/>
                <w:lang w:eastAsia="en-US"/>
              </w:rPr>
              <w:t>good activity takes place.</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70E8099F" w14:textId="77777777" w:rsidR="00386A9A" w:rsidRDefault="00386A9A">
            <w:pPr>
              <w:pStyle w:val="TableTextLeft"/>
              <w:spacing w:before="80" w:after="80" w:line="256" w:lineRule="auto"/>
              <w:rPr>
                <w:lang w:eastAsia="en-US"/>
              </w:rPr>
            </w:pPr>
            <w:r>
              <w:rPr>
                <w:lang w:eastAsia="en-US"/>
              </w:rPr>
              <w:t>AAS</w:t>
            </w:r>
          </w:p>
        </w:tc>
      </w:tr>
      <w:tr w:rsidR="00386A9A" w14:paraId="14FD2261" w14:textId="77777777">
        <w:trPr>
          <w:trHeight w:val="560"/>
        </w:trPr>
        <w:tc>
          <w:tcPr>
            <w:tcW w:w="1534" w:type="dxa"/>
            <w:tcBorders>
              <w:top w:val="single" w:sz="18" w:space="0" w:color="FFFFFF"/>
              <w:left w:val="single" w:sz="18" w:space="0" w:color="FFFFFF"/>
              <w:bottom w:val="single" w:sz="18" w:space="0" w:color="FFFFFF"/>
              <w:right w:val="single" w:sz="18" w:space="0" w:color="FFFFFF"/>
            </w:tcBorders>
            <w:shd w:val="clear" w:color="auto" w:fill="F2F9FC"/>
            <w:hideMark/>
          </w:tcPr>
          <w:p w14:paraId="16322186" w14:textId="77777777" w:rsidR="00386A9A" w:rsidRDefault="00386A9A">
            <w:pPr>
              <w:pStyle w:val="TableTextLeft"/>
              <w:spacing w:before="80" w:after="80" w:line="256" w:lineRule="auto"/>
              <w:rPr>
                <w:lang w:eastAsia="en-US"/>
              </w:rPr>
            </w:pPr>
            <w:r>
              <w:rPr>
                <w:lang w:eastAsia="en-US"/>
              </w:rPr>
              <w:t>Renewable Energy Certificates (RECs)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1C3CCFDF" w14:textId="77777777" w:rsidR="00386A9A" w:rsidRDefault="00386A9A">
            <w:pPr>
              <w:pStyle w:val="TableTextLeft"/>
              <w:spacing w:before="80" w:after="80" w:line="256" w:lineRule="auto"/>
              <w:rPr>
                <w:lang w:eastAsia="en-US"/>
              </w:rPr>
            </w:pPr>
            <w:r>
              <w:rPr>
                <w:lang w:eastAsia="en-US"/>
              </w:rPr>
              <w:t>The issuance and registration of RECs is considered to be an administrative function and does not result in the recognition of assets or liabilities and, consequently, no revenue or expenses are recognised.</w:t>
            </w:r>
          </w:p>
        </w:tc>
        <w:tc>
          <w:tcPr>
            <w:tcW w:w="2645" w:type="dxa"/>
            <w:tcBorders>
              <w:top w:val="single" w:sz="18" w:space="0" w:color="FFFFFF"/>
              <w:left w:val="single" w:sz="18" w:space="0" w:color="FFFFFF"/>
              <w:bottom w:val="single" w:sz="18" w:space="0" w:color="FFFFFF"/>
              <w:right w:val="single" w:sz="18" w:space="0" w:color="FFFFFF"/>
            </w:tcBorders>
            <w:shd w:val="clear" w:color="auto" w:fill="F2F9FC"/>
            <w:hideMark/>
          </w:tcPr>
          <w:p w14:paraId="63FF6EB5" w14:textId="77777777" w:rsidR="00386A9A" w:rsidRDefault="00386A9A">
            <w:pPr>
              <w:pStyle w:val="TableTextLeft"/>
              <w:spacing w:before="80" w:after="80" w:line="256" w:lineRule="auto"/>
              <w:rPr>
                <w:lang w:eastAsia="en-US"/>
              </w:rPr>
            </w:pPr>
            <w:r>
              <w:rPr>
                <w:lang w:eastAsia="en-US"/>
              </w:rPr>
              <w:t>The issuance and registration of RECs is considered to be government financial transactions resulting in the recognition of assets, liabilities, revenue and expenses.</w:t>
            </w:r>
          </w:p>
        </w:tc>
        <w:tc>
          <w:tcPr>
            <w:tcW w:w="1020" w:type="dxa"/>
            <w:tcBorders>
              <w:top w:val="single" w:sz="18" w:space="0" w:color="FFFFFF"/>
              <w:left w:val="single" w:sz="18" w:space="0" w:color="FFFFFF"/>
              <w:bottom w:val="single" w:sz="18" w:space="0" w:color="FFFFFF"/>
              <w:right w:val="single" w:sz="18" w:space="0" w:color="FFFFFF"/>
            </w:tcBorders>
            <w:shd w:val="clear" w:color="auto" w:fill="F2F9FC"/>
            <w:hideMark/>
          </w:tcPr>
          <w:p w14:paraId="594707A5" w14:textId="77777777" w:rsidR="00386A9A" w:rsidRDefault="00386A9A">
            <w:pPr>
              <w:pStyle w:val="TableTextLeft"/>
              <w:spacing w:before="80" w:after="80" w:line="256" w:lineRule="auto"/>
              <w:rPr>
                <w:lang w:eastAsia="en-US"/>
              </w:rPr>
            </w:pPr>
            <w:r>
              <w:rPr>
                <w:lang w:eastAsia="en-US"/>
              </w:rPr>
              <w:t>AAS</w:t>
            </w:r>
          </w:p>
        </w:tc>
      </w:tr>
    </w:tbl>
    <w:bookmarkEnd w:id="54"/>
    <w:p w14:paraId="38369DFB" w14:textId="7E50DB39" w:rsidR="00386A9A" w:rsidRDefault="00386A9A" w:rsidP="00386A9A">
      <w:pPr>
        <w:pStyle w:val="TableHeadingcontinued"/>
      </w:pPr>
      <w:r>
        <w:t>Major differences between AAS and ABS GFS (continued)</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9FC"/>
        <w:tblLayout w:type="fixed"/>
        <w:tblLook w:val="04A0" w:firstRow="1" w:lastRow="0" w:firstColumn="1" w:lastColumn="0" w:noHBand="0" w:noVBand="1"/>
      </w:tblPr>
      <w:tblGrid>
        <w:gridCol w:w="1526"/>
        <w:gridCol w:w="2492"/>
        <w:gridCol w:w="2631"/>
        <w:gridCol w:w="972"/>
        <w:gridCol w:w="43"/>
      </w:tblGrid>
      <w:tr w:rsidR="00386A9A" w14:paraId="1BDB4DE0" w14:textId="77777777" w:rsidTr="00386A9A">
        <w:trPr>
          <w:trHeight w:val="450"/>
        </w:trPr>
        <w:tc>
          <w:tcPr>
            <w:tcW w:w="1535" w:type="dxa"/>
            <w:tcBorders>
              <w:top w:val="single" w:sz="18" w:space="0" w:color="FFFFFF"/>
              <w:left w:val="single" w:sz="18" w:space="0" w:color="FFFFFF"/>
              <w:bottom w:val="single" w:sz="18" w:space="0" w:color="FFFFFF"/>
              <w:right w:val="single" w:sz="18" w:space="0" w:color="FFFFFF"/>
            </w:tcBorders>
            <w:shd w:val="clear" w:color="auto" w:fill="F2F9FC"/>
            <w:hideMark/>
          </w:tcPr>
          <w:p w14:paraId="22577F0D" w14:textId="77777777" w:rsidR="00386A9A" w:rsidRDefault="00386A9A">
            <w:pPr>
              <w:pStyle w:val="TableTextLeft"/>
              <w:spacing w:before="80" w:after="80" w:line="256" w:lineRule="auto"/>
              <w:rPr>
                <w:rFonts w:ascii="Book Antiqua" w:hAnsi="Book Antiqua"/>
                <w:b/>
                <w:sz w:val="20"/>
                <w:lang w:eastAsia="en-US"/>
              </w:rPr>
            </w:pPr>
            <w:r>
              <w:rPr>
                <w:b/>
                <w:lang w:eastAsia="en-US"/>
              </w:rPr>
              <w:t>Issue</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11B1D989" w14:textId="77777777" w:rsidR="00386A9A" w:rsidRDefault="00386A9A">
            <w:pPr>
              <w:pStyle w:val="TableTextLeft"/>
              <w:spacing w:before="80" w:after="80" w:line="256" w:lineRule="auto"/>
              <w:rPr>
                <w:b/>
                <w:lang w:eastAsia="en-US"/>
              </w:rPr>
            </w:pPr>
            <w:r>
              <w:rPr>
                <w:b/>
                <w:lang w:eastAsia="en-US"/>
              </w:rPr>
              <w:t>AAS treatment</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6EF31F01" w14:textId="77777777" w:rsidR="00386A9A" w:rsidRDefault="00386A9A">
            <w:pPr>
              <w:pStyle w:val="TableTextLeft"/>
              <w:spacing w:before="80" w:after="80" w:line="256" w:lineRule="auto"/>
              <w:rPr>
                <w:b/>
                <w:lang w:eastAsia="en-US"/>
              </w:rPr>
            </w:pPr>
            <w:r>
              <w:rPr>
                <w:b/>
                <w:lang w:eastAsia="en-US"/>
              </w:rPr>
              <w:t>ABS GFS treatment</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7FF95914" w14:textId="77777777" w:rsidR="00386A9A" w:rsidRDefault="00386A9A">
            <w:pPr>
              <w:pStyle w:val="TableTextLeft"/>
              <w:spacing w:before="80" w:after="80" w:line="256" w:lineRule="auto"/>
              <w:rPr>
                <w:b/>
                <w:lang w:eastAsia="en-US"/>
              </w:rPr>
            </w:pPr>
            <w:r>
              <w:rPr>
                <w:b/>
                <w:lang w:eastAsia="en-US"/>
              </w:rPr>
              <w:t>Treatment adopted</w:t>
            </w:r>
          </w:p>
        </w:tc>
      </w:tr>
      <w:tr w:rsidR="00386A9A" w14:paraId="3E7B1FB3" w14:textId="77777777" w:rsidTr="00386A9A">
        <w:trPr>
          <w:trHeight w:val="450"/>
        </w:trPr>
        <w:tc>
          <w:tcPr>
            <w:tcW w:w="1535" w:type="dxa"/>
            <w:tcBorders>
              <w:top w:val="single" w:sz="18" w:space="0" w:color="FFFFFF"/>
              <w:left w:val="single" w:sz="18" w:space="0" w:color="FFFFFF"/>
              <w:bottom w:val="single" w:sz="18" w:space="0" w:color="FFFFFF"/>
              <w:right w:val="single" w:sz="18" w:space="0" w:color="FFFFFF"/>
            </w:tcBorders>
            <w:shd w:val="clear" w:color="auto" w:fill="F2F9FC"/>
            <w:hideMark/>
          </w:tcPr>
          <w:p w14:paraId="47475CB9" w14:textId="77777777" w:rsidR="00386A9A" w:rsidRDefault="00386A9A">
            <w:pPr>
              <w:pStyle w:val="TableTextLeft"/>
              <w:spacing w:before="80" w:after="80" w:line="256" w:lineRule="auto"/>
              <w:rPr>
                <w:b/>
                <w:lang w:eastAsia="en-US"/>
              </w:rPr>
            </w:pPr>
            <w:r>
              <w:rPr>
                <w:lang w:eastAsia="en-US"/>
              </w:rPr>
              <w:t>Dividends paid by public corporations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17BCF096" w14:textId="77777777" w:rsidR="00386A9A" w:rsidRDefault="00386A9A">
            <w:pPr>
              <w:pStyle w:val="TableTextLeft"/>
              <w:spacing w:before="80" w:after="80" w:line="256" w:lineRule="auto"/>
              <w:rPr>
                <w:b/>
                <w:lang w:eastAsia="en-US"/>
              </w:rPr>
            </w:pPr>
            <w:r>
              <w:rPr>
                <w:lang w:eastAsia="en-US"/>
              </w:rPr>
              <w:t>Treated as an equity distribution. Equity distributions are treated as a distribution of profits, as opposed to an expense.</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466679FE" w14:textId="77777777" w:rsidR="00386A9A" w:rsidRDefault="00386A9A">
            <w:pPr>
              <w:pStyle w:val="TableTextLeft"/>
              <w:spacing w:before="80" w:after="80" w:line="256" w:lineRule="auto"/>
              <w:rPr>
                <w:b/>
                <w:lang w:eastAsia="en-US"/>
              </w:rPr>
            </w:pPr>
            <w:r>
              <w:rPr>
                <w:lang w:eastAsia="en-US"/>
              </w:rPr>
              <w:t>Dividends are treated as an expense.</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6462D465" w14:textId="77777777" w:rsidR="00386A9A" w:rsidRDefault="00386A9A">
            <w:pPr>
              <w:pStyle w:val="TableTextLeft"/>
              <w:spacing w:before="80" w:after="80" w:line="256" w:lineRule="auto"/>
              <w:rPr>
                <w:b/>
                <w:lang w:eastAsia="en-US"/>
              </w:rPr>
            </w:pPr>
            <w:r>
              <w:rPr>
                <w:lang w:eastAsia="en-US"/>
              </w:rPr>
              <w:t>ABS GFS</w:t>
            </w:r>
          </w:p>
        </w:tc>
      </w:tr>
      <w:tr w:rsidR="00386A9A" w14:paraId="143C0BFE" w14:textId="77777777" w:rsidTr="00386A9A">
        <w:trPr>
          <w:trHeight w:val="450"/>
        </w:trPr>
        <w:tc>
          <w:tcPr>
            <w:tcW w:w="1535" w:type="dxa"/>
            <w:tcBorders>
              <w:top w:val="single" w:sz="18" w:space="0" w:color="FFFFFF"/>
              <w:left w:val="single" w:sz="18" w:space="0" w:color="FFFFFF"/>
              <w:bottom w:val="single" w:sz="18" w:space="0" w:color="FFFFFF"/>
              <w:right w:val="single" w:sz="18" w:space="0" w:color="FFFFFF"/>
            </w:tcBorders>
            <w:shd w:val="clear" w:color="auto" w:fill="F2F9FC"/>
            <w:hideMark/>
          </w:tcPr>
          <w:p w14:paraId="147BFD48" w14:textId="77777777" w:rsidR="00386A9A" w:rsidRDefault="00386A9A">
            <w:pPr>
              <w:pStyle w:val="TableTextLeft"/>
              <w:spacing w:before="80" w:after="80" w:line="256" w:lineRule="auto"/>
              <w:rPr>
                <w:b/>
                <w:lang w:eastAsia="en-US"/>
              </w:rPr>
            </w:pPr>
            <w:r>
              <w:rPr>
                <w:lang w:eastAsia="en-US"/>
              </w:rPr>
              <w:t>Dividends paid by the Reserve Bank of Australia</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73B0722B" w14:textId="77777777" w:rsidR="00386A9A" w:rsidRDefault="00386A9A">
            <w:pPr>
              <w:pStyle w:val="TableTextLeft"/>
              <w:spacing w:before="80" w:after="80" w:line="256" w:lineRule="auto"/>
              <w:rPr>
                <w:b/>
                <w:lang w:eastAsia="en-US"/>
              </w:rPr>
            </w:pPr>
            <w:r>
              <w:rPr>
                <w:lang w:eastAsia="en-US"/>
              </w:rPr>
              <w:t>Dividends are recognised in the year profit was earned.</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5318D29B" w14:textId="77777777" w:rsidR="00386A9A" w:rsidRDefault="00386A9A">
            <w:pPr>
              <w:pStyle w:val="TableTextLeft"/>
              <w:spacing w:before="80" w:after="80" w:line="256" w:lineRule="auto"/>
              <w:rPr>
                <w:b/>
                <w:lang w:eastAsia="en-US"/>
              </w:rPr>
            </w:pPr>
            <w:r>
              <w:rPr>
                <w:lang w:eastAsia="en-US"/>
              </w:rPr>
              <w:t>Dividends are recognised when the Treasurer makes a determination.</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7A546F3A" w14:textId="77777777" w:rsidR="00386A9A" w:rsidRDefault="00386A9A">
            <w:pPr>
              <w:pStyle w:val="TableTextLeft"/>
              <w:spacing w:before="80" w:after="80" w:line="256" w:lineRule="auto"/>
              <w:rPr>
                <w:b/>
                <w:lang w:eastAsia="en-US"/>
              </w:rPr>
            </w:pPr>
            <w:r>
              <w:rPr>
                <w:lang w:eastAsia="en-US"/>
              </w:rPr>
              <w:t>AAS</w:t>
            </w:r>
          </w:p>
        </w:tc>
      </w:tr>
      <w:tr w:rsidR="00386A9A" w14:paraId="2BDB2AFE" w14:textId="77777777" w:rsidTr="00386A9A">
        <w:trPr>
          <w:trHeight w:val="450"/>
        </w:trPr>
        <w:tc>
          <w:tcPr>
            <w:tcW w:w="1535" w:type="dxa"/>
            <w:tcBorders>
              <w:top w:val="single" w:sz="18" w:space="0" w:color="FFFFFF"/>
              <w:left w:val="single" w:sz="18" w:space="0" w:color="FFFFFF"/>
              <w:bottom w:val="single" w:sz="18" w:space="0" w:color="FFFFFF"/>
              <w:right w:val="single" w:sz="18" w:space="0" w:color="FFFFFF"/>
            </w:tcBorders>
            <w:shd w:val="clear" w:color="auto" w:fill="F2F9FC"/>
          </w:tcPr>
          <w:p w14:paraId="5EA4D5EE" w14:textId="77777777" w:rsidR="00386A9A" w:rsidRDefault="00386A9A">
            <w:pPr>
              <w:pStyle w:val="TableTextLeft"/>
              <w:spacing w:line="256" w:lineRule="auto"/>
              <w:rPr>
                <w:szCs w:val="16"/>
                <w:lang w:eastAsia="en-US"/>
              </w:rPr>
            </w:pPr>
            <w:r>
              <w:rPr>
                <w:szCs w:val="16"/>
                <w:lang w:eastAsia="en-US"/>
              </w:rPr>
              <w:t xml:space="preserve">National Disability Insurance Scheme (NDIS) revenue </w:t>
            </w:r>
          </w:p>
          <w:p w14:paraId="74AFF050" w14:textId="77777777" w:rsidR="00386A9A" w:rsidRDefault="00386A9A">
            <w:pPr>
              <w:pStyle w:val="TableTextLeft"/>
              <w:spacing w:before="80" w:after="80" w:line="256" w:lineRule="auto"/>
              <w:rPr>
                <w:b/>
                <w:lang w:eastAsia="en-US"/>
              </w:rPr>
            </w:pP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1CA319A3" w14:textId="77777777" w:rsidR="00386A9A" w:rsidRDefault="00386A9A">
            <w:pPr>
              <w:pStyle w:val="TableTextLeft"/>
              <w:spacing w:after="120" w:line="256" w:lineRule="auto"/>
              <w:rPr>
                <w:lang w:eastAsia="en-US"/>
              </w:rPr>
            </w:pPr>
            <w:r>
              <w:rPr>
                <w:lang w:eastAsia="en-US"/>
              </w:rPr>
              <w:t xml:space="preserve">Funding contributions by the state and territory governments to NDIS are treated as sales of goods and services revenue. </w:t>
            </w:r>
          </w:p>
          <w:p w14:paraId="381B3D56" w14:textId="123CE488" w:rsidR="00386A9A" w:rsidRDefault="00386A9A">
            <w:pPr>
              <w:pStyle w:val="TableTextLeft"/>
              <w:spacing w:before="80" w:after="80" w:line="256" w:lineRule="auto"/>
              <w:rPr>
                <w:b/>
                <w:lang w:eastAsia="en-US"/>
              </w:rPr>
            </w:pPr>
            <w:r>
              <w:rPr>
                <w:szCs w:val="16"/>
                <w:lang w:eastAsia="en-US"/>
              </w:rPr>
              <w:t>In</w:t>
            </w:r>
            <w:r w:rsidR="00660645">
              <w:rPr>
                <w:szCs w:val="16"/>
                <w:lang w:eastAsia="en-US"/>
              </w:rPr>
              <w:noBreakHyphen/>
            </w:r>
            <w:r>
              <w:rPr>
                <w:szCs w:val="16"/>
                <w:lang w:eastAsia="en-US"/>
              </w:rPr>
              <w:t>kind disability services provided by the state and territory governments are treated as other revenue.</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080CCBC9" w14:textId="77777777" w:rsidR="00386A9A" w:rsidRDefault="00386A9A">
            <w:pPr>
              <w:pStyle w:val="TableTextLeft"/>
              <w:spacing w:after="120" w:line="256" w:lineRule="auto"/>
              <w:rPr>
                <w:lang w:eastAsia="en-US"/>
              </w:rPr>
            </w:pPr>
            <w:r>
              <w:rPr>
                <w:lang w:eastAsia="en-US"/>
              </w:rPr>
              <w:t xml:space="preserve">Funding contributions by the state and territory governments to NDIS are treated as grants revenue. </w:t>
            </w:r>
          </w:p>
          <w:p w14:paraId="6DF292B1" w14:textId="43DA7A6B" w:rsidR="00386A9A" w:rsidRDefault="00386A9A">
            <w:pPr>
              <w:pStyle w:val="TableTextLeft"/>
              <w:spacing w:before="80" w:after="80" w:line="256" w:lineRule="auto"/>
              <w:rPr>
                <w:b/>
                <w:lang w:eastAsia="en-US"/>
              </w:rPr>
            </w:pPr>
            <w:r>
              <w:rPr>
                <w:szCs w:val="16"/>
                <w:lang w:eastAsia="en-US"/>
              </w:rPr>
              <w:t>In</w:t>
            </w:r>
            <w:r w:rsidR="00660645">
              <w:rPr>
                <w:szCs w:val="16"/>
                <w:lang w:eastAsia="en-US"/>
              </w:rPr>
              <w:noBreakHyphen/>
            </w:r>
            <w:r>
              <w:rPr>
                <w:szCs w:val="16"/>
                <w:lang w:eastAsia="en-US"/>
              </w:rPr>
              <w:t xml:space="preserve">kind disability services provided by the state and territory governments are treated as sales of goods and services revenue. </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0DF284BE" w14:textId="77777777" w:rsidR="00386A9A" w:rsidRDefault="00386A9A">
            <w:pPr>
              <w:pStyle w:val="TableTextLeft"/>
              <w:spacing w:before="80" w:after="80" w:line="256" w:lineRule="auto"/>
              <w:rPr>
                <w:b/>
                <w:lang w:eastAsia="en-US"/>
              </w:rPr>
            </w:pPr>
            <w:r>
              <w:rPr>
                <w:lang w:eastAsia="en-US"/>
              </w:rPr>
              <w:t>AAS</w:t>
            </w:r>
          </w:p>
        </w:tc>
      </w:tr>
      <w:tr w:rsidR="00386A9A" w14:paraId="19E17A12" w14:textId="77777777" w:rsidTr="00386A9A">
        <w:trPr>
          <w:gridAfter w:val="1"/>
          <w:wAfter w:w="43" w:type="dxa"/>
          <w:trHeight w:val="378"/>
        </w:trPr>
        <w:tc>
          <w:tcPr>
            <w:tcW w:w="7664" w:type="dxa"/>
            <w:gridSpan w:val="4"/>
            <w:tcBorders>
              <w:top w:val="single" w:sz="18" w:space="0" w:color="FFFFFF"/>
              <w:left w:val="single" w:sz="18" w:space="0" w:color="FFFFFF"/>
              <w:bottom w:val="single" w:sz="18" w:space="0" w:color="FFFFFF"/>
              <w:right w:val="single" w:sz="18" w:space="0" w:color="FFFFFF"/>
            </w:tcBorders>
            <w:shd w:val="clear" w:color="auto" w:fill="F2F9FC"/>
            <w:vAlign w:val="center"/>
            <w:hideMark/>
          </w:tcPr>
          <w:p w14:paraId="120D0E12" w14:textId="77777777" w:rsidR="00386A9A" w:rsidRDefault="00386A9A">
            <w:pPr>
              <w:pStyle w:val="TableTextLeft"/>
              <w:spacing w:before="80" w:after="80" w:line="256" w:lineRule="auto"/>
              <w:rPr>
                <w:lang w:eastAsia="en-US"/>
              </w:rPr>
            </w:pPr>
            <w:r>
              <w:rPr>
                <w:rFonts w:ascii="Arial Bold" w:hAnsi="Arial Bold"/>
                <w:b/>
                <w:lang w:eastAsia="en-US"/>
              </w:rPr>
              <w:t>Classification differences</w:t>
            </w:r>
          </w:p>
        </w:tc>
      </w:tr>
      <w:tr w:rsidR="00386A9A" w14:paraId="4CCA5308" w14:textId="77777777" w:rsidTr="00386A9A">
        <w:trPr>
          <w:trHeight w:val="190"/>
        </w:trPr>
        <w:tc>
          <w:tcPr>
            <w:tcW w:w="1535" w:type="dxa"/>
            <w:tcBorders>
              <w:top w:val="single" w:sz="18" w:space="0" w:color="FFFFFF"/>
              <w:left w:val="single" w:sz="18" w:space="0" w:color="FFFFFF"/>
              <w:bottom w:val="single" w:sz="18" w:space="0" w:color="FFFFFF"/>
              <w:right w:val="single" w:sz="18" w:space="0" w:color="FFFFFF"/>
            </w:tcBorders>
            <w:shd w:val="clear" w:color="auto" w:fill="F2F9FC"/>
            <w:hideMark/>
          </w:tcPr>
          <w:p w14:paraId="7A14BA7C" w14:textId="77777777" w:rsidR="00386A9A" w:rsidRDefault="00386A9A">
            <w:pPr>
              <w:pStyle w:val="TableTextLeft"/>
              <w:spacing w:before="80" w:after="80" w:line="256" w:lineRule="auto"/>
              <w:rPr>
                <w:lang w:eastAsia="en-US"/>
              </w:rPr>
            </w:pPr>
            <w:r>
              <w:rPr>
                <w:lang w:eastAsia="en-US"/>
              </w:rPr>
              <w:t>Prepayments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08431EDC" w14:textId="5486760B" w:rsidR="00386A9A" w:rsidRDefault="00386A9A">
            <w:pPr>
              <w:pStyle w:val="TableTextLeft"/>
              <w:spacing w:before="80" w:after="80" w:line="256" w:lineRule="auto"/>
              <w:rPr>
                <w:lang w:eastAsia="en-US"/>
              </w:rPr>
            </w:pPr>
            <w:r>
              <w:rPr>
                <w:lang w:eastAsia="en-US"/>
              </w:rPr>
              <w:t>Treated as a non</w:t>
            </w:r>
            <w:r w:rsidR="00660645">
              <w:rPr>
                <w:lang w:eastAsia="en-US"/>
              </w:rPr>
              <w:noBreakHyphen/>
            </w:r>
            <w:r>
              <w:rPr>
                <w:lang w:eastAsia="en-US"/>
              </w:rPr>
              <w:t>financial asset.</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1203A27C" w14:textId="77777777" w:rsidR="00386A9A" w:rsidRDefault="00386A9A">
            <w:pPr>
              <w:pStyle w:val="TableTextLeft"/>
              <w:spacing w:before="80" w:after="80" w:line="256" w:lineRule="auto"/>
              <w:rPr>
                <w:lang w:eastAsia="en-US"/>
              </w:rPr>
            </w:pPr>
            <w:r>
              <w:rPr>
                <w:lang w:eastAsia="en-US"/>
              </w:rPr>
              <w:t>Treated as a financial asset.</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307D2A3E" w14:textId="77777777" w:rsidR="00386A9A" w:rsidRDefault="00386A9A">
            <w:pPr>
              <w:pStyle w:val="TableTextLeft"/>
              <w:spacing w:before="80" w:after="80" w:line="256" w:lineRule="auto"/>
              <w:rPr>
                <w:lang w:eastAsia="en-US"/>
              </w:rPr>
            </w:pPr>
            <w:r>
              <w:rPr>
                <w:lang w:eastAsia="en-US"/>
              </w:rPr>
              <w:t>ABS GFS</w:t>
            </w:r>
          </w:p>
        </w:tc>
      </w:tr>
      <w:tr w:rsidR="00386A9A" w14:paraId="510F973D" w14:textId="77777777" w:rsidTr="00386A9A">
        <w:trPr>
          <w:trHeight w:val="779"/>
        </w:trPr>
        <w:tc>
          <w:tcPr>
            <w:tcW w:w="1535" w:type="dxa"/>
            <w:tcBorders>
              <w:top w:val="single" w:sz="18" w:space="0" w:color="FFFFFF"/>
              <w:left w:val="single" w:sz="18" w:space="0" w:color="FFFFFF"/>
              <w:bottom w:val="single" w:sz="18" w:space="0" w:color="FFFFFF"/>
              <w:right w:val="single" w:sz="18" w:space="0" w:color="FFFFFF"/>
            </w:tcBorders>
            <w:shd w:val="clear" w:color="auto" w:fill="F2F9FC"/>
            <w:hideMark/>
          </w:tcPr>
          <w:p w14:paraId="08E030D4" w14:textId="77777777" w:rsidR="00386A9A" w:rsidRDefault="00386A9A">
            <w:pPr>
              <w:pStyle w:val="TableTextLeft"/>
              <w:spacing w:before="80" w:after="80" w:line="256" w:lineRule="auto"/>
              <w:rPr>
                <w:lang w:eastAsia="en-US"/>
              </w:rPr>
            </w:pPr>
            <w:r>
              <w:rPr>
                <w:lang w:eastAsia="en-US"/>
              </w:rPr>
              <w:t>Spectrum sales</w:t>
            </w:r>
          </w:p>
        </w:tc>
        <w:tc>
          <w:tcPr>
            <w:tcW w:w="2506" w:type="dxa"/>
            <w:tcBorders>
              <w:top w:val="single" w:sz="18" w:space="0" w:color="FFFFFF"/>
              <w:left w:val="single" w:sz="18" w:space="0" w:color="FFFFFF"/>
              <w:bottom w:val="single" w:sz="18" w:space="0" w:color="FFFFFF"/>
              <w:right w:val="single" w:sz="18" w:space="0" w:color="FFFFFF"/>
            </w:tcBorders>
            <w:shd w:val="clear" w:color="auto" w:fill="F2F9FC"/>
            <w:hideMark/>
          </w:tcPr>
          <w:p w14:paraId="1BBDDD1B" w14:textId="41CDD9FE" w:rsidR="00386A9A" w:rsidRDefault="00386A9A">
            <w:pPr>
              <w:pStyle w:val="TableTextLeft"/>
              <w:spacing w:before="80" w:after="80" w:line="256" w:lineRule="auto"/>
              <w:rPr>
                <w:lang w:eastAsia="en-US"/>
              </w:rPr>
            </w:pPr>
            <w:r>
              <w:rPr>
                <w:lang w:eastAsia="en-US"/>
              </w:rPr>
              <w:t>Recognise non</w:t>
            </w:r>
            <w:r w:rsidR="00660645">
              <w:rPr>
                <w:lang w:eastAsia="en-US"/>
              </w:rPr>
              <w:noBreakHyphen/>
            </w:r>
            <w:r>
              <w:rPr>
                <w:lang w:eastAsia="en-US"/>
              </w:rPr>
              <w:t>financial asset sale for fiscal balance when licences take effect, which may be after the auction of licences, as this is regarded as the point at which control is transferred. Recognise cash at the time of receipt.</w:t>
            </w:r>
          </w:p>
        </w:tc>
        <w:tc>
          <w:tcPr>
            <w:tcW w:w="2646" w:type="dxa"/>
            <w:tcBorders>
              <w:top w:val="single" w:sz="18" w:space="0" w:color="FFFFFF"/>
              <w:left w:val="single" w:sz="18" w:space="0" w:color="FFFFFF"/>
              <w:bottom w:val="single" w:sz="18" w:space="0" w:color="FFFFFF"/>
              <w:right w:val="single" w:sz="18" w:space="0" w:color="FFFFFF"/>
            </w:tcBorders>
            <w:shd w:val="clear" w:color="auto" w:fill="F2F9FC"/>
            <w:hideMark/>
          </w:tcPr>
          <w:p w14:paraId="5DD80F1A" w14:textId="17AA5B7E" w:rsidR="00386A9A" w:rsidRDefault="00386A9A">
            <w:pPr>
              <w:pStyle w:val="TableTextLeft"/>
              <w:spacing w:before="80" w:after="80" w:line="256" w:lineRule="auto"/>
              <w:rPr>
                <w:lang w:eastAsia="en-US"/>
              </w:rPr>
            </w:pPr>
            <w:r>
              <w:rPr>
                <w:lang w:eastAsia="en-US"/>
              </w:rPr>
              <w:t>Recognise non</w:t>
            </w:r>
            <w:r w:rsidR="00660645">
              <w:rPr>
                <w:lang w:eastAsia="en-US"/>
              </w:rPr>
              <w:noBreakHyphen/>
            </w:r>
            <w:r>
              <w:rPr>
                <w:lang w:eastAsia="en-US"/>
              </w:rPr>
              <w:t>financial asset sale for fiscal balance at time of auction as this is regarded as the point at which control is transferred. Recognise cash at the time of receipt.</w:t>
            </w:r>
          </w:p>
        </w:tc>
        <w:tc>
          <w:tcPr>
            <w:tcW w:w="1020" w:type="dxa"/>
            <w:gridSpan w:val="2"/>
            <w:tcBorders>
              <w:top w:val="single" w:sz="18" w:space="0" w:color="FFFFFF"/>
              <w:left w:val="single" w:sz="18" w:space="0" w:color="FFFFFF"/>
              <w:bottom w:val="single" w:sz="18" w:space="0" w:color="FFFFFF"/>
              <w:right w:val="single" w:sz="18" w:space="0" w:color="FFFFFF"/>
            </w:tcBorders>
            <w:shd w:val="clear" w:color="auto" w:fill="F2F9FC"/>
            <w:hideMark/>
          </w:tcPr>
          <w:p w14:paraId="44C83E6C" w14:textId="77777777" w:rsidR="00386A9A" w:rsidRDefault="00386A9A">
            <w:pPr>
              <w:pStyle w:val="TableTextLeft"/>
              <w:spacing w:before="80" w:after="80" w:line="256" w:lineRule="auto"/>
              <w:rPr>
                <w:lang w:eastAsia="en-US"/>
              </w:rPr>
            </w:pPr>
            <w:r>
              <w:rPr>
                <w:lang w:eastAsia="en-US"/>
              </w:rPr>
              <w:t>AAS</w:t>
            </w:r>
          </w:p>
        </w:tc>
      </w:tr>
    </w:tbl>
    <w:p w14:paraId="1A803626" w14:textId="77777777" w:rsidR="00076460" w:rsidRPr="00625155" w:rsidRDefault="00076460" w:rsidP="00E449DC"/>
    <w:p w14:paraId="0F0C739F" w14:textId="77777777" w:rsidR="00E23BC6" w:rsidRDefault="00E23BC6">
      <w:pPr>
        <w:spacing w:after="160" w:line="259" w:lineRule="auto"/>
        <w:jc w:val="left"/>
        <w:rPr>
          <w:rFonts w:ascii="Arial Bold" w:hAnsi="Arial Bold"/>
          <w:b/>
          <w:spacing w:val="-4"/>
        </w:rPr>
      </w:pPr>
      <w:r>
        <w:rPr>
          <w:rFonts w:ascii="Arial Bold" w:hAnsi="Arial Bold"/>
          <w:spacing w:val="-4"/>
        </w:rPr>
        <w:br w:type="page"/>
      </w:r>
    </w:p>
    <w:p w14:paraId="6E349579" w14:textId="6109B6F3" w:rsidR="009E44C8" w:rsidRDefault="00076460" w:rsidP="0034104B">
      <w:pPr>
        <w:pStyle w:val="TableHeading"/>
        <w:rPr>
          <w:rFonts w:asciiTheme="minorHAnsi" w:eastAsiaTheme="minorHAnsi" w:hAnsiTheme="minorHAnsi" w:cstheme="minorBidi"/>
          <w:sz w:val="22"/>
          <w:szCs w:val="22"/>
          <w:lang w:eastAsia="en-US"/>
        </w:rPr>
      </w:pPr>
      <w:r w:rsidRPr="00060499">
        <w:rPr>
          <w:rFonts w:ascii="Arial Bold" w:hAnsi="Arial Bold"/>
          <w:spacing w:val="-4"/>
        </w:rPr>
        <w:t>Table A1: Australian Government general government sector operating statement</w:t>
      </w:r>
    </w:p>
    <w:tbl>
      <w:tblPr>
        <w:tblW w:w="5000" w:type="pct"/>
        <w:tblCellMar>
          <w:left w:w="0" w:type="dxa"/>
          <w:right w:w="28" w:type="dxa"/>
        </w:tblCellMar>
        <w:tblLook w:val="04A0" w:firstRow="1" w:lastRow="0" w:firstColumn="1" w:lastColumn="0" w:noHBand="0" w:noVBand="1"/>
      </w:tblPr>
      <w:tblGrid>
        <w:gridCol w:w="3384"/>
        <w:gridCol w:w="413"/>
        <w:gridCol w:w="785"/>
        <w:gridCol w:w="783"/>
        <w:gridCol w:w="783"/>
        <w:gridCol w:w="783"/>
        <w:gridCol w:w="779"/>
      </w:tblGrid>
      <w:tr w:rsidR="009E44C8" w:rsidRPr="009E44C8" w14:paraId="348B5188" w14:textId="77777777" w:rsidTr="0034104B">
        <w:trPr>
          <w:trHeight w:hRule="exact" w:val="225"/>
        </w:trPr>
        <w:tc>
          <w:tcPr>
            <w:tcW w:w="2194" w:type="pct"/>
            <w:tcBorders>
              <w:top w:val="single" w:sz="4" w:space="0" w:color="auto"/>
              <w:left w:val="nil"/>
              <w:bottom w:val="nil"/>
              <w:right w:val="nil"/>
            </w:tcBorders>
            <w:shd w:val="clear" w:color="000000" w:fill="FFFFFF"/>
            <w:noWrap/>
            <w:vAlign w:val="center"/>
            <w:hideMark/>
          </w:tcPr>
          <w:p w14:paraId="53CD5A9E" w14:textId="26FDB5CF" w:rsidR="009E44C8" w:rsidRPr="009E44C8" w:rsidRDefault="009E44C8">
            <w:pPr>
              <w:rPr>
                <w:rFonts w:ascii="Arial" w:hAnsi="Arial" w:cs="Arial"/>
                <w:sz w:val="16"/>
                <w:szCs w:val="16"/>
              </w:rPr>
            </w:pPr>
            <w:r w:rsidRPr="009E44C8">
              <w:rPr>
                <w:rFonts w:ascii="Arial" w:hAnsi="Arial" w:cs="Arial"/>
                <w:sz w:val="16"/>
                <w:szCs w:val="16"/>
              </w:rPr>
              <w:t> </w:t>
            </w:r>
          </w:p>
        </w:tc>
        <w:tc>
          <w:tcPr>
            <w:tcW w:w="268" w:type="pct"/>
            <w:tcBorders>
              <w:top w:val="single" w:sz="4" w:space="0" w:color="auto"/>
              <w:left w:val="nil"/>
              <w:bottom w:val="nil"/>
              <w:right w:val="nil"/>
            </w:tcBorders>
            <w:shd w:val="clear" w:color="000000" w:fill="FFFFFF"/>
            <w:noWrap/>
            <w:vAlign w:val="center"/>
            <w:hideMark/>
          </w:tcPr>
          <w:p w14:paraId="081A3B44" w14:textId="77777777" w:rsidR="009E44C8" w:rsidRPr="0034104B" w:rsidRDefault="009E44C8" w:rsidP="0034104B">
            <w:pPr>
              <w:spacing w:after="0" w:line="240" w:lineRule="auto"/>
              <w:jc w:val="center"/>
              <w:rPr>
                <w:rFonts w:ascii="Arial" w:hAnsi="Arial" w:cs="Arial"/>
                <w:sz w:val="16"/>
                <w:szCs w:val="16"/>
              </w:rPr>
            </w:pPr>
            <w:r w:rsidRPr="0034104B">
              <w:rPr>
                <w:rFonts w:ascii="Arial" w:hAnsi="Arial" w:cs="Arial"/>
                <w:sz w:val="16"/>
                <w:szCs w:val="16"/>
              </w:rPr>
              <w:t> </w:t>
            </w:r>
          </w:p>
        </w:tc>
        <w:tc>
          <w:tcPr>
            <w:tcW w:w="2538" w:type="pct"/>
            <w:gridSpan w:val="5"/>
            <w:tcBorders>
              <w:top w:val="single" w:sz="4" w:space="0" w:color="auto"/>
              <w:left w:val="nil"/>
              <w:bottom w:val="single" w:sz="4" w:space="0" w:color="auto"/>
              <w:right w:val="nil"/>
            </w:tcBorders>
            <w:shd w:val="clear" w:color="auto" w:fill="auto"/>
            <w:noWrap/>
            <w:vAlign w:val="center"/>
            <w:hideMark/>
          </w:tcPr>
          <w:p w14:paraId="71604756" w14:textId="77777777" w:rsidR="009E44C8" w:rsidRPr="0034104B" w:rsidRDefault="009E44C8" w:rsidP="0034104B">
            <w:pPr>
              <w:spacing w:after="0" w:line="240" w:lineRule="auto"/>
              <w:jc w:val="center"/>
              <w:rPr>
                <w:rFonts w:ascii="Arial" w:hAnsi="Arial" w:cs="Arial"/>
                <w:sz w:val="16"/>
                <w:szCs w:val="16"/>
              </w:rPr>
            </w:pPr>
            <w:r w:rsidRPr="0034104B">
              <w:rPr>
                <w:rFonts w:ascii="Arial" w:hAnsi="Arial" w:cs="Arial"/>
                <w:sz w:val="16"/>
                <w:szCs w:val="16"/>
              </w:rPr>
              <w:t>Estimates</w:t>
            </w:r>
          </w:p>
        </w:tc>
      </w:tr>
      <w:tr w:rsidR="009E44C8" w:rsidRPr="009E44C8" w14:paraId="7E4CF384" w14:textId="77777777" w:rsidTr="007241DE">
        <w:trPr>
          <w:trHeight w:val="225"/>
        </w:trPr>
        <w:tc>
          <w:tcPr>
            <w:tcW w:w="2194" w:type="pct"/>
            <w:tcBorders>
              <w:top w:val="nil"/>
              <w:left w:val="nil"/>
              <w:bottom w:val="nil"/>
              <w:right w:val="nil"/>
            </w:tcBorders>
            <w:shd w:val="clear" w:color="000000" w:fill="FFFFFF"/>
            <w:noWrap/>
            <w:vAlign w:val="center"/>
            <w:hideMark/>
          </w:tcPr>
          <w:p w14:paraId="5DBB7744"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7BDB4B75" w14:textId="77777777" w:rsidR="009E44C8" w:rsidRPr="0034104B" w:rsidRDefault="009E44C8" w:rsidP="0034104B">
            <w:pPr>
              <w:spacing w:after="0" w:line="240" w:lineRule="auto"/>
              <w:jc w:val="center"/>
              <w:rPr>
                <w:rFonts w:ascii="Arial" w:hAnsi="Arial" w:cs="Arial"/>
                <w:sz w:val="16"/>
                <w:szCs w:val="16"/>
              </w:rPr>
            </w:pPr>
            <w:r w:rsidRPr="0034104B">
              <w:rPr>
                <w:rFonts w:ascii="Arial" w:hAnsi="Arial" w:cs="Arial"/>
                <w:sz w:val="16"/>
                <w:szCs w:val="16"/>
              </w:rPr>
              <w:t> </w:t>
            </w:r>
          </w:p>
        </w:tc>
        <w:tc>
          <w:tcPr>
            <w:tcW w:w="509" w:type="pct"/>
            <w:tcBorders>
              <w:top w:val="single" w:sz="4" w:space="0" w:color="auto"/>
              <w:left w:val="nil"/>
              <w:bottom w:val="nil"/>
              <w:right w:val="nil"/>
            </w:tcBorders>
            <w:shd w:val="clear" w:color="000000" w:fill="FFFFFF"/>
            <w:noWrap/>
            <w:vAlign w:val="center"/>
            <w:hideMark/>
          </w:tcPr>
          <w:p w14:paraId="26EACCF4" w14:textId="662D8AF2" w:rsidR="009E44C8" w:rsidRPr="0034104B" w:rsidRDefault="009E44C8" w:rsidP="0034104B">
            <w:pPr>
              <w:spacing w:after="0" w:line="240" w:lineRule="auto"/>
              <w:jc w:val="right"/>
              <w:rPr>
                <w:rFonts w:ascii="Arial" w:hAnsi="Arial" w:cs="Arial"/>
                <w:sz w:val="16"/>
                <w:szCs w:val="16"/>
              </w:rPr>
            </w:pPr>
            <w:r w:rsidRPr="0034104B">
              <w:rPr>
                <w:rFonts w:ascii="Arial" w:hAnsi="Arial" w:cs="Arial"/>
                <w:sz w:val="16"/>
                <w:szCs w:val="16"/>
              </w:rPr>
              <w:t>2021</w:t>
            </w:r>
            <w:r w:rsidR="00660645">
              <w:rPr>
                <w:rFonts w:ascii="Arial" w:hAnsi="Arial" w:cs="Arial"/>
                <w:sz w:val="16"/>
                <w:szCs w:val="16"/>
              </w:rPr>
              <w:noBreakHyphen/>
            </w:r>
            <w:r w:rsidRPr="0034104B">
              <w:rPr>
                <w:rFonts w:ascii="Arial" w:hAnsi="Arial" w:cs="Arial"/>
                <w:sz w:val="16"/>
                <w:szCs w:val="16"/>
              </w:rPr>
              <w:t>22</w:t>
            </w:r>
          </w:p>
        </w:tc>
        <w:tc>
          <w:tcPr>
            <w:tcW w:w="508" w:type="pct"/>
            <w:tcBorders>
              <w:top w:val="single" w:sz="4" w:space="0" w:color="auto"/>
              <w:left w:val="nil"/>
              <w:bottom w:val="nil"/>
              <w:right w:val="nil"/>
            </w:tcBorders>
            <w:shd w:val="clear" w:color="000000" w:fill="F2F9FC"/>
            <w:noWrap/>
            <w:vAlign w:val="center"/>
            <w:hideMark/>
          </w:tcPr>
          <w:p w14:paraId="18C57373" w14:textId="1548DCE9" w:rsidR="009E44C8" w:rsidRPr="0034104B" w:rsidRDefault="009E44C8" w:rsidP="0034104B">
            <w:pPr>
              <w:spacing w:after="0" w:line="240" w:lineRule="auto"/>
              <w:jc w:val="right"/>
              <w:rPr>
                <w:rFonts w:ascii="Arial" w:hAnsi="Arial" w:cs="Arial"/>
                <w:sz w:val="16"/>
                <w:szCs w:val="16"/>
              </w:rPr>
            </w:pPr>
            <w:r w:rsidRPr="0034104B">
              <w:rPr>
                <w:rFonts w:ascii="Arial" w:hAnsi="Arial" w:cs="Arial"/>
                <w:sz w:val="16"/>
                <w:szCs w:val="16"/>
              </w:rPr>
              <w:t>2022</w:t>
            </w:r>
            <w:r w:rsidR="00660645">
              <w:rPr>
                <w:rFonts w:ascii="Arial" w:hAnsi="Arial" w:cs="Arial"/>
                <w:sz w:val="16"/>
                <w:szCs w:val="16"/>
              </w:rPr>
              <w:noBreakHyphen/>
            </w:r>
            <w:r w:rsidRPr="0034104B">
              <w:rPr>
                <w:rFonts w:ascii="Arial" w:hAnsi="Arial" w:cs="Arial"/>
                <w:sz w:val="16"/>
                <w:szCs w:val="16"/>
              </w:rPr>
              <w:t>23</w:t>
            </w:r>
          </w:p>
        </w:tc>
        <w:tc>
          <w:tcPr>
            <w:tcW w:w="508" w:type="pct"/>
            <w:tcBorders>
              <w:top w:val="single" w:sz="4" w:space="0" w:color="auto"/>
              <w:left w:val="nil"/>
              <w:bottom w:val="nil"/>
              <w:right w:val="nil"/>
            </w:tcBorders>
            <w:shd w:val="clear" w:color="000000" w:fill="FFFFFF"/>
            <w:noWrap/>
            <w:vAlign w:val="center"/>
            <w:hideMark/>
          </w:tcPr>
          <w:p w14:paraId="69EACF34" w14:textId="3019A874" w:rsidR="009E44C8" w:rsidRPr="0034104B" w:rsidRDefault="009E44C8" w:rsidP="0034104B">
            <w:pPr>
              <w:spacing w:after="0" w:line="240" w:lineRule="auto"/>
              <w:jc w:val="right"/>
              <w:rPr>
                <w:rFonts w:ascii="Arial" w:hAnsi="Arial" w:cs="Arial"/>
                <w:sz w:val="16"/>
                <w:szCs w:val="16"/>
              </w:rPr>
            </w:pPr>
            <w:r w:rsidRPr="0034104B">
              <w:rPr>
                <w:rFonts w:ascii="Arial" w:hAnsi="Arial" w:cs="Arial"/>
                <w:sz w:val="16"/>
                <w:szCs w:val="16"/>
              </w:rPr>
              <w:t>2023</w:t>
            </w:r>
            <w:r w:rsidR="00660645">
              <w:rPr>
                <w:rFonts w:ascii="Arial" w:hAnsi="Arial" w:cs="Arial"/>
                <w:sz w:val="16"/>
                <w:szCs w:val="16"/>
              </w:rPr>
              <w:noBreakHyphen/>
            </w:r>
            <w:r w:rsidRPr="0034104B">
              <w:rPr>
                <w:rFonts w:ascii="Arial" w:hAnsi="Arial" w:cs="Arial"/>
                <w:sz w:val="16"/>
                <w:szCs w:val="16"/>
              </w:rPr>
              <w:t>24</w:t>
            </w:r>
          </w:p>
        </w:tc>
        <w:tc>
          <w:tcPr>
            <w:tcW w:w="508" w:type="pct"/>
            <w:tcBorders>
              <w:top w:val="single" w:sz="4" w:space="0" w:color="auto"/>
              <w:left w:val="nil"/>
              <w:bottom w:val="nil"/>
              <w:right w:val="nil"/>
            </w:tcBorders>
            <w:shd w:val="clear" w:color="000000" w:fill="FFFFFF"/>
            <w:noWrap/>
            <w:vAlign w:val="center"/>
            <w:hideMark/>
          </w:tcPr>
          <w:p w14:paraId="701BE238" w14:textId="7E6A8DDF" w:rsidR="009E44C8" w:rsidRPr="0034104B" w:rsidRDefault="009E44C8" w:rsidP="0034104B">
            <w:pPr>
              <w:spacing w:after="0" w:line="240" w:lineRule="auto"/>
              <w:jc w:val="right"/>
              <w:rPr>
                <w:rFonts w:ascii="Arial" w:hAnsi="Arial" w:cs="Arial"/>
                <w:sz w:val="16"/>
                <w:szCs w:val="16"/>
              </w:rPr>
            </w:pPr>
            <w:r w:rsidRPr="0034104B">
              <w:rPr>
                <w:rFonts w:ascii="Arial" w:hAnsi="Arial" w:cs="Arial"/>
                <w:sz w:val="16"/>
                <w:szCs w:val="16"/>
              </w:rPr>
              <w:t>2024</w:t>
            </w:r>
            <w:r w:rsidR="00660645">
              <w:rPr>
                <w:rFonts w:ascii="Arial" w:hAnsi="Arial" w:cs="Arial"/>
                <w:sz w:val="16"/>
                <w:szCs w:val="16"/>
              </w:rPr>
              <w:noBreakHyphen/>
            </w:r>
            <w:r w:rsidRPr="0034104B">
              <w:rPr>
                <w:rFonts w:ascii="Arial" w:hAnsi="Arial" w:cs="Arial"/>
                <w:sz w:val="16"/>
                <w:szCs w:val="16"/>
              </w:rPr>
              <w:t>25</w:t>
            </w:r>
          </w:p>
        </w:tc>
        <w:tc>
          <w:tcPr>
            <w:tcW w:w="506" w:type="pct"/>
            <w:tcBorders>
              <w:top w:val="single" w:sz="4" w:space="0" w:color="auto"/>
              <w:left w:val="nil"/>
              <w:bottom w:val="nil"/>
              <w:right w:val="nil"/>
            </w:tcBorders>
            <w:shd w:val="clear" w:color="000000" w:fill="FFFFFF"/>
            <w:noWrap/>
            <w:vAlign w:val="center"/>
            <w:hideMark/>
          </w:tcPr>
          <w:p w14:paraId="78C2607F" w14:textId="7B903B01"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2025</w:t>
            </w:r>
            <w:r w:rsidR="00660645">
              <w:rPr>
                <w:rFonts w:ascii="Arial" w:hAnsi="Arial" w:cs="Arial"/>
                <w:color w:val="000000"/>
                <w:sz w:val="16"/>
                <w:szCs w:val="16"/>
              </w:rPr>
              <w:noBreakHyphen/>
            </w:r>
            <w:r w:rsidRPr="0034104B">
              <w:rPr>
                <w:rFonts w:ascii="Arial" w:hAnsi="Arial" w:cs="Arial"/>
                <w:color w:val="000000"/>
                <w:sz w:val="16"/>
                <w:szCs w:val="16"/>
              </w:rPr>
              <w:t>26</w:t>
            </w:r>
          </w:p>
        </w:tc>
      </w:tr>
      <w:tr w:rsidR="009E44C8" w:rsidRPr="009E44C8" w14:paraId="672569FF"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28252675"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268" w:type="pct"/>
            <w:tcBorders>
              <w:top w:val="nil"/>
              <w:left w:val="nil"/>
              <w:bottom w:val="nil"/>
              <w:right w:val="nil"/>
            </w:tcBorders>
            <w:shd w:val="clear" w:color="000000" w:fill="FFFFFF"/>
            <w:noWrap/>
            <w:vAlign w:val="center"/>
            <w:hideMark/>
          </w:tcPr>
          <w:p w14:paraId="344126A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275A25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$m</w:t>
            </w:r>
          </w:p>
        </w:tc>
        <w:tc>
          <w:tcPr>
            <w:tcW w:w="508" w:type="pct"/>
            <w:tcBorders>
              <w:top w:val="nil"/>
              <w:left w:val="nil"/>
              <w:bottom w:val="nil"/>
              <w:right w:val="nil"/>
            </w:tcBorders>
            <w:shd w:val="clear" w:color="000000" w:fill="F2F9FC"/>
            <w:noWrap/>
            <w:vAlign w:val="center"/>
            <w:hideMark/>
          </w:tcPr>
          <w:p w14:paraId="35E11E1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$m</w:t>
            </w:r>
          </w:p>
        </w:tc>
        <w:tc>
          <w:tcPr>
            <w:tcW w:w="508" w:type="pct"/>
            <w:tcBorders>
              <w:top w:val="nil"/>
              <w:left w:val="nil"/>
              <w:bottom w:val="nil"/>
              <w:right w:val="nil"/>
            </w:tcBorders>
            <w:shd w:val="clear" w:color="000000" w:fill="FFFFFF"/>
            <w:noWrap/>
            <w:vAlign w:val="center"/>
            <w:hideMark/>
          </w:tcPr>
          <w:p w14:paraId="184B832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$m</w:t>
            </w:r>
          </w:p>
        </w:tc>
        <w:tc>
          <w:tcPr>
            <w:tcW w:w="508" w:type="pct"/>
            <w:tcBorders>
              <w:top w:val="nil"/>
              <w:left w:val="nil"/>
              <w:bottom w:val="nil"/>
              <w:right w:val="nil"/>
            </w:tcBorders>
            <w:shd w:val="clear" w:color="000000" w:fill="FFFFFF"/>
            <w:noWrap/>
            <w:vAlign w:val="center"/>
            <w:hideMark/>
          </w:tcPr>
          <w:p w14:paraId="23F3A7F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$m</w:t>
            </w:r>
          </w:p>
        </w:tc>
        <w:tc>
          <w:tcPr>
            <w:tcW w:w="506" w:type="pct"/>
            <w:tcBorders>
              <w:top w:val="nil"/>
              <w:left w:val="nil"/>
              <w:bottom w:val="nil"/>
              <w:right w:val="nil"/>
            </w:tcBorders>
            <w:shd w:val="clear" w:color="000000" w:fill="FFFFFF"/>
            <w:noWrap/>
            <w:vAlign w:val="center"/>
            <w:hideMark/>
          </w:tcPr>
          <w:p w14:paraId="557E9F8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$m</w:t>
            </w:r>
          </w:p>
        </w:tc>
      </w:tr>
      <w:tr w:rsidR="009E44C8" w:rsidRPr="009E44C8" w14:paraId="027D79C7"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324E298C"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Revenue</w:t>
            </w:r>
          </w:p>
        </w:tc>
        <w:tc>
          <w:tcPr>
            <w:tcW w:w="268" w:type="pct"/>
            <w:tcBorders>
              <w:top w:val="nil"/>
              <w:left w:val="nil"/>
              <w:bottom w:val="nil"/>
              <w:right w:val="nil"/>
            </w:tcBorders>
            <w:shd w:val="clear" w:color="000000" w:fill="FFFFFF"/>
            <w:noWrap/>
            <w:vAlign w:val="bottom"/>
            <w:hideMark/>
          </w:tcPr>
          <w:p w14:paraId="7B9C9FEB"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single" w:sz="4" w:space="0" w:color="auto"/>
              <w:left w:val="nil"/>
              <w:bottom w:val="nil"/>
              <w:right w:val="nil"/>
            </w:tcBorders>
            <w:shd w:val="clear" w:color="000000" w:fill="FFFFFF"/>
            <w:noWrap/>
            <w:vAlign w:val="center"/>
            <w:hideMark/>
          </w:tcPr>
          <w:p w14:paraId="42B00630"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8" w:type="pct"/>
            <w:tcBorders>
              <w:top w:val="single" w:sz="4" w:space="0" w:color="auto"/>
              <w:left w:val="nil"/>
              <w:bottom w:val="nil"/>
              <w:right w:val="nil"/>
            </w:tcBorders>
            <w:shd w:val="clear" w:color="000000" w:fill="F2F9FC"/>
            <w:noWrap/>
            <w:vAlign w:val="center"/>
            <w:hideMark/>
          </w:tcPr>
          <w:p w14:paraId="75EA372D"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8" w:type="pct"/>
            <w:tcBorders>
              <w:top w:val="single" w:sz="4" w:space="0" w:color="auto"/>
              <w:left w:val="nil"/>
              <w:bottom w:val="nil"/>
              <w:right w:val="nil"/>
            </w:tcBorders>
            <w:shd w:val="clear" w:color="000000" w:fill="FFFFFF"/>
            <w:noWrap/>
            <w:vAlign w:val="center"/>
            <w:hideMark/>
          </w:tcPr>
          <w:p w14:paraId="3553AE16"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8" w:type="pct"/>
            <w:tcBorders>
              <w:top w:val="single" w:sz="4" w:space="0" w:color="auto"/>
              <w:left w:val="nil"/>
              <w:bottom w:val="nil"/>
              <w:right w:val="nil"/>
            </w:tcBorders>
            <w:shd w:val="clear" w:color="000000" w:fill="FFFFFF"/>
            <w:noWrap/>
            <w:vAlign w:val="center"/>
            <w:hideMark/>
          </w:tcPr>
          <w:p w14:paraId="664A5BD4"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6" w:type="pct"/>
            <w:tcBorders>
              <w:top w:val="single" w:sz="4" w:space="0" w:color="auto"/>
              <w:left w:val="nil"/>
              <w:bottom w:val="nil"/>
              <w:right w:val="nil"/>
            </w:tcBorders>
            <w:shd w:val="clear" w:color="000000" w:fill="FFFFFF"/>
            <w:noWrap/>
            <w:vAlign w:val="center"/>
            <w:hideMark/>
          </w:tcPr>
          <w:p w14:paraId="4DB1CC0D"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r>
      <w:tr w:rsidR="009E44C8" w:rsidRPr="009E44C8" w14:paraId="1621DB29"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19EE6EC3"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Taxation revenue(a)</w:t>
            </w:r>
          </w:p>
        </w:tc>
        <w:tc>
          <w:tcPr>
            <w:tcW w:w="268" w:type="pct"/>
            <w:tcBorders>
              <w:top w:val="nil"/>
              <w:left w:val="nil"/>
              <w:bottom w:val="nil"/>
              <w:right w:val="nil"/>
            </w:tcBorders>
            <w:shd w:val="clear" w:color="000000" w:fill="FFFFFF"/>
            <w:noWrap/>
            <w:vAlign w:val="center"/>
            <w:hideMark/>
          </w:tcPr>
          <w:p w14:paraId="6B1BFA97"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B69653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525,395</w:t>
            </w:r>
          </w:p>
        </w:tc>
        <w:tc>
          <w:tcPr>
            <w:tcW w:w="508" w:type="pct"/>
            <w:tcBorders>
              <w:top w:val="nil"/>
              <w:left w:val="nil"/>
              <w:bottom w:val="nil"/>
              <w:right w:val="nil"/>
            </w:tcBorders>
            <w:shd w:val="clear" w:color="000000" w:fill="F2F9FC"/>
            <w:noWrap/>
            <w:vAlign w:val="center"/>
            <w:hideMark/>
          </w:tcPr>
          <w:p w14:paraId="055C103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520,984</w:t>
            </w:r>
          </w:p>
        </w:tc>
        <w:tc>
          <w:tcPr>
            <w:tcW w:w="508" w:type="pct"/>
            <w:tcBorders>
              <w:top w:val="nil"/>
              <w:left w:val="nil"/>
              <w:bottom w:val="nil"/>
              <w:right w:val="nil"/>
            </w:tcBorders>
            <w:shd w:val="clear" w:color="000000" w:fill="FFFFFF"/>
            <w:noWrap/>
            <w:vAlign w:val="center"/>
            <w:hideMark/>
          </w:tcPr>
          <w:p w14:paraId="37E6309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554,444</w:t>
            </w:r>
          </w:p>
        </w:tc>
        <w:tc>
          <w:tcPr>
            <w:tcW w:w="508" w:type="pct"/>
            <w:tcBorders>
              <w:top w:val="nil"/>
              <w:left w:val="nil"/>
              <w:bottom w:val="nil"/>
              <w:right w:val="nil"/>
            </w:tcBorders>
            <w:shd w:val="clear" w:color="000000" w:fill="FFFFFF"/>
            <w:noWrap/>
            <w:vAlign w:val="center"/>
            <w:hideMark/>
          </w:tcPr>
          <w:p w14:paraId="14E4112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579,304</w:t>
            </w:r>
          </w:p>
        </w:tc>
        <w:tc>
          <w:tcPr>
            <w:tcW w:w="506" w:type="pct"/>
            <w:tcBorders>
              <w:top w:val="nil"/>
              <w:left w:val="nil"/>
              <w:bottom w:val="nil"/>
              <w:right w:val="nil"/>
            </w:tcBorders>
            <w:shd w:val="clear" w:color="000000" w:fill="FFFFFF"/>
            <w:noWrap/>
            <w:vAlign w:val="center"/>
            <w:hideMark/>
          </w:tcPr>
          <w:p w14:paraId="0C73441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612,134</w:t>
            </w:r>
          </w:p>
        </w:tc>
      </w:tr>
      <w:tr w:rsidR="009E44C8" w:rsidRPr="009E44C8" w14:paraId="7B40BD19"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70341DF2"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Sales of goods and services</w:t>
            </w:r>
          </w:p>
        </w:tc>
        <w:tc>
          <w:tcPr>
            <w:tcW w:w="268" w:type="pct"/>
            <w:tcBorders>
              <w:top w:val="nil"/>
              <w:left w:val="nil"/>
              <w:bottom w:val="nil"/>
              <w:right w:val="nil"/>
            </w:tcBorders>
            <w:shd w:val="clear" w:color="000000" w:fill="FFFFFF"/>
            <w:noWrap/>
            <w:vAlign w:val="center"/>
            <w:hideMark/>
          </w:tcPr>
          <w:p w14:paraId="1A6DC82C"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0A5122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17,628</w:t>
            </w:r>
          </w:p>
        </w:tc>
        <w:tc>
          <w:tcPr>
            <w:tcW w:w="508" w:type="pct"/>
            <w:tcBorders>
              <w:top w:val="nil"/>
              <w:left w:val="nil"/>
              <w:bottom w:val="nil"/>
              <w:right w:val="nil"/>
            </w:tcBorders>
            <w:shd w:val="clear" w:color="000000" w:fill="F2F9FC"/>
            <w:noWrap/>
            <w:vAlign w:val="center"/>
            <w:hideMark/>
          </w:tcPr>
          <w:p w14:paraId="57B7528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18,326</w:t>
            </w:r>
          </w:p>
        </w:tc>
        <w:tc>
          <w:tcPr>
            <w:tcW w:w="508" w:type="pct"/>
            <w:tcBorders>
              <w:top w:val="nil"/>
              <w:left w:val="nil"/>
              <w:bottom w:val="nil"/>
              <w:right w:val="nil"/>
            </w:tcBorders>
            <w:shd w:val="clear" w:color="000000" w:fill="FFFFFF"/>
            <w:noWrap/>
            <w:vAlign w:val="center"/>
            <w:hideMark/>
          </w:tcPr>
          <w:p w14:paraId="2EE569B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19,518</w:t>
            </w:r>
          </w:p>
        </w:tc>
        <w:tc>
          <w:tcPr>
            <w:tcW w:w="508" w:type="pct"/>
            <w:tcBorders>
              <w:top w:val="nil"/>
              <w:left w:val="nil"/>
              <w:bottom w:val="nil"/>
              <w:right w:val="nil"/>
            </w:tcBorders>
            <w:shd w:val="clear" w:color="000000" w:fill="FFFFFF"/>
            <w:noWrap/>
            <w:vAlign w:val="center"/>
            <w:hideMark/>
          </w:tcPr>
          <w:p w14:paraId="3214AB8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20,398</w:t>
            </w:r>
          </w:p>
        </w:tc>
        <w:tc>
          <w:tcPr>
            <w:tcW w:w="506" w:type="pct"/>
            <w:tcBorders>
              <w:top w:val="nil"/>
              <w:left w:val="nil"/>
              <w:bottom w:val="nil"/>
              <w:right w:val="nil"/>
            </w:tcBorders>
            <w:shd w:val="clear" w:color="000000" w:fill="FFFFFF"/>
            <w:noWrap/>
            <w:vAlign w:val="center"/>
            <w:hideMark/>
          </w:tcPr>
          <w:p w14:paraId="5E04458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20,943</w:t>
            </w:r>
          </w:p>
        </w:tc>
      </w:tr>
      <w:tr w:rsidR="009E44C8" w:rsidRPr="009E44C8" w14:paraId="18B8D024"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5DE45D1E"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Interest income</w:t>
            </w:r>
          </w:p>
        </w:tc>
        <w:tc>
          <w:tcPr>
            <w:tcW w:w="268" w:type="pct"/>
            <w:tcBorders>
              <w:top w:val="nil"/>
              <w:left w:val="nil"/>
              <w:bottom w:val="nil"/>
              <w:right w:val="nil"/>
            </w:tcBorders>
            <w:shd w:val="clear" w:color="000000" w:fill="FFFFFF"/>
            <w:noWrap/>
            <w:vAlign w:val="center"/>
            <w:hideMark/>
          </w:tcPr>
          <w:p w14:paraId="1CD53A04"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B1F776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3,916</w:t>
            </w:r>
          </w:p>
        </w:tc>
        <w:tc>
          <w:tcPr>
            <w:tcW w:w="508" w:type="pct"/>
            <w:tcBorders>
              <w:top w:val="nil"/>
              <w:left w:val="nil"/>
              <w:bottom w:val="nil"/>
              <w:right w:val="nil"/>
            </w:tcBorders>
            <w:shd w:val="clear" w:color="000000" w:fill="F2F9FC"/>
            <w:noWrap/>
            <w:vAlign w:val="center"/>
            <w:hideMark/>
          </w:tcPr>
          <w:p w14:paraId="413597D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3,751</w:t>
            </w:r>
          </w:p>
        </w:tc>
        <w:tc>
          <w:tcPr>
            <w:tcW w:w="508" w:type="pct"/>
            <w:tcBorders>
              <w:top w:val="nil"/>
              <w:left w:val="nil"/>
              <w:bottom w:val="nil"/>
              <w:right w:val="nil"/>
            </w:tcBorders>
            <w:shd w:val="clear" w:color="000000" w:fill="FFFFFF"/>
            <w:noWrap/>
            <w:vAlign w:val="center"/>
            <w:hideMark/>
          </w:tcPr>
          <w:p w14:paraId="400F0DFD"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4,294</w:t>
            </w:r>
          </w:p>
        </w:tc>
        <w:tc>
          <w:tcPr>
            <w:tcW w:w="508" w:type="pct"/>
            <w:tcBorders>
              <w:top w:val="nil"/>
              <w:left w:val="nil"/>
              <w:bottom w:val="nil"/>
              <w:right w:val="nil"/>
            </w:tcBorders>
            <w:shd w:val="clear" w:color="000000" w:fill="FFFFFF"/>
            <w:noWrap/>
            <w:vAlign w:val="center"/>
            <w:hideMark/>
          </w:tcPr>
          <w:p w14:paraId="1C98788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4,576</w:t>
            </w:r>
          </w:p>
        </w:tc>
        <w:tc>
          <w:tcPr>
            <w:tcW w:w="506" w:type="pct"/>
            <w:tcBorders>
              <w:top w:val="nil"/>
              <w:left w:val="nil"/>
              <w:bottom w:val="nil"/>
              <w:right w:val="nil"/>
            </w:tcBorders>
            <w:shd w:val="clear" w:color="000000" w:fill="FFFFFF"/>
            <w:noWrap/>
            <w:vAlign w:val="center"/>
            <w:hideMark/>
          </w:tcPr>
          <w:p w14:paraId="2055AAA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4,697</w:t>
            </w:r>
          </w:p>
        </w:tc>
      </w:tr>
      <w:tr w:rsidR="009E44C8" w:rsidRPr="009E44C8" w14:paraId="5833875E"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202C1FFF"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Dividend and distribution income(b)</w:t>
            </w:r>
          </w:p>
        </w:tc>
        <w:tc>
          <w:tcPr>
            <w:tcW w:w="268" w:type="pct"/>
            <w:tcBorders>
              <w:top w:val="nil"/>
              <w:left w:val="nil"/>
              <w:bottom w:val="nil"/>
              <w:right w:val="nil"/>
            </w:tcBorders>
            <w:shd w:val="clear" w:color="000000" w:fill="FFFFFF"/>
            <w:noWrap/>
            <w:vAlign w:val="center"/>
            <w:hideMark/>
          </w:tcPr>
          <w:p w14:paraId="57D44AC8"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645CFF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6,219</w:t>
            </w:r>
          </w:p>
        </w:tc>
        <w:tc>
          <w:tcPr>
            <w:tcW w:w="508" w:type="pct"/>
            <w:tcBorders>
              <w:top w:val="nil"/>
              <w:left w:val="nil"/>
              <w:bottom w:val="nil"/>
              <w:right w:val="nil"/>
            </w:tcBorders>
            <w:shd w:val="clear" w:color="000000" w:fill="F2F9FC"/>
            <w:noWrap/>
            <w:vAlign w:val="center"/>
            <w:hideMark/>
          </w:tcPr>
          <w:p w14:paraId="3F492E5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5,292</w:t>
            </w:r>
          </w:p>
        </w:tc>
        <w:tc>
          <w:tcPr>
            <w:tcW w:w="508" w:type="pct"/>
            <w:tcBorders>
              <w:top w:val="nil"/>
              <w:left w:val="nil"/>
              <w:bottom w:val="nil"/>
              <w:right w:val="nil"/>
            </w:tcBorders>
            <w:shd w:val="clear" w:color="000000" w:fill="FFFFFF"/>
            <w:noWrap/>
            <w:vAlign w:val="center"/>
            <w:hideMark/>
          </w:tcPr>
          <w:p w14:paraId="7583D57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5,681</w:t>
            </w:r>
          </w:p>
        </w:tc>
        <w:tc>
          <w:tcPr>
            <w:tcW w:w="508" w:type="pct"/>
            <w:tcBorders>
              <w:top w:val="nil"/>
              <w:left w:val="nil"/>
              <w:bottom w:val="nil"/>
              <w:right w:val="nil"/>
            </w:tcBorders>
            <w:shd w:val="clear" w:color="000000" w:fill="FFFFFF"/>
            <w:noWrap/>
            <w:vAlign w:val="center"/>
            <w:hideMark/>
          </w:tcPr>
          <w:p w14:paraId="5DA0F47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6,057</w:t>
            </w:r>
          </w:p>
        </w:tc>
        <w:tc>
          <w:tcPr>
            <w:tcW w:w="506" w:type="pct"/>
            <w:tcBorders>
              <w:top w:val="nil"/>
              <w:left w:val="nil"/>
              <w:bottom w:val="nil"/>
              <w:right w:val="nil"/>
            </w:tcBorders>
            <w:shd w:val="clear" w:color="000000" w:fill="FFFFFF"/>
            <w:noWrap/>
            <w:vAlign w:val="center"/>
            <w:hideMark/>
          </w:tcPr>
          <w:p w14:paraId="02D083E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6,428</w:t>
            </w:r>
          </w:p>
        </w:tc>
      </w:tr>
      <w:tr w:rsidR="009E44C8" w:rsidRPr="009E44C8" w14:paraId="2B47040F"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649BB3A"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Other(a)</w:t>
            </w:r>
          </w:p>
        </w:tc>
        <w:tc>
          <w:tcPr>
            <w:tcW w:w="268" w:type="pct"/>
            <w:tcBorders>
              <w:top w:val="nil"/>
              <w:left w:val="nil"/>
              <w:bottom w:val="nil"/>
              <w:right w:val="nil"/>
            </w:tcBorders>
            <w:shd w:val="clear" w:color="000000" w:fill="FFFFFF"/>
            <w:noWrap/>
            <w:vAlign w:val="center"/>
            <w:hideMark/>
          </w:tcPr>
          <w:p w14:paraId="15A07AD0"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8942FC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13,449</w:t>
            </w:r>
          </w:p>
        </w:tc>
        <w:tc>
          <w:tcPr>
            <w:tcW w:w="508" w:type="pct"/>
            <w:tcBorders>
              <w:top w:val="nil"/>
              <w:left w:val="nil"/>
              <w:bottom w:val="nil"/>
              <w:right w:val="nil"/>
            </w:tcBorders>
            <w:shd w:val="clear" w:color="000000" w:fill="F2F9FC"/>
            <w:noWrap/>
            <w:vAlign w:val="center"/>
            <w:hideMark/>
          </w:tcPr>
          <w:p w14:paraId="77F9408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13,495</w:t>
            </w:r>
          </w:p>
        </w:tc>
        <w:tc>
          <w:tcPr>
            <w:tcW w:w="508" w:type="pct"/>
            <w:tcBorders>
              <w:top w:val="nil"/>
              <w:left w:val="nil"/>
              <w:bottom w:val="nil"/>
              <w:right w:val="nil"/>
            </w:tcBorders>
            <w:shd w:val="clear" w:color="000000" w:fill="FFFFFF"/>
            <w:noWrap/>
            <w:vAlign w:val="center"/>
            <w:hideMark/>
          </w:tcPr>
          <w:p w14:paraId="302C679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11,704</w:t>
            </w:r>
          </w:p>
        </w:tc>
        <w:tc>
          <w:tcPr>
            <w:tcW w:w="508" w:type="pct"/>
            <w:tcBorders>
              <w:top w:val="nil"/>
              <w:left w:val="nil"/>
              <w:bottom w:val="nil"/>
              <w:right w:val="nil"/>
            </w:tcBorders>
            <w:shd w:val="clear" w:color="000000" w:fill="FFFFFF"/>
            <w:noWrap/>
            <w:vAlign w:val="center"/>
            <w:hideMark/>
          </w:tcPr>
          <w:p w14:paraId="328EAD5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11,352</w:t>
            </w:r>
          </w:p>
        </w:tc>
        <w:tc>
          <w:tcPr>
            <w:tcW w:w="506" w:type="pct"/>
            <w:tcBorders>
              <w:top w:val="nil"/>
              <w:left w:val="nil"/>
              <w:bottom w:val="nil"/>
              <w:right w:val="nil"/>
            </w:tcBorders>
            <w:shd w:val="clear" w:color="000000" w:fill="FFFFFF"/>
            <w:noWrap/>
            <w:vAlign w:val="center"/>
            <w:hideMark/>
          </w:tcPr>
          <w:p w14:paraId="269D109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11,031</w:t>
            </w:r>
          </w:p>
        </w:tc>
      </w:tr>
      <w:tr w:rsidR="009E44C8" w:rsidRPr="009E44C8" w14:paraId="12E261E8"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FF52F98"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Total revenue</w:t>
            </w:r>
          </w:p>
        </w:tc>
        <w:tc>
          <w:tcPr>
            <w:tcW w:w="268" w:type="pct"/>
            <w:tcBorders>
              <w:top w:val="nil"/>
              <w:left w:val="nil"/>
              <w:bottom w:val="nil"/>
              <w:right w:val="nil"/>
            </w:tcBorders>
            <w:shd w:val="clear" w:color="000000" w:fill="FFFFFF"/>
            <w:noWrap/>
            <w:vAlign w:val="center"/>
            <w:hideMark/>
          </w:tcPr>
          <w:p w14:paraId="2C2FCD89"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40ECC93A"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566,607</w:t>
            </w:r>
          </w:p>
        </w:tc>
        <w:tc>
          <w:tcPr>
            <w:tcW w:w="508" w:type="pct"/>
            <w:tcBorders>
              <w:top w:val="nil"/>
              <w:left w:val="nil"/>
              <w:bottom w:val="nil"/>
              <w:right w:val="nil"/>
            </w:tcBorders>
            <w:shd w:val="clear" w:color="000000" w:fill="F2F9FC"/>
            <w:noWrap/>
            <w:vAlign w:val="center"/>
            <w:hideMark/>
          </w:tcPr>
          <w:p w14:paraId="56F08259"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561,848</w:t>
            </w:r>
          </w:p>
        </w:tc>
        <w:tc>
          <w:tcPr>
            <w:tcW w:w="508" w:type="pct"/>
            <w:tcBorders>
              <w:top w:val="nil"/>
              <w:left w:val="nil"/>
              <w:bottom w:val="nil"/>
              <w:right w:val="nil"/>
            </w:tcBorders>
            <w:shd w:val="clear" w:color="000000" w:fill="FFFFFF"/>
            <w:noWrap/>
            <w:vAlign w:val="center"/>
            <w:hideMark/>
          </w:tcPr>
          <w:p w14:paraId="63C566B9"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595,641</w:t>
            </w:r>
          </w:p>
        </w:tc>
        <w:tc>
          <w:tcPr>
            <w:tcW w:w="508" w:type="pct"/>
            <w:tcBorders>
              <w:top w:val="nil"/>
              <w:left w:val="nil"/>
              <w:bottom w:val="nil"/>
              <w:right w:val="nil"/>
            </w:tcBorders>
            <w:shd w:val="clear" w:color="000000" w:fill="FFFFFF"/>
            <w:noWrap/>
            <w:vAlign w:val="center"/>
            <w:hideMark/>
          </w:tcPr>
          <w:p w14:paraId="2702B19B"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621,687</w:t>
            </w:r>
          </w:p>
        </w:tc>
        <w:tc>
          <w:tcPr>
            <w:tcW w:w="506" w:type="pct"/>
            <w:tcBorders>
              <w:top w:val="nil"/>
              <w:left w:val="nil"/>
              <w:bottom w:val="nil"/>
              <w:right w:val="nil"/>
            </w:tcBorders>
            <w:shd w:val="clear" w:color="000000" w:fill="FFFFFF"/>
            <w:noWrap/>
            <w:vAlign w:val="center"/>
            <w:hideMark/>
          </w:tcPr>
          <w:p w14:paraId="2D645E74"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655,232</w:t>
            </w:r>
          </w:p>
        </w:tc>
      </w:tr>
      <w:tr w:rsidR="009E44C8" w:rsidRPr="009E44C8" w14:paraId="316ADE71"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A0E357E"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Expenses</w:t>
            </w:r>
          </w:p>
        </w:tc>
        <w:tc>
          <w:tcPr>
            <w:tcW w:w="268" w:type="pct"/>
            <w:tcBorders>
              <w:top w:val="nil"/>
              <w:left w:val="nil"/>
              <w:bottom w:val="nil"/>
              <w:right w:val="nil"/>
            </w:tcBorders>
            <w:shd w:val="clear" w:color="000000" w:fill="FFFFFF"/>
            <w:noWrap/>
            <w:vAlign w:val="center"/>
            <w:hideMark/>
          </w:tcPr>
          <w:p w14:paraId="3E270920"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7A95EF1B"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2F9FC"/>
            <w:noWrap/>
            <w:vAlign w:val="center"/>
            <w:hideMark/>
          </w:tcPr>
          <w:p w14:paraId="6502E0E2"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FFFFF"/>
            <w:noWrap/>
            <w:vAlign w:val="center"/>
            <w:hideMark/>
          </w:tcPr>
          <w:p w14:paraId="3A7A2487"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FFFFF"/>
            <w:noWrap/>
            <w:vAlign w:val="center"/>
            <w:hideMark/>
          </w:tcPr>
          <w:p w14:paraId="7AD8347E"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6" w:type="pct"/>
            <w:tcBorders>
              <w:top w:val="nil"/>
              <w:left w:val="nil"/>
              <w:bottom w:val="nil"/>
              <w:right w:val="nil"/>
            </w:tcBorders>
            <w:shd w:val="clear" w:color="000000" w:fill="FFFFFF"/>
            <w:noWrap/>
            <w:vAlign w:val="center"/>
            <w:hideMark/>
          </w:tcPr>
          <w:p w14:paraId="5362C3BA"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r>
      <w:tr w:rsidR="009E44C8" w:rsidRPr="009E44C8" w14:paraId="4CD3633D"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5D40750"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Gross operating expenses</w:t>
            </w:r>
          </w:p>
        </w:tc>
        <w:tc>
          <w:tcPr>
            <w:tcW w:w="268" w:type="pct"/>
            <w:tcBorders>
              <w:top w:val="nil"/>
              <w:left w:val="nil"/>
              <w:bottom w:val="nil"/>
              <w:right w:val="nil"/>
            </w:tcBorders>
            <w:shd w:val="clear" w:color="000000" w:fill="FFFFFF"/>
            <w:noWrap/>
            <w:vAlign w:val="center"/>
            <w:hideMark/>
          </w:tcPr>
          <w:p w14:paraId="12296D4B"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A5298EE"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2F9FC"/>
            <w:noWrap/>
            <w:vAlign w:val="center"/>
            <w:hideMark/>
          </w:tcPr>
          <w:p w14:paraId="2DC1D5A1"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FFFFF"/>
            <w:noWrap/>
            <w:vAlign w:val="center"/>
            <w:hideMark/>
          </w:tcPr>
          <w:p w14:paraId="002D3BF0"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8" w:type="pct"/>
            <w:tcBorders>
              <w:top w:val="nil"/>
              <w:left w:val="nil"/>
              <w:bottom w:val="nil"/>
              <w:right w:val="nil"/>
            </w:tcBorders>
            <w:shd w:val="clear" w:color="000000" w:fill="FFFFFF"/>
            <w:noWrap/>
            <w:vAlign w:val="center"/>
            <w:hideMark/>
          </w:tcPr>
          <w:p w14:paraId="62610D60"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c>
          <w:tcPr>
            <w:tcW w:w="506" w:type="pct"/>
            <w:tcBorders>
              <w:top w:val="nil"/>
              <w:left w:val="nil"/>
              <w:bottom w:val="nil"/>
              <w:right w:val="nil"/>
            </w:tcBorders>
            <w:shd w:val="clear" w:color="000000" w:fill="FFFFFF"/>
            <w:noWrap/>
            <w:vAlign w:val="center"/>
            <w:hideMark/>
          </w:tcPr>
          <w:p w14:paraId="404AF5A4" w14:textId="77777777" w:rsidR="009E44C8" w:rsidRPr="0034104B" w:rsidRDefault="009E44C8" w:rsidP="0034104B">
            <w:pPr>
              <w:spacing w:after="0" w:line="240" w:lineRule="auto"/>
              <w:jc w:val="left"/>
              <w:rPr>
                <w:rFonts w:ascii="Arial" w:hAnsi="Arial" w:cs="Arial"/>
                <w:sz w:val="16"/>
                <w:szCs w:val="16"/>
              </w:rPr>
            </w:pPr>
            <w:r w:rsidRPr="0034104B">
              <w:rPr>
                <w:rFonts w:ascii="Arial" w:hAnsi="Arial" w:cs="Arial"/>
                <w:sz w:val="16"/>
                <w:szCs w:val="16"/>
              </w:rPr>
              <w:t> </w:t>
            </w:r>
          </w:p>
        </w:tc>
      </w:tr>
      <w:tr w:rsidR="009E44C8" w:rsidRPr="009E44C8" w14:paraId="413FB3EF"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228211D7"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Wages and salaries(c)</w:t>
            </w:r>
          </w:p>
        </w:tc>
        <w:tc>
          <w:tcPr>
            <w:tcW w:w="268" w:type="pct"/>
            <w:tcBorders>
              <w:top w:val="nil"/>
              <w:left w:val="nil"/>
              <w:bottom w:val="nil"/>
              <w:right w:val="nil"/>
            </w:tcBorders>
            <w:shd w:val="clear" w:color="000000" w:fill="FFFFFF"/>
            <w:noWrap/>
            <w:vAlign w:val="center"/>
            <w:hideMark/>
          </w:tcPr>
          <w:p w14:paraId="72F31AFA"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35ED9A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23,567</w:t>
            </w:r>
          </w:p>
        </w:tc>
        <w:tc>
          <w:tcPr>
            <w:tcW w:w="508" w:type="pct"/>
            <w:tcBorders>
              <w:top w:val="nil"/>
              <w:left w:val="nil"/>
              <w:bottom w:val="nil"/>
              <w:right w:val="nil"/>
            </w:tcBorders>
            <w:shd w:val="clear" w:color="000000" w:fill="F2F9FC"/>
            <w:noWrap/>
            <w:vAlign w:val="center"/>
            <w:hideMark/>
          </w:tcPr>
          <w:p w14:paraId="18D1178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23,373</w:t>
            </w:r>
          </w:p>
        </w:tc>
        <w:tc>
          <w:tcPr>
            <w:tcW w:w="508" w:type="pct"/>
            <w:tcBorders>
              <w:top w:val="nil"/>
              <w:left w:val="nil"/>
              <w:bottom w:val="nil"/>
              <w:right w:val="nil"/>
            </w:tcBorders>
            <w:shd w:val="clear" w:color="000000" w:fill="FFFFFF"/>
            <w:noWrap/>
            <w:vAlign w:val="center"/>
            <w:hideMark/>
          </w:tcPr>
          <w:p w14:paraId="287FE4D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23,179</w:t>
            </w:r>
          </w:p>
        </w:tc>
        <w:tc>
          <w:tcPr>
            <w:tcW w:w="508" w:type="pct"/>
            <w:tcBorders>
              <w:top w:val="nil"/>
              <w:left w:val="nil"/>
              <w:bottom w:val="nil"/>
              <w:right w:val="nil"/>
            </w:tcBorders>
            <w:shd w:val="clear" w:color="000000" w:fill="FFFFFF"/>
            <w:noWrap/>
            <w:vAlign w:val="center"/>
            <w:hideMark/>
          </w:tcPr>
          <w:p w14:paraId="4D79F2CD"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23,727</w:t>
            </w:r>
          </w:p>
        </w:tc>
        <w:tc>
          <w:tcPr>
            <w:tcW w:w="506" w:type="pct"/>
            <w:tcBorders>
              <w:top w:val="nil"/>
              <w:left w:val="nil"/>
              <w:bottom w:val="nil"/>
              <w:right w:val="nil"/>
            </w:tcBorders>
            <w:shd w:val="clear" w:color="000000" w:fill="FFFFFF"/>
            <w:noWrap/>
            <w:vAlign w:val="center"/>
            <w:hideMark/>
          </w:tcPr>
          <w:p w14:paraId="5A648A3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24,028</w:t>
            </w:r>
          </w:p>
        </w:tc>
      </w:tr>
      <w:tr w:rsidR="009E44C8" w:rsidRPr="009E44C8" w14:paraId="5EDA6736"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D5A2759"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Superannuation</w:t>
            </w:r>
          </w:p>
        </w:tc>
        <w:tc>
          <w:tcPr>
            <w:tcW w:w="268" w:type="pct"/>
            <w:tcBorders>
              <w:top w:val="nil"/>
              <w:left w:val="nil"/>
              <w:bottom w:val="nil"/>
              <w:right w:val="nil"/>
            </w:tcBorders>
            <w:shd w:val="clear" w:color="000000" w:fill="FFFFFF"/>
            <w:noWrap/>
            <w:vAlign w:val="center"/>
            <w:hideMark/>
          </w:tcPr>
          <w:p w14:paraId="36A46EE1"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D3E76C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12,285</w:t>
            </w:r>
          </w:p>
        </w:tc>
        <w:tc>
          <w:tcPr>
            <w:tcW w:w="508" w:type="pct"/>
            <w:tcBorders>
              <w:top w:val="nil"/>
              <w:left w:val="nil"/>
              <w:bottom w:val="nil"/>
              <w:right w:val="nil"/>
            </w:tcBorders>
            <w:shd w:val="clear" w:color="000000" w:fill="F2F9FC"/>
            <w:noWrap/>
            <w:vAlign w:val="center"/>
            <w:hideMark/>
          </w:tcPr>
          <w:p w14:paraId="4060276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7,064</w:t>
            </w:r>
          </w:p>
        </w:tc>
        <w:tc>
          <w:tcPr>
            <w:tcW w:w="508" w:type="pct"/>
            <w:tcBorders>
              <w:top w:val="nil"/>
              <w:left w:val="nil"/>
              <w:bottom w:val="nil"/>
              <w:right w:val="nil"/>
            </w:tcBorders>
            <w:shd w:val="clear" w:color="000000" w:fill="FFFFFF"/>
            <w:noWrap/>
            <w:vAlign w:val="center"/>
            <w:hideMark/>
          </w:tcPr>
          <w:p w14:paraId="43D49C9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7,177</w:t>
            </w:r>
          </w:p>
        </w:tc>
        <w:tc>
          <w:tcPr>
            <w:tcW w:w="508" w:type="pct"/>
            <w:tcBorders>
              <w:top w:val="nil"/>
              <w:left w:val="nil"/>
              <w:bottom w:val="nil"/>
              <w:right w:val="nil"/>
            </w:tcBorders>
            <w:shd w:val="clear" w:color="000000" w:fill="FFFFFF"/>
            <w:noWrap/>
            <w:vAlign w:val="center"/>
            <w:hideMark/>
          </w:tcPr>
          <w:p w14:paraId="4E87541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7,415</w:t>
            </w:r>
          </w:p>
        </w:tc>
        <w:tc>
          <w:tcPr>
            <w:tcW w:w="506" w:type="pct"/>
            <w:tcBorders>
              <w:top w:val="nil"/>
              <w:left w:val="nil"/>
              <w:bottom w:val="nil"/>
              <w:right w:val="nil"/>
            </w:tcBorders>
            <w:shd w:val="clear" w:color="000000" w:fill="FFFFFF"/>
            <w:noWrap/>
            <w:vAlign w:val="center"/>
            <w:hideMark/>
          </w:tcPr>
          <w:p w14:paraId="38B117D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7,632</w:t>
            </w:r>
          </w:p>
        </w:tc>
      </w:tr>
      <w:tr w:rsidR="009E44C8" w:rsidRPr="009E44C8" w14:paraId="0564653B"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2D2631A"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Depreciation and amortisation</w:t>
            </w:r>
          </w:p>
        </w:tc>
        <w:tc>
          <w:tcPr>
            <w:tcW w:w="268" w:type="pct"/>
            <w:tcBorders>
              <w:top w:val="nil"/>
              <w:left w:val="nil"/>
              <w:bottom w:val="nil"/>
              <w:right w:val="nil"/>
            </w:tcBorders>
            <w:shd w:val="clear" w:color="000000" w:fill="FFFFFF"/>
            <w:noWrap/>
            <w:vAlign w:val="center"/>
            <w:hideMark/>
          </w:tcPr>
          <w:p w14:paraId="1C30A9D9"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11F0B5A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11,745</w:t>
            </w:r>
          </w:p>
        </w:tc>
        <w:tc>
          <w:tcPr>
            <w:tcW w:w="508" w:type="pct"/>
            <w:tcBorders>
              <w:top w:val="nil"/>
              <w:left w:val="nil"/>
              <w:bottom w:val="nil"/>
              <w:right w:val="nil"/>
            </w:tcBorders>
            <w:shd w:val="clear" w:color="000000" w:fill="F2F9FC"/>
            <w:noWrap/>
            <w:vAlign w:val="center"/>
            <w:hideMark/>
          </w:tcPr>
          <w:p w14:paraId="5A75E75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12,462</w:t>
            </w:r>
          </w:p>
        </w:tc>
        <w:tc>
          <w:tcPr>
            <w:tcW w:w="508" w:type="pct"/>
            <w:tcBorders>
              <w:top w:val="nil"/>
              <w:left w:val="nil"/>
              <w:bottom w:val="nil"/>
              <w:right w:val="nil"/>
            </w:tcBorders>
            <w:shd w:val="clear" w:color="000000" w:fill="FFFFFF"/>
            <w:noWrap/>
            <w:vAlign w:val="center"/>
            <w:hideMark/>
          </w:tcPr>
          <w:p w14:paraId="7838D15D"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13,304</w:t>
            </w:r>
          </w:p>
        </w:tc>
        <w:tc>
          <w:tcPr>
            <w:tcW w:w="508" w:type="pct"/>
            <w:tcBorders>
              <w:top w:val="nil"/>
              <w:left w:val="nil"/>
              <w:bottom w:val="nil"/>
              <w:right w:val="nil"/>
            </w:tcBorders>
            <w:shd w:val="clear" w:color="000000" w:fill="FFFFFF"/>
            <w:noWrap/>
            <w:vAlign w:val="center"/>
            <w:hideMark/>
          </w:tcPr>
          <w:p w14:paraId="36C4D80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14,035</w:t>
            </w:r>
          </w:p>
        </w:tc>
        <w:tc>
          <w:tcPr>
            <w:tcW w:w="506" w:type="pct"/>
            <w:tcBorders>
              <w:top w:val="nil"/>
              <w:left w:val="nil"/>
              <w:bottom w:val="nil"/>
              <w:right w:val="nil"/>
            </w:tcBorders>
            <w:shd w:val="clear" w:color="000000" w:fill="FFFFFF"/>
            <w:noWrap/>
            <w:vAlign w:val="center"/>
            <w:hideMark/>
          </w:tcPr>
          <w:p w14:paraId="38A0F03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14,817</w:t>
            </w:r>
          </w:p>
        </w:tc>
      </w:tr>
      <w:tr w:rsidR="009E44C8" w:rsidRPr="009E44C8" w14:paraId="5322E673"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9CBF10D"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Supply of goods and services</w:t>
            </w:r>
          </w:p>
        </w:tc>
        <w:tc>
          <w:tcPr>
            <w:tcW w:w="268" w:type="pct"/>
            <w:tcBorders>
              <w:top w:val="nil"/>
              <w:left w:val="nil"/>
              <w:bottom w:val="nil"/>
              <w:right w:val="nil"/>
            </w:tcBorders>
            <w:shd w:val="clear" w:color="000000" w:fill="FFFFFF"/>
            <w:noWrap/>
            <w:vAlign w:val="center"/>
            <w:hideMark/>
          </w:tcPr>
          <w:p w14:paraId="2FEB4E19"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11FEEC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167,662</w:t>
            </w:r>
          </w:p>
        </w:tc>
        <w:tc>
          <w:tcPr>
            <w:tcW w:w="508" w:type="pct"/>
            <w:tcBorders>
              <w:top w:val="nil"/>
              <w:left w:val="nil"/>
              <w:bottom w:val="nil"/>
              <w:right w:val="nil"/>
            </w:tcBorders>
            <w:shd w:val="clear" w:color="000000" w:fill="F2F9FC"/>
            <w:noWrap/>
            <w:vAlign w:val="center"/>
            <w:hideMark/>
          </w:tcPr>
          <w:p w14:paraId="7117E5A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174,053</w:t>
            </w:r>
          </w:p>
        </w:tc>
        <w:tc>
          <w:tcPr>
            <w:tcW w:w="508" w:type="pct"/>
            <w:tcBorders>
              <w:top w:val="nil"/>
              <w:left w:val="nil"/>
              <w:bottom w:val="nil"/>
              <w:right w:val="nil"/>
            </w:tcBorders>
            <w:shd w:val="clear" w:color="000000" w:fill="FFFFFF"/>
            <w:noWrap/>
            <w:vAlign w:val="center"/>
            <w:hideMark/>
          </w:tcPr>
          <w:p w14:paraId="3CD28C6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173,579</w:t>
            </w:r>
          </w:p>
        </w:tc>
        <w:tc>
          <w:tcPr>
            <w:tcW w:w="508" w:type="pct"/>
            <w:tcBorders>
              <w:top w:val="nil"/>
              <w:left w:val="nil"/>
              <w:bottom w:val="nil"/>
              <w:right w:val="nil"/>
            </w:tcBorders>
            <w:shd w:val="clear" w:color="000000" w:fill="FFFFFF"/>
            <w:noWrap/>
            <w:vAlign w:val="center"/>
            <w:hideMark/>
          </w:tcPr>
          <w:p w14:paraId="7460A5E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180,138</w:t>
            </w:r>
          </w:p>
        </w:tc>
        <w:tc>
          <w:tcPr>
            <w:tcW w:w="506" w:type="pct"/>
            <w:tcBorders>
              <w:top w:val="nil"/>
              <w:left w:val="nil"/>
              <w:bottom w:val="nil"/>
              <w:right w:val="nil"/>
            </w:tcBorders>
            <w:shd w:val="clear" w:color="000000" w:fill="FFFFFF"/>
            <w:noWrap/>
            <w:vAlign w:val="center"/>
            <w:hideMark/>
          </w:tcPr>
          <w:p w14:paraId="3AC8828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188,583</w:t>
            </w:r>
          </w:p>
        </w:tc>
      </w:tr>
      <w:tr w:rsidR="009E44C8" w:rsidRPr="009E44C8" w14:paraId="2287B15C"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7D5ACED"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Other operating expenses(c)</w:t>
            </w:r>
          </w:p>
        </w:tc>
        <w:tc>
          <w:tcPr>
            <w:tcW w:w="268" w:type="pct"/>
            <w:tcBorders>
              <w:top w:val="nil"/>
              <w:left w:val="nil"/>
              <w:bottom w:val="nil"/>
              <w:right w:val="nil"/>
            </w:tcBorders>
            <w:shd w:val="clear" w:color="000000" w:fill="FFFFFF"/>
            <w:noWrap/>
            <w:vAlign w:val="center"/>
            <w:hideMark/>
          </w:tcPr>
          <w:p w14:paraId="0B57EC13"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7083E9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8,168</w:t>
            </w:r>
          </w:p>
        </w:tc>
        <w:tc>
          <w:tcPr>
            <w:tcW w:w="508" w:type="pct"/>
            <w:tcBorders>
              <w:top w:val="nil"/>
              <w:left w:val="nil"/>
              <w:bottom w:val="nil"/>
              <w:right w:val="nil"/>
            </w:tcBorders>
            <w:shd w:val="clear" w:color="000000" w:fill="F2F9FC"/>
            <w:noWrap/>
            <w:vAlign w:val="center"/>
            <w:hideMark/>
          </w:tcPr>
          <w:p w14:paraId="2254F3D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9,277</w:t>
            </w:r>
          </w:p>
        </w:tc>
        <w:tc>
          <w:tcPr>
            <w:tcW w:w="508" w:type="pct"/>
            <w:tcBorders>
              <w:top w:val="nil"/>
              <w:left w:val="nil"/>
              <w:bottom w:val="nil"/>
              <w:right w:val="nil"/>
            </w:tcBorders>
            <w:shd w:val="clear" w:color="000000" w:fill="FFFFFF"/>
            <w:noWrap/>
            <w:vAlign w:val="center"/>
            <w:hideMark/>
          </w:tcPr>
          <w:p w14:paraId="301BCE5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8,260</w:t>
            </w:r>
          </w:p>
        </w:tc>
        <w:tc>
          <w:tcPr>
            <w:tcW w:w="508" w:type="pct"/>
            <w:tcBorders>
              <w:top w:val="nil"/>
              <w:left w:val="nil"/>
              <w:bottom w:val="nil"/>
              <w:right w:val="nil"/>
            </w:tcBorders>
            <w:shd w:val="clear" w:color="000000" w:fill="FFFFFF"/>
            <w:noWrap/>
            <w:vAlign w:val="center"/>
            <w:hideMark/>
          </w:tcPr>
          <w:p w14:paraId="35C862E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8,442</w:t>
            </w:r>
          </w:p>
        </w:tc>
        <w:tc>
          <w:tcPr>
            <w:tcW w:w="506" w:type="pct"/>
            <w:tcBorders>
              <w:top w:val="nil"/>
              <w:left w:val="nil"/>
              <w:bottom w:val="nil"/>
              <w:right w:val="nil"/>
            </w:tcBorders>
            <w:shd w:val="clear" w:color="000000" w:fill="FFFFFF"/>
            <w:noWrap/>
            <w:vAlign w:val="center"/>
            <w:hideMark/>
          </w:tcPr>
          <w:p w14:paraId="6388378D"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8,557</w:t>
            </w:r>
          </w:p>
        </w:tc>
      </w:tr>
      <w:tr w:rsidR="009E44C8" w:rsidRPr="009E44C8" w14:paraId="055BB25D"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137957C" w14:textId="77777777" w:rsidR="009E44C8" w:rsidRPr="0034104B" w:rsidRDefault="009E44C8" w:rsidP="0034104B">
            <w:pPr>
              <w:spacing w:after="0" w:line="240" w:lineRule="auto"/>
              <w:jc w:val="left"/>
              <w:rPr>
                <w:rFonts w:ascii="Arial" w:hAnsi="Arial" w:cs="Arial"/>
                <w:i/>
                <w:iCs/>
                <w:color w:val="000000"/>
                <w:sz w:val="16"/>
                <w:szCs w:val="16"/>
              </w:rPr>
            </w:pPr>
            <w:r w:rsidRPr="0034104B">
              <w:rPr>
                <w:rFonts w:ascii="Arial" w:hAnsi="Arial" w:cs="Arial"/>
                <w:i/>
                <w:iCs/>
                <w:color w:val="000000"/>
                <w:sz w:val="16"/>
                <w:szCs w:val="16"/>
              </w:rPr>
              <w:t>Total gross operating expenses</w:t>
            </w:r>
          </w:p>
        </w:tc>
        <w:tc>
          <w:tcPr>
            <w:tcW w:w="268" w:type="pct"/>
            <w:tcBorders>
              <w:top w:val="nil"/>
              <w:left w:val="nil"/>
              <w:bottom w:val="nil"/>
              <w:right w:val="nil"/>
            </w:tcBorders>
            <w:shd w:val="clear" w:color="000000" w:fill="FFFFFF"/>
            <w:noWrap/>
            <w:vAlign w:val="center"/>
            <w:hideMark/>
          </w:tcPr>
          <w:p w14:paraId="0C6E8F97" w14:textId="77777777" w:rsidR="009E44C8" w:rsidRPr="0034104B" w:rsidRDefault="009E44C8" w:rsidP="0034104B">
            <w:pPr>
              <w:spacing w:after="0" w:line="240" w:lineRule="auto"/>
              <w:jc w:val="center"/>
              <w:rPr>
                <w:rFonts w:ascii="Arial" w:hAnsi="Arial" w:cs="Arial"/>
                <w:i/>
                <w:iCs/>
                <w:color w:val="000000"/>
                <w:sz w:val="16"/>
                <w:szCs w:val="16"/>
              </w:rPr>
            </w:pPr>
            <w:r w:rsidRPr="0034104B">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088749A8"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223,427</w:t>
            </w:r>
          </w:p>
        </w:tc>
        <w:tc>
          <w:tcPr>
            <w:tcW w:w="508" w:type="pct"/>
            <w:tcBorders>
              <w:top w:val="nil"/>
              <w:left w:val="nil"/>
              <w:bottom w:val="nil"/>
              <w:right w:val="nil"/>
            </w:tcBorders>
            <w:shd w:val="clear" w:color="000000" w:fill="F2F9FC"/>
            <w:noWrap/>
            <w:vAlign w:val="center"/>
            <w:hideMark/>
          </w:tcPr>
          <w:p w14:paraId="4921758B"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226,229</w:t>
            </w:r>
          </w:p>
        </w:tc>
        <w:tc>
          <w:tcPr>
            <w:tcW w:w="508" w:type="pct"/>
            <w:tcBorders>
              <w:top w:val="nil"/>
              <w:left w:val="nil"/>
              <w:bottom w:val="nil"/>
              <w:right w:val="nil"/>
            </w:tcBorders>
            <w:shd w:val="clear" w:color="000000" w:fill="FFFFFF"/>
            <w:noWrap/>
            <w:vAlign w:val="center"/>
            <w:hideMark/>
          </w:tcPr>
          <w:p w14:paraId="23A7223A"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225,498</w:t>
            </w:r>
          </w:p>
        </w:tc>
        <w:tc>
          <w:tcPr>
            <w:tcW w:w="508" w:type="pct"/>
            <w:tcBorders>
              <w:top w:val="nil"/>
              <w:left w:val="nil"/>
              <w:bottom w:val="nil"/>
              <w:right w:val="nil"/>
            </w:tcBorders>
            <w:shd w:val="clear" w:color="000000" w:fill="FFFFFF"/>
            <w:noWrap/>
            <w:vAlign w:val="center"/>
            <w:hideMark/>
          </w:tcPr>
          <w:p w14:paraId="5DD8BE8B"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233,756</w:t>
            </w:r>
          </w:p>
        </w:tc>
        <w:tc>
          <w:tcPr>
            <w:tcW w:w="506" w:type="pct"/>
            <w:tcBorders>
              <w:top w:val="nil"/>
              <w:left w:val="nil"/>
              <w:bottom w:val="nil"/>
              <w:right w:val="nil"/>
            </w:tcBorders>
            <w:shd w:val="clear" w:color="000000" w:fill="FFFFFF"/>
            <w:noWrap/>
            <w:vAlign w:val="center"/>
            <w:hideMark/>
          </w:tcPr>
          <w:p w14:paraId="5F12D288"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243,617</w:t>
            </w:r>
          </w:p>
        </w:tc>
      </w:tr>
      <w:tr w:rsidR="009E44C8" w:rsidRPr="009E44C8" w14:paraId="0AC76BFC"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1DAA5456"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Superannuation interest expense</w:t>
            </w:r>
          </w:p>
        </w:tc>
        <w:tc>
          <w:tcPr>
            <w:tcW w:w="268" w:type="pct"/>
            <w:tcBorders>
              <w:top w:val="nil"/>
              <w:left w:val="nil"/>
              <w:bottom w:val="nil"/>
              <w:right w:val="nil"/>
            </w:tcBorders>
            <w:shd w:val="clear" w:color="000000" w:fill="FFFFFF"/>
            <w:noWrap/>
            <w:vAlign w:val="center"/>
            <w:hideMark/>
          </w:tcPr>
          <w:p w14:paraId="2A7232FF"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A1B2C9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8,976</w:t>
            </w:r>
          </w:p>
        </w:tc>
        <w:tc>
          <w:tcPr>
            <w:tcW w:w="508" w:type="pct"/>
            <w:tcBorders>
              <w:top w:val="nil"/>
              <w:left w:val="nil"/>
              <w:bottom w:val="nil"/>
              <w:right w:val="nil"/>
            </w:tcBorders>
            <w:shd w:val="clear" w:color="000000" w:fill="F2F9FC"/>
            <w:noWrap/>
            <w:vAlign w:val="center"/>
            <w:hideMark/>
          </w:tcPr>
          <w:p w14:paraId="7F8B63E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12,453</w:t>
            </w:r>
          </w:p>
        </w:tc>
        <w:tc>
          <w:tcPr>
            <w:tcW w:w="508" w:type="pct"/>
            <w:tcBorders>
              <w:top w:val="nil"/>
              <w:left w:val="nil"/>
              <w:bottom w:val="nil"/>
              <w:right w:val="nil"/>
            </w:tcBorders>
            <w:shd w:val="clear" w:color="000000" w:fill="FFFFFF"/>
            <w:noWrap/>
            <w:vAlign w:val="center"/>
            <w:hideMark/>
          </w:tcPr>
          <w:p w14:paraId="218502F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12,758</w:t>
            </w:r>
          </w:p>
        </w:tc>
        <w:tc>
          <w:tcPr>
            <w:tcW w:w="508" w:type="pct"/>
            <w:tcBorders>
              <w:top w:val="nil"/>
              <w:left w:val="nil"/>
              <w:bottom w:val="nil"/>
              <w:right w:val="nil"/>
            </w:tcBorders>
            <w:shd w:val="clear" w:color="000000" w:fill="FFFFFF"/>
            <w:noWrap/>
            <w:vAlign w:val="center"/>
            <w:hideMark/>
          </w:tcPr>
          <w:p w14:paraId="06CF9A6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13,053</w:t>
            </w:r>
          </w:p>
        </w:tc>
        <w:tc>
          <w:tcPr>
            <w:tcW w:w="506" w:type="pct"/>
            <w:tcBorders>
              <w:top w:val="nil"/>
              <w:left w:val="nil"/>
              <w:bottom w:val="nil"/>
              <w:right w:val="nil"/>
            </w:tcBorders>
            <w:shd w:val="clear" w:color="000000" w:fill="FFFFFF"/>
            <w:noWrap/>
            <w:vAlign w:val="center"/>
            <w:hideMark/>
          </w:tcPr>
          <w:p w14:paraId="6563C8C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13,716</w:t>
            </w:r>
          </w:p>
        </w:tc>
      </w:tr>
      <w:tr w:rsidR="009E44C8" w:rsidRPr="009E44C8" w14:paraId="7B1610D3"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94F2928"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Interest expenses</w:t>
            </w:r>
          </w:p>
        </w:tc>
        <w:tc>
          <w:tcPr>
            <w:tcW w:w="268" w:type="pct"/>
            <w:tcBorders>
              <w:top w:val="nil"/>
              <w:left w:val="nil"/>
              <w:bottom w:val="nil"/>
              <w:right w:val="nil"/>
            </w:tcBorders>
            <w:shd w:val="clear" w:color="000000" w:fill="FFFFFF"/>
            <w:noWrap/>
            <w:vAlign w:val="center"/>
            <w:hideMark/>
          </w:tcPr>
          <w:p w14:paraId="1CEAC2EB"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5446D9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20,639</w:t>
            </w:r>
          </w:p>
        </w:tc>
        <w:tc>
          <w:tcPr>
            <w:tcW w:w="508" w:type="pct"/>
            <w:tcBorders>
              <w:top w:val="nil"/>
              <w:left w:val="nil"/>
              <w:bottom w:val="nil"/>
              <w:right w:val="nil"/>
            </w:tcBorders>
            <w:shd w:val="clear" w:color="000000" w:fill="F2F9FC"/>
            <w:noWrap/>
            <w:vAlign w:val="center"/>
            <w:hideMark/>
          </w:tcPr>
          <w:p w14:paraId="5D2DFB5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21,481</w:t>
            </w:r>
          </w:p>
        </w:tc>
        <w:tc>
          <w:tcPr>
            <w:tcW w:w="508" w:type="pct"/>
            <w:tcBorders>
              <w:top w:val="nil"/>
              <w:left w:val="nil"/>
              <w:bottom w:val="nil"/>
              <w:right w:val="nil"/>
            </w:tcBorders>
            <w:shd w:val="clear" w:color="000000" w:fill="FFFFFF"/>
            <w:noWrap/>
            <w:vAlign w:val="center"/>
            <w:hideMark/>
          </w:tcPr>
          <w:p w14:paraId="4811558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22,567</w:t>
            </w:r>
          </w:p>
        </w:tc>
        <w:tc>
          <w:tcPr>
            <w:tcW w:w="508" w:type="pct"/>
            <w:tcBorders>
              <w:top w:val="nil"/>
              <w:left w:val="nil"/>
              <w:bottom w:val="nil"/>
              <w:right w:val="nil"/>
            </w:tcBorders>
            <w:shd w:val="clear" w:color="000000" w:fill="FFFFFF"/>
            <w:noWrap/>
            <w:vAlign w:val="center"/>
            <w:hideMark/>
          </w:tcPr>
          <w:p w14:paraId="5C0B436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24,666</w:t>
            </w:r>
          </w:p>
        </w:tc>
        <w:tc>
          <w:tcPr>
            <w:tcW w:w="506" w:type="pct"/>
            <w:tcBorders>
              <w:top w:val="nil"/>
              <w:left w:val="nil"/>
              <w:bottom w:val="nil"/>
              <w:right w:val="nil"/>
            </w:tcBorders>
            <w:shd w:val="clear" w:color="000000" w:fill="FFFFFF"/>
            <w:noWrap/>
            <w:vAlign w:val="center"/>
            <w:hideMark/>
          </w:tcPr>
          <w:p w14:paraId="3726CAE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25,944</w:t>
            </w:r>
          </w:p>
        </w:tc>
      </w:tr>
      <w:tr w:rsidR="009E44C8" w:rsidRPr="009E44C8" w14:paraId="173A4900"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94ADAE1"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Current transfers</w:t>
            </w:r>
          </w:p>
        </w:tc>
        <w:tc>
          <w:tcPr>
            <w:tcW w:w="268" w:type="pct"/>
            <w:tcBorders>
              <w:top w:val="nil"/>
              <w:left w:val="nil"/>
              <w:bottom w:val="nil"/>
              <w:right w:val="nil"/>
            </w:tcBorders>
            <w:shd w:val="clear" w:color="000000" w:fill="FFFFFF"/>
            <w:noWrap/>
            <w:vAlign w:val="center"/>
            <w:hideMark/>
          </w:tcPr>
          <w:p w14:paraId="57BBB51D"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7200F6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03FB8B2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6417365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698D284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6" w:type="pct"/>
            <w:tcBorders>
              <w:top w:val="nil"/>
              <w:left w:val="nil"/>
              <w:bottom w:val="nil"/>
              <w:right w:val="nil"/>
            </w:tcBorders>
            <w:shd w:val="clear" w:color="000000" w:fill="FFFFFF"/>
            <w:noWrap/>
            <w:vAlign w:val="center"/>
            <w:hideMark/>
          </w:tcPr>
          <w:p w14:paraId="6750441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r>
      <w:tr w:rsidR="009E44C8" w:rsidRPr="009E44C8" w14:paraId="4A3537E1"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4E08663"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Current grants</w:t>
            </w:r>
          </w:p>
        </w:tc>
        <w:tc>
          <w:tcPr>
            <w:tcW w:w="268" w:type="pct"/>
            <w:tcBorders>
              <w:top w:val="nil"/>
              <w:left w:val="nil"/>
              <w:bottom w:val="nil"/>
              <w:right w:val="nil"/>
            </w:tcBorders>
            <w:shd w:val="clear" w:color="000000" w:fill="FFFFFF"/>
            <w:noWrap/>
            <w:vAlign w:val="center"/>
            <w:hideMark/>
          </w:tcPr>
          <w:p w14:paraId="14906586"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2938C3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188,944</w:t>
            </w:r>
          </w:p>
        </w:tc>
        <w:tc>
          <w:tcPr>
            <w:tcW w:w="508" w:type="pct"/>
            <w:tcBorders>
              <w:top w:val="nil"/>
              <w:left w:val="nil"/>
              <w:bottom w:val="nil"/>
              <w:right w:val="nil"/>
            </w:tcBorders>
            <w:shd w:val="clear" w:color="000000" w:fill="F2F9FC"/>
            <w:noWrap/>
            <w:vAlign w:val="center"/>
            <w:hideMark/>
          </w:tcPr>
          <w:p w14:paraId="7175E45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185,737</w:t>
            </w:r>
          </w:p>
        </w:tc>
        <w:tc>
          <w:tcPr>
            <w:tcW w:w="508" w:type="pct"/>
            <w:tcBorders>
              <w:top w:val="nil"/>
              <w:left w:val="nil"/>
              <w:bottom w:val="nil"/>
              <w:right w:val="nil"/>
            </w:tcBorders>
            <w:shd w:val="clear" w:color="000000" w:fill="FFFFFF"/>
            <w:noWrap/>
            <w:vAlign w:val="center"/>
            <w:hideMark/>
          </w:tcPr>
          <w:p w14:paraId="52C6458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190,903</w:t>
            </w:r>
          </w:p>
        </w:tc>
        <w:tc>
          <w:tcPr>
            <w:tcW w:w="508" w:type="pct"/>
            <w:tcBorders>
              <w:top w:val="nil"/>
              <w:left w:val="nil"/>
              <w:bottom w:val="nil"/>
              <w:right w:val="nil"/>
            </w:tcBorders>
            <w:shd w:val="clear" w:color="000000" w:fill="FFFFFF"/>
            <w:noWrap/>
            <w:vAlign w:val="center"/>
            <w:hideMark/>
          </w:tcPr>
          <w:p w14:paraId="1B6583E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196,632</w:t>
            </w:r>
          </w:p>
        </w:tc>
        <w:tc>
          <w:tcPr>
            <w:tcW w:w="506" w:type="pct"/>
            <w:tcBorders>
              <w:top w:val="nil"/>
              <w:left w:val="nil"/>
              <w:bottom w:val="nil"/>
              <w:right w:val="nil"/>
            </w:tcBorders>
            <w:shd w:val="clear" w:color="000000" w:fill="FFFFFF"/>
            <w:noWrap/>
            <w:vAlign w:val="center"/>
            <w:hideMark/>
          </w:tcPr>
          <w:p w14:paraId="2081786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199,688</w:t>
            </w:r>
          </w:p>
        </w:tc>
      </w:tr>
      <w:tr w:rsidR="009E44C8" w:rsidRPr="009E44C8" w14:paraId="224F3758"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238D32A3"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Subsidy expenses</w:t>
            </w:r>
          </w:p>
        </w:tc>
        <w:tc>
          <w:tcPr>
            <w:tcW w:w="268" w:type="pct"/>
            <w:tcBorders>
              <w:top w:val="nil"/>
              <w:left w:val="nil"/>
              <w:bottom w:val="nil"/>
              <w:right w:val="nil"/>
            </w:tcBorders>
            <w:shd w:val="clear" w:color="000000" w:fill="FFFFFF"/>
            <w:noWrap/>
            <w:vAlign w:val="center"/>
            <w:hideMark/>
          </w:tcPr>
          <w:p w14:paraId="7ADC4E6F"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0B9F38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18,017</w:t>
            </w:r>
          </w:p>
        </w:tc>
        <w:tc>
          <w:tcPr>
            <w:tcW w:w="508" w:type="pct"/>
            <w:tcBorders>
              <w:top w:val="nil"/>
              <w:left w:val="nil"/>
              <w:bottom w:val="nil"/>
              <w:right w:val="nil"/>
            </w:tcBorders>
            <w:shd w:val="clear" w:color="000000" w:fill="F2F9FC"/>
            <w:noWrap/>
            <w:vAlign w:val="center"/>
            <w:hideMark/>
          </w:tcPr>
          <w:p w14:paraId="28BF8D6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15,890</w:t>
            </w:r>
          </w:p>
        </w:tc>
        <w:tc>
          <w:tcPr>
            <w:tcW w:w="508" w:type="pct"/>
            <w:tcBorders>
              <w:top w:val="nil"/>
              <w:left w:val="nil"/>
              <w:bottom w:val="nil"/>
              <w:right w:val="nil"/>
            </w:tcBorders>
            <w:shd w:val="clear" w:color="000000" w:fill="FFFFFF"/>
            <w:noWrap/>
            <w:vAlign w:val="center"/>
            <w:hideMark/>
          </w:tcPr>
          <w:p w14:paraId="579FA34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16,069</w:t>
            </w:r>
          </w:p>
        </w:tc>
        <w:tc>
          <w:tcPr>
            <w:tcW w:w="508" w:type="pct"/>
            <w:tcBorders>
              <w:top w:val="nil"/>
              <w:left w:val="nil"/>
              <w:bottom w:val="nil"/>
              <w:right w:val="nil"/>
            </w:tcBorders>
            <w:shd w:val="clear" w:color="000000" w:fill="FFFFFF"/>
            <w:noWrap/>
            <w:vAlign w:val="center"/>
            <w:hideMark/>
          </w:tcPr>
          <w:p w14:paraId="2247708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16,680</w:t>
            </w:r>
          </w:p>
        </w:tc>
        <w:tc>
          <w:tcPr>
            <w:tcW w:w="506" w:type="pct"/>
            <w:tcBorders>
              <w:top w:val="nil"/>
              <w:left w:val="nil"/>
              <w:bottom w:val="nil"/>
              <w:right w:val="nil"/>
            </w:tcBorders>
            <w:shd w:val="clear" w:color="000000" w:fill="FFFFFF"/>
            <w:noWrap/>
            <w:vAlign w:val="center"/>
            <w:hideMark/>
          </w:tcPr>
          <w:p w14:paraId="29B4921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17,204</w:t>
            </w:r>
          </w:p>
        </w:tc>
      </w:tr>
      <w:tr w:rsidR="009E44C8" w:rsidRPr="009E44C8" w14:paraId="0AD83FB1"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A3F8A73"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Personal benefits</w:t>
            </w:r>
          </w:p>
        </w:tc>
        <w:tc>
          <w:tcPr>
            <w:tcW w:w="268" w:type="pct"/>
            <w:tcBorders>
              <w:top w:val="nil"/>
              <w:left w:val="nil"/>
              <w:bottom w:val="nil"/>
              <w:right w:val="nil"/>
            </w:tcBorders>
            <w:shd w:val="clear" w:color="000000" w:fill="FFFFFF"/>
            <w:noWrap/>
            <w:vAlign w:val="center"/>
            <w:hideMark/>
          </w:tcPr>
          <w:p w14:paraId="02AF3A8B"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1765950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156,498</w:t>
            </w:r>
          </w:p>
        </w:tc>
        <w:tc>
          <w:tcPr>
            <w:tcW w:w="508" w:type="pct"/>
            <w:tcBorders>
              <w:top w:val="nil"/>
              <w:left w:val="nil"/>
              <w:bottom w:val="nil"/>
              <w:right w:val="nil"/>
            </w:tcBorders>
            <w:shd w:val="clear" w:color="000000" w:fill="F2F9FC"/>
            <w:noWrap/>
            <w:vAlign w:val="center"/>
            <w:hideMark/>
          </w:tcPr>
          <w:p w14:paraId="2F12FFA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141,916</w:t>
            </w:r>
          </w:p>
        </w:tc>
        <w:tc>
          <w:tcPr>
            <w:tcW w:w="508" w:type="pct"/>
            <w:tcBorders>
              <w:top w:val="nil"/>
              <w:left w:val="nil"/>
              <w:bottom w:val="nil"/>
              <w:right w:val="nil"/>
            </w:tcBorders>
            <w:shd w:val="clear" w:color="000000" w:fill="FFFFFF"/>
            <w:noWrap/>
            <w:vAlign w:val="center"/>
            <w:hideMark/>
          </w:tcPr>
          <w:p w14:paraId="06E7109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149,752</w:t>
            </w:r>
          </w:p>
        </w:tc>
        <w:tc>
          <w:tcPr>
            <w:tcW w:w="508" w:type="pct"/>
            <w:tcBorders>
              <w:top w:val="nil"/>
              <w:left w:val="nil"/>
              <w:bottom w:val="nil"/>
              <w:right w:val="nil"/>
            </w:tcBorders>
            <w:shd w:val="clear" w:color="000000" w:fill="FFFFFF"/>
            <w:noWrap/>
            <w:vAlign w:val="center"/>
            <w:hideMark/>
          </w:tcPr>
          <w:p w14:paraId="6974906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157,270</w:t>
            </w:r>
          </w:p>
        </w:tc>
        <w:tc>
          <w:tcPr>
            <w:tcW w:w="506" w:type="pct"/>
            <w:tcBorders>
              <w:top w:val="nil"/>
              <w:left w:val="nil"/>
              <w:bottom w:val="nil"/>
              <w:right w:val="nil"/>
            </w:tcBorders>
            <w:shd w:val="clear" w:color="000000" w:fill="FFFFFF"/>
            <w:noWrap/>
            <w:vAlign w:val="center"/>
            <w:hideMark/>
          </w:tcPr>
          <w:p w14:paraId="37D3A81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169,583</w:t>
            </w:r>
          </w:p>
        </w:tc>
      </w:tr>
      <w:tr w:rsidR="009E44C8" w:rsidRPr="009E44C8" w14:paraId="295F3C2F"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23BF1DA7" w14:textId="77777777" w:rsidR="009E44C8" w:rsidRPr="0034104B" w:rsidRDefault="009E44C8" w:rsidP="0034104B">
            <w:pPr>
              <w:spacing w:after="0" w:line="240" w:lineRule="auto"/>
              <w:jc w:val="left"/>
              <w:rPr>
                <w:rFonts w:ascii="Arial" w:hAnsi="Arial" w:cs="Arial"/>
                <w:i/>
                <w:iCs/>
                <w:color w:val="000000"/>
                <w:sz w:val="16"/>
                <w:szCs w:val="16"/>
              </w:rPr>
            </w:pPr>
            <w:r w:rsidRPr="0034104B">
              <w:rPr>
                <w:rFonts w:ascii="Arial" w:hAnsi="Arial" w:cs="Arial"/>
                <w:i/>
                <w:iCs/>
                <w:color w:val="000000"/>
                <w:sz w:val="16"/>
                <w:szCs w:val="16"/>
              </w:rPr>
              <w:t>Total current transfers</w:t>
            </w:r>
          </w:p>
        </w:tc>
        <w:tc>
          <w:tcPr>
            <w:tcW w:w="268" w:type="pct"/>
            <w:tcBorders>
              <w:top w:val="nil"/>
              <w:left w:val="nil"/>
              <w:bottom w:val="nil"/>
              <w:right w:val="nil"/>
            </w:tcBorders>
            <w:shd w:val="clear" w:color="000000" w:fill="FFFFFF"/>
            <w:noWrap/>
            <w:vAlign w:val="center"/>
            <w:hideMark/>
          </w:tcPr>
          <w:p w14:paraId="75E14D2E" w14:textId="77777777" w:rsidR="009E44C8" w:rsidRPr="0034104B" w:rsidRDefault="009E44C8" w:rsidP="0034104B">
            <w:pPr>
              <w:spacing w:after="0" w:line="240" w:lineRule="auto"/>
              <w:jc w:val="center"/>
              <w:rPr>
                <w:rFonts w:ascii="Arial" w:hAnsi="Arial" w:cs="Arial"/>
                <w:i/>
                <w:iCs/>
                <w:color w:val="000000"/>
                <w:sz w:val="16"/>
                <w:szCs w:val="16"/>
              </w:rPr>
            </w:pPr>
            <w:r w:rsidRPr="0034104B">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5F5AE2C8"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363,459</w:t>
            </w:r>
          </w:p>
        </w:tc>
        <w:tc>
          <w:tcPr>
            <w:tcW w:w="508" w:type="pct"/>
            <w:tcBorders>
              <w:top w:val="nil"/>
              <w:left w:val="nil"/>
              <w:bottom w:val="nil"/>
              <w:right w:val="nil"/>
            </w:tcBorders>
            <w:shd w:val="clear" w:color="000000" w:fill="F2F9FC"/>
            <w:noWrap/>
            <w:vAlign w:val="center"/>
            <w:hideMark/>
          </w:tcPr>
          <w:p w14:paraId="3CBB0346"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343,543</w:t>
            </w:r>
          </w:p>
        </w:tc>
        <w:tc>
          <w:tcPr>
            <w:tcW w:w="508" w:type="pct"/>
            <w:tcBorders>
              <w:top w:val="nil"/>
              <w:left w:val="nil"/>
              <w:bottom w:val="nil"/>
              <w:right w:val="nil"/>
            </w:tcBorders>
            <w:shd w:val="clear" w:color="000000" w:fill="FFFFFF"/>
            <w:noWrap/>
            <w:vAlign w:val="center"/>
            <w:hideMark/>
          </w:tcPr>
          <w:p w14:paraId="6D796E7E"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356,724</w:t>
            </w:r>
          </w:p>
        </w:tc>
        <w:tc>
          <w:tcPr>
            <w:tcW w:w="508" w:type="pct"/>
            <w:tcBorders>
              <w:top w:val="nil"/>
              <w:left w:val="nil"/>
              <w:bottom w:val="nil"/>
              <w:right w:val="nil"/>
            </w:tcBorders>
            <w:shd w:val="clear" w:color="000000" w:fill="FFFFFF"/>
            <w:noWrap/>
            <w:vAlign w:val="center"/>
            <w:hideMark/>
          </w:tcPr>
          <w:p w14:paraId="6690BE59"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370,582</w:t>
            </w:r>
          </w:p>
        </w:tc>
        <w:tc>
          <w:tcPr>
            <w:tcW w:w="506" w:type="pct"/>
            <w:tcBorders>
              <w:top w:val="nil"/>
              <w:left w:val="nil"/>
              <w:bottom w:val="nil"/>
              <w:right w:val="nil"/>
            </w:tcBorders>
            <w:shd w:val="clear" w:color="000000" w:fill="FFFFFF"/>
            <w:noWrap/>
            <w:vAlign w:val="center"/>
            <w:hideMark/>
          </w:tcPr>
          <w:p w14:paraId="59E34FCC"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386,474</w:t>
            </w:r>
          </w:p>
        </w:tc>
      </w:tr>
      <w:tr w:rsidR="009E44C8" w:rsidRPr="009E44C8" w14:paraId="6A9F3DF6"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11E0807" w14:textId="77777777" w:rsidR="009E44C8" w:rsidRPr="0034104B" w:rsidRDefault="009E44C8" w:rsidP="0034104B">
            <w:pPr>
              <w:spacing w:after="0" w:line="240" w:lineRule="auto"/>
              <w:jc w:val="left"/>
              <w:rPr>
                <w:rFonts w:ascii="Arial" w:hAnsi="Arial" w:cs="Arial"/>
                <w:color w:val="000000"/>
                <w:sz w:val="16"/>
                <w:szCs w:val="16"/>
              </w:rPr>
            </w:pPr>
            <w:r w:rsidRPr="0034104B">
              <w:rPr>
                <w:rFonts w:ascii="Arial" w:hAnsi="Arial" w:cs="Arial"/>
                <w:color w:val="000000"/>
                <w:sz w:val="16"/>
                <w:szCs w:val="16"/>
              </w:rPr>
              <w:t>Capital transfers</w:t>
            </w:r>
          </w:p>
        </w:tc>
        <w:tc>
          <w:tcPr>
            <w:tcW w:w="268" w:type="pct"/>
            <w:tcBorders>
              <w:top w:val="nil"/>
              <w:left w:val="nil"/>
              <w:bottom w:val="nil"/>
              <w:right w:val="nil"/>
            </w:tcBorders>
            <w:shd w:val="clear" w:color="000000" w:fill="FFFFFF"/>
            <w:noWrap/>
            <w:vAlign w:val="center"/>
            <w:hideMark/>
          </w:tcPr>
          <w:p w14:paraId="3826CFCF"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3FF004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28BA99F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19B110A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38D825B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6" w:type="pct"/>
            <w:tcBorders>
              <w:top w:val="nil"/>
              <w:left w:val="nil"/>
              <w:bottom w:val="nil"/>
              <w:right w:val="nil"/>
            </w:tcBorders>
            <w:shd w:val="clear" w:color="000000" w:fill="FFFFFF"/>
            <w:noWrap/>
            <w:vAlign w:val="center"/>
            <w:hideMark/>
          </w:tcPr>
          <w:p w14:paraId="572CAC6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r>
      <w:tr w:rsidR="009E44C8" w:rsidRPr="009E44C8" w14:paraId="1FC3CB5E"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7360069D" w14:textId="64836E3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Mutually agreed write</w:t>
            </w:r>
            <w:r w:rsidR="00660645">
              <w:rPr>
                <w:rFonts w:ascii="Arial" w:hAnsi="Arial" w:cs="Arial"/>
                <w:color w:val="000000"/>
                <w:sz w:val="16"/>
                <w:szCs w:val="16"/>
              </w:rPr>
              <w:noBreakHyphen/>
            </w:r>
            <w:r w:rsidRPr="0034104B">
              <w:rPr>
                <w:rFonts w:ascii="Arial" w:hAnsi="Arial" w:cs="Arial"/>
                <w:color w:val="000000"/>
                <w:sz w:val="16"/>
                <w:szCs w:val="16"/>
              </w:rPr>
              <w:t>downs</w:t>
            </w:r>
          </w:p>
        </w:tc>
        <w:tc>
          <w:tcPr>
            <w:tcW w:w="268" w:type="pct"/>
            <w:tcBorders>
              <w:top w:val="nil"/>
              <w:left w:val="nil"/>
              <w:bottom w:val="nil"/>
              <w:right w:val="nil"/>
            </w:tcBorders>
            <w:shd w:val="clear" w:color="000000" w:fill="FFFFFF"/>
            <w:noWrap/>
            <w:vAlign w:val="center"/>
            <w:hideMark/>
          </w:tcPr>
          <w:p w14:paraId="45EAA773"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626CEB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2,768</w:t>
            </w:r>
          </w:p>
        </w:tc>
        <w:tc>
          <w:tcPr>
            <w:tcW w:w="508" w:type="pct"/>
            <w:tcBorders>
              <w:top w:val="nil"/>
              <w:left w:val="nil"/>
              <w:bottom w:val="nil"/>
              <w:right w:val="nil"/>
            </w:tcBorders>
            <w:shd w:val="clear" w:color="000000" w:fill="F2F9FC"/>
            <w:noWrap/>
            <w:vAlign w:val="center"/>
            <w:hideMark/>
          </w:tcPr>
          <w:p w14:paraId="29D4A6C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2,915</w:t>
            </w:r>
          </w:p>
        </w:tc>
        <w:tc>
          <w:tcPr>
            <w:tcW w:w="508" w:type="pct"/>
            <w:tcBorders>
              <w:top w:val="nil"/>
              <w:left w:val="nil"/>
              <w:bottom w:val="nil"/>
              <w:right w:val="nil"/>
            </w:tcBorders>
            <w:shd w:val="clear" w:color="000000" w:fill="FFFFFF"/>
            <w:noWrap/>
            <w:vAlign w:val="center"/>
            <w:hideMark/>
          </w:tcPr>
          <w:p w14:paraId="5E0E325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3,130</w:t>
            </w:r>
          </w:p>
        </w:tc>
        <w:tc>
          <w:tcPr>
            <w:tcW w:w="508" w:type="pct"/>
            <w:tcBorders>
              <w:top w:val="nil"/>
              <w:left w:val="nil"/>
              <w:bottom w:val="nil"/>
              <w:right w:val="nil"/>
            </w:tcBorders>
            <w:shd w:val="clear" w:color="000000" w:fill="FFFFFF"/>
            <w:noWrap/>
            <w:vAlign w:val="center"/>
            <w:hideMark/>
          </w:tcPr>
          <w:p w14:paraId="61AF54C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3,319</w:t>
            </w:r>
          </w:p>
        </w:tc>
        <w:tc>
          <w:tcPr>
            <w:tcW w:w="506" w:type="pct"/>
            <w:tcBorders>
              <w:top w:val="nil"/>
              <w:left w:val="nil"/>
              <w:bottom w:val="nil"/>
              <w:right w:val="nil"/>
            </w:tcBorders>
            <w:shd w:val="clear" w:color="000000" w:fill="FFFFFF"/>
            <w:noWrap/>
            <w:vAlign w:val="center"/>
            <w:hideMark/>
          </w:tcPr>
          <w:p w14:paraId="1E554B1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3,459</w:t>
            </w:r>
          </w:p>
        </w:tc>
      </w:tr>
      <w:tr w:rsidR="009E44C8" w:rsidRPr="009E44C8" w14:paraId="7E73BF52"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6F6F54B6"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Other capital grants</w:t>
            </w:r>
          </w:p>
        </w:tc>
        <w:tc>
          <w:tcPr>
            <w:tcW w:w="268" w:type="pct"/>
            <w:tcBorders>
              <w:top w:val="nil"/>
              <w:left w:val="nil"/>
              <w:bottom w:val="nil"/>
              <w:right w:val="nil"/>
            </w:tcBorders>
            <w:shd w:val="clear" w:color="000000" w:fill="FFFFFF"/>
            <w:noWrap/>
            <w:vAlign w:val="center"/>
            <w:hideMark/>
          </w:tcPr>
          <w:p w14:paraId="1D11B9EA"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C15F9C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20,745</w:t>
            </w:r>
          </w:p>
        </w:tc>
        <w:tc>
          <w:tcPr>
            <w:tcW w:w="508" w:type="pct"/>
            <w:tcBorders>
              <w:top w:val="nil"/>
              <w:left w:val="nil"/>
              <w:bottom w:val="nil"/>
              <w:right w:val="nil"/>
            </w:tcBorders>
            <w:shd w:val="clear" w:color="000000" w:fill="F2F9FC"/>
            <w:noWrap/>
            <w:vAlign w:val="center"/>
            <w:hideMark/>
          </w:tcPr>
          <w:p w14:paraId="021C5B3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22,457</w:t>
            </w:r>
          </w:p>
        </w:tc>
        <w:tc>
          <w:tcPr>
            <w:tcW w:w="508" w:type="pct"/>
            <w:tcBorders>
              <w:top w:val="nil"/>
              <w:left w:val="nil"/>
              <w:bottom w:val="nil"/>
              <w:right w:val="nil"/>
            </w:tcBorders>
            <w:shd w:val="clear" w:color="000000" w:fill="FFFFFF"/>
            <w:noWrap/>
            <w:vAlign w:val="center"/>
            <w:hideMark/>
          </w:tcPr>
          <w:p w14:paraId="14E3A2CC"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23,118</w:t>
            </w:r>
          </w:p>
        </w:tc>
        <w:tc>
          <w:tcPr>
            <w:tcW w:w="508" w:type="pct"/>
            <w:tcBorders>
              <w:top w:val="nil"/>
              <w:left w:val="nil"/>
              <w:bottom w:val="nil"/>
              <w:right w:val="nil"/>
            </w:tcBorders>
            <w:shd w:val="clear" w:color="000000" w:fill="FFFFFF"/>
            <w:noWrap/>
            <w:vAlign w:val="center"/>
            <w:hideMark/>
          </w:tcPr>
          <w:p w14:paraId="7BE93BD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19,930</w:t>
            </w:r>
          </w:p>
        </w:tc>
        <w:tc>
          <w:tcPr>
            <w:tcW w:w="506" w:type="pct"/>
            <w:tcBorders>
              <w:top w:val="nil"/>
              <w:left w:val="nil"/>
              <w:bottom w:val="nil"/>
              <w:right w:val="nil"/>
            </w:tcBorders>
            <w:shd w:val="clear" w:color="000000" w:fill="FFFFFF"/>
            <w:noWrap/>
            <w:vAlign w:val="center"/>
            <w:hideMark/>
          </w:tcPr>
          <w:p w14:paraId="3DA9556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13,500</w:t>
            </w:r>
          </w:p>
        </w:tc>
      </w:tr>
      <w:tr w:rsidR="009E44C8" w:rsidRPr="009E44C8" w14:paraId="27BA0F9A"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0CE2E227" w14:textId="77777777" w:rsidR="009E44C8" w:rsidRPr="0034104B" w:rsidRDefault="009E44C8" w:rsidP="0034104B">
            <w:pPr>
              <w:spacing w:after="0" w:line="240" w:lineRule="auto"/>
              <w:jc w:val="left"/>
              <w:rPr>
                <w:rFonts w:ascii="Arial" w:hAnsi="Arial" w:cs="Arial"/>
                <w:i/>
                <w:iCs/>
                <w:color w:val="000000"/>
                <w:sz w:val="16"/>
                <w:szCs w:val="16"/>
              </w:rPr>
            </w:pPr>
            <w:r w:rsidRPr="0034104B">
              <w:rPr>
                <w:rFonts w:ascii="Arial" w:hAnsi="Arial" w:cs="Arial"/>
                <w:i/>
                <w:iCs/>
                <w:color w:val="000000"/>
                <w:sz w:val="16"/>
                <w:szCs w:val="16"/>
              </w:rPr>
              <w:t>Total capital transfers</w:t>
            </w:r>
          </w:p>
        </w:tc>
        <w:tc>
          <w:tcPr>
            <w:tcW w:w="268" w:type="pct"/>
            <w:tcBorders>
              <w:top w:val="nil"/>
              <w:left w:val="nil"/>
              <w:bottom w:val="nil"/>
              <w:right w:val="nil"/>
            </w:tcBorders>
            <w:shd w:val="clear" w:color="000000" w:fill="FFFFFF"/>
            <w:noWrap/>
            <w:vAlign w:val="center"/>
            <w:hideMark/>
          </w:tcPr>
          <w:p w14:paraId="770A9E4C"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D67C949"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23,513</w:t>
            </w:r>
          </w:p>
        </w:tc>
        <w:tc>
          <w:tcPr>
            <w:tcW w:w="508" w:type="pct"/>
            <w:tcBorders>
              <w:top w:val="nil"/>
              <w:left w:val="nil"/>
              <w:bottom w:val="nil"/>
              <w:right w:val="nil"/>
            </w:tcBorders>
            <w:shd w:val="clear" w:color="000000" w:fill="F2F9FC"/>
            <w:noWrap/>
            <w:vAlign w:val="center"/>
            <w:hideMark/>
          </w:tcPr>
          <w:p w14:paraId="41A1E324"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25,372</w:t>
            </w:r>
          </w:p>
        </w:tc>
        <w:tc>
          <w:tcPr>
            <w:tcW w:w="508" w:type="pct"/>
            <w:tcBorders>
              <w:top w:val="nil"/>
              <w:left w:val="nil"/>
              <w:bottom w:val="nil"/>
              <w:right w:val="nil"/>
            </w:tcBorders>
            <w:shd w:val="clear" w:color="000000" w:fill="FFFFFF"/>
            <w:noWrap/>
            <w:vAlign w:val="center"/>
            <w:hideMark/>
          </w:tcPr>
          <w:p w14:paraId="7A93AC06"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26,248</w:t>
            </w:r>
          </w:p>
        </w:tc>
        <w:tc>
          <w:tcPr>
            <w:tcW w:w="508" w:type="pct"/>
            <w:tcBorders>
              <w:top w:val="nil"/>
              <w:left w:val="nil"/>
              <w:bottom w:val="nil"/>
              <w:right w:val="nil"/>
            </w:tcBorders>
            <w:shd w:val="clear" w:color="000000" w:fill="FFFFFF"/>
            <w:noWrap/>
            <w:vAlign w:val="center"/>
            <w:hideMark/>
          </w:tcPr>
          <w:p w14:paraId="0E3B5B1E"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23,249</w:t>
            </w:r>
          </w:p>
        </w:tc>
        <w:tc>
          <w:tcPr>
            <w:tcW w:w="506" w:type="pct"/>
            <w:tcBorders>
              <w:top w:val="nil"/>
              <w:left w:val="nil"/>
              <w:bottom w:val="nil"/>
              <w:right w:val="nil"/>
            </w:tcBorders>
            <w:shd w:val="clear" w:color="000000" w:fill="FFFFFF"/>
            <w:noWrap/>
            <w:vAlign w:val="center"/>
            <w:hideMark/>
          </w:tcPr>
          <w:p w14:paraId="162347F9" w14:textId="77777777" w:rsidR="009E44C8" w:rsidRPr="0034104B" w:rsidRDefault="009E44C8" w:rsidP="0034104B">
            <w:pPr>
              <w:spacing w:after="0" w:line="240" w:lineRule="auto"/>
              <w:jc w:val="right"/>
              <w:rPr>
                <w:rFonts w:ascii="Arial" w:hAnsi="Arial" w:cs="Arial"/>
                <w:i/>
                <w:iCs/>
                <w:color w:val="000000"/>
                <w:sz w:val="16"/>
                <w:szCs w:val="16"/>
              </w:rPr>
            </w:pPr>
            <w:r w:rsidRPr="0034104B">
              <w:rPr>
                <w:rFonts w:ascii="Arial" w:hAnsi="Arial" w:cs="Arial"/>
                <w:i/>
                <w:iCs/>
                <w:color w:val="000000"/>
                <w:sz w:val="16"/>
                <w:szCs w:val="16"/>
              </w:rPr>
              <w:t>16,958</w:t>
            </w:r>
          </w:p>
        </w:tc>
      </w:tr>
      <w:tr w:rsidR="009E44C8" w:rsidRPr="009E44C8" w14:paraId="17F60BA7"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4D9B27A0"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Total expenses</w:t>
            </w:r>
          </w:p>
        </w:tc>
        <w:tc>
          <w:tcPr>
            <w:tcW w:w="268" w:type="pct"/>
            <w:tcBorders>
              <w:top w:val="nil"/>
              <w:left w:val="nil"/>
              <w:bottom w:val="nil"/>
              <w:right w:val="nil"/>
            </w:tcBorders>
            <w:shd w:val="clear" w:color="000000" w:fill="FFFFFF"/>
            <w:noWrap/>
            <w:vAlign w:val="center"/>
            <w:hideMark/>
          </w:tcPr>
          <w:p w14:paraId="544C1451"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5B4568C"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640,014</w:t>
            </w:r>
          </w:p>
        </w:tc>
        <w:tc>
          <w:tcPr>
            <w:tcW w:w="508" w:type="pct"/>
            <w:tcBorders>
              <w:top w:val="nil"/>
              <w:left w:val="nil"/>
              <w:bottom w:val="nil"/>
              <w:right w:val="nil"/>
            </w:tcBorders>
            <w:shd w:val="clear" w:color="000000" w:fill="F2F9FC"/>
            <w:noWrap/>
            <w:vAlign w:val="center"/>
            <w:hideMark/>
          </w:tcPr>
          <w:p w14:paraId="7268FAA5"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629,078</w:t>
            </w:r>
          </w:p>
        </w:tc>
        <w:tc>
          <w:tcPr>
            <w:tcW w:w="508" w:type="pct"/>
            <w:tcBorders>
              <w:top w:val="nil"/>
              <w:left w:val="nil"/>
              <w:bottom w:val="nil"/>
              <w:right w:val="nil"/>
            </w:tcBorders>
            <w:shd w:val="clear" w:color="000000" w:fill="FFFFFF"/>
            <w:noWrap/>
            <w:vAlign w:val="center"/>
            <w:hideMark/>
          </w:tcPr>
          <w:p w14:paraId="40647837"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643,795</w:t>
            </w:r>
          </w:p>
        </w:tc>
        <w:tc>
          <w:tcPr>
            <w:tcW w:w="508" w:type="pct"/>
            <w:tcBorders>
              <w:top w:val="nil"/>
              <w:left w:val="nil"/>
              <w:bottom w:val="nil"/>
              <w:right w:val="nil"/>
            </w:tcBorders>
            <w:shd w:val="clear" w:color="000000" w:fill="FFFFFF"/>
            <w:noWrap/>
            <w:vAlign w:val="center"/>
            <w:hideMark/>
          </w:tcPr>
          <w:p w14:paraId="69649B96"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665,306</w:t>
            </w:r>
          </w:p>
        </w:tc>
        <w:tc>
          <w:tcPr>
            <w:tcW w:w="506" w:type="pct"/>
            <w:tcBorders>
              <w:top w:val="nil"/>
              <w:left w:val="nil"/>
              <w:bottom w:val="nil"/>
              <w:right w:val="nil"/>
            </w:tcBorders>
            <w:shd w:val="clear" w:color="000000" w:fill="FFFFFF"/>
            <w:noWrap/>
            <w:vAlign w:val="center"/>
            <w:hideMark/>
          </w:tcPr>
          <w:p w14:paraId="53B1BFE1"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686,710</w:t>
            </w:r>
          </w:p>
        </w:tc>
      </w:tr>
      <w:tr w:rsidR="009E44C8" w:rsidRPr="009E44C8" w14:paraId="471D74E5" w14:textId="77777777" w:rsidTr="007241DE">
        <w:trPr>
          <w:trHeight w:hRule="exact" w:val="225"/>
        </w:trPr>
        <w:tc>
          <w:tcPr>
            <w:tcW w:w="2194" w:type="pct"/>
            <w:tcBorders>
              <w:top w:val="nil"/>
              <w:left w:val="nil"/>
              <w:bottom w:val="nil"/>
              <w:right w:val="nil"/>
            </w:tcBorders>
            <w:shd w:val="clear" w:color="000000" w:fill="FFFFFF"/>
            <w:noWrap/>
            <w:vAlign w:val="center"/>
            <w:hideMark/>
          </w:tcPr>
          <w:p w14:paraId="51B2D8EE"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553903B8"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7507AD8" w14:textId="1BB1FFEB"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73,407</w:t>
            </w:r>
          </w:p>
        </w:tc>
        <w:tc>
          <w:tcPr>
            <w:tcW w:w="508" w:type="pct"/>
            <w:tcBorders>
              <w:top w:val="nil"/>
              <w:left w:val="nil"/>
              <w:bottom w:val="nil"/>
              <w:right w:val="nil"/>
            </w:tcBorders>
            <w:shd w:val="clear" w:color="000000" w:fill="F2F9FC"/>
            <w:noWrap/>
            <w:vAlign w:val="center"/>
            <w:hideMark/>
          </w:tcPr>
          <w:p w14:paraId="35857182" w14:textId="00A077A8"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67,230</w:t>
            </w:r>
          </w:p>
        </w:tc>
        <w:tc>
          <w:tcPr>
            <w:tcW w:w="508" w:type="pct"/>
            <w:tcBorders>
              <w:top w:val="nil"/>
              <w:left w:val="nil"/>
              <w:bottom w:val="nil"/>
              <w:right w:val="nil"/>
            </w:tcBorders>
            <w:shd w:val="clear" w:color="000000" w:fill="FFFFFF"/>
            <w:noWrap/>
            <w:vAlign w:val="center"/>
            <w:hideMark/>
          </w:tcPr>
          <w:p w14:paraId="5B60552D" w14:textId="5493CC10"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48,154</w:t>
            </w:r>
          </w:p>
        </w:tc>
        <w:tc>
          <w:tcPr>
            <w:tcW w:w="508" w:type="pct"/>
            <w:tcBorders>
              <w:top w:val="nil"/>
              <w:left w:val="nil"/>
              <w:bottom w:val="nil"/>
              <w:right w:val="nil"/>
            </w:tcBorders>
            <w:shd w:val="clear" w:color="000000" w:fill="FFFFFF"/>
            <w:noWrap/>
            <w:vAlign w:val="center"/>
            <w:hideMark/>
          </w:tcPr>
          <w:p w14:paraId="19B08E18" w14:textId="70CE67E7"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43,619</w:t>
            </w:r>
          </w:p>
        </w:tc>
        <w:tc>
          <w:tcPr>
            <w:tcW w:w="506" w:type="pct"/>
            <w:tcBorders>
              <w:top w:val="nil"/>
              <w:left w:val="nil"/>
              <w:bottom w:val="nil"/>
              <w:right w:val="nil"/>
            </w:tcBorders>
            <w:shd w:val="clear" w:color="000000" w:fill="FFFFFF"/>
            <w:noWrap/>
            <w:vAlign w:val="center"/>
            <w:hideMark/>
          </w:tcPr>
          <w:p w14:paraId="2547F408" w14:textId="57341B4E"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31,477</w:t>
            </w:r>
          </w:p>
        </w:tc>
      </w:tr>
      <w:tr w:rsidR="009E44C8" w:rsidRPr="009E44C8" w14:paraId="4DC9CEEF" w14:textId="77777777" w:rsidTr="007241DE">
        <w:trPr>
          <w:trHeight w:hRule="exact" w:val="225"/>
        </w:trPr>
        <w:tc>
          <w:tcPr>
            <w:tcW w:w="2194" w:type="pct"/>
            <w:tcBorders>
              <w:top w:val="nil"/>
              <w:left w:val="nil"/>
              <w:bottom w:val="nil"/>
              <w:right w:val="nil"/>
            </w:tcBorders>
            <w:shd w:val="clear" w:color="000000" w:fill="FFFFFF"/>
            <w:vAlign w:val="center"/>
            <w:hideMark/>
          </w:tcPr>
          <w:p w14:paraId="566ADE31"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 xml:space="preserve">Other economic flows – </w:t>
            </w:r>
          </w:p>
        </w:tc>
        <w:tc>
          <w:tcPr>
            <w:tcW w:w="268" w:type="pct"/>
            <w:tcBorders>
              <w:top w:val="nil"/>
              <w:left w:val="nil"/>
              <w:bottom w:val="nil"/>
              <w:right w:val="nil"/>
            </w:tcBorders>
            <w:shd w:val="clear" w:color="000000" w:fill="FFFFFF"/>
            <w:noWrap/>
            <w:vAlign w:val="center"/>
            <w:hideMark/>
          </w:tcPr>
          <w:p w14:paraId="5CDAE62D"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54BD2729"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77942F6D"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0AEC5925"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28248D53"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6" w:type="pct"/>
            <w:tcBorders>
              <w:top w:val="nil"/>
              <w:left w:val="nil"/>
              <w:bottom w:val="nil"/>
              <w:right w:val="nil"/>
            </w:tcBorders>
            <w:shd w:val="clear" w:color="000000" w:fill="FFFFFF"/>
            <w:noWrap/>
            <w:vAlign w:val="center"/>
            <w:hideMark/>
          </w:tcPr>
          <w:p w14:paraId="1D4E7B6D"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r>
      <w:tr w:rsidR="009E44C8" w:rsidRPr="009E44C8" w14:paraId="50FF0293" w14:textId="77777777" w:rsidTr="007241DE">
        <w:trPr>
          <w:trHeight w:hRule="exact" w:val="225"/>
        </w:trPr>
        <w:tc>
          <w:tcPr>
            <w:tcW w:w="2194" w:type="pct"/>
            <w:tcBorders>
              <w:top w:val="nil"/>
              <w:left w:val="nil"/>
              <w:bottom w:val="nil"/>
              <w:right w:val="nil"/>
            </w:tcBorders>
            <w:shd w:val="clear" w:color="000000" w:fill="FFFFFF"/>
            <w:vAlign w:val="center"/>
            <w:hideMark/>
          </w:tcPr>
          <w:p w14:paraId="7EE92558" w14:textId="77777777" w:rsidR="009E44C8" w:rsidRPr="0034104B" w:rsidRDefault="009E44C8" w:rsidP="0034104B">
            <w:pPr>
              <w:spacing w:after="0" w:line="240" w:lineRule="auto"/>
              <w:ind w:left="170"/>
              <w:jc w:val="left"/>
              <w:rPr>
                <w:rFonts w:ascii="Arial" w:hAnsi="Arial" w:cs="Arial"/>
                <w:b/>
                <w:bCs/>
                <w:color w:val="000000"/>
                <w:sz w:val="16"/>
                <w:szCs w:val="16"/>
              </w:rPr>
            </w:pPr>
            <w:r w:rsidRPr="0034104B">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514A9615"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356C79DF"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1D8C3C7A"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27F8CD58"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0EEA6537"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c>
          <w:tcPr>
            <w:tcW w:w="506" w:type="pct"/>
            <w:tcBorders>
              <w:top w:val="nil"/>
              <w:left w:val="nil"/>
              <w:bottom w:val="nil"/>
              <w:right w:val="nil"/>
            </w:tcBorders>
            <w:shd w:val="clear" w:color="000000" w:fill="FFFFFF"/>
            <w:noWrap/>
            <w:vAlign w:val="center"/>
            <w:hideMark/>
          </w:tcPr>
          <w:p w14:paraId="5139A3F4"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 </w:t>
            </w:r>
          </w:p>
        </w:tc>
      </w:tr>
      <w:tr w:rsidR="009E44C8" w:rsidRPr="009E44C8" w14:paraId="0DC708A7" w14:textId="77777777" w:rsidTr="007241DE">
        <w:trPr>
          <w:trHeight w:hRule="exact" w:val="225"/>
        </w:trPr>
        <w:tc>
          <w:tcPr>
            <w:tcW w:w="2194" w:type="pct"/>
            <w:tcBorders>
              <w:top w:val="nil"/>
              <w:left w:val="nil"/>
              <w:bottom w:val="nil"/>
              <w:right w:val="nil"/>
            </w:tcBorders>
            <w:shd w:val="clear" w:color="000000" w:fill="FFFFFF"/>
            <w:vAlign w:val="center"/>
            <w:hideMark/>
          </w:tcPr>
          <w:p w14:paraId="44D0C18D" w14:textId="2D463A0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Net write</w:t>
            </w:r>
            <w:r w:rsidR="00660645">
              <w:rPr>
                <w:rFonts w:ascii="Arial" w:hAnsi="Arial" w:cs="Arial"/>
                <w:color w:val="000000"/>
                <w:sz w:val="16"/>
                <w:szCs w:val="16"/>
              </w:rPr>
              <w:noBreakHyphen/>
            </w:r>
            <w:r w:rsidRPr="0034104B">
              <w:rPr>
                <w:rFonts w:ascii="Arial" w:hAnsi="Arial" w:cs="Arial"/>
                <w:color w:val="000000"/>
                <w:sz w:val="16"/>
                <w:szCs w:val="16"/>
              </w:rPr>
              <w:t xml:space="preserve">downs of assets  </w:t>
            </w:r>
          </w:p>
        </w:tc>
        <w:tc>
          <w:tcPr>
            <w:tcW w:w="268" w:type="pct"/>
            <w:tcBorders>
              <w:top w:val="nil"/>
              <w:left w:val="nil"/>
              <w:bottom w:val="nil"/>
              <w:right w:val="nil"/>
            </w:tcBorders>
            <w:shd w:val="clear" w:color="000000" w:fill="FFFFFF"/>
            <w:noWrap/>
            <w:vAlign w:val="center"/>
            <w:hideMark/>
          </w:tcPr>
          <w:p w14:paraId="179E13F2"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266FD699" w14:textId="296FC2B7"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7,051</w:t>
            </w:r>
          </w:p>
        </w:tc>
        <w:tc>
          <w:tcPr>
            <w:tcW w:w="508" w:type="pct"/>
            <w:tcBorders>
              <w:top w:val="nil"/>
              <w:left w:val="nil"/>
              <w:bottom w:val="nil"/>
              <w:right w:val="nil"/>
            </w:tcBorders>
            <w:shd w:val="clear" w:color="000000" w:fill="F2F9FC"/>
            <w:noWrap/>
            <w:vAlign w:val="center"/>
            <w:hideMark/>
          </w:tcPr>
          <w:p w14:paraId="2B888174" w14:textId="3B20A695"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7,491</w:t>
            </w:r>
          </w:p>
        </w:tc>
        <w:tc>
          <w:tcPr>
            <w:tcW w:w="508" w:type="pct"/>
            <w:tcBorders>
              <w:top w:val="nil"/>
              <w:left w:val="nil"/>
              <w:bottom w:val="nil"/>
              <w:right w:val="nil"/>
            </w:tcBorders>
            <w:shd w:val="clear" w:color="000000" w:fill="FFFFFF"/>
            <w:noWrap/>
            <w:vAlign w:val="center"/>
            <w:hideMark/>
          </w:tcPr>
          <w:p w14:paraId="2EDAF8C3" w14:textId="12251BC4"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7,705</w:t>
            </w:r>
          </w:p>
        </w:tc>
        <w:tc>
          <w:tcPr>
            <w:tcW w:w="508" w:type="pct"/>
            <w:tcBorders>
              <w:top w:val="nil"/>
              <w:left w:val="nil"/>
              <w:bottom w:val="nil"/>
              <w:right w:val="nil"/>
            </w:tcBorders>
            <w:shd w:val="clear" w:color="000000" w:fill="FFFFFF"/>
            <w:noWrap/>
            <w:vAlign w:val="center"/>
            <w:hideMark/>
          </w:tcPr>
          <w:p w14:paraId="21861E78" w14:textId="043A7EB6"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8,039</w:t>
            </w:r>
          </w:p>
        </w:tc>
        <w:tc>
          <w:tcPr>
            <w:tcW w:w="506" w:type="pct"/>
            <w:tcBorders>
              <w:top w:val="nil"/>
              <w:left w:val="nil"/>
              <w:bottom w:val="nil"/>
              <w:right w:val="nil"/>
            </w:tcBorders>
            <w:shd w:val="clear" w:color="000000" w:fill="FFFFFF"/>
            <w:noWrap/>
            <w:vAlign w:val="center"/>
            <w:hideMark/>
          </w:tcPr>
          <w:p w14:paraId="314B9BF7" w14:textId="693ECB26"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8,356</w:t>
            </w:r>
          </w:p>
        </w:tc>
      </w:tr>
      <w:tr w:rsidR="009E44C8" w:rsidRPr="009E44C8" w14:paraId="1F1A9BAE" w14:textId="77777777" w:rsidTr="007241DE">
        <w:trPr>
          <w:trHeight w:hRule="exact" w:val="225"/>
        </w:trPr>
        <w:tc>
          <w:tcPr>
            <w:tcW w:w="2194" w:type="pct"/>
            <w:tcBorders>
              <w:top w:val="nil"/>
              <w:left w:val="nil"/>
              <w:bottom w:val="nil"/>
              <w:right w:val="nil"/>
            </w:tcBorders>
            <w:shd w:val="clear" w:color="000000" w:fill="FFFFFF"/>
            <w:vAlign w:val="center"/>
            <w:hideMark/>
          </w:tcPr>
          <w:p w14:paraId="0AF6EFF4"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Assets recognised for the first time</w:t>
            </w:r>
          </w:p>
        </w:tc>
        <w:tc>
          <w:tcPr>
            <w:tcW w:w="268" w:type="pct"/>
            <w:tcBorders>
              <w:top w:val="nil"/>
              <w:left w:val="nil"/>
              <w:bottom w:val="nil"/>
              <w:right w:val="nil"/>
            </w:tcBorders>
            <w:shd w:val="clear" w:color="000000" w:fill="FFFFFF"/>
            <w:noWrap/>
            <w:vAlign w:val="center"/>
            <w:hideMark/>
          </w:tcPr>
          <w:p w14:paraId="3E60079B"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510A658"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242</w:t>
            </w:r>
          </w:p>
        </w:tc>
        <w:tc>
          <w:tcPr>
            <w:tcW w:w="508" w:type="pct"/>
            <w:tcBorders>
              <w:top w:val="nil"/>
              <w:left w:val="nil"/>
              <w:bottom w:val="nil"/>
              <w:right w:val="nil"/>
            </w:tcBorders>
            <w:shd w:val="clear" w:color="000000" w:fill="F2F9FC"/>
            <w:noWrap/>
            <w:vAlign w:val="center"/>
            <w:hideMark/>
          </w:tcPr>
          <w:p w14:paraId="6ACA3A0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251</w:t>
            </w:r>
          </w:p>
        </w:tc>
        <w:tc>
          <w:tcPr>
            <w:tcW w:w="508" w:type="pct"/>
            <w:tcBorders>
              <w:top w:val="nil"/>
              <w:left w:val="nil"/>
              <w:bottom w:val="nil"/>
              <w:right w:val="nil"/>
            </w:tcBorders>
            <w:shd w:val="clear" w:color="000000" w:fill="FFFFFF"/>
            <w:noWrap/>
            <w:vAlign w:val="center"/>
            <w:hideMark/>
          </w:tcPr>
          <w:p w14:paraId="6B22453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261</w:t>
            </w:r>
          </w:p>
        </w:tc>
        <w:tc>
          <w:tcPr>
            <w:tcW w:w="508" w:type="pct"/>
            <w:tcBorders>
              <w:top w:val="nil"/>
              <w:left w:val="nil"/>
              <w:bottom w:val="nil"/>
              <w:right w:val="nil"/>
            </w:tcBorders>
            <w:shd w:val="clear" w:color="000000" w:fill="FFFFFF"/>
            <w:noWrap/>
            <w:vAlign w:val="center"/>
            <w:hideMark/>
          </w:tcPr>
          <w:p w14:paraId="1CC61AE3"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271</w:t>
            </w:r>
          </w:p>
        </w:tc>
        <w:tc>
          <w:tcPr>
            <w:tcW w:w="506" w:type="pct"/>
            <w:tcBorders>
              <w:top w:val="nil"/>
              <w:left w:val="nil"/>
              <w:bottom w:val="nil"/>
              <w:right w:val="nil"/>
            </w:tcBorders>
            <w:shd w:val="clear" w:color="000000" w:fill="FFFFFF"/>
            <w:noWrap/>
            <w:vAlign w:val="center"/>
            <w:hideMark/>
          </w:tcPr>
          <w:p w14:paraId="77022A1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282</w:t>
            </w:r>
          </w:p>
        </w:tc>
      </w:tr>
      <w:tr w:rsidR="009E44C8" w:rsidRPr="009E44C8" w14:paraId="55FFBB95" w14:textId="77777777" w:rsidTr="007241DE">
        <w:trPr>
          <w:trHeight w:hRule="exact" w:val="225"/>
        </w:trPr>
        <w:tc>
          <w:tcPr>
            <w:tcW w:w="2194" w:type="pct"/>
            <w:tcBorders>
              <w:top w:val="nil"/>
              <w:left w:val="nil"/>
              <w:bottom w:val="nil"/>
              <w:right w:val="nil"/>
            </w:tcBorders>
            <w:shd w:val="clear" w:color="000000" w:fill="FFFFFF"/>
            <w:vAlign w:val="center"/>
            <w:hideMark/>
          </w:tcPr>
          <w:p w14:paraId="3BDA3BE1"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Actuarial revaluations</w:t>
            </w:r>
          </w:p>
        </w:tc>
        <w:tc>
          <w:tcPr>
            <w:tcW w:w="268" w:type="pct"/>
            <w:tcBorders>
              <w:top w:val="nil"/>
              <w:left w:val="nil"/>
              <w:bottom w:val="nil"/>
              <w:right w:val="nil"/>
            </w:tcBorders>
            <w:shd w:val="clear" w:color="000000" w:fill="FFFFFF"/>
            <w:noWrap/>
            <w:vAlign w:val="center"/>
            <w:hideMark/>
          </w:tcPr>
          <w:p w14:paraId="3E37F5B7"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3DA3232" w14:textId="2881C1A5"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15</w:t>
            </w:r>
          </w:p>
        </w:tc>
        <w:tc>
          <w:tcPr>
            <w:tcW w:w="508" w:type="pct"/>
            <w:tcBorders>
              <w:top w:val="nil"/>
              <w:left w:val="nil"/>
              <w:bottom w:val="nil"/>
              <w:right w:val="nil"/>
            </w:tcBorders>
            <w:shd w:val="clear" w:color="000000" w:fill="F2F9FC"/>
            <w:noWrap/>
            <w:vAlign w:val="center"/>
            <w:hideMark/>
          </w:tcPr>
          <w:p w14:paraId="64C44AEE"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83</w:t>
            </w:r>
          </w:p>
        </w:tc>
        <w:tc>
          <w:tcPr>
            <w:tcW w:w="508" w:type="pct"/>
            <w:tcBorders>
              <w:top w:val="nil"/>
              <w:left w:val="nil"/>
              <w:bottom w:val="nil"/>
              <w:right w:val="nil"/>
            </w:tcBorders>
            <w:shd w:val="clear" w:color="000000" w:fill="FFFFFF"/>
            <w:noWrap/>
            <w:vAlign w:val="center"/>
            <w:hideMark/>
          </w:tcPr>
          <w:p w14:paraId="597B711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59</w:t>
            </w:r>
          </w:p>
        </w:tc>
        <w:tc>
          <w:tcPr>
            <w:tcW w:w="508" w:type="pct"/>
            <w:tcBorders>
              <w:top w:val="nil"/>
              <w:left w:val="nil"/>
              <w:bottom w:val="nil"/>
              <w:right w:val="nil"/>
            </w:tcBorders>
            <w:shd w:val="clear" w:color="000000" w:fill="FFFFFF"/>
            <w:noWrap/>
            <w:vAlign w:val="center"/>
            <w:hideMark/>
          </w:tcPr>
          <w:p w14:paraId="6FAE570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37</w:t>
            </w:r>
          </w:p>
        </w:tc>
        <w:tc>
          <w:tcPr>
            <w:tcW w:w="506" w:type="pct"/>
            <w:tcBorders>
              <w:top w:val="nil"/>
              <w:left w:val="nil"/>
              <w:bottom w:val="nil"/>
              <w:right w:val="nil"/>
            </w:tcBorders>
            <w:shd w:val="clear" w:color="000000" w:fill="FFFFFF"/>
            <w:noWrap/>
            <w:vAlign w:val="center"/>
            <w:hideMark/>
          </w:tcPr>
          <w:p w14:paraId="0E4D489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27</w:t>
            </w:r>
          </w:p>
        </w:tc>
      </w:tr>
      <w:tr w:rsidR="009E44C8" w:rsidRPr="009E44C8" w14:paraId="239EFC86" w14:textId="77777777" w:rsidTr="007241DE">
        <w:trPr>
          <w:trHeight w:hRule="exact" w:val="225"/>
        </w:trPr>
        <w:tc>
          <w:tcPr>
            <w:tcW w:w="2194" w:type="pct"/>
            <w:tcBorders>
              <w:top w:val="nil"/>
              <w:left w:val="nil"/>
              <w:bottom w:val="nil"/>
              <w:right w:val="nil"/>
            </w:tcBorders>
            <w:shd w:val="clear" w:color="000000" w:fill="FFFFFF"/>
            <w:vAlign w:val="center"/>
            <w:hideMark/>
          </w:tcPr>
          <w:p w14:paraId="36D7D391"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Net foreign exchange gains</w:t>
            </w:r>
          </w:p>
        </w:tc>
        <w:tc>
          <w:tcPr>
            <w:tcW w:w="268" w:type="pct"/>
            <w:tcBorders>
              <w:top w:val="nil"/>
              <w:left w:val="nil"/>
              <w:bottom w:val="nil"/>
              <w:right w:val="nil"/>
            </w:tcBorders>
            <w:shd w:val="clear" w:color="000000" w:fill="FFFFFF"/>
            <w:noWrap/>
            <w:vAlign w:val="center"/>
            <w:hideMark/>
          </w:tcPr>
          <w:p w14:paraId="10DC42B6"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CF7FC35" w14:textId="20ED1DC4"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602</w:t>
            </w:r>
          </w:p>
        </w:tc>
        <w:tc>
          <w:tcPr>
            <w:tcW w:w="508" w:type="pct"/>
            <w:tcBorders>
              <w:top w:val="nil"/>
              <w:left w:val="nil"/>
              <w:bottom w:val="nil"/>
              <w:right w:val="nil"/>
            </w:tcBorders>
            <w:shd w:val="clear" w:color="000000" w:fill="F2F9FC"/>
            <w:noWrap/>
            <w:vAlign w:val="center"/>
            <w:hideMark/>
          </w:tcPr>
          <w:p w14:paraId="00937106" w14:textId="461D17F3"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55</w:t>
            </w:r>
          </w:p>
        </w:tc>
        <w:tc>
          <w:tcPr>
            <w:tcW w:w="508" w:type="pct"/>
            <w:tcBorders>
              <w:top w:val="nil"/>
              <w:left w:val="nil"/>
              <w:bottom w:val="nil"/>
              <w:right w:val="nil"/>
            </w:tcBorders>
            <w:shd w:val="clear" w:color="000000" w:fill="FFFFFF"/>
            <w:noWrap/>
            <w:vAlign w:val="center"/>
            <w:hideMark/>
          </w:tcPr>
          <w:p w14:paraId="336398B8" w14:textId="7AA4E1CB"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124</w:t>
            </w:r>
          </w:p>
        </w:tc>
        <w:tc>
          <w:tcPr>
            <w:tcW w:w="508" w:type="pct"/>
            <w:tcBorders>
              <w:top w:val="nil"/>
              <w:left w:val="nil"/>
              <w:bottom w:val="nil"/>
              <w:right w:val="nil"/>
            </w:tcBorders>
            <w:shd w:val="clear" w:color="000000" w:fill="FFFFFF"/>
            <w:noWrap/>
            <w:vAlign w:val="center"/>
            <w:hideMark/>
          </w:tcPr>
          <w:p w14:paraId="0EE6A4C3" w14:textId="4F4B50F5"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108</w:t>
            </w:r>
          </w:p>
        </w:tc>
        <w:tc>
          <w:tcPr>
            <w:tcW w:w="506" w:type="pct"/>
            <w:tcBorders>
              <w:top w:val="nil"/>
              <w:left w:val="nil"/>
              <w:bottom w:val="nil"/>
              <w:right w:val="nil"/>
            </w:tcBorders>
            <w:shd w:val="clear" w:color="000000" w:fill="FFFFFF"/>
            <w:noWrap/>
            <w:vAlign w:val="center"/>
            <w:hideMark/>
          </w:tcPr>
          <w:p w14:paraId="414B8A9E" w14:textId="633EF5F5"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166</w:t>
            </w:r>
          </w:p>
        </w:tc>
      </w:tr>
      <w:tr w:rsidR="009E44C8" w:rsidRPr="009E44C8" w14:paraId="2593CB76" w14:textId="77777777" w:rsidTr="007241DE">
        <w:trPr>
          <w:trHeight w:hRule="exact" w:val="225"/>
        </w:trPr>
        <w:tc>
          <w:tcPr>
            <w:tcW w:w="2194" w:type="pct"/>
            <w:tcBorders>
              <w:top w:val="nil"/>
              <w:left w:val="nil"/>
              <w:bottom w:val="nil"/>
              <w:right w:val="nil"/>
            </w:tcBorders>
            <w:shd w:val="clear" w:color="000000" w:fill="FFFFFF"/>
            <w:vAlign w:val="center"/>
            <w:hideMark/>
          </w:tcPr>
          <w:p w14:paraId="6418F966"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Net swap interest received</w:t>
            </w:r>
          </w:p>
        </w:tc>
        <w:tc>
          <w:tcPr>
            <w:tcW w:w="268" w:type="pct"/>
            <w:tcBorders>
              <w:top w:val="nil"/>
              <w:left w:val="nil"/>
              <w:bottom w:val="nil"/>
              <w:right w:val="nil"/>
            </w:tcBorders>
            <w:shd w:val="clear" w:color="000000" w:fill="FFFFFF"/>
            <w:noWrap/>
            <w:vAlign w:val="center"/>
            <w:hideMark/>
          </w:tcPr>
          <w:p w14:paraId="2D24A921"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279201E" w14:textId="0E9806B3"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427</w:t>
            </w:r>
          </w:p>
        </w:tc>
        <w:tc>
          <w:tcPr>
            <w:tcW w:w="508" w:type="pct"/>
            <w:tcBorders>
              <w:top w:val="nil"/>
              <w:left w:val="nil"/>
              <w:bottom w:val="nil"/>
              <w:right w:val="nil"/>
            </w:tcBorders>
            <w:shd w:val="clear" w:color="000000" w:fill="F2F9FC"/>
            <w:noWrap/>
            <w:vAlign w:val="center"/>
            <w:hideMark/>
          </w:tcPr>
          <w:p w14:paraId="2BD20387"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32DE29C9"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0FF5D26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0</w:t>
            </w:r>
          </w:p>
        </w:tc>
        <w:tc>
          <w:tcPr>
            <w:tcW w:w="506" w:type="pct"/>
            <w:tcBorders>
              <w:top w:val="nil"/>
              <w:left w:val="nil"/>
              <w:bottom w:val="nil"/>
              <w:right w:val="nil"/>
            </w:tcBorders>
            <w:shd w:val="clear" w:color="000000" w:fill="FFFFFF"/>
            <w:noWrap/>
            <w:vAlign w:val="center"/>
            <w:hideMark/>
          </w:tcPr>
          <w:p w14:paraId="64954661"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0</w:t>
            </w:r>
          </w:p>
        </w:tc>
      </w:tr>
      <w:tr w:rsidR="009E44C8" w:rsidRPr="009E44C8" w14:paraId="4D779B84" w14:textId="77777777" w:rsidTr="007241DE">
        <w:trPr>
          <w:trHeight w:hRule="exact" w:val="225"/>
        </w:trPr>
        <w:tc>
          <w:tcPr>
            <w:tcW w:w="2194" w:type="pct"/>
            <w:tcBorders>
              <w:top w:val="nil"/>
              <w:left w:val="nil"/>
              <w:bottom w:val="nil"/>
              <w:right w:val="nil"/>
            </w:tcBorders>
            <w:shd w:val="clear" w:color="000000" w:fill="FFFFFF"/>
            <w:vAlign w:val="center"/>
            <w:hideMark/>
          </w:tcPr>
          <w:p w14:paraId="6F0681DF"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Market valuation of debt</w:t>
            </w:r>
          </w:p>
        </w:tc>
        <w:tc>
          <w:tcPr>
            <w:tcW w:w="268" w:type="pct"/>
            <w:tcBorders>
              <w:top w:val="nil"/>
              <w:left w:val="nil"/>
              <w:bottom w:val="nil"/>
              <w:right w:val="nil"/>
            </w:tcBorders>
            <w:shd w:val="clear" w:color="000000" w:fill="FFFFFF"/>
            <w:noWrap/>
            <w:vAlign w:val="center"/>
            <w:hideMark/>
          </w:tcPr>
          <w:p w14:paraId="67B13BD9"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1551ED2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48,066</w:t>
            </w:r>
          </w:p>
        </w:tc>
        <w:tc>
          <w:tcPr>
            <w:tcW w:w="508" w:type="pct"/>
            <w:tcBorders>
              <w:top w:val="nil"/>
              <w:left w:val="nil"/>
              <w:bottom w:val="nil"/>
              <w:right w:val="nil"/>
            </w:tcBorders>
            <w:shd w:val="clear" w:color="000000" w:fill="F2F9FC"/>
            <w:noWrap/>
            <w:vAlign w:val="center"/>
            <w:hideMark/>
          </w:tcPr>
          <w:p w14:paraId="03035AD8" w14:textId="00CEC5B0"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3,364</w:t>
            </w:r>
          </w:p>
        </w:tc>
        <w:tc>
          <w:tcPr>
            <w:tcW w:w="508" w:type="pct"/>
            <w:tcBorders>
              <w:top w:val="nil"/>
              <w:left w:val="nil"/>
              <w:bottom w:val="nil"/>
              <w:right w:val="nil"/>
            </w:tcBorders>
            <w:shd w:val="clear" w:color="000000" w:fill="FFFFFF"/>
            <w:noWrap/>
            <w:vAlign w:val="center"/>
            <w:hideMark/>
          </w:tcPr>
          <w:p w14:paraId="32C0BF00" w14:textId="0C0C6F9D"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3,285</w:t>
            </w:r>
          </w:p>
        </w:tc>
        <w:tc>
          <w:tcPr>
            <w:tcW w:w="508" w:type="pct"/>
            <w:tcBorders>
              <w:top w:val="nil"/>
              <w:left w:val="nil"/>
              <w:bottom w:val="nil"/>
              <w:right w:val="nil"/>
            </w:tcBorders>
            <w:shd w:val="clear" w:color="000000" w:fill="FFFFFF"/>
            <w:noWrap/>
            <w:vAlign w:val="center"/>
            <w:hideMark/>
          </w:tcPr>
          <w:p w14:paraId="276C3520" w14:textId="4BE80458"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2,533</w:t>
            </w:r>
          </w:p>
        </w:tc>
        <w:tc>
          <w:tcPr>
            <w:tcW w:w="506" w:type="pct"/>
            <w:tcBorders>
              <w:top w:val="nil"/>
              <w:left w:val="nil"/>
              <w:bottom w:val="nil"/>
              <w:right w:val="nil"/>
            </w:tcBorders>
            <w:shd w:val="clear" w:color="000000" w:fill="FFFFFF"/>
            <w:noWrap/>
            <w:vAlign w:val="center"/>
            <w:hideMark/>
          </w:tcPr>
          <w:p w14:paraId="7D3EDA19" w14:textId="323E528D" w:rsidR="009E44C8" w:rsidRPr="0034104B" w:rsidRDefault="00660645" w:rsidP="003410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E44C8" w:rsidRPr="0034104B">
              <w:rPr>
                <w:rFonts w:ascii="Arial" w:hAnsi="Arial" w:cs="Arial"/>
                <w:color w:val="000000"/>
                <w:sz w:val="16"/>
                <w:szCs w:val="16"/>
              </w:rPr>
              <w:t>2,496</w:t>
            </w:r>
          </w:p>
        </w:tc>
      </w:tr>
      <w:tr w:rsidR="009E44C8" w:rsidRPr="009E44C8" w14:paraId="60644937" w14:textId="77777777" w:rsidTr="007241DE">
        <w:trPr>
          <w:trHeight w:hRule="exact" w:val="225"/>
        </w:trPr>
        <w:tc>
          <w:tcPr>
            <w:tcW w:w="2194" w:type="pct"/>
            <w:tcBorders>
              <w:top w:val="nil"/>
              <w:left w:val="nil"/>
              <w:bottom w:val="nil"/>
              <w:right w:val="nil"/>
            </w:tcBorders>
            <w:shd w:val="clear" w:color="000000" w:fill="FFFFFF"/>
            <w:vAlign w:val="center"/>
            <w:hideMark/>
          </w:tcPr>
          <w:p w14:paraId="4EC41B6C" w14:textId="77777777" w:rsidR="009E44C8" w:rsidRPr="0034104B" w:rsidRDefault="009E44C8" w:rsidP="0034104B">
            <w:pPr>
              <w:spacing w:after="0" w:line="240" w:lineRule="auto"/>
              <w:ind w:left="170"/>
              <w:jc w:val="left"/>
              <w:rPr>
                <w:rFonts w:ascii="Arial" w:hAnsi="Arial" w:cs="Arial"/>
                <w:color w:val="000000"/>
                <w:sz w:val="16"/>
                <w:szCs w:val="16"/>
              </w:rPr>
            </w:pPr>
            <w:r w:rsidRPr="0034104B">
              <w:rPr>
                <w:rFonts w:ascii="Arial" w:hAnsi="Arial" w:cs="Arial"/>
                <w:color w:val="000000"/>
                <w:sz w:val="16"/>
                <w:szCs w:val="16"/>
              </w:rPr>
              <w:t>Other gains/(losses)</w:t>
            </w:r>
          </w:p>
        </w:tc>
        <w:tc>
          <w:tcPr>
            <w:tcW w:w="268" w:type="pct"/>
            <w:tcBorders>
              <w:top w:val="nil"/>
              <w:left w:val="nil"/>
              <w:bottom w:val="nil"/>
              <w:right w:val="nil"/>
            </w:tcBorders>
            <w:shd w:val="clear" w:color="000000" w:fill="FFFFFF"/>
            <w:noWrap/>
            <w:vAlign w:val="center"/>
            <w:hideMark/>
          </w:tcPr>
          <w:p w14:paraId="545CE26A"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0A66D0B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5,751</w:t>
            </w:r>
          </w:p>
        </w:tc>
        <w:tc>
          <w:tcPr>
            <w:tcW w:w="508" w:type="pct"/>
            <w:tcBorders>
              <w:top w:val="nil"/>
              <w:left w:val="nil"/>
              <w:bottom w:val="nil"/>
              <w:right w:val="nil"/>
            </w:tcBorders>
            <w:shd w:val="clear" w:color="000000" w:fill="F2F9FC"/>
            <w:noWrap/>
            <w:vAlign w:val="center"/>
            <w:hideMark/>
          </w:tcPr>
          <w:p w14:paraId="25624FB5"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9,340</w:t>
            </w:r>
          </w:p>
        </w:tc>
        <w:tc>
          <w:tcPr>
            <w:tcW w:w="508" w:type="pct"/>
            <w:tcBorders>
              <w:top w:val="nil"/>
              <w:left w:val="nil"/>
              <w:bottom w:val="nil"/>
              <w:right w:val="nil"/>
            </w:tcBorders>
            <w:shd w:val="clear" w:color="000000" w:fill="FFFFFF"/>
            <w:noWrap/>
            <w:vAlign w:val="center"/>
            <w:hideMark/>
          </w:tcPr>
          <w:p w14:paraId="479887F4"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10,111</w:t>
            </w:r>
          </w:p>
        </w:tc>
        <w:tc>
          <w:tcPr>
            <w:tcW w:w="508" w:type="pct"/>
            <w:tcBorders>
              <w:top w:val="nil"/>
              <w:left w:val="nil"/>
              <w:bottom w:val="nil"/>
              <w:right w:val="nil"/>
            </w:tcBorders>
            <w:shd w:val="clear" w:color="000000" w:fill="FFFFFF"/>
            <w:noWrap/>
            <w:vAlign w:val="center"/>
            <w:hideMark/>
          </w:tcPr>
          <w:p w14:paraId="41A4742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10,652</w:t>
            </w:r>
          </w:p>
        </w:tc>
        <w:tc>
          <w:tcPr>
            <w:tcW w:w="506" w:type="pct"/>
            <w:tcBorders>
              <w:top w:val="nil"/>
              <w:left w:val="nil"/>
              <w:bottom w:val="nil"/>
              <w:right w:val="nil"/>
            </w:tcBorders>
            <w:shd w:val="clear" w:color="000000" w:fill="FFFFFF"/>
            <w:noWrap/>
            <w:vAlign w:val="center"/>
            <w:hideMark/>
          </w:tcPr>
          <w:p w14:paraId="5D0803AF"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11,278</w:t>
            </w:r>
          </w:p>
        </w:tc>
      </w:tr>
      <w:tr w:rsidR="009E44C8" w:rsidRPr="009E44C8" w14:paraId="722895C1" w14:textId="77777777" w:rsidTr="007241DE">
        <w:trPr>
          <w:trHeight w:hRule="exact" w:val="225"/>
        </w:trPr>
        <w:tc>
          <w:tcPr>
            <w:tcW w:w="2194" w:type="pct"/>
            <w:tcBorders>
              <w:top w:val="nil"/>
              <w:left w:val="nil"/>
              <w:bottom w:val="nil"/>
              <w:right w:val="nil"/>
            </w:tcBorders>
            <w:shd w:val="clear" w:color="000000" w:fill="FFFFFF"/>
            <w:vAlign w:val="center"/>
            <w:hideMark/>
          </w:tcPr>
          <w:p w14:paraId="772EFB5A"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 xml:space="preserve">Total other economic flows – </w:t>
            </w:r>
          </w:p>
        </w:tc>
        <w:tc>
          <w:tcPr>
            <w:tcW w:w="268" w:type="pct"/>
            <w:tcBorders>
              <w:top w:val="nil"/>
              <w:left w:val="nil"/>
              <w:bottom w:val="nil"/>
              <w:right w:val="nil"/>
            </w:tcBorders>
            <w:shd w:val="clear" w:color="000000" w:fill="FFFFFF"/>
            <w:noWrap/>
            <w:vAlign w:val="center"/>
            <w:hideMark/>
          </w:tcPr>
          <w:p w14:paraId="606D9079" w14:textId="77777777" w:rsidR="009E44C8" w:rsidRPr="0034104B" w:rsidRDefault="009E44C8" w:rsidP="0034104B">
            <w:pPr>
              <w:spacing w:after="0" w:line="240" w:lineRule="auto"/>
              <w:jc w:val="center"/>
              <w:rPr>
                <w:rFonts w:ascii="Arial" w:hAnsi="Arial" w:cs="Arial"/>
                <w:color w:val="000000"/>
                <w:sz w:val="16"/>
                <w:szCs w:val="16"/>
              </w:rPr>
            </w:pPr>
            <w:r w:rsidRPr="0034104B">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64C57A2"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19CACE5A"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145B06C6"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031F96A0"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c>
          <w:tcPr>
            <w:tcW w:w="506" w:type="pct"/>
            <w:tcBorders>
              <w:top w:val="nil"/>
              <w:left w:val="nil"/>
              <w:bottom w:val="nil"/>
              <w:right w:val="nil"/>
            </w:tcBorders>
            <w:shd w:val="clear" w:color="000000" w:fill="FFFFFF"/>
            <w:noWrap/>
            <w:vAlign w:val="center"/>
            <w:hideMark/>
          </w:tcPr>
          <w:p w14:paraId="6DE2308B" w14:textId="77777777" w:rsidR="009E44C8" w:rsidRPr="0034104B" w:rsidRDefault="009E44C8" w:rsidP="0034104B">
            <w:pPr>
              <w:spacing w:after="0" w:line="240" w:lineRule="auto"/>
              <w:jc w:val="right"/>
              <w:rPr>
                <w:rFonts w:ascii="Arial" w:hAnsi="Arial" w:cs="Arial"/>
                <w:color w:val="000000"/>
                <w:sz w:val="16"/>
                <w:szCs w:val="16"/>
              </w:rPr>
            </w:pPr>
            <w:r w:rsidRPr="0034104B">
              <w:rPr>
                <w:rFonts w:ascii="Arial" w:hAnsi="Arial" w:cs="Arial"/>
                <w:color w:val="000000"/>
                <w:sz w:val="16"/>
                <w:szCs w:val="16"/>
              </w:rPr>
              <w:t> </w:t>
            </w:r>
          </w:p>
        </w:tc>
      </w:tr>
      <w:tr w:rsidR="009E44C8" w:rsidRPr="009E44C8" w14:paraId="341547FD" w14:textId="77777777" w:rsidTr="007241DE">
        <w:trPr>
          <w:trHeight w:hRule="exact" w:val="225"/>
        </w:trPr>
        <w:tc>
          <w:tcPr>
            <w:tcW w:w="2194" w:type="pct"/>
            <w:tcBorders>
              <w:top w:val="nil"/>
              <w:left w:val="nil"/>
              <w:bottom w:val="nil"/>
              <w:right w:val="nil"/>
            </w:tcBorders>
            <w:shd w:val="clear" w:color="000000" w:fill="FFFFFF"/>
            <w:vAlign w:val="center"/>
            <w:hideMark/>
          </w:tcPr>
          <w:p w14:paraId="0EA6DEA7" w14:textId="77777777" w:rsidR="009E44C8" w:rsidRPr="0034104B" w:rsidRDefault="009E44C8" w:rsidP="0034104B">
            <w:pPr>
              <w:spacing w:after="0" w:line="240" w:lineRule="auto"/>
              <w:ind w:left="170"/>
              <w:jc w:val="left"/>
              <w:rPr>
                <w:rFonts w:ascii="Arial" w:hAnsi="Arial" w:cs="Arial"/>
                <w:b/>
                <w:bCs/>
                <w:color w:val="000000"/>
                <w:sz w:val="16"/>
                <w:szCs w:val="16"/>
              </w:rPr>
            </w:pPr>
            <w:r w:rsidRPr="0034104B">
              <w:rPr>
                <w:rFonts w:ascii="Arial" w:hAnsi="Arial" w:cs="Arial"/>
                <w:b/>
                <w:bCs/>
                <w:color w:val="000000"/>
                <w:sz w:val="16"/>
                <w:szCs w:val="16"/>
              </w:rPr>
              <w:t>included in operating result</w:t>
            </w:r>
          </w:p>
        </w:tc>
        <w:tc>
          <w:tcPr>
            <w:tcW w:w="268" w:type="pct"/>
            <w:tcBorders>
              <w:top w:val="nil"/>
              <w:left w:val="nil"/>
              <w:bottom w:val="nil"/>
              <w:right w:val="nil"/>
            </w:tcBorders>
            <w:shd w:val="clear" w:color="000000" w:fill="FFFFFF"/>
            <w:noWrap/>
            <w:vAlign w:val="center"/>
            <w:hideMark/>
          </w:tcPr>
          <w:p w14:paraId="32B86B29"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bottom"/>
            <w:hideMark/>
          </w:tcPr>
          <w:p w14:paraId="67F3CA1A"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45,964</w:t>
            </w:r>
          </w:p>
        </w:tc>
        <w:tc>
          <w:tcPr>
            <w:tcW w:w="508" w:type="pct"/>
            <w:tcBorders>
              <w:top w:val="nil"/>
              <w:left w:val="nil"/>
              <w:bottom w:val="nil"/>
              <w:right w:val="nil"/>
            </w:tcBorders>
            <w:shd w:val="clear" w:color="000000" w:fill="F2F9FC"/>
            <w:noWrap/>
            <w:vAlign w:val="bottom"/>
            <w:hideMark/>
          </w:tcPr>
          <w:p w14:paraId="0E9D28DB" w14:textId="24B1AD88"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1,235</w:t>
            </w:r>
          </w:p>
        </w:tc>
        <w:tc>
          <w:tcPr>
            <w:tcW w:w="508" w:type="pct"/>
            <w:tcBorders>
              <w:top w:val="nil"/>
              <w:left w:val="nil"/>
              <w:bottom w:val="nil"/>
              <w:right w:val="nil"/>
            </w:tcBorders>
            <w:shd w:val="clear" w:color="000000" w:fill="FFFFFF"/>
            <w:noWrap/>
            <w:vAlign w:val="bottom"/>
            <w:hideMark/>
          </w:tcPr>
          <w:p w14:paraId="3E351221" w14:textId="6F6A5D01"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684</w:t>
            </w:r>
          </w:p>
        </w:tc>
        <w:tc>
          <w:tcPr>
            <w:tcW w:w="508" w:type="pct"/>
            <w:tcBorders>
              <w:top w:val="nil"/>
              <w:left w:val="nil"/>
              <w:bottom w:val="nil"/>
              <w:right w:val="nil"/>
            </w:tcBorders>
            <w:shd w:val="clear" w:color="000000" w:fill="FFFFFF"/>
            <w:noWrap/>
            <w:vAlign w:val="bottom"/>
            <w:hideMark/>
          </w:tcPr>
          <w:p w14:paraId="15055B26"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281</w:t>
            </w:r>
          </w:p>
        </w:tc>
        <w:tc>
          <w:tcPr>
            <w:tcW w:w="506" w:type="pct"/>
            <w:tcBorders>
              <w:top w:val="nil"/>
              <w:left w:val="nil"/>
              <w:bottom w:val="nil"/>
              <w:right w:val="nil"/>
            </w:tcBorders>
            <w:shd w:val="clear" w:color="000000" w:fill="FFFFFF"/>
            <w:noWrap/>
            <w:vAlign w:val="bottom"/>
            <w:hideMark/>
          </w:tcPr>
          <w:p w14:paraId="09868E82" w14:textId="77777777" w:rsidR="009E44C8" w:rsidRPr="0034104B" w:rsidRDefault="009E44C8" w:rsidP="0034104B">
            <w:pPr>
              <w:spacing w:after="0" w:line="240" w:lineRule="auto"/>
              <w:jc w:val="right"/>
              <w:rPr>
                <w:rFonts w:ascii="Arial" w:hAnsi="Arial" w:cs="Arial"/>
                <w:b/>
                <w:bCs/>
                <w:color w:val="000000"/>
                <w:sz w:val="16"/>
                <w:szCs w:val="16"/>
              </w:rPr>
            </w:pPr>
            <w:r w:rsidRPr="0034104B">
              <w:rPr>
                <w:rFonts w:ascii="Arial" w:hAnsi="Arial" w:cs="Arial"/>
                <w:b/>
                <w:bCs/>
                <w:color w:val="000000"/>
                <w:sz w:val="16"/>
                <w:szCs w:val="16"/>
              </w:rPr>
              <w:t>568</w:t>
            </w:r>
          </w:p>
        </w:tc>
      </w:tr>
      <w:tr w:rsidR="009E44C8" w:rsidRPr="009E44C8" w14:paraId="6AD95702" w14:textId="77777777" w:rsidTr="007241DE">
        <w:trPr>
          <w:trHeight w:hRule="exact" w:val="225"/>
        </w:trPr>
        <w:tc>
          <w:tcPr>
            <w:tcW w:w="2194" w:type="pct"/>
            <w:tcBorders>
              <w:top w:val="nil"/>
              <w:left w:val="nil"/>
              <w:bottom w:val="single" w:sz="4" w:space="0" w:color="auto"/>
              <w:right w:val="nil"/>
            </w:tcBorders>
            <w:shd w:val="clear" w:color="000000" w:fill="FFFFFF"/>
            <w:noWrap/>
            <w:vAlign w:val="center"/>
            <w:hideMark/>
          </w:tcPr>
          <w:p w14:paraId="35ECEBF2" w14:textId="77777777" w:rsidR="009E44C8" w:rsidRPr="0034104B" w:rsidRDefault="009E44C8" w:rsidP="0034104B">
            <w:pPr>
              <w:spacing w:after="0" w:line="240" w:lineRule="auto"/>
              <w:jc w:val="left"/>
              <w:rPr>
                <w:rFonts w:ascii="Arial" w:hAnsi="Arial" w:cs="Arial"/>
                <w:b/>
                <w:bCs/>
                <w:color w:val="000000"/>
                <w:sz w:val="16"/>
                <w:szCs w:val="16"/>
              </w:rPr>
            </w:pPr>
            <w:r w:rsidRPr="0034104B">
              <w:rPr>
                <w:rFonts w:ascii="Arial" w:hAnsi="Arial" w:cs="Arial"/>
                <w:b/>
                <w:bCs/>
                <w:color w:val="000000"/>
                <w:sz w:val="16"/>
                <w:szCs w:val="16"/>
              </w:rPr>
              <w:t>Operating result(d)</w:t>
            </w:r>
          </w:p>
        </w:tc>
        <w:tc>
          <w:tcPr>
            <w:tcW w:w="268" w:type="pct"/>
            <w:tcBorders>
              <w:top w:val="nil"/>
              <w:left w:val="nil"/>
              <w:bottom w:val="single" w:sz="4" w:space="0" w:color="auto"/>
              <w:right w:val="nil"/>
            </w:tcBorders>
            <w:shd w:val="clear" w:color="000000" w:fill="FFFFFF"/>
            <w:noWrap/>
            <w:vAlign w:val="center"/>
            <w:hideMark/>
          </w:tcPr>
          <w:p w14:paraId="5D247988" w14:textId="77777777" w:rsidR="009E44C8" w:rsidRPr="0034104B" w:rsidRDefault="009E44C8" w:rsidP="0034104B">
            <w:pPr>
              <w:spacing w:after="0" w:line="240" w:lineRule="auto"/>
              <w:jc w:val="center"/>
              <w:rPr>
                <w:rFonts w:ascii="Arial" w:hAnsi="Arial" w:cs="Arial"/>
                <w:b/>
                <w:bCs/>
                <w:color w:val="000000"/>
                <w:sz w:val="16"/>
                <w:szCs w:val="16"/>
              </w:rPr>
            </w:pPr>
            <w:r w:rsidRPr="0034104B">
              <w:rPr>
                <w:rFonts w:ascii="Arial" w:hAnsi="Arial" w:cs="Arial"/>
                <w:b/>
                <w:bCs/>
                <w:color w:val="000000"/>
                <w:sz w:val="16"/>
                <w:szCs w:val="16"/>
              </w:rPr>
              <w:t> </w:t>
            </w:r>
          </w:p>
        </w:tc>
        <w:tc>
          <w:tcPr>
            <w:tcW w:w="509" w:type="pct"/>
            <w:tcBorders>
              <w:top w:val="nil"/>
              <w:left w:val="nil"/>
              <w:bottom w:val="single" w:sz="4" w:space="0" w:color="auto"/>
              <w:right w:val="nil"/>
            </w:tcBorders>
            <w:shd w:val="clear" w:color="000000" w:fill="FFFFFF"/>
            <w:noWrap/>
            <w:vAlign w:val="center"/>
            <w:hideMark/>
          </w:tcPr>
          <w:p w14:paraId="5B572F58" w14:textId="4232F377"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27,443</w:t>
            </w:r>
          </w:p>
        </w:tc>
        <w:tc>
          <w:tcPr>
            <w:tcW w:w="508" w:type="pct"/>
            <w:tcBorders>
              <w:top w:val="nil"/>
              <w:left w:val="nil"/>
              <w:bottom w:val="single" w:sz="4" w:space="0" w:color="auto"/>
              <w:right w:val="nil"/>
            </w:tcBorders>
            <w:shd w:val="clear" w:color="000000" w:fill="F2F9FC"/>
            <w:noWrap/>
            <w:vAlign w:val="center"/>
            <w:hideMark/>
          </w:tcPr>
          <w:p w14:paraId="3AC0341C" w14:textId="6931EFB7"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68,465</w:t>
            </w:r>
          </w:p>
        </w:tc>
        <w:tc>
          <w:tcPr>
            <w:tcW w:w="508" w:type="pct"/>
            <w:tcBorders>
              <w:top w:val="nil"/>
              <w:left w:val="nil"/>
              <w:bottom w:val="single" w:sz="4" w:space="0" w:color="auto"/>
              <w:right w:val="nil"/>
            </w:tcBorders>
            <w:shd w:val="clear" w:color="000000" w:fill="FFFFFF"/>
            <w:noWrap/>
            <w:vAlign w:val="center"/>
            <w:hideMark/>
          </w:tcPr>
          <w:p w14:paraId="7A9BFAA6" w14:textId="3D60E6F3"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48,838</w:t>
            </w:r>
          </w:p>
        </w:tc>
        <w:tc>
          <w:tcPr>
            <w:tcW w:w="508" w:type="pct"/>
            <w:tcBorders>
              <w:top w:val="nil"/>
              <w:left w:val="nil"/>
              <w:bottom w:val="single" w:sz="4" w:space="0" w:color="auto"/>
              <w:right w:val="nil"/>
            </w:tcBorders>
            <w:shd w:val="clear" w:color="000000" w:fill="FFFFFF"/>
            <w:noWrap/>
            <w:vAlign w:val="center"/>
            <w:hideMark/>
          </w:tcPr>
          <w:p w14:paraId="4CEBA266" w14:textId="1E1A5B4B"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43,338</w:t>
            </w:r>
          </w:p>
        </w:tc>
        <w:tc>
          <w:tcPr>
            <w:tcW w:w="506" w:type="pct"/>
            <w:tcBorders>
              <w:top w:val="nil"/>
              <w:left w:val="nil"/>
              <w:bottom w:val="single" w:sz="4" w:space="0" w:color="auto"/>
              <w:right w:val="nil"/>
            </w:tcBorders>
            <w:shd w:val="clear" w:color="000000" w:fill="FFFFFF"/>
            <w:noWrap/>
            <w:vAlign w:val="center"/>
            <w:hideMark/>
          </w:tcPr>
          <w:p w14:paraId="06C1F2B5" w14:textId="7E4F82E2" w:rsidR="009E44C8" w:rsidRPr="0034104B" w:rsidRDefault="00660645" w:rsidP="003410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E44C8" w:rsidRPr="0034104B">
              <w:rPr>
                <w:rFonts w:ascii="Arial" w:hAnsi="Arial" w:cs="Arial"/>
                <w:b/>
                <w:bCs/>
                <w:color w:val="000000"/>
                <w:sz w:val="16"/>
                <w:szCs w:val="16"/>
              </w:rPr>
              <w:t>30,909</w:t>
            </w:r>
          </w:p>
        </w:tc>
      </w:tr>
    </w:tbl>
    <w:p w14:paraId="2E29C151" w14:textId="096E218C" w:rsidR="00DA1C7C" w:rsidRPr="00DA1C7C" w:rsidRDefault="00DA1C7C" w:rsidP="00DA1C7C">
      <w:pPr>
        <w:pStyle w:val="TableGraphic"/>
      </w:pPr>
    </w:p>
    <w:p w14:paraId="02FD4B2C" w14:textId="45303371" w:rsidR="004C281E" w:rsidRDefault="002D68FB" w:rsidP="00E16721">
      <w:pPr>
        <w:spacing w:after="160" w:line="259" w:lineRule="auto"/>
        <w:jc w:val="left"/>
      </w:pPr>
      <w:r>
        <w:br w:type="page"/>
      </w:r>
    </w:p>
    <w:p w14:paraId="597A9E05" w14:textId="427479B6" w:rsidR="00E16721" w:rsidRDefault="004C281E" w:rsidP="0034104B">
      <w:pPr>
        <w:pStyle w:val="TableHeadingcontinued"/>
        <w:rPr>
          <w:rFonts w:asciiTheme="minorHAnsi" w:eastAsiaTheme="minorHAnsi" w:hAnsiTheme="minorHAnsi" w:cstheme="minorBidi"/>
          <w:sz w:val="22"/>
          <w:szCs w:val="22"/>
          <w:lang w:eastAsia="en-US"/>
        </w:rPr>
      </w:pPr>
      <w:r w:rsidRPr="00060499">
        <w:rPr>
          <w:spacing w:val="-4"/>
        </w:rPr>
        <w:t>Table A1: Australian Government general government sector operating statement</w:t>
      </w:r>
      <w:r>
        <w:rPr>
          <w:spacing w:val="-4"/>
        </w:rPr>
        <w:t xml:space="preserve"> (continued)</w:t>
      </w:r>
      <w:r>
        <w:t xml:space="preserve"> </w:t>
      </w:r>
      <w:bookmarkStart w:id="55" w:name="_1711896613"/>
      <w:bookmarkStart w:id="56" w:name="_1711895412"/>
      <w:bookmarkStart w:id="57" w:name="_1711466770"/>
      <w:bookmarkEnd w:id="55"/>
      <w:bookmarkEnd w:id="56"/>
      <w:bookmarkEnd w:id="57"/>
    </w:p>
    <w:tbl>
      <w:tblPr>
        <w:tblW w:w="5000" w:type="pct"/>
        <w:tblCellMar>
          <w:left w:w="0" w:type="dxa"/>
          <w:right w:w="28" w:type="dxa"/>
        </w:tblCellMar>
        <w:tblLook w:val="04A0" w:firstRow="1" w:lastRow="0" w:firstColumn="1" w:lastColumn="0" w:noHBand="0" w:noVBand="1"/>
      </w:tblPr>
      <w:tblGrid>
        <w:gridCol w:w="3378"/>
        <w:gridCol w:w="413"/>
        <w:gridCol w:w="785"/>
        <w:gridCol w:w="783"/>
        <w:gridCol w:w="783"/>
        <w:gridCol w:w="783"/>
        <w:gridCol w:w="785"/>
      </w:tblGrid>
      <w:tr w:rsidR="00E16721" w:rsidRPr="00E16721" w14:paraId="00336E0E" w14:textId="77777777" w:rsidTr="00E176A9">
        <w:trPr>
          <w:trHeight w:hRule="exact" w:val="225"/>
        </w:trPr>
        <w:tc>
          <w:tcPr>
            <w:tcW w:w="2190" w:type="pct"/>
            <w:tcBorders>
              <w:top w:val="single" w:sz="4" w:space="0" w:color="auto"/>
              <w:left w:val="nil"/>
              <w:bottom w:val="nil"/>
              <w:right w:val="nil"/>
            </w:tcBorders>
            <w:shd w:val="clear" w:color="000000" w:fill="FFFFFF"/>
            <w:noWrap/>
            <w:vAlign w:val="center"/>
            <w:hideMark/>
          </w:tcPr>
          <w:p w14:paraId="308AB28F" w14:textId="14DBE799"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noWrap/>
            <w:vAlign w:val="center"/>
            <w:hideMark/>
          </w:tcPr>
          <w:p w14:paraId="53F0EDF7" w14:textId="77777777" w:rsidR="00E16721" w:rsidRPr="00E16721" w:rsidRDefault="00E16721" w:rsidP="00E16721">
            <w:pPr>
              <w:spacing w:after="0" w:line="240" w:lineRule="auto"/>
              <w:jc w:val="left"/>
              <w:rPr>
                <w:rFonts w:ascii="Arial" w:hAnsi="Arial" w:cs="Arial"/>
                <w:sz w:val="16"/>
                <w:szCs w:val="16"/>
              </w:rPr>
            </w:pPr>
            <w:r w:rsidRPr="00E16721">
              <w:rPr>
                <w:rFonts w:ascii="Arial" w:hAnsi="Arial" w:cs="Arial"/>
                <w:sz w:val="16"/>
                <w:szCs w:val="16"/>
              </w:rPr>
              <w:t xml:space="preserve"> </w:t>
            </w:r>
          </w:p>
        </w:tc>
        <w:tc>
          <w:tcPr>
            <w:tcW w:w="2542" w:type="pct"/>
            <w:gridSpan w:val="5"/>
            <w:tcBorders>
              <w:top w:val="single" w:sz="4" w:space="0" w:color="auto"/>
              <w:left w:val="nil"/>
              <w:bottom w:val="single" w:sz="4" w:space="0" w:color="000000"/>
              <w:right w:val="nil"/>
            </w:tcBorders>
            <w:shd w:val="clear" w:color="000000" w:fill="FFFFFF"/>
            <w:noWrap/>
            <w:vAlign w:val="center"/>
            <w:hideMark/>
          </w:tcPr>
          <w:p w14:paraId="5CE60AA6" w14:textId="77777777" w:rsidR="00E16721" w:rsidRPr="00E16721" w:rsidRDefault="00E16721" w:rsidP="00E16721">
            <w:pPr>
              <w:spacing w:after="0" w:line="240" w:lineRule="auto"/>
              <w:jc w:val="center"/>
              <w:rPr>
                <w:rFonts w:ascii="Arial" w:hAnsi="Arial" w:cs="Arial"/>
                <w:sz w:val="16"/>
                <w:szCs w:val="16"/>
              </w:rPr>
            </w:pPr>
            <w:r w:rsidRPr="00E16721">
              <w:rPr>
                <w:rFonts w:ascii="Arial" w:hAnsi="Arial" w:cs="Arial"/>
                <w:sz w:val="16"/>
                <w:szCs w:val="16"/>
              </w:rPr>
              <w:t>Estimates</w:t>
            </w:r>
          </w:p>
        </w:tc>
      </w:tr>
      <w:tr w:rsidR="00142254" w:rsidRPr="00E16721" w14:paraId="7360A769"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5011CA34" w14:textId="77777777" w:rsidR="00E16721" w:rsidRPr="00E16721" w:rsidRDefault="00E16721" w:rsidP="00E16721">
            <w:pPr>
              <w:spacing w:after="0" w:line="240" w:lineRule="auto"/>
              <w:jc w:val="center"/>
              <w:rPr>
                <w:rFonts w:ascii="Arial" w:hAnsi="Arial" w:cs="Arial"/>
                <w:b/>
                <w:bCs/>
                <w:sz w:val="16"/>
                <w:szCs w:val="16"/>
              </w:rPr>
            </w:pPr>
            <w:r w:rsidRPr="00E16721">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558712CB" w14:textId="77777777" w:rsidR="00E16721" w:rsidRPr="00E16721" w:rsidRDefault="00E16721" w:rsidP="00E16721">
            <w:pPr>
              <w:spacing w:after="0" w:line="240" w:lineRule="auto"/>
              <w:jc w:val="left"/>
              <w:rPr>
                <w:rFonts w:ascii="Arial" w:hAnsi="Arial" w:cs="Arial"/>
                <w:sz w:val="16"/>
                <w:szCs w:val="16"/>
              </w:rPr>
            </w:pPr>
            <w:r w:rsidRPr="00E16721">
              <w:rPr>
                <w:rFonts w:ascii="Arial" w:hAnsi="Arial" w:cs="Arial"/>
                <w:sz w:val="16"/>
                <w:szCs w:val="16"/>
              </w:rPr>
              <w:t> </w:t>
            </w:r>
          </w:p>
        </w:tc>
        <w:tc>
          <w:tcPr>
            <w:tcW w:w="509" w:type="pct"/>
            <w:tcBorders>
              <w:top w:val="single" w:sz="4" w:space="0" w:color="auto"/>
              <w:left w:val="nil"/>
              <w:bottom w:val="nil"/>
              <w:right w:val="nil"/>
            </w:tcBorders>
            <w:shd w:val="clear" w:color="000000" w:fill="FFFFFF"/>
            <w:noWrap/>
            <w:vAlign w:val="center"/>
            <w:hideMark/>
          </w:tcPr>
          <w:p w14:paraId="39E8DF2C" w14:textId="4CAB4365" w:rsidR="00E16721" w:rsidRPr="00E16721" w:rsidRDefault="00E16721" w:rsidP="00E16721">
            <w:pPr>
              <w:spacing w:after="0" w:line="240" w:lineRule="auto"/>
              <w:jc w:val="right"/>
              <w:rPr>
                <w:rFonts w:ascii="Arial" w:hAnsi="Arial" w:cs="Arial"/>
                <w:sz w:val="16"/>
                <w:szCs w:val="16"/>
              </w:rPr>
            </w:pPr>
            <w:r w:rsidRPr="00E16721">
              <w:rPr>
                <w:rFonts w:ascii="Arial" w:hAnsi="Arial" w:cs="Arial"/>
                <w:sz w:val="16"/>
                <w:szCs w:val="16"/>
              </w:rPr>
              <w:t>2021</w:t>
            </w:r>
            <w:r w:rsidR="00660645">
              <w:rPr>
                <w:rFonts w:ascii="Arial" w:hAnsi="Arial" w:cs="Arial"/>
                <w:sz w:val="16"/>
                <w:szCs w:val="16"/>
              </w:rPr>
              <w:noBreakHyphen/>
            </w:r>
            <w:r w:rsidRPr="00E16721">
              <w:rPr>
                <w:rFonts w:ascii="Arial" w:hAnsi="Arial" w:cs="Arial"/>
                <w:sz w:val="16"/>
                <w:szCs w:val="16"/>
              </w:rPr>
              <w:t>22</w:t>
            </w:r>
          </w:p>
        </w:tc>
        <w:tc>
          <w:tcPr>
            <w:tcW w:w="508" w:type="pct"/>
            <w:tcBorders>
              <w:top w:val="single" w:sz="4" w:space="0" w:color="auto"/>
              <w:left w:val="nil"/>
              <w:bottom w:val="nil"/>
              <w:right w:val="nil"/>
            </w:tcBorders>
            <w:shd w:val="clear" w:color="000000" w:fill="F2F9FC"/>
            <w:noWrap/>
            <w:vAlign w:val="center"/>
            <w:hideMark/>
          </w:tcPr>
          <w:p w14:paraId="35C66444" w14:textId="3B15806A" w:rsidR="00E16721" w:rsidRPr="00E16721" w:rsidRDefault="00E16721" w:rsidP="00E16721">
            <w:pPr>
              <w:spacing w:after="0" w:line="240" w:lineRule="auto"/>
              <w:jc w:val="right"/>
              <w:rPr>
                <w:rFonts w:ascii="Arial" w:hAnsi="Arial" w:cs="Arial"/>
                <w:sz w:val="16"/>
                <w:szCs w:val="16"/>
              </w:rPr>
            </w:pPr>
            <w:r w:rsidRPr="00E16721">
              <w:rPr>
                <w:rFonts w:ascii="Arial" w:hAnsi="Arial" w:cs="Arial"/>
                <w:sz w:val="16"/>
                <w:szCs w:val="16"/>
              </w:rPr>
              <w:t>2022</w:t>
            </w:r>
            <w:r w:rsidR="00660645">
              <w:rPr>
                <w:rFonts w:ascii="Arial" w:hAnsi="Arial" w:cs="Arial"/>
                <w:sz w:val="16"/>
                <w:szCs w:val="16"/>
              </w:rPr>
              <w:noBreakHyphen/>
            </w:r>
            <w:r w:rsidRPr="00E16721">
              <w:rPr>
                <w:rFonts w:ascii="Arial" w:hAnsi="Arial" w:cs="Arial"/>
                <w:sz w:val="16"/>
                <w:szCs w:val="16"/>
              </w:rPr>
              <w:t>23</w:t>
            </w:r>
          </w:p>
        </w:tc>
        <w:tc>
          <w:tcPr>
            <w:tcW w:w="508" w:type="pct"/>
            <w:tcBorders>
              <w:top w:val="single" w:sz="4" w:space="0" w:color="auto"/>
              <w:left w:val="nil"/>
              <w:bottom w:val="nil"/>
              <w:right w:val="nil"/>
            </w:tcBorders>
            <w:shd w:val="clear" w:color="000000" w:fill="FFFFFF"/>
            <w:noWrap/>
            <w:vAlign w:val="center"/>
            <w:hideMark/>
          </w:tcPr>
          <w:p w14:paraId="170150E8" w14:textId="7D46C351" w:rsidR="00E16721" w:rsidRPr="00E16721" w:rsidRDefault="00E16721" w:rsidP="00E16721">
            <w:pPr>
              <w:spacing w:after="0" w:line="240" w:lineRule="auto"/>
              <w:jc w:val="right"/>
              <w:rPr>
                <w:rFonts w:ascii="Arial" w:hAnsi="Arial" w:cs="Arial"/>
                <w:sz w:val="16"/>
                <w:szCs w:val="16"/>
              </w:rPr>
            </w:pPr>
            <w:r w:rsidRPr="00E16721">
              <w:rPr>
                <w:rFonts w:ascii="Arial" w:hAnsi="Arial" w:cs="Arial"/>
                <w:sz w:val="16"/>
                <w:szCs w:val="16"/>
              </w:rPr>
              <w:t>2023</w:t>
            </w:r>
            <w:r w:rsidR="00660645">
              <w:rPr>
                <w:rFonts w:ascii="Arial" w:hAnsi="Arial" w:cs="Arial"/>
                <w:sz w:val="16"/>
                <w:szCs w:val="16"/>
              </w:rPr>
              <w:noBreakHyphen/>
            </w:r>
            <w:r w:rsidRPr="00E16721">
              <w:rPr>
                <w:rFonts w:ascii="Arial" w:hAnsi="Arial" w:cs="Arial"/>
                <w:sz w:val="16"/>
                <w:szCs w:val="16"/>
              </w:rPr>
              <w:t>24</w:t>
            </w:r>
          </w:p>
        </w:tc>
        <w:tc>
          <w:tcPr>
            <w:tcW w:w="508" w:type="pct"/>
            <w:tcBorders>
              <w:top w:val="single" w:sz="4" w:space="0" w:color="auto"/>
              <w:left w:val="nil"/>
              <w:bottom w:val="nil"/>
              <w:right w:val="nil"/>
            </w:tcBorders>
            <w:shd w:val="clear" w:color="000000" w:fill="FFFFFF"/>
            <w:noWrap/>
            <w:vAlign w:val="center"/>
            <w:hideMark/>
          </w:tcPr>
          <w:p w14:paraId="2889A3B5" w14:textId="46BF5BA5" w:rsidR="00E16721" w:rsidRPr="00E16721" w:rsidRDefault="00E16721" w:rsidP="00E16721">
            <w:pPr>
              <w:spacing w:after="0" w:line="240" w:lineRule="auto"/>
              <w:jc w:val="right"/>
              <w:rPr>
                <w:rFonts w:ascii="Arial" w:hAnsi="Arial" w:cs="Arial"/>
                <w:sz w:val="16"/>
                <w:szCs w:val="16"/>
              </w:rPr>
            </w:pPr>
            <w:r w:rsidRPr="00E16721">
              <w:rPr>
                <w:rFonts w:ascii="Arial" w:hAnsi="Arial" w:cs="Arial"/>
                <w:sz w:val="16"/>
                <w:szCs w:val="16"/>
              </w:rPr>
              <w:t>2024</w:t>
            </w:r>
            <w:r w:rsidR="00660645">
              <w:rPr>
                <w:rFonts w:ascii="Arial" w:hAnsi="Arial" w:cs="Arial"/>
                <w:sz w:val="16"/>
                <w:szCs w:val="16"/>
              </w:rPr>
              <w:noBreakHyphen/>
            </w:r>
            <w:r w:rsidRPr="00E16721">
              <w:rPr>
                <w:rFonts w:ascii="Arial" w:hAnsi="Arial" w:cs="Arial"/>
                <w:sz w:val="16"/>
                <w:szCs w:val="16"/>
              </w:rPr>
              <w:t>25</w:t>
            </w:r>
          </w:p>
        </w:tc>
        <w:tc>
          <w:tcPr>
            <w:tcW w:w="508" w:type="pct"/>
            <w:tcBorders>
              <w:top w:val="single" w:sz="4" w:space="0" w:color="auto"/>
              <w:left w:val="nil"/>
              <w:bottom w:val="nil"/>
              <w:right w:val="nil"/>
            </w:tcBorders>
            <w:shd w:val="clear" w:color="000000" w:fill="FFFFFF"/>
            <w:noWrap/>
            <w:vAlign w:val="center"/>
            <w:hideMark/>
          </w:tcPr>
          <w:p w14:paraId="435A1EE9" w14:textId="43F3BA1D"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2025</w:t>
            </w:r>
            <w:r w:rsidR="00660645">
              <w:rPr>
                <w:rFonts w:ascii="Arial" w:hAnsi="Arial" w:cs="Arial"/>
                <w:color w:val="000000"/>
                <w:sz w:val="16"/>
                <w:szCs w:val="16"/>
              </w:rPr>
              <w:noBreakHyphen/>
            </w:r>
            <w:r w:rsidRPr="00E16721">
              <w:rPr>
                <w:rFonts w:ascii="Arial" w:hAnsi="Arial" w:cs="Arial"/>
                <w:color w:val="000000"/>
                <w:sz w:val="16"/>
                <w:szCs w:val="16"/>
              </w:rPr>
              <w:t>26</w:t>
            </w:r>
          </w:p>
        </w:tc>
      </w:tr>
      <w:tr w:rsidR="00142254" w:rsidRPr="00E16721" w14:paraId="6B016EB8"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5E034E05" w14:textId="77777777" w:rsidR="00E16721" w:rsidRPr="00E16721" w:rsidRDefault="00E16721" w:rsidP="00E16721">
            <w:pPr>
              <w:spacing w:after="0" w:line="240" w:lineRule="auto"/>
              <w:jc w:val="center"/>
              <w:rPr>
                <w:rFonts w:ascii="Arial" w:hAnsi="Arial" w:cs="Arial"/>
                <w:b/>
                <w:bCs/>
                <w:sz w:val="16"/>
                <w:szCs w:val="16"/>
              </w:rPr>
            </w:pPr>
            <w:r w:rsidRPr="00E16721">
              <w:rPr>
                <w:rFonts w:ascii="Arial" w:hAnsi="Arial" w:cs="Arial"/>
                <w:b/>
                <w:bCs/>
                <w:sz w:val="16"/>
                <w:szCs w:val="16"/>
              </w:rPr>
              <w:t> </w:t>
            </w:r>
          </w:p>
        </w:tc>
        <w:tc>
          <w:tcPr>
            <w:tcW w:w="268" w:type="pct"/>
            <w:tcBorders>
              <w:top w:val="nil"/>
              <w:left w:val="nil"/>
              <w:bottom w:val="nil"/>
              <w:right w:val="nil"/>
            </w:tcBorders>
            <w:shd w:val="clear" w:color="000000" w:fill="FFFFFF"/>
            <w:noWrap/>
            <w:vAlign w:val="center"/>
            <w:hideMark/>
          </w:tcPr>
          <w:p w14:paraId="3FD4FECB" w14:textId="77777777" w:rsidR="00E16721" w:rsidRPr="00E16721" w:rsidRDefault="00E16721" w:rsidP="00E16721">
            <w:pPr>
              <w:spacing w:after="0" w:line="240" w:lineRule="auto"/>
              <w:jc w:val="left"/>
              <w:rPr>
                <w:rFonts w:ascii="Arial" w:hAnsi="Arial" w:cs="Arial"/>
                <w:sz w:val="16"/>
                <w:szCs w:val="16"/>
              </w:rPr>
            </w:pPr>
            <w:r w:rsidRPr="00E16721">
              <w:rPr>
                <w:rFonts w:ascii="Arial" w:hAnsi="Arial" w:cs="Arial"/>
                <w:sz w:val="16"/>
                <w:szCs w:val="16"/>
              </w:rPr>
              <w:t> </w:t>
            </w:r>
          </w:p>
        </w:tc>
        <w:tc>
          <w:tcPr>
            <w:tcW w:w="509" w:type="pct"/>
            <w:tcBorders>
              <w:top w:val="nil"/>
              <w:left w:val="nil"/>
              <w:bottom w:val="single" w:sz="4" w:space="0" w:color="auto"/>
              <w:right w:val="nil"/>
            </w:tcBorders>
            <w:shd w:val="clear" w:color="000000" w:fill="FFFFFF"/>
            <w:noWrap/>
            <w:vAlign w:val="center"/>
            <w:hideMark/>
          </w:tcPr>
          <w:p w14:paraId="693F7794"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$m</w:t>
            </w:r>
          </w:p>
        </w:tc>
        <w:tc>
          <w:tcPr>
            <w:tcW w:w="508" w:type="pct"/>
            <w:tcBorders>
              <w:top w:val="nil"/>
              <w:left w:val="nil"/>
              <w:bottom w:val="single" w:sz="4" w:space="0" w:color="auto"/>
              <w:right w:val="nil"/>
            </w:tcBorders>
            <w:shd w:val="clear" w:color="000000" w:fill="F2F9FC"/>
            <w:noWrap/>
            <w:vAlign w:val="center"/>
            <w:hideMark/>
          </w:tcPr>
          <w:p w14:paraId="42DB4DB2"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$m</w:t>
            </w:r>
          </w:p>
        </w:tc>
        <w:tc>
          <w:tcPr>
            <w:tcW w:w="508" w:type="pct"/>
            <w:tcBorders>
              <w:top w:val="nil"/>
              <w:left w:val="nil"/>
              <w:bottom w:val="single" w:sz="4" w:space="0" w:color="auto"/>
              <w:right w:val="nil"/>
            </w:tcBorders>
            <w:shd w:val="clear" w:color="000000" w:fill="FFFFFF"/>
            <w:noWrap/>
            <w:vAlign w:val="center"/>
            <w:hideMark/>
          </w:tcPr>
          <w:p w14:paraId="724072D6"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$m</w:t>
            </w:r>
          </w:p>
        </w:tc>
        <w:tc>
          <w:tcPr>
            <w:tcW w:w="508" w:type="pct"/>
            <w:tcBorders>
              <w:top w:val="nil"/>
              <w:left w:val="nil"/>
              <w:bottom w:val="single" w:sz="4" w:space="0" w:color="auto"/>
              <w:right w:val="nil"/>
            </w:tcBorders>
            <w:shd w:val="clear" w:color="000000" w:fill="FFFFFF"/>
            <w:noWrap/>
            <w:vAlign w:val="center"/>
            <w:hideMark/>
          </w:tcPr>
          <w:p w14:paraId="2D827F65"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$m</w:t>
            </w:r>
          </w:p>
        </w:tc>
        <w:tc>
          <w:tcPr>
            <w:tcW w:w="508" w:type="pct"/>
            <w:tcBorders>
              <w:top w:val="nil"/>
              <w:left w:val="nil"/>
              <w:bottom w:val="single" w:sz="4" w:space="0" w:color="auto"/>
              <w:right w:val="nil"/>
            </w:tcBorders>
            <w:shd w:val="clear" w:color="000000" w:fill="FFFFFF"/>
            <w:noWrap/>
            <w:vAlign w:val="center"/>
            <w:hideMark/>
          </w:tcPr>
          <w:p w14:paraId="025DFEB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$m</w:t>
            </w:r>
          </w:p>
        </w:tc>
      </w:tr>
      <w:tr w:rsidR="00142254" w:rsidRPr="00E16721" w14:paraId="41771CC6" w14:textId="77777777" w:rsidTr="00142254">
        <w:trPr>
          <w:trHeight w:hRule="exact" w:val="225"/>
        </w:trPr>
        <w:tc>
          <w:tcPr>
            <w:tcW w:w="2190" w:type="pct"/>
            <w:tcBorders>
              <w:top w:val="nil"/>
              <w:left w:val="nil"/>
              <w:bottom w:val="nil"/>
              <w:right w:val="nil"/>
            </w:tcBorders>
            <w:shd w:val="clear" w:color="000000" w:fill="FFFFFF"/>
            <w:vAlign w:val="center"/>
            <w:hideMark/>
          </w:tcPr>
          <w:p w14:paraId="31018A8C" w14:textId="0B98698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Non</w:t>
            </w:r>
            <w:r w:rsidR="00660645">
              <w:rPr>
                <w:rFonts w:ascii="Arial" w:hAnsi="Arial" w:cs="Arial"/>
                <w:b/>
                <w:bCs/>
                <w:color w:val="000000"/>
                <w:sz w:val="16"/>
                <w:szCs w:val="16"/>
              </w:rPr>
              <w:noBreakHyphen/>
            </w:r>
            <w:r w:rsidRPr="00E16721">
              <w:rPr>
                <w:rFonts w:ascii="Arial" w:hAnsi="Arial" w:cs="Arial"/>
                <w:b/>
                <w:bCs/>
                <w:color w:val="000000"/>
                <w:sz w:val="16"/>
                <w:szCs w:val="16"/>
              </w:rPr>
              <w:t>owner movements in equity</w:t>
            </w:r>
          </w:p>
        </w:tc>
        <w:tc>
          <w:tcPr>
            <w:tcW w:w="268" w:type="pct"/>
            <w:tcBorders>
              <w:top w:val="nil"/>
              <w:left w:val="nil"/>
              <w:bottom w:val="nil"/>
              <w:right w:val="nil"/>
            </w:tcBorders>
            <w:shd w:val="clear" w:color="000000" w:fill="FFFFFF"/>
            <w:noWrap/>
            <w:vAlign w:val="center"/>
            <w:hideMark/>
          </w:tcPr>
          <w:p w14:paraId="232CF773"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0F1DC169"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03918954"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014E0721"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29742587"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67D069C8"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1D82ED34" w14:textId="77777777" w:rsidTr="00142254">
        <w:trPr>
          <w:trHeight w:hRule="exact" w:val="225"/>
        </w:trPr>
        <w:tc>
          <w:tcPr>
            <w:tcW w:w="2190" w:type="pct"/>
            <w:tcBorders>
              <w:top w:val="nil"/>
              <w:left w:val="nil"/>
              <w:bottom w:val="nil"/>
              <w:right w:val="nil"/>
            </w:tcBorders>
            <w:shd w:val="clear" w:color="000000" w:fill="FFFFFF"/>
            <w:vAlign w:val="center"/>
            <w:hideMark/>
          </w:tcPr>
          <w:p w14:paraId="1197A482" w14:textId="77777777" w:rsidR="00E16721" w:rsidRPr="00E16721" w:rsidRDefault="00E16721" w:rsidP="00142254">
            <w:pPr>
              <w:spacing w:after="0" w:line="240" w:lineRule="auto"/>
              <w:ind w:left="170"/>
              <w:jc w:val="left"/>
              <w:rPr>
                <w:rFonts w:ascii="Arial" w:hAnsi="Arial" w:cs="Arial"/>
                <w:color w:val="000000"/>
                <w:sz w:val="16"/>
                <w:szCs w:val="16"/>
              </w:rPr>
            </w:pPr>
            <w:r w:rsidRPr="00E16721">
              <w:rPr>
                <w:rFonts w:ascii="Arial" w:hAnsi="Arial" w:cs="Arial"/>
                <w:color w:val="000000"/>
                <w:sz w:val="16"/>
                <w:szCs w:val="16"/>
              </w:rPr>
              <w:t>Revaluation of equity investments</w:t>
            </w:r>
          </w:p>
        </w:tc>
        <w:tc>
          <w:tcPr>
            <w:tcW w:w="268" w:type="pct"/>
            <w:tcBorders>
              <w:top w:val="nil"/>
              <w:left w:val="nil"/>
              <w:bottom w:val="nil"/>
              <w:right w:val="nil"/>
            </w:tcBorders>
            <w:shd w:val="clear" w:color="000000" w:fill="FFFFFF"/>
            <w:noWrap/>
            <w:vAlign w:val="center"/>
            <w:hideMark/>
          </w:tcPr>
          <w:p w14:paraId="018EDB22"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0795AE7" w14:textId="52CE0DA4"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8,494</w:t>
            </w:r>
          </w:p>
        </w:tc>
        <w:tc>
          <w:tcPr>
            <w:tcW w:w="508" w:type="pct"/>
            <w:tcBorders>
              <w:top w:val="nil"/>
              <w:left w:val="nil"/>
              <w:bottom w:val="nil"/>
              <w:right w:val="nil"/>
            </w:tcBorders>
            <w:shd w:val="clear" w:color="000000" w:fill="F2F9FC"/>
            <w:noWrap/>
            <w:vAlign w:val="center"/>
            <w:hideMark/>
          </w:tcPr>
          <w:p w14:paraId="2AA12890"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6,348</w:t>
            </w:r>
          </w:p>
        </w:tc>
        <w:tc>
          <w:tcPr>
            <w:tcW w:w="508" w:type="pct"/>
            <w:tcBorders>
              <w:top w:val="nil"/>
              <w:left w:val="nil"/>
              <w:bottom w:val="nil"/>
              <w:right w:val="nil"/>
            </w:tcBorders>
            <w:shd w:val="clear" w:color="000000" w:fill="FFFFFF"/>
            <w:noWrap/>
            <w:vAlign w:val="center"/>
            <w:hideMark/>
          </w:tcPr>
          <w:p w14:paraId="039DD6B0"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5941BE28"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4A28E26B"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r>
      <w:tr w:rsidR="00142254" w:rsidRPr="00E16721" w14:paraId="34CD72BC" w14:textId="77777777" w:rsidTr="00142254">
        <w:trPr>
          <w:trHeight w:hRule="exact" w:val="225"/>
        </w:trPr>
        <w:tc>
          <w:tcPr>
            <w:tcW w:w="2190" w:type="pct"/>
            <w:tcBorders>
              <w:top w:val="nil"/>
              <w:left w:val="nil"/>
              <w:bottom w:val="nil"/>
              <w:right w:val="nil"/>
            </w:tcBorders>
            <w:shd w:val="clear" w:color="000000" w:fill="FFFFFF"/>
            <w:vAlign w:val="center"/>
            <w:hideMark/>
          </w:tcPr>
          <w:p w14:paraId="42D29E8F" w14:textId="77777777" w:rsidR="00E16721" w:rsidRPr="00E16721" w:rsidRDefault="00E16721" w:rsidP="00142254">
            <w:pPr>
              <w:spacing w:after="0" w:line="240" w:lineRule="auto"/>
              <w:ind w:left="170"/>
              <w:jc w:val="left"/>
              <w:rPr>
                <w:rFonts w:ascii="Arial" w:hAnsi="Arial" w:cs="Arial"/>
                <w:color w:val="000000"/>
                <w:sz w:val="16"/>
                <w:szCs w:val="16"/>
              </w:rPr>
            </w:pPr>
            <w:r w:rsidRPr="00E16721">
              <w:rPr>
                <w:rFonts w:ascii="Arial" w:hAnsi="Arial" w:cs="Arial"/>
                <w:color w:val="000000"/>
                <w:sz w:val="16"/>
                <w:szCs w:val="16"/>
              </w:rPr>
              <w:t xml:space="preserve">Actuarial revaluations </w:t>
            </w:r>
          </w:p>
        </w:tc>
        <w:tc>
          <w:tcPr>
            <w:tcW w:w="268" w:type="pct"/>
            <w:tcBorders>
              <w:top w:val="nil"/>
              <w:left w:val="nil"/>
              <w:bottom w:val="nil"/>
              <w:right w:val="nil"/>
            </w:tcBorders>
            <w:shd w:val="clear" w:color="000000" w:fill="FFFFFF"/>
            <w:noWrap/>
            <w:vAlign w:val="center"/>
            <w:hideMark/>
          </w:tcPr>
          <w:p w14:paraId="2519B668"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6677812E" w14:textId="5BE8ACAE"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880</w:t>
            </w:r>
          </w:p>
        </w:tc>
        <w:tc>
          <w:tcPr>
            <w:tcW w:w="508" w:type="pct"/>
            <w:tcBorders>
              <w:top w:val="nil"/>
              <w:left w:val="nil"/>
              <w:bottom w:val="nil"/>
              <w:right w:val="nil"/>
            </w:tcBorders>
            <w:shd w:val="clear" w:color="000000" w:fill="F2F9FC"/>
            <w:noWrap/>
            <w:vAlign w:val="center"/>
            <w:hideMark/>
          </w:tcPr>
          <w:p w14:paraId="11A3B3E8" w14:textId="067E8D35"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190</w:t>
            </w:r>
          </w:p>
        </w:tc>
        <w:tc>
          <w:tcPr>
            <w:tcW w:w="508" w:type="pct"/>
            <w:tcBorders>
              <w:top w:val="nil"/>
              <w:left w:val="nil"/>
              <w:bottom w:val="nil"/>
              <w:right w:val="nil"/>
            </w:tcBorders>
            <w:shd w:val="clear" w:color="000000" w:fill="FFFFFF"/>
            <w:noWrap/>
            <w:vAlign w:val="center"/>
            <w:hideMark/>
          </w:tcPr>
          <w:p w14:paraId="503977DD" w14:textId="39FDBD0F"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195</w:t>
            </w:r>
          </w:p>
        </w:tc>
        <w:tc>
          <w:tcPr>
            <w:tcW w:w="508" w:type="pct"/>
            <w:tcBorders>
              <w:top w:val="nil"/>
              <w:left w:val="nil"/>
              <w:bottom w:val="nil"/>
              <w:right w:val="nil"/>
            </w:tcBorders>
            <w:shd w:val="clear" w:color="000000" w:fill="FFFFFF"/>
            <w:noWrap/>
            <w:vAlign w:val="center"/>
            <w:hideMark/>
          </w:tcPr>
          <w:p w14:paraId="47B8360C" w14:textId="0ADEBBA6"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198</w:t>
            </w:r>
          </w:p>
        </w:tc>
        <w:tc>
          <w:tcPr>
            <w:tcW w:w="508" w:type="pct"/>
            <w:tcBorders>
              <w:top w:val="nil"/>
              <w:left w:val="nil"/>
              <w:bottom w:val="nil"/>
              <w:right w:val="nil"/>
            </w:tcBorders>
            <w:shd w:val="clear" w:color="000000" w:fill="FFFFFF"/>
            <w:noWrap/>
            <w:vAlign w:val="center"/>
            <w:hideMark/>
          </w:tcPr>
          <w:p w14:paraId="00FE3F42" w14:textId="08960FB6"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210</w:t>
            </w:r>
          </w:p>
        </w:tc>
      </w:tr>
      <w:tr w:rsidR="00142254" w:rsidRPr="00E16721" w14:paraId="7F9498A8" w14:textId="77777777" w:rsidTr="00142254">
        <w:trPr>
          <w:trHeight w:hRule="exact" w:val="225"/>
        </w:trPr>
        <w:tc>
          <w:tcPr>
            <w:tcW w:w="2190" w:type="pct"/>
            <w:tcBorders>
              <w:top w:val="nil"/>
              <w:left w:val="nil"/>
              <w:bottom w:val="nil"/>
              <w:right w:val="nil"/>
            </w:tcBorders>
            <w:shd w:val="clear" w:color="000000" w:fill="FFFFFF"/>
            <w:vAlign w:val="center"/>
            <w:hideMark/>
          </w:tcPr>
          <w:p w14:paraId="48B77322" w14:textId="77777777" w:rsidR="00E16721" w:rsidRPr="00E16721" w:rsidRDefault="00E16721" w:rsidP="00142254">
            <w:pPr>
              <w:spacing w:after="0" w:line="240" w:lineRule="auto"/>
              <w:ind w:left="170"/>
              <w:jc w:val="left"/>
              <w:rPr>
                <w:rFonts w:ascii="Arial" w:hAnsi="Arial" w:cs="Arial"/>
                <w:color w:val="000000"/>
                <w:sz w:val="16"/>
                <w:szCs w:val="16"/>
              </w:rPr>
            </w:pPr>
            <w:r w:rsidRPr="00E16721">
              <w:rPr>
                <w:rFonts w:ascii="Arial" w:hAnsi="Arial" w:cs="Arial"/>
                <w:color w:val="000000"/>
                <w:sz w:val="16"/>
                <w:szCs w:val="16"/>
              </w:rPr>
              <w:t>Other economic revaluations</w:t>
            </w:r>
          </w:p>
        </w:tc>
        <w:tc>
          <w:tcPr>
            <w:tcW w:w="268" w:type="pct"/>
            <w:tcBorders>
              <w:top w:val="nil"/>
              <w:left w:val="nil"/>
              <w:bottom w:val="nil"/>
              <w:right w:val="nil"/>
            </w:tcBorders>
            <w:shd w:val="clear" w:color="000000" w:fill="FFFFFF"/>
            <w:noWrap/>
            <w:vAlign w:val="center"/>
            <w:hideMark/>
          </w:tcPr>
          <w:p w14:paraId="40C8C6B7"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17C371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1,061</w:t>
            </w:r>
          </w:p>
        </w:tc>
        <w:tc>
          <w:tcPr>
            <w:tcW w:w="508" w:type="pct"/>
            <w:tcBorders>
              <w:top w:val="nil"/>
              <w:left w:val="nil"/>
              <w:bottom w:val="nil"/>
              <w:right w:val="nil"/>
            </w:tcBorders>
            <w:shd w:val="clear" w:color="000000" w:fill="F2F9FC"/>
            <w:noWrap/>
            <w:vAlign w:val="center"/>
            <w:hideMark/>
          </w:tcPr>
          <w:p w14:paraId="455A5AAD"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60</w:t>
            </w:r>
          </w:p>
        </w:tc>
        <w:tc>
          <w:tcPr>
            <w:tcW w:w="508" w:type="pct"/>
            <w:tcBorders>
              <w:top w:val="nil"/>
              <w:left w:val="nil"/>
              <w:bottom w:val="nil"/>
              <w:right w:val="nil"/>
            </w:tcBorders>
            <w:shd w:val="clear" w:color="000000" w:fill="FFFFFF"/>
            <w:noWrap/>
            <w:vAlign w:val="center"/>
            <w:hideMark/>
          </w:tcPr>
          <w:p w14:paraId="36557949"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51</w:t>
            </w:r>
          </w:p>
        </w:tc>
        <w:tc>
          <w:tcPr>
            <w:tcW w:w="508" w:type="pct"/>
            <w:tcBorders>
              <w:top w:val="nil"/>
              <w:left w:val="nil"/>
              <w:bottom w:val="nil"/>
              <w:right w:val="nil"/>
            </w:tcBorders>
            <w:shd w:val="clear" w:color="000000" w:fill="FFFFFF"/>
            <w:noWrap/>
            <w:vAlign w:val="center"/>
            <w:hideMark/>
          </w:tcPr>
          <w:p w14:paraId="081AC894"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2,157</w:t>
            </w:r>
          </w:p>
        </w:tc>
        <w:tc>
          <w:tcPr>
            <w:tcW w:w="508" w:type="pct"/>
            <w:tcBorders>
              <w:top w:val="nil"/>
              <w:left w:val="nil"/>
              <w:bottom w:val="nil"/>
              <w:right w:val="nil"/>
            </w:tcBorders>
            <w:shd w:val="clear" w:color="000000" w:fill="FFFFFF"/>
            <w:noWrap/>
            <w:vAlign w:val="center"/>
            <w:hideMark/>
          </w:tcPr>
          <w:p w14:paraId="068D8E31"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41</w:t>
            </w:r>
          </w:p>
        </w:tc>
      </w:tr>
      <w:tr w:rsidR="00142254" w:rsidRPr="00E16721" w14:paraId="27C94FA8" w14:textId="77777777" w:rsidTr="00142254">
        <w:trPr>
          <w:trHeight w:hRule="exact" w:val="225"/>
        </w:trPr>
        <w:tc>
          <w:tcPr>
            <w:tcW w:w="2190" w:type="pct"/>
            <w:tcBorders>
              <w:top w:val="nil"/>
              <w:left w:val="nil"/>
              <w:bottom w:val="nil"/>
              <w:right w:val="nil"/>
            </w:tcBorders>
            <w:shd w:val="clear" w:color="000000" w:fill="FFFFFF"/>
            <w:vAlign w:val="center"/>
            <w:hideMark/>
          </w:tcPr>
          <w:p w14:paraId="02B16157" w14:textId="52B2A5B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Total other economic flows</w:t>
            </w:r>
            <w:r w:rsidR="00AB49AD">
              <w:rPr>
                <w:rFonts w:ascii="Arial" w:hAnsi="Arial" w:cs="Arial"/>
                <w:b/>
                <w:bCs/>
                <w:color w:val="000000"/>
                <w:sz w:val="16"/>
                <w:szCs w:val="16"/>
              </w:rPr>
              <w:t xml:space="preserve"> –</w:t>
            </w:r>
          </w:p>
        </w:tc>
        <w:tc>
          <w:tcPr>
            <w:tcW w:w="268" w:type="pct"/>
            <w:tcBorders>
              <w:top w:val="nil"/>
              <w:left w:val="nil"/>
              <w:bottom w:val="nil"/>
              <w:right w:val="nil"/>
            </w:tcBorders>
            <w:shd w:val="clear" w:color="000000" w:fill="FFFFFF"/>
            <w:noWrap/>
            <w:vAlign w:val="center"/>
            <w:hideMark/>
          </w:tcPr>
          <w:p w14:paraId="69F00744"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3853B28B" w14:textId="77777777"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7DF54C1E"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467621FE" w14:textId="77777777"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3D02FA4B" w14:textId="77777777"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3648F41A" w14:textId="77777777"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 </w:t>
            </w:r>
          </w:p>
        </w:tc>
      </w:tr>
      <w:tr w:rsidR="00142254" w:rsidRPr="00E16721" w14:paraId="142BE14A" w14:textId="77777777" w:rsidTr="00142254">
        <w:trPr>
          <w:trHeight w:hRule="exact" w:val="225"/>
        </w:trPr>
        <w:tc>
          <w:tcPr>
            <w:tcW w:w="2190" w:type="pct"/>
            <w:tcBorders>
              <w:top w:val="nil"/>
              <w:left w:val="nil"/>
              <w:bottom w:val="nil"/>
              <w:right w:val="nil"/>
            </w:tcBorders>
            <w:shd w:val="clear" w:color="000000" w:fill="FFFFFF"/>
            <w:vAlign w:val="center"/>
            <w:hideMark/>
          </w:tcPr>
          <w:p w14:paraId="71019B12" w14:textId="77777777" w:rsidR="00E16721" w:rsidRPr="00E16721" w:rsidRDefault="00E16721" w:rsidP="00142254">
            <w:pPr>
              <w:spacing w:after="0" w:line="240" w:lineRule="auto"/>
              <w:ind w:left="170"/>
              <w:jc w:val="left"/>
              <w:rPr>
                <w:rFonts w:ascii="Arial" w:hAnsi="Arial" w:cs="Arial"/>
                <w:b/>
                <w:bCs/>
                <w:color w:val="000000"/>
                <w:sz w:val="16"/>
                <w:szCs w:val="16"/>
              </w:rPr>
            </w:pPr>
            <w:r w:rsidRPr="00E16721">
              <w:rPr>
                <w:rFonts w:ascii="Arial" w:hAnsi="Arial" w:cs="Arial"/>
                <w:b/>
                <w:bCs/>
                <w:color w:val="000000"/>
                <w:sz w:val="16"/>
                <w:szCs w:val="16"/>
              </w:rPr>
              <w:t>included in equity</w:t>
            </w:r>
          </w:p>
        </w:tc>
        <w:tc>
          <w:tcPr>
            <w:tcW w:w="268" w:type="pct"/>
            <w:tcBorders>
              <w:top w:val="nil"/>
              <w:left w:val="nil"/>
              <w:bottom w:val="nil"/>
              <w:right w:val="nil"/>
            </w:tcBorders>
            <w:shd w:val="clear" w:color="000000" w:fill="FFFFFF"/>
            <w:noWrap/>
            <w:vAlign w:val="center"/>
            <w:hideMark/>
          </w:tcPr>
          <w:p w14:paraId="65A706D6"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53BE1EFA" w14:textId="220D77AA"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8,312</w:t>
            </w:r>
          </w:p>
        </w:tc>
        <w:tc>
          <w:tcPr>
            <w:tcW w:w="508" w:type="pct"/>
            <w:tcBorders>
              <w:top w:val="nil"/>
              <w:left w:val="nil"/>
              <w:bottom w:val="nil"/>
              <w:right w:val="nil"/>
            </w:tcBorders>
            <w:shd w:val="clear" w:color="000000" w:fill="F2F9FC"/>
            <w:noWrap/>
            <w:vAlign w:val="center"/>
            <w:hideMark/>
          </w:tcPr>
          <w:p w14:paraId="3FB7317D"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6,218</w:t>
            </w:r>
          </w:p>
        </w:tc>
        <w:tc>
          <w:tcPr>
            <w:tcW w:w="508" w:type="pct"/>
            <w:tcBorders>
              <w:top w:val="nil"/>
              <w:left w:val="nil"/>
              <w:bottom w:val="nil"/>
              <w:right w:val="nil"/>
            </w:tcBorders>
            <w:shd w:val="clear" w:color="000000" w:fill="FFFFFF"/>
            <w:noWrap/>
            <w:vAlign w:val="center"/>
            <w:hideMark/>
          </w:tcPr>
          <w:p w14:paraId="71F26BFD" w14:textId="1D25E866"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144</w:t>
            </w:r>
          </w:p>
        </w:tc>
        <w:tc>
          <w:tcPr>
            <w:tcW w:w="508" w:type="pct"/>
            <w:tcBorders>
              <w:top w:val="nil"/>
              <w:left w:val="nil"/>
              <w:bottom w:val="nil"/>
              <w:right w:val="nil"/>
            </w:tcBorders>
            <w:shd w:val="clear" w:color="000000" w:fill="FFFFFF"/>
            <w:noWrap/>
            <w:vAlign w:val="center"/>
            <w:hideMark/>
          </w:tcPr>
          <w:p w14:paraId="7C25B21B"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1,959</w:t>
            </w:r>
          </w:p>
        </w:tc>
        <w:tc>
          <w:tcPr>
            <w:tcW w:w="508" w:type="pct"/>
            <w:tcBorders>
              <w:top w:val="nil"/>
              <w:left w:val="nil"/>
              <w:bottom w:val="nil"/>
              <w:right w:val="nil"/>
            </w:tcBorders>
            <w:shd w:val="clear" w:color="000000" w:fill="FFFFFF"/>
            <w:noWrap/>
            <w:vAlign w:val="center"/>
            <w:hideMark/>
          </w:tcPr>
          <w:p w14:paraId="4D2EB6E9" w14:textId="121DEE53"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169</w:t>
            </w:r>
          </w:p>
        </w:tc>
      </w:tr>
      <w:tr w:rsidR="00142254" w:rsidRPr="00E16721" w14:paraId="2870BA8D" w14:textId="77777777" w:rsidTr="00142254">
        <w:trPr>
          <w:trHeight w:hRule="exact" w:val="60"/>
        </w:trPr>
        <w:tc>
          <w:tcPr>
            <w:tcW w:w="2190" w:type="pct"/>
            <w:tcBorders>
              <w:top w:val="nil"/>
              <w:left w:val="nil"/>
              <w:bottom w:val="nil"/>
              <w:right w:val="nil"/>
            </w:tcBorders>
            <w:shd w:val="clear" w:color="000000" w:fill="FFFFFF"/>
            <w:vAlign w:val="center"/>
            <w:hideMark/>
          </w:tcPr>
          <w:p w14:paraId="726E82C9" w14:textId="77777777" w:rsidR="00E16721" w:rsidRPr="00E16721" w:rsidRDefault="00E16721" w:rsidP="00142254">
            <w:pPr>
              <w:spacing w:after="0" w:line="240" w:lineRule="auto"/>
              <w:ind w:left="170"/>
              <w:jc w:val="left"/>
              <w:rPr>
                <w:rFonts w:ascii="Arial" w:hAnsi="Arial" w:cs="Arial"/>
                <w:color w:val="000000"/>
                <w:sz w:val="16"/>
                <w:szCs w:val="16"/>
              </w:rPr>
            </w:pPr>
            <w:r w:rsidRPr="00E16721">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hideMark/>
          </w:tcPr>
          <w:p w14:paraId="149C4DFC"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B6884DA"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03BD83E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1879ED31"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188D341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7C140E2C"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r>
      <w:tr w:rsidR="00142254" w:rsidRPr="00E16721" w14:paraId="0270ED42"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07B183C6" w14:textId="21CD3636"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Comprehensive result</w:t>
            </w:r>
            <w:r w:rsidR="00C901F4">
              <w:rPr>
                <w:rFonts w:ascii="Arial" w:hAnsi="Arial" w:cs="Arial"/>
                <w:b/>
                <w:bCs/>
                <w:color w:val="000000"/>
                <w:sz w:val="16"/>
                <w:szCs w:val="16"/>
              </w:rPr>
              <w:t xml:space="preserve"> – </w:t>
            </w:r>
          </w:p>
        </w:tc>
        <w:tc>
          <w:tcPr>
            <w:tcW w:w="268" w:type="pct"/>
            <w:tcBorders>
              <w:top w:val="nil"/>
              <w:left w:val="nil"/>
              <w:bottom w:val="nil"/>
              <w:right w:val="nil"/>
            </w:tcBorders>
            <w:shd w:val="clear" w:color="000000" w:fill="FFFFFF"/>
            <w:noWrap/>
            <w:vAlign w:val="center"/>
            <w:hideMark/>
          </w:tcPr>
          <w:p w14:paraId="40190085"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A35D3FF"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1E12A3C6"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4C219701"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3FAAE46B"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1A09BBA8"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22F78F33"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414AAC8E" w14:textId="77777777" w:rsidR="00E16721" w:rsidRPr="00E16721" w:rsidRDefault="00E16721" w:rsidP="00142254">
            <w:pPr>
              <w:spacing w:after="0" w:line="240" w:lineRule="auto"/>
              <w:ind w:left="170"/>
              <w:jc w:val="left"/>
              <w:rPr>
                <w:rFonts w:ascii="Arial" w:hAnsi="Arial" w:cs="Arial"/>
                <w:b/>
                <w:bCs/>
                <w:color w:val="000000"/>
                <w:sz w:val="16"/>
                <w:szCs w:val="16"/>
              </w:rPr>
            </w:pPr>
            <w:r w:rsidRPr="00E16721">
              <w:rPr>
                <w:rFonts w:ascii="Arial" w:hAnsi="Arial" w:cs="Arial"/>
                <w:b/>
                <w:bCs/>
                <w:color w:val="000000"/>
                <w:sz w:val="16"/>
                <w:szCs w:val="16"/>
              </w:rPr>
              <w:t>Total change in net worth</w:t>
            </w:r>
          </w:p>
        </w:tc>
        <w:tc>
          <w:tcPr>
            <w:tcW w:w="268" w:type="pct"/>
            <w:tcBorders>
              <w:top w:val="nil"/>
              <w:left w:val="nil"/>
              <w:bottom w:val="nil"/>
              <w:right w:val="nil"/>
            </w:tcBorders>
            <w:shd w:val="clear" w:color="000000" w:fill="FFFFFF"/>
            <w:noWrap/>
            <w:vAlign w:val="center"/>
            <w:hideMark/>
          </w:tcPr>
          <w:p w14:paraId="68CAAA8A"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1FD50A4" w14:textId="12B446E8"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35,756</w:t>
            </w:r>
          </w:p>
        </w:tc>
        <w:tc>
          <w:tcPr>
            <w:tcW w:w="508" w:type="pct"/>
            <w:tcBorders>
              <w:top w:val="nil"/>
              <w:left w:val="nil"/>
              <w:bottom w:val="nil"/>
              <w:right w:val="nil"/>
            </w:tcBorders>
            <w:shd w:val="clear" w:color="000000" w:fill="F2F9FC"/>
            <w:noWrap/>
            <w:vAlign w:val="center"/>
            <w:hideMark/>
          </w:tcPr>
          <w:p w14:paraId="2E0B7B9F" w14:textId="06FDA427"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62,247</w:t>
            </w:r>
          </w:p>
        </w:tc>
        <w:tc>
          <w:tcPr>
            <w:tcW w:w="508" w:type="pct"/>
            <w:tcBorders>
              <w:top w:val="nil"/>
              <w:left w:val="nil"/>
              <w:bottom w:val="nil"/>
              <w:right w:val="nil"/>
            </w:tcBorders>
            <w:shd w:val="clear" w:color="000000" w:fill="FFFFFF"/>
            <w:noWrap/>
            <w:vAlign w:val="center"/>
            <w:hideMark/>
          </w:tcPr>
          <w:p w14:paraId="099246A7" w14:textId="4F52F0DE"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48,981</w:t>
            </w:r>
          </w:p>
        </w:tc>
        <w:tc>
          <w:tcPr>
            <w:tcW w:w="508" w:type="pct"/>
            <w:tcBorders>
              <w:top w:val="nil"/>
              <w:left w:val="nil"/>
              <w:bottom w:val="nil"/>
              <w:right w:val="nil"/>
            </w:tcBorders>
            <w:shd w:val="clear" w:color="000000" w:fill="FFFFFF"/>
            <w:noWrap/>
            <w:vAlign w:val="center"/>
            <w:hideMark/>
          </w:tcPr>
          <w:p w14:paraId="4BAD1782" w14:textId="6840D075"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41,379</w:t>
            </w:r>
          </w:p>
        </w:tc>
        <w:tc>
          <w:tcPr>
            <w:tcW w:w="508" w:type="pct"/>
            <w:tcBorders>
              <w:top w:val="nil"/>
              <w:left w:val="nil"/>
              <w:bottom w:val="nil"/>
              <w:right w:val="nil"/>
            </w:tcBorders>
            <w:shd w:val="clear" w:color="000000" w:fill="FFFFFF"/>
            <w:noWrap/>
            <w:vAlign w:val="center"/>
            <w:hideMark/>
          </w:tcPr>
          <w:p w14:paraId="4A6BC1D3" w14:textId="5F1F893D"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31,078</w:t>
            </w:r>
          </w:p>
        </w:tc>
      </w:tr>
      <w:tr w:rsidR="00142254" w:rsidRPr="00E16721" w14:paraId="118101EE" w14:textId="77777777" w:rsidTr="00142254">
        <w:trPr>
          <w:trHeight w:hRule="exact" w:val="60"/>
        </w:trPr>
        <w:tc>
          <w:tcPr>
            <w:tcW w:w="2190" w:type="pct"/>
            <w:tcBorders>
              <w:top w:val="nil"/>
              <w:left w:val="nil"/>
              <w:bottom w:val="nil"/>
              <w:right w:val="nil"/>
            </w:tcBorders>
            <w:shd w:val="clear" w:color="000000" w:fill="FFFFFF"/>
            <w:noWrap/>
            <w:vAlign w:val="center"/>
            <w:hideMark/>
          </w:tcPr>
          <w:p w14:paraId="0E3D5F50" w14:textId="77777777" w:rsidR="00E16721" w:rsidRPr="00E16721" w:rsidRDefault="00E16721" w:rsidP="00142254">
            <w:pPr>
              <w:spacing w:after="0" w:line="240" w:lineRule="auto"/>
              <w:ind w:left="170"/>
              <w:jc w:val="left"/>
              <w:rPr>
                <w:rFonts w:ascii="Arial" w:hAnsi="Arial" w:cs="Arial"/>
                <w:b/>
                <w:bCs/>
                <w:color w:val="000000"/>
                <w:sz w:val="16"/>
                <w:szCs w:val="16"/>
              </w:rPr>
            </w:pPr>
            <w:r w:rsidRPr="00E16721">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637E33FC"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7B9D4606"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5B946191"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666FEE96"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6F20D472"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5982FF17"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3B0DCC7A"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1D33C282" w14:textId="7777777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Net operating balance</w:t>
            </w:r>
          </w:p>
        </w:tc>
        <w:tc>
          <w:tcPr>
            <w:tcW w:w="268" w:type="pct"/>
            <w:tcBorders>
              <w:top w:val="nil"/>
              <w:left w:val="nil"/>
              <w:bottom w:val="nil"/>
              <w:right w:val="nil"/>
            </w:tcBorders>
            <w:shd w:val="clear" w:color="000000" w:fill="FFFFFF"/>
            <w:noWrap/>
            <w:vAlign w:val="center"/>
            <w:hideMark/>
          </w:tcPr>
          <w:p w14:paraId="65B9ADCC"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1F4D4A45" w14:textId="67070D41"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73,407</w:t>
            </w:r>
          </w:p>
        </w:tc>
        <w:tc>
          <w:tcPr>
            <w:tcW w:w="508" w:type="pct"/>
            <w:tcBorders>
              <w:top w:val="nil"/>
              <w:left w:val="nil"/>
              <w:bottom w:val="nil"/>
              <w:right w:val="nil"/>
            </w:tcBorders>
            <w:shd w:val="clear" w:color="000000" w:fill="F2F9FC"/>
            <w:noWrap/>
            <w:vAlign w:val="center"/>
            <w:hideMark/>
          </w:tcPr>
          <w:p w14:paraId="732706C4" w14:textId="1A1B7597"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67,230</w:t>
            </w:r>
          </w:p>
        </w:tc>
        <w:tc>
          <w:tcPr>
            <w:tcW w:w="508" w:type="pct"/>
            <w:tcBorders>
              <w:top w:val="nil"/>
              <w:left w:val="nil"/>
              <w:bottom w:val="nil"/>
              <w:right w:val="nil"/>
            </w:tcBorders>
            <w:shd w:val="clear" w:color="000000" w:fill="FFFFFF"/>
            <w:noWrap/>
            <w:vAlign w:val="center"/>
            <w:hideMark/>
          </w:tcPr>
          <w:p w14:paraId="3B3B74E8" w14:textId="4653E42C"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48,154</w:t>
            </w:r>
          </w:p>
        </w:tc>
        <w:tc>
          <w:tcPr>
            <w:tcW w:w="508" w:type="pct"/>
            <w:tcBorders>
              <w:top w:val="nil"/>
              <w:left w:val="nil"/>
              <w:bottom w:val="nil"/>
              <w:right w:val="nil"/>
            </w:tcBorders>
            <w:shd w:val="clear" w:color="000000" w:fill="FFFFFF"/>
            <w:noWrap/>
            <w:vAlign w:val="center"/>
            <w:hideMark/>
          </w:tcPr>
          <w:p w14:paraId="7300AABD" w14:textId="1488601B"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43,619</w:t>
            </w:r>
          </w:p>
        </w:tc>
        <w:tc>
          <w:tcPr>
            <w:tcW w:w="508" w:type="pct"/>
            <w:tcBorders>
              <w:top w:val="nil"/>
              <w:left w:val="nil"/>
              <w:bottom w:val="nil"/>
              <w:right w:val="nil"/>
            </w:tcBorders>
            <w:shd w:val="clear" w:color="000000" w:fill="FFFFFF"/>
            <w:noWrap/>
            <w:vAlign w:val="center"/>
            <w:hideMark/>
          </w:tcPr>
          <w:p w14:paraId="7BA31948" w14:textId="5DAAE076"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31,477</w:t>
            </w:r>
          </w:p>
        </w:tc>
      </w:tr>
      <w:tr w:rsidR="00142254" w:rsidRPr="00E16721" w14:paraId="60D35527" w14:textId="77777777" w:rsidTr="00142254">
        <w:trPr>
          <w:trHeight w:hRule="exact" w:val="60"/>
        </w:trPr>
        <w:tc>
          <w:tcPr>
            <w:tcW w:w="2190" w:type="pct"/>
            <w:tcBorders>
              <w:top w:val="nil"/>
              <w:left w:val="nil"/>
              <w:bottom w:val="nil"/>
              <w:right w:val="nil"/>
            </w:tcBorders>
            <w:shd w:val="clear" w:color="000000" w:fill="FFFFFF"/>
            <w:noWrap/>
            <w:vAlign w:val="center"/>
            <w:hideMark/>
          </w:tcPr>
          <w:p w14:paraId="1B6A3EC3" w14:textId="7777777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 </w:t>
            </w:r>
          </w:p>
        </w:tc>
        <w:tc>
          <w:tcPr>
            <w:tcW w:w="268" w:type="pct"/>
            <w:tcBorders>
              <w:top w:val="nil"/>
              <w:left w:val="nil"/>
              <w:bottom w:val="nil"/>
              <w:right w:val="nil"/>
            </w:tcBorders>
            <w:shd w:val="clear" w:color="000000" w:fill="FFFFFF"/>
            <w:noWrap/>
            <w:vAlign w:val="center"/>
            <w:hideMark/>
          </w:tcPr>
          <w:p w14:paraId="55F67B88"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BEDEF30"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21FDFC06"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27BA4820"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306DB437"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7BA76B7B"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68C45A93"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2676A298" w14:textId="52BC599C"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Net acquisition of non</w:t>
            </w:r>
            <w:r w:rsidR="00660645">
              <w:rPr>
                <w:rFonts w:ascii="Arial" w:hAnsi="Arial" w:cs="Arial"/>
                <w:b/>
                <w:bCs/>
                <w:color w:val="000000"/>
                <w:sz w:val="16"/>
                <w:szCs w:val="16"/>
              </w:rPr>
              <w:noBreakHyphen/>
            </w:r>
            <w:r w:rsidRPr="00E16721">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30486A80"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nil"/>
              <w:right w:val="nil"/>
            </w:tcBorders>
            <w:shd w:val="clear" w:color="000000" w:fill="FFFFFF"/>
            <w:noWrap/>
            <w:vAlign w:val="center"/>
            <w:hideMark/>
          </w:tcPr>
          <w:p w14:paraId="652A7CB3"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29FED4D1"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30371E15"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4D89E265"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3DBF2392"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4F0A0FE1" w14:textId="77777777" w:rsidTr="00142254">
        <w:trPr>
          <w:trHeight w:hRule="exact" w:val="225"/>
        </w:trPr>
        <w:tc>
          <w:tcPr>
            <w:tcW w:w="2190" w:type="pct"/>
            <w:tcBorders>
              <w:top w:val="nil"/>
              <w:left w:val="nil"/>
              <w:bottom w:val="nil"/>
              <w:right w:val="nil"/>
            </w:tcBorders>
            <w:shd w:val="clear" w:color="000000" w:fill="FFFFFF"/>
            <w:vAlign w:val="center"/>
            <w:hideMark/>
          </w:tcPr>
          <w:p w14:paraId="4FD39EA1" w14:textId="45B84104" w:rsidR="00E16721" w:rsidRPr="00E16721" w:rsidRDefault="00E16721" w:rsidP="00E16721">
            <w:pPr>
              <w:spacing w:after="0" w:line="240" w:lineRule="auto"/>
              <w:jc w:val="left"/>
              <w:rPr>
                <w:rFonts w:ascii="Arial" w:hAnsi="Arial" w:cs="Arial"/>
                <w:color w:val="000000"/>
                <w:sz w:val="16"/>
                <w:szCs w:val="16"/>
              </w:rPr>
            </w:pPr>
            <w:r w:rsidRPr="00E16721">
              <w:rPr>
                <w:rFonts w:ascii="Arial" w:hAnsi="Arial" w:cs="Arial"/>
                <w:color w:val="000000"/>
                <w:sz w:val="16"/>
                <w:szCs w:val="16"/>
              </w:rPr>
              <w:t>Purchases of non</w:t>
            </w:r>
            <w:r w:rsidR="00660645">
              <w:rPr>
                <w:rFonts w:ascii="Arial" w:hAnsi="Arial" w:cs="Arial"/>
                <w:color w:val="000000"/>
                <w:sz w:val="16"/>
                <w:szCs w:val="16"/>
              </w:rPr>
              <w:noBreakHyphen/>
            </w:r>
            <w:r w:rsidRPr="00E16721">
              <w:rPr>
                <w:rFonts w:ascii="Arial" w:hAnsi="Arial" w:cs="Arial"/>
                <w:color w:val="000000"/>
                <w:sz w:val="16"/>
                <w:szCs w:val="16"/>
              </w:rPr>
              <w:t>financial assets</w:t>
            </w:r>
          </w:p>
        </w:tc>
        <w:tc>
          <w:tcPr>
            <w:tcW w:w="268" w:type="pct"/>
            <w:tcBorders>
              <w:top w:val="nil"/>
              <w:left w:val="nil"/>
              <w:bottom w:val="nil"/>
              <w:right w:val="nil"/>
            </w:tcBorders>
            <w:shd w:val="clear" w:color="000000" w:fill="FFFFFF"/>
            <w:vAlign w:val="center"/>
            <w:hideMark/>
          </w:tcPr>
          <w:p w14:paraId="04796F8B" w14:textId="77777777" w:rsidR="00E16721" w:rsidRPr="00E16721" w:rsidRDefault="00E16721" w:rsidP="00E16721">
            <w:pPr>
              <w:spacing w:after="0" w:line="240" w:lineRule="auto"/>
              <w:jc w:val="center"/>
              <w:rPr>
                <w:rFonts w:ascii="Arial" w:hAnsi="Arial" w:cs="Arial"/>
                <w:color w:val="000000"/>
                <w:sz w:val="16"/>
                <w:szCs w:val="16"/>
              </w:rPr>
            </w:pPr>
            <w:r w:rsidRPr="00E16721">
              <w:rPr>
                <w:rFonts w:ascii="Arial" w:hAnsi="Arial" w:cs="Arial"/>
                <w:color w:val="000000"/>
                <w:sz w:val="16"/>
                <w:szCs w:val="16"/>
              </w:rPr>
              <w:t> </w:t>
            </w:r>
          </w:p>
        </w:tc>
        <w:tc>
          <w:tcPr>
            <w:tcW w:w="509" w:type="pct"/>
            <w:tcBorders>
              <w:top w:val="nil"/>
              <w:left w:val="nil"/>
              <w:bottom w:val="nil"/>
              <w:right w:val="nil"/>
            </w:tcBorders>
            <w:shd w:val="clear" w:color="000000" w:fill="FFFFFF"/>
            <w:noWrap/>
            <w:vAlign w:val="center"/>
            <w:hideMark/>
          </w:tcPr>
          <w:p w14:paraId="41B8CDEF"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23,025</w:t>
            </w:r>
          </w:p>
        </w:tc>
        <w:tc>
          <w:tcPr>
            <w:tcW w:w="508" w:type="pct"/>
            <w:tcBorders>
              <w:top w:val="nil"/>
              <w:left w:val="nil"/>
              <w:bottom w:val="nil"/>
              <w:right w:val="nil"/>
            </w:tcBorders>
            <w:shd w:val="clear" w:color="000000" w:fill="F2F9FC"/>
            <w:noWrap/>
            <w:vAlign w:val="center"/>
            <w:hideMark/>
          </w:tcPr>
          <w:p w14:paraId="69C12AA1"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22,853</w:t>
            </w:r>
          </w:p>
        </w:tc>
        <w:tc>
          <w:tcPr>
            <w:tcW w:w="508" w:type="pct"/>
            <w:tcBorders>
              <w:top w:val="nil"/>
              <w:left w:val="nil"/>
              <w:bottom w:val="nil"/>
              <w:right w:val="nil"/>
            </w:tcBorders>
            <w:shd w:val="clear" w:color="000000" w:fill="FFFFFF"/>
            <w:noWrap/>
            <w:vAlign w:val="center"/>
            <w:hideMark/>
          </w:tcPr>
          <w:p w14:paraId="328D566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23,139</w:t>
            </w:r>
          </w:p>
        </w:tc>
        <w:tc>
          <w:tcPr>
            <w:tcW w:w="508" w:type="pct"/>
            <w:tcBorders>
              <w:top w:val="nil"/>
              <w:left w:val="nil"/>
              <w:bottom w:val="nil"/>
              <w:right w:val="nil"/>
            </w:tcBorders>
            <w:shd w:val="clear" w:color="000000" w:fill="FFFFFF"/>
            <w:noWrap/>
            <w:vAlign w:val="center"/>
            <w:hideMark/>
          </w:tcPr>
          <w:p w14:paraId="7338872E"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22,766</w:t>
            </w:r>
          </w:p>
        </w:tc>
        <w:tc>
          <w:tcPr>
            <w:tcW w:w="508" w:type="pct"/>
            <w:tcBorders>
              <w:top w:val="nil"/>
              <w:left w:val="nil"/>
              <w:bottom w:val="nil"/>
              <w:right w:val="nil"/>
            </w:tcBorders>
            <w:shd w:val="clear" w:color="000000" w:fill="FFFFFF"/>
            <w:noWrap/>
            <w:vAlign w:val="center"/>
            <w:hideMark/>
          </w:tcPr>
          <w:p w14:paraId="5AA6E0C7"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22,213</w:t>
            </w:r>
          </w:p>
        </w:tc>
      </w:tr>
      <w:tr w:rsidR="00142254" w:rsidRPr="00E16721" w14:paraId="38DC47FA"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500FFF8E" w14:textId="32FF9B8E" w:rsidR="00E16721" w:rsidRPr="00E16721" w:rsidRDefault="00E16721" w:rsidP="00E16721">
            <w:pPr>
              <w:spacing w:after="0" w:line="240" w:lineRule="auto"/>
              <w:jc w:val="left"/>
              <w:rPr>
                <w:rFonts w:ascii="Arial" w:hAnsi="Arial" w:cs="Arial"/>
                <w:i/>
                <w:iCs/>
                <w:color w:val="000000"/>
                <w:sz w:val="16"/>
                <w:szCs w:val="16"/>
              </w:rPr>
            </w:pPr>
            <w:r w:rsidRPr="00E16721">
              <w:rPr>
                <w:rFonts w:ascii="Arial" w:hAnsi="Arial" w:cs="Arial"/>
                <w:i/>
                <w:iCs/>
                <w:color w:val="000000"/>
                <w:sz w:val="16"/>
                <w:szCs w:val="16"/>
              </w:rPr>
              <w:t>less</w:t>
            </w:r>
            <w:r w:rsidRPr="00E16721">
              <w:rPr>
                <w:rFonts w:ascii="Arial" w:hAnsi="Arial" w:cs="Arial"/>
                <w:color w:val="000000"/>
                <w:sz w:val="16"/>
                <w:szCs w:val="16"/>
              </w:rPr>
              <w:t xml:space="preserve"> Sales of non</w:t>
            </w:r>
            <w:r w:rsidR="00660645">
              <w:rPr>
                <w:rFonts w:ascii="Arial" w:hAnsi="Arial" w:cs="Arial"/>
                <w:color w:val="000000"/>
                <w:sz w:val="16"/>
                <w:szCs w:val="16"/>
              </w:rPr>
              <w:noBreakHyphen/>
            </w:r>
            <w:r w:rsidRPr="00E16721">
              <w:rPr>
                <w:rFonts w:ascii="Arial" w:hAnsi="Arial" w:cs="Arial"/>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10CBDC1B"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77C7B266"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1,149</w:t>
            </w:r>
          </w:p>
        </w:tc>
        <w:tc>
          <w:tcPr>
            <w:tcW w:w="508" w:type="pct"/>
            <w:tcBorders>
              <w:top w:val="nil"/>
              <w:left w:val="nil"/>
              <w:bottom w:val="nil"/>
              <w:right w:val="nil"/>
            </w:tcBorders>
            <w:shd w:val="clear" w:color="000000" w:fill="F2F9FC"/>
            <w:noWrap/>
            <w:vAlign w:val="center"/>
            <w:hideMark/>
          </w:tcPr>
          <w:p w14:paraId="4313F4E8"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119</w:t>
            </w:r>
          </w:p>
        </w:tc>
        <w:tc>
          <w:tcPr>
            <w:tcW w:w="508" w:type="pct"/>
            <w:tcBorders>
              <w:top w:val="nil"/>
              <w:left w:val="nil"/>
              <w:bottom w:val="nil"/>
              <w:right w:val="nil"/>
            </w:tcBorders>
            <w:shd w:val="clear" w:color="000000" w:fill="FFFFFF"/>
            <w:noWrap/>
            <w:vAlign w:val="center"/>
            <w:hideMark/>
          </w:tcPr>
          <w:p w14:paraId="6FA739E0"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80</w:t>
            </w:r>
          </w:p>
        </w:tc>
        <w:tc>
          <w:tcPr>
            <w:tcW w:w="508" w:type="pct"/>
            <w:tcBorders>
              <w:top w:val="nil"/>
              <w:left w:val="nil"/>
              <w:bottom w:val="nil"/>
              <w:right w:val="nil"/>
            </w:tcBorders>
            <w:shd w:val="clear" w:color="000000" w:fill="FFFFFF"/>
            <w:noWrap/>
            <w:vAlign w:val="center"/>
            <w:hideMark/>
          </w:tcPr>
          <w:p w14:paraId="7D643F28"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2,215</w:t>
            </w:r>
          </w:p>
        </w:tc>
        <w:tc>
          <w:tcPr>
            <w:tcW w:w="508" w:type="pct"/>
            <w:tcBorders>
              <w:top w:val="nil"/>
              <w:left w:val="nil"/>
              <w:bottom w:val="nil"/>
              <w:right w:val="nil"/>
            </w:tcBorders>
            <w:shd w:val="clear" w:color="000000" w:fill="FFFFFF"/>
            <w:noWrap/>
            <w:vAlign w:val="center"/>
            <w:hideMark/>
          </w:tcPr>
          <w:p w14:paraId="09D7DA3F"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139</w:t>
            </w:r>
          </w:p>
        </w:tc>
      </w:tr>
      <w:tr w:rsidR="00E16721" w:rsidRPr="00E16721" w14:paraId="53D0E0AD"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75C21849" w14:textId="77777777" w:rsidR="00E16721" w:rsidRPr="00E16721" w:rsidRDefault="00E16721" w:rsidP="00E16721">
            <w:pPr>
              <w:spacing w:after="0" w:line="240" w:lineRule="auto"/>
              <w:jc w:val="left"/>
              <w:rPr>
                <w:rFonts w:ascii="Arial" w:hAnsi="Arial" w:cs="Arial"/>
                <w:i/>
                <w:iCs/>
                <w:color w:val="000000"/>
                <w:sz w:val="16"/>
                <w:szCs w:val="16"/>
              </w:rPr>
            </w:pPr>
            <w:r w:rsidRPr="00E16721">
              <w:rPr>
                <w:rFonts w:ascii="Arial" w:hAnsi="Arial" w:cs="Arial"/>
                <w:i/>
                <w:iCs/>
                <w:color w:val="000000"/>
                <w:sz w:val="16"/>
                <w:szCs w:val="16"/>
              </w:rPr>
              <w:t xml:space="preserve">less </w:t>
            </w:r>
            <w:r w:rsidRPr="00E16721">
              <w:rPr>
                <w:rFonts w:ascii="Arial" w:hAnsi="Arial" w:cs="Arial"/>
                <w:color w:val="000000"/>
                <w:sz w:val="16"/>
                <w:szCs w:val="16"/>
              </w:rPr>
              <w:t>Depreciation</w:t>
            </w:r>
          </w:p>
        </w:tc>
        <w:tc>
          <w:tcPr>
            <w:tcW w:w="268" w:type="pct"/>
            <w:tcBorders>
              <w:top w:val="nil"/>
              <w:left w:val="nil"/>
              <w:bottom w:val="nil"/>
              <w:right w:val="nil"/>
            </w:tcBorders>
            <w:shd w:val="clear" w:color="000000" w:fill="FFFFFF"/>
            <w:noWrap/>
            <w:vAlign w:val="center"/>
            <w:hideMark/>
          </w:tcPr>
          <w:p w14:paraId="322A99E3"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275E6C90"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11,745</w:t>
            </w:r>
          </w:p>
        </w:tc>
        <w:tc>
          <w:tcPr>
            <w:tcW w:w="508" w:type="pct"/>
            <w:tcBorders>
              <w:top w:val="nil"/>
              <w:left w:val="nil"/>
              <w:bottom w:val="nil"/>
              <w:right w:val="nil"/>
            </w:tcBorders>
            <w:shd w:val="clear" w:color="000000" w:fill="F2F9FC"/>
            <w:noWrap/>
            <w:vAlign w:val="center"/>
            <w:hideMark/>
          </w:tcPr>
          <w:p w14:paraId="6C7794A5"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12,462</w:t>
            </w:r>
          </w:p>
        </w:tc>
        <w:tc>
          <w:tcPr>
            <w:tcW w:w="508" w:type="pct"/>
            <w:tcBorders>
              <w:top w:val="nil"/>
              <w:left w:val="nil"/>
              <w:bottom w:val="nil"/>
              <w:right w:val="nil"/>
            </w:tcBorders>
            <w:shd w:val="clear" w:color="auto" w:fill="auto"/>
            <w:noWrap/>
            <w:vAlign w:val="center"/>
            <w:hideMark/>
          </w:tcPr>
          <w:p w14:paraId="428E70F5"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13,304</w:t>
            </w:r>
          </w:p>
        </w:tc>
        <w:tc>
          <w:tcPr>
            <w:tcW w:w="508" w:type="pct"/>
            <w:tcBorders>
              <w:top w:val="nil"/>
              <w:left w:val="nil"/>
              <w:bottom w:val="nil"/>
              <w:right w:val="nil"/>
            </w:tcBorders>
            <w:shd w:val="clear" w:color="000000" w:fill="FFFFFF"/>
            <w:noWrap/>
            <w:vAlign w:val="center"/>
            <w:hideMark/>
          </w:tcPr>
          <w:p w14:paraId="6D9039F2"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14,035</w:t>
            </w:r>
          </w:p>
        </w:tc>
        <w:tc>
          <w:tcPr>
            <w:tcW w:w="508" w:type="pct"/>
            <w:tcBorders>
              <w:top w:val="nil"/>
              <w:left w:val="nil"/>
              <w:bottom w:val="nil"/>
              <w:right w:val="nil"/>
            </w:tcBorders>
            <w:shd w:val="clear" w:color="000000" w:fill="FFFFFF"/>
            <w:noWrap/>
            <w:vAlign w:val="center"/>
            <w:hideMark/>
          </w:tcPr>
          <w:p w14:paraId="510BFC0A"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14,817</w:t>
            </w:r>
          </w:p>
        </w:tc>
      </w:tr>
      <w:tr w:rsidR="00142254" w:rsidRPr="00E16721" w14:paraId="3CE39A68"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0F482CE9" w14:textId="77777777" w:rsidR="00E16721" w:rsidRPr="00E16721" w:rsidRDefault="00E16721" w:rsidP="00E16721">
            <w:pPr>
              <w:spacing w:after="0" w:line="240" w:lineRule="auto"/>
              <w:jc w:val="left"/>
              <w:rPr>
                <w:rFonts w:ascii="Arial" w:hAnsi="Arial" w:cs="Arial"/>
                <w:i/>
                <w:iCs/>
                <w:color w:val="000000"/>
                <w:sz w:val="16"/>
                <w:szCs w:val="16"/>
              </w:rPr>
            </w:pPr>
            <w:r w:rsidRPr="00E16721">
              <w:rPr>
                <w:rFonts w:ascii="Arial" w:hAnsi="Arial" w:cs="Arial"/>
                <w:i/>
                <w:iCs/>
                <w:color w:val="000000"/>
                <w:sz w:val="16"/>
                <w:szCs w:val="16"/>
              </w:rPr>
              <w:t xml:space="preserve">plus </w:t>
            </w:r>
            <w:r w:rsidRPr="00E16721">
              <w:rPr>
                <w:rFonts w:ascii="Arial" w:hAnsi="Arial" w:cs="Arial"/>
                <w:color w:val="000000"/>
                <w:sz w:val="16"/>
                <w:szCs w:val="16"/>
              </w:rPr>
              <w:t>Change in inventories</w:t>
            </w:r>
          </w:p>
        </w:tc>
        <w:tc>
          <w:tcPr>
            <w:tcW w:w="268" w:type="pct"/>
            <w:tcBorders>
              <w:top w:val="nil"/>
              <w:left w:val="nil"/>
              <w:bottom w:val="nil"/>
              <w:right w:val="nil"/>
            </w:tcBorders>
            <w:shd w:val="clear" w:color="000000" w:fill="FFFFFF"/>
            <w:noWrap/>
            <w:vAlign w:val="center"/>
            <w:hideMark/>
          </w:tcPr>
          <w:p w14:paraId="5EEF94E0"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282F31FD"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988</w:t>
            </w:r>
          </w:p>
        </w:tc>
        <w:tc>
          <w:tcPr>
            <w:tcW w:w="508" w:type="pct"/>
            <w:tcBorders>
              <w:top w:val="nil"/>
              <w:left w:val="nil"/>
              <w:bottom w:val="nil"/>
              <w:right w:val="nil"/>
            </w:tcBorders>
            <w:shd w:val="clear" w:color="000000" w:fill="F2F9FC"/>
            <w:noWrap/>
            <w:vAlign w:val="center"/>
            <w:hideMark/>
          </w:tcPr>
          <w:p w14:paraId="359D7DDE"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1,064</w:t>
            </w:r>
          </w:p>
        </w:tc>
        <w:tc>
          <w:tcPr>
            <w:tcW w:w="508" w:type="pct"/>
            <w:tcBorders>
              <w:top w:val="nil"/>
              <w:left w:val="nil"/>
              <w:bottom w:val="nil"/>
              <w:right w:val="nil"/>
            </w:tcBorders>
            <w:shd w:val="clear" w:color="000000" w:fill="FFFFFF"/>
            <w:noWrap/>
            <w:vAlign w:val="center"/>
            <w:hideMark/>
          </w:tcPr>
          <w:p w14:paraId="75F28802"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827</w:t>
            </w:r>
          </w:p>
        </w:tc>
        <w:tc>
          <w:tcPr>
            <w:tcW w:w="508" w:type="pct"/>
            <w:tcBorders>
              <w:top w:val="nil"/>
              <w:left w:val="nil"/>
              <w:bottom w:val="nil"/>
              <w:right w:val="nil"/>
            </w:tcBorders>
            <w:shd w:val="clear" w:color="000000" w:fill="FFFFFF"/>
            <w:noWrap/>
            <w:vAlign w:val="center"/>
            <w:hideMark/>
          </w:tcPr>
          <w:p w14:paraId="7458B72D"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928</w:t>
            </w:r>
          </w:p>
        </w:tc>
        <w:tc>
          <w:tcPr>
            <w:tcW w:w="508" w:type="pct"/>
            <w:tcBorders>
              <w:top w:val="nil"/>
              <w:left w:val="nil"/>
              <w:bottom w:val="nil"/>
              <w:right w:val="nil"/>
            </w:tcBorders>
            <w:shd w:val="clear" w:color="000000" w:fill="FFFFFF"/>
            <w:noWrap/>
            <w:vAlign w:val="center"/>
            <w:hideMark/>
          </w:tcPr>
          <w:p w14:paraId="0A781C55"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916</w:t>
            </w:r>
          </w:p>
        </w:tc>
      </w:tr>
      <w:tr w:rsidR="00E16721" w:rsidRPr="00E16721" w14:paraId="2B4B9411" w14:textId="77777777" w:rsidTr="00142254">
        <w:trPr>
          <w:trHeight w:hRule="exact" w:val="225"/>
        </w:trPr>
        <w:tc>
          <w:tcPr>
            <w:tcW w:w="2458" w:type="pct"/>
            <w:gridSpan w:val="2"/>
            <w:tcBorders>
              <w:top w:val="nil"/>
              <w:left w:val="nil"/>
              <w:bottom w:val="nil"/>
              <w:right w:val="nil"/>
            </w:tcBorders>
            <w:shd w:val="clear" w:color="000000" w:fill="FFFFFF"/>
            <w:noWrap/>
            <w:vAlign w:val="center"/>
            <w:hideMark/>
          </w:tcPr>
          <w:p w14:paraId="02A76419" w14:textId="6DA84A56" w:rsidR="00E16721" w:rsidRPr="00E16721" w:rsidRDefault="00E16721" w:rsidP="00E16721">
            <w:pPr>
              <w:spacing w:after="0" w:line="240" w:lineRule="auto"/>
              <w:jc w:val="left"/>
              <w:rPr>
                <w:rFonts w:ascii="Arial" w:hAnsi="Arial" w:cs="Arial"/>
                <w:i/>
                <w:iCs/>
                <w:color w:val="000000"/>
                <w:sz w:val="16"/>
                <w:szCs w:val="16"/>
              </w:rPr>
            </w:pPr>
            <w:r w:rsidRPr="00E16721">
              <w:rPr>
                <w:rFonts w:ascii="Arial" w:hAnsi="Arial" w:cs="Arial"/>
                <w:i/>
                <w:iCs/>
                <w:color w:val="000000"/>
                <w:sz w:val="16"/>
                <w:szCs w:val="16"/>
              </w:rPr>
              <w:t xml:space="preserve">plus </w:t>
            </w:r>
            <w:r w:rsidRPr="00E16721">
              <w:rPr>
                <w:rFonts w:ascii="Arial" w:hAnsi="Arial" w:cs="Arial"/>
                <w:color w:val="000000"/>
                <w:sz w:val="16"/>
                <w:szCs w:val="16"/>
              </w:rPr>
              <w:t>Other movements in non</w:t>
            </w:r>
            <w:r w:rsidR="00660645">
              <w:rPr>
                <w:rFonts w:ascii="Arial" w:hAnsi="Arial" w:cs="Arial"/>
                <w:color w:val="000000"/>
                <w:sz w:val="16"/>
                <w:szCs w:val="16"/>
              </w:rPr>
              <w:noBreakHyphen/>
            </w:r>
            <w:r w:rsidRPr="00E16721">
              <w:rPr>
                <w:rFonts w:ascii="Arial" w:hAnsi="Arial" w:cs="Arial"/>
                <w:color w:val="000000"/>
                <w:sz w:val="16"/>
                <w:szCs w:val="16"/>
              </w:rPr>
              <w:t xml:space="preserve">financial assets </w:t>
            </w:r>
          </w:p>
        </w:tc>
        <w:tc>
          <w:tcPr>
            <w:tcW w:w="509" w:type="pct"/>
            <w:tcBorders>
              <w:top w:val="nil"/>
              <w:left w:val="nil"/>
              <w:bottom w:val="nil"/>
              <w:right w:val="nil"/>
            </w:tcBorders>
            <w:shd w:val="clear" w:color="000000" w:fill="FFFFFF"/>
            <w:noWrap/>
            <w:vAlign w:val="center"/>
            <w:hideMark/>
          </w:tcPr>
          <w:p w14:paraId="6AB7BE2A" w14:textId="54A5EA14"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27</w:t>
            </w:r>
          </w:p>
        </w:tc>
        <w:tc>
          <w:tcPr>
            <w:tcW w:w="508" w:type="pct"/>
            <w:tcBorders>
              <w:top w:val="nil"/>
              <w:left w:val="nil"/>
              <w:bottom w:val="nil"/>
              <w:right w:val="nil"/>
            </w:tcBorders>
            <w:shd w:val="clear" w:color="000000" w:fill="F2F9FC"/>
            <w:noWrap/>
            <w:vAlign w:val="center"/>
            <w:hideMark/>
          </w:tcPr>
          <w:p w14:paraId="26073C1C" w14:textId="57B88252" w:rsidR="00E16721" w:rsidRPr="00E16721" w:rsidRDefault="00660645" w:rsidP="00E1672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E16721" w:rsidRPr="00E16721">
              <w:rPr>
                <w:rFonts w:ascii="Arial" w:hAnsi="Arial" w:cs="Arial"/>
                <w:color w:val="000000"/>
                <w:sz w:val="16"/>
                <w:szCs w:val="16"/>
              </w:rPr>
              <w:t>6</w:t>
            </w:r>
          </w:p>
        </w:tc>
        <w:tc>
          <w:tcPr>
            <w:tcW w:w="508" w:type="pct"/>
            <w:tcBorders>
              <w:top w:val="nil"/>
              <w:left w:val="nil"/>
              <w:bottom w:val="nil"/>
              <w:right w:val="nil"/>
            </w:tcBorders>
            <w:shd w:val="clear" w:color="000000" w:fill="FFFFFF"/>
            <w:noWrap/>
            <w:vAlign w:val="center"/>
            <w:hideMark/>
          </w:tcPr>
          <w:p w14:paraId="7E99C965"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6CD035FA"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c>
          <w:tcPr>
            <w:tcW w:w="508" w:type="pct"/>
            <w:tcBorders>
              <w:top w:val="nil"/>
              <w:left w:val="nil"/>
              <w:bottom w:val="nil"/>
              <w:right w:val="nil"/>
            </w:tcBorders>
            <w:shd w:val="clear" w:color="000000" w:fill="FFFFFF"/>
            <w:noWrap/>
            <w:vAlign w:val="center"/>
            <w:hideMark/>
          </w:tcPr>
          <w:p w14:paraId="0AB3B5A1"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0</w:t>
            </w:r>
          </w:p>
        </w:tc>
      </w:tr>
      <w:tr w:rsidR="00142254" w:rsidRPr="00E16721" w14:paraId="00146666"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0D7C1AF5" w14:textId="7777777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Total net acquisition of</w:t>
            </w:r>
          </w:p>
        </w:tc>
        <w:tc>
          <w:tcPr>
            <w:tcW w:w="268" w:type="pct"/>
            <w:tcBorders>
              <w:top w:val="nil"/>
              <w:left w:val="nil"/>
              <w:bottom w:val="nil"/>
              <w:right w:val="nil"/>
            </w:tcBorders>
            <w:shd w:val="clear" w:color="000000" w:fill="FFFFFF"/>
            <w:noWrap/>
            <w:vAlign w:val="center"/>
            <w:hideMark/>
          </w:tcPr>
          <w:p w14:paraId="6D22E71E"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6F0959FD"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2F9FC"/>
            <w:noWrap/>
            <w:vAlign w:val="center"/>
            <w:hideMark/>
          </w:tcPr>
          <w:p w14:paraId="54CE34EC"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05D11EE0"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429A2262"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c>
          <w:tcPr>
            <w:tcW w:w="508" w:type="pct"/>
            <w:tcBorders>
              <w:top w:val="nil"/>
              <w:left w:val="nil"/>
              <w:bottom w:val="nil"/>
              <w:right w:val="nil"/>
            </w:tcBorders>
            <w:shd w:val="clear" w:color="000000" w:fill="FFFFFF"/>
            <w:noWrap/>
            <w:vAlign w:val="center"/>
            <w:hideMark/>
          </w:tcPr>
          <w:p w14:paraId="2E25ED7B" w14:textId="77777777" w:rsidR="00E16721" w:rsidRPr="00E16721" w:rsidRDefault="00E16721" w:rsidP="00E16721">
            <w:pPr>
              <w:spacing w:after="0" w:line="240" w:lineRule="auto"/>
              <w:jc w:val="right"/>
              <w:rPr>
                <w:rFonts w:ascii="Arial" w:hAnsi="Arial" w:cs="Arial"/>
                <w:color w:val="000000"/>
                <w:sz w:val="16"/>
                <w:szCs w:val="16"/>
              </w:rPr>
            </w:pPr>
            <w:r w:rsidRPr="00E16721">
              <w:rPr>
                <w:rFonts w:ascii="Arial" w:hAnsi="Arial" w:cs="Arial"/>
                <w:color w:val="000000"/>
                <w:sz w:val="16"/>
                <w:szCs w:val="16"/>
              </w:rPr>
              <w:t> </w:t>
            </w:r>
          </w:p>
        </w:tc>
      </w:tr>
      <w:tr w:rsidR="00142254" w:rsidRPr="00E16721" w14:paraId="77051387"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29A8FAF2" w14:textId="4422BD3B" w:rsidR="00E16721" w:rsidRPr="00E16721" w:rsidRDefault="00E16721" w:rsidP="00142254">
            <w:pPr>
              <w:spacing w:after="0" w:line="240" w:lineRule="auto"/>
              <w:ind w:left="170"/>
              <w:jc w:val="left"/>
              <w:rPr>
                <w:rFonts w:ascii="Arial" w:hAnsi="Arial" w:cs="Arial"/>
                <w:b/>
                <w:bCs/>
                <w:color w:val="000000"/>
                <w:sz w:val="16"/>
                <w:szCs w:val="16"/>
              </w:rPr>
            </w:pPr>
            <w:r w:rsidRPr="00E16721">
              <w:rPr>
                <w:rFonts w:ascii="Arial" w:hAnsi="Arial" w:cs="Arial"/>
                <w:b/>
                <w:bCs/>
                <w:color w:val="000000"/>
                <w:sz w:val="16"/>
                <w:szCs w:val="16"/>
              </w:rPr>
              <w:t xml:space="preserve"> non</w:t>
            </w:r>
            <w:r w:rsidR="00660645">
              <w:rPr>
                <w:rFonts w:ascii="Arial" w:hAnsi="Arial" w:cs="Arial"/>
                <w:b/>
                <w:bCs/>
                <w:color w:val="000000"/>
                <w:sz w:val="16"/>
                <w:szCs w:val="16"/>
              </w:rPr>
              <w:noBreakHyphen/>
            </w:r>
            <w:r w:rsidRPr="00E16721">
              <w:rPr>
                <w:rFonts w:ascii="Arial" w:hAnsi="Arial" w:cs="Arial"/>
                <w:b/>
                <w:bCs/>
                <w:color w:val="000000"/>
                <w:sz w:val="16"/>
                <w:szCs w:val="16"/>
              </w:rPr>
              <w:t>financial assets</w:t>
            </w:r>
          </w:p>
        </w:tc>
        <w:tc>
          <w:tcPr>
            <w:tcW w:w="268" w:type="pct"/>
            <w:tcBorders>
              <w:top w:val="nil"/>
              <w:left w:val="nil"/>
              <w:bottom w:val="nil"/>
              <w:right w:val="nil"/>
            </w:tcBorders>
            <w:shd w:val="clear" w:color="000000" w:fill="FFFFFF"/>
            <w:noWrap/>
            <w:vAlign w:val="center"/>
            <w:hideMark/>
          </w:tcPr>
          <w:p w14:paraId="52AFEFFA"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42963E09"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11,092</w:t>
            </w:r>
          </w:p>
        </w:tc>
        <w:tc>
          <w:tcPr>
            <w:tcW w:w="508" w:type="pct"/>
            <w:tcBorders>
              <w:top w:val="nil"/>
              <w:left w:val="nil"/>
              <w:bottom w:val="nil"/>
              <w:right w:val="nil"/>
            </w:tcBorders>
            <w:shd w:val="clear" w:color="000000" w:fill="F2F9FC"/>
            <w:noWrap/>
            <w:vAlign w:val="center"/>
            <w:hideMark/>
          </w:tcPr>
          <w:p w14:paraId="18D6AE8C"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11,330</w:t>
            </w:r>
          </w:p>
        </w:tc>
        <w:tc>
          <w:tcPr>
            <w:tcW w:w="508" w:type="pct"/>
            <w:tcBorders>
              <w:top w:val="nil"/>
              <w:left w:val="nil"/>
              <w:bottom w:val="nil"/>
              <w:right w:val="nil"/>
            </w:tcBorders>
            <w:shd w:val="clear" w:color="000000" w:fill="FFFFFF"/>
            <w:noWrap/>
            <w:vAlign w:val="center"/>
            <w:hideMark/>
          </w:tcPr>
          <w:p w14:paraId="7EF2EB13"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10,581</w:t>
            </w:r>
          </w:p>
        </w:tc>
        <w:tc>
          <w:tcPr>
            <w:tcW w:w="508" w:type="pct"/>
            <w:tcBorders>
              <w:top w:val="nil"/>
              <w:left w:val="nil"/>
              <w:bottom w:val="nil"/>
              <w:right w:val="nil"/>
            </w:tcBorders>
            <w:shd w:val="clear" w:color="000000" w:fill="FFFFFF"/>
            <w:noWrap/>
            <w:vAlign w:val="center"/>
            <w:hideMark/>
          </w:tcPr>
          <w:p w14:paraId="48313D46"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7,443</w:t>
            </w:r>
          </w:p>
        </w:tc>
        <w:tc>
          <w:tcPr>
            <w:tcW w:w="508" w:type="pct"/>
            <w:tcBorders>
              <w:top w:val="nil"/>
              <w:left w:val="nil"/>
              <w:bottom w:val="nil"/>
              <w:right w:val="nil"/>
            </w:tcBorders>
            <w:shd w:val="clear" w:color="000000" w:fill="FFFFFF"/>
            <w:noWrap/>
            <w:vAlign w:val="center"/>
            <w:hideMark/>
          </w:tcPr>
          <w:p w14:paraId="24088C8F"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8,172</w:t>
            </w:r>
          </w:p>
        </w:tc>
      </w:tr>
      <w:tr w:rsidR="00142254" w:rsidRPr="00E16721" w14:paraId="36958045" w14:textId="77777777" w:rsidTr="00142254">
        <w:trPr>
          <w:trHeight w:hRule="exact" w:val="225"/>
        </w:trPr>
        <w:tc>
          <w:tcPr>
            <w:tcW w:w="2190" w:type="pct"/>
            <w:tcBorders>
              <w:top w:val="nil"/>
              <w:left w:val="nil"/>
              <w:bottom w:val="nil"/>
              <w:right w:val="nil"/>
            </w:tcBorders>
            <w:shd w:val="clear" w:color="000000" w:fill="FFFFFF"/>
            <w:noWrap/>
            <w:vAlign w:val="center"/>
            <w:hideMark/>
          </w:tcPr>
          <w:p w14:paraId="18CB0A1F" w14:textId="77777777" w:rsidR="00E16721" w:rsidRPr="00E16721" w:rsidRDefault="00E16721" w:rsidP="00E16721">
            <w:pPr>
              <w:spacing w:after="0" w:line="240" w:lineRule="auto"/>
              <w:jc w:val="left"/>
              <w:rPr>
                <w:rFonts w:ascii="Arial" w:hAnsi="Arial" w:cs="Arial"/>
                <w:b/>
                <w:bCs/>
                <w:color w:val="000000"/>
                <w:sz w:val="16"/>
                <w:szCs w:val="16"/>
              </w:rPr>
            </w:pPr>
            <w:r w:rsidRPr="00E16721">
              <w:rPr>
                <w:rFonts w:ascii="Arial" w:hAnsi="Arial" w:cs="Arial"/>
                <w:b/>
                <w:bCs/>
                <w:color w:val="000000"/>
                <w:sz w:val="16"/>
                <w:szCs w:val="16"/>
              </w:rPr>
              <w:t>Fiscal balance</w:t>
            </w:r>
          </w:p>
        </w:tc>
        <w:tc>
          <w:tcPr>
            <w:tcW w:w="268" w:type="pct"/>
            <w:tcBorders>
              <w:top w:val="nil"/>
              <w:left w:val="nil"/>
              <w:bottom w:val="nil"/>
              <w:right w:val="nil"/>
            </w:tcBorders>
            <w:shd w:val="clear" w:color="000000" w:fill="FFFFFF"/>
            <w:noWrap/>
            <w:vAlign w:val="center"/>
            <w:hideMark/>
          </w:tcPr>
          <w:p w14:paraId="40500647" w14:textId="77777777" w:rsidR="00E16721" w:rsidRPr="00E16721" w:rsidRDefault="00E16721" w:rsidP="00E16721">
            <w:pPr>
              <w:spacing w:after="0" w:line="240" w:lineRule="auto"/>
              <w:jc w:val="center"/>
              <w:rPr>
                <w:rFonts w:ascii="Arial" w:hAnsi="Arial" w:cs="Arial"/>
                <w:i/>
                <w:iCs/>
                <w:color w:val="000000"/>
                <w:sz w:val="16"/>
                <w:szCs w:val="16"/>
              </w:rPr>
            </w:pPr>
            <w:r w:rsidRPr="00E16721">
              <w:rPr>
                <w:rFonts w:ascii="Arial" w:hAnsi="Arial" w:cs="Arial"/>
                <w:i/>
                <w:iCs/>
                <w:color w:val="000000"/>
                <w:sz w:val="16"/>
                <w:szCs w:val="16"/>
              </w:rPr>
              <w:t> </w:t>
            </w:r>
          </w:p>
        </w:tc>
        <w:tc>
          <w:tcPr>
            <w:tcW w:w="509" w:type="pct"/>
            <w:tcBorders>
              <w:top w:val="nil"/>
              <w:left w:val="nil"/>
              <w:bottom w:val="nil"/>
              <w:right w:val="nil"/>
            </w:tcBorders>
            <w:shd w:val="clear" w:color="000000" w:fill="FFFFFF"/>
            <w:noWrap/>
            <w:vAlign w:val="center"/>
            <w:hideMark/>
          </w:tcPr>
          <w:p w14:paraId="590DA26A"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2F9FC"/>
            <w:noWrap/>
            <w:vAlign w:val="center"/>
            <w:hideMark/>
          </w:tcPr>
          <w:p w14:paraId="7B1CA76D"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15500885"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3A639CF9"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c>
          <w:tcPr>
            <w:tcW w:w="508" w:type="pct"/>
            <w:tcBorders>
              <w:top w:val="nil"/>
              <w:left w:val="nil"/>
              <w:bottom w:val="nil"/>
              <w:right w:val="nil"/>
            </w:tcBorders>
            <w:shd w:val="clear" w:color="000000" w:fill="FFFFFF"/>
            <w:noWrap/>
            <w:vAlign w:val="center"/>
            <w:hideMark/>
          </w:tcPr>
          <w:p w14:paraId="1A89E150" w14:textId="77777777" w:rsidR="00E16721" w:rsidRPr="00E16721" w:rsidRDefault="00E16721" w:rsidP="00E16721">
            <w:pPr>
              <w:spacing w:after="0" w:line="240" w:lineRule="auto"/>
              <w:jc w:val="right"/>
              <w:rPr>
                <w:rFonts w:ascii="Arial" w:hAnsi="Arial" w:cs="Arial"/>
                <w:b/>
                <w:bCs/>
                <w:color w:val="000000"/>
                <w:sz w:val="16"/>
                <w:szCs w:val="16"/>
              </w:rPr>
            </w:pPr>
            <w:r w:rsidRPr="00E16721">
              <w:rPr>
                <w:rFonts w:ascii="Arial" w:hAnsi="Arial" w:cs="Arial"/>
                <w:b/>
                <w:bCs/>
                <w:color w:val="000000"/>
                <w:sz w:val="16"/>
                <w:szCs w:val="16"/>
              </w:rPr>
              <w:t> </w:t>
            </w:r>
          </w:p>
        </w:tc>
      </w:tr>
      <w:tr w:rsidR="00142254" w:rsidRPr="00E16721" w14:paraId="6C2381D1" w14:textId="77777777" w:rsidTr="00142254">
        <w:trPr>
          <w:trHeight w:hRule="exact" w:val="225"/>
        </w:trPr>
        <w:tc>
          <w:tcPr>
            <w:tcW w:w="2190" w:type="pct"/>
            <w:tcBorders>
              <w:top w:val="nil"/>
              <w:left w:val="nil"/>
              <w:bottom w:val="single" w:sz="4" w:space="0" w:color="auto"/>
              <w:right w:val="nil"/>
            </w:tcBorders>
            <w:shd w:val="clear" w:color="000000" w:fill="FFFFFF"/>
            <w:noWrap/>
            <w:vAlign w:val="center"/>
            <w:hideMark/>
          </w:tcPr>
          <w:p w14:paraId="2066B87A" w14:textId="77777777" w:rsidR="00E16721" w:rsidRPr="00E16721" w:rsidRDefault="00E16721" w:rsidP="00142254">
            <w:pPr>
              <w:spacing w:after="0" w:line="240" w:lineRule="auto"/>
              <w:ind w:left="170"/>
              <w:jc w:val="left"/>
              <w:rPr>
                <w:rFonts w:ascii="Arial" w:hAnsi="Arial" w:cs="Arial"/>
                <w:b/>
                <w:bCs/>
                <w:color w:val="000000"/>
                <w:sz w:val="16"/>
                <w:szCs w:val="16"/>
              </w:rPr>
            </w:pPr>
            <w:r w:rsidRPr="00E16721">
              <w:rPr>
                <w:rFonts w:ascii="Arial" w:hAnsi="Arial" w:cs="Arial"/>
                <w:b/>
                <w:bCs/>
                <w:color w:val="000000"/>
                <w:sz w:val="16"/>
                <w:szCs w:val="16"/>
              </w:rPr>
              <w:t>(Net lending/borrowing)(e)</w:t>
            </w:r>
          </w:p>
        </w:tc>
        <w:tc>
          <w:tcPr>
            <w:tcW w:w="268" w:type="pct"/>
            <w:tcBorders>
              <w:top w:val="nil"/>
              <w:left w:val="nil"/>
              <w:bottom w:val="single" w:sz="4" w:space="0" w:color="auto"/>
              <w:right w:val="nil"/>
            </w:tcBorders>
            <w:shd w:val="clear" w:color="000000" w:fill="FFFFFF"/>
            <w:noWrap/>
            <w:vAlign w:val="center"/>
            <w:hideMark/>
          </w:tcPr>
          <w:p w14:paraId="1FBFD8E5" w14:textId="77777777" w:rsidR="00E16721" w:rsidRPr="00E16721" w:rsidRDefault="00E16721" w:rsidP="00E16721">
            <w:pPr>
              <w:spacing w:after="0" w:line="240" w:lineRule="auto"/>
              <w:jc w:val="center"/>
              <w:rPr>
                <w:rFonts w:ascii="Arial" w:hAnsi="Arial" w:cs="Arial"/>
                <w:b/>
                <w:bCs/>
                <w:color w:val="000000"/>
                <w:sz w:val="16"/>
                <w:szCs w:val="16"/>
              </w:rPr>
            </w:pPr>
            <w:r w:rsidRPr="00E16721">
              <w:rPr>
                <w:rFonts w:ascii="Arial" w:hAnsi="Arial" w:cs="Arial"/>
                <w:b/>
                <w:bCs/>
                <w:color w:val="000000"/>
                <w:sz w:val="16"/>
                <w:szCs w:val="16"/>
              </w:rPr>
              <w:t> </w:t>
            </w:r>
          </w:p>
        </w:tc>
        <w:tc>
          <w:tcPr>
            <w:tcW w:w="509" w:type="pct"/>
            <w:tcBorders>
              <w:top w:val="nil"/>
              <w:left w:val="nil"/>
              <w:bottom w:val="single" w:sz="4" w:space="0" w:color="auto"/>
              <w:right w:val="nil"/>
            </w:tcBorders>
            <w:shd w:val="clear" w:color="000000" w:fill="FFFFFF"/>
            <w:noWrap/>
            <w:vAlign w:val="center"/>
            <w:hideMark/>
          </w:tcPr>
          <w:p w14:paraId="1DF081FD" w14:textId="505ED480"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84,499</w:t>
            </w:r>
          </w:p>
        </w:tc>
        <w:tc>
          <w:tcPr>
            <w:tcW w:w="508" w:type="pct"/>
            <w:tcBorders>
              <w:top w:val="nil"/>
              <w:left w:val="nil"/>
              <w:bottom w:val="single" w:sz="4" w:space="0" w:color="auto"/>
              <w:right w:val="nil"/>
            </w:tcBorders>
            <w:shd w:val="clear" w:color="000000" w:fill="F2F9FC"/>
            <w:noWrap/>
            <w:vAlign w:val="center"/>
            <w:hideMark/>
          </w:tcPr>
          <w:p w14:paraId="2EB7949D" w14:textId="007AB08E"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78,560</w:t>
            </w:r>
          </w:p>
        </w:tc>
        <w:tc>
          <w:tcPr>
            <w:tcW w:w="508" w:type="pct"/>
            <w:tcBorders>
              <w:top w:val="nil"/>
              <w:left w:val="nil"/>
              <w:bottom w:val="single" w:sz="4" w:space="0" w:color="auto"/>
              <w:right w:val="nil"/>
            </w:tcBorders>
            <w:shd w:val="clear" w:color="000000" w:fill="FFFFFF"/>
            <w:noWrap/>
            <w:vAlign w:val="center"/>
            <w:hideMark/>
          </w:tcPr>
          <w:p w14:paraId="53CD0C5F" w14:textId="483DBBD8"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58,735</w:t>
            </w:r>
          </w:p>
        </w:tc>
        <w:tc>
          <w:tcPr>
            <w:tcW w:w="508" w:type="pct"/>
            <w:tcBorders>
              <w:top w:val="nil"/>
              <w:left w:val="nil"/>
              <w:bottom w:val="single" w:sz="4" w:space="0" w:color="auto"/>
              <w:right w:val="nil"/>
            </w:tcBorders>
            <w:shd w:val="clear" w:color="000000" w:fill="FFFFFF"/>
            <w:noWrap/>
            <w:vAlign w:val="center"/>
            <w:hideMark/>
          </w:tcPr>
          <w:p w14:paraId="7C608155" w14:textId="024888C5"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51,062</w:t>
            </w:r>
          </w:p>
        </w:tc>
        <w:tc>
          <w:tcPr>
            <w:tcW w:w="508" w:type="pct"/>
            <w:tcBorders>
              <w:top w:val="nil"/>
              <w:left w:val="nil"/>
              <w:bottom w:val="single" w:sz="4" w:space="0" w:color="auto"/>
              <w:right w:val="nil"/>
            </w:tcBorders>
            <w:shd w:val="clear" w:color="000000" w:fill="FFFFFF"/>
            <w:noWrap/>
            <w:vAlign w:val="center"/>
            <w:hideMark/>
          </w:tcPr>
          <w:p w14:paraId="1D4E9E81" w14:textId="0E3E68C7" w:rsidR="00E16721" w:rsidRPr="00E16721" w:rsidRDefault="00660645" w:rsidP="00E1672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E16721" w:rsidRPr="00E16721">
              <w:rPr>
                <w:rFonts w:ascii="Arial" w:hAnsi="Arial" w:cs="Arial"/>
                <w:b/>
                <w:bCs/>
                <w:color w:val="000000"/>
                <w:sz w:val="16"/>
                <w:szCs w:val="16"/>
              </w:rPr>
              <w:t>39,649</w:t>
            </w:r>
          </w:p>
        </w:tc>
      </w:tr>
    </w:tbl>
    <w:p w14:paraId="592EE975" w14:textId="75FB3D88" w:rsidR="00BA5E92" w:rsidRPr="00B65825" w:rsidRDefault="00162E5C" w:rsidP="00424761">
      <w:pPr>
        <w:pStyle w:val="ChartandTableFootnoteAlpha"/>
        <w:numPr>
          <w:ilvl w:val="0"/>
          <w:numId w:val="13"/>
        </w:numPr>
        <w:rPr>
          <w:color w:val="auto"/>
        </w:rPr>
      </w:pPr>
      <w:r w:rsidRPr="00B65825">
        <w:rPr>
          <w:color w:val="auto"/>
        </w:rPr>
        <w:t>In the 2022</w:t>
      </w:r>
      <w:r w:rsidR="00660645">
        <w:rPr>
          <w:color w:val="auto"/>
        </w:rPr>
        <w:noBreakHyphen/>
      </w:r>
      <w:r w:rsidRPr="00B65825">
        <w:rPr>
          <w:color w:val="auto"/>
        </w:rPr>
        <w:t xml:space="preserve">23 Budget, following a determination issued by the ABS, the industry contribution levy </w:t>
      </w:r>
      <w:r w:rsidR="00105A7E" w:rsidRPr="00B65825">
        <w:rPr>
          <w:color w:val="auto"/>
        </w:rPr>
        <w:t>collected by the Australian Transaction Reports and Analysis Centre has been reclassified from non</w:t>
      </w:r>
      <w:r w:rsidR="00660645">
        <w:rPr>
          <w:color w:val="auto"/>
        </w:rPr>
        <w:noBreakHyphen/>
      </w:r>
      <w:r w:rsidR="00105A7E" w:rsidRPr="00B65825">
        <w:rPr>
          <w:color w:val="auto"/>
        </w:rPr>
        <w:t xml:space="preserve">taxation revenue to taxation revenue to reflect the change in the nature of this revenue. This results in an increase in taxation revenue and a decrease in other revenue. </w:t>
      </w:r>
    </w:p>
    <w:p w14:paraId="72F645EC" w14:textId="22A064B7" w:rsidR="00BA5E92" w:rsidRPr="00B65825" w:rsidRDefault="00660645" w:rsidP="00424761">
      <w:pPr>
        <w:pStyle w:val="ChartandTableFootnoteAlpha"/>
        <w:numPr>
          <w:ilvl w:val="0"/>
          <w:numId w:val="13"/>
        </w:numPr>
        <w:rPr>
          <w:color w:val="auto"/>
        </w:rPr>
      </w:pPr>
      <w:r>
        <w:rPr>
          <w:color w:val="auto"/>
        </w:rPr>
        <w:t>‘</w:t>
      </w:r>
      <w:r w:rsidR="00BA5E92" w:rsidRPr="00B65825">
        <w:rPr>
          <w:color w:val="auto"/>
        </w:rPr>
        <w:t>Dividend income</w:t>
      </w:r>
      <w:r>
        <w:rPr>
          <w:color w:val="auto"/>
        </w:rPr>
        <w:t>’</w:t>
      </w:r>
      <w:r w:rsidR="00BA5E92" w:rsidRPr="00B65825">
        <w:rPr>
          <w:color w:val="auto"/>
        </w:rPr>
        <w:t xml:space="preserve"> has been renamed </w:t>
      </w:r>
      <w:r>
        <w:rPr>
          <w:color w:val="auto"/>
        </w:rPr>
        <w:t>‘</w:t>
      </w:r>
      <w:r w:rsidR="00BA5E92" w:rsidRPr="00B65825">
        <w:rPr>
          <w:color w:val="auto"/>
        </w:rPr>
        <w:t>dividend and distribution income</w:t>
      </w:r>
      <w:r>
        <w:rPr>
          <w:color w:val="auto"/>
        </w:rPr>
        <w:t>’</w:t>
      </w:r>
      <w:r w:rsidR="00BA5E92" w:rsidRPr="00B65825">
        <w:rPr>
          <w:color w:val="auto"/>
        </w:rPr>
        <w:t xml:space="preserve"> to more accurately reflect the transactions included in this item. </w:t>
      </w:r>
    </w:p>
    <w:p w14:paraId="49ECD2A3" w14:textId="25F7D3C6" w:rsidR="00BA5E92" w:rsidRPr="00B65825" w:rsidRDefault="00BA5E92" w:rsidP="00424761">
      <w:pPr>
        <w:pStyle w:val="ChartandTableFootnoteAlpha"/>
        <w:numPr>
          <w:ilvl w:val="0"/>
          <w:numId w:val="13"/>
        </w:numPr>
        <w:rPr>
          <w:color w:val="auto"/>
        </w:rPr>
      </w:pPr>
      <w:r w:rsidRPr="00B65825">
        <w:rPr>
          <w:color w:val="auto"/>
        </w:rPr>
        <w:t xml:space="preserve">Consistent with the ABS GFS classification, other employee related expenses are classified separately from wages and salaries under other operating expenses. Total employee expenses equal wages and salaries plus other operating expenses. </w:t>
      </w:r>
    </w:p>
    <w:p w14:paraId="33183BA4" w14:textId="77777777" w:rsidR="00BA5E92" w:rsidRPr="00B65825" w:rsidRDefault="00BA5E92" w:rsidP="00424761">
      <w:pPr>
        <w:pStyle w:val="ChartandTableFootnoteAlpha"/>
        <w:numPr>
          <w:ilvl w:val="0"/>
          <w:numId w:val="13"/>
        </w:numPr>
        <w:rPr>
          <w:color w:val="auto"/>
        </w:rPr>
      </w:pPr>
      <w:r w:rsidRPr="00B65825">
        <w:rPr>
          <w:color w:val="auto"/>
        </w:rPr>
        <w:t xml:space="preserve">Operating result under AAS. </w:t>
      </w:r>
    </w:p>
    <w:p w14:paraId="6FDB8C56" w14:textId="4F118ED7" w:rsidR="00076460" w:rsidRPr="00B65825" w:rsidRDefault="00BA5E92" w:rsidP="00424761">
      <w:pPr>
        <w:pStyle w:val="ChartandTableFootnoteAlpha"/>
        <w:numPr>
          <w:ilvl w:val="0"/>
          <w:numId w:val="13"/>
        </w:numPr>
        <w:rPr>
          <w:color w:val="auto"/>
        </w:rPr>
      </w:pPr>
      <w:r w:rsidRPr="00B65825">
        <w:rPr>
          <w:color w:val="auto"/>
        </w:rPr>
        <w:t>The term fiscal balance is not used by the ABS.</w:t>
      </w:r>
    </w:p>
    <w:p w14:paraId="1E8A03B0" w14:textId="77777777" w:rsidR="00757082" w:rsidRDefault="00757082">
      <w:pPr>
        <w:spacing w:after="160" w:line="259" w:lineRule="auto"/>
        <w:jc w:val="left"/>
        <w:rPr>
          <w:rFonts w:ascii="Arial" w:hAnsi="Arial"/>
          <w:b/>
        </w:rPr>
      </w:pPr>
      <w:r>
        <w:br w:type="page"/>
      </w:r>
    </w:p>
    <w:p w14:paraId="6E348CF1" w14:textId="2711EE99" w:rsidR="00CE47BF" w:rsidRDefault="00076460" w:rsidP="00CE47BF">
      <w:pPr>
        <w:pStyle w:val="TableHeading"/>
        <w:rPr>
          <w:rFonts w:asciiTheme="minorHAnsi" w:eastAsiaTheme="minorHAnsi" w:hAnsiTheme="minorHAnsi" w:cstheme="minorBidi"/>
          <w:sz w:val="22"/>
          <w:szCs w:val="22"/>
          <w:lang w:eastAsia="en-US"/>
        </w:rPr>
      </w:pPr>
      <w:r w:rsidRPr="00060499">
        <w:t>Table A2: Australian Government general government sector balance sheet</w:t>
      </w:r>
      <w:bookmarkStart w:id="58" w:name="_1711896619"/>
      <w:bookmarkStart w:id="59" w:name="_1711895416"/>
      <w:bookmarkStart w:id="60" w:name="_1711466775"/>
      <w:bookmarkEnd w:id="58"/>
      <w:bookmarkEnd w:id="59"/>
      <w:bookmarkEnd w:id="60"/>
    </w:p>
    <w:tbl>
      <w:tblPr>
        <w:tblW w:w="5000" w:type="pct"/>
        <w:tblCellMar>
          <w:left w:w="0" w:type="dxa"/>
          <w:right w:w="28" w:type="dxa"/>
        </w:tblCellMar>
        <w:tblLook w:val="04A0" w:firstRow="1" w:lastRow="0" w:firstColumn="1" w:lastColumn="0" w:noHBand="0" w:noVBand="1"/>
      </w:tblPr>
      <w:tblGrid>
        <w:gridCol w:w="2937"/>
        <w:gridCol w:w="415"/>
        <w:gridCol w:w="748"/>
        <w:gridCol w:w="902"/>
        <w:gridCol w:w="902"/>
        <w:gridCol w:w="902"/>
        <w:gridCol w:w="904"/>
      </w:tblGrid>
      <w:tr w:rsidR="00CE47BF" w:rsidRPr="00CE47BF" w14:paraId="5B3B3AAC" w14:textId="77777777" w:rsidTr="002138BE">
        <w:trPr>
          <w:trHeight w:hRule="exact" w:val="225"/>
        </w:trPr>
        <w:tc>
          <w:tcPr>
            <w:tcW w:w="1905" w:type="pct"/>
            <w:tcBorders>
              <w:top w:val="single" w:sz="4" w:space="0" w:color="auto"/>
              <w:left w:val="nil"/>
              <w:bottom w:val="nil"/>
              <w:right w:val="nil"/>
            </w:tcBorders>
            <w:shd w:val="clear" w:color="000000" w:fill="FFFFFF"/>
            <w:noWrap/>
            <w:vAlign w:val="center"/>
            <w:hideMark/>
          </w:tcPr>
          <w:p w14:paraId="1C78EE4F" w14:textId="23CF9930" w:rsidR="00CE47BF" w:rsidRPr="00CE47BF" w:rsidRDefault="00CE47BF" w:rsidP="00CE47BF">
            <w:pPr>
              <w:spacing w:after="0" w:line="240" w:lineRule="auto"/>
              <w:jc w:val="left"/>
              <w:rPr>
                <w:rFonts w:ascii="Arial" w:hAnsi="Arial" w:cs="Arial"/>
                <w:sz w:val="16"/>
                <w:szCs w:val="16"/>
              </w:rPr>
            </w:pPr>
            <w:r w:rsidRPr="00CE47BF">
              <w:rPr>
                <w:rFonts w:ascii="Arial" w:hAnsi="Arial" w:cs="Arial"/>
                <w:sz w:val="16"/>
                <w:szCs w:val="16"/>
              </w:rPr>
              <w:t> </w:t>
            </w:r>
          </w:p>
        </w:tc>
        <w:tc>
          <w:tcPr>
            <w:tcW w:w="269" w:type="pct"/>
            <w:tcBorders>
              <w:top w:val="single" w:sz="4" w:space="0" w:color="auto"/>
              <w:left w:val="nil"/>
              <w:bottom w:val="nil"/>
              <w:right w:val="nil"/>
            </w:tcBorders>
            <w:shd w:val="clear" w:color="000000" w:fill="FFFFFF"/>
            <w:noWrap/>
            <w:vAlign w:val="center"/>
            <w:hideMark/>
          </w:tcPr>
          <w:p w14:paraId="665AFC6D"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2826" w:type="pct"/>
            <w:gridSpan w:val="5"/>
            <w:tcBorders>
              <w:top w:val="single" w:sz="4" w:space="0" w:color="000000"/>
              <w:left w:val="nil"/>
              <w:bottom w:val="single" w:sz="4" w:space="0" w:color="auto"/>
              <w:right w:val="nil"/>
            </w:tcBorders>
            <w:shd w:val="clear" w:color="000000" w:fill="FFFFFF"/>
            <w:noWrap/>
            <w:vAlign w:val="center"/>
            <w:hideMark/>
          </w:tcPr>
          <w:p w14:paraId="4B92D67C"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Estimates</w:t>
            </w:r>
          </w:p>
        </w:tc>
      </w:tr>
      <w:tr w:rsidR="00CE47BF" w:rsidRPr="00CE47BF" w14:paraId="56D491DB"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A46BA58" w14:textId="77777777" w:rsidR="00CE47BF" w:rsidRPr="00CE47BF" w:rsidRDefault="00CE47BF" w:rsidP="00CE47BF">
            <w:pPr>
              <w:spacing w:after="0" w:line="240" w:lineRule="auto"/>
              <w:jc w:val="left"/>
              <w:rPr>
                <w:rFonts w:ascii="Arial" w:hAnsi="Arial" w:cs="Arial"/>
                <w:sz w:val="16"/>
                <w:szCs w:val="16"/>
              </w:rPr>
            </w:pPr>
            <w:r w:rsidRPr="00CE47BF">
              <w:rPr>
                <w:rFonts w:ascii="Arial" w:hAnsi="Arial" w:cs="Arial"/>
                <w:sz w:val="16"/>
                <w:szCs w:val="16"/>
              </w:rPr>
              <w:t> </w:t>
            </w:r>
          </w:p>
        </w:tc>
        <w:tc>
          <w:tcPr>
            <w:tcW w:w="269" w:type="pct"/>
            <w:tcBorders>
              <w:top w:val="nil"/>
              <w:left w:val="nil"/>
              <w:bottom w:val="nil"/>
              <w:right w:val="nil"/>
            </w:tcBorders>
            <w:shd w:val="clear" w:color="000000" w:fill="FFFFFF"/>
            <w:noWrap/>
            <w:vAlign w:val="center"/>
            <w:hideMark/>
          </w:tcPr>
          <w:p w14:paraId="56677DFC"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single" w:sz="4" w:space="0" w:color="auto"/>
              <w:left w:val="nil"/>
              <w:bottom w:val="nil"/>
              <w:right w:val="nil"/>
            </w:tcBorders>
            <w:shd w:val="clear" w:color="000000" w:fill="FFFFFF"/>
            <w:noWrap/>
            <w:vAlign w:val="center"/>
            <w:hideMark/>
          </w:tcPr>
          <w:p w14:paraId="5B591957" w14:textId="1B260962" w:rsidR="00CE47BF" w:rsidRPr="00CE47BF" w:rsidRDefault="00CE47BF" w:rsidP="00CE47BF">
            <w:pPr>
              <w:spacing w:after="0" w:line="240" w:lineRule="auto"/>
              <w:jc w:val="right"/>
              <w:rPr>
                <w:rFonts w:ascii="Arial" w:hAnsi="Arial" w:cs="Arial"/>
                <w:sz w:val="16"/>
                <w:szCs w:val="16"/>
              </w:rPr>
            </w:pPr>
            <w:r w:rsidRPr="00CE47BF">
              <w:rPr>
                <w:rFonts w:ascii="Arial" w:hAnsi="Arial" w:cs="Arial"/>
                <w:sz w:val="16"/>
                <w:szCs w:val="16"/>
              </w:rPr>
              <w:t>2021</w:t>
            </w:r>
            <w:r w:rsidR="00660645">
              <w:rPr>
                <w:rFonts w:ascii="Arial" w:hAnsi="Arial" w:cs="Arial"/>
                <w:sz w:val="16"/>
                <w:szCs w:val="16"/>
              </w:rPr>
              <w:noBreakHyphen/>
            </w:r>
            <w:r w:rsidRPr="00CE47BF">
              <w:rPr>
                <w:rFonts w:ascii="Arial" w:hAnsi="Arial" w:cs="Arial"/>
                <w:sz w:val="16"/>
                <w:szCs w:val="16"/>
              </w:rPr>
              <w:t>22</w:t>
            </w:r>
          </w:p>
        </w:tc>
        <w:tc>
          <w:tcPr>
            <w:tcW w:w="585" w:type="pct"/>
            <w:tcBorders>
              <w:top w:val="single" w:sz="4" w:space="0" w:color="auto"/>
              <w:left w:val="nil"/>
              <w:bottom w:val="nil"/>
              <w:right w:val="nil"/>
            </w:tcBorders>
            <w:shd w:val="clear" w:color="000000" w:fill="F2F9FC"/>
            <w:noWrap/>
            <w:vAlign w:val="center"/>
            <w:hideMark/>
          </w:tcPr>
          <w:p w14:paraId="042E14EC" w14:textId="2541AA62" w:rsidR="00CE47BF" w:rsidRPr="00CE47BF" w:rsidRDefault="00CE47BF" w:rsidP="00CE47BF">
            <w:pPr>
              <w:spacing w:after="0" w:line="240" w:lineRule="auto"/>
              <w:jc w:val="right"/>
              <w:rPr>
                <w:rFonts w:ascii="Arial" w:hAnsi="Arial" w:cs="Arial"/>
                <w:sz w:val="16"/>
                <w:szCs w:val="16"/>
              </w:rPr>
            </w:pPr>
            <w:r w:rsidRPr="00CE47BF">
              <w:rPr>
                <w:rFonts w:ascii="Arial" w:hAnsi="Arial" w:cs="Arial"/>
                <w:sz w:val="16"/>
                <w:szCs w:val="16"/>
              </w:rPr>
              <w:t>2022</w:t>
            </w:r>
            <w:r w:rsidR="00660645">
              <w:rPr>
                <w:rFonts w:ascii="Arial" w:hAnsi="Arial" w:cs="Arial"/>
                <w:sz w:val="16"/>
                <w:szCs w:val="16"/>
              </w:rPr>
              <w:noBreakHyphen/>
            </w:r>
            <w:r w:rsidRPr="00CE47BF">
              <w:rPr>
                <w:rFonts w:ascii="Arial" w:hAnsi="Arial" w:cs="Arial"/>
                <w:sz w:val="16"/>
                <w:szCs w:val="16"/>
              </w:rPr>
              <w:t>23</w:t>
            </w:r>
          </w:p>
        </w:tc>
        <w:tc>
          <w:tcPr>
            <w:tcW w:w="585" w:type="pct"/>
            <w:tcBorders>
              <w:top w:val="single" w:sz="4" w:space="0" w:color="auto"/>
              <w:left w:val="nil"/>
              <w:bottom w:val="nil"/>
              <w:right w:val="nil"/>
            </w:tcBorders>
            <w:shd w:val="clear" w:color="000000" w:fill="FFFFFF"/>
            <w:noWrap/>
            <w:vAlign w:val="center"/>
            <w:hideMark/>
          </w:tcPr>
          <w:p w14:paraId="76E54DF0" w14:textId="1796ECFD" w:rsidR="00CE47BF" w:rsidRPr="00CE47BF" w:rsidRDefault="00CE47BF" w:rsidP="00CE47BF">
            <w:pPr>
              <w:spacing w:after="0" w:line="240" w:lineRule="auto"/>
              <w:jc w:val="right"/>
              <w:rPr>
                <w:rFonts w:ascii="Arial" w:hAnsi="Arial" w:cs="Arial"/>
                <w:sz w:val="16"/>
                <w:szCs w:val="16"/>
              </w:rPr>
            </w:pPr>
            <w:r w:rsidRPr="00CE47BF">
              <w:rPr>
                <w:rFonts w:ascii="Arial" w:hAnsi="Arial" w:cs="Arial"/>
                <w:sz w:val="16"/>
                <w:szCs w:val="16"/>
              </w:rPr>
              <w:t>2023</w:t>
            </w:r>
            <w:r w:rsidR="00660645">
              <w:rPr>
                <w:rFonts w:ascii="Arial" w:hAnsi="Arial" w:cs="Arial"/>
                <w:sz w:val="16"/>
                <w:szCs w:val="16"/>
              </w:rPr>
              <w:noBreakHyphen/>
            </w:r>
            <w:r w:rsidRPr="00CE47BF">
              <w:rPr>
                <w:rFonts w:ascii="Arial" w:hAnsi="Arial" w:cs="Arial"/>
                <w:sz w:val="16"/>
                <w:szCs w:val="16"/>
              </w:rPr>
              <w:t>24</w:t>
            </w:r>
          </w:p>
        </w:tc>
        <w:tc>
          <w:tcPr>
            <w:tcW w:w="585" w:type="pct"/>
            <w:tcBorders>
              <w:top w:val="single" w:sz="4" w:space="0" w:color="auto"/>
              <w:left w:val="nil"/>
              <w:bottom w:val="nil"/>
              <w:right w:val="nil"/>
            </w:tcBorders>
            <w:shd w:val="clear" w:color="000000" w:fill="FFFFFF"/>
            <w:noWrap/>
            <w:vAlign w:val="center"/>
            <w:hideMark/>
          </w:tcPr>
          <w:p w14:paraId="55EBF6D5" w14:textId="08E655D8" w:rsidR="00CE47BF" w:rsidRPr="00CE47BF" w:rsidRDefault="00CE47BF" w:rsidP="00CE47BF">
            <w:pPr>
              <w:spacing w:after="0" w:line="240" w:lineRule="auto"/>
              <w:jc w:val="right"/>
              <w:rPr>
                <w:rFonts w:ascii="Arial" w:hAnsi="Arial" w:cs="Arial"/>
                <w:sz w:val="16"/>
                <w:szCs w:val="16"/>
              </w:rPr>
            </w:pPr>
            <w:r w:rsidRPr="00CE47BF">
              <w:rPr>
                <w:rFonts w:ascii="Arial" w:hAnsi="Arial" w:cs="Arial"/>
                <w:sz w:val="16"/>
                <w:szCs w:val="16"/>
              </w:rPr>
              <w:t>2024</w:t>
            </w:r>
            <w:r w:rsidR="00660645">
              <w:rPr>
                <w:rFonts w:ascii="Arial" w:hAnsi="Arial" w:cs="Arial"/>
                <w:sz w:val="16"/>
                <w:szCs w:val="16"/>
              </w:rPr>
              <w:noBreakHyphen/>
            </w:r>
            <w:r w:rsidRPr="00CE47BF">
              <w:rPr>
                <w:rFonts w:ascii="Arial" w:hAnsi="Arial" w:cs="Arial"/>
                <w:sz w:val="16"/>
                <w:szCs w:val="16"/>
              </w:rPr>
              <w:t>25</w:t>
            </w:r>
          </w:p>
        </w:tc>
        <w:tc>
          <w:tcPr>
            <w:tcW w:w="586" w:type="pct"/>
            <w:tcBorders>
              <w:top w:val="single" w:sz="4" w:space="0" w:color="auto"/>
              <w:left w:val="nil"/>
              <w:bottom w:val="nil"/>
              <w:right w:val="nil"/>
            </w:tcBorders>
            <w:shd w:val="clear" w:color="000000" w:fill="FFFFFF"/>
            <w:noWrap/>
            <w:vAlign w:val="center"/>
            <w:hideMark/>
          </w:tcPr>
          <w:p w14:paraId="586932F4" w14:textId="1E514F5E"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2025</w:t>
            </w:r>
            <w:r w:rsidR="00660645">
              <w:rPr>
                <w:rFonts w:ascii="Arial" w:hAnsi="Arial" w:cs="Arial"/>
                <w:color w:val="000000"/>
                <w:sz w:val="16"/>
                <w:szCs w:val="16"/>
              </w:rPr>
              <w:noBreakHyphen/>
            </w:r>
            <w:r w:rsidRPr="00CE47BF">
              <w:rPr>
                <w:rFonts w:ascii="Arial" w:hAnsi="Arial" w:cs="Arial"/>
                <w:color w:val="000000"/>
                <w:sz w:val="16"/>
                <w:szCs w:val="16"/>
              </w:rPr>
              <w:t>26</w:t>
            </w:r>
          </w:p>
        </w:tc>
      </w:tr>
      <w:tr w:rsidR="00CE47BF" w:rsidRPr="00CE47BF" w14:paraId="0459ECC0"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33EC68E2" w14:textId="77777777" w:rsidR="00CE47BF" w:rsidRPr="00CE47BF" w:rsidRDefault="00CE47BF" w:rsidP="00CE47BF">
            <w:pPr>
              <w:spacing w:after="0" w:line="240" w:lineRule="auto"/>
              <w:jc w:val="left"/>
              <w:rPr>
                <w:rFonts w:ascii="Arial" w:hAnsi="Arial" w:cs="Arial"/>
                <w:sz w:val="16"/>
                <w:szCs w:val="16"/>
              </w:rPr>
            </w:pPr>
            <w:r w:rsidRPr="00CE47BF">
              <w:rPr>
                <w:rFonts w:ascii="Arial" w:hAnsi="Arial" w:cs="Arial"/>
                <w:sz w:val="16"/>
                <w:szCs w:val="16"/>
              </w:rPr>
              <w:t> </w:t>
            </w:r>
          </w:p>
        </w:tc>
        <w:tc>
          <w:tcPr>
            <w:tcW w:w="269" w:type="pct"/>
            <w:tcBorders>
              <w:top w:val="nil"/>
              <w:left w:val="nil"/>
              <w:bottom w:val="nil"/>
              <w:right w:val="nil"/>
            </w:tcBorders>
            <w:shd w:val="clear" w:color="000000" w:fill="FFFFFF"/>
            <w:noWrap/>
            <w:vAlign w:val="center"/>
            <w:hideMark/>
          </w:tcPr>
          <w:p w14:paraId="0F80764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single" w:sz="4" w:space="0" w:color="000000"/>
              <w:right w:val="nil"/>
            </w:tcBorders>
            <w:shd w:val="clear" w:color="000000" w:fill="FFFFFF"/>
            <w:noWrap/>
            <w:vAlign w:val="center"/>
            <w:hideMark/>
          </w:tcPr>
          <w:p w14:paraId="4E4642E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$m</w:t>
            </w:r>
          </w:p>
        </w:tc>
        <w:tc>
          <w:tcPr>
            <w:tcW w:w="585" w:type="pct"/>
            <w:tcBorders>
              <w:top w:val="nil"/>
              <w:left w:val="nil"/>
              <w:bottom w:val="single" w:sz="4" w:space="0" w:color="000000"/>
              <w:right w:val="nil"/>
            </w:tcBorders>
            <w:shd w:val="clear" w:color="000000" w:fill="F2F9FC"/>
            <w:noWrap/>
            <w:vAlign w:val="center"/>
            <w:hideMark/>
          </w:tcPr>
          <w:p w14:paraId="7881923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$m</w:t>
            </w:r>
          </w:p>
        </w:tc>
        <w:tc>
          <w:tcPr>
            <w:tcW w:w="585" w:type="pct"/>
            <w:tcBorders>
              <w:top w:val="nil"/>
              <w:left w:val="nil"/>
              <w:bottom w:val="single" w:sz="4" w:space="0" w:color="000000"/>
              <w:right w:val="nil"/>
            </w:tcBorders>
            <w:shd w:val="clear" w:color="000000" w:fill="FFFFFF"/>
            <w:noWrap/>
            <w:vAlign w:val="center"/>
            <w:hideMark/>
          </w:tcPr>
          <w:p w14:paraId="1DD2992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$m</w:t>
            </w:r>
          </w:p>
        </w:tc>
        <w:tc>
          <w:tcPr>
            <w:tcW w:w="585" w:type="pct"/>
            <w:tcBorders>
              <w:top w:val="nil"/>
              <w:left w:val="nil"/>
              <w:bottom w:val="single" w:sz="4" w:space="0" w:color="000000"/>
              <w:right w:val="nil"/>
            </w:tcBorders>
            <w:shd w:val="clear" w:color="000000" w:fill="FFFFFF"/>
            <w:noWrap/>
            <w:vAlign w:val="center"/>
            <w:hideMark/>
          </w:tcPr>
          <w:p w14:paraId="334A32E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$m</w:t>
            </w:r>
          </w:p>
        </w:tc>
        <w:tc>
          <w:tcPr>
            <w:tcW w:w="586" w:type="pct"/>
            <w:tcBorders>
              <w:top w:val="nil"/>
              <w:left w:val="nil"/>
              <w:bottom w:val="single" w:sz="4" w:space="0" w:color="000000"/>
              <w:right w:val="nil"/>
            </w:tcBorders>
            <w:shd w:val="clear" w:color="000000" w:fill="FFFFFF"/>
            <w:noWrap/>
            <w:vAlign w:val="center"/>
            <w:hideMark/>
          </w:tcPr>
          <w:p w14:paraId="40908C0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$m</w:t>
            </w:r>
          </w:p>
        </w:tc>
      </w:tr>
      <w:tr w:rsidR="00CE47BF" w:rsidRPr="00CE47BF" w14:paraId="74F02302"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8DC384D" w14:textId="77777777" w:rsidR="00CE47BF" w:rsidRPr="00CE47BF" w:rsidRDefault="00CE47BF" w:rsidP="00CE47BF">
            <w:pPr>
              <w:spacing w:after="0" w:line="240" w:lineRule="auto"/>
              <w:jc w:val="left"/>
              <w:rPr>
                <w:rFonts w:ascii="Arial" w:hAnsi="Arial" w:cs="Arial"/>
                <w:b/>
                <w:bCs/>
                <w:color w:val="000000"/>
                <w:sz w:val="16"/>
                <w:szCs w:val="16"/>
              </w:rPr>
            </w:pPr>
            <w:r w:rsidRPr="00CE47BF">
              <w:rPr>
                <w:rFonts w:ascii="Arial" w:hAnsi="Arial" w:cs="Arial"/>
                <w:b/>
                <w:bCs/>
                <w:color w:val="000000"/>
                <w:sz w:val="16"/>
                <w:szCs w:val="16"/>
              </w:rPr>
              <w:t>Assets</w:t>
            </w:r>
          </w:p>
        </w:tc>
        <w:tc>
          <w:tcPr>
            <w:tcW w:w="269" w:type="pct"/>
            <w:tcBorders>
              <w:top w:val="nil"/>
              <w:left w:val="nil"/>
              <w:bottom w:val="nil"/>
              <w:right w:val="nil"/>
            </w:tcBorders>
            <w:shd w:val="clear" w:color="000000" w:fill="FFFFFF"/>
            <w:noWrap/>
            <w:vAlign w:val="center"/>
            <w:hideMark/>
          </w:tcPr>
          <w:p w14:paraId="03689E72" w14:textId="77777777" w:rsidR="00CE47BF" w:rsidRPr="00CE47BF" w:rsidRDefault="00CE47BF" w:rsidP="00CE47BF">
            <w:pPr>
              <w:spacing w:after="0" w:line="240" w:lineRule="auto"/>
              <w:jc w:val="center"/>
              <w:rPr>
                <w:rFonts w:ascii="Arial" w:hAnsi="Arial" w:cs="Arial"/>
                <w:b/>
                <w:bCs/>
                <w:color w:val="000000"/>
                <w:sz w:val="16"/>
                <w:szCs w:val="16"/>
              </w:rPr>
            </w:pPr>
            <w:r w:rsidRPr="00CE47BF">
              <w:rPr>
                <w:rFonts w:ascii="Arial" w:hAnsi="Arial" w:cs="Arial"/>
                <w:b/>
                <w:bCs/>
                <w:color w:val="000000"/>
                <w:sz w:val="16"/>
                <w:szCs w:val="16"/>
              </w:rPr>
              <w:t> </w:t>
            </w:r>
          </w:p>
        </w:tc>
        <w:tc>
          <w:tcPr>
            <w:tcW w:w="485" w:type="pct"/>
            <w:tcBorders>
              <w:top w:val="nil"/>
              <w:left w:val="nil"/>
              <w:bottom w:val="nil"/>
              <w:right w:val="nil"/>
            </w:tcBorders>
            <w:shd w:val="clear" w:color="000000" w:fill="FFFFFF"/>
            <w:noWrap/>
            <w:vAlign w:val="center"/>
            <w:hideMark/>
          </w:tcPr>
          <w:p w14:paraId="5F931EE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2A166E0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3988972E" w14:textId="7777777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481C8ADD" w14:textId="7777777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0A08213F" w14:textId="7777777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 </w:t>
            </w:r>
          </w:p>
        </w:tc>
      </w:tr>
      <w:tr w:rsidR="00CE47BF" w:rsidRPr="00CE47BF" w14:paraId="0989D757"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3B7BFB9D" w14:textId="7777777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Financial assets</w:t>
            </w:r>
          </w:p>
        </w:tc>
        <w:tc>
          <w:tcPr>
            <w:tcW w:w="269" w:type="pct"/>
            <w:tcBorders>
              <w:top w:val="nil"/>
              <w:left w:val="nil"/>
              <w:bottom w:val="nil"/>
              <w:right w:val="nil"/>
            </w:tcBorders>
            <w:shd w:val="clear" w:color="000000" w:fill="FFFFFF"/>
            <w:noWrap/>
            <w:vAlign w:val="center"/>
            <w:hideMark/>
          </w:tcPr>
          <w:p w14:paraId="1E70817E"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5D246EE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59BE78B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7B2AE40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377B5DB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12C7796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541FA878"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816D370"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Cash and deposits</w:t>
            </w:r>
          </w:p>
        </w:tc>
        <w:tc>
          <w:tcPr>
            <w:tcW w:w="269" w:type="pct"/>
            <w:tcBorders>
              <w:top w:val="nil"/>
              <w:left w:val="nil"/>
              <w:bottom w:val="nil"/>
              <w:right w:val="nil"/>
            </w:tcBorders>
            <w:shd w:val="clear" w:color="000000" w:fill="FFFFFF"/>
            <w:noWrap/>
            <w:vAlign w:val="center"/>
            <w:hideMark/>
          </w:tcPr>
          <w:p w14:paraId="6EBA3751"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78E9112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62,228</w:t>
            </w:r>
          </w:p>
        </w:tc>
        <w:tc>
          <w:tcPr>
            <w:tcW w:w="585" w:type="pct"/>
            <w:tcBorders>
              <w:top w:val="nil"/>
              <w:left w:val="nil"/>
              <w:bottom w:val="nil"/>
              <w:right w:val="nil"/>
            </w:tcBorders>
            <w:shd w:val="clear" w:color="000000" w:fill="F2F9FC"/>
            <w:noWrap/>
            <w:vAlign w:val="center"/>
            <w:hideMark/>
          </w:tcPr>
          <w:p w14:paraId="20436F8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36,108</w:t>
            </w:r>
          </w:p>
        </w:tc>
        <w:tc>
          <w:tcPr>
            <w:tcW w:w="585" w:type="pct"/>
            <w:tcBorders>
              <w:top w:val="nil"/>
              <w:left w:val="nil"/>
              <w:bottom w:val="nil"/>
              <w:right w:val="nil"/>
            </w:tcBorders>
            <w:shd w:val="clear" w:color="000000" w:fill="FFFFFF"/>
            <w:noWrap/>
            <w:vAlign w:val="center"/>
            <w:hideMark/>
          </w:tcPr>
          <w:p w14:paraId="5619E1E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49,329</w:t>
            </w:r>
          </w:p>
        </w:tc>
        <w:tc>
          <w:tcPr>
            <w:tcW w:w="585" w:type="pct"/>
            <w:tcBorders>
              <w:top w:val="nil"/>
              <w:left w:val="nil"/>
              <w:bottom w:val="nil"/>
              <w:right w:val="nil"/>
            </w:tcBorders>
            <w:shd w:val="clear" w:color="000000" w:fill="FFFFFF"/>
            <w:noWrap/>
            <w:vAlign w:val="center"/>
            <w:hideMark/>
          </w:tcPr>
          <w:p w14:paraId="39FC820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50,657</w:t>
            </w:r>
          </w:p>
        </w:tc>
        <w:tc>
          <w:tcPr>
            <w:tcW w:w="586" w:type="pct"/>
            <w:tcBorders>
              <w:top w:val="nil"/>
              <w:left w:val="nil"/>
              <w:bottom w:val="nil"/>
              <w:right w:val="nil"/>
            </w:tcBorders>
            <w:shd w:val="clear" w:color="000000" w:fill="FFFFFF"/>
            <w:noWrap/>
            <w:vAlign w:val="center"/>
            <w:hideMark/>
          </w:tcPr>
          <w:p w14:paraId="271462D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51,455</w:t>
            </w:r>
          </w:p>
        </w:tc>
      </w:tr>
      <w:tr w:rsidR="00CE47BF" w:rsidRPr="00CE47BF" w14:paraId="5A6AF3A1"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D8ED471"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Advances paid</w:t>
            </w:r>
          </w:p>
        </w:tc>
        <w:tc>
          <w:tcPr>
            <w:tcW w:w="269" w:type="pct"/>
            <w:tcBorders>
              <w:top w:val="nil"/>
              <w:left w:val="nil"/>
              <w:bottom w:val="nil"/>
              <w:right w:val="nil"/>
            </w:tcBorders>
            <w:shd w:val="clear" w:color="000000" w:fill="FFFFFF"/>
            <w:noWrap/>
            <w:vAlign w:val="center"/>
            <w:hideMark/>
          </w:tcPr>
          <w:p w14:paraId="4B78CC84"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744AB92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81,915</w:t>
            </w:r>
          </w:p>
        </w:tc>
        <w:tc>
          <w:tcPr>
            <w:tcW w:w="585" w:type="pct"/>
            <w:tcBorders>
              <w:top w:val="nil"/>
              <w:left w:val="nil"/>
              <w:bottom w:val="nil"/>
              <w:right w:val="nil"/>
            </w:tcBorders>
            <w:shd w:val="clear" w:color="000000" w:fill="F2F9FC"/>
            <w:noWrap/>
            <w:vAlign w:val="center"/>
            <w:hideMark/>
          </w:tcPr>
          <w:p w14:paraId="71ADAE6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86,550</w:t>
            </w:r>
          </w:p>
        </w:tc>
        <w:tc>
          <w:tcPr>
            <w:tcW w:w="585" w:type="pct"/>
            <w:tcBorders>
              <w:top w:val="nil"/>
              <w:left w:val="nil"/>
              <w:bottom w:val="nil"/>
              <w:right w:val="nil"/>
            </w:tcBorders>
            <w:shd w:val="clear" w:color="000000" w:fill="FFFFFF"/>
            <w:noWrap/>
            <w:vAlign w:val="center"/>
            <w:hideMark/>
          </w:tcPr>
          <w:p w14:paraId="2F09CB0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83,582</w:t>
            </w:r>
          </w:p>
        </w:tc>
        <w:tc>
          <w:tcPr>
            <w:tcW w:w="585" w:type="pct"/>
            <w:tcBorders>
              <w:top w:val="nil"/>
              <w:left w:val="nil"/>
              <w:bottom w:val="nil"/>
              <w:right w:val="nil"/>
            </w:tcBorders>
            <w:shd w:val="clear" w:color="000000" w:fill="FFFFFF"/>
            <w:noWrap/>
            <w:vAlign w:val="center"/>
            <w:hideMark/>
          </w:tcPr>
          <w:p w14:paraId="25BF1C1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86,997</w:t>
            </w:r>
          </w:p>
        </w:tc>
        <w:tc>
          <w:tcPr>
            <w:tcW w:w="586" w:type="pct"/>
            <w:tcBorders>
              <w:top w:val="nil"/>
              <w:left w:val="nil"/>
              <w:bottom w:val="nil"/>
              <w:right w:val="nil"/>
            </w:tcBorders>
            <w:shd w:val="clear" w:color="000000" w:fill="FFFFFF"/>
            <w:noWrap/>
            <w:vAlign w:val="center"/>
            <w:hideMark/>
          </w:tcPr>
          <w:p w14:paraId="2FA4A56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89,438</w:t>
            </w:r>
          </w:p>
        </w:tc>
      </w:tr>
      <w:tr w:rsidR="00CE47BF" w:rsidRPr="00CE47BF" w14:paraId="1CB7DFC3"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41147B2"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Investments, loans and placements</w:t>
            </w:r>
          </w:p>
        </w:tc>
        <w:tc>
          <w:tcPr>
            <w:tcW w:w="269" w:type="pct"/>
            <w:tcBorders>
              <w:top w:val="nil"/>
              <w:left w:val="nil"/>
              <w:bottom w:val="nil"/>
              <w:right w:val="nil"/>
            </w:tcBorders>
            <w:shd w:val="clear" w:color="000000" w:fill="FFFFFF"/>
            <w:noWrap/>
            <w:vAlign w:val="center"/>
            <w:hideMark/>
          </w:tcPr>
          <w:p w14:paraId="35F85A32"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13A9048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203,633</w:t>
            </w:r>
          </w:p>
        </w:tc>
        <w:tc>
          <w:tcPr>
            <w:tcW w:w="585" w:type="pct"/>
            <w:tcBorders>
              <w:top w:val="nil"/>
              <w:left w:val="nil"/>
              <w:bottom w:val="nil"/>
              <w:right w:val="nil"/>
            </w:tcBorders>
            <w:shd w:val="clear" w:color="000000" w:fill="F2F9FC"/>
            <w:noWrap/>
            <w:vAlign w:val="center"/>
            <w:hideMark/>
          </w:tcPr>
          <w:p w14:paraId="561FC37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216,979</w:t>
            </w:r>
          </w:p>
        </w:tc>
        <w:tc>
          <w:tcPr>
            <w:tcW w:w="585" w:type="pct"/>
            <w:tcBorders>
              <w:top w:val="nil"/>
              <w:left w:val="nil"/>
              <w:bottom w:val="nil"/>
              <w:right w:val="nil"/>
            </w:tcBorders>
            <w:shd w:val="clear" w:color="000000" w:fill="FFFFFF"/>
            <w:noWrap/>
            <w:vAlign w:val="center"/>
            <w:hideMark/>
          </w:tcPr>
          <w:p w14:paraId="1B9AF2A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232,197</w:t>
            </w:r>
          </w:p>
        </w:tc>
        <w:tc>
          <w:tcPr>
            <w:tcW w:w="585" w:type="pct"/>
            <w:tcBorders>
              <w:top w:val="nil"/>
              <w:left w:val="nil"/>
              <w:bottom w:val="nil"/>
              <w:right w:val="nil"/>
            </w:tcBorders>
            <w:shd w:val="clear" w:color="000000" w:fill="FFFFFF"/>
            <w:noWrap/>
            <w:vAlign w:val="center"/>
            <w:hideMark/>
          </w:tcPr>
          <w:p w14:paraId="225B56D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239,804</w:t>
            </w:r>
          </w:p>
        </w:tc>
        <w:tc>
          <w:tcPr>
            <w:tcW w:w="586" w:type="pct"/>
            <w:tcBorders>
              <w:top w:val="nil"/>
              <w:left w:val="nil"/>
              <w:bottom w:val="nil"/>
              <w:right w:val="nil"/>
            </w:tcBorders>
            <w:shd w:val="clear" w:color="000000" w:fill="FFFFFF"/>
            <w:noWrap/>
            <w:vAlign w:val="center"/>
            <w:hideMark/>
          </w:tcPr>
          <w:p w14:paraId="251E769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247,579</w:t>
            </w:r>
          </w:p>
        </w:tc>
      </w:tr>
      <w:tr w:rsidR="00CE47BF" w:rsidRPr="00CE47BF" w14:paraId="5301EEAC"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5100711"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Other receivables</w:t>
            </w:r>
          </w:p>
        </w:tc>
        <w:tc>
          <w:tcPr>
            <w:tcW w:w="269" w:type="pct"/>
            <w:tcBorders>
              <w:top w:val="nil"/>
              <w:left w:val="nil"/>
              <w:bottom w:val="nil"/>
              <w:right w:val="nil"/>
            </w:tcBorders>
            <w:shd w:val="clear" w:color="000000" w:fill="FFFFFF"/>
            <w:noWrap/>
            <w:vAlign w:val="center"/>
            <w:hideMark/>
          </w:tcPr>
          <w:p w14:paraId="62EBFF19"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12A65FD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65,948</w:t>
            </w:r>
          </w:p>
        </w:tc>
        <w:tc>
          <w:tcPr>
            <w:tcW w:w="585" w:type="pct"/>
            <w:tcBorders>
              <w:top w:val="nil"/>
              <w:left w:val="nil"/>
              <w:bottom w:val="nil"/>
              <w:right w:val="nil"/>
            </w:tcBorders>
            <w:shd w:val="clear" w:color="000000" w:fill="F2F9FC"/>
            <w:noWrap/>
            <w:vAlign w:val="center"/>
            <w:hideMark/>
          </w:tcPr>
          <w:p w14:paraId="13B6807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69,848</w:t>
            </w:r>
          </w:p>
        </w:tc>
        <w:tc>
          <w:tcPr>
            <w:tcW w:w="585" w:type="pct"/>
            <w:tcBorders>
              <w:top w:val="nil"/>
              <w:left w:val="nil"/>
              <w:bottom w:val="nil"/>
              <w:right w:val="nil"/>
            </w:tcBorders>
            <w:shd w:val="clear" w:color="000000" w:fill="FFFFFF"/>
            <w:noWrap/>
            <w:vAlign w:val="center"/>
            <w:hideMark/>
          </w:tcPr>
          <w:p w14:paraId="5B6AF6C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74,451</w:t>
            </w:r>
          </w:p>
        </w:tc>
        <w:tc>
          <w:tcPr>
            <w:tcW w:w="585" w:type="pct"/>
            <w:tcBorders>
              <w:top w:val="nil"/>
              <w:left w:val="nil"/>
              <w:bottom w:val="nil"/>
              <w:right w:val="nil"/>
            </w:tcBorders>
            <w:shd w:val="clear" w:color="000000" w:fill="FFFFFF"/>
            <w:noWrap/>
            <w:vAlign w:val="center"/>
            <w:hideMark/>
          </w:tcPr>
          <w:p w14:paraId="318AD85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78,637</w:t>
            </w:r>
          </w:p>
        </w:tc>
        <w:tc>
          <w:tcPr>
            <w:tcW w:w="586" w:type="pct"/>
            <w:tcBorders>
              <w:top w:val="nil"/>
              <w:left w:val="nil"/>
              <w:bottom w:val="nil"/>
              <w:right w:val="nil"/>
            </w:tcBorders>
            <w:shd w:val="clear" w:color="000000" w:fill="FFFFFF"/>
            <w:noWrap/>
            <w:vAlign w:val="center"/>
            <w:hideMark/>
          </w:tcPr>
          <w:p w14:paraId="369A281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83,708</w:t>
            </w:r>
          </w:p>
        </w:tc>
      </w:tr>
      <w:tr w:rsidR="00CE47BF" w:rsidRPr="00CE47BF" w14:paraId="700F698D"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C2E2C48"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Equity investments</w:t>
            </w:r>
          </w:p>
        </w:tc>
        <w:tc>
          <w:tcPr>
            <w:tcW w:w="269" w:type="pct"/>
            <w:tcBorders>
              <w:top w:val="nil"/>
              <w:left w:val="nil"/>
              <w:bottom w:val="nil"/>
              <w:right w:val="nil"/>
            </w:tcBorders>
            <w:shd w:val="clear" w:color="000000" w:fill="FFFFFF"/>
            <w:noWrap/>
            <w:vAlign w:val="center"/>
            <w:hideMark/>
          </w:tcPr>
          <w:p w14:paraId="626579EE"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6A038D0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25454EA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6EE66C9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18E0276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6A5593A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6D5BD899"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1A514348" w14:textId="77777777" w:rsidR="00CE47BF" w:rsidRPr="00CE47BF" w:rsidRDefault="00CE47BF" w:rsidP="00CE47BF">
            <w:pPr>
              <w:spacing w:after="0" w:line="240" w:lineRule="auto"/>
              <w:ind w:left="340"/>
              <w:jc w:val="left"/>
              <w:rPr>
                <w:rFonts w:ascii="Arial" w:hAnsi="Arial" w:cs="Arial"/>
                <w:color w:val="000000"/>
                <w:sz w:val="16"/>
                <w:szCs w:val="16"/>
              </w:rPr>
            </w:pPr>
            <w:r w:rsidRPr="00CE47BF">
              <w:rPr>
                <w:rFonts w:ascii="Arial" w:hAnsi="Arial" w:cs="Arial"/>
                <w:color w:val="000000"/>
                <w:sz w:val="16"/>
                <w:szCs w:val="16"/>
              </w:rPr>
              <w:t xml:space="preserve">Investments in other public sector </w:t>
            </w:r>
          </w:p>
        </w:tc>
        <w:tc>
          <w:tcPr>
            <w:tcW w:w="269" w:type="pct"/>
            <w:tcBorders>
              <w:top w:val="nil"/>
              <w:left w:val="nil"/>
              <w:bottom w:val="nil"/>
              <w:right w:val="nil"/>
            </w:tcBorders>
            <w:shd w:val="clear" w:color="000000" w:fill="FFFFFF"/>
            <w:noWrap/>
            <w:vAlign w:val="center"/>
            <w:hideMark/>
          </w:tcPr>
          <w:p w14:paraId="3A8EDAC7"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156BD1E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6461051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790DA36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1B42113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509B356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77EE1857"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7916A47" w14:textId="77777777" w:rsidR="00CE47BF" w:rsidRPr="00CE47BF" w:rsidRDefault="00CE47BF" w:rsidP="00CE47BF">
            <w:pPr>
              <w:spacing w:after="0" w:line="240" w:lineRule="auto"/>
              <w:ind w:left="510"/>
              <w:jc w:val="left"/>
              <w:rPr>
                <w:rFonts w:ascii="Arial" w:hAnsi="Arial" w:cs="Arial"/>
                <w:sz w:val="16"/>
                <w:szCs w:val="16"/>
              </w:rPr>
            </w:pPr>
            <w:r w:rsidRPr="00CE47BF">
              <w:rPr>
                <w:rFonts w:ascii="Arial" w:hAnsi="Arial" w:cs="Arial"/>
                <w:sz w:val="16"/>
                <w:szCs w:val="16"/>
              </w:rPr>
              <w:t>entities</w:t>
            </w:r>
          </w:p>
        </w:tc>
        <w:tc>
          <w:tcPr>
            <w:tcW w:w="269" w:type="pct"/>
            <w:tcBorders>
              <w:top w:val="nil"/>
              <w:left w:val="nil"/>
              <w:bottom w:val="nil"/>
              <w:right w:val="nil"/>
            </w:tcBorders>
            <w:shd w:val="clear" w:color="000000" w:fill="FFFFFF"/>
            <w:noWrap/>
            <w:vAlign w:val="bottom"/>
            <w:hideMark/>
          </w:tcPr>
          <w:p w14:paraId="20A71A02"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59D8E1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56,373</w:t>
            </w:r>
          </w:p>
        </w:tc>
        <w:tc>
          <w:tcPr>
            <w:tcW w:w="585" w:type="pct"/>
            <w:tcBorders>
              <w:top w:val="nil"/>
              <w:left w:val="nil"/>
              <w:bottom w:val="nil"/>
              <w:right w:val="nil"/>
            </w:tcBorders>
            <w:shd w:val="clear" w:color="000000" w:fill="F2F9FC"/>
            <w:noWrap/>
            <w:vAlign w:val="center"/>
            <w:hideMark/>
          </w:tcPr>
          <w:p w14:paraId="4860567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69,644</w:t>
            </w:r>
          </w:p>
        </w:tc>
        <w:tc>
          <w:tcPr>
            <w:tcW w:w="585" w:type="pct"/>
            <w:tcBorders>
              <w:top w:val="nil"/>
              <w:left w:val="nil"/>
              <w:bottom w:val="nil"/>
              <w:right w:val="nil"/>
            </w:tcBorders>
            <w:shd w:val="clear" w:color="000000" w:fill="FFFFFF"/>
            <w:noWrap/>
            <w:vAlign w:val="center"/>
            <w:hideMark/>
          </w:tcPr>
          <w:p w14:paraId="32E17B0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74,165</w:t>
            </w:r>
          </w:p>
        </w:tc>
        <w:tc>
          <w:tcPr>
            <w:tcW w:w="585" w:type="pct"/>
            <w:tcBorders>
              <w:top w:val="nil"/>
              <w:left w:val="nil"/>
              <w:bottom w:val="nil"/>
              <w:right w:val="nil"/>
            </w:tcBorders>
            <w:shd w:val="clear" w:color="000000" w:fill="FFFFFF"/>
            <w:noWrap/>
            <w:vAlign w:val="center"/>
            <w:hideMark/>
          </w:tcPr>
          <w:p w14:paraId="0F39A20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78,473</w:t>
            </w:r>
          </w:p>
        </w:tc>
        <w:tc>
          <w:tcPr>
            <w:tcW w:w="586" w:type="pct"/>
            <w:tcBorders>
              <w:top w:val="nil"/>
              <w:left w:val="nil"/>
              <w:bottom w:val="nil"/>
              <w:right w:val="nil"/>
            </w:tcBorders>
            <w:shd w:val="clear" w:color="000000" w:fill="FFFFFF"/>
            <w:noWrap/>
            <w:vAlign w:val="center"/>
            <w:hideMark/>
          </w:tcPr>
          <w:p w14:paraId="310A6C6B"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81,022</w:t>
            </w:r>
          </w:p>
        </w:tc>
      </w:tr>
      <w:tr w:rsidR="00CE47BF" w:rsidRPr="00CE47BF" w14:paraId="6384686D" w14:textId="77777777" w:rsidTr="002138BE">
        <w:trPr>
          <w:trHeight w:hRule="exact" w:val="225"/>
        </w:trPr>
        <w:tc>
          <w:tcPr>
            <w:tcW w:w="1905" w:type="pct"/>
            <w:tcBorders>
              <w:top w:val="nil"/>
              <w:left w:val="nil"/>
              <w:bottom w:val="nil"/>
              <w:right w:val="nil"/>
            </w:tcBorders>
            <w:shd w:val="clear" w:color="000000" w:fill="FFFFFF"/>
            <w:noWrap/>
            <w:vAlign w:val="bottom"/>
            <w:hideMark/>
          </w:tcPr>
          <w:p w14:paraId="0428A8C9" w14:textId="77777777" w:rsidR="00CE47BF" w:rsidRPr="00CE47BF" w:rsidRDefault="00CE47BF" w:rsidP="00CE47BF">
            <w:pPr>
              <w:spacing w:after="0" w:line="240" w:lineRule="auto"/>
              <w:ind w:left="340"/>
              <w:jc w:val="left"/>
              <w:rPr>
                <w:rFonts w:ascii="Arial" w:hAnsi="Arial" w:cs="Arial"/>
                <w:sz w:val="16"/>
                <w:szCs w:val="16"/>
              </w:rPr>
            </w:pPr>
            <w:r w:rsidRPr="00CE47BF">
              <w:rPr>
                <w:rFonts w:ascii="Arial" w:hAnsi="Arial" w:cs="Arial"/>
                <w:sz w:val="16"/>
                <w:szCs w:val="16"/>
              </w:rPr>
              <w:t>Equity accounted investments</w:t>
            </w:r>
          </w:p>
        </w:tc>
        <w:tc>
          <w:tcPr>
            <w:tcW w:w="269" w:type="pct"/>
            <w:tcBorders>
              <w:top w:val="nil"/>
              <w:left w:val="nil"/>
              <w:bottom w:val="nil"/>
              <w:right w:val="nil"/>
            </w:tcBorders>
            <w:shd w:val="clear" w:color="000000" w:fill="FFFFFF"/>
            <w:noWrap/>
            <w:vAlign w:val="bottom"/>
            <w:hideMark/>
          </w:tcPr>
          <w:p w14:paraId="26DFDF25"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58043C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4,034</w:t>
            </w:r>
          </w:p>
        </w:tc>
        <w:tc>
          <w:tcPr>
            <w:tcW w:w="585" w:type="pct"/>
            <w:tcBorders>
              <w:top w:val="nil"/>
              <w:left w:val="nil"/>
              <w:bottom w:val="nil"/>
              <w:right w:val="nil"/>
            </w:tcBorders>
            <w:shd w:val="clear" w:color="000000" w:fill="F2F9FC"/>
            <w:noWrap/>
            <w:vAlign w:val="center"/>
            <w:hideMark/>
          </w:tcPr>
          <w:p w14:paraId="54B582C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4,109</w:t>
            </w:r>
          </w:p>
        </w:tc>
        <w:tc>
          <w:tcPr>
            <w:tcW w:w="585" w:type="pct"/>
            <w:tcBorders>
              <w:top w:val="nil"/>
              <w:left w:val="nil"/>
              <w:bottom w:val="nil"/>
              <w:right w:val="nil"/>
            </w:tcBorders>
            <w:shd w:val="clear" w:color="000000" w:fill="FFFFFF"/>
            <w:noWrap/>
            <w:vAlign w:val="center"/>
            <w:hideMark/>
          </w:tcPr>
          <w:p w14:paraId="526824B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4,146</w:t>
            </w:r>
          </w:p>
        </w:tc>
        <w:tc>
          <w:tcPr>
            <w:tcW w:w="585" w:type="pct"/>
            <w:tcBorders>
              <w:top w:val="nil"/>
              <w:left w:val="nil"/>
              <w:bottom w:val="nil"/>
              <w:right w:val="nil"/>
            </w:tcBorders>
            <w:shd w:val="clear" w:color="000000" w:fill="FFFFFF"/>
            <w:noWrap/>
            <w:vAlign w:val="center"/>
            <w:hideMark/>
          </w:tcPr>
          <w:p w14:paraId="0055D22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4,142</w:t>
            </w:r>
          </w:p>
        </w:tc>
        <w:tc>
          <w:tcPr>
            <w:tcW w:w="586" w:type="pct"/>
            <w:tcBorders>
              <w:top w:val="nil"/>
              <w:left w:val="nil"/>
              <w:bottom w:val="nil"/>
              <w:right w:val="nil"/>
            </w:tcBorders>
            <w:shd w:val="clear" w:color="000000" w:fill="FFFFFF"/>
            <w:noWrap/>
            <w:vAlign w:val="center"/>
            <w:hideMark/>
          </w:tcPr>
          <w:p w14:paraId="776B1EA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4,096</w:t>
            </w:r>
          </w:p>
        </w:tc>
      </w:tr>
      <w:tr w:rsidR="00CE47BF" w:rsidRPr="00CE47BF" w14:paraId="688BCE99" w14:textId="77777777" w:rsidTr="002138BE">
        <w:trPr>
          <w:trHeight w:hRule="exact" w:val="225"/>
        </w:trPr>
        <w:tc>
          <w:tcPr>
            <w:tcW w:w="1905" w:type="pct"/>
            <w:tcBorders>
              <w:top w:val="nil"/>
              <w:left w:val="nil"/>
              <w:bottom w:val="nil"/>
              <w:right w:val="nil"/>
            </w:tcBorders>
            <w:shd w:val="clear" w:color="000000" w:fill="FFFFFF"/>
            <w:vAlign w:val="center"/>
            <w:hideMark/>
          </w:tcPr>
          <w:p w14:paraId="69A711CF" w14:textId="5CC6BCF2" w:rsidR="00CE47BF" w:rsidRPr="00CE47BF" w:rsidRDefault="00CE47BF" w:rsidP="00CE47BF">
            <w:pPr>
              <w:spacing w:after="0" w:line="240" w:lineRule="auto"/>
              <w:ind w:left="340"/>
              <w:jc w:val="left"/>
              <w:rPr>
                <w:rFonts w:ascii="Arial" w:hAnsi="Arial" w:cs="Arial"/>
                <w:sz w:val="16"/>
                <w:szCs w:val="16"/>
              </w:rPr>
            </w:pPr>
            <w:r w:rsidRPr="00CE47BF">
              <w:rPr>
                <w:rFonts w:ascii="Arial" w:hAnsi="Arial" w:cs="Arial"/>
                <w:sz w:val="16"/>
                <w:szCs w:val="16"/>
              </w:rPr>
              <w:t>Investments</w:t>
            </w:r>
            <w:r w:rsidR="00C901F4">
              <w:rPr>
                <w:rFonts w:ascii="Arial" w:hAnsi="Arial" w:cs="Arial"/>
                <w:sz w:val="16"/>
                <w:szCs w:val="16"/>
              </w:rPr>
              <w:t xml:space="preserve"> – </w:t>
            </w:r>
            <w:r w:rsidRPr="00CE47BF">
              <w:rPr>
                <w:rFonts w:ascii="Arial" w:hAnsi="Arial" w:cs="Arial"/>
                <w:sz w:val="16"/>
                <w:szCs w:val="16"/>
              </w:rPr>
              <w:t>shares</w:t>
            </w:r>
          </w:p>
        </w:tc>
        <w:tc>
          <w:tcPr>
            <w:tcW w:w="269" w:type="pct"/>
            <w:tcBorders>
              <w:top w:val="nil"/>
              <w:left w:val="nil"/>
              <w:bottom w:val="nil"/>
              <w:right w:val="nil"/>
            </w:tcBorders>
            <w:shd w:val="clear" w:color="000000" w:fill="FFFFFF"/>
            <w:vAlign w:val="bottom"/>
            <w:hideMark/>
          </w:tcPr>
          <w:p w14:paraId="496327D6"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BFC1D5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91,886</w:t>
            </w:r>
          </w:p>
        </w:tc>
        <w:tc>
          <w:tcPr>
            <w:tcW w:w="585" w:type="pct"/>
            <w:tcBorders>
              <w:top w:val="nil"/>
              <w:left w:val="nil"/>
              <w:bottom w:val="nil"/>
              <w:right w:val="nil"/>
            </w:tcBorders>
            <w:shd w:val="clear" w:color="000000" w:fill="F2F9FC"/>
            <w:noWrap/>
            <w:vAlign w:val="center"/>
            <w:hideMark/>
          </w:tcPr>
          <w:p w14:paraId="11FDD82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92,275</w:t>
            </w:r>
          </w:p>
        </w:tc>
        <w:tc>
          <w:tcPr>
            <w:tcW w:w="585" w:type="pct"/>
            <w:tcBorders>
              <w:top w:val="nil"/>
              <w:left w:val="nil"/>
              <w:bottom w:val="nil"/>
              <w:right w:val="nil"/>
            </w:tcBorders>
            <w:shd w:val="clear" w:color="000000" w:fill="FFFFFF"/>
            <w:noWrap/>
            <w:vAlign w:val="center"/>
            <w:hideMark/>
          </w:tcPr>
          <w:p w14:paraId="525A830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92,438</w:t>
            </w:r>
          </w:p>
        </w:tc>
        <w:tc>
          <w:tcPr>
            <w:tcW w:w="585" w:type="pct"/>
            <w:tcBorders>
              <w:top w:val="nil"/>
              <w:left w:val="nil"/>
              <w:bottom w:val="nil"/>
              <w:right w:val="nil"/>
            </w:tcBorders>
            <w:shd w:val="clear" w:color="000000" w:fill="FFFFFF"/>
            <w:noWrap/>
            <w:vAlign w:val="center"/>
            <w:hideMark/>
          </w:tcPr>
          <w:p w14:paraId="756146C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97,450</w:t>
            </w:r>
          </w:p>
        </w:tc>
        <w:tc>
          <w:tcPr>
            <w:tcW w:w="586" w:type="pct"/>
            <w:tcBorders>
              <w:top w:val="nil"/>
              <w:left w:val="nil"/>
              <w:bottom w:val="nil"/>
              <w:right w:val="nil"/>
            </w:tcBorders>
            <w:shd w:val="clear" w:color="000000" w:fill="FFFFFF"/>
            <w:noWrap/>
            <w:vAlign w:val="center"/>
            <w:hideMark/>
          </w:tcPr>
          <w:p w14:paraId="2FE4688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102,527</w:t>
            </w:r>
          </w:p>
        </w:tc>
      </w:tr>
      <w:tr w:rsidR="00CE47BF" w:rsidRPr="00CE47BF" w14:paraId="02FB0E3A"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681BA91" w14:textId="77777777" w:rsidR="00CE47BF" w:rsidRPr="00CE47BF" w:rsidRDefault="00CE47BF" w:rsidP="00CE47BF">
            <w:pPr>
              <w:spacing w:after="0" w:line="240" w:lineRule="auto"/>
              <w:jc w:val="left"/>
              <w:rPr>
                <w:rFonts w:ascii="Arial" w:hAnsi="Arial" w:cs="Arial"/>
                <w:i/>
                <w:iCs/>
                <w:color w:val="000000"/>
                <w:sz w:val="16"/>
                <w:szCs w:val="16"/>
              </w:rPr>
            </w:pPr>
            <w:r w:rsidRPr="00CE47BF">
              <w:rPr>
                <w:rFonts w:ascii="Arial" w:hAnsi="Arial" w:cs="Arial"/>
                <w:i/>
                <w:iCs/>
                <w:color w:val="000000"/>
                <w:sz w:val="16"/>
                <w:szCs w:val="16"/>
              </w:rPr>
              <w:t>Total financial assets</w:t>
            </w:r>
          </w:p>
        </w:tc>
        <w:tc>
          <w:tcPr>
            <w:tcW w:w="269" w:type="pct"/>
            <w:tcBorders>
              <w:top w:val="nil"/>
              <w:left w:val="nil"/>
              <w:bottom w:val="nil"/>
              <w:right w:val="nil"/>
            </w:tcBorders>
            <w:shd w:val="clear" w:color="000000" w:fill="FFFFFF"/>
            <w:noWrap/>
            <w:vAlign w:val="center"/>
            <w:hideMark/>
          </w:tcPr>
          <w:p w14:paraId="49DF3799" w14:textId="77777777" w:rsidR="00CE47BF" w:rsidRPr="00CE47BF" w:rsidRDefault="00CE47BF" w:rsidP="00CE47BF">
            <w:pPr>
              <w:spacing w:after="0" w:line="240" w:lineRule="auto"/>
              <w:jc w:val="center"/>
              <w:rPr>
                <w:rFonts w:ascii="Arial" w:hAnsi="Arial" w:cs="Arial"/>
                <w:i/>
                <w:iCs/>
                <w:color w:val="000000"/>
                <w:sz w:val="16"/>
                <w:szCs w:val="16"/>
              </w:rPr>
            </w:pPr>
            <w:r w:rsidRPr="00CE47BF">
              <w:rPr>
                <w:rFonts w:ascii="Arial" w:hAnsi="Arial" w:cs="Arial"/>
                <w:i/>
                <w:iCs/>
                <w:color w:val="000000"/>
                <w:sz w:val="16"/>
                <w:szCs w:val="16"/>
              </w:rPr>
              <w:t> </w:t>
            </w:r>
          </w:p>
        </w:tc>
        <w:tc>
          <w:tcPr>
            <w:tcW w:w="485" w:type="pct"/>
            <w:tcBorders>
              <w:top w:val="nil"/>
              <w:left w:val="nil"/>
              <w:bottom w:val="nil"/>
              <w:right w:val="nil"/>
            </w:tcBorders>
            <w:shd w:val="clear" w:color="000000" w:fill="FFFFFF"/>
            <w:noWrap/>
            <w:vAlign w:val="center"/>
            <w:hideMark/>
          </w:tcPr>
          <w:p w14:paraId="1364CA24"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566,015</w:t>
            </w:r>
          </w:p>
        </w:tc>
        <w:tc>
          <w:tcPr>
            <w:tcW w:w="585" w:type="pct"/>
            <w:tcBorders>
              <w:top w:val="nil"/>
              <w:left w:val="nil"/>
              <w:bottom w:val="nil"/>
              <w:right w:val="nil"/>
            </w:tcBorders>
            <w:shd w:val="clear" w:color="000000" w:fill="F2F9FC"/>
            <w:noWrap/>
            <w:vAlign w:val="center"/>
            <w:hideMark/>
          </w:tcPr>
          <w:p w14:paraId="1CAB8D97"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575,512</w:t>
            </w:r>
          </w:p>
        </w:tc>
        <w:tc>
          <w:tcPr>
            <w:tcW w:w="585" w:type="pct"/>
            <w:tcBorders>
              <w:top w:val="nil"/>
              <w:left w:val="nil"/>
              <w:bottom w:val="nil"/>
              <w:right w:val="nil"/>
            </w:tcBorders>
            <w:shd w:val="clear" w:color="000000" w:fill="FFFFFF"/>
            <w:noWrap/>
            <w:vAlign w:val="center"/>
            <w:hideMark/>
          </w:tcPr>
          <w:p w14:paraId="7C638A68"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610,308</w:t>
            </w:r>
          </w:p>
        </w:tc>
        <w:tc>
          <w:tcPr>
            <w:tcW w:w="585" w:type="pct"/>
            <w:tcBorders>
              <w:top w:val="nil"/>
              <w:left w:val="nil"/>
              <w:bottom w:val="nil"/>
              <w:right w:val="nil"/>
            </w:tcBorders>
            <w:shd w:val="clear" w:color="000000" w:fill="FFFFFF"/>
            <w:noWrap/>
            <w:vAlign w:val="center"/>
            <w:hideMark/>
          </w:tcPr>
          <w:p w14:paraId="11C1AC99"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636,160</w:t>
            </w:r>
          </w:p>
        </w:tc>
        <w:tc>
          <w:tcPr>
            <w:tcW w:w="586" w:type="pct"/>
            <w:tcBorders>
              <w:top w:val="nil"/>
              <w:left w:val="nil"/>
              <w:bottom w:val="nil"/>
              <w:right w:val="nil"/>
            </w:tcBorders>
            <w:shd w:val="clear" w:color="000000" w:fill="FFFFFF"/>
            <w:noWrap/>
            <w:vAlign w:val="center"/>
            <w:hideMark/>
          </w:tcPr>
          <w:p w14:paraId="4E0723F3"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659,826</w:t>
            </w:r>
          </w:p>
        </w:tc>
      </w:tr>
      <w:tr w:rsidR="00CE47BF" w:rsidRPr="00CE47BF" w14:paraId="60C367EB" w14:textId="77777777" w:rsidTr="002138BE">
        <w:trPr>
          <w:trHeight w:hRule="exact" w:val="60"/>
        </w:trPr>
        <w:tc>
          <w:tcPr>
            <w:tcW w:w="1905" w:type="pct"/>
            <w:tcBorders>
              <w:top w:val="nil"/>
              <w:left w:val="nil"/>
              <w:bottom w:val="nil"/>
              <w:right w:val="nil"/>
            </w:tcBorders>
            <w:shd w:val="clear" w:color="000000" w:fill="FFFFFF"/>
            <w:noWrap/>
            <w:vAlign w:val="center"/>
            <w:hideMark/>
          </w:tcPr>
          <w:p w14:paraId="745D7E97" w14:textId="7777777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 </w:t>
            </w:r>
          </w:p>
        </w:tc>
        <w:tc>
          <w:tcPr>
            <w:tcW w:w="269" w:type="pct"/>
            <w:tcBorders>
              <w:top w:val="nil"/>
              <w:left w:val="nil"/>
              <w:bottom w:val="nil"/>
              <w:right w:val="nil"/>
            </w:tcBorders>
            <w:shd w:val="clear" w:color="000000" w:fill="FFFFFF"/>
            <w:noWrap/>
            <w:vAlign w:val="center"/>
            <w:hideMark/>
          </w:tcPr>
          <w:p w14:paraId="41CE578D"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24018DF9"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 </w:t>
            </w:r>
          </w:p>
        </w:tc>
        <w:tc>
          <w:tcPr>
            <w:tcW w:w="585" w:type="pct"/>
            <w:tcBorders>
              <w:top w:val="nil"/>
              <w:left w:val="nil"/>
              <w:bottom w:val="nil"/>
              <w:right w:val="nil"/>
            </w:tcBorders>
            <w:shd w:val="clear" w:color="000000" w:fill="F2F9FC"/>
            <w:noWrap/>
            <w:vAlign w:val="center"/>
            <w:hideMark/>
          </w:tcPr>
          <w:p w14:paraId="6AB04373"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 </w:t>
            </w:r>
          </w:p>
        </w:tc>
        <w:tc>
          <w:tcPr>
            <w:tcW w:w="585" w:type="pct"/>
            <w:tcBorders>
              <w:top w:val="nil"/>
              <w:left w:val="nil"/>
              <w:bottom w:val="nil"/>
              <w:right w:val="nil"/>
            </w:tcBorders>
            <w:shd w:val="clear" w:color="000000" w:fill="FFFFFF"/>
            <w:noWrap/>
            <w:vAlign w:val="center"/>
            <w:hideMark/>
          </w:tcPr>
          <w:p w14:paraId="07188340"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 </w:t>
            </w:r>
          </w:p>
        </w:tc>
        <w:tc>
          <w:tcPr>
            <w:tcW w:w="585" w:type="pct"/>
            <w:tcBorders>
              <w:top w:val="nil"/>
              <w:left w:val="nil"/>
              <w:bottom w:val="nil"/>
              <w:right w:val="nil"/>
            </w:tcBorders>
            <w:shd w:val="clear" w:color="000000" w:fill="FFFFFF"/>
            <w:noWrap/>
            <w:vAlign w:val="center"/>
            <w:hideMark/>
          </w:tcPr>
          <w:p w14:paraId="526FD403"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 </w:t>
            </w:r>
          </w:p>
        </w:tc>
        <w:tc>
          <w:tcPr>
            <w:tcW w:w="586" w:type="pct"/>
            <w:tcBorders>
              <w:top w:val="nil"/>
              <w:left w:val="nil"/>
              <w:bottom w:val="nil"/>
              <w:right w:val="nil"/>
            </w:tcBorders>
            <w:shd w:val="clear" w:color="000000" w:fill="FFFFFF"/>
            <w:noWrap/>
            <w:vAlign w:val="center"/>
            <w:hideMark/>
          </w:tcPr>
          <w:p w14:paraId="272565E9"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 </w:t>
            </w:r>
          </w:p>
        </w:tc>
      </w:tr>
      <w:tr w:rsidR="00CE47BF" w:rsidRPr="00CE47BF" w14:paraId="5685CE00"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43769F20" w14:textId="3469D197" w:rsidR="00CE47BF" w:rsidRPr="00CE47BF" w:rsidRDefault="00CE47BF" w:rsidP="00CE47BF">
            <w:pPr>
              <w:spacing w:after="0" w:line="240" w:lineRule="auto"/>
              <w:jc w:val="left"/>
              <w:rPr>
                <w:rFonts w:ascii="Arial" w:hAnsi="Arial" w:cs="Arial"/>
                <w:color w:val="000000"/>
                <w:sz w:val="16"/>
                <w:szCs w:val="16"/>
              </w:rPr>
            </w:pPr>
            <w:r w:rsidRPr="00CE47BF">
              <w:rPr>
                <w:rFonts w:ascii="Arial" w:hAnsi="Arial" w:cs="Arial"/>
                <w:color w:val="000000"/>
                <w:sz w:val="16"/>
                <w:szCs w:val="16"/>
              </w:rPr>
              <w:t>Non</w:t>
            </w:r>
            <w:r w:rsidR="00660645">
              <w:rPr>
                <w:rFonts w:ascii="Arial" w:hAnsi="Arial" w:cs="Arial"/>
                <w:color w:val="000000"/>
                <w:sz w:val="16"/>
                <w:szCs w:val="16"/>
              </w:rPr>
              <w:noBreakHyphen/>
            </w:r>
            <w:r w:rsidRPr="00CE47BF">
              <w:rPr>
                <w:rFonts w:ascii="Arial" w:hAnsi="Arial" w:cs="Arial"/>
                <w:color w:val="000000"/>
                <w:sz w:val="16"/>
                <w:szCs w:val="16"/>
              </w:rPr>
              <w:t>financial assets</w:t>
            </w:r>
          </w:p>
        </w:tc>
        <w:tc>
          <w:tcPr>
            <w:tcW w:w="269" w:type="pct"/>
            <w:tcBorders>
              <w:top w:val="nil"/>
              <w:left w:val="nil"/>
              <w:bottom w:val="nil"/>
              <w:right w:val="nil"/>
            </w:tcBorders>
            <w:shd w:val="clear" w:color="000000" w:fill="FFFFFF"/>
            <w:noWrap/>
            <w:vAlign w:val="center"/>
            <w:hideMark/>
          </w:tcPr>
          <w:p w14:paraId="38C37906"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E06B25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21F3D72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22917AB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421E656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2324D18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3D073448"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663CC02C"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 xml:space="preserve">Land </w:t>
            </w:r>
          </w:p>
        </w:tc>
        <w:tc>
          <w:tcPr>
            <w:tcW w:w="269" w:type="pct"/>
            <w:tcBorders>
              <w:top w:val="nil"/>
              <w:left w:val="nil"/>
              <w:bottom w:val="nil"/>
              <w:right w:val="nil"/>
            </w:tcBorders>
            <w:shd w:val="clear" w:color="000000" w:fill="FFFFFF"/>
            <w:noWrap/>
            <w:vAlign w:val="center"/>
            <w:hideMark/>
          </w:tcPr>
          <w:p w14:paraId="43A54096"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5AB83D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12,327</w:t>
            </w:r>
          </w:p>
        </w:tc>
        <w:tc>
          <w:tcPr>
            <w:tcW w:w="585" w:type="pct"/>
            <w:tcBorders>
              <w:top w:val="nil"/>
              <w:left w:val="nil"/>
              <w:bottom w:val="nil"/>
              <w:right w:val="nil"/>
            </w:tcBorders>
            <w:shd w:val="clear" w:color="000000" w:fill="F2F9FC"/>
            <w:noWrap/>
            <w:vAlign w:val="center"/>
            <w:hideMark/>
          </w:tcPr>
          <w:p w14:paraId="0FEDEF0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12,680</w:t>
            </w:r>
          </w:p>
        </w:tc>
        <w:tc>
          <w:tcPr>
            <w:tcW w:w="585" w:type="pct"/>
            <w:tcBorders>
              <w:top w:val="nil"/>
              <w:left w:val="nil"/>
              <w:bottom w:val="nil"/>
              <w:right w:val="nil"/>
            </w:tcBorders>
            <w:shd w:val="clear" w:color="000000" w:fill="FFFFFF"/>
            <w:noWrap/>
            <w:vAlign w:val="center"/>
            <w:hideMark/>
          </w:tcPr>
          <w:p w14:paraId="35F6C4AB"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12,684</w:t>
            </w:r>
          </w:p>
        </w:tc>
        <w:tc>
          <w:tcPr>
            <w:tcW w:w="585" w:type="pct"/>
            <w:tcBorders>
              <w:top w:val="nil"/>
              <w:left w:val="nil"/>
              <w:bottom w:val="nil"/>
              <w:right w:val="nil"/>
            </w:tcBorders>
            <w:shd w:val="clear" w:color="000000" w:fill="FFFFFF"/>
            <w:noWrap/>
            <w:vAlign w:val="center"/>
            <w:hideMark/>
          </w:tcPr>
          <w:p w14:paraId="56E39CA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12,698</w:t>
            </w:r>
          </w:p>
        </w:tc>
        <w:tc>
          <w:tcPr>
            <w:tcW w:w="586" w:type="pct"/>
            <w:tcBorders>
              <w:top w:val="nil"/>
              <w:left w:val="nil"/>
              <w:bottom w:val="nil"/>
              <w:right w:val="nil"/>
            </w:tcBorders>
            <w:shd w:val="clear" w:color="000000" w:fill="FFFFFF"/>
            <w:noWrap/>
            <w:vAlign w:val="center"/>
            <w:hideMark/>
          </w:tcPr>
          <w:p w14:paraId="74FD85E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12,603</w:t>
            </w:r>
          </w:p>
        </w:tc>
      </w:tr>
      <w:tr w:rsidR="00CE47BF" w:rsidRPr="00CE47BF" w14:paraId="7FA3E779"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86D72B7"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Buildings</w:t>
            </w:r>
          </w:p>
        </w:tc>
        <w:tc>
          <w:tcPr>
            <w:tcW w:w="269" w:type="pct"/>
            <w:tcBorders>
              <w:top w:val="nil"/>
              <w:left w:val="nil"/>
              <w:bottom w:val="nil"/>
              <w:right w:val="nil"/>
            </w:tcBorders>
            <w:shd w:val="clear" w:color="000000" w:fill="FFFFFF"/>
            <w:noWrap/>
            <w:vAlign w:val="center"/>
            <w:hideMark/>
          </w:tcPr>
          <w:p w14:paraId="79D6B809"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D5F1E2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45,800</w:t>
            </w:r>
          </w:p>
        </w:tc>
        <w:tc>
          <w:tcPr>
            <w:tcW w:w="585" w:type="pct"/>
            <w:tcBorders>
              <w:top w:val="nil"/>
              <w:left w:val="nil"/>
              <w:bottom w:val="nil"/>
              <w:right w:val="nil"/>
            </w:tcBorders>
            <w:shd w:val="clear" w:color="000000" w:fill="F2F9FC"/>
            <w:noWrap/>
            <w:vAlign w:val="center"/>
            <w:hideMark/>
          </w:tcPr>
          <w:p w14:paraId="0514221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47,863</w:t>
            </w:r>
          </w:p>
        </w:tc>
        <w:tc>
          <w:tcPr>
            <w:tcW w:w="585" w:type="pct"/>
            <w:tcBorders>
              <w:top w:val="nil"/>
              <w:left w:val="nil"/>
              <w:bottom w:val="nil"/>
              <w:right w:val="nil"/>
            </w:tcBorders>
            <w:shd w:val="clear" w:color="000000" w:fill="FFFFFF"/>
            <w:noWrap/>
            <w:vAlign w:val="center"/>
            <w:hideMark/>
          </w:tcPr>
          <w:p w14:paraId="706BE1F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49,429</w:t>
            </w:r>
          </w:p>
        </w:tc>
        <w:tc>
          <w:tcPr>
            <w:tcW w:w="585" w:type="pct"/>
            <w:tcBorders>
              <w:top w:val="nil"/>
              <w:left w:val="nil"/>
              <w:bottom w:val="nil"/>
              <w:right w:val="nil"/>
            </w:tcBorders>
            <w:shd w:val="clear" w:color="000000" w:fill="FFFFFF"/>
            <w:noWrap/>
            <w:vAlign w:val="center"/>
            <w:hideMark/>
          </w:tcPr>
          <w:p w14:paraId="75C8508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50,495</w:t>
            </w:r>
          </w:p>
        </w:tc>
        <w:tc>
          <w:tcPr>
            <w:tcW w:w="586" w:type="pct"/>
            <w:tcBorders>
              <w:top w:val="nil"/>
              <w:left w:val="nil"/>
              <w:bottom w:val="nil"/>
              <w:right w:val="nil"/>
            </w:tcBorders>
            <w:shd w:val="clear" w:color="000000" w:fill="FFFFFF"/>
            <w:noWrap/>
            <w:vAlign w:val="center"/>
            <w:hideMark/>
          </w:tcPr>
          <w:p w14:paraId="20C6A49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51,093</w:t>
            </w:r>
          </w:p>
        </w:tc>
      </w:tr>
      <w:tr w:rsidR="00CE47BF" w:rsidRPr="00CE47BF" w14:paraId="151CB154"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4DF411E1"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Plant, equipment and infrastructure</w:t>
            </w:r>
          </w:p>
        </w:tc>
        <w:tc>
          <w:tcPr>
            <w:tcW w:w="269" w:type="pct"/>
            <w:tcBorders>
              <w:top w:val="nil"/>
              <w:left w:val="nil"/>
              <w:bottom w:val="nil"/>
              <w:right w:val="nil"/>
            </w:tcBorders>
            <w:shd w:val="clear" w:color="000000" w:fill="FFFFFF"/>
            <w:noWrap/>
            <w:vAlign w:val="center"/>
            <w:hideMark/>
          </w:tcPr>
          <w:p w14:paraId="275EC792"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A1AF5E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99,155</w:t>
            </w:r>
          </w:p>
        </w:tc>
        <w:tc>
          <w:tcPr>
            <w:tcW w:w="585" w:type="pct"/>
            <w:tcBorders>
              <w:top w:val="nil"/>
              <w:left w:val="nil"/>
              <w:bottom w:val="nil"/>
              <w:right w:val="nil"/>
            </w:tcBorders>
            <w:shd w:val="clear" w:color="000000" w:fill="F2F9FC"/>
            <w:noWrap/>
            <w:vAlign w:val="center"/>
            <w:hideMark/>
          </w:tcPr>
          <w:p w14:paraId="775915F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105,313</w:t>
            </w:r>
          </w:p>
        </w:tc>
        <w:tc>
          <w:tcPr>
            <w:tcW w:w="585" w:type="pct"/>
            <w:tcBorders>
              <w:top w:val="nil"/>
              <w:left w:val="nil"/>
              <w:bottom w:val="nil"/>
              <w:right w:val="nil"/>
            </w:tcBorders>
            <w:shd w:val="clear" w:color="000000" w:fill="FFFFFF"/>
            <w:noWrap/>
            <w:vAlign w:val="center"/>
            <w:hideMark/>
          </w:tcPr>
          <w:p w14:paraId="2FAC2CE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112,723</w:t>
            </w:r>
          </w:p>
        </w:tc>
        <w:tc>
          <w:tcPr>
            <w:tcW w:w="585" w:type="pct"/>
            <w:tcBorders>
              <w:top w:val="nil"/>
              <w:left w:val="nil"/>
              <w:bottom w:val="nil"/>
              <w:right w:val="nil"/>
            </w:tcBorders>
            <w:shd w:val="clear" w:color="000000" w:fill="FFFFFF"/>
            <w:noWrap/>
            <w:vAlign w:val="center"/>
            <w:hideMark/>
          </w:tcPr>
          <w:p w14:paraId="7B4345B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119,852</w:t>
            </w:r>
          </w:p>
        </w:tc>
        <w:tc>
          <w:tcPr>
            <w:tcW w:w="586" w:type="pct"/>
            <w:tcBorders>
              <w:top w:val="nil"/>
              <w:left w:val="nil"/>
              <w:bottom w:val="nil"/>
              <w:right w:val="nil"/>
            </w:tcBorders>
            <w:shd w:val="clear" w:color="000000" w:fill="FFFFFF"/>
            <w:noWrap/>
            <w:vAlign w:val="center"/>
            <w:hideMark/>
          </w:tcPr>
          <w:p w14:paraId="5ED7BA8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126,295</w:t>
            </w:r>
          </w:p>
        </w:tc>
      </w:tr>
      <w:tr w:rsidR="00CE47BF" w:rsidRPr="00CE47BF" w14:paraId="563771A3"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8CBB1E5"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Inventories</w:t>
            </w:r>
          </w:p>
        </w:tc>
        <w:tc>
          <w:tcPr>
            <w:tcW w:w="269" w:type="pct"/>
            <w:tcBorders>
              <w:top w:val="nil"/>
              <w:left w:val="nil"/>
              <w:bottom w:val="nil"/>
              <w:right w:val="nil"/>
            </w:tcBorders>
            <w:shd w:val="clear" w:color="000000" w:fill="FFFFFF"/>
            <w:noWrap/>
            <w:vAlign w:val="center"/>
            <w:hideMark/>
          </w:tcPr>
          <w:p w14:paraId="09745185"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4E681F0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11,196</w:t>
            </w:r>
          </w:p>
        </w:tc>
        <w:tc>
          <w:tcPr>
            <w:tcW w:w="585" w:type="pct"/>
            <w:tcBorders>
              <w:top w:val="nil"/>
              <w:left w:val="nil"/>
              <w:bottom w:val="nil"/>
              <w:right w:val="nil"/>
            </w:tcBorders>
            <w:shd w:val="clear" w:color="000000" w:fill="F2F9FC"/>
            <w:noWrap/>
            <w:vAlign w:val="center"/>
            <w:hideMark/>
          </w:tcPr>
          <w:p w14:paraId="0B7C175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11,877</w:t>
            </w:r>
          </w:p>
        </w:tc>
        <w:tc>
          <w:tcPr>
            <w:tcW w:w="585" w:type="pct"/>
            <w:tcBorders>
              <w:top w:val="nil"/>
              <w:left w:val="nil"/>
              <w:bottom w:val="nil"/>
              <w:right w:val="nil"/>
            </w:tcBorders>
            <w:shd w:val="clear" w:color="000000" w:fill="FFFFFF"/>
            <w:noWrap/>
            <w:vAlign w:val="center"/>
            <w:hideMark/>
          </w:tcPr>
          <w:p w14:paraId="3298CB8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12,292</w:t>
            </w:r>
          </w:p>
        </w:tc>
        <w:tc>
          <w:tcPr>
            <w:tcW w:w="585" w:type="pct"/>
            <w:tcBorders>
              <w:top w:val="nil"/>
              <w:left w:val="nil"/>
              <w:bottom w:val="nil"/>
              <w:right w:val="nil"/>
            </w:tcBorders>
            <w:shd w:val="clear" w:color="000000" w:fill="FFFFFF"/>
            <w:noWrap/>
            <w:vAlign w:val="center"/>
            <w:hideMark/>
          </w:tcPr>
          <w:p w14:paraId="2AC5199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12,791</w:t>
            </w:r>
          </w:p>
        </w:tc>
        <w:tc>
          <w:tcPr>
            <w:tcW w:w="586" w:type="pct"/>
            <w:tcBorders>
              <w:top w:val="nil"/>
              <w:left w:val="nil"/>
              <w:bottom w:val="nil"/>
              <w:right w:val="nil"/>
            </w:tcBorders>
            <w:shd w:val="clear" w:color="000000" w:fill="FFFFFF"/>
            <w:noWrap/>
            <w:vAlign w:val="center"/>
            <w:hideMark/>
          </w:tcPr>
          <w:p w14:paraId="66729E8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13,260</w:t>
            </w:r>
          </w:p>
        </w:tc>
      </w:tr>
      <w:tr w:rsidR="00CE47BF" w:rsidRPr="00CE47BF" w14:paraId="0139F031"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80F4B97"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Intangibles</w:t>
            </w:r>
          </w:p>
        </w:tc>
        <w:tc>
          <w:tcPr>
            <w:tcW w:w="269" w:type="pct"/>
            <w:tcBorders>
              <w:top w:val="nil"/>
              <w:left w:val="nil"/>
              <w:bottom w:val="nil"/>
              <w:right w:val="nil"/>
            </w:tcBorders>
            <w:shd w:val="clear" w:color="000000" w:fill="FFFFFF"/>
            <w:noWrap/>
            <w:vAlign w:val="center"/>
            <w:hideMark/>
          </w:tcPr>
          <w:p w14:paraId="6DD39D5E"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6A49243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10,706</w:t>
            </w:r>
          </w:p>
        </w:tc>
        <w:tc>
          <w:tcPr>
            <w:tcW w:w="585" w:type="pct"/>
            <w:tcBorders>
              <w:top w:val="nil"/>
              <w:left w:val="nil"/>
              <w:bottom w:val="nil"/>
              <w:right w:val="nil"/>
            </w:tcBorders>
            <w:shd w:val="clear" w:color="000000" w:fill="F2F9FC"/>
            <w:noWrap/>
            <w:vAlign w:val="center"/>
            <w:hideMark/>
          </w:tcPr>
          <w:p w14:paraId="12FF68F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11,639</w:t>
            </w:r>
          </w:p>
        </w:tc>
        <w:tc>
          <w:tcPr>
            <w:tcW w:w="585" w:type="pct"/>
            <w:tcBorders>
              <w:top w:val="nil"/>
              <w:left w:val="nil"/>
              <w:bottom w:val="nil"/>
              <w:right w:val="nil"/>
            </w:tcBorders>
            <w:shd w:val="clear" w:color="000000" w:fill="FFFFFF"/>
            <w:noWrap/>
            <w:vAlign w:val="center"/>
            <w:hideMark/>
          </w:tcPr>
          <w:p w14:paraId="6B6A7F6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11,929</w:t>
            </w:r>
          </w:p>
        </w:tc>
        <w:tc>
          <w:tcPr>
            <w:tcW w:w="585" w:type="pct"/>
            <w:tcBorders>
              <w:top w:val="nil"/>
              <w:left w:val="nil"/>
              <w:bottom w:val="nil"/>
              <w:right w:val="nil"/>
            </w:tcBorders>
            <w:shd w:val="clear" w:color="000000" w:fill="FFFFFF"/>
            <w:noWrap/>
            <w:vAlign w:val="center"/>
            <w:hideMark/>
          </w:tcPr>
          <w:p w14:paraId="6FA7858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11,930</w:t>
            </w:r>
          </w:p>
        </w:tc>
        <w:tc>
          <w:tcPr>
            <w:tcW w:w="586" w:type="pct"/>
            <w:tcBorders>
              <w:top w:val="nil"/>
              <w:left w:val="nil"/>
              <w:bottom w:val="nil"/>
              <w:right w:val="nil"/>
            </w:tcBorders>
            <w:shd w:val="clear" w:color="000000" w:fill="FFFFFF"/>
            <w:noWrap/>
            <w:vAlign w:val="center"/>
            <w:hideMark/>
          </w:tcPr>
          <w:p w14:paraId="08BACC3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11,839</w:t>
            </w:r>
          </w:p>
        </w:tc>
      </w:tr>
      <w:tr w:rsidR="00CE47BF" w:rsidRPr="00CE47BF" w14:paraId="0F08EDB1"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6C04BD6"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Investment properties</w:t>
            </w:r>
          </w:p>
        </w:tc>
        <w:tc>
          <w:tcPr>
            <w:tcW w:w="269" w:type="pct"/>
            <w:tcBorders>
              <w:top w:val="nil"/>
              <w:left w:val="nil"/>
              <w:bottom w:val="nil"/>
              <w:right w:val="nil"/>
            </w:tcBorders>
            <w:shd w:val="clear" w:color="000000" w:fill="FFFFFF"/>
            <w:noWrap/>
            <w:vAlign w:val="center"/>
            <w:hideMark/>
          </w:tcPr>
          <w:p w14:paraId="3A2A27E3"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7E48F7F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214</w:t>
            </w:r>
          </w:p>
        </w:tc>
        <w:tc>
          <w:tcPr>
            <w:tcW w:w="585" w:type="pct"/>
            <w:tcBorders>
              <w:top w:val="nil"/>
              <w:left w:val="nil"/>
              <w:bottom w:val="nil"/>
              <w:right w:val="nil"/>
            </w:tcBorders>
            <w:shd w:val="clear" w:color="000000" w:fill="F2F9FC"/>
            <w:noWrap/>
            <w:vAlign w:val="center"/>
            <w:hideMark/>
          </w:tcPr>
          <w:p w14:paraId="505D54E9"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216</w:t>
            </w:r>
          </w:p>
        </w:tc>
        <w:tc>
          <w:tcPr>
            <w:tcW w:w="585" w:type="pct"/>
            <w:tcBorders>
              <w:top w:val="nil"/>
              <w:left w:val="nil"/>
              <w:bottom w:val="nil"/>
              <w:right w:val="nil"/>
            </w:tcBorders>
            <w:shd w:val="clear" w:color="000000" w:fill="FFFFFF"/>
            <w:noWrap/>
            <w:vAlign w:val="center"/>
            <w:hideMark/>
          </w:tcPr>
          <w:p w14:paraId="278F3F7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216</w:t>
            </w:r>
          </w:p>
        </w:tc>
        <w:tc>
          <w:tcPr>
            <w:tcW w:w="585" w:type="pct"/>
            <w:tcBorders>
              <w:top w:val="nil"/>
              <w:left w:val="nil"/>
              <w:bottom w:val="nil"/>
              <w:right w:val="nil"/>
            </w:tcBorders>
            <w:shd w:val="clear" w:color="000000" w:fill="FFFFFF"/>
            <w:noWrap/>
            <w:vAlign w:val="center"/>
            <w:hideMark/>
          </w:tcPr>
          <w:p w14:paraId="3D839E3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216</w:t>
            </w:r>
          </w:p>
        </w:tc>
        <w:tc>
          <w:tcPr>
            <w:tcW w:w="586" w:type="pct"/>
            <w:tcBorders>
              <w:top w:val="nil"/>
              <w:left w:val="nil"/>
              <w:bottom w:val="nil"/>
              <w:right w:val="nil"/>
            </w:tcBorders>
            <w:shd w:val="clear" w:color="000000" w:fill="FFFFFF"/>
            <w:noWrap/>
            <w:vAlign w:val="center"/>
            <w:hideMark/>
          </w:tcPr>
          <w:p w14:paraId="7D5A5F5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216</w:t>
            </w:r>
          </w:p>
        </w:tc>
      </w:tr>
      <w:tr w:rsidR="00CE47BF" w:rsidRPr="00CE47BF" w14:paraId="2B6B62F1"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64936BA7"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Biological assets</w:t>
            </w:r>
          </w:p>
        </w:tc>
        <w:tc>
          <w:tcPr>
            <w:tcW w:w="269" w:type="pct"/>
            <w:tcBorders>
              <w:top w:val="nil"/>
              <w:left w:val="nil"/>
              <w:bottom w:val="nil"/>
              <w:right w:val="nil"/>
            </w:tcBorders>
            <w:shd w:val="clear" w:color="000000" w:fill="FFFFFF"/>
            <w:noWrap/>
            <w:vAlign w:val="center"/>
            <w:hideMark/>
          </w:tcPr>
          <w:p w14:paraId="0695C308"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A67C9D2"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w:t>
            </w:r>
          </w:p>
        </w:tc>
        <w:tc>
          <w:tcPr>
            <w:tcW w:w="585" w:type="pct"/>
            <w:tcBorders>
              <w:top w:val="nil"/>
              <w:left w:val="nil"/>
              <w:bottom w:val="nil"/>
              <w:right w:val="nil"/>
            </w:tcBorders>
            <w:shd w:val="clear" w:color="000000" w:fill="F2F9FC"/>
            <w:noWrap/>
            <w:vAlign w:val="center"/>
            <w:hideMark/>
          </w:tcPr>
          <w:p w14:paraId="3AB654C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w:t>
            </w:r>
          </w:p>
        </w:tc>
        <w:tc>
          <w:tcPr>
            <w:tcW w:w="585" w:type="pct"/>
            <w:tcBorders>
              <w:top w:val="nil"/>
              <w:left w:val="nil"/>
              <w:bottom w:val="nil"/>
              <w:right w:val="nil"/>
            </w:tcBorders>
            <w:shd w:val="clear" w:color="000000" w:fill="FFFFFF"/>
            <w:noWrap/>
            <w:vAlign w:val="center"/>
            <w:hideMark/>
          </w:tcPr>
          <w:p w14:paraId="7FE042A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w:t>
            </w:r>
          </w:p>
        </w:tc>
        <w:tc>
          <w:tcPr>
            <w:tcW w:w="585" w:type="pct"/>
            <w:tcBorders>
              <w:top w:val="nil"/>
              <w:left w:val="nil"/>
              <w:bottom w:val="nil"/>
              <w:right w:val="nil"/>
            </w:tcBorders>
            <w:shd w:val="clear" w:color="000000" w:fill="FFFFFF"/>
            <w:noWrap/>
            <w:vAlign w:val="center"/>
            <w:hideMark/>
          </w:tcPr>
          <w:p w14:paraId="596A802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w:t>
            </w:r>
          </w:p>
        </w:tc>
        <w:tc>
          <w:tcPr>
            <w:tcW w:w="586" w:type="pct"/>
            <w:tcBorders>
              <w:top w:val="nil"/>
              <w:left w:val="nil"/>
              <w:bottom w:val="nil"/>
              <w:right w:val="nil"/>
            </w:tcBorders>
            <w:shd w:val="clear" w:color="000000" w:fill="FFFFFF"/>
            <w:noWrap/>
            <w:vAlign w:val="center"/>
            <w:hideMark/>
          </w:tcPr>
          <w:p w14:paraId="65C4011B"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21</w:t>
            </w:r>
          </w:p>
        </w:tc>
      </w:tr>
      <w:tr w:rsidR="00CE47BF" w:rsidRPr="00CE47BF" w14:paraId="06D8A1B1"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1BF943C"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Heritage and cultural assets</w:t>
            </w:r>
          </w:p>
        </w:tc>
        <w:tc>
          <w:tcPr>
            <w:tcW w:w="269" w:type="pct"/>
            <w:tcBorders>
              <w:top w:val="nil"/>
              <w:left w:val="nil"/>
              <w:bottom w:val="nil"/>
              <w:right w:val="nil"/>
            </w:tcBorders>
            <w:shd w:val="clear" w:color="000000" w:fill="FFFFFF"/>
            <w:noWrap/>
            <w:vAlign w:val="center"/>
            <w:hideMark/>
          </w:tcPr>
          <w:p w14:paraId="3DA6B616"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FA4403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11,873</w:t>
            </w:r>
          </w:p>
        </w:tc>
        <w:tc>
          <w:tcPr>
            <w:tcW w:w="585" w:type="pct"/>
            <w:tcBorders>
              <w:top w:val="nil"/>
              <w:left w:val="nil"/>
              <w:bottom w:val="nil"/>
              <w:right w:val="nil"/>
            </w:tcBorders>
            <w:shd w:val="clear" w:color="000000" w:fill="F2F9FC"/>
            <w:noWrap/>
            <w:vAlign w:val="center"/>
            <w:hideMark/>
          </w:tcPr>
          <w:p w14:paraId="1B411A4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11,880</w:t>
            </w:r>
          </w:p>
        </w:tc>
        <w:tc>
          <w:tcPr>
            <w:tcW w:w="585" w:type="pct"/>
            <w:tcBorders>
              <w:top w:val="nil"/>
              <w:left w:val="nil"/>
              <w:bottom w:val="nil"/>
              <w:right w:val="nil"/>
            </w:tcBorders>
            <w:shd w:val="clear" w:color="000000" w:fill="FFFFFF"/>
            <w:noWrap/>
            <w:vAlign w:val="center"/>
            <w:hideMark/>
          </w:tcPr>
          <w:p w14:paraId="2B99355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11,887</w:t>
            </w:r>
          </w:p>
        </w:tc>
        <w:tc>
          <w:tcPr>
            <w:tcW w:w="585" w:type="pct"/>
            <w:tcBorders>
              <w:top w:val="nil"/>
              <w:left w:val="nil"/>
              <w:bottom w:val="nil"/>
              <w:right w:val="nil"/>
            </w:tcBorders>
            <w:shd w:val="clear" w:color="000000" w:fill="FFFFFF"/>
            <w:noWrap/>
            <w:vAlign w:val="center"/>
            <w:hideMark/>
          </w:tcPr>
          <w:p w14:paraId="2FA0ED07"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11,877</w:t>
            </w:r>
          </w:p>
        </w:tc>
        <w:tc>
          <w:tcPr>
            <w:tcW w:w="586" w:type="pct"/>
            <w:tcBorders>
              <w:top w:val="nil"/>
              <w:left w:val="nil"/>
              <w:bottom w:val="nil"/>
              <w:right w:val="nil"/>
            </w:tcBorders>
            <w:shd w:val="clear" w:color="000000" w:fill="FFFFFF"/>
            <w:noWrap/>
            <w:vAlign w:val="center"/>
            <w:hideMark/>
          </w:tcPr>
          <w:p w14:paraId="4BB200E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11,864</w:t>
            </w:r>
          </w:p>
        </w:tc>
      </w:tr>
      <w:tr w:rsidR="00CE47BF" w:rsidRPr="00CE47BF" w14:paraId="758C3108"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3FBFB0A2" w14:textId="77777777"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Assets held for sale</w:t>
            </w:r>
          </w:p>
        </w:tc>
        <w:tc>
          <w:tcPr>
            <w:tcW w:w="269" w:type="pct"/>
            <w:tcBorders>
              <w:top w:val="nil"/>
              <w:left w:val="nil"/>
              <w:bottom w:val="nil"/>
              <w:right w:val="nil"/>
            </w:tcBorders>
            <w:shd w:val="clear" w:color="000000" w:fill="FFFFFF"/>
            <w:noWrap/>
            <w:vAlign w:val="center"/>
            <w:hideMark/>
          </w:tcPr>
          <w:p w14:paraId="37E80C92"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5C370F1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286</w:t>
            </w:r>
          </w:p>
        </w:tc>
        <w:tc>
          <w:tcPr>
            <w:tcW w:w="585" w:type="pct"/>
            <w:tcBorders>
              <w:top w:val="nil"/>
              <w:left w:val="nil"/>
              <w:bottom w:val="nil"/>
              <w:right w:val="nil"/>
            </w:tcBorders>
            <w:shd w:val="clear" w:color="000000" w:fill="F2F9FC"/>
            <w:noWrap/>
            <w:vAlign w:val="center"/>
            <w:hideMark/>
          </w:tcPr>
          <w:p w14:paraId="474A94D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279</w:t>
            </w:r>
          </w:p>
        </w:tc>
        <w:tc>
          <w:tcPr>
            <w:tcW w:w="585" w:type="pct"/>
            <w:tcBorders>
              <w:top w:val="nil"/>
              <w:left w:val="nil"/>
              <w:bottom w:val="nil"/>
              <w:right w:val="nil"/>
            </w:tcBorders>
            <w:shd w:val="clear" w:color="000000" w:fill="FFFFFF"/>
            <w:noWrap/>
            <w:vAlign w:val="center"/>
            <w:hideMark/>
          </w:tcPr>
          <w:p w14:paraId="133D9BE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279</w:t>
            </w:r>
          </w:p>
        </w:tc>
        <w:tc>
          <w:tcPr>
            <w:tcW w:w="585" w:type="pct"/>
            <w:tcBorders>
              <w:top w:val="nil"/>
              <w:left w:val="nil"/>
              <w:bottom w:val="nil"/>
              <w:right w:val="nil"/>
            </w:tcBorders>
            <w:shd w:val="clear" w:color="000000" w:fill="FFFFFF"/>
            <w:noWrap/>
            <w:vAlign w:val="center"/>
            <w:hideMark/>
          </w:tcPr>
          <w:p w14:paraId="3D92E0E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279</w:t>
            </w:r>
          </w:p>
        </w:tc>
        <w:tc>
          <w:tcPr>
            <w:tcW w:w="586" w:type="pct"/>
            <w:tcBorders>
              <w:top w:val="nil"/>
              <w:left w:val="nil"/>
              <w:bottom w:val="nil"/>
              <w:right w:val="nil"/>
            </w:tcBorders>
            <w:shd w:val="clear" w:color="000000" w:fill="FFFFFF"/>
            <w:noWrap/>
            <w:vAlign w:val="center"/>
            <w:hideMark/>
          </w:tcPr>
          <w:p w14:paraId="46CB050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279</w:t>
            </w:r>
          </w:p>
        </w:tc>
      </w:tr>
      <w:tr w:rsidR="00CE47BF" w:rsidRPr="00CE47BF" w14:paraId="0DC8ED94"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1E420428" w14:textId="6F91B475" w:rsidR="00CE47BF" w:rsidRPr="00CE47BF" w:rsidRDefault="00CE47BF" w:rsidP="00CE47BF">
            <w:pPr>
              <w:spacing w:after="0" w:line="240" w:lineRule="auto"/>
              <w:ind w:left="170"/>
              <w:jc w:val="left"/>
              <w:rPr>
                <w:rFonts w:ascii="Arial" w:hAnsi="Arial" w:cs="Arial"/>
                <w:sz w:val="16"/>
                <w:szCs w:val="16"/>
              </w:rPr>
            </w:pPr>
            <w:r w:rsidRPr="00CE47BF">
              <w:rPr>
                <w:rFonts w:ascii="Arial" w:hAnsi="Arial" w:cs="Arial"/>
                <w:sz w:val="16"/>
                <w:szCs w:val="16"/>
              </w:rPr>
              <w:t>Other non</w:t>
            </w:r>
            <w:r w:rsidR="00660645">
              <w:rPr>
                <w:rFonts w:ascii="Arial" w:hAnsi="Arial" w:cs="Arial"/>
                <w:sz w:val="16"/>
                <w:szCs w:val="16"/>
              </w:rPr>
              <w:noBreakHyphen/>
            </w:r>
            <w:r w:rsidRPr="00CE47BF">
              <w:rPr>
                <w:rFonts w:ascii="Arial" w:hAnsi="Arial" w:cs="Arial"/>
                <w:sz w:val="16"/>
                <w:szCs w:val="16"/>
              </w:rPr>
              <w:t>financial assets</w:t>
            </w:r>
          </w:p>
        </w:tc>
        <w:tc>
          <w:tcPr>
            <w:tcW w:w="269" w:type="pct"/>
            <w:tcBorders>
              <w:top w:val="nil"/>
              <w:left w:val="nil"/>
              <w:bottom w:val="nil"/>
              <w:right w:val="nil"/>
            </w:tcBorders>
            <w:shd w:val="clear" w:color="000000" w:fill="FFFFFF"/>
            <w:noWrap/>
            <w:vAlign w:val="center"/>
            <w:hideMark/>
          </w:tcPr>
          <w:p w14:paraId="65A63CEF"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357C84D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13</w:t>
            </w:r>
          </w:p>
        </w:tc>
        <w:tc>
          <w:tcPr>
            <w:tcW w:w="585" w:type="pct"/>
            <w:tcBorders>
              <w:top w:val="nil"/>
              <w:left w:val="nil"/>
              <w:bottom w:val="nil"/>
              <w:right w:val="nil"/>
            </w:tcBorders>
            <w:shd w:val="clear" w:color="000000" w:fill="F2F9FC"/>
            <w:noWrap/>
            <w:vAlign w:val="center"/>
            <w:hideMark/>
          </w:tcPr>
          <w:p w14:paraId="050070F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w:t>
            </w:r>
          </w:p>
        </w:tc>
        <w:tc>
          <w:tcPr>
            <w:tcW w:w="585" w:type="pct"/>
            <w:tcBorders>
              <w:top w:val="nil"/>
              <w:left w:val="nil"/>
              <w:bottom w:val="nil"/>
              <w:right w:val="nil"/>
            </w:tcBorders>
            <w:shd w:val="clear" w:color="000000" w:fill="FFFFFF"/>
            <w:noWrap/>
            <w:vAlign w:val="center"/>
            <w:hideMark/>
          </w:tcPr>
          <w:p w14:paraId="7CFB67A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w:t>
            </w:r>
          </w:p>
        </w:tc>
        <w:tc>
          <w:tcPr>
            <w:tcW w:w="585" w:type="pct"/>
            <w:tcBorders>
              <w:top w:val="nil"/>
              <w:left w:val="nil"/>
              <w:bottom w:val="nil"/>
              <w:right w:val="nil"/>
            </w:tcBorders>
            <w:shd w:val="clear" w:color="000000" w:fill="FFFFFF"/>
            <w:noWrap/>
            <w:vAlign w:val="center"/>
            <w:hideMark/>
          </w:tcPr>
          <w:p w14:paraId="53C5933E"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w:t>
            </w:r>
          </w:p>
        </w:tc>
        <w:tc>
          <w:tcPr>
            <w:tcW w:w="586" w:type="pct"/>
            <w:tcBorders>
              <w:top w:val="nil"/>
              <w:left w:val="nil"/>
              <w:bottom w:val="nil"/>
              <w:right w:val="nil"/>
            </w:tcBorders>
            <w:shd w:val="clear" w:color="000000" w:fill="FFFFFF"/>
            <w:noWrap/>
            <w:vAlign w:val="center"/>
            <w:hideMark/>
          </w:tcPr>
          <w:p w14:paraId="5DAE964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7</w:t>
            </w:r>
          </w:p>
        </w:tc>
      </w:tr>
      <w:tr w:rsidR="00CE47BF" w:rsidRPr="00CE47BF" w14:paraId="51965CB7"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04F05ED" w14:textId="704760B6" w:rsidR="00CE47BF" w:rsidRPr="00CE47BF" w:rsidRDefault="00CE47BF" w:rsidP="00CE47BF">
            <w:pPr>
              <w:spacing w:after="0" w:line="240" w:lineRule="auto"/>
              <w:jc w:val="left"/>
              <w:rPr>
                <w:rFonts w:ascii="Arial" w:hAnsi="Arial" w:cs="Arial"/>
                <w:i/>
                <w:iCs/>
                <w:sz w:val="16"/>
                <w:szCs w:val="16"/>
              </w:rPr>
            </w:pPr>
            <w:r w:rsidRPr="00CE47BF">
              <w:rPr>
                <w:rFonts w:ascii="Arial" w:hAnsi="Arial" w:cs="Arial"/>
                <w:i/>
                <w:iCs/>
                <w:sz w:val="16"/>
                <w:szCs w:val="16"/>
              </w:rPr>
              <w:t>Total non</w:t>
            </w:r>
            <w:r w:rsidR="00660645">
              <w:rPr>
                <w:rFonts w:ascii="Arial" w:hAnsi="Arial" w:cs="Arial"/>
                <w:i/>
                <w:iCs/>
                <w:sz w:val="16"/>
                <w:szCs w:val="16"/>
              </w:rPr>
              <w:noBreakHyphen/>
            </w:r>
            <w:r w:rsidRPr="00CE47BF">
              <w:rPr>
                <w:rFonts w:ascii="Arial" w:hAnsi="Arial" w:cs="Arial"/>
                <w:i/>
                <w:iCs/>
                <w:sz w:val="16"/>
                <w:szCs w:val="16"/>
              </w:rPr>
              <w:t>financial assets</w:t>
            </w:r>
          </w:p>
        </w:tc>
        <w:tc>
          <w:tcPr>
            <w:tcW w:w="269" w:type="pct"/>
            <w:tcBorders>
              <w:top w:val="nil"/>
              <w:left w:val="nil"/>
              <w:bottom w:val="nil"/>
              <w:right w:val="nil"/>
            </w:tcBorders>
            <w:shd w:val="clear" w:color="000000" w:fill="FFFFFF"/>
            <w:noWrap/>
            <w:vAlign w:val="center"/>
            <w:hideMark/>
          </w:tcPr>
          <w:p w14:paraId="22A35A06" w14:textId="77777777" w:rsidR="00CE47BF" w:rsidRPr="00CE47BF" w:rsidRDefault="00CE47BF" w:rsidP="00CE47BF">
            <w:pPr>
              <w:spacing w:after="0" w:line="240" w:lineRule="auto"/>
              <w:jc w:val="center"/>
              <w:rPr>
                <w:rFonts w:ascii="Arial" w:hAnsi="Arial" w:cs="Arial"/>
                <w:i/>
                <w:iCs/>
                <w:sz w:val="16"/>
                <w:szCs w:val="16"/>
              </w:rPr>
            </w:pPr>
            <w:r w:rsidRPr="00CE47BF">
              <w:rPr>
                <w:rFonts w:ascii="Arial" w:hAnsi="Arial" w:cs="Arial"/>
                <w:i/>
                <w:iCs/>
                <w:sz w:val="16"/>
                <w:szCs w:val="16"/>
              </w:rPr>
              <w:t> </w:t>
            </w:r>
          </w:p>
        </w:tc>
        <w:tc>
          <w:tcPr>
            <w:tcW w:w="485" w:type="pct"/>
            <w:tcBorders>
              <w:top w:val="nil"/>
              <w:left w:val="nil"/>
              <w:bottom w:val="nil"/>
              <w:right w:val="nil"/>
            </w:tcBorders>
            <w:shd w:val="clear" w:color="000000" w:fill="FFFFFF"/>
            <w:noWrap/>
            <w:vAlign w:val="center"/>
            <w:hideMark/>
          </w:tcPr>
          <w:p w14:paraId="6FC154A5"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191,590</w:t>
            </w:r>
          </w:p>
        </w:tc>
        <w:tc>
          <w:tcPr>
            <w:tcW w:w="585" w:type="pct"/>
            <w:tcBorders>
              <w:top w:val="nil"/>
              <w:left w:val="nil"/>
              <w:bottom w:val="nil"/>
              <w:right w:val="nil"/>
            </w:tcBorders>
            <w:shd w:val="clear" w:color="000000" w:fill="F2F9FC"/>
            <w:noWrap/>
            <w:vAlign w:val="center"/>
            <w:hideMark/>
          </w:tcPr>
          <w:p w14:paraId="66D92E2F"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201,776</w:t>
            </w:r>
          </w:p>
        </w:tc>
        <w:tc>
          <w:tcPr>
            <w:tcW w:w="585" w:type="pct"/>
            <w:tcBorders>
              <w:top w:val="nil"/>
              <w:left w:val="nil"/>
              <w:bottom w:val="nil"/>
              <w:right w:val="nil"/>
            </w:tcBorders>
            <w:shd w:val="clear" w:color="000000" w:fill="FFFFFF"/>
            <w:noWrap/>
            <w:vAlign w:val="center"/>
            <w:hideMark/>
          </w:tcPr>
          <w:p w14:paraId="34CD9ECF"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211,466</w:t>
            </w:r>
          </w:p>
        </w:tc>
        <w:tc>
          <w:tcPr>
            <w:tcW w:w="585" w:type="pct"/>
            <w:tcBorders>
              <w:top w:val="nil"/>
              <w:left w:val="nil"/>
              <w:bottom w:val="nil"/>
              <w:right w:val="nil"/>
            </w:tcBorders>
            <w:shd w:val="clear" w:color="000000" w:fill="FFFFFF"/>
            <w:noWrap/>
            <w:vAlign w:val="center"/>
            <w:hideMark/>
          </w:tcPr>
          <w:p w14:paraId="4F524DF4"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220,167</w:t>
            </w:r>
          </w:p>
        </w:tc>
        <w:tc>
          <w:tcPr>
            <w:tcW w:w="586" w:type="pct"/>
            <w:tcBorders>
              <w:top w:val="nil"/>
              <w:left w:val="nil"/>
              <w:bottom w:val="nil"/>
              <w:right w:val="nil"/>
            </w:tcBorders>
            <w:shd w:val="clear" w:color="000000" w:fill="FFFFFF"/>
            <w:noWrap/>
            <w:vAlign w:val="center"/>
            <w:hideMark/>
          </w:tcPr>
          <w:p w14:paraId="238572EB"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227,477</w:t>
            </w:r>
          </w:p>
        </w:tc>
      </w:tr>
      <w:tr w:rsidR="00CE47BF" w:rsidRPr="00CE47BF" w14:paraId="59B879AB"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106FACEE" w14:textId="77777777" w:rsidR="00CE47BF" w:rsidRPr="00CE47BF" w:rsidRDefault="00CE47BF" w:rsidP="00CE47BF">
            <w:pPr>
              <w:spacing w:after="0" w:line="240" w:lineRule="auto"/>
              <w:jc w:val="left"/>
              <w:rPr>
                <w:rFonts w:ascii="Arial" w:hAnsi="Arial" w:cs="Arial"/>
                <w:b/>
                <w:bCs/>
                <w:sz w:val="16"/>
                <w:szCs w:val="16"/>
              </w:rPr>
            </w:pPr>
            <w:r w:rsidRPr="00CE47BF">
              <w:rPr>
                <w:rFonts w:ascii="Arial" w:hAnsi="Arial" w:cs="Arial"/>
                <w:b/>
                <w:bCs/>
                <w:sz w:val="16"/>
                <w:szCs w:val="16"/>
              </w:rPr>
              <w:t>Total assets</w:t>
            </w:r>
          </w:p>
        </w:tc>
        <w:tc>
          <w:tcPr>
            <w:tcW w:w="269" w:type="pct"/>
            <w:tcBorders>
              <w:top w:val="nil"/>
              <w:left w:val="nil"/>
              <w:bottom w:val="nil"/>
              <w:right w:val="nil"/>
            </w:tcBorders>
            <w:shd w:val="clear" w:color="000000" w:fill="FFFFFF"/>
            <w:noWrap/>
            <w:vAlign w:val="center"/>
            <w:hideMark/>
          </w:tcPr>
          <w:p w14:paraId="2749CEC6" w14:textId="77777777" w:rsidR="00CE47BF" w:rsidRPr="00CE47BF" w:rsidRDefault="00CE47BF" w:rsidP="00CE47BF">
            <w:pPr>
              <w:spacing w:after="0" w:line="240" w:lineRule="auto"/>
              <w:jc w:val="center"/>
              <w:rPr>
                <w:rFonts w:ascii="Arial" w:hAnsi="Arial" w:cs="Arial"/>
                <w:b/>
                <w:bCs/>
                <w:sz w:val="16"/>
                <w:szCs w:val="16"/>
              </w:rPr>
            </w:pPr>
            <w:r w:rsidRPr="00CE47BF">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558E5121" w14:textId="77777777" w:rsidR="00CE47BF" w:rsidRPr="00CE47BF" w:rsidRDefault="00CE47BF" w:rsidP="00CE47BF">
            <w:pPr>
              <w:spacing w:after="0" w:line="240" w:lineRule="auto"/>
              <w:jc w:val="right"/>
              <w:rPr>
                <w:rFonts w:ascii="Arial" w:hAnsi="Arial" w:cs="Arial"/>
                <w:b/>
                <w:bCs/>
                <w:color w:val="000000"/>
                <w:sz w:val="16"/>
                <w:szCs w:val="16"/>
              </w:rPr>
            </w:pPr>
            <w:r w:rsidRPr="00CE47BF">
              <w:rPr>
                <w:rFonts w:ascii="Arial" w:hAnsi="Arial" w:cs="Arial"/>
                <w:b/>
                <w:bCs/>
                <w:color w:val="000000"/>
                <w:sz w:val="16"/>
                <w:szCs w:val="16"/>
              </w:rPr>
              <w:t>757,605</w:t>
            </w:r>
          </w:p>
        </w:tc>
        <w:tc>
          <w:tcPr>
            <w:tcW w:w="585" w:type="pct"/>
            <w:tcBorders>
              <w:top w:val="nil"/>
              <w:left w:val="nil"/>
              <w:bottom w:val="nil"/>
              <w:right w:val="nil"/>
            </w:tcBorders>
            <w:shd w:val="clear" w:color="000000" w:fill="F2F9FC"/>
            <w:noWrap/>
            <w:vAlign w:val="center"/>
            <w:hideMark/>
          </w:tcPr>
          <w:p w14:paraId="4FCB389A" w14:textId="77777777" w:rsidR="00CE47BF" w:rsidRPr="00CE47BF" w:rsidRDefault="00CE47BF" w:rsidP="00CE47BF">
            <w:pPr>
              <w:spacing w:after="0" w:line="240" w:lineRule="auto"/>
              <w:jc w:val="right"/>
              <w:rPr>
                <w:rFonts w:ascii="Arial" w:hAnsi="Arial" w:cs="Arial"/>
                <w:b/>
                <w:bCs/>
                <w:color w:val="000000"/>
                <w:sz w:val="16"/>
                <w:szCs w:val="16"/>
              </w:rPr>
            </w:pPr>
            <w:r w:rsidRPr="00CE47BF">
              <w:rPr>
                <w:rFonts w:ascii="Arial" w:hAnsi="Arial" w:cs="Arial"/>
                <w:b/>
                <w:bCs/>
                <w:color w:val="000000"/>
                <w:sz w:val="16"/>
                <w:szCs w:val="16"/>
              </w:rPr>
              <w:t>777,288</w:t>
            </w:r>
          </w:p>
        </w:tc>
        <w:tc>
          <w:tcPr>
            <w:tcW w:w="585" w:type="pct"/>
            <w:tcBorders>
              <w:top w:val="nil"/>
              <w:left w:val="nil"/>
              <w:bottom w:val="nil"/>
              <w:right w:val="nil"/>
            </w:tcBorders>
            <w:shd w:val="clear" w:color="000000" w:fill="FFFFFF"/>
            <w:noWrap/>
            <w:vAlign w:val="center"/>
            <w:hideMark/>
          </w:tcPr>
          <w:p w14:paraId="42474F13" w14:textId="77777777" w:rsidR="00CE47BF" w:rsidRPr="00CE47BF" w:rsidRDefault="00CE47BF" w:rsidP="00CE47BF">
            <w:pPr>
              <w:spacing w:after="0" w:line="240" w:lineRule="auto"/>
              <w:jc w:val="right"/>
              <w:rPr>
                <w:rFonts w:ascii="Arial" w:hAnsi="Arial" w:cs="Arial"/>
                <w:b/>
                <w:bCs/>
                <w:color w:val="000000"/>
                <w:sz w:val="16"/>
                <w:szCs w:val="16"/>
              </w:rPr>
            </w:pPr>
            <w:r w:rsidRPr="00CE47BF">
              <w:rPr>
                <w:rFonts w:ascii="Arial" w:hAnsi="Arial" w:cs="Arial"/>
                <w:b/>
                <w:bCs/>
                <w:color w:val="000000"/>
                <w:sz w:val="16"/>
                <w:szCs w:val="16"/>
              </w:rPr>
              <w:t>821,773</w:t>
            </w:r>
          </w:p>
        </w:tc>
        <w:tc>
          <w:tcPr>
            <w:tcW w:w="585" w:type="pct"/>
            <w:tcBorders>
              <w:top w:val="nil"/>
              <w:left w:val="nil"/>
              <w:bottom w:val="nil"/>
              <w:right w:val="nil"/>
            </w:tcBorders>
            <w:shd w:val="clear" w:color="000000" w:fill="FFFFFF"/>
            <w:noWrap/>
            <w:vAlign w:val="center"/>
            <w:hideMark/>
          </w:tcPr>
          <w:p w14:paraId="44B171A8" w14:textId="77777777" w:rsidR="00CE47BF" w:rsidRPr="00CE47BF" w:rsidRDefault="00CE47BF" w:rsidP="00CE47BF">
            <w:pPr>
              <w:spacing w:after="0" w:line="240" w:lineRule="auto"/>
              <w:jc w:val="right"/>
              <w:rPr>
                <w:rFonts w:ascii="Arial" w:hAnsi="Arial" w:cs="Arial"/>
                <w:b/>
                <w:bCs/>
                <w:color w:val="000000"/>
                <w:sz w:val="16"/>
                <w:szCs w:val="16"/>
              </w:rPr>
            </w:pPr>
            <w:r w:rsidRPr="00CE47BF">
              <w:rPr>
                <w:rFonts w:ascii="Arial" w:hAnsi="Arial" w:cs="Arial"/>
                <w:b/>
                <w:bCs/>
                <w:color w:val="000000"/>
                <w:sz w:val="16"/>
                <w:szCs w:val="16"/>
              </w:rPr>
              <w:t>856,327</w:t>
            </w:r>
          </w:p>
        </w:tc>
        <w:tc>
          <w:tcPr>
            <w:tcW w:w="586" w:type="pct"/>
            <w:tcBorders>
              <w:top w:val="nil"/>
              <w:left w:val="nil"/>
              <w:bottom w:val="nil"/>
              <w:right w:val="nil"/>
            </w:tcBorders>
            <w:shd w:val="clear" w:color="000000" w:fill="FFFFFF"/>
            <w:noWrap/>
            <w:vAlign w:val="center"/>
            <w:hideMark/>
          </w:tcPr>
          <w:p w14:paraId="66620721" w14:textId="77777777" w:rsidR="00CE47BF" w:rsidRPr="00CE47BF" w:rsidRDefault="00CE47BF" w:rsidP="00CE47BF">
            <w:pPr>
              <w:spacing w:after="0" w:line="240" w:lineRule="auto"/>
              <w:jc w:val="right"/>
              <w:rPr>
                <w:rFonts w:ascii="Arial" w:hAnsi="Arial" w:cs="Arial"/>
                <w:b/>
                <w:bCs/>
                <w:color w:val="000000"/>
                <w:sz w:val="16"/>
                <w:szCs w:val="16"/>
              </w:rPr>
            </w:pPr>
            <w:r w:rsidRPr="00CE47BF">
              <w:rPr>
                <w:rFonts w:ascii="Arial" w:hAnsi="Arial" w:cs="Arial"/>
                <w:b/>
                <w:bCs/>
                <w:color w:val="000000"/>
                <w:sz w:val="16"/>
                <w:szCs w:val="16"/>
              </w:rPr>
              <w:t>887,303</w:t>
            </w:r>
          </w:p>
        </w:tc>
      </w:tr>
      <w:tr w:rsidR="00CE47BF" w:rsidRPr="00CE47BF" w14:paraId="00ADA7BF" w14:textId="77777777" w:rsidTr="002138BE">
        <w:trPr>
          <w:trHeight w:hRule="exact" w:val="60"/>
        </w:trPr>
        <w:tc>
          <w:tcPr>
            <w:tcW w:w="1905" w:type="pct"/>
            <w:tcBorders>
              <w:top w:val="nil"/>
              <w:left w:val="nil"/>
              <w:bottom w:val="nil"/>
              <w:right w:val="nil"/>
            </w:tcBorders>
            <w:shd w:val="clear" w:color="000000" w:fill="FFFFFF"/>
            <w:noWrap/>
            <w:vAlign w:val="center"/>
            <w:hideMark/>
          </w:tcPr>
          <w:p w14:paraId="1520788E" w14:textId="77777777" w:rsidR="00CE47BF" w:rsidRPr="00CE47BF" w:rsidRDefault="00CE47BF" w:rsidP="00CE47BF">
            <w:pPr>
              <w:spacing w:after="0" w:line="240" w:lineRule="auto"/>
              <w:jc w:val="left"/>
              <w:rPr>
                <w:rFonts w:ascii="Arial" w:hAnsi="Arial" w:cs="Arial"/>
                <w:sz w:val="16"/>
                <w:szCs w:val="16"/>
              </w:rPr>
            </w:pPr>
            <w:r w:rsidRPr="00CE47BF">
              <w:rPr>
                <w:rFonts w:ascii="Arial" w:hAnsi="Arial" w:cs="Arial"/>
                <w:sz w:val="16"/>
                <w:szCs w:val="16"/>
              </w:rPr>
              <w:t> </w:t>
            </w:r>
          </w:p>
        </w:tc>
        <w:tc>
          <w:tcPr>
            <w:tcW w:w="269" w:type="pct"/>
            <w:tcBorders>
              <w:top w:val="nil"/>
              <w:left w:val="nil"/>
              <w:bottom w:val="nil"/>
              <w:right w:val="nil"/>
            </w:tcBorders>
            <w:shd w:val="clear" w:color="000000" w:fill="FFFFFF"/>
            <w:noWrap/>
            <w:vAlign w:val="center"/>
            <w:hideMark/>
          </w:tcPr>
          <w:p w14:paraId="19BD947D" w14:textId="77777777" w:rsidR="00CE47BF" w:rsidRPr="00CE47BF" w:rsidRDefault="00CE47BF" w:rsidP="00CE47BF">
            <w:pPr>
              <w:spacing w:after="0" w:line="240" w:lineRule="auto"/>
              <w:jc w:val="center"/>
              <w:rPr>
                <w:rFonts w:ascii="Arial" w:hAnsi="Arial" w:cs="Arial"/>
                <w:sz w:val="16"/>
                <w:szCs w:val="16"/>
              </w:rPr>
            </w:pPr>
            <w:r w:rsidRPr="00CE47BF">
              <w:rPr>
                <w:rFonts w:ascii="Arial" w:hAnsi="Arial" w:cs="Arial"/>
                <w:sz w:val="16"/>
                <w:szCs w:val="16"/>
              </w:rPr>
              <w:t> </w:t>
            </w:r>
          </w:p>
        </w:tc>
        <w:tc>
          <w:tcPr>
            <w:tcW w:w="485" w:type="pct"/>
            <w:tcBorders>
              <w:top w:val="nil"/>
              <w:left w:val="nil"/>
              <w:bottom w:val="nil"/>
              <w:right w:val="nil"/>
            </w:tcBorders>
            <w:shd w:val="clear" w:color="000000" w:fill="FFFFFF"/>
            <w:noWrap/>
            <w:vAlign w:val="center"/>
            <w:hideMark/>
          </w:tcPr>
          <w:p w14:paraId="18F63C0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3969B05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269F8EC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5234CAC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4E53D20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392F3757"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1090342" w14:textId="77777777" w:rsidR="00CE47BF" w:rsidRPr="00CE47BF" w:rsidRDefault="00CE47BF" w:rsidP="00CE47BF">
            <w:pPr>
              <w:spacing w:after="0" w:line="240" w:lineRule="auto"/>
              <w:jc w:val="left"/>
              <w:rPr>
                <w:rFonts w:ascii="Arial" w:hAnsi="Arial" w:cs="Arial"/>
                <w:b/>
                <w:bCs/>
                <w:sz w:val="16"/>
                <w:szCs w:val="16"/>
              </w:rPr>
            </w:pPr>
            <w:r w:rsidRPr="00CE47BF">
              <w:rPr>
                <w:rFonts w:ascii="Arial" w:hAnsi="Arial" w:cs="Arial"/>
                <w:b/>
                <w:bCs/>
                <w:sz w:val="16"/>
                <w:szCs w:val="16"/>
              </w:rPr>
              <w:t>Liabilities</w:t>
            </w:r>
          </w:p>
        </w:tc>
        <w:tc>
          <w:tcPr>
            <w:tcW w:w="269" w:type="pct"/>
            <w:tcBorders>
              <w:top w:val="nil"/>
              <w:left w:val="nil"/>
              <w:bottom w:val="nil"/>
              <w:right w:val="nil"/>
            </w:tcBorders>
            <w:shd w:val="clear" w:color="000000" w:fill="FFFFFF"/>
            <w:noWrap/>
            <w:vAlign w:val="center"/>
            <w:hideMark/>
          </w:tcPr>
          <w:p w14:paraId="71CECFA5" w14:textId="77777777" w:rsidR="00CE47BF" w:rsidRPr="00CE47BF" w:rsidRDefault="00CE47BF" w:rsidP="00CE47BF">
            <w:pPr>
              <w:spacing w:after="0" w:line="240" w:lineRule="auto"/>
              <w:jc w:val="center"/>
              <w:rPr>
                <w:rFonts w:ascii="Arial" w:hAnsi="Arial" w:cs="Arial"/>
                <w:b/>
                <w:bCs/>
                <w:sz w:val="16"/>
                <w:szCs w:val="16"/>
              </w:rPr>
            </w:pPr>
            <w:r w:rsidRPr="00CE47BF">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2600DC0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0A05A3C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1568DBB8"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72C1CDD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1002096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4A87B24A"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636AE1AA" w14:textId="77777777" w:rsidR="00CE47BF" w:rsidRPr="00CE47BF" w:rsidRDefault="00CE47BF" w:rsidP="00CE47BF">
            <w:pPr>
              <w:spacing w:after="0" w:line="240" w:lineRule="auto"/>
              <w:jc w:val="left"/>
              <w:rPr>
                <w:rFonts w:ascii="Arial" w:hAnsi="Arial" w:cs="Arial"/>
                <w:sz w:val="16"/>
                <w:szCs w:val="16"/>
              </w:rPr>
            </w:pPr>
            <w:r w:rsidRPr="00CE47BF">
              <w:rPr>
                <w:rFonts w:ascii="Arial" w:hAnsi="Arial" w:cs="Arial"/>
                <w:sz w:val="16"/>
                <w:szCs w:val="16"/>
              </w:rPr>
              <w:t>Interest bearing liabilities</w:t>
            </w:r>
          </w:p>
        </w:tc>
        <w:tc>
          <w:tcPr>
            <w:tcW w:w="269" w:type="pct"/>
            <w:tcBorders>
              <w:top w:val="nil"/>
              <w:left w:val="nil"/>
              <w:bottom w:val="nil"/>
              <w:right w:val="nil"/>
            </w:tcBorders>
            <w:shd w:val="clear" w:color="000000" w:fill="FFFFFF"/>
            <w:noWrap/>
            <w:vAlign w:val="center"/>
            <w:hideMark/>
          </w:tcPr>
          <w:p w14:paraId="16602787" w14:textId="77777777" w:rsidR="00CE47BF" w:rsidRPr="00CE47BF" w:rsidRDefault="00CE47BF" w:rsidP="00CE47BF">
            <w:pPr>
              <w:spacing w:after="0" w:line="240" w:lineRule="auto"/>
              <w:jc w:val="center"/>
              <w:rPr>
                <w:rFonts w:ascii="Arial" w:hAnsi="Arial" w:cs="Arial"/>
                <w:b/>
                <w:bCs/>
                <w:sz w:val="16"/>
                <w:szCs w:val="16"/>
              </w:rPr>
            </w:pPr>
            <w:r w:rsidRPr="00CE47BF">
              <w:rPr>
                <w:rFonts w:ascii="Arial" w:hAnsi="Arial" w:cs="Arial"/>
                <w:b/>
                <w:bCs/>
                <w:sz w:val="16"/>
                <w:szCs w:val="16"/>
              </w:rPr>
              <w:t> </w:t>
            </w:r>
          </w:p>
        </w:tc>
        <w:tc>
          <w:tcPr>
            <w:tcW w:w="485" w:type="pct"/>
            <w:tcBorders>
              <w:top w:val="nil"/>
              <w:left w:val="nil"/>
              <w:bottom w:val="nil"/>
              <w:right w:val="nil"/>
            </w:tcBorders>
            <w:shd w:val="clear" w:color="000000" w:fill="FFFFFF"/>
            <w:noWrap/>
            <w:vAlign w:val="center"/>
            <w:hideMark/>
          </w:tcPr>
          <w:p w14:paraId="01D927A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2F9FC"/>
            <w:noWrap/>
            <w:vAlign w:val="center"/>
            <w:hideMark/>
          </w:tcPr>
          <w:p w14:paraId="02D41C8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1E57F4A4"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5" w:type="pct"/>
            <w:tcBorders>
              <w:top w:val="nil"/>
              <w:left w:val="nil"/>
              <w:bottom w:val="nil"/>
              <w:right w:val="nil"/>
            </w:tcBorders>
            <w:shd w:val="clear" w:color="000000" w:fill="FFFFFF"/>
            <w:noWrap/>
            <w:vAlign w:val="center"/>
            <w:hideMark/>
          </w:tcPr>
          <w:p w14:paraId="2F50F08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c>
          <w:tcPr>
            <w:tcW w:w="586" w:type="pct"/>
            <w:tcBorders>
              <w:top w:val="nil"/>
              <w:left w:val="nil"/>
              <w:bottom w:val="nil"/>
              <w:right w:val="nil"/>
            </w:tcBorders>
            <w:shd w:val="clear" w:color="000000" w:fill="FFFFFF"/>
            <w:noWrap/>
            <w:vAlign w:val="center"/>
            <w:hideMark/>
          </w:tcPr>
          <w:p w14:paraId="4F27F24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 </w:t>
            </w:r>
          </w:p>
        </w:tc>
      </w:tr>
      <w:tr w:rsidR="00CE47BF" w:rsidRPr="00CE47BF" w14:paraId="52B9F320"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2CFA8CF"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Deposits held</w:t>
            </w:r>
          </w:p>
        </w:tc>
        <w:tc>
          <w:tcPr>
            <w:tcW w:w="269" w:type="pct"/>
            <w:tcBorders>
              <w:top w:val="nil"/>
              <w:left w:val="nil"/>
              <w:bottom w:val="nil"/>
              <w:right w:val="nil"/>
            </w:tcBorders>
            <w:shd w:val="clear" w:color="000000" w:fill="FFFFFF"/>
            <w:noWrap/>
            <w:vAlign w:val="center"/>
            <w:hideMark/>
          </w:tcPr>
          <w:p w14:paraId="038BE492"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28CC609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598</w:t>
            </w:r>
          </w:p>
        </w:tc>
        <w:tc>
          <w:tcPr>
            <w:tcW w:w="585" w:type="pct"/>
            <w:tcBorders>
              <w:top w:val="nil"/>
              <w:left w:val="nil"/>
              <w:bottom w:val="nil"/>
              <w:right w:val="nil"/>
            </w:tcBorders>
            <w:shd w:val="clear" w:color="000000" w:fill="F2F9FC"/>
            <w:noWrap/>
            <w:vAlign w:val="center"/>
            <w:hideMark/>
          </w:tcPr>
          <w:p w14:paraId="43A1AF5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598</w:t>
            </w:r>
          </w:p>
        </w:tc>
        <w:tc>
          <w:tcPr>
            <w:tcW w:w="585" w:type="pct"/>
            <w:tcBorders>
              <w:top w:val="nil"/>
              <w:left w:val="nil"/>
              <w:bottom w:val="nil"/>
              <w:right w:val="nil"/>
            </w:tcBorders>
            <w:shd w:val="clear" w:color="000000" w:fill="FFFFFF"/>
            <w:noWrap/>
            <w:vAlign w:val="center"/>
            <w:hideMark/>
          </w:tcPr>
          <w:p w14:paraId="2CD0381B"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598</w:t>
            </w:r>
          </w:p>
        </w:tc>
        <w:tc>
          <w:tcPr>
            <w:tcW w:w="585" w:type="pct"/>
            <w:tcBorders>
              <w:top w:val="nil"/>
              <w:left w:val="nil"/>
              <w:bottom w:val="nil"/>
              <w:right w:val="nil"/>
            </w:tcBorders>
            <w:shd w:val="clear" w:color="000000" w:fill="FFFFFF"/>
            <w:noWrap/>
            <w:vAlign w:val="center"/>
            <w:hideMark/>
          </w:tcPr>
          <w:p w14:paraId="4B0530A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598</w:t>
            </w:r>
          </w:p>
        </w:tc>
        <w:tc>
          <w:tcPr>
            <w:tcW w:w="586" w:type="pct"/>
            <w:tcBorders>
              <w:top w:val="nil"/>
              <w:left w:val="nil"/>
              <w:bottom w:val="nil"/>
              <w:right w:val="nil"/>
            </w:tcBorders>
            <w:shd w:val="clear" w:color="000000" w:fill="FFFFFF"/>
            <w:noWrap/>
            <w:vAlign w:val="center"/>
            <w:hideMark/>
          </w:tcPr>
          <w:p w14:paraId="2129915A"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598</w:t>
            </w:r>
          </w:p>
        </w:tc>
      </w:tr>
      <w:tr w:rsidR="00CE47BF" w:rsidRPr="00CE47BF" w14:paraId="622AFFDC"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42B0ECC4"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Government securities</w:t>
            </w:r>
          </w:p>
        </w:tc>
        <w:tc>
          <w:tcPr>
            <w:tcW w:w="269" w:type="pct"/>
            <w:tcBorders>
              <w:top w:val="nil"/>
              <w:left w:val="nil"/>
              <w:bottom w:val="nil"/>
              <w:right w:val="nil"/>
            </w:tcBorders>
            <w:shd w:val="clear" w:color="000000" w:fill="FFFFFF"/>
            <w:noWrap/>
            <w:vAlign w:val="center"/>
            <w:hideMark/>
          </w:tcPr>
          <w:p w14:paraId="1877E263"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4A34B8D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929,091</w:t>
            </w:r>
          </w:p>
        </w:tc>
        <w:tc>
          <w:tcPr>
            <w:tcW w:w="585" w:type="pct"/>
            <w:tcBorders>
              <w:top w:val="nil"/>
              <w:left w:val="nil"/>
              <w:bottom w:val="nil"/>
              <w:right w:val="nil"/>
            </w:tcBorders>
            <w:shd w:val="clear" w:color="000000" w:fill="F2F9FC"/>
            <w:noWrap/>
            <w:vAlign w:val="center"/>
            <w:hideMark/>
          </w:tcPr>
          <w:p w14:paraId="63A512B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1,004,288</w:t>
            </w:r>
          </w:p>
        </w:tc>
        <w:tc>
          <w:tcPr>
            <w:tcW w:w="585" w:type="pct"/>
            <w:tcBorders>
              <w:top w:val="nil"/>
              <w:left w:val="nil"/>
              <w:bottom w:val="nil"/>
              <w:right w:val="nil"/>
            </w:tcBorders>
            <w:shd w:val="clear" w:color="000000" w:fill="FFFFFF"/>
            <w:noWrap/>
            <w:vAlign w:val="center"/>
            <w:hideMark/>
          </w:tcPr>
          <w:p w14:paraId="4ECC9A53"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1,087,754</w:t>
            </w:r>
          </w:p>
        </w:tc>
        <w:tc>
          <w:tcPr>
            <w:tcW w:w="585" w:type="pct"/>
            <w:tcBorders>
              <w:top w:val="nil"/>
              <w:left w:val="nil"/>
              <w:bottom w:val="nil"/>
              <w:right w:val="nil"/>
            </w:tcBorders>
            <w:shd w:val="clear" w:color="000000" w:fill="FFFFFF"/>
            <w:noWrap/>
            <w:vAlign w:val="center"/>
            <w:hideMark/>
          </w:tcPr>
          <w:p w14:paraId="1A494EC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1,152,547</w:t>
            </w:r>
          </w:p>
        </w:tc>
        <w:tc>
          <w:tcPr>
            <w:tcW w:w="586" w:type="pct"/>
            <w:tcBorders>
              <w:top w:val="nil"/>
              <w:left w:val="nil"/>
              <w:bottom w:val="nil"/>
              <w:right w:val="nil"/>
            </w:tcBorders>
            <w:shd w:val="clear" w:color="000000" w:fill="FFFFFF"/>
            <w:noWrap/>
            <w:vAlign w:val="center"/>
            <w:hideMark/>
          </w:tcPr>
          <w:p w14:paraId="0960D07D"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1,206,526</w:t>
            </w:r>
          </w:p>
        </w:tc>
      </w:tr>
      <w:tr w:rsidR="00CE47BF" w:rsidRPr="00CE47BF" w14:paraId="370DAE73"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6A67A75"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Loans</w:t>
            </w:r>
          </w:p>
        </w:tc>
        <w:tc>
          <w:tcPr>
            <w:tcW w:w="269" w:type="pct"/>
            <w:tcBorders>
              <w:top w:val="nil"/>
              <w:left w:val="nil"/>
              <w:bottom w:val="nil"/>
              <w:right w:val="nil"/>
            </w:tcBorders>
            <w:shd w:val="clear" w:color="000000" w:fill="FFFFFF"/>
            <w:noWrap/>
            <w:vAlign w:val="center"/>
            <w:hideMark/>
          </w:tcPr>
          <w:p w14:paraId="5BB4A4AE"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3C1EA0A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29,640</w:t>
            </w:r>
          </w:p>
        </w:tc>
        <w:tc>
          <w:tcPr>
            <w:tcW w:w="585" w:type="pct"/>
            <w:tcBorders>
              <w:top w:val="nil"/>
              <w:left w:val="nil"/>
              <w:bottom w:val="nil"/>
              <w:right w:val="nil"/>
            </w:tcBorders>
            <w:shd w:val="clear" w:color="000000" w:fill="F2F9FC"/>
            <w:noWrap/>
            <w:vAlign w:val="center"/>
            <w:hideMark/>
          </w:tcPr>
          <w:p w14:paraId="7E06AAD1"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29,583</w:t>
            </w:r>
          </w:p>
        </w:tc>
        <w:tc>
          <w:tcPr>
            <w:tcW w:w="585" w:type="pct"/>
            <w:tcBorders>
              <w:top w:val="nil"/>
              <w:left w:val="nil"/>
              <w:bottom w:val="nil"/>
              <w:right w:val="nil"/>
            </w:tcBorders>
            <w:shd w:val="clear" w:color="000000" w:fill="FFFFFF"/>
            <w:noWrap/>
            <w:vAlign w:val="center"/>
            <w:hideMark/>
          </w:tcPr>
          <w:p w14:paraId="60D406F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29,403</w:t>
            </w:r>
          </w:p>
        </w:tc>
        <w:tc>
          <w:tcPr>
            <w:tcW w:w="585" w:type="pct"/>
            <w:tcBorders>
              <w:top w:val="nil"/>
              <w:left w:val="nil"/>
              <w:bottom w:val="nil"/>
              <w:right w:val="nil"/>
            </w:tcBorders>
            <w:shd w:val="clear" w:color="000000" w:fill="FFFFFF"/>
            <w:noWrap/>
            <w:vAlign w:val="center"/>
            <w:hideMark/>
          </w:tcPr>
          <w:p w14:paraId="411B1E7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29,151</w:t>
            </w:r>
          </w:p>
        </w:tc>
        <w:tc>
          <w:tcPr>
            <w:tcW w:w="586" w:type="pct"/>
            <w:tcBorders>
              <w:top w:val="nil"/>
              <w:left w:val="nil"/>
              <w:bottom w:val="nil"/>
              <w:right w:val="nil"/>
            </w:tcBorders>
            <w:shd w:val="clear" w:color="000000" w:fill="FFFFFF"/>
            <w:noWrap/>
            <w:vAlign w:val="center"/>
            <w:hideMark/>
          </w:tcPr>
          <w:p w14:paraId="486DCAE6"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28,837</w:t>
            </w:r>
          </w:p>
        </w:tc>
      </w:tr>
      <w:tr w:rsidR="00CE47BF" w:rsidRPr="00CE47BF" w14:paraId="6E2F9049"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2EA43E7" w14:textId="77777777" w:rsidR="00CE47BF" w:rsidRPr="00CE47BF" w:rsidRDefault="00CE47BF" w:rsidP="00CE47BF">
            <w:pPr>
              <w:spacing w:after="0" w:line="240" w:lineRule="auto"/>
              <w:ind w:left="170"/>
              <w:jc w:val="left"/>
              <w:rPr>
                <w:rFonts w:ascii="Arial" w:hAnsi="Arial" w:cs="Arial"/>
                <w:color w:val="000000"/>
                <w:sz w:val="16"/>
                <w:szCs w:val="16"/>
              </w:rPr>
            </w:pPr>
            <w:r w:rsidRPr="00CE47BF">
              <w:rPr>
                <w:rFonts w:ascii="Arial" w:hAnsi="Arial" w:cs="Arial"/>
                <w:color w:val="000000"/>
                <w:sz w:val="16"/>
                <w:szCs w:val="16"/>
              </w:rPr>
              <w:t>Lease liabilities</w:t>
            </w:r>
          </w:p>
        </w:tc>
        <w:tc>
          <w:tcPr>
            <w:tcW w:w="269" w:type="pct"/>
            <w:tcBorders>
              <w:top w:val="nil"/>
              <w:left w:val="nil"/>
              <w:bottom w:val="nil"/>
              <w:right w:val="nil"/>
            </w:tcBorders>
            <w:shd w:val="clear" w:color="000000" w:fill="FFFFFF"/>
            <w:noWrap/>
            <w:vAlign w:val="center"/>
            <w:hideMark/>
          </w:tcPr>
          <w:p w14:paraId="103BAB65"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nil"/>
              <w:right w:val="nil"/>
            </w:tcBorders>
            <w:shd w:val="clear" w:color="000000" w:fill="FFFFFF"/>
            <w:noWrap/>
            <w:vAlign w:val="center"/>
            <w:hideMark/>
          </w:tcPr>
          <w:p w14:paraId="5C2AF730"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19,901</w:t>
            </w:r>
          </w:p>
        </w:tc>
        <w:tc>
          <w:tcPr>
            <w:tcW w:w="585" w:type="pct"/>
            <w:tcBorders>
              <w:top w:val="nil"/>
              <w:left w:val="nil"/>
              <w:bottom w:val="nil"/>
              <w:right w:val="nil"/>
            </w:tcBorders>
            <w:shd w:val="clear" w:color="000000" w:fill="F2F9FC"/>
            <w:noWrap/>
            <w:vAlign w:val="center"/>
            <w:hideMark/>
          </w:tcPr>
          <w:p w14:paraId="7759E0CC"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20,068</w:t>
            </w:r>
          </w:p>
        </w:tc>
        <w:tc>
          <w:tcPr>
            <w:tcW w:w="585" w:type="pct"/>
            <w:tcBorders>
              <w:top w:val="nil"/>
              <w:left w:val="nil"/>
              <w:bottom w:val="nil"/>
              <w:right w:val="nil"/>
            </w:tcBorders>
            <w:shd w:val="clear" w:color="000000" w:fill="FFFFFF"/>
            <w:noWrap/>
            <w:vAlign w:val="center"/>
            <w:hideMark/>
          </w:tcPr>
          <w:p w14:paraId="4E11F5AF"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19,421</w:t>
            </w:r>
          </w:p>
        </w:tc>
        <w:tc>
          <w:tcPr>
            <w:tcW w:w="585" w:type="pct"/>
            <w:tcBorders>
              <w:top w:val="nil"/>
              <w:left w:val="nil"/>
              <w:bottom w:val="nil"/>
              <w:right w:val="nil"/>
            </w:tcBorders>
            <w:shd w:val="clear" w:color="000000" w:fill="FFFFFF"/>
            <w:noWrap/>
            <w:vAlign w:val="center"/>
            <w:hideMark/>
          </w:tcPr>
          <w:p w14:paraId="220B12EB"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18,370</w:t>
            </w:r>
          </w:p>
        </w:tc>
        <w:tc>
          <w:tcPr>
            <w:tcW w:w="586" w:type="pct"/>
            <w:tcBorders>
              <w:top w:val="nil"/>
              <w:left w:val="nil"/>
              <w:bottom w:val="nil"/>
              <w:right w:val="nil"/>
            </w:tcBorders>
            <w:shd w:val="clear" w:color="000000" w:fill="FFFFFF"/>
            <w:noWrap/>
            <w:vAlign w:val="center"/>
            <w:hideMark/>
          </w:tcPr>
          <w:p w14:paraId="1DE17AC5" w14:textId="77777777" w:rsidR="00CE47BF" w:rsidRPr="00CE47BF" w:rsidRDefault="00CE47BF" w:rsidP="00CE47BF">
            <w:pPr>
              <w:spacing w:after="0" w:line="240" w:lineRule="auto"/>
              <w:jc w:val="right"/>
              <w:rPr>
                <w:rFonts w:ascii="Arial" w:hAnsi="Arial" w:cs="Arial"/>
                <w:color w:val="000000"/>
                <w:sz w:val="16"/>
                <w:szCs w:val="16"/>
              </w:rPr>
            </w:pPr>
            <w:r w:rsidRPr="00CE47BF">
              <w:rPr>
                <w:rFonts w:ascii="Arial" w:hAnsi="Arial" w:cs="Arial"/>
                <w:color w:val="000000"/>
                <w:sz w:val="16"/>
                <w:szCs w:val="16"/>
              </w:rPr>
              <w:t>16,962</w:t>
            </w:r>
          </w:p>
        </w:tc>
      </w:tr>
      <w:tr w:rsidR="00CE47BF" w:rsidRPr="00CE47BF" w14:paraId="2C7C5431" w14:textId="77777777" w:rsidTr="002138BE">
        <w:trPr>
          <w:trHeight w:hRule="exact" w:val="225"/>
        </w:trPr>
        <w:tc>
          <w:tcPr>
            <w:tcW w:w="1905" w:type="pct"/>
            <w:tcBorders>
              <w:top w:val="nil"/>
              <w:left w:val="nil"/>
              <w:bottom w:val="single" w:sz="4" w:space="0" w:color="auto"/>
              <w:right w:val="nil"/>
            </w:tcBorders>
            <w:shd w:val="clear" w:color="000000" w:fill="FFFFFF"/>
            <w:noWrap/>
            <w:vAlign w:val="center"/>
            <w:hideMark/>
          </w:tcPr>
          <w:p w14:paraId="31BF2D9E" w14:textId="77777777" w:rsidR="00CE47BF" w:rsidRPr="00CE47BF" w:rsidRDefault="00CE47BF" w:rsidP="00CE47BF">
            <w:pPr>
              <w:spacing w:after="0" w:line="240" w:lineRule="auto"/>
              <w:jc w:val="left"/>
              <w:rPr>
                <w:rFonts w:ascii="Arial" w:hAnsi="Arial" w:cs="Arial"/>
                <w:i/>
                <w:iCs/>
                <w:sz w:val="16"/>
                <w:szCs w:val="16"/>
              </w:rPr>
            </w:pPr>
            <w:r w:rsidRPr="00CE47BF">
              <w:rPr>
                <w:rFonts w:ascii="Arial" w:hAnsi="Arial" w:cs="Arial"/>
                <w:i/>
                <w:iCs/>
                <w:sz w:val="16"/>
                <w:szCs w:val="16"/>
              </w:rPr>
              <w:t>Total interest bearing liabilities</w:t>
            </w:r>
          </w:p>
        </w:tc>
        <w:tc>
          <w:tcPr>
            <w:tcW w:w="269" w:type="pct"/>
            <w:tcBorders>
              <w:top w:val="nil"/>
              <w:left w:val="nil"/>
              <w:bottom w:val="single" w:sz="4" w:space="0" w:color="auto"/>
              <w:right w:val="nil"/>
            </w:tcBorders>
            <w:shd w:val="clear" w:color="000000" w:fill="FFFFFF"/>
            <w:noWrap/>
            <w:vAlign w:val="center"/>
            <w:hideMark/>
          </w:tcPr>
          <w:p w14:paraId="0E45CBDC" w14:textId="77777777" w:rsidR="00CE47BF" w:rsidRPr="00CE47BF" w:rsidRDefault="00CE47BF" w:rsidP="00CE47BF">
            <w:pPr>
              <w:spacing w:after="0" w:line="240" w:lineRule="auto"/>
              <w:jc w:val="center"/>
              <w:rPr>
                <w:rFonts w:ascii="Arial" w:hAnsi="Arial" w:cs="Arial"/>
                <w:color w:val="000000"/>
                <w:sz w:val="16"/>
                <w:szCs w:val="16"/>
              </w:rPr>
            </w:pPr>
            <w:r w:rsidRPr="00CE47BF">
              <w:rPr>
                <w:rFonts w:ascii="Arial" w:hAnsi="Arial" w:cs="Arial"/>
                <w:color w:val="000000"/>
                <w:sz w:val="16"/>
                <w:szCs w:val="16"/>
              </w:rPr>
              <w:t> </w:t>
            </w:r>
          </w:p>
        </w:tc>
        <w:tc>
          <w:tcPr>
            <w:tcW w:w="485" w:type="pct"/>
            <w:tcBorders>
              <w:top w:val="nil"/>
              <w:left w:val="nil"/>
              <w:bottom w:val="single" w:sz="4" w:space="0" w:color="auto"/>
              <w:right w:val="nil"/>
            </w:tcBorders>
            <w:shd w:val="clear" w:color="000000" w:fill="FFFFFF"/>
            <w:noWrap/>
            <w:vAlign w:val="center"/>
            <w:hideMark/>
          </w:tcPr>
          <w:p w14:paraId="26AA7903"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979,230</w:t>
            </w:r>
          </w:p>
        </w:tc>
        <w:tc>
          <w:tcPr>
            <w:tcW w:w="585" w:type="pct"/>
            <w:tcBorders>
              <w:top w:val="nil"/>
              <w:left w:val="nil"/>
              <w:bottom w:val="single" w:sz="4" w:space="0" w:color="auto"/>
              <w:right w:val="nil"/>
            </w:tcBorders>
            <w:shd w:val="clear" w:color="000000" w:fill="F2F9FC"/>
            <w:noWrap/>
            <w:vAlign w:val="center"/>
            <w:hideMark/>
          </w:tcPr>
          <w:p w14:paraId="74F12381"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1,054,537</w:t>
            </w:r>
          </w:p>
        </w:tc>
        <w:tc>
          <w:tcPr>
            <w:tcW w:w="585" w:type="pct"/>
            <w:tcBorders>
              <w:top w:val="nil"/>
              <w:left w:val="nil"/>
              <w:bottom w:val="single" w:sz="4" w:space="0" w:color="auto"/>
              <w:right w:val="nil"/>
            </w:tcBorders>
            <w:shd w:val="clear" w:color="000000" w:fill="FFFFFF"/>
            <w:noWrap/>
            <w:vAlign w:val="center"/>
            <w:hideMark/>
          </w:tcPr>
          <w:p w14:paraId="61EC0DA3"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1,137,176</w:t>
            </w:r>
          </w:p>
        </w:tc>
        <w:tc>
          <w:tcPr>
            <w:tcW w:w="585" w:type="pct"/>
            <w:tcBorders>
              <w:top w:val="nil"/>
              <w:left w:val="nil"/>
              <w:bottom w:val="single" w:sz="4" w:space="0" w:color="auto"/>
              <w:right w:val="nil"/>
            </w:tcBorders>
            <w:shd w:val="clear" w:color="000000" w:fill="FFFFFF"/>
            <w:noWrap/>
            <w:vAlign w:val="center"/>
            <w:hideMark/>
          </w:tcPr>
          <w:p w14:paraId="37D41722"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1,200,665</w:t>
            </w:r>
          </w:p>
        </w:tc>
        <w:tc>
          <w:tcPr>
            <w:tcW w:w="586" w:type="pct"/>
            <w:tcBorders>
              <w:top w:val="nil"/>
              <w:left w:val="nil"/>
              <w:bottom w:val="single" w:sz="4" w:space="0" w:color="auto"/>
              <w:right w:val="nil"/>
            </w:tcBorders>
            <w:shd w:val="clear" w:color="000000" w:fill="FFFFFF"/>
            <w:noWrap/>
            <w:vAlign w:val="center"/>
            <w:hideMark/>
          </w:tcPr>
          <w:p w14:paraId="5E8842ED" w14:textId="77777777" w:rsidR="00CE47BF" w:rsidRPr="00CE47BF" w:rsidRDefault="00CE47BF" w:rsidP="00CE47BF">
            <w:pPr>
              <w:spacing w:after="0" w:line="240" w:lineRule="auto"/>
              <w:jc w:val="right"/>
              <w:rPr>
                <w:rFonts w:ascii="Arial" w:hAnsi="Arial" w:cs="Arial"/>
                <w:i/>
                <w:iCs/>
                <w:color w:val="000000"/>
                <w:sz w:val="16"/>
                <w:szCs w:val="16"/>
              </w:rPr>
            </w:pPr>
            <w:r w:rsidRPr="00CE47BF">
              <w:rPr>
                <w:rFonts w:ascii="Arial" w:hAnsi="Arial" w:cs="Arial"/>
                <w:i/>
                <w:iCs/>
                <w:color w:val="000000"/>
                <w:sz w:val="16"/>
                <w:szCs w:val="16"/>
              </w:rPr>
              <w:t>1,252,923</w:t>
            </w:r>
          </w:p>
        </w:tc>
      </w:tr>
    </w:tbl>
    <w:p w14:paraId="26EC01A5" w14:textId="203EDF87" w:rsidR="00076460" w:rsidRPr="00625155" w:rsidRDefault="00076460" w:rsidP="00E449DC">
      <w:pPr>
        <w:pStyle w:val="TableGraphic"/>
      </w:pPr>
    </w:p>
    <w:p w14:paraId="28BD584F" w14:textId="010E64D5" w:rsidR="000A21F8" w:rsidRDefault="00076460" w:rsidP="000A21F8">
      <w:pPr>
        <w:pStyle w:val="TableHeadingcontinued"/>
        <w:rPr>
          <w:rFonts w:asciiTheme="minorHAnsi" w:eastAsiaTheme="minorHAnsi" w:hAnsiTheme="minorHAnsi" w:cstheme="minorBidi"/>
          <w:sz w:val="22"/>
          <w:szCs w:val="22"/>
          <w:lang w:eastAsia="en-US"/>
        </w:rPr>
      </w:pPr>
      <w:r w:rsidRPr="00060499">
        <w:br w:type="page"/>
        <w:t>Table A2: Australian Government general government sector balance sheet (continued)</w:t>
      </w:r>
      <w:bookmarkStart w:id="61" w:name="_1711896625"/>
      <w:bookmarkStart w:id="62" w:name="_1711895420"/>
      <w:bookmarkStart w:id="63" w:name="_1711466781"/>
      <w:bookmarkStart w:id="64" w:name="_1711436882"/>
      <w:bookmarkEnd w:id="61"/>
      <w:bookmarkEnd w:id="62"/>
      <w:bookmarkEnd w:id="63"/>
      <w:bookmarkEnd w:id="64"/>
    </w:p>
    <w:tbl>
      <w:tblPr>
        <w:tblW w:w="5000" w:type="pct"/>
        <w:tblCellMar>
          <w:left w:w="0" w:type="dxa"/>
          <w:right w:w="28" w:type="dxa"/>
        </w:tblCellMar>
        <w:tblLook w:val="04A0" w:firstRow="1" w:lastRow="0" w:firstColumn="1" w:lastColumn="0" w:noHBand="0" w:noVBand="1"/>
      </w:tblPr>
      <w:tblGrid>
        <w:gridCol w:w="2937"/>
        <w:gridCol w:w="415"/>
        <w:gridCol w:w="859"/>
        <w:gridCol w:w="859"/>
        <w:gridCol w:w="859"/>
        <w:gridCol w:w="859"/>
        <w:gridCol w:w="922"/>
      </w:tblGrid>
      <w:tr w:rsidR="000A21F8" w:rsidRPr="000A21F8" w14:paraId="38642A33" w14:textId="77777777" w:rsidTr="002138BE">
        <w:trPr>
          <w:trHeight w:hRule="exact" w:val="225"/>
        </w:trPr>
        <w:tc>
          <w:tcPr>
            <w:tcW w:w="1905" w:type="pct"/>
            <w:tcBorders>
              <w:top w:val="single" w:sz="4" w:space="0" w:color="auto"/>
              <w:left w:val="nil"/>
              <w:bottom w:val="nil"/>
              <w:right w:val="nil"/>
            </w:tcBorders>
            <w:shd w:val="clear" w:color="000000" w:fill="FFFFFF"/>
            <w:noWrap/>
            <w:vAlign w:val="center"/>
            <w:hideMark/>
          </w:tcPr>
          <w:p w14:paraId="46ED014C" w14:textId="42F0BE32" w:rsidR="000A21F8" w:rsidRPr="000A21F8" w:rsidRDefault="000A21F8" w:rsidP="000A21F8">
            <w:pPr>
              <w:spacing w:after="0" w:line="240" w:lineRule="auto"/>
              <w:jc w:val="left"/>
              <w:rPr>
                <w:rFonts w:ascii="Arial" w:hAnsi="Arial" w:cs="Arial"/>
                <w:sz w:val="16"/>
                <w:szCs w:val="16"/>
              </w:rPr>
            </w:pPr>
            <w:r w:rsidRPr="000A21F8">
              <w:rPr>
                <w:rFonts w:ascii="Arial" w:hAnsi="Arial" w:cs="Arial"/>
                <w:sz w:val="16"/>
                <w:szCs w:val="16"/>
              </w:rPr>
              <w:t> </w:t>
            </w:r>
          </w:p>
        </w:tc>
        <w:tc>
          <w:tcPr>
            <w:tcW w:w="269" w:type="pct"/>
            <w:tcBorders>
              <w:top w:val="single" w:sz="4" w:space="0" w:color="auto"/>
              <w:left w:val="nil"/>
              <w:bottom w:val="nil"/>
              <w:right w:val="nil"/>
            </w:tcBorders>
            <w:shd w:val="clear" w:color="000000" w:fill="FFFFFF"/>
            <w:noWrap/>
            <w:vAlign w:val="center"/>
            <w:hideMark/>
          </w:tcPr>
          <w:p w14:paraId="0D579BCD" w14:textId="77777777" w:rsidR="000A21F8" w:rsidRPr="000A21F8" w:rsidRDefault="000A21F8" w:rsidP="000A21F8">
            <w:pPr>
              <w:spacing w:after="0" w:line="240" w:lineRule="auto"/>
              <w:jc w:val="center"/>
              <w:rPr>
                <w:rFonts w:ascii="Arial" w:hAnsi="Arial" w:cs="Arial"/>
                <w:sz w:val="16"/>
                <w:szCs w:val="16"/>
              </w:rPr>
            </w:pPr>
            <w:r w:rsidRPr="000A21F8">
              <w:rPr>
                <w:rFonts w:ascii="Arial" w:hAnsi="Arial" w:cs="Arial"/>
                <w:sz w:val="16"/>
                <w:szCs w:val="16"/>
              </w:rPr>
              <w:t> </w:t>
            </w:r>
          </w:p>
        </w:tc>
        <w:tc>
          <w:tcPr>
            <w:tcW w:w="2826" w:type="pct"/>
            <w:gridSpan w:val="5"/>
            <w:tcBorders>
              <w:top w:val="single" w:sz="4" w:space="0" w:color="000000"/>
              <w:left w:val="nil"/>
              <w:bottom w:val="single" w:sz="4" w:space="0" w:color="auto"/>
              <w:right w:val="nil"/>
            </w:tcBorders>
            <w:shd w:val="clear" w:color="auto" w:fill="auto"/>
            <w:noWrap/>
            <w:vAlign w:val="center"/>
            <w:hideMark/>
          </w:tcPr>
          <w:p w14:paraId="7500BD1E" w14:textId="77777777" w:rsidR="000A21F8" w:rsidRPr="000A21F8" w:rsidRDefault="000A21F8" w:rsidP="000A21F8">
            <w:pPr>
              <w:spacing w:after="0" w:line="240" w:lineRule="auto"/>
              <w:jc w:val="center"/>
              <w:rPr>
                <w:rFonts w:ascii="Arial" w:hAnsi="Arial" w:cs="Arial"/>
                <w:sz w:val="16"/>
                <w:szCs w:val="16"/>
              </w:rPr>
            </w:pPr>
            <w:r w:rsidRPr="000A21F8">
              <w:rPr>
                <w:rFonts w:ascii="Arial" w:hAnsi="Arial" w:cs="Arial"/>
                <w:sz w:val="16"/>
                <w:szCs w:val="16"/>
              </w:rPr>
              <w:t>Estimates</w:t>
            </w:r>
          </w:p>
        </w:tc>
      </w:tr>
      <w:tr w:rsidR="000A21F8" w:rsidRPr="000A21F8" w14:paraId="03ED41DB"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5B3BB91" w14:textId="77777777" w:rsidR="000A21F8" w:rsidRPr="000A21F8" w:rsidRDefault="000A21F8" w:rsidP="000A21F8">
            <w:pPr>
              <w:spacing w:after="0" w:line="240" w:lineRule="auto"/>
              <w:jc w:val="left"/>
              <w:rPr>
                <w:rFonts w:ascii="Arial" w:hAnsi="Arial" w:cs="Arial"/>
                <w:sz w:val="16"/>
                <w:szCs w:val="16"/>
              </w:rPr>
            </w:pPr>
            <w:r w:rsidRPr="000A21F8">
              <w:rPr>
                <w:rFonts w:ascii="Arial" w:hAnsi="Arial" w:cs="Arial"/>
                <w:sz w:val="16"/>
                <w:szCs w:val="16"/>
              </w:rPr>
              <w:t> </w:t>
            </w:r>
          </w:p>
        </w:tc>
        <w:tc>
          <w:tcPr>
            <w:tcW w:w="269" w:type="pct"/>
            <w:tcBorders>
              <w:top w:val="nil"/>
              <w:left w:val="nil"/>
              <w:bottom w:val="nil"/>
              <w:right w:val="nil"/>
            </w:tcBorders>
            <w:shd w:val="clear" w:color="000000" w:fill="FFFFFF"/>
            <w:noWrap/>
            <w:vAlign w:val="center"/>
            <w:hideMark/>
          </w:tcPr>
          <w:p w14:paraId="0B2FB01A" w14:textId="77777777" w:rsidR="000A21F8" w:rsidRPr="000A21F8" w:rsidRDefault="000A21F8" w:rsidP="000A21F8">
            <w:pPr>
              <w:spacing w:after="0" w:line="240" w:lineRule="auto"/>
              <w:jc w:val="center"/>
              <w:rPr>
                <w:rFonts w:ascii="Arial" w:hAnsi="Arial" w:cs="Arial"/>
                <w:sz w:val="16"/>
                <w:szCs w:val="16"/>
              </w:rPr>
            </w:pPr>
            <w:r w:rsidRPr="000A21F8">
              <w:rPr>
                <w:rFonts w:ascii="Arial" w:hAnsi="Arial" w:cs="Arial"/>
                <w:sz w:val="16"/>
                <w:szCs w:val="16"/>
              </w:rPr>
              <w:t> </w:t>
            </w:r>
          </w:p>
        </w:tc>
        <w:tc>
          <w:tcPr>
            <w:tcW w:w="557" w:type="pct"/>
            <w:tcBorders>
              <w:top w:val="single" w:sz="4" w:space="0" w:color="auto"/>
              <w:left w:val="nil"/>
              <w:bottom w:val="nil"/>
              <w:right w:val="nil"/>
            </w:tcBorders>
            <w:shd w:val="clear" w:color="000000" w:fill="FFFFFF"/>
            <w:noWrap/>
            <w:vAlign w:val="center"/>
            <w:hideMark/>
          </w:tcPr>
          <w:p w14:paraId="3F8383D4" w14:textId="6B5C9CE1" w:rsidR="000A21F8" w:rsidRPr="000A21F8" w:rsidRDefault="000A21F8" w:rsidP="000A21F8">
            <w:pPr>
              <w:spacing w:after="0" w:line="240" w:lineRule="auto"/>
              <w:jc w:val="right"/>
              <w:rPr>
                <w:rFonts w:ascii="Arial" w:hAnsi="Arial" w:cs="Arial"/>
                <w:sz w:val="16"/>
                <w:szCs w:val="16"/>
              </w:rPr>
            </w:pPr>
            <w:r w:rsidRPr="000A21F8">
              <w:rPr>
                <w:rFonts w:ascii="Arial" w:hAnsi="Arial" w:cs="Arial"/>
                <w:sz w:val="16"/>
                <w:szCs w:val="16"/>
              </w:rPr>
              <w:t>2021</w:t>
            </w:r>
            <w:r w:rsidR="00660645">
              <w:rPr>
                <w:rFonts w:ascii="Arial" w:hAnsi="Arial" w:cs="Arial"/>
                <w:sz w:val="16"/>
                <w:szCs w:val="16"/>
              </w:rPr>
              <w:noBreakHyphen/>
            </w:r>
            <w:r w:rsidRPr="000A21F8">
              <w:rPr>
                <w:rFonts w:ascii="Arial" w:hAnsi="Arial" w:cs="Arial"/>
                <w:sz w:val="16"/>
                <w:szCs w:val="16"/>
              </w:rPr>
              <w:t>22</w:t>
            </w:r>
          </w:p>
        </w:tc>
        <w:tc>
          <w:tcPr>
            <w:tcW w:w="557" w:type="pct"/>
            <w:tcBorders>
              <w:top w:val="single" w:sz="4" w:space="0" w:color="auto"/>
              <w:left w:val="nil"/>
              <w:bottom w:val="nil"/>
              <w:right w:val="nil"/>
            </w:tcBorders>
            <w:shd w:val="clear" w:color="000000" w:fill="F2F9FC"/>
            <w:noWrap/>
            <w:vAlign w:val="center"/>
            <w:hideMark/>
          </w:tcPr>
          <w:p w14:paraId="33652034" w14:textId="758710B7" w:rsidR="000A21F8" w:rsidRPr="000A21F8" w:rsidRDefault="000A21F8" w:rsidP="000A21F8">
            <w:pPr>
              <w:spacing w:after="0" w:line="240" w:lineRule="auto"/>
              <w:jc w:val="right"/>
              <w:rPr>
                <w:rFonts w:ascii="Arial" w:hAnsi="Arial" w:cs="Arial"/>
                <w:sz w:val="16"/>
                <w:szCs w:val="16"/>
              </w:rPr>
            </w:pPr>
            <w:r w:rsidRPr="000A21F8">
              <w:rPr>
                <w:rFonts w:ascii="Arial" w:hAnsi="Arial" w:cs="Arial"/>
                <w:sz w:val="16"/>
                <w:szCs w:val="16"/>
              </w:rPr>
              <w:t>2022</w:t>
            </w:r>
            <w:r w:rsidR="00660645">
              <w:rPr>
                <w:rFonts w:ascii="Arial" w:hAnsi="Arial" w:cs="Arial"/>
                <w:sz w:val="16"/>
                <w:szCs w:val="16"/>
              </w:rPr>
              <w:noBreakHyphen/>
            </w:r>
            <w:r w:rsidRPr="000A21F8">
              <w:rPr>
                <w:rFonts w:ascii="Arial" w:hAnsi="Arial" w:cs="Arial"/>
                <w:sz w:val="16"/>
                <w:szCs w:val="16"/>
              </w:rPr>
              <w:t>23</w:t>
            </w:r>
          </w:p>
        </w:tc>
        <w:tc>
          <w:tcPr>
            <w:tcW w:w="557" w:type="pct"/>
            <w:tcBorders>
              <w:top w:val="single" w:sz="4" w:space="0" w:color="auto"/>
              <w:left w:val="nil"/>
              <w:bottom w:val="nil"/>
              <w:right w:val="nil"/>
            </w:tcBorders>
            <w:shd w:val="clear" w:color="000000" w:fill="FFFFFF"/>
            <w:noWrap/>
            <w:vAlign w:val="center"/>
            <w:hideMark/>
          </w:tcPr>
          <w:p w14:paraId="4991299B" w14:textId="634D1ED7" w:rsidR="000A21F8" w:rsidRPr="000A21F8" w:rsidRDefault="000A21F8" w:rsidP="000A21F8">
            <w:pPr>
              <w:spacing w:after="0" w:line="240" w:lineRule="auto"/>
              <w:jc w:val="right"/>
              <w:rPr>
                <w:rFonts w:ascii="Arial" w:hAnsi="Arial" w:cs="Arial"/>
                <w:sz w:val="16"/>
                <w:szCs w:val="16"/>
              </w:rPr>
            </w:pPr>
            <w:r w:rsidRPr="000A21F8">
              <w:rPr>
                <w:rFonts w:ascii="Arial" w:hAnsi="Arial" w:cs="Arial"/>
                <w:sz w:val="16"/>
                <w:szCs w:val="16"/>
              </w:rPr>
              <w:t>2023</w:t>
            </w:r>
            <w:r w:rsidR="00660645">
              <w:rPr>
                <w:rFonts w:ascii="Arial" w:hAnsi="Arial" w:cs="Arial"/>
                <w:sz w:val="16"/>
                <w:szCs w:val="16"/>
              </w:rPr>
              <w:noBreakHyphen/>
            </w:r>
            <w:r w:rsidRPr="000A21F8">
              <w:rPr>
                <w:rFonts w:ascii="Arial" w:hAnsi="Arial" w:cs="Arial"/>
                <w:sz w:val="16"/>
                <w:szCs w:val="16"/>
              </w:rPr>
              <w:t>24</w:t>
            </w:r>
          </w:p>
        </w:tc>
        <w:tc>
          <w:tcPr>
            <w:tcW w:w="557" w:type="pct"/>
            <w:tcBorders>
              <w:top w:val="single" w:sz="4" w:space="0" w:color="auto"/>
              <w:left w:val="nil"/>
              <w:bottom w:val="nil"/>
              <w:right w:val="nil"/>
            </w:tcBorders>
            <w:shd w:val="clear" w:color="000000" w:fill="FFFFFF"/>
            <w:noWrap/>
            <w:vAlign w:val="center"/>
            <w:hideMark/>
          </w:tcPr>
          <w:p w14:paraId="60F5FA6B" w14:textId="747268F4" w:rsidR="000A21F8" w:rsidRPr="000A21F8" w:rsidRDefault="000A21F8" w:rsidP="000A21F8">
            <w:pPr>
              <w:spacing w:after="0" w:line="240" w:lineRule="auto"/>
              <w:jc w:val="right"/>
              <w:rPr>
                <w:rFonts w:ascii="Arial" w:hAnsi="Arial" w:cs="Arial"/>
                <w:sz w:val="16"/>
                <w:szCs w:val="16"/>
              </w:rPr>
            </w:pPr>
            <w:r w:rsidRPr="000A21F8">
              <w:rPr>
                <w:rFonts w:ascii="Arial" w:hAnsi="Arial" w:cs="Arial"/>
                <w:sz w:val="16"/>
                <w:szCs w:val="16"/>
              </w:rPr>
              <w:t>2024</w:t>
            </w:r>
            <w:r w:rsidR="00660645">
              <w:rPr>
                <w:rFonts w:ascii="Arial" w:hAnsi="Arial" w:cs="Arial"/>
                <w:sz w:val="16"/>
                <w:szCs w:val="16"/>
              </w:rPr>
              <w:noBreakHyphen/>
            </w:r>
            <w:r w:rsidRPr="000A21F8">
              <w:rPr>
                <w:rFonts w:ascii="Arial" w:hAnsi="Arial" w:cs="Arial"/>
                <w:sz w:val="16"/>
                <w:szCs w:val="16"/>
              </w:rPr>
              <w:t>25</w:t>
            </w:r>
          </w:p>
        </w:tc>
        <w:tc>
          <w:tcPr>
            <w:tcW w:w="598" w:type="pct"/>
            <w:tcBorders>
              <w:top w:val="single" w:sz="4" w:space="0" w:color="auto"/>
              <w:left w:val="nil"/>
              <w:bottom w:val="nil"/>
              <w:right w:val="nil"/>
            </w:tcBorders>
            <w:shd w:val="clear" w:color="000000" w:fill="FFFFFF"/>
            <w:noWrap/>
            <w:vAlign w:val="center"/>
            <w:hideMark/>
          </w:tcPr>
          <w:p w14:paraId="5794D647" w14:textId="52279F4A"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2025</w:t>
            </w:r>
            <w:r w:rsidR="00660645">
              <w:rPr>
                <w:rFonts w:ascii="Arial" w:hAnsi="Arial" w:cs="Arial"/>
                <w:color w:val="000000"/>
                <w:sz w:val="16"/>
                <w:szCs w:val="16"/>
              </w:rPr>
              <w:noBreakHyphen/>
            </w:r>
            <w:r w:rsidRPr="000A21F8">
              <w:rPr>
                <w:rFonts w:ascii="Arial" w:hAnsi="Arial" w:cs="Arial"/>
                <w:color w:val="000000"/>
                <w:sz w:val="16"/>
                <w:szCs w:val="16"/>
              </w:rPr>
              <w:t>26</w:t>
            </w:r>
          </w:p>
        </w:tc>
      </w:tr>
      <w:tr w:rsidR="000A21F8" w:rsidRPr="000A21F8" w14:paraId="569F4DE5"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40041CCA" w14:textId="77777777" w:rsidR="000A21F8" w:rsidRPr="000A21F8" w:rsidRDefault="000A21F8" w:rsidP="000A21F8">
            <w:pPr>
              <w:spacing w:after="0" w:line="240" w:lineRule="auto"/>
              <w:jc w:val="left"/>
              <w:rPr>
                <w:rFonts w:ascii="Arial" w:hAnsi="Arial" w:cs="Arial"/>
                <w:sz w:val="16"/>
                <w:szCs w:val="16"/>
              </w:rPr>
            </w:pPr>
            <w:r w:rsidRPr="000A21F8">
              <w:rPr>
                <w:rFonts w:ascii="Arial" w:hAnsi="Arial" w:cs="Arial"/>
                <w:sz w:val="16"/>
                <w:szCs w:val="16"/>
              </w:rPr>
              <w:t> </w:t>
            </w:r>
          </w:p>
        </w:tc>
        <w:tc>
          <w:tcPr>
            <w:tcW w:w="269" w:type="pct"/>
            <w:tcBorders>
              <w:top w:val="nil"/>
              <w:left w:val="nil"/>
              <w:bottom w:val="nil"/>
              <w:right w:val="nil"/>
            </w:tcBorders>
            <w:shd w:val="clear" w:color="000000" w:fill="FFFFFF"/>
            <w:noWrap/>
            <w:vAlign w:val="center"/>
            <w:hideMark/>
          </w:tcPr>
          <w:p w14:paraId="78D14DFE"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single" w:sz="4" w:space="0" w:color="000000"/>
              <w:right w:val="nil"/>
            </w:tcBorders>
            <w:shd w:val="clear" w:color="000000" w:fill="FFFFFF"/>
            <w:noWrap/>
            <w:vAlign w:val="center"/>
            <w:hideMark/>
          </w:tcPr>
          <w:p w14:paraId="10A9F699"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$m</w:t>
            </w:r>
          </w:p>
        </w:tc>
        <w:tc>
          <w:tcPr>
            <w:tcW w:w="557" w:type="pct"/>
            <w:tcBorders>
              <w:top w:val="nil"/>
              <w:left w:val="nil"/>
              <w:bottom w:val="single" w:sz="4" w:space="0" w:color="000000"/>
              <w:right w:val="nil"/>
            </w:tcBorders>
            <w:shd w:val="clear" w:color="000000" w:fill="F2F9FC"/>
            <w:noWrap/>
            <w:vAlign w:val="center"/>
            <w:hideMark/>
          </w:tcPr>
          <w:p w14:paraId="6365FFA8"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$m</w:t>
            </w:r>
          </w:p>
        </w:tc>
        <w:tc>
          <w:tcPr>
            <w:tcW w:w="557" w:type="pct"/>
            <w:tcBorders>
              <w:top w:val="nil"/>
              <w:left w:val="nil"/>
              <w:bottom w:val="single" w:sz="4" w:space="0" w:color="000000"/>
              <w:right w:val="nil"/>
            </w:tcBorders>
            <w:shd w:val="clear" w:color="000000" w:fill="FFFFFF"/>
            <w:noWrap/>
            <w:vAlign w:val="center"/>
            <w:hideMark/>
          </w:tcPr>
          <w:p w14:paraId="5B0DB316"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$m</w:t>
            </w:r>
          </w:p>
        </w:tc>
        <w:tc>
          <w:tcPr>
            <w:tcW w:w="557" w:type="pct"/>
            <w:tcBorders>
              <w:top w:val="nil"/>
              <w:left w:val="nil"/>
              <w:bottom w:val="single" w:sz="4" w:space="0" w:color="000000"/>
              <w:right w:val="nil"/>
            </w:tcBorders>
            <w:shd w:val="clear" w:color="000000" w:fill="FFFFFF"/>
            <w:noWrap/>
            <w:vAlign w:val="center"/>
            <w:hideMark/>
          </w:tcPr>
          <w:p w14:paraId="379C31C7"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$m</w:t>
            </w:r>
          </w:p>
        </w:tc>
        <w:tc>
          <w:tcPr>
            <w:tcW w:w="598" w:type="pct"/>
            <w:tcBorders>
              <w:top w:val="nil"/>
              <w:left w:val="nil"/>
              <w:bottom w:val="single" w:sz="4" w:space="0" w:color="000000"/>
              <w:right w:val="nil"/>
            </w:tcBorders>
            <w:shd w:val="clear" w:color="000000" w:fill="FFFFFF"/>
            <w:noWrap/>
            <w:vAlign w:val="center"/>
            <w:hideMark/>
          </w:tcPr>
          <w:p w14:paraId="7E2E7083"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$m</w:t>
            </w:r>
          </w:p>
        </w:tc>
      </w:tr>
      <w:tr w:rsidR="000A21F8" w:rsidRPr="000A21F8" w14:paraId="32047C88"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387C3138" w14:textId="77777777" w:rsidR="000A21F8" w:rsidRPr="000A21F8" w:rsidRDefault="000A21F8" w:rsidP="000A21F8">
            <w:pPr>
              <w:spacing w:after="0" w:line="240" w:lineRule="auto"/>
              <w:jc w:val="left"/>
              <w:rPr>
                <w:rFonts w:ascii="Arial" w:hAnsi="Arial" w:cs="Arial"/>
                <w:sz w:val="16"/>
                <w:szCs w:val="16"/>
              </w:rPr>
            </w:pPr>
            <w:r w:rsidRPr="000A21F8">
              <w:rPr>
                <w:rFonts w:ascii="Arial" w:hAnsi="Arial" w:cs="Arial"/>
                <w:sz w:val="16"/>
                <w:szCs w:val="16"/>
              </w:rPr>
              <w:t>Provisions and payables</w:t>
            </w:r>
          </w:p>
        </w:tc>
        <w:tc>
          <w:tcPr>
            <w:tcW w:w="269" w:type="pct"/>
            <w:tcBorders>
              <w:top w:val="nil"/>
              <w:left w:val="nil"/>
              <w:bottom w:val="nil"/>
              <w:right w:val="nil"/>
            </w:tcBorders>
            <w:shd w:val="clear" w:color="000000" w:fill="FFFFFF"/>
            <w:noWrap/>
            <w:vAlign w:val="center"/>
            <w:hideMark/>
          </w:tcPr>
          <w:p w14:paraId="0F7901D2"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30478BEA"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2F9FC"/>
            <w:noWrap/>
            <w:vAlign w:val="center"/>
            <w:hideMark/>
          </w:tcPr>
          <w:p w14:paraId="43CF5372"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03C1022D"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1E7D2FF2"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98" w:type="pct"/>
            <w:tcBorders>
              <w:top w:val="nil"/>
              <w:left w:val="nil"/>
              <w:bottom w:val="nil"/>
              <w:right w:val="nil"/>
            </w:tcBorders>
            <w:shd w:val="clear" w:color="000000" w:fill="FFFFFF"/>
            <w:noWrap/>
            <w:vAlign w:val="center"/>
            <w:hideMark/>
          </w:tcPr>
          <w:p w14:paraId="43A52836"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r>
      <w:tr w:rsidR="000A21F8" w:rsidRPr="000A21F8" w14:paraId="0F9D5A1B"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12A29DF"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Superannuation liability</w:t>
            </w:r>
          </w:p>
        </w:tc>
        <w:tc>
          <w:tcPr>
            <w:tcW w:w="269" w:type="pct"/>
            <w:tcBorders>
              <w:top w:val="nil"/>
              <w:left w:val="nil"/>
              <w:bottom w:val="nil"/>
              <w:right w:val="nil"/>
            </w:tcBorders>
            <w:shd w:val="clear" w:color="000000" w:fill="FFFFFF"/>
            <w:noWrap/>
            <w:vAlign w:val="center"/>
            <w:hideMark/>
          </w:tcPr>
          <w:p w14:paraId="79954040"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6DCEDB59"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251,251</w:t>
            </w:r>
          </w:p>
        </w:tc>
        <w:tc>
          <w:tcPr>
            <w:tcW w:w="557" w:type="pct"/>
            <w:tcBorders>
              <w:top w:val="nil"/>
              <w:left w:val="nil"/>
              <w:bottom w:val="nil"/>
              <w:right w:val="nil"/>
            </w:tcBorders>
            <w:shd w:val="clear" w:color="000000" w:fill="F2F9FC"/>
            <w:noWrap/>
            <w:vAlign w:val="center"/>
            <w:hideMark/>
          </w:tcPr>
          <w:p w14:paraId="33C1C82A"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257,862</w:t>
            </w:r>
          </w:p>
        </w:tc>
        <w:tc>
          <w:tcPr>
            <w:tcW w:w="557" w:type="pct"/>
            <w:tcBorders>
              <w:top w:val="nil"/>
              <w:left w:val="nil"/>
              <w:bottom w:val="nil"/>
              <w:right w:val="nil"/>
            </w:tcBorders>
            <w:shd w:val="clear" w:color="000000" w:fill="FFFFFF"/>
            <w:noWrap/>
            <w:vAlign w:val="center"/>
            <w:hideMark/>
          </w:tcPr>
          <w:p w14:paraId="2C28BD37"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264,321</w:t>
            </w:r>
          </w:p>
        </w:tc>
        <w:tc>
          <w:tcPr>
            <w:tcW w:w="557" w:type="pct"/>
            <w:tcBorders>
              <w:top w:val="nil"/>
              <w:left w:val="nil"/>
              <w:bottom w:val="nil"/>
              <w:right w:val="nil"/>
            </w:tcBorders>
            <w:shd w:val="clear" w:color="000000" w:fill="FFFFFF"/>
            <w:noWrap/>
            <w:vAlign w:val="center"/>
            <w:hideMark/>
          </w:tcPr>
          <w:p w14:paraId="31EFA52C"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276,144</w:t>
            </w:r>
          </w:p>
        </w:tc>
        <w:tc>
          <w:tcPr>
            <w:tcW w:w="598" w:type="pct"/>
            <w:tcBorders>
              <w:top w:val="nil"/>
              <w:left w:val="nil"/>
              <w:bottom w:val="nil"/>
              <w:right w:val="nil"/>
            </w:tcBorders>
            <w:shd w:val="clear" w:color="000000" w:fill="FFFFFF"/>
            <w:noWrap/>
            <w:vAlign w:val="center"/>
            <w:hideMark/>
          </w:tcPr>
          <w:p w14:paraId="51A059AE"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284,152</w:t>
            </w:r>
          </w:p>
        </w:tc>
      </w:tr>
      <w:tr w:rsidR="000A21F8" w:rsidRPr="000A21F8" w14:paraId="655921D0"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29674E2"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 xml:space="preserve">Other employee liabilities </w:t>
            </w:r>
          </w:p>
        </w:tc>
        <w:tc>
          <w:tcPr>
            <w:tcW w:w="269" w:type="pct"/>
            <w:tcBorders>
              <w:top w:val="nil"/>
              <w:left w:val="nil"/>
              <w:bottom w:val="nil"/>
              <w:right w:val="nil"/>
            </w:tcBorders>
            <w:shd w:val="clear" w:color="000000" w:fill="FFFFFF"/>
            <w:noWrap/>
            <w:vAlign w:val="center"/>
            <w:hideMark/>
          </w:tcPr>
          <w:p w14:paraId="010EC8FD"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2F413EF2"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38,518</w:t>
            </w:r>
          </w:p>
        </w:tc>
        <w:tc>
          <w:tcPr>
            <w:tcW w:w="557" w:type="pct"/>
            <w:tcBorders>
              <w:top w:val="nil"/>
              <w:left w:val="nil"/>
              <w:bottom w:val="nil"/>
              <w:right w:val="nil"/>
            </w:tcBorders>
            <w:shd w:val="clear" w:color="000000" w:fill="F2F9FC"/>
            <w:noWrap/>
            <w:vAlign w:val="center"/>
            <w:hideMark/>
          </w:tcPr>
          <w:p w14:paraId="751883C2"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39,209</w:t>
            </w:r>
          </w:p>
        </w:tc>
        <w:tc>
          <w:tcPr>
            <w:tcW w:w="557" w:type="pct"/>
            <w:tcBorders>
              <w:top w:val="nil"/>
              <w:left w:val="nil"/>
              <w:bottom w:val="nil"/>
              <w:right w:val="nil"/>
            </w:tcBorders>
            <w:shd w:val="clear" w:color="000000" w:fill="FFFFFF"/>
            <w:noWrap/>
            <w:vAlign w:val="center"/>
            <w:hideMark/>
          </w:tcPr>
          <w:p w14:paraId="48839782"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40,164</w:t>
            </w:r>
          </w:p>
        </w:tc>
        <w:tc>
          <w:tcPr>
            <w:tcW w:w="557" w:type="pct"/>
            <w:tcBorders>
              <w:top w:val="nil"/>
              <w:left w:val="nil"/>
              <w:bottom w:val="nil"/>
              <w:right w:val="nil"/>
            </w:tcBorders>
            <w:shd w:val="clear" w:color="000000" w:fill="FFFFFF"/>
            <w:noWrap/>
            <w:vAlign w:val="center"/>
            <w:hideMark/>
          </w:tcPr>
          <w:p w14:paraId="7B58395A"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41,125</w:t>
            </w:r>
          </w:p>
        </w:tc>
        <w:tc>
          <w:tcPr>
            <w:tcW w:w="598" w:type="pct"/>
            <w:tcBorders>
              <w:top w:val="nil"/>
              <w:left w:val="nil"/>
              <w:bottom w:val="nil"/>
              <w:right w:val="nil"/>
            </w:tcBorders>
            <w:shd w:val="clear" w:color="000000" w:fill="FFFFFF"/>
            <w:noWrap/>
            <w:vAlign w:val="center"/>
            <w:hideMark/>
          </w:tcPr>
          <w:p w14:paraId="029D3DD1"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41,768</w:t>
            </w:r>
          </w:p>
        </w:tc>
      </w:tr>
      <w:tr w:rsidR="000A21F8" w:rsidRPr="000A21F8" w14:paraId="22027C96"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7730CD2"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Suppliers payables</w:t>
            </w:r>
          </w:p>
        </w:tc>
        <w:tc>
          <w:tcPr>
            <w:tcW w:w="269" w:type="pct"/>
            <w:tcBorders>
              <w:top w:val="nil"/>
              <w:left w:val="nil"/>
              <w:bottom w:val="nil"/>
              <w:right w:val="nil"/>
            </w:tcBorders>
            <w:shd w:val="clear" w:color="000000" w:fill="FFFFFF"/>
            <w:noWrap/>
            <w:vAlign w:val="center"/>
            <w:hideMark/>
          </w:tcPr>
          <w:p w14:paraId="03BFA01F"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696E71D8"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12,113</w:t>
            </w:r>
          </w:p>
        </w:tc>
        <w:tc>
          <w:tcPr>
            <w:tcW w:w="557" w:type="pct"/>
            <w:tcBorders>
              <w:top w:val="nil"/>
              <w:left w:val="nil"/>
              <w:bottom w:val="nil"/>
              <w:right w:val="nil"/>
            </w:tcBorders>
            <w:shd w:val="clear" w:color="000000" w:fill="F2F9FC"/>
            <w:noWrap/>
            <w:vAlign w:val="center"/>
            <w:hideMark/>
          </w:tcPr>
          <w:p w14:paraId="4D12483B"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12,936</w:t>
            </w:r>
          </w:p>
        </w:tc>
        <w:tc>
          <w:tcPr>
            <w:tcW w:w="557" w:type="pct"/>
            <w:tcBorders>
              <w:top w:val="nil"/>
              <w:left w:val="nil"/>
              <w:bottom w:val="nil"/>
              <w:right w:val="nil"/>
            </w:tcBorders>
            <w:shd w:val="clear" w:color="000000" w:fill="FFFFFF"/>
            <w:noWrap/>
            <w:vAlign w:val="center"/>
            <w:hideMark/>
          </w:tcPr>
          <w:p w14:paraId="5169D454"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13,357</w:t>
            </w:r>
          </w:p>
        </w:tc>
        <w:tc>
          <w:tcPr>
            <w:tcW w:w="557" w:type="pct"/>
            <w:tcBorders>
              <w:top w:val="nil"/>
              <w:left w:val="nil"/>
              <w:bottom w:val="nil"/>
              <w:right w:val="nil"/>
            </w:tcBorders>
            <w:shd w:val="clear" w:color="000000" w:fill="FFFFFF"/>
            <w:noWrap/>
            <w:vAlign w:val="center"/>
            <w:hideMark/>
          </w:tcPr>
          <w:p w14:paraId="64036CA3"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13,662</w:t>
            </w:r>
          </w:p>
        </w:tc>
        <w:tc>
          <w:tcPr>
            <w:tcW w:w="598" w:type="pct"/>
            <w:tcBorders>
              <w:top w:val="nil"/>
              <w:left w:val="nil"/>
              <w:bottom w:val="nil"/>
              <w:right w:val="nil"/>
            </w:tcBorders>
            <w:shd w:val="clear" w:color="000000" w:fill="FFFFFF"/>
            <w:noWrap/>
            <w:vAlign w:val="center"/>
            <w:hideMark/>
          </w:tcPr>
          <w:p w14:paraId="726B860C"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13,872</w:t>
            </w:r>
          </w:p>
        </w:tc>
      </w:tr>
      <w:tr w:rsidR="000A21F8" w:rsidRPr="000A21F8" w14:paraId="1CFEEF74"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547254A4"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Personal benefits payables</w:t>
            </w:r>
          </w:p>
        </w:tc>
        <w:tc>
          <w:tcPr>
            <w:tcW w:w="269" w:type="pct"/>
            <w:tcBorders>
              <w:top w:val="nil"/>
              <w:left w:val="nil"/>
              <w:bottom w:val="nil"/>
              <w:right w:val="nil"/>
            </w:tcBorders>
            <w:shd w:val="clear" w:color="000000" w:fill="FFFFFF"/>
            <w:noWrap/>
            <w:vAlign w:val="center"/>
            <w:hideMark/>
          </w:tcPr>
          <w:p w14:paraId="412602BA"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6A4369AB"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2,950</w:t>
            </w:r>
          </w:p>
        </w:tc>
        <w:tc>
          <w:tcPr>
            <w:tcW w:w="557" w:type="pct"/>
            <w:tcBorders>
              <w:top w:val="nil"/>
              <w:left w:val="nil"/>
              <w:bottom w:val="nil"/>
              <w:right w:val="nil"/>
            </w:tcBorders>
            <w:shd w:val="clear" w:color="000000" w:fill="F2F9FC"/>
            <w:noWrap/>
            <w:vAlign w:val="center"/>
            <w:hideMark/>
          </w:tcPr>
          <w:p w14:paraId="3739A5A1"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2,984</w:t>
            </w:r>
          </w:p>
        </w:tc>
        <w:tc>
          <w:tcPr>
            <w:tcW w:w="557" w:type="pct"/>
            <w:tcBorders>
              <w:top w:val="nil"/>
              <w:left w:val="nil"/>
              <w:bottom w:val="nil"/>
              <w:right w:val="nil"/>
            </w:tcBorders>
            <w:shd w:val="clear" w:color="000000" w:fill="FFFFFF"/>
            <w:noWrap/>
            <w:vAlign w:val="center"/>
            <w:hideMark/>
          </w:tcPr>
          <w:p w14:paraId="3993E988"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3,804</w:t>
            </w:r>
          </w:p>
        </w:tc>
        <w:tc>
          <w:tcPr>
            <w:tcW w:w="557" w:type="pct"/>
            <w:tcBorders>
              <w:top w:val="nil"/>
              <w:left w:val="nil"/>
              <w:bottom w:val="nil"/>
              <w:right w:val="nil"/>
            </w:tcBorders>
            <w:shd w:val="clear" w:color="000000" w:fill="FFFFFF"/>
            <w:noWrap/>
            <w:vAlign w:val="center"/>
            <w:hideMark/>
          </w:tcPr>
          <w:p w14:paraId="7A72CA4A"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3,872</w:t>
            </w:r>
          </w:p>
        </w:tc>
        <w:tc>
          <w:tcPr>
            <w:tcW w:w="598" w:type="pct"/>
            <w:tcBorders>
              <w:top w:val="nil"/>
              <w:left w:val="nil"/>
              <w:bottom w:val="nil"/>
              <w:right w:val="nil"/>
            </w:tcBorders>
            <w:shd w:val="clear" w:color="000000" w:fill="FFFFFF"/>
            <w:noWrap/>
            <w:vAlign w:val="center"/>
            <w:hideMark/>
          </w:tcPr>
          <w:p w14:paraId="20C76874"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3,960</w:t>
            </w:r>
          </w:p>
        </w:tc>
      </w:tr>
      <w:tr w:rsidR="000A21F8" w:rsidRPr="000A21F8" w14:paraId="52035B95"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B34E94A"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Subsidies payables</w:t>
            </w:r>
          </w:p>
        </w:tc>
        <w:tc>
          <w:tcPr>
            <w:tcW w:w="269" w:type="pct"/>
            <w:tcBorders>
              <w:top w:val="nil"/>
              <w:left w:val="nil"/>
              <w:bottom w:val="nil"/>
              <w:right w:val="nil"/>
            </w:tcBorders>
            <w:shd w:val="clear" w:color="000000" w:fill="FFFFFF"/>
            <w:noWrap/>
            <w:vAlign w:val="center"/>
            <w:hideMark/>
          </w:tcPr>
          <w:p w14:paraId="37E6A5E8"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26779005"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985</w:t>
            </w:r>
          </w:p>
        </w:tc>
        <w:tc>
          <w:tcPr>
            <w:tcW w:w="557" w:type="pct"/>
            <w:tcBorders>
              <w:top w:val="nil"/>
              <w:left w:val="nil"/>
              <w:bottom w:val="nil"/>
              <w:right w:val="nil"/>
            </w:tcBorders>
            <w:shd w:val="clear" w:color="000000" w:fill="F2F9FC"/>
            <w:noWrap/>
            <w:vAlign w:val="center"/>
            <w:hideMark/>
          </w:tcPr>
          <w:p w14:paraId="53DCE861"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991</w:t>
            </w:r>
          </w:p>
        </w:tc>
        <w:tc>
          <w:tcPr>
            <w:tcW w:w="557" w:type="pct"/>
            <w:tcBorders>
              <w:top w:val="nil"/>
              <w:left w:val="nil"/>
              <w:bottom w:val="nil"/>
              <w:right w:val="nil"/>
            </w:tcBorders>
            <w:shd w:val="clear" w:color="000000" w:fill="FFFFFF"/>
            <w:noWrap/>
            <w:vAlign w:val="center"/>
            <w:hideMark/>
          </w:tcPr>
          <w:p w14:paraId="5CCBC5E6"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1,000</w:t>
            </w:r>
          </w:p>
        </w:tc>
        <w:tc>
          <w:tcPr>
            <w:tcW w:w="557" w:type="pct"/>
            <w:tcBorders>
              <w:top w:val="nil"/>
              <w:left w:val="nil"/>
              <w:bottom w:val="nil"/>
              <w:right w:val="nil"/>
            </w:tcBorders>
            <w:shd w:val="clear" w:color="000000" w:fill="FFFFFF"/>
            <w:noWrap/>
            <w:vAlign w:val="center"/>
            <w:hideMark/>
          </w:tcPr>
          <w:p w14:paraId="107401A4"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1,012</w:t>
            </w:r>
          </w:p>
        </w:tc>
        <w:tc>
          <w:tcPr>
            <w:tcW w:w="598" w:type="pct"/>
            <w:tcBorders>
              <w:top w:val="nil"/>
              <w:left w:val="nil"/>
              <w:bottom w:val="nil"/>
              <w:right w:val="nil"/>
            </w:tcBorders>
            <w:shd w:val="clear" w:color="000000" w:fill="FFFFFF"/>
            <w:noWrap/>
            <w:vAlign w:val="center"/>
            <w:hideMark/>
          </w:tcPr>
          <w:p w14:paraId="4D6FB86F"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1,037</w:t>
            </w:r>
          </w:p>
        </w:tc>
      </w:tr>
      <w:tr w:rsidR="000A21F8" w:rsidRPr="000A21F8" w14:paraId="1C4DD832"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65DD3420"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Grants payables</w:t>
            </w:r>
          </w:p>
        </w:tc>
        <w:tc>
          <w:tcPr>
            <w:tcW w:w="269" w:type="pct"/>
            <w:tcBorders>
              <w:top w:val="nil"/>
              <w:left w:val="nil"/>
              <w:bottom w:val="nil"/>
              <w:right w:val="nil"/>
            </w:tcBorders>
            <w:shd w:val="clear" w:color="000000" w:fill="FFFFFF"/>
            <w:noWrap/>
            <w:vAlign w:val="center"/>
            <w:hideMark/>
          </w:tcPr>
          <w:p w14:paraId="72259706"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271FB47F"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3,648</w:t>
            </w:r>
          </w:p>
        </w:tc>
        <w:tc>
          <w:tcPr>
            <w:tcW w:w="557" w:type="pct"/>
            <w:tcBorders>
              <w:top w:val="nil"/>
              <w:left w:val="nil"/>
              <w:bottom w:val="nil"/>
              <w:right w:val="nil"/>
            </w:tcBorders>
            <w:shd w:val="clear" w:color="000000" w:fill="F2F9FC"/>
            <w:noWrap/>
            <w:vAlign w:val="center"/>
            <w:hideMark/>
          </w:tcPr>
          <w:p w14:paraId="065C3499"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3,509</w:t>
            </w:r>
          </w:p>
        </w:tc>
        <w:tc>
          <w:tcPr>
            <w:tcW w:w="557" w:type="pct"/>
            <w:tcBorders>
              <w:top w:val="nil"/>
              <w:left w:val="nil"/>
              <w:bottom w:val="nil"/>
              <w:right w:val="nil"/>
            </w:tcBorders>
            <w:shd w:val="clear" w:color="000000" w:fill="FFFFFF"/>
            <w:noWrap/>
            <w:vAlign w:val="center"/>
            <w:hideMark/>
          </w:tcPr>
          <w:p w14:paraId="1A5A7780"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3,152</w:t>
            </w:r>
          </w:p>
        </w:tc>
        <w:tc>
          <w:tcPr>
            <w:tcW w:w="557" w:type="pct"/>
            <w:tcBorders>
              <w:top w:val="nil"/>
              <w:left w:val="nil"/>
              <w:bottom w:val="nil"/>
              <w:right w:val="nil"/>
            </w:tcBorders>
            <w:shd w:val="clear" w:color="000000" w:fill="FFFFFF"/>
            <w:noWrap/>
            <w:vAlign w:val="center"/>
            <w:hideMark/>
          </w:tcPr>
          <w:p w14:paraId="1BA71988"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3,799</w:t>
            </w:r>
          </w:p>
        </w:tc>
        <w:tc>
          <w:tcPr>
            <w:tcW w:w="598" w:type="pct"/>
            <w:tcBorders>
              <w:top w:val="nil"/>
              <w:left w:val="nil"/>
              <w:bottom w:val="nil"/>
              <w:right w:val="nil"/>
            </w:tcBorders>
            <w:shd w:val="clear" w:color="000000" w:fill="FFFFFF"/>
            <w:noWrap/>
            <w:vAlign w:val="center"/>
            <w:hideMark/>
          </w:tcPr>
          <w:p w14:paraId="748B3A70"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3,376</w:t>
            </w:r>
          </w:p>
        </w:tc>
      </w:tr>
      <w:tr w:rsidR="000A21F8" w:rsidRPr="000A21F8" w14:paraId="0FC1AFD5"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16BB33A"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Other payables</w:t>
            </w:r>
          </w:p>
        </w:tc>
        <w:tc>
          <w:tcPr>
            <w:tcW w:w="269" w:type="pct"/>
            <w:tcBorders>
              <w:top w:val="nil"/>
              <w:left w:val="nil"/>
              <w:bottom w:val="nil"/>
              <w:right w:val="nil"/>
            </w:tcBorders>
            <w:shd w:val="clear" w:color="000000" w:fill="FFFFFF"/>
            <w:noWrap/>
            <w:vAlign w:val="center"/>
            <w:hideMark/>
          </w:tcPr>
          <w:p w14:paraId="4BC7B9B2"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482BC4CB"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2,629</w:t>
            </w:r>
          </w:p>
        </w:tc>
        <w:tc>
          <w:tcPr>
            <w:tcW w:w="557" w:type="pct"/>
            <w:tcBorders>
              <w:top w:val="nil"/>
              <w:left w:val="nil"/>
              <w:bottom w:val="nil"/>
              <w:right w:val="nil"/>
            </w:tcBorders>
            <w:shd w:val="clear" w:color="000000" w:fill="F2F9FC"/>
            <w:noWrap/>
            <w:vAlign w:val="center"/>
            <w:hideMark/>
          </w:tcPr>
          <w:p w14:paraId="5229857F"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2,652</w:t>
            </w:r>
          </w:p>
        </w:tc>
        <w:tc>
          <w:tcPr>
            <w:tcW w:w="557" w:type="pct"/>
            <w:tcBorders>
              <w:top w:val="nil"/>
              <w:left w:val="nil"/>
              <w:bottom w:val="nil"/>
              <w:right w:val="nil"/>
            </w:tcBorders>
            <w:shd w:val="clear" w:color="000000" w:fill="FFFFFF"/>
            <w:noWrap/>
            <w:vAlign w:val="center"/>
            <w:hideMark/>
          </w:tcPr>
          <w:p w14:paraId="1DF34C9B"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4,742</w:t>
            </w:r>
          </w:p>
        </w:tc>
        <w:tc>
          <w:tcPr>
            <w:tcW w:w="557" w:type="pct"/>
            <w:tcBorders>
              <w:top w:val="nil"/>
              <w:left w:val="nil"/>
              <w:bottom w:val="nil"/>
              <w:right w:val="nil"/>
            </w:tcBorders>
            <w:shd w:val="clear" w:color="000000" w:fill="FFFFFF"/>
            <w:noWrap/>
            <w:vAlign w:val="center"/>
            <w:hideMark/>
          </w:tcPr>
          <w:p w14:paraId="19CE8644"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2,663</w:t>
            </w:r>
          </w:p>
        </w:tc>
        <w:tc>
          <w:tcPr>
            <w:tcW w:w="598" w:type="pct"/>
            <w:tcBorders>
              <w:top w:val="nil"/>
              <w:left w:val="nil"/>
              <w:bottom w:val="nil"/>
              <w:right w:val="nil"/>
            </w:tcBorders>
            <w:shd w:val="clear" w:color="000000" w:fill="FFFFFF"/>
            <w:noWrap/>
            <w:vAlign w:val="center"/>
            <w:hideMark/>
          </w:tcPr>
          <w:p w14:paraId="23019BC6"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2,678</w:t>
            </w:r>
          </w:p>
        </w:tc>
      </w:tr>
      <w:tr w:rsidR="000A21F8" w:rsidRPr="000A21F8" w14:paraId="4B0E58FE"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14833B00" w14:textId="77777777" w:rsidR="000A21F8" w:rsidRPr="000A21F8" w:rsidRDefault="000A21F8" w:rsidP="000A21F8">
            <w:pPr>
              <w:spacing w:after="0" w:line="240" w:lineRule="auto"/>
              <w:ind w:left="170"/>
              <w:jc w:val="left"/>
              <w:rPr>
                <w:rFonts w:ascii="Arial" w:hAnsi="Arial" w:cs="Arial"/>
                <w:color w:val="000000"/>
                <w:sz w:val="16"/>
                <w:szCs w:val="16"/>
              </w:rPr>
            </w:pPr>
            <w:r w:rsidRPr="000A21F8">
              <w:rPr>
                <w:rFonts w:ascii="Arial" w:hAnsi="Arial" w:cs="Arial"/>
                <w:color w:val="000000"/>
                <w:sz w:val="16"/>
                <w:szCs w:val="16"/>
              </w:rPr>
              <w:t>Provisions</w:t>
            </w:r>
          </w:p>
        </w:tc>
        <w:tc>
          <w:tcPr>
            <w:tcW w:w="269" w:type="pct"/>
            <w:tcBorders>
              <w:top w:val="nil"/>
              <w:left w:val="nil"/>
              <w:bottom w:val="nil"/>
              <w:right w:val="nil"/>
            </w:tcBorders>
            <w:shd w:val="clear" w:color="000000" w:fill="FFFFFF"/>
            <w:noWrap/>
            <w:vAlign w:val="center"/>
            <w:hideMark/>
          </w:tcPr>
          <w:p w14:paraId="097B2075"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5398D77C"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61,540</w:t>
            </w:r>
          </w:p>
        </w:tc>
        <w:tc>
          <w:tcPr>
            <w:tcW w:w="557" w:type="pct"/>
            <w:tcBorders>
              <w:top w:val="nil"/>
              <w:left w:val="nil"/>
              <w:bottom w:val="nil"/>
              <w:right w:val="nil"/>
            </w:tcBorders>
            <w:shd w:val="clear" w:color="000000" w:fill="F2F9FC"/>
            <w:noWrap/>
            <w:vAlign w:val="center"/>
            <w:hideMark/>
          </w:tcPr>
          <w:p w14:paraId="298F859E"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60,114</w:t>
            </w:r>
          </w:p>
        </w:tc>
        <w:tc>
          <w:tcPr>
            <w:tcW w:w="557" w:type="pct"/>
            <w:tcBorders>
              <w:top w:val="nil"/>
              <w:left w:val="nil"/>
              <w:bottom w:val="nil"/>
              <w:right w:val="nil"/>
            </w:tcBorders>
            <w:shd w:val="clear" w:color="000000" w:fill="FFFFFF"/>
            <w:noWrap/>
            <w:vAlign w:val="center"/>
            <w:hideMark/>
          </w:tcPr>
          <w:p w14:paraId="0205C283"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60,545</w:t>
            </w:r>
          </w:p>
        </w:tc>
        <w:tc>
          <w:tcPr>
            <w:tcW w:w="557" w:type="pct"/>
            <w:tcBorders>
              <w:top w:val="nil"/>
              <w:left w:val="nil"/>
              <w:bottom w:val="nil"/>
              <w:right w:val="nil"/>
            </w:tcBorders>
            <w:shd w:val="clear" w:color="000000" w:fill="FFFFFF"/>
            <w:noWrap/>
            <w:vAlign w:val="center"/>
            <w:hideMark/>
          </w:tcPr>
          <w:p w14:paraId="3203D356"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61,250</w:t>
            </w:r>
          </w:p>
        </w:tc>
        <w:tc>
          <w:tcPr>
            <w:tcW w:w="598" w:type="pct"/>
            <w:tcBorders>
              <w:top w:val="nil"/>
              <w:left w:val="nil"/>
              <w:bottom w:val="nil"/>
              <w:right w:val="nil"/>
            </w:tcBorders>
            <w:shd w:val="clear" w:color="000000" w:fill="FFFFFF"/>
            <w:noWrap/>
            <w:vAlign w:val="center"/>
            <w:hideMark/>
          </w:tcPr>
          <w:p w14:paraId="57CF697A"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62,481</w:t>
            </w:r>
          </w:p>
        </w:tc>
      </w:tr>
      <w:tr w:rsidR="000A21F8" w:rsidRPr="000A21F8" w14:paraId="7ECF788C"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0078E2CB" w14:textId="77777777" w:rsidR="000A21F8" w:rsidRPr="000A21F8" w:rsidRDefault="000A21F8" w:rsidP="000A21F8">
            <w:pPr>
              <w:spacing w:after="0" w:line="240" w:lineRule="auto"/>
              <w:jc w:val="left"/>
              <w:rPr>
                <w:rFonts w:ascii="Arial" w:hAnsi="Arial" w:cs="Arial"/>
                <w:i/>
                <w:iCs/>
                <w:color w:val="000000"/>
                <w:sz w:val="16"/>
                <w:szCs w:val="16"/>
              </w:rPr>
            </w:pPr>
            <w:r w:rsidRPr="000A21F8">
              <w:rPr>
                <w:rFonts w:ascii="Arial" w:hAnsi="Arial" w:cs="Arial"/>
                <w:i/>
                <w:iCs/>
                <w:color w:val="000000"/>
                <w:sz w:val="16"/>
                <w:szCs w:val="16"/>
              </w:rPr>
              <w:t>Total provisions and payables</w:t>
            </w:r>
          </w:p>
        </w:tc>
        <w:tc>
          <w:tcPr>
            <w:tcW w:w="269" w:type="pct"/>
            <w:tcBorders>
              <w:top w:val="nil"/>
              <w:left w:val="nil"/>
              <w:bottom w:val="nil"/>
              <w:right w:val="nil"/>
            </w:tcBorders>
            <w:shd w:val="clear" w:color="000000" w:fill="FFFFFF"/>
            <w:noWrap/>
            <w:vAlign w:val="center"/>
            <w:hideMark/>
          </w:tcPr>
          <w:p w14:paraId="38A1230B"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18CA37AA"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373,635</w:t>
            </w:r>
          </w:p>
        </w:tc>
        <w:tc>
          <w:tcPr>
            <w:tcW w:w="557" w:type="pct"/>
            <w:tcBorders>
              <w:top w:val="nil"/>
              <w:left w:val="nil"/>
              <w:bottom w:val="nil"/>
              <w:right w:val="nil"/>
            </w:tcBorders>
            <w:shd w:val="clear" w:color="000000" w:fill="F2F9FC"/>
            <w:noWrap/>
            <w:vAlign w:val="center"/>
            <w:hideMark/>
          </w:tcPr>
          <w:p w14:paraId="20C62B75"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380,257</w:t>
            </w:r>
          </w:p>
        </w:tc>
        <w:tc>
          <w:tcPr>
            <w:tcW w:w="557" w:type="pct"/>
            <w:tcBorders>
              <w:top w:val="nil"/>
              <w:left w:val="nil"/>
              <w:bottom w:val="nil"/>
              <w:right w:val="nil"/>
            </w:tcBorders>
            <w:shd w:val="clear" w:color="000000" w:fill="FFFFFF"/>
            <w:noWrap/>
            <w:vAlign w:val="center"/>
            <w:hideMark/>
          </w:tcPr>
          <w:p w14:paraId="6D7DF1E8"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391,085</w:t>
            </w:r>
          </w:p>
        </w:tc>
        <w:tc>
          <w:tcPr>
            <w:tcW w:w="557" w:type="pct"/>
            <w:tcBorders>
              <w:top w:val="nil"/>
              <w:left w:val="nil"/>
              <w:bottom w:val="nil"/>
              <w:right w:val="nil"/>
            </w:tcBorders>
            <w:shd w:val="clear" w:color="000000" w:fill="FFFFFF"/>
            <w:noWrap/>
            <w:vAlign w:val="center"/>
            <w:hideMark/>
          </w:tcPr>
          <w:p w14:paraId="13B63949"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403,527</w:t>
            </w:r>
          </w:p>
        </w:tc>
        <w:tc>
          <w:tcPr>
            <w:tcW w:w="598" w:type="pct"/>
            <w:tcBorders>
              <w:top w:val="nil"/>
              <w:left w:val="nil"/>
              <w:bottom w:val="nil"/>
              <w:right w:val="nil"/>
            </w:tcBorders>
            <w:shd w:val="clear" w:color="000000" w:fill="FFFFFF"/>
            <w:noWrap/>
            <w:vAlign w:val="center"/>
            <w:hideMark/>
          </w:tcPr>
          <w:p w14:paraId="50C05D7E"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413,324</w:t>
            </w:r>
          </w:p>
        </w:tc>
      </w:tr>
      <w:tr w:rsidR="000A21F8" w:rsidRPr="000A21F8" w14:paraId="551520C6"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78508186" w14:textId="77777777" w:rsidR="000A21F8" w:rsidRPr="000A21F8" w:rsidRDefault="000A21F8" w:rsidP="000A21F8">
            <w:pPr>
              <w:spacing w:after="0" w:line="240" w:lineRule="auto"/>
              <w:jc w:val="left"/>
              <w:rPr>
                <w:rFonts w:ascii="Arial" w:hAnsi="Arial" w:cs="Arial"/>
                <w:b/>
                <w:bCs/>
                <w:color w:val="000000"/>
                <w:sz w:val="16"/>
                <w:szCs w:val="16"/>
              </w:rPr>
            </w:pPr>
            <w:r w:rsidRPr="000A21F8">
              <w:rPr>
                <w:rFonts w:ascii="Arial" w:hAnsi="Arial" w:cs="Arial"/>
                <w:b/>
                <w:bCs/>
                <w:color w:val="000000"/>
                <w:sz w:val="16"/>
                <w:szCs w:val="16"/>
              </w:rPr>
              <w:t>Total liabilities</w:t>
            </w:r>
          </w:p>
        </w:tc>
        <w:tc>
          <w:tcPr>
            <w:tcW w:w="269" w:type="pct"/>
            <w:tcBorders>
              <w:top w:val="nil"/>
              <w:left w:val="nil"/>
              <w:bottom w:val="nil"/>
              <w:right w:val="nil"/>
            </w:tcBorders>
            <w:shd w:val="clear" w:color="000000" w:fill="FFFFFF"/>
            <w:noWrap/>
            <w:vAlign w:val="center"/>
            <w:hideMark/>
          </w:tcPr>
          <w:p w14:paraId="4385FCD2" w14:textId="77777777" w:rsidR="000A21F8" w:rsidRPr="000A21F8" w:rsidRDefault="000A21F8" w:rsidP="000A21F8">
            <w:pPr>
              <w:spacing w:after="0" w:line="240" w:lineRule="auto"/>
              <w:jc w:val="center"/>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nil"/>
              <w:right w:val="nil"/>
            </w:tcBorders>
            <w:shd w:val="clear" w:color="000000" w:fill="FFFFFF"/>
            <w:noWrap/>
            <w:vAlign w:val="center"/>
            <w:hideMark/>
          </w:tcPr>
          <w:p w14:paraId="0640E9F8"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1,352,864</w:t>
            </w:r>
          </w:p>
        </w:tc>
        <w:tc>
          <w:tcPr>
            <w:tcW w:w="557" w:type="pct"/>
            <w:tcBorders>
              <w:top w:val="nil"/>
              <w:left w:val="nil"/>
              <w:bottom w:val="nil"/>
              <w:right w:val="nil"/>
            </w:tcBorders>
            <w:shd w:val="clear" w:color="000000" w:fill="F2F9FC"/>
            <w:noWrap/>
            <w:vAlign w:val="center"/>
            <w:hideMark/>
          </w:tcPr>
          <w:p w14:paraId="035C953B"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1,434,794</w:t>
            </w:r>
          </w:p>
        </w:tc>
        <w:tc>
          <w:tcPr>
            <w:tcW w:w="557" w:type="pct"/>
            <w:tcBorders>
              <w:top w:val="nil"/>
              <w:left w:val="nil"/>
              <w:bottom w:val="nil"/>
              <w:right w:val="nil"/>
            </w:tcBorders>
            <w:shd w:val="clear" w:color="000000" w:fill="FFFFFF"/>
            <w:noWrap/>
            <w:vAlign w:val="center"/>
            <w:hideMark/>
          </w:tcPr>
          <w:p w14:paraId="11D5AC83"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1,528,261</w:t>
            </w:r>
          </w:p>
        </w:tc>
        <w:tc>
          <w:tcPr>
            <w:tcW w:w="557" w:type="pct"/>
            <w:tcBorders>
              <w:top w:val="nil"/>
              <w:left w:val="nil"/>
              <w:bottom w:val="nil"/>
              <w:right w:val="nil"/>
            </w:tcBorders>
            <w:shd w:val="clear" w:color="000000" w:fill="FFFFFF"/>
            <w:noWrap/>
            <w:vAlign w:val="center"/>
            <w:hideMark/>
          </w:tcPr>
          <w:p w14:paraId="4D47DA48"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1,604,193</w:t>
            </w:r>
          </w:p>
        </w:tc>
        <w:tc>
          <w:tcPr>
            <w:tcW w:w="598" w:type="pct"/>
            <w:tcBorders>
              <w:top w:val="nil"/>
              <w:left w:val="nil"/>
              <w:bottom w:val="nil"/>
              <w:right w:val="nil"/>
            </w:tcBorders>
            <w:shd w:val="clear" w:color="000000" w:fill="FFFFFF"/>
            <w:noWrap/>
            <w:vAlign w:val="center"/>
            <w:hideMark/>
          </w:tcPr>
          <w:p w14:paraId="588DDAF0"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1,666,247</w:t>
            </w:r>
          </w:p>
        </w:tc>
      </w:tr>
      <w:tr w:rsidR="000A21F8" w:rsidRPr="000A21F8" w14:paraId="594EF190" w14:textId="77777777" w:rsidTr="002138BE">
        <w:trPr>
          <w:trHeight w:hRule="exact" w:val="60"/>
        </w:trPr>
        <w:tc>
          <w:tcPr>
            <w:tcW w:w="1905" w:type="pct"/>
            <w:tcBorders>
              <w:top w:val="nil"/>
              <w:left w:val="nil"/>
              <w:bottom w:val="nil"/>
              <w:right w:val="nil"/>
            </w:tcBorders>
            <w:shd w:val="clear" w:color="000000" w:fill="FFFFFF"/>
            <w:noWrap/>
            <w:vAlign w:val="center"/>
            <w:hideMark/>
          </w:tcPr>
          <w:p w14:paraId="269721E0" w14:textId="77777777" w:rsidR="000A21F8" w:rsidRPr="000A21F8" w:rsidRDefault="000A21F8" w:rsidP="000A21F8">
            <w:pPr>
              <w:spacing w:after="0" w:line="240" w:lineRule="auto"/>
              <w:jc w:val="left"/>
              <w:rPr>
                <w:rFonts w:ascii="Arial" w:hAnsi="Arial" w:cs="Arial"/>
                <w:color w:val="000000"/>
                <w:sz w:val="16"/>
                <w:szCs w:val="16"/>
              </w:rPr>
            </w:pPr>
            <w:r w:rsidRPr="000A21F8">
              <w:rPr>
                <w:rFonts w:ascii="Arial" w:hAnsi="Arial" w:cs="Arial"/>
                <w:color w:val="000000"/>
                <w:sz w:val="16"/>
                <w:szCs w:val="16"/>
              </w:rPr>
              <w:t> </w:t>
            </w:r>
          </w:p>
        </w:tc>
        <w:tc>
          <w:tcPr>
            <w:tcW w:w="269" w:type="pct"/>
            <w:tcBorders>
              <w:top w:val="nil"/>
              <w:left w:val="nil"/>
              <w:bottom w:val="nil"/>
              <w:right w:val="nil"/>
            </w:tcBorders>
            <w:shd w:val="clear" w:color="000000" w:fill="FFFFFF"/>
            <w:noWrap/>
            <w:vAlign w:val="center"/>
            <w:hideMark/>
          </w:tcPr>
          <w:p w14:paraId="0EFB4EF7" w14:textId="77777777" w:rsidR="000A21F8" w:rsidRPr="000A21F8" w:rsidRDefault="000A21F8" w:rsidP="000A21F8">
            <w:pPr>
              <w:spacing w:after="0" w:line="240" w:lineRule="auto"/>
              <w:jc w:val="center"/>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5A11233C"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2F9FC"/>
            <w:noWrap/>
            <w:vAlign w:val="center"/>
            <w:hideMark/>
          </w:tcPr>
          <w:p w14:paraId="5E8195E7"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2C60A858"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57" w:type="pct"/>
            <w:tcBorders>
              <w:top w:val="nil"/>
              <w:left w:val="nil"/>
              <w:bottom w:val="nil"/>
              <w:right w:val="nil"/>
            </w:tcBorders>
            <w:shd w:val="clear" w:color="000000" w:fill="FFFFFF"/>
            <w:noWrap/>
            <w:vAlign w:val="center"/>
            <w:hideMark/>
          </w:tcPr>
          <w:p w14:paraId="13270140"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c>
          <w:tcPr>
            <w:tcW w:w="598" w:type="pct"/>
            <w:tcBorders>
              <w:top w:val="nil"/>
              <w:left w:val="nil"/>
              <w:bottom w:val="nil"/>
              <w:right w:val="nil"/>
            </w:tcBorders>
            <w:shd w:val="clear" w:color="000000" w:fill="FFFFFF"/>
            <w:noWrap/>
            <w:vAlign w:val="center"/>
            <w:hideMark/>
          </w:tcPr>
          <w:p w14:paraId="5A67C073" w14:textId="77777777" w:rsidR="000A21F8" w:rsidRPr="000A21F8" w:rsidRDefault="000A21F8" w:rsidP="000A21F8">
            <w:pPr>
              <w:spacing w:after="0" w:line="240" w:lineRule="auto"/>
              <w:jc w:val="right"/>
              <w:rPr>
                <w:rFonts w:ascii="Arial" w:hAnsi="Arial" w:cs="Arial"/>
                <w:color w:val="000000"/>
                <w:sz w:val="16"/>
                <w:szCs w:val="16"/>
              </w:rPr>
            </w:pPr>
            <w:r w:rsidRPr="000A21F8">
              <w:rPr>
                <w:rFonts w:ascii="Arial" w:hAnsi="Arial" w:cs="Arial"/>
                <w:color w:val="000000"/>
                <w:sz w:val="16"/>
                <w:szCs w:val="16"/>
              </w:rPr>
              <w:t> </w:t>
            </w:r>
          </w:p>
        </w:tc>
      </w:tr>
      <w:tr w:rsidR="000A21F8" w:rsidRPr="000A21F8" w14:paraId="02253F63" w14:textId="77777777" w:rsidTr="002138BE">
        <w:trPr>
          <w:trHeight w:hRule="exact" w:val="225"/>
        </w:trPr>
        <w:tc>
          <w:tcPr>
            <w:tcW w:w="1905" w:type="pct"/>
            <w:tcBorders>
              <w:top w:val="nil"/>
              <w:left w:val="nil"/>
              <w:bottom w:val="single" w:sz="4" w:space="0" w:color="000000"/>
              <w:right w:val="nil"/>
            </w:tcBorders>
            <w:shd w:val="clear" w:color="000000" w:fill="FFFFFF"/>
            <w:noWrap/>
            <w:vAlign w:val="center"/>
            <w:hideMark/>
          </w:tcPr>
          <w:p w14:paraId="44960FD5" w14:textId="77777777" w:rsidR="000A21F8" w:rsidRPr="000A21F8" w:rsidRDefault="000A21F8" w:rsidP="000A21F8">
            <w:pPr>
              <w:spacing w:after="0" w:line="240" w:lineRule="auto"/>
              <w:jc w:val="left"/>
              <w:rPr>
                <w:rFonts w:ascii="Arial" w:hAnsi="Arial" w:cs="Arial"/>
                <w:b/>
                <w:bCs/>
                <w:color w:val="000000"/>
                <w:sz w:val="16"/>
                <w:szCs w:val="16"/>
              </w:rPr>
            </w:pPr>
            <w:r w:rsidRPr="000A21F8">
              <w:rPr>
                <w:rFonts w:ascii="Arial" w:hAnsi="Arial" w:cs="Arial"/>
                <w:b/>
                <w:bCs/>
                <w:color w:val="000000"/>
                <w:sz w:val="16"/>
                <w:szCs w:val="16"/>
              </w:rPr>
              <w:t>Net worth(a)</w:t>
            </w:r>
          </w:p>
        </w:tc>
        <w:tc>
          <w:tcPr>
            <w:tcW w:w="269" w:type="pct"/>
            <w:tcBorders>
              <w:top w:val="nil"/>
              <w:left w:val="nil"/>
              <w:bottom w:val="single" w:sz="4" w:space="0" w:color="000000"/>
              <w:right w:val="nil"/>
            </w:tcBorders>
            <w:shd w:val="clear" w:color="000000" w:fill="FFFFFF"/>
            <w:noWrap/>
            <w:vAlign w:val="center"/>
            <w:hideMark/>
          </w:tcPr>
          <w:p w14:paraId="4BEA3525" w14:textId="77777777" w:rsidR="000A21F8" w:rsidRPr="000A21F8" w:rsidRDefault="000A21F8" w:rsidP="000A21F8">
            <w:pPr>
              <w:spacing w:after="0" w:line="240" w:lineRule="auto"/>
              <w:jc w:val="center"/>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single" w:sz="4" w:space="0" w:color="000000"/>
              <w:right w:val="nil"/>
            </w:tcBorders>
            <w:shd w:val="clear" w:color="000000" w:fill="FFFFFF"/>
            <w:noWrap/>
            <w:vAlign w:val="center"/>
            <w:hideMark/>
          </w:tcPr>
          <w:p w14:paraId="7305B351" w14:textId="6438A386" w:rsidR="000A21F8" w:rsidRPr="000A21F8" w:rsidRDefault="00660645" w:rsidP="000A21F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A21F8" w:rsidRPr="000A21F8">
              <w:rPr>
                <w:rFonts w:ascii="Arial" w:hAnsi="Arial" w:cs="Arial"/>
                <w:b/>
                <w:bCs/>
                <w:color w:val="000000"/>
                <w:sz w:val="16"/>
                <w:szCs w:val="16"/>
              </w:rPr>
              <w:t>595,259</w:t>
            </w:r>
          </w:p>
        </w:tc>
        <w:tc>
          <w:tcPr>
            <w:tcW w:w="557" w:type="pct"/>
            <w:tcBorders>
              <w:top w:val="nil"/>
              <w:left w:val="nil"/>
              <w:bottom w:val="single" w:sz="4" w:space="0" w:color="000000"/>
              <w:right w:val="nil"/>
            </w:tcBorders>
            <w:shd w:val="clear" w:color="000000" w:fill="F2F9FC"/>
            <w:noWrap/>
            <w:vAlign w:val="center"/>
            <w:hideMark/>
          </w:tcPr>
          <w:p w14:paraId="3CBD1353" w14:textId="77990CB8" w:rsidR="000A21F8" w:rsidRPr="000A21F8" w:rsidRDefault="00660645" w:rsidP="000A21F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A21F8" w:rsidRPr="000A21F8">
              <w:rPr>
                <w:rFonts w:ascii="Arial" w:hAnsi="Arial" w:cs="Arial"/>
                <w:b/>
                <w:bCs/>
                <w:color w:val="000000"/>
                <w:sz w:val="16"/>
                <w:szCs w:val="16"/>
              </w:rPr>
              <w:t>657,506</w:t>
            </w:r>
          </w:p>
        </w:tc>
        <w:tc>
          <w:tcPr>
            <w:tcW w:w="557" w:type="pct"/>
            <w:tcBorders>
              <w:top w:val="nil"/>
              <w:left w:val="nil"/>
              <w:bottom w:val="single" w:sz="4" w:space="0" w:color="000000"/>
              <w:right w:val="nil"/>
            </w:tcBorders>
            <w:shd w:val="clear" w:color="000000" w:fill="FFFFFF"/>
            <w:noWrap/>
            <w:vAlign w:val="center"/>
            <w:hideMark/>
          </w:tcPr>
          <w:p w14:paraId="3C9B3C62" w14:textId="547415D5" w:rsidR="000A21F8" w:rsidRPr="000A21F8" w:rsidRDefault="00660645" w:rsidP="000A21F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A21F8" w:rsidRPr="000A21F8">
              <w:rPr>
                <w:rFonts w:ascii="Arial" w:hAnsi="Arial" w:cs="Arial"/>
                <w:b/>
                <w:bCs/>
                <w:color w:val="000000"/>
                <w:sz w:val="16"/>
                <w:szCs w:val="16"/>
              </w:rPr>
              <w:t>706,487</w:t>
            </w:r>
          </w:p>
        </w:tc>
        <w:tc>
          <w:tcPr>
            <w:tcW w:w="557" w:type="pct"/>
            <w:tcBorders>
              <w:top w:val="nil"/>
              <w:left w:val="nil"/>
              <w:bottom w:val="single" w:sz="4" w:space="0" w:color="000000"/>
              <w:right w:val="nil"/>
            </w:tcBorders>
            <w:shd w:val="clear" w:color="000000" w:fill="FFFFFF"/>
            <w:noWrap/>
            <w:vAlign w:val="center"/>
            <w:hideMark/>
          </w:tcPr>
          <w:p w14:paraId="2A683E4A" w14:textId="5121B724" w:rsidR="000A21F8" w:rsidRPr="000A21F8" w:rsidRDefault="00660645" w:rsidP="000A21F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A21F8" w:rsidRPr="000A21F8">
              <w:rPr>
                <w:rFonts w:ascii="Arial" w:hAnsi="Arial" w:cs="Arial"/>
                <w:b/>
                <w:bCs/>
                <w:color w:val="000000"/>
                <w:sz w:val="16"/>
                <w:szCs w:val="16"/>
              </w:rPr>
              <w:t>747,866</w:t>
            </w:r>
          </w:p>
        </w:tc>
        <w:tc>
          <w:tcPr>
            <w:tcW w:w="598" w:type="pct"/>
            <w:tcBorders>
              <w:top w:val="nil"/>
              <w:left w:val="nil"/>
              <w:bottom w:val="single" w:sz="4" w:space="0" w:color="000000"/>
              <w:right w:val="nil"/>
            </w:tcBorders>
            <w:shd w:val="clear" w:color="000000" w:fill="FFFFFF"/>
            <w:noWrap/>
            <w:vAlign w:val="center"/>
            <w:hideMark/>
          </w:tcPr>
          <w:p w14:paraId="7C2A69AE" w14:textId="44F1B10E" w:rsidR="000A21F8" w:rsidRPr="000A21F8" w:rsidRDefault="00660645" w:rsidP="000A21F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0A21F8" w:rsidRPr="000A21F8">
              <w:rPr>
                <w:rFonts w:ascii="Arial" w:hAnsi="Arial" w:cs="Arial"/>
                <w:b/>
                <w:bCs/>
                <w:color w:val="000000"/>
                <w:sz w:val="16"/>
                <w:szCs w:val="16"/>
              </w:rPr>
              <w:t>778,944</w:t>
            </w:r>
          </w:p>
        </w:tc>
      </w:tr>
      <w:tr w:rsidR="000A21F8" w:rsidRPr="000A21F8" w14:paraId="2AD81A38" w14:textId="77777777" w:rsidTr="002138BE">
        <w:trPr>
          <w:trHeight w:hRule="exact" w:val="60"/>
        </w:trPr>
        <w:tc>
          <w:tcPr>
            <w:tcW w:w="1905" w:type="pct"/>
            <w:tcBorders>
              <w:top w:val="nil"/>
              <w:left w:val="nil"/>
              <w:bottom w:val="nil"/>
              <w:right w:val="nil"/>
            </w:tcBorders>
            <w:shd w:val="clear" w:color="000000" w:fill="FFFFFF"/>
            <w:noWrap/>
            <w:vAlign w:val="center"/>
            <w:hideMark/>
          </w:tcPr>
          <w:p w14:paraId="69FD6026" w14:textId="77777777" w:rsidR="000A21F8" w:rsidRPr="000A21F8" w:rsidRDefault="000A21F8" w:rsidP="000A21F8">
            <w:pPr>
              <w:spacing w:after="0" w:line="240" w:lineRule="auto"/>
              <w:jc w:val="left"/>
              <w:rPr>
                <w:rFonts w:ascii="Arial" w:hAnsi="Arial" w:cs="Arial"/>
                <w:b/>
                <w:bCs/>
                <w:color w:val="000000"/>
                <w:sz w:val="16"/>
                <w:szCs w:val="16"/>
              </w:rPr>
            </w:pPr>
            <w:r w:rsidRPr="000A21F8">
              <w:rPr>
                <w:rFonts w:ascii="Arial" w:hAnsi="Arial" w:cs="Arial"/>
                <w:b/>
                <w:bCs/>
                <w:color w:val="000000"/>
                <w:sz w:val="16"/>
                <w:szCs w:val="16"/>
              </w:rPr>
              <w:t> </w:t>
            </w:r>
          </w:p>
        </w:tc>
        <w:tc>
          <w:tcPr>
            <w:tcW w:w="269" w:type="pct"/>
            <w:tcBorders>
              <w:top w:val="nil"/>
              <w:left w:val="nil"/>
              <w:bottom w:val="nil"/>
              <w:right w:val="nil"/>
            </w:tcBorders>
            <w:shd w:val="clear" w:color="000000" w:fill="FFFFFF"/>
            <w:noWrap/>
            <w:vAlign w:val="center"/>
            <w:hideMark/>
          </w:tcPr>
          <w:p w14:paraId="385E91EF" w14:textId="77777777" w:rsidR="000A21F8" w:rsidRPr="000A21F8" w:rsidRDefault="000A21F8" w:rsidP="000A21F8">
            <w:pPr>
              <w:spacing w:after="0" w:line="240" w:lineRule="auto"/>
              <w:jc w:val="center"/>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nil"/>
              <w:right w:val="nil"/>
            </w:tcBorders>
            <w:shd w:val="clear" w:color="000000" w:fill="FFFFFF"/>
            <w:noWrap/>
            <w:vAlign w:val="center"/>
            <w:hideMark/>
          </w:tcPr>
          <w:p w14:paraId="1F115F88"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nil"/>
              <w:right w:val="nil"/>
            </w:tcBorders>
            <w:shd w:val="clear" w:color="000000" w:fill="F2F9FC"/>
            <w:noWrap/>
            <w:vAlign w:val="center"/>
            <w:hideMark/>
          </w:tcPr>
          <w:p w14:paraId="788AB8D9"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nil"/>
              <w:right w:val="nil"/>
            </w:tcBorders>
            <w:shd w:val="clear" w:color="000000" w:fill="FFFFFF"/>
            <w:noWrap/>
            <w:vAlign w:val="center"/>
            <w:hideMark/>
          </w:tcPr>
          <w:p w14:paraId="7CE251DE"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 </w:t>
            </w:r>
          </w:p>
        </w:tc>
        <w:tc>
          <w:tcPr>
            <w:tcW w:w="557" w:type="pct"/>
            <w:tcBorders>
              <w:top w:val="nil"/>
              <w:left w:val="nil"/>
              <w:bottom w:val="nil"/>
              <w:right w:val="nil"/>
            </w:tcBorders>
            <w:shd w:val="clear" w:color="000000" w:fill="FFFFFF"/>
            <w:noWrap/>
            <w:vAlign w:val="center"/>
            <w:hideMark/>
          </w:tcPr>
          <w:p w14:paraId="116BA75D"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 </w:t>
            </w:r>
          </w:p>
        </w:tc>
        <w:tc>
          <w:tcPr>
            <w:tcW w:w="598" w:type="pct"/>
            <w:tcBorders>
              <w:top w:val="nil"/>
              <w:left w:val="nil"/>
              <w:bottom w:val="nil"/>
              <w:right w:val="nil"/>
            </w:tcBorders>
            <w:shd w:val="clear" w:color="000000" w:fill="FFFFFF"/>
            <w:noWrap/>
            <w:vAlign w:val="center"/>
            <w:hideMark/>
          </w:tcPr>
          <w:p w14:paraId="6A005C0C" w14:textId="77777777" w:rsidR="000A21F8" w:rsidRPr="000A21F8" w:rsidRDefault="000A21F8" w:rsidP="000A21F8">
            <w:pPr>
              <w:spacing w:after="0" w:line="240" w:lineRule="auto"/>
              <w:jc w:val="right"/>
              <w:rPr>
                <w:rFonts w:ascii="Arial" w:hAnsi="Arial" w:cs="Arial"/>
                <w:b/>
                <w:bCs/>
                <w:color w:val="000000"/>
                <w:sz w:val="16"/>
                <w:szCs w:val="16"/>
              </w:rPr>
            </w:pPr>
            <w:r w:rsidRPr="000A21F8">
              <w:rPr>
                <w:rFonts w:ascii="Arial" w:hAnsi="Arial" w:cs="Arial"/>
                <w:b/>
                <w:bCs/>
                <w:color w:val="000000"/>
                <w:sz w:val="16"/>
                <w:szCs w:val="16"/>
              </w:rPr>
              <w:t> </w:t>
            </w:r>
          </w:p>
        </w:tc>
      </w:tr>
      <w:tr w:rsidR="000A21F8" w:rsidRPr="000A21F8" w14:paraId="4D1EB4C2"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3F72925D" w14:textId="77777777" w:rsidR="000A21F8" w:rsidRPr="000A21F8" w:rsidRDefault="000A21F8" w:rsidP="000A21F8">
            <w:pPr>
              <w:spacing w:after="0" w:line="240" w:lineRule="auto"/>
              <w:jc w:val="left"/>
              <w:rPr>
                <w:rFonts w:ascii="Arial" w:hAnsi="Arial" w:cs="Arial"/>
                <w:i/>
                <w:iCs/>
                <w:color w:val="000000"/>
                <w:sz w:val="16"/>
                <w:szCs w:val="16"/>
              </w:rPr>
            </w:pPr>
            <w:r w:rsidRPr="000A21F8">
              <w:rPr>
                <w:rFonts w:ascii="Arial" w:hAnsi="Arial" w:cs="Arial"/>
                <w:i/>
                <w:iCs/>
                <w:color w:val="000000"/>
                <w:sz w:val="16"/>
                <w:szCs w:val="16"/>
              </w:rPr>
              <w:t>Net financial worth(b)</w:t>
            </w:r>
          </w:p>
        </w:tc>
        <w:tc>
          <w:tcPr>
            <w:tcW w:w="269" w:type="pct"/>
            <w:tcBorders>
              <w:top w:val="nil"/>
              <w:left w:val="nil"/>
              <w:bottom w:val="nil"/>
              <w:right w:val="nil"/>
            </w:tcBorders>
            <w:shd w:val="clear" w:color="000000" w:fill="FFFFFF"/>
            <w:noWrap/>
            <w:vAlign w:val="center"/>
            <w:hideMark/>
          </w:tcPr>
          <w:p w14:paraId="2965C038" w14:textId="77777777" w:rsidR="000A21F8" w:rsidRPr="000A21F8" w:rsidRDefault="000A21F8" w:rsidP="000A21F8">
            <w:pPr>
              <w:spacing w:after="0" w:line="240" w:lineRule="auto"/>
              <w:jc w:val="center"/>
              <w:rPr>
                <w:rFonts w:ascii="Arial" w:hAnsi="Arial" w:cs="Arial"/>
                <w:b/>
                <w:bCs/>
                <w:i/>
                <w:iCs/>
                <w:color w:val="000000"/>
                <w:sz w:val="16"/>
                <w:szCs w:val="16"/>
              </w:rPr>
            </w:pPr>
            <w:r w:rsidRPr="000A21F8">
              <w:rPr>
                <w:rFonts w:ascii="Arial" w:hAnsi="Arial" w:cs="Arial"/>
                <w:b/>
                <w:bCs/>
                <w:i/>
                <w:iCs/>
                <w:color w:val="000000"/>
                <w:sz w:val="16"/>
                <w:szCs w:val="16"/>
              </w:rPr>
              <w:t> </w:t>
            </w:r>
          </w:p>
        </w:tc>
        <w:tc>
          <w:tcPr>
            <w:tcW w:w="557" w:type="pct"/>
            <w:tcBorders>
              <w:top w:val="nil"/>
              <w:left w:val="nil"/>
              <w:bottom w:val="nil"/>
              <w:right w:val="nil"/>
            </w:tcBorders>
            <w:shd w:val="clear" w:color="000000" w:fill="FFFFFF"/>
            <w:noWrap/>
            <w:vAlign w:val="center"/>
            <w:hideMark/>
          </w:tcPr>
          <w:p w14:paraId="3F8BF44B" w14:textId="46B66762" w:rsidR="000A21F8" w:rsidRPr="000A21F8" w:rsidRDefault="00660645" w:rsidP="000A21F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A21F8" w:rsidRPr="000A21F8">
              <w:rPr>
                <w:rFonts w:ascii="Arial" w:hAnsi="Arial" w:cs="Arial"/>
                <w:i/>
                <w:iCs/>
                <w:color w:val="000000"/>
                <w:sz w:val="16"/>
                <w:szCs w:val="16"/>
              </w:rPr>
              <w:t>786,849</w:t>
            </w:r>
          </w:p>
        </w:tc>
        <w:tc>
          <w:tcPr>
            <w:tcW w:w="557" w:type="pct"/>
            <w:tcBorders>
              <w:top w:val="nil"/>
              <w:left w:val="nil"/>
              <w:bottom w:val="nil"/>
              <w:right w:val="nil"/>
            </w:tcBorders>
            <w:shd w:val="clear" w:color="000000" w:fill="F2F9FC"/>
            <w:noWrap/>
            <w:vAlign w:val="center"/>
            <w:hideMark/>
          </w:tcPr>
          <w:p w14:paraId="7727B3D0" w14:textId="13713C52" w:rsidR="000A21F8" w:rsidRPr="000A21F8" w:rsidRDefault="00660645" w:rsidP="000A21F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A21F8" w:rsidRPr="000A21F8">
              <w:rPr>
                <w:rFonts w:ascii="Arial" w:hAnsi="Arial" w:cs="Arial"/>
                <w:i/>
                <w:iCs/>
                <w:color w:val="000000"/>
                <w:sz w:val="16"/>
                <w:szCs w:val="16"/>
              </w:rPr>
              <w:t>859,282</w:t>
            </w:r>
          </w:p>
        </w:tc>
        <w:tc>
          <w:tcPr>
            <w:tcW w:w="557" w:type="pct"/>
            <w:tcBorders>
              <w:top w:val="nil"/>
              <w:left w:val="nil"/>
              <w:bottom w:val="nil"/>
              <w:right w:val="nil"/>
            </w:tcBorders>
            <w:shd w:val="clear" w:color="000000" w:fill="FFFFFF"/>
            <w:noWrap/>
            <w:vAlign w:val="center"/>
            <w:hideMark/>
          </w:tcPr>
          <w:p w14:paraId="492A3935" w14:textId="49F5A6FD" w:rsidR="000A21F8" w:rsidRPr="000A21F8" w:rsidRDefault="00660645" w:rsidP="000A21F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A21F8" w:rsidRPr="000A21F8">
              <w:rPr>
                <w:rFonts w:ascii="Arial" w:hAnsi="Arial" w:cs="Arial"/>
                <w:i/>
                <w:iCs/>
                <w:color w:val="000000"/>
                <w:sz w:val="16"/>
                <w:szCs w:val="16"/>
              </w:rPr>
              <w:t>917,953</w:t>
            </w:r>
          </w:p>
        </w:tc>
        <w:tc>
          <w:tcPr>
            <w:tcW w:w="557" w:type="pct"/>
            <w:tcBorders>
              <w:top w:val="nil"/>
              <w:left w:val="nil"/>
              <w:bottom w:val="nil"/>
              <w:right w:val="nil"/>
            </w:tcBorders>
            <w:shd w:val="clear" w:color="000000" w:fill="FFFFFF"/>
            <w:noWrap/>
            <w:vAlign w:val="center"/>
            <w:hideMark/>
          </w:tcPr>
          <w:p w14:paraId="73E18FD3" w14:textId="4B111A68" w:rsidR="000A21F8" w:rsidRPr="000A21F8" w:rsidRDefault="00660645" w:rsidP="000A21F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A21F8" w:rsidRPr="000A21F8">
              <w:rPr>
                <w:rFonts w:ascii="Arial" w:hAnsi="Arial" w:cs="Arial"/>
                <w:i/>
                <w:iCs/>
                <w:color w:val="000000"/>
                <w:sz w:val="16"/>
                <w:szCs w:val="16"/>
              </w:rPr>
              <w:t>968,032</w:t>
            </w:r>
          </w:p>
        </w:tc>
        <w:tc>
          <w:tcPr>
            <w:tcW w:w="598" w:type="pct"/>
            <w:tcBorders>
              <w:top w:val="nil"/>
              <w:left w:val="nil"/>
              <w:bottom w:val="nil"/>
              <w:right w:val="nil"/>
            </w:tcBorders>
            <w:shd w:val="clear" w:color="000000" w:fill="FFFFFF"/>
            <w:noWrap/>
            <w:vAlign w:val="center"/>
            <w:hideMark/>
          </w:tcPr>
          <w:p w14:paraId="2F578F3C" w14:textId="250251E2" w:rsidR="000A21F8" w:rsidRPr="000A21F8" w:rsidRDefault="00660645" w:rsidP="000A21F8">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000A21F8" w:rsidRPr="000A21F8">
              <w:rPr>
                <w:rFonts w:ascii="Arial" w:hAnsi="Arial" w:cs="Arial"/>
                <w:i/>
                <w:iCs/>
                <w:color w:val="000000"/>
                <w:sz w:val="16"/>
                <w:szCs w:val="16"/>
              </w:rPr>
              <w:t>1,006,421</w:t>
            </w:r>
          </w:p>
        </w:tc>
      </w:tr>
      <w:tr w:rsidR="000A21F8" w:rsidRPr="000A21F8" w14:paraId="4F169FF8" w14:textId="77777777" w:rsidTr="002138BE">
        <w:trPr>
          <w:trHeight w:hRule="exact" w:val="225"/>
        </w:trPr>
        <w:tc>
          <w:tcPr>
            <w:tcW w:w="1905" w:type="pct"/>
            <w:tcBorders>
              <w:top w:val="nil"/>
              <w:left w:val="nil"/>
              <w:bottom w:val="nil"/>
              <w:right w:val="nil"/>
            </w:tcBorders>
            <w:shd w:val="clear" w:color="000000" w:fill="FFFFFF"/>
            <w:noWrap/>
            <w:vAlign w:val="center"/>
            <w:hideMark/>
          </w:tcPr>
          <w:p w14:paraId="2E0946A7" w14:textId="77777777" w:rsidR="000A21F8" w:rsidRPr="000A21F8" w:rsidRDefault="000A21F8" w:rsidP="000A21F8">
            <w:pPr>
              <w:spacing w:after="0" w:line="240" w:lineRule="auto"/>
              <w:jc w:val="left"/>
              <w:rPr>
                <w:rFonts w:ascii="Arial" w:hAnsi="Arial" w:cs="Arial"/>
                <w:i/>
                <w:iCs/>
                <w:color w:val="000000"/>
                <w:sz w:val="16"/>
                <w:szCs w:val="16"/>
              </w:rPr>
            </w:pPr>
            <w:r w:rsidRPr="000A21F8">
              <w:rPr>
                <w:rFonts w:ascii="Arial" w:hAnsi="Arial" w:cs="Arial"/>
                <w:i/>
                <w:iCs/>
                <w:color w:val="000000"/>
                <w:sz w:val="16"/>
                <w:szCs w:val="16"/>
              </w:rPr>
              <w:t xml:space="preserve">Net financial liabilities(c) </w:t>
            </w:r>
          </w:p>
        </w:tc>
        <w:tc>
          <w:tcPr>
            <w:tcW w:w="269" w:type="pct"/>
            <w:tcBorders>
              <w:top w:val="nil"/>
              <w:left w:val="nil"/>
              <w:bottom w:val="nil"/>
              <w:right w:val="nil"/>
            </w:tcBorders>
            <w:shd w:val="clear" w:color="000000" w:fill="FFFFFF"/>
            <w:noWrap/>
            <w:vAlign w:val="center"/>
            <w:hideMark/>
          </w:tcPr>
          <w:p w14:paraId="34E835C8" w14:textId="77777777" w:rsidR="000A21F8" w:rsidRPr="000A21F8" w:rsidRDefault="000A21F8" w:rsidP="000A21F8">
            <w:pPr>
              <w:spacing w:after="0" w:line="240" w:lineRule="auto"/>
              <w:jc w:val="center"/>
              <w:rPr>
                <w:rFonts w:ascii="Arial" w:hAnsi="Arial" w:cs="Arial"/>
                <w:b/>
                <w:bCs/>
                <w:i/>
                <w:iCs/>
                <w:color w:val="000000"/>
                <w:sz w:val="16"/>
                <w:szCs w:val="16"/>
              </w:rPr>
            </w:pPr>
            <w:r w:rsidRPr="000A21F8">
              <w:rPr>
                <w:rFonts w:ascii="Arial" w:hAnsi="Arial" w:cs="Arial"/>
                <w:b/>
                <w:bCs/>
                <w:i/>
                <w:iCs/>
                <w:color w:val="000000"/>
                <w:sz w:val="16"/>
                <w:szCs w:val="16"/>
              </w:rPr>
              <w:t> </w:t>
            </w:r>
          </w:p>
        </w:tc>
        <w:tc>
          <w:tcPr>
            <w:tcW w:w="557" w:type="pct"/>
            <w:tcBorders>
              <w:top w:val="nil"/>
              <w:left w:val="nil"/>
              <w:bottom w:val="nil"/>
              <w:right w:val="nil"/>
            </w:tcBorders>
            <w:shd w:val="clear" w:color="000000" w:fill="FFFFFF"/>
            <w:noWrap/>
            <w:vAlign w:val="center"/>
            <w:hideMark/>
          </w:tcPr>
          <w:p w14:paraId="4B640D93"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843,221</w:t>
            </w:r>
          </w:p>
        </w:tc>
        <w:tc>
          <w:tcPr>
            <w:tcW w:w="557" w:type="pct"/>
            <w:tcBorders>
              <w:top w:val="nil"/>
              <w:left w:val="nil"/>
              <w:bottom w:val="nil"/>
              <w:right w:val="nil"/>
            </w:tcBorders>
            <w:shd w:val="clear" w:color="000000" w:fill="F2F9FC"/>
            <w:noWrap/>
            <w:vAlign w:val="center"/>
            <w:hideMark/>
          </w:tcPr>
          <w:p w14:paraId="5869AB06"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928,926</w:t>
            </w:r>
          </w:p>
        </w:tc>
        <w:tc>
          <w:tcPr>
            <w:tcW w:w="557" w:type="pct"/>
            <w:tcBorders>
              <w:top w:val="nil"/>
              <w:left w:val="nil"/>
              <w:bottom w:val="nil"/>
              <w:right w:val="nil"/>
            </w:tcBorders>
            <w:shd w:val="clear" w:color="000000" w:fill="FFFFFF"/>
            <w:noWrap/>
            <w:vAlign w:val="center"/>
            <w:hideMark/>
          </w:tcPr>
          <w:p w14:paraId="68D2F139"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992,118</w:t>
            </w:r>
          </w:p>
        </w:tc>
        <w:tc>
          <w:tcPr>
            <w:tcW w:w="557" w:type="pct"/>
            <w:tcBorders>
              <w:top w:val="nil"/>
              <w:left w:val="nil"/>
              <w:bottom w:val="nil"/>
              <w:right w:val="nil"/>
            </w:tcBorders>
            <w:shd w:val="clear" w:color="000000" w:fill="FFFFFF"/>
            <w:noWrap/>
            <w:vAlign w:val="center"/>
            <w:hideMark/>
          </w:tcPr>
          <w:p w14:paraId="7F7D150F"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1,046,506</w:t>
            </w:r>
          </w:p>
        </w:tc>
        <w:tc>
          <w:tcPr>
            <w:tcW w:w="598" w:type="pct"/>
            <w:tcBorders>
              <w:top w:val="nil"/>
              <w:left w:val="nil"/>
              <w:bottom w:val="nil"/>
              <w:right w:val="nil"/>
            </w:tcBorders>
            <w:shd w:val="clear" w:color="000000" w:fill="FFFFFF"/>
            <w:noWrap/>
            <w:vAlign w:val="center"/>
            <w:hideMark/>
          </w:tcPr>
          <w:p w14:paraId="7C9DDC3A"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1,087,443</w:t>
            </w:r>
          </w:p>
        </w:tc>
      </w:tr>
      <w:tr w:rsidR="000A21F8" w:rsidRPr="000A21F8" w14:paraId="1F6CBB18" w14:textId="77777777" w:rsidTr="002138BE">
        <w:trPr>
          <w:trHeight w:hRule="exact" w:val="225"/>
        </w:trPr>
        <w:tc>
          <w:tcPr>
            <w:tcW w:w="1905" w:type="pct"/>
            <w:tcBorders>
              <w:top w:val="nil"/>
              <w:left w:val="nil"/>
              <w:bottom w:val="single" w:sz="4" w:space="0" w:color="000000"/>
              <w:right w:val="nil"/>
            </w:tcBorders>
            <w:shd w:val="clear" w:color="000000" w:fill="FFFFFF"/>
            <w:noWrap/>
            <w:vAlign w:val="center"/>
            <w:hideMark/>
          </w:tcPr>
          <w:p w14:paraId="3203D386" w14:textId="77777777" w:rsidR="000A21F8" w:rsidRPr="000A21F8" w:rsidRDefault="000A21F8" w:rsidP="000A21F8">
            <w:pPr>
              <w:spacing w:after="0" w:line="240" w:lineRule="auto"/>
              <w:jc w:val="left"/>
              <w:rPr>
                <w:rFonts w:ascii="Arial" w:hAnsi="Arial" w:cs="Arial"/>
                <w:i/>
                <w:iCs/>
                <w:color w:val="000000"/>
                <w:sz w:val="16"/>
                <w:szCs w:val="16"/>
              </w:rPr>
            </w:pPr>
            <w:r w:rsidRPr="000A21F8">
              <w:rPr>
                <w:rFonts w:ascii="Arial" w:hAnsi="Arial" w:cs="Arial"/>
                <w:i/>
                <w:iCs/>
                <w:color w:val="000000"/>
                <w:sz w:val="16"/>
                <w:szCs w:val="16"/>
              </w:rPr>
              <w:t>Net debt(d)</w:t>
            </w:r>
          </w:p>
        </w:tc>
        <w:tc>
          <w:tcPr>
            <w:tcW w:w="269" w:type="pct"/>
            <w:tcBorders>
              <w:top w:val="nil"/>
              <w:left w:val="nil"/>
              <w:bottom w:val="single" w:sz="4" w:space="0" w:color="000000"/>
              <w:right w:val="nil"/>
            </w:tcBorders>
            <w:shd w:val="clear" w:color="000000" w:fill="FFFFFF"/>
            <w:noWrap/>
            <w:vAlign w:val="center"/>
            <w:hideMark/>
          </w:tcPr>
          <w:p w14:paraId="57D67AC5" w14:textId="77777777" w:rsidR="000A21F8" w:rsidRPr="000A21F8" w:rsidRDefault="000A21F8" w:rsidP="000A21F8">
            <w:pPr>
              <w:spacing w:after="0" w:line="240" w:lineRule="auto"/>
              <w:jc w:val="center"/>
              <w:rPr>
                <w:rFonts w:ascii="Arial" w:hAnsi="Arial" w:cs="Arial"/>
                <w:i/>
                <w:iCs/>
                <w:color w:val="000000"/>
                <w:sz w:val="16"/>
                <w:szCs w:val="16"/>
              </w:rPr>
            </w:pPr>
            <w:r w:rsidRPr="000A21F8">
              <w:rPr>
                <w:rFonts w:ascii="Arial" w:hAnsi="Arial" w:cs="Arial"/>
                <w:i/>
                <w:iCs/>
                <w:color w:val="000000"/>
                <w:sz w:val="16"/>
                <w:szCs w:val="16"/>
              </w:rPr>
              <w:t> </w:t>
            </w:r>
          </w:p>
        </w:tc>
        <w:tc>
          <w:tcPr>
            <w:tcW w:w="557" w:type="pct"/>
            <w:tcBorders>
              <w:top w:val="nil"/>
              <w:left w:val="nil"/>
              <w:bottom w:val="single" w:sz="4" w:space="0" w:color="000000"/>
              <w:right w:val="nil"/>
            </w:tcBorders>
            <w:shd w:val="clear" w:color="000000" w:fill="FFFFFF"/>
            <w:noWrap/>
            <w:vAlign w:val="center"/>
            <w:hideMark/>
          </w:tcPr>
          <w:p w14:paraId="5A30AF28"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631,455</w:t>
            </w:r>
          </w:p>
        </w:tc>
        <w:tc>
          <w:tcPr>
            <w:tcW w:w="557" w:type="pct"/>
            <w:tcBorders>
              <w:top w:val="nil"/>
              <w:left w:val="nil"/>
              <w:bottom w:val="single" w:sz="4" w:space="0" w:color="auto"/>
              <w:right w:val="nil"/>
            </w:tcBorders>
            <w:shd w:val="clear" w:color="000000" w:fill="F2F9FC"/>
            <w:noWrap/>
            <w:vAlign w:val="center"/>
            <w:hideMark/>
          </w:tcPr>
          <w:p w14:paraId="18BC7856"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714,900</w:t>
            </w:r>
          </w:p>
        </w:tc>
        <w:tc>
          <w:tcPr>
            <w:tcW w:w="557" w:type="pct"/>
            <w:tcBorders>
              <w:top w:val="nil"/>
              <w:left w:val="nil"/>
              <w:bottom w:val="single" w:sz="4" w:space="0" w:color="000000"/>
              <w:right w:val="nil"/>
            </w:tcBorders>
            <w:shd w:val="clear" w:color="000000" w:fill="FFFFFF"/>
            <w:noWrap/>
            <w:vAlign w:val="center"/>
            <w:hideMark/>
          </w:tcPr>
          <w:p w14:paraId="116136D0"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772,068</w:t>
            </w:r>
          </w:p>
        </w:tc>
        <w:tc>
          <w:tcPr>
            <w:tcW w:w="557" w:type="pct"/>
            <w:tcBorders>
              <w:top w:val="nil"/>
              <w:left w:val="nil"/>
              <w:bottom w:val="single" w:sz="4" w:space="0" w:color="000000"/>
              <w:right w:val="nil"/>
            </w:tcBorders>
            <w:shd w:val="clear" w:color="000000" w:fill="FFFFFF"/>
            <w:noWrap/>
            <w:vAlign w:val="center"/>
            <w:hideMark/>
          </w:tcPr>
          <w:p w14:paraId="59808C8C"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823,208</w:t>
            </w:r>
          </w:p>
        </w:tc>
        <w:tc>
          <w:tcPr>
            <w:tcW w:w="598" w:type="pct"/>
            <w:tcBorders>
              <w:top w:val="nil"/>
              <w:left w:val="nil"/>
              <w:bottom w:val="single" w:sz="4" w:space="0" w:color="000000"/>
              <w:right w:val="nil"/>
            </w:tcBorders>
            <w:shd w:val="clear" w:color="000000" w:fill="FFFFFF"/>
            <w:noWrap/>
            <w:vAlign w:val="center"/>
            <w:hideMark/>
          </w:tcPr>
          <w:p w14:paraId="339CBF89" w14:textId="77777777" w:rsidR="000A21F8" w:rsidRPr="000A21F8" w:rsidRDefault="000A21F8" w:rsidP="000A21F8">
            <w:pPr>
              <w:spacing w:after="0" w:line="240" w:lineRule="auto"/>
              <w:jc w:val="right"/>
              <w:rPr>
                <w:rFonts w:ascii="Arial" w:hAnsi="Arial" w:cs="Arial"/>
                <w:i/>
                <w:iCs/>
                <w:color w:val="000000"/>
                <w:sz w:val="16"/>
                <w:szCs w:val="16"/>
              </w:rPr>
            </w:pPr>
            <w:r w:rsidRPr="000A21F8">
              <w:rPr>
                <w:rFonts w:ascii="Arial" w:hAnsi="Arial" w:cs="Arial"/>
                <w:i/>
                <w:iCs/>
                <w:color w:val="000000"/>
                <w:sz w:val="16"/>
                <w:szCs w:val="16"/>
              </w:rPr>
              <w:t>864,451</w:t>
            </w:r>
          </w:p>
        </w:tc>
      </w:tr>
    </w:tbl>
    <w:p w14:paraId="6BE90801" w14:textId="2C6A320A" w:rsidR="00244331" w:rsidRPr="00DA0F36" w:rsidRDefault="00076460" w:rsidP="00424761">
      <w:pPr>
        <w:pStyle w:val="ChartandTableFootnoteAlpha"/>
        <w:numPr>
          <w:ilvl w:val="0"/>
          <w:numId w:val="15"/>
        </w:numPr>
        <w:rPr>
          <w:color w:val="auto"/>
        </w:rPr>
      </w:pPr>
      <w:r w:rsidRPr="00625155">
        <w:rPr>
          <w:color w:val="auto"/>
        </w:rPr>
        <w:t>Net worth equals total assets minus total liabilities.</w:t>
      </w:r>
    </w:p>
    <w:p w14:paraId="2BDEC3BC" w14:textId="77777777" w:rsidR="00244331" w:rsidRPr="003F7F4D" w:rsidRDefault="00244331" w:rsidP="00424761">
      <w:pPr>
        <w:pStyle w:val="ChartandTableFootnoteAlpha"/>
        <w:numPr>
          <w:ilvl w:val="0"/>
          <w:numId w:val="15"/>
        </w:numPr>
        <w:rPr>
          <w:color w:val="auto"/>
        </w:rPr>
      </w:pPr>
      <w:r w:rsidRPr="00F03213">
        <w:rPr>
          <w:color w:val="auto"/>
        </w:rPr>
        <w:t>Net financial worth equals total financial assets minus total liabilities.</w:t>
      </w:r>
    </w:p>
    <w:p w14:paraId="1C07DABE" w14:textId="77777777" w:rsidR="00244331" w:rsidRPr="00F03213" w:rsidRDefault="00244331" w:rsidP="00424761">
      <w:pPr>
        <w:pStyle w:val="ChartandTableFootnoteAlpha"/>
        <w:numPr>
          <w:ilvl w:val="0"/>
          <w:numId w:val="15"/>
        </w:numPr>
        <w:rPr>
          <w:color w:val="auto"/>
        </w:rPr>
      </w:pPr>
      <w:r w:rsidRPr="00F03213">
        <w:rPr>
          <w:color w:val="auto"/>
        </w:rPr>
        <w:t>Net financial liabilities equals total liabilities less financial assets other than investments in other public sector entities.</w:t>
      </w:r>
    </w:p>
    <w:p w14:paraId="745F5D86" w14:textId="77777777" w:rsidR="00244331" w:rsidRPr="00F03213" w:rsidRDefault="00244331" w:rsidP="00424761">
      <w:pPr>
        <w:pStyle w:val="ChartandTableFootnoteAlpha"/>
        <w:numPr>
          <w:ilvl w:val="0"/>
          <w:numId w:val="15"/>
        </w:numPr>
        <w:rPr>
          <w:color w:val="auto"/>
        </w:rPr>
      </w:pPr>
      <w:r w:rsidRPr="00F03213">
        <w:rPr>
          <w:color w:val="auto"/>
        </w:rPr>
        <w:t xml:space="preserve">Net debt </w:t>
      </w:r>
      <w:r w:rsidRPr="000A21F8">
        <w:rPr>
          <w:color w:val="auto"/>
        </w:rPr>
        <w:t>is</w:t>
      </w:r>
      <w:r w:rsidRPr="00F03213">
        <w:rPr>
          <w:color w:val="auto"/>
        </w:rPr>
        <w:t xml:space="preserve"> the sum of interest bearing liabilities </w:t>
      </w:r>
      <w:r w:rsidRPr="000A21F8">
        <w:rPr>
          <w:color w:val="auto"/>
        </w:rPr>
        <w:t>less</w:t>
      </w:r>
      <w:r w:rsidRPr="00F03213">
        <w:rPr>
          <w:color w:val="auto"/>
        </w:rPr>
        <w:t xml:space="preserve"> the sum of </w:t>
      </w:r>
      <w:r w:rsidRPr="000A21F8">
        <w:rPr>
          <w:color w:val="auto"/>
        </w:rPr>
        <w:t>selected financial assets</w:t>
      </w:r>
      <w:r w:rsidRPr="000A21F8">
        <w:t xml:space="preserve"> </w:t>
      </w:r>
      <w:r w:rsidRPr="000A21F8">
        <w:rPr>
          <w:color w:val="auto"/>
        </w:rPr>
        <w:t>(</w:t>
      </w:r>
      <w:r w:rsidRPr="00F03213">
        <w:rPr>
          <w:color w:val="auto"/>
        </w:rPr>
        <w:t>cash and deposits, advances paid and investments, loans and placements</w:t>
      </w:r>
      <w:r w:rsidRPr="000A21F8">
        <w:rPr>
          <w:color w:val="auto"/>
        </w:rPr>
        <w:t>)</w:t>
      </w:r>
      <w:r w:rsidRPr="00625155">
        <w:rPr>
          <w:color w:val="auto"/>
        </w:rPr>
        <w:t>.</w:t>
      </w:r>
    </w:p>
    <w:p w14:paraId="6B03340C" w14:textId="0C2617C2" w:rsidR="004D3373" w:rsidRDefault="00076460" w:rsidP="004D3373">
      <w:pPr>
        <w:pStyle w:val="TableHeading"/>
        <w:rPr>
          <w:rFonts w:asciiTheme="minorHAnsi" w:eastAsiaTheme="minorHAnsi" w:hAnsiTheme="minorHAnsi" w:cstheme="minorBidi"/>
          <w:b w:val="0"/>
          <w:sz w:val="22"/>
          <w:szCs w:val="22"/>
          <w:lang w:eastAsia="en-US"/>
        </w:rPr>
      </w:pPr>
      <w:r w:rsidRPr="00060499">
        <w:br w:type="page"/>
      </w:r>
      <w:r w:rsidRPr="00060499">
        <w:rPr>
          <w:rFonts w:ascii="Arial Bold" w:hAnsi="Arial Bold"/>
          <w:spacing w:val="-4"/>
        </w:rPr>
        <w:t>Table A3: Australian Government general government sector cash flow statement</w:t>
      </w:r>
      <w:r w:rsidRPr="00060499">
        <w:rPr>
          <w:vertAlign w:val="superscript"/>
        </w:rPr>
        <w:t>(a)</w:t>
      </w:r>
      <w:bookmarkStart w:id="65" w:name="_1711896631"/>
      <w:bookmarkStart w:id="66" w:name="_1711895425"/>
      <w:bookmarkStart w:id="67" w:name="_1711466786"/>
      <w:bookmarkEnd w:id="65"/>
      <w:bookmarkEnd w:id="66"/>
      <w:bookmarkEnd w:id="67"/>
    </w:p>
    <w:tbl>
      <w:tblPr>
        <w:tblW w:w="5000" w:type="pct"/>
        <w:tblCellMar>
          <w:left w:w="0" w:type="dxa"/>
          <w:right w:w="28" w:type="dxa"/>
        </w:tblCellMar>
        <w:tblLook w:val="04A0" w:firstRow="1" w:lastRow="0" w:firstColumn="1" w:lastColumn="0" w:noHBand="0" w:noVBand="1"/>
      </w:tblPr>
      <w:tblGrid>
        <w:gridCol w:w="3713"/>
        <w:gridCol w:w="800"/>
        <w:gridCol w:w="800"/>
        <w:gridCol w:w="800"/>
        <w:gridCol w:w="800"/>
        <w:gridCol w:w="797"/>
      </w:tblGrid>
      <w:tr w:rsidR="004D3373" w:rsidRPr="004D3373" w14:paraId="3039391F" w14:textId="77777777" w:rsidTr="0034104B">
        <w:trPr>
          <w:trHeight w:hRule="exact" w:val="225"/>
        </w:trPr>
        <w:tc>
          <w:tcPr>
            <w:tcW w:w="2407" w:type="pct"/>
            <w:tcBorders>
              <w:top w:val="single" w:sz="4" w:space="0" w:color="auto"/>
              <w:left w:val="nil"/>
              <w:bottom w:val="nil"/>
              <w:right w:val="nil"/>
            </w:tcBorders>
            <w:shd w:val="clear" w:color="000000" w:fill="FFFFFF"/>
            <w:noWrap/>
            <w:vAlign w:val="center"/>
            <w:hideMark/>
          </w:tcPr>
          <w:p w14:paraId="28D45105" w14:textId="5C4C025B"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2593" w:type="pct"/>
            <w:gridSpan w:val="5"/>
            <w:tcBorders>
              <w:top w:val="single" w:sz="4" w:space="0" w:color="auto"/>
              <w:left w:val="nil"/>
              <w:bottom w:val="single" w:sz="4" w:space="0" w:color="auto"/>
              <w:right w:val="nil"/>
            </w:tcBorders>
            <w:shd w:val="clear" w:color="000000" w:fill="FFFFFF"/>
            <w:noWrap/>
            <w:vAlign w:val="center"/>
            <w:hideMark/>
          </w:tcPr>
          <w:p w14:paraId="7434FF76" w14:textId="77777777" w:rsidR="004D3373" w:rsidRPr="004D3373" w:rsidRDefault="004D3373" w:rsidP="004D3373">
            <w:pPr>
              <w:spacing w:after="0" w:line="240" w:lineRule="auto"/>
              <w:jc w:val="center"/>
              <w:rPr>
                <w:rFonts w:ascii="Arial" w:hAnsi="Arial" w:cs="Arial"/>
                <w:sz w:val="16"/>
                <w:szCs w:val="16"/>
              </w:rPr>
            </w:pPr>
            <w:r w:rsidRPr="004D3373">
              <w:rPr>
                <w:rFonts w:ascii="Arial" w:hAnsi="Arial" w:cs="Arial"/>
                <w:sz w:val="16"/>
                <w:szCs w:val="16"/>
              </w:rPr>
              <w:t>Estimates</w:t>
            </w:r>
          </w:p>
        </w:tc>
      </w:tr>
      <w:tr w:rsidR="004D3373" w:rsidRPr="004D3373" w14:paraId="3CBFE7AB"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E51196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single" w:sz="4" w:space="0" w:color="auto"/>
              <w:left w:val="nil"/>
              <w:bottom w:val="nil"/>
              <w:right w:val="nil"/>
            </w:tcBorders>
            <w:shd w:val="clear" w:color="000000" w:fill="FFFFFF"/>
            <w:noWrap/>
            <w:vAlign w:val="center"/>
            <w:hideMark/>
          </w:tcPr>
          <w:p w14:paraId="28494929" w14:textId="1990F5AA"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2021</w:t>
            </w:r>
            <w:r w:rsidR="00660645">
              <w:rPr>
                <w:rFonts w:ascii="Arial" w:hAnsi="Arial" w:cs="Arial"/>
                <w:sz w:val="16"/>
                <w:szCs w:val="16"/>
              </w:rPr>
              <w:noBreakHyphen/>
            </w:r>
            <w:r w:rsidRPr="004D3373">
              <w:rPr>
                <w:rFonts w:ascii="Arial" w:hAnsi="Arial" w:cs="Arial"/>
                <w:sz w:val="16"/>
                <w:szCs w:val="16"/>
              </w:rPr>
              <w:t>22</w:t>
            </w:r>
          </w:p>
        </w:tc>
        <w:tc>
          <w:tcPr>
            <w:tcW w:w="519" w:type="pct"/>
            <w:tcBorders>
              <w:top w:val="single" w:sz="4" w:space="0" w:color="auto"/>
              <w:left w:val="nil"/>
              <w:bottom w:val="nil"/>
              <w:right w:val="nil"/>
            </w:tcBorders>
            <w:shd w:val="clear" w:color="000000" w:fill="F2F9FC"/>
            <w:noWrap/>
            <w:vAlign w:val="center"/>
            <w:hideMark/>
          </w:tcPr>
          <w:p w14:paraId="1E886637" w14:textId="04A70D3B"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2022</w:t>
            </w:r>
            <w:r w:rsidR="00660645">
              <w:rPr>
                <w:rFonts w:ascii="Arial" w:hAnsi="Arial" w:cs="Arial"/>
                <w:sz w:val="16"/>
                <w:szCs w:val="16"/>
              </w:rPr>
              <w:noBreakHyphen/>
            </w:r>
            <w:r w:rsidRPr="004D3373">
              <w:rPr>
                <w:rFonts w:ascii="Arial" w:hAnsi="Arial" w:cs="Arial"/>
                <w:sz w:val="16"/>
                <w:szCs w:val="16"/>
              </w:rPr>
              <w:t>23</w:t>
            </w:r>
          </w:p>
        </w:tc>
        <w:tc>
          <w:tcPr>
            <w:tcW w:w="519" w:type="pct"/>
            <w:tcBorders>
              <w:top w:val="single" w:sz="4" w:space="0" w:color="auto"/>
              <w:left w:val="nil"/>
              <w:bottom w:val="nil"/>
              <w:right w:val="nil"/>
            </w:tcBorders>
            <w:shd w:val="clear" w:color="000000" w:fill="FFFFFF"/>
            <w:noWrap/>
            <w:vAlign w:val="center"/>
            <w:hideMark/>
          </w:tcPr>
          <w:p w14:paraId="71C607EC" w14:textId="55BF369B"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2023</w:t>
            </w:r>
            <w:r w:rsidR="00660645">
              <w:rPr>
                <w:rFonts w:ascii="Arial" w:hAnsi="Arial" w:cs="Arial"/>
                <w:sz w:val="16"/>
                <w:szCs w:val="16"/>
              </w:rPr>
              <w:noBreakHyphen/>
            </w:r>
            <w:r w:rsidRPr="004D3373">
              <w:rPr>
                <w:rFonts w:ascii="Arial" w:hAnsi="Arial" w:cs="Arial"/>
                <w:sz w:val="16"/>
                <w:szCs w:val="16"/>
              </w:rPr>
              <w:t>24</w:t>
            </w:r>
          </w:p>
        </w:tc>
        <w:tc>
          <w:tcPr>
            <w:tcW w:w="519" w:type="pct"/>
            <w:tcBorders>
              <w:top w:val="single" w:sz="4" w:space="0" w:color="auto"/>
              <w:left w:val="nil"/>
              <w:bottom w:val="nil"/>
              <w:right w:val="nil"/>
            </w:tcBorders>
            <w:shd w:val="clear" w:color="000000" w:fill="FFFFFF"/>
            <w:noWrap/>
            <w:vAlign w:val="center"/>
            <w:hideMark/>
          </w:tcPr>
          <w:p w14:paraId="552ACE90" w14:textId="1AF4242B"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2024</w:t>
            </w:r>
            <w:r w:rsidR="00660645">
              <w:rPr>
                <w:rFonts w:ascii="Arial" w:hAnsi="Arial" w:cs="Arial"/>
                <w:sz w:val="16"/>
                <w:szCs w:val="16"/>
              </w:rPr>
              <w:noBreakHyphen/>
            </w:r>
            <w:r w:rsidRPr="004D3373">
              <w:rPr>
                <w:rFonts w:ascii="Arial" w:hAnsi="Arial" w:cs="Arial"/>
                <w:sz w:val="16"/>
                <w:szCs w:val="16"/>
              </w:rPr>
              <w:t>25</w:t>
            </w:r>
          </w:p>
        </w:tc>
        <w:tc>
          <w:tcPr>
            <w:tcW w:w="518" w:type="pct"/>
            <w:tcBorders>
              <w:top w:val="single" w:sz="4" w:space="0" w:color="auto"/>
              <w:left w:val="nil"/>
              <w:bottom w:val="nil"/>
              <w:right w:val="nil"/>
            </w:tcBorders>
            <w:shd w:val="clear" w:color="000000" w:fill="FFFFFF"/>
            <w:noWrap/>
            <w:vAlign w:val="center"/>
            <w:hideMark/>
          </w:tcPr>
          <w:p w14:paraId="66433E74" w14:textId="0E3CF4F2"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2025</w:t>
            </w:r>
            <w:r w:rsidR="00660645">
              <w:rPr>
                <w:rFonts w:ascii="Arial" w:hAnsi="Arial" w:cs="Arial"/>
                <w:color w:val="000000"/>
                <w:sz w:val="16"/>
                <w:szCs w:val="16"/>
              </w:rPr>
              <w:noBreakHyphen/>
            </w:r>
            <w:r w:rsidRPr="004D3373">
              <w:rPr>
                <w:rFonts w:ascii="Arial" w:hAnsi="Arial" w:cs="Arial"/>
                <w:color w:val="000000"/>
                <w:sz w:val="16"/>
                <w:szCs w:val="16"/>
              </w:rPr>
              <w:t>26</w:t>
            </w:r>
          </w:p>
        </w:tc>
      </w:tr>
      <w:tr w:rsidR="004D3373" w:rsidRPr="004D3373" w14:paraId="0B61241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9276AC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single" w:sz="4" w:space="0" w:color="000000"/>
              <w:right w:val="nil"/>
            </w:tcBorders>
            <w:shd w:val="clear" w:color="000000" w:fill="FFFFFF"/>
            <w:noWrap/>
            <w:vAlign w:val="center"/>
            <w:hideMark/>
          </w:tcPr>
          <w:p w14:paraId="683938F3"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2F9FC"/>
            <w:noWrap/>
            <w:vAlign w:val="center"/>
            <w:hideMark/>
          </w:tcPr>
          <w:p w14:paraId="764AB37E"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FFFFF"/>
            <w:noWrap/>
            <w:vAlign w:val="center"/>
            <w:hideMark/>
          </w:tcPr>
          <w:p w14:paraId="2AD4D439"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FFFFF"/>
            <w:noWrap/>
            <w:vAlign w:val="center"/>
            <w:hideMark/>
          </w:tcPr>
          <w:p w14:paraId="41DE547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$m</w:t>
            </w:r>
          </w:p>
        </w:tc>
        <w:tc>
          <w:tcPr>
            <w:tcW w:w="518" w:type="pct"/>
            <w:tcBorders>
              <w:top w:val="nil"/>
              <w:left w:val="nil"/>
              <w:bottom w:val="single" w:sz="4" w:space="0" w:color="000000"/>
              <w:right w:val="nil"/>
            </w:tcBorders>
            <w:shd w:val="clear" w:color="000000" w:fill="FFFFFF"/>
            <w:noWrap/>
            <w:vAlign w:val="center"/>
            <w:hideMark/>
          </w:tcPr>
          <w:p w14:paraId="095B3732"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$m</w:t>
            </w:r>
          </w:p>
        </w:tc>
      </w:tr>
      <w:tr w:rsidR="004D3373" w:rsidRPr="004D3373" w14:paraId="5CFADB84"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8B2AFFF"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Cash receipts from operating activities</w:t>
            </w:r>
          </w:p>
        </w:tc>
        <w:tc>
          <w:tcPr>
            <w:tcW w:w="519" w:type="pct"/>
            <w:tcBorders>
              <w:top w:val="nil"/>
              <w:left w:val="nil"/>
              <w:bottom w:val="nil"/>
              <w:right w:val="nil"/>
            </w:tcBorders>
            <w:shd w:val="clear" w:color="000000" w:fill="FFFFFF"/>
            <w:noWrap/>
            <w:vAlign w:val="center"/>
            <w:hideMark/>
          </w:tcPr>
          <w:p w14:paraId="6A16861A" w14:textId="77777777" w:rsidR="004D3373" w:rsidRPr="004D3373" w:rsidRDefault="004D3373" w:rsidP="004D3373">
            <w:pPr>
              <w:spacing w:after="0" w:line="240" w:lineRule="auto"/>
              <w:jc w:val="center"/>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7D2383AF" w14:textId="77777777" w:rsidR="004D3373" w:rsidRPr="004D3373" w:rsidRDefault="004D3373" w:rsidP="004D3373">
            <w:pPr>
              <w:spacing w:after="0" w:line="240" w:lineRule="auto"/>
              <w:jc w:val="center"/>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567FD486"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0108ED94"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center"/>
            <w:hideMark/>
          </w:tcPr>
          <w:p w14:paraId="4E8EF286"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 </w:t>
            </w:r>
          </w:p>
        </w:tc>
      </w:tr>
      <w:tr w:rsidR="004D3373" w:rsidRPr="004D3373" w14:paraId="3CAED7DF"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EC43E48"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Taxes received(b)</w:t>
            </w:r>
          </w:p>
        </w:tc>
        <w:tc>
          <w:tcPr>
            <w:tcW w:w="519" w:type="pct"/>
            <w:tcBorders>
              <w:top w:val="nil"/>
              <w:left w:val="nil"/>
              <w:bottom w:val="nil"/>
              <w:right w:val="nil"/>
            </w:tcBorders>
            <w:shd w:val="clear" w:color="000000" w:fill="FFFFFF"/>
            <w:noWrap/>
            <w:vAlign w:val="center"/>
            <w:hideMark/>
          </w:tcPr>
          <w:p w14:paraId="69961623"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512,495</w:t>
            </w:r>
          </w:p>
        </w:tc>
        <w:tc>
          <w:tcPr>
            <w:tcW w:w="519" w:type="pct"/>
            <w:tcBorders>
              <w:top w:val="nil"/>
              <w:left w:val="nil"/>
              <w:bottom w:val="nil"/>
              <w:right w:val="nil"/>
            </w:tcBorders>
            <w:shd w:val="clear" w:color="000000" w:fill="F2F9FC"/>
            <w:noWrap/>
            <w:vAlign w:val="center"/>
            <w:hideMark/>
          </w:tcPr>
          <w:p w14:paraId="3DDC2F95"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508,425</w:t>
            </w:r>
          </w:p>
        </w:tc>
        <w:tc>
          <w:tcPr>
            <w:tcW w:w="519" w:type="pct"/>
            <w:tcBorders>
              <w:top w:val="nil"/>
              <w:left w:val="nil"/>
              <w:bottom w:val="nil"/>
              <w:right w:val="nil"/>
            </w:tcBorders>
            <w:shd w:val="clear" w:color="000000" w:fill="FFFFFF"/>
            <w:noWrap/>
            <w:vAlign w:val="center"/>
            <w:hideMark/>
          </w:tcPr>
          <w:p w14:paraId="431A2C10"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541,737</w:t>
            </w:r>
          </w:p>
        </w:tc>
        <w:tc>
          <w:tcPr>
            <w:tcW w:w="519" w:type="pct"/>
            <w:tcBorders>
              <w:top w:val="nil"/>
              <w:left w:val="nil"/>
              <w:bottom w:val="nil"/>
              <w:right w:val="nil"/>
            </w:tcBorders>
            <w:shd w:val="clear" w:color="000000" w:fill="FFFFFF"/>
            <w:noWrap/>
            <w:vAlign w:val="center"/>
            <w:hideMark/>
          </w:tcPr>
          <w:p w14:paraId="5E193FD9"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566,570</w:t>
            </w:r>
          </w:p>
        </w:tc>
        <w:tc>
          <w:tcPr>
            <w:tcW w:w="518" w:type="pct"/>
            <w:tcBorders>
              <w:top w:val="nil"/>
              <w:left w:val="nil"/>
              <w:bottom w:val="nil"/>
              <w:right w:val="nil"/>
            </w:tcBorders>
            <w:shd w:val="clear" w:color="000000" w:fill="FFFFFF"/>
            <w:noWrap/>
            <w:vAlign w:val="center"/>
            <w:hideMark/>
          </w:tcPr>
          <w:p w14:paraId="09B3401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598,183</w:t>
            </w:r>
          </w:p>
        </w:tc>
      </w:tr>
      <w:tr w:rsidR="004D3373" w:rsidRPr="004D3373" w14:paraId="76F5F83F"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A9C6938"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Receipts from sales of goods and services</w:t>
            </w:r>
          </w:p>
        </w:tc>
        <w:tc>
          <w:tcPr>
            <w:tcW w:w="519" w:type="pct"/>
            <w:tcBorders>
              <w:top w:val="nil"/>
              <w:left w:val="nil"/>
              <w:bottom w:val="nil"/>
              <w:right w:val="nil"/>
            </w:tcBorders>
            <w:shd w:val="clear" w:color="000000" w:fill="FFFFFF"/>
            <w:noWrap/>
            <w:vAlign w:val="center"/>
            <w:hideMark/>
          </w:tcPr>
          <w:p w14:paraId="7D7D4FB3"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17,626</w:t>
            </w:r>
          </w:p>
        </w:tc>
        <w:tc>
          <w:tcPr>
            <w:tcW w:w="519" w:type="pct"/>
            <w:tcBorders>
              <w:top w:val="nil"/>
              <w:left w:val="nil"/>
              <w:bottom w:val="nil"/>
              <w:right w:val="nil"/>
            </w:tcBorders>
            <w:shd w:val="clear" w:color="000000" w:fill="F2F9FC"/>
            <w:noWrap/>
            <w:vAlign w:val="center"/>
            <w:hideMark/>
          </w:tcPr>
          <w:p w14:paraId="4B67755F"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18,346</w:t>
            </w:r>
          </w:p>
        </w:tc>
        <w:tc>
          <w:tcPr>
            <w:tcW w:w="519" w:type="pct"/>
            <w:tcBorders>
              <w:top w:val="nil"/>
              <w:left w:val="nil"/>
              <w:bottom w:val="nil"/>
              <w:right w:val="nil"/>
            </w:tcBorders>
            <w:shd w:val="clear" w:color="000000" w:fill="FFFFFF"/>
            <w:noWrap/>
            <w:vAlign w:val="center"/>
            <w:hideMark/>
          </w:tcPr>
          <w:p w14:paraId="5B0E945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19,520</w:t>
            </w:r>
          </w:p>
        </w:tc>
        <w:tc>
          <w:tcPr>
            <w:tcW w:w="519" w:type="pct"/>
            <w:tcBorders>
              <w:top w:val="nil"/>
              <w:left w:val="nil"/>
              <w:bottom w:val="nil"/>
              <w:right w:val="nil"/>
            </w:tcBorders>
            <w:shd w:val="clear" w:color="000000" w:fill="FFFFFF"/>
            <w:noWrap/>
            <w:vAlign w:val="center"/>
            <w:hideMark/>
          </w:tcPr>
          <w:p w14:paraId="595E2E8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20,413</w:t>
            </w:r>
          </w:p>
        </w:tc>
        <w:tc>
          <w:tcPr>
            <w:tcW w:w="518" w:type="pct"/>
            <w:tcBorders>
              <w:top w:val="nil"/>
              <w:left w:val="nil"/>
              <w:bottom w:val="nil"/>
              <w:right w:val="nil"/>
            </w:tcBorders>
            <w:shd w:val="clear" w:color="000000" w:fill="FFFFFF"/>
            <w:noWrap/>
            <w:vAlign w:val="center"/>
            <w:hideMark/>
          </w:tcPr>
          <w:p w14:paraId="0D2C48E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20,943</w:t>
            </w:r>
          </w:p>
        </w:tc>
      </w:tr>
      <w:tr w:rsidR="004D3373" w:rsidRPr="004D3373" w14:paraId="6B1A2769"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55416E6A"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Interest receipts</w:t>
            </w:r>
          </w:p>
        </w:tc>
        <w:tc>
          <w:tcPr>
            <w:tcW w:w="519" w:type="pct"/>
            <w:tcBorders>
              <w:top w:val="nil"/>
              <w:left w:val="nil"/>
              <w:bottom w:val="nil"/>
              <w:right w:val="nil"/>
            </w:tcBorders>
            <w:shd w:val="clear" w:color="000000" w:fill="FFFFFF"/>
            <w:noWrap/>
            <w:vAlign w:val="center"/>
            <w:hideMark/>
          </w:tcPr>
          <w:p w14:paraId="4A35B724"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2,557</w:t>
            </w:r>
          </w:p>
        </w:tc>
        <w:tc>
          <w:tcPr>
            <w:tcW w:w="519" w:type="pct"/>
            <w:tcBorders>
              <w:top w:val="nil"/>
              <w:left w:val="nil"/>
              <w:bottom w:val="nil"/>
              <w:right w:val="nil"/>
            </w:tcBorders>
            <w:shd w:val="clear" w:color="000000" w:fill="F2F9FC"/>
            <w:noWrap/>
            <w:vAlign w:val="center"/>
            <w:hideMark/>
          </w:tcPr>
          <w:p w14:paraId="09BFC9B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2,820</w:t>
            </w:r>
          </w:p>
        </w:tc>
        <w:tc>
          <w:tcPr>
            <w:tcW w:w="519" w:type="pct"/>
            <w:tcBorders>
              <w:top w:val="nil"/>
              <w:left w:val="nil"/>
              <w:bottom w:val="nil"/>
              <w:right w:val="nil"/>
            </w:tcBorders>
            <w:shd w:val="clear" w:color="000000" w:fill="FFFFFF"/>
            <w:noWrap/>
            <w:vAlign w:val="center"/>
            <w:hideMark/>
          </w:tcPr>
          <w:p w14:paraId="1DAAC2C2"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3,393</w:t>
            </w:r>
          </w:p>
        </w:tc>
        <w:tc>
          <w:tcPr>
            <w:tcW w:w="519" w:type="pct"/>
            <w:tcBorders>
              <w:top w:val="nil"/>
              <w:left w:val="nil"/>
              <w:bottom w:val="nil"/>
              <w:right w:val="nil"/>
            </w:tcBorders>
            <w:shd w:val="clear" w:color="000000" w:fill="FFFFFF"/>
            <w:noWrap/>
            <w:vAlign w:val="center"/>
            <w:hideMark/>
          </w:tcPr>
          <w:p w14:paraId="3AFE4C51"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3,670</w:t>
            </w:r>
          </w:p>
        </w:tc>
        <w:tc>
          <w:tcPr>
            <w:tcW w:w="518" w:type="pct"/>
            <w:tcBorders>
              <w:top w:val="nil"/>
              <w:left w:val="nil"/>
              <w:bottom w:val="nil"/>
              <w:right w:val="nil"/>
            </w:tcBorders>
            <w:shd w:val="clear" w:color="000000" w:fill="FFFFFF"/>
            <w:noWrap/>
            <w:vAlign w:val="center"/>
            <w:hideMark/>
          </w:tcPr>
          <w:p w14:paraId="48C28FF9"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3,980</w:t>
            </w:r>
          </w:p>
        </w:tc>
      </w:tr>
      <w:tr w:rsidR="004D3373" w:rsidRPr="004D3373" w14:paraId="61CF3BE8"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6566CCD2"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Dividends, distributions and</w:t>
            </w:r>
          </w:p>
        </w:tc>
        <w:tc>
          <w:tcPr>
            <w:tcW w:w="519" w:type="pct"/>
            <w:tcBorders>
              <w:top w:val="nil"/>
              <w:left w:val="nil"/>
              <w:bottom w:val="nil"/>
              <w:right w:val="nil"/>
            </w:tcBorders>
            <w:shd w:val="clear" w:color="000000" w:fill="FFFFFF"/>
            <w:noWrap/>
            <w:vAlign w:val="center"/>
            <w:hideMark/>
          </w:tcPr>
          <w:p w14:paraId="33CC80DC"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47785954"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6F07CA72"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18EE7CF0"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8" w:type="pct"/>
            <w:tcBorders>
              <w:top w:val="nil"/>
              <w:left w:val="nil"/>
              <w:bottom w:val="nil"/>
              <w:right w:val="nil"/>
            </w:tcBorders>
            <w:shd w:val="clear" w:color="000000" w:fill="FFFFFF"/>
            <w:noWrap/>
            <w:vAlign w:val="center"/>
            <w:hideMark/>
          </w:tcPr>
          <w:p w14:paraId="103BD10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r>
      <w:tr w:rsidR="004D3373" w:rsidRPr="004D3373" w14:paraId="1C8E0E2D"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663A13DD" w14:textId="77777777" w:rsidR="004D3373" w:rsidRPr="004D3373" w:rsidRDefault="004D3373" w:rsidP="004D3373">
            <w:pPr>
              <w:spacing w:after="0" w:line="240" w:lineRule="auto"/>
              <w:ind w:left="170"/>
              <w:jc w:val="left"/>
              <w:rPr>
                <w:rFonts w:ascii="Arial" w:hAnsi="Arial" w:cs="Arial"/>
                <w:color w:val="000000"/>
                <w:sz w:val="16"/>
                <w:szCs w:val="16"/>
              </w:rPr>
            </w:pPr>
            <w:r w:rsidRPr="004D3373">
              <w:rPr>
                <w:rFonts w:ascii="Arial" w:hAnsi="Arial" w:cs="Arial"/>
                <w:color w:val="000000"/>
                <w:sz w:val="16"/>
                <w:szCs w:val="16"/>
              </w:rPr>
              <w:t>income tax equivalents(c)</w:t>
            </w:r>
          </w:p>
        </w:tc>
        <w:tc>
          <w:tcPr>
            <w:tcW w:w="519" w:type="pct"/>
            <w:tcBorders>
              <w:top w:val="nil"/>
              <w:left w:val="nil"/>
              <w:bottom w:val="nil"/>
              <w:right w:val="nil"/>
            </w:tcBorders>
            <w:shd w:val="clear" w:color="000000" w:fill="FFFFFF"/>
            <w:noWrap/>
            <w:vAlign w:val="center"/>
            <w:hideMark/>
          </w:tcPr>
          <w:p w14:paraId="5D18E44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9,142</w:t>
            </w:r>
          </w:p>
        </w:tc>
        <w:tc>
          <w:tcPr>
            <w:tcW w:w="519" w:type="pct"/>
            <w:tcBorders>
              <w:top w:val="nil"/>
              <w:left w:val="nil"/>
              <w:bottom w:val="nil"/>
              <w:right w:val="nil"/>
            </w:tcBorders>
            <w:shd w:val="clear" w:color="000000" w:fill="F2F9FC"/>
            <w:noWrap/>
            <w:vAlign w:val="center"/>
            <w:hideMark/>
          </w:tcPr>
          <w:p w14:paraId="1EFAF760"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5,284</w:t>
            </w:r>
          </w:p>
        </w:tc>
        <w:tc>
          <w:tcPr>
            <w:tcW w:w="519" w:type="pct"/>
            <w:tcBorders>
              <w:top w:val="nil"/>
              <w:left w:val="nil"/>
              <w:bottom w:val="nil"/>
              <w:right w:val="nil"/>
            </w:tcBorders>
            <w:shd w:val="clear" w:color="000000" w:fill="FFFFFF"/>
            <w:noWrap/>
            <w:vAlign w:val="center"/>
            <w:hideMark/>
          </w:tcPr>
          <w:p w14:paraId="1CF0E775"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5,672</w:t>
            </w:r>
          </w:p>
        </w:tc>
        <w:tc>
          <w:tcPr>
            <w:tcW w:w="519" w:type="pct"/>
            <w:tcBorders>
              <w:top w:val="nil"/>
              <w:left w:val="nil"/>
              <w:bottom w:val="nil"/>
              <w:right w:val="nil"/>
            </w:tcBorders>
            <w:shd w:val="clear" w:color="000000" w:fill="FFFFFF"/>
            <w:noWrap/>
            <w:vAlign w:val="center"/>
            <w:hideMark/>
          </w:tcPr>
          <w:p w14:paraId="60EC353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6,048</w:t>
            </w:r>
          </w:p>
        </w:tc>
        <w:tc>
          <w:tcPr>
            <w:tcW w:w="518" w:type="pct"/>
            <w:tcBorders>
              <w:top w:val="nil"/>
              <w:left w:val="nil"/>
              <w:bottom w:val="nil"/>
              <w:right w:val="nil"/>
            </w:tcBorders>
            <w:shd w:val="clear" w:color="000000" w:fill="FFFFFF"/>
            <w:noWrap/>
            <w:vAlign w:val="center"/>
            <w:hideMark/>
          </w:tcPr>
          <w:p w14:paraId="60C26448"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6,418</w:t>
            </w:r>
          </w:p>
        </w:tc>
      </w:tr>
      <w:tr w:rsidR="004D3373" w:rsidRPr="004D3373" w14:paraId="10039175"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0C29D08"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Other receipts(b)(d)</w:t>
            </w:r>
          </w:p>
        </w:tc>
        <w:tc>
          <w:tcPr>
            <w:tcW w:w="519" w:type="pct"/>
            <w:tcBorders>
              <w:top w:val="nil"/>
              <w:left w:val="nil"/>
              <w:bottom w:val="nil"/>
              <w:right w:val="nil"/>
            </w:tcBorders>
            <w:shd w:val="clear" w:color="000000" w:fill="FFFFFF"/>
            <w:noWrap/>
            <w:vAlign w:val="center"/>
            <w:hideMark/>
          </w:tcPr>
          <w:p w14:paraId="150EF6B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14,509</w:t>
            </w:r>
          </w:p>
        </w:tc>
        <w:tc>
          <w:tcPr>
            <w:tcW w:w="519" w:type="pct"/>
            <w:tcBorders>
              <w:top w:val="nil"/>
              <w:left w:val="nil"/>
              <w:bottom w:val="nil"/>
              <w:right w:val="nil"/>
            </w:tcBorders>
            <w:shd w:val="clear" w:color="000000" w:fill="F2F9FC"/>
            <w:noWrap/>
            <w:vAlign w:val="center"/>
            <w:hideMark/>
          </w:tcPr>
          <w:p w14:paraId="7A1C0799"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13,411</w:t>
            </w:r>
          </w:p>
        </w:tc>
        <w:tc>
          <w:tcPr>
            <w:tcW w:w="519" w:type="pct"/>
            <w:tcBorders>
              <w:top w:val="nil"/>
              <w:left w:val="nil"/>
              <w:bottom w:val="nil"/>
              <w:right w:val="nil"/>
            </w:tcBorders>
            <w:shd w:val="clear" w:color="000000" w:fill="FFFFFF"/>
            <w:noWrap/>
            <w:vAlign w:val="center"/>
            <w:hideMark/>
          </w:tcPr>
          <w:p w14:paraId="205C641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12,564</w:t>
            </w:r>
          </w:p>
        </w:tc>
        <w:tc>
          <w:tcPr>
            <w:tcW w:w="519" w:type="pct"/>
            <w:tcBorders>
              <w:top w:val="nil"/>
              <w:left w:val="nil"/>
              <w:bottom w:val="nil"/>
              <w:right w:val="nil"/>
            </w:tcBorders>
            <w:shd w:val="clear" w:color="000000" w:fill="FFFFFF"/>
            <w:noWrap/>
            <w:vAlign w:val="center"/>
            <w:hideMark/>
          </w:tcPr>
          <w:p w14:paraId="13792C7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18,228</w:t>
            </w:r>
          </w:p>
        </w:tc>
        <w:tc>
          <w:tcPr>
            <w:tcW w:w="518" w:type="pct"/>
            <w:tcBorders>
              <w:top w:val="nil"/>
              <w:left w:val="nil"/>
              <w:bottom w:val="nil"/>
              <w:right w:val="nil"/>
            </w:tcBorders>
            <w:shd w:val="clear" w:color="000000" w:fill="FFFFFF"/>
            <w:noWrap/>
            <w:vAlign w:val="center"/>
            <w:hideMark/>
          </w:tcPr>
          <w:p w14:paraId="2AAB7DBD"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14,104</w:t>
            </w:r>
          </w:p>
        </w:tc>
      </w:tr>
      <w:tr w:rsidR="004D3373" w:rsidRPr="004D3373" w14:paraId="133D2236"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3EFE827"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Total operating receipts</w:t>
            </w:r>
          </w:p>
        </w:tc>
        <w:tc>
          <w:tcPr>
            <w:tcW w:w="519" w:type="pct"/>
            <w:tcBorders>
              <w:top w:val="nil"/>
              <w:left w:val="nil"/>
              <w:bottom w:val="nil"/>
              <w:right w:val="nil"/>
            </w:tcBorders>
            <w:shd w:val="clear" w:color="000000" w:fill="FFFFFF"/>
            <w:noWrap/>
            <w:vAlign w:val="center"/>
            <w:hideMark/>
          </w:tcPr>
          <w:p w14:paraId="55AA1847"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556,329</w:t>
            </w:r>
          </w:p>
        </w:tc>
        <w:tc>
          <w:tcPr>
            <w:tcW w:w="519" w:type="pct"/>
            <w:tcBorders>
              <w:top w:val="nil"/>
              <w:left w:val="nil"/>
              <w:bottom w:val="nil"/>
              <w:right w:val="nil"/>
            </w:tcBorders>
            <w:shd w:val="clear" w:color="000000" w:fill="F2F9FC"/>
            <w:noWrap/>
            <w:vAlign w:val="center"/>
            <w:hideMark/>
          </w:tcPr>
          <w:p w14:paraId="79723C39"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548,285</w:t>
            </w:r>
          </w:p>
        </w:tc>
        <w:tc>
          <w:tcPr>
            <w:tcW w:w="519" w:type="pct"/>
            <w:tcBorders>
              <w:top w:val="nil"/>
              <w:left w:val="nil"/>
              <w:bottom w:val="nil"/>
              <w:right w:val="nil"/>
            </w:tcBorders>
            <w:shd w:val="clear" w:color="000000" w:fill="FFFFFF"/>
            <w:noWrap/>
            <w:vAlign w:val="center"/>
            <w:hideMark/>
          </w:tcPr>
          <w:p w14:paraId="2E7D4E25"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582,885</w:t>
            </w:r>
          </w:p>
        </w:tc>
        <w:tc>
          <w:tcPr>
            <w:tcW w:w="519" w:type="pct"/>
            <w:tcBorders>
              <w:top w:val="nil"/>
              <w:left w:val="nil"/>
              <w:bottom w:val="nil"/>
              <w:right w:val="nil"/>
            </w:tcBorders>
            <w:shd w:val="clear" w:color="000000" w:fill="FFFFFF"/>
            <w:noWrap/>
            <w:vAlign w:val="center"/>
            <w:hideMark/>
          </w:tcPr>
          <w:p w14:paraId="182BA99A"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614,929</w:t>
            </w:r>
          </w:p>
        </w:tc>
        <w:tc>
          <w:tcPr>
            <w:tcW w:w="518" w:type="pct"/>
            <w:tcBorders>
              <w:top w:val="nil"/>
              <w:left w:val="nil"/>
              <w:bottom w:val="nil"/>
              <w:right w:val="nil"/>
            </w:tcBorders>
            <w:shd w:val="clear" w:color="000000" w:fill="FFFFFF"/>
            <w:noWrap/>
            <w:vAlign w:val="center"/>
            <w:hideMark/>
          </w:tcPr>
          <w:p w14:paraId="5E162959"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643,628</w:t>
            </w:r>
          </w:p>
        </w:tc>
      </w:tr>
      <w:tr w:rsidR="004D3373" w:rsidRPr="004D3373" w14:paraId="6E2306A2"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2B563428"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251BA166"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300B88B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4589ADD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4DDE5876"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65F4746A"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30387A52"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50C265EB"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Cash payments for operating activities</w:t>
            </w:r>
          </w:p>
        </w:tc>
        <w:tc>
          <w:tcPr>
            <w:tcW w:w="519" w:type="pct"/>
            <w:tcBorders>
              <w:top w:val="nil"/>
              <w:left w:val="nil"/>
              <w:bottom w:val="nil"/>
              <w:right w:val="nil"/>
            </w:tcBorders>
            <w:shd w:val="clear" w:color="000000" w:fill="FFFFFF"/>
            <w:noWrap/>
            <w:vAlign w:val="bottom"/>
            <w:hideMark/>
          </w:tcPr>
          <w:p w14:paraId="4CCCC5F5"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66D31CD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4C0595C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0D50E0CC"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72CCA73B"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141B6591"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01B9673F"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Payments to employees(d)(e)</w:t>
            </w:r>
          </w:p>
        </w:tc>
        <w:tc>
          <w:tcPr>
            <w:tcW w:w="519" w:type="pct"/>
            <w:tcBorders>
              <w:top w:val="nil"/>
              <w:left w:val="nil"/>
              <w:bottom w:val="nil"/>
              <w:right w:val="nil"/>
            </w:tcBorders>
            <w:shd w:val="clear" w:color="000000" w:fill="FFFFFF"/>
            <w:noWrap/>
            <w:vAlign w:val="center"/>
            <w:hideMark/>
          </w:tcPr>
          <w:p w14:paraId="40BA8BFE" w14:textId="7AB19B72"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37,207</w:t>
            </w:r>
          </w:p>
        </w:tc>
        <w:tc>
          <w:tcPr>
            <w:tcW w:w="519" w:type="pct"/>
            <w:tcBorders>
              <w:top w:val="nil"/>
              <w:left w:val="nil"/>
              <w:bottom w:val="nil"/>
              <w:right w:val="nil"/>
            </w:tcBorders>
            <w:shd w:val="clear" w:color="000000" w:fill="F2F9FC"/>
            <w:noWrap/>
            <w:vAlign w:val="center"/>
            <w:hideMark/>
          </w:tcPr>
          <w:p w14:paraId="4F995A47" w14:textId="04572711"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37,133</w:t>
            </w:r>
          </w:p>
        </w:tc>
        <w:tc>
          <w:tcPr>
            <w:tcW w:w="519" w:type="pct"/>
            <w:tcBorders>
              <w:top w:val="nil"/>
              <w:left w:val="nil"/>
              <w:bottom w:val="nil"/>
              <w:right w:val="nil"/>
            </w:tcBorders>
            <w:shd w:val="clear" w:color="000000" w:fill="FFFFFF"/>
            <w:noWrap/>
            <w:vAlign w:val="center"/>
            <w:hideMark/>
          </w:tcPr>
          <w:p w14:paraId="49293FD1" w14:textId="0A9BCD5B"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37,526</w:t>
            </w:r>
          </w:p>
        </w:tc>
        <w:tc>
          <w:tcPr>
            <w:tcW w:w="519" w:type="pct"/>
            <w:tcBorders>
              <w:top w:val="nil"/>
              <w:left w:val="nil"/>
              <w:bottom w:val="nil"/>
              <w:right w:val="nil"/>
            </w:tcBorders>
            <w:shd w:val="clear" w:color="000000" w:fill="FFFFFF"/>
            <w:noWrap/>
            <w:vAlign w:val="center"/>
            <w:hideMark/>
          </w:tcPr>
          <w:p w14:paraId="4E820F97" w14:textId="28DEBB0F"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38,803</w:t>
            </w:r>
          </w:p>
        </w:tc>
        <w:tc>
          <w:tcPr>
            <w:tcW w:w="518" w:type="pct"/>
            <w:tcBorders>
              <w:top w:val="nil"/>
              <w:left w:val="nil"/>
              <w:bottom w:val="nil"/>
              <w:right w:val="nil"/>
            </w:tcBorders>
            <w:shd w:val="clear" w:color="000000" w:fill="FFFFFF"/>
            <w:noWrap/>
            <w:vAlign w:val="center"/>
            <w:hideMark/>
          </w:tcPr>
          <w:p w14:paraId="6E9CE573" w14:textId="3434EA5D"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40,199</w:t>
            </w:r>
          </w:p>
        </w:tc>
      </w:tr>
      <w:tr w:rsidR="004D3373" w:rsidRPr="004D3373" w14:paraId="1F161C71"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A1417A8"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Payments for goods and services</w:t>
            </w:r>
          </w:p>
        </w:tc>
        <w:tc>
          <w:tcPr>
            <w:tcW w:w="519" w:type="pct"/>
            <w:tcBorders>
              <w:top w:val="nil"/>
              <w:left w:val="nil"/>
              <w:bottom w:val="nil"/>
              <w:right w:val="nil"/>
            </w:tcBorders>
            <w:shd w:val="clear" w:color="000000" w:fill="FFFFFF"/>
            <w:noWrap/>
            <w:vAlign w:val="center"/>
            <w:hideMark/>
          </w:tcPr>
          <w:p w14:paraId="6FDC79C5" w14:textId="120C2A69"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164,512</w:t>
            </w:r>
          </w:p>
        </w:tc>
        <w:tc>
          <w:tcPr>
            <w:tcW w:w="519" w:type="pct"/>
            <w:tcBorders>
              <w:top w:val="nil"/>
              <w:left w:val="nil"/>
              <w:bottom w:val="nil"/>
              <w:right w:val="nil"/>
            </w:tcBorders>
            <w:shd w:val="clear" w:color="000000" w:fill="F2F9FC"/>
            <w:noWrap/>
            <w:vAlign w:val="center"/>
            <w:hideMark/>
          </w:tcPr>
          <w:p w14:paraId="78387093" w14:textId="2D590635"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173,073</w:t>
            </w:r>
          </w:p>
        </w:tc>
        <w:tc>
          <w:tcPr>
            <w:tcW w:w="519" w:type="pct"/>
            <w:tcBorders>
              <w:top w:val="nil"/>
              <w:left w:val="nil"/>
              <w:bottom w:val="nil"/>
              <w:right w:val="nil"/>
            </w:tcBorders>
            <w:shd w:val="clear" w:color="000000" w:fill="FFFFFF"/>
            <w:noWrap/>
            <w:vAlign w:val="center"/>
            <w:hideMark/>
          </w:tcPr>
          <w:p w14:paraId="2843BAE7" w14:textId="51C4110D"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173,207</w:t>
            </w:r>
          </w:p>
        </w:tc>
        <w:tc>
          <w:tcPr>
            <w:tcW w:w="519" w:type="pct"/>
            <w:tcBorders>
              <w:top w:val="nil"/>
              <w:left w:val="nil"/>
              <w:bottom w:val="nil"/>
              <w:right w:val="nil"/>
            </w:tcBorders>
            <w:shd w:val="clear" w:color="000000" w:fill="FFFFFF"/>
            <w:noWrap/>
            <w:vAlign w:val="center"/>
            <w:hideMark/>
          </w:tcPr>
          <w:p w14:paraId="4966015D" w14:textId="45A78B35"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180,349</w:t>
            </w:r>
          </w:p>
        </w:tc>
        <w:tc>
          <w:tcPr>
            <w:tcW w:w="518" w:type="pct"/>
            <w:tcBorders>
              <w:top w:val="nil"/>
              <w:left w:val="nil"/>
              <w:bottom w:val="nil"/>
              <w:right w:val="nil"/>
            </w:tcBorders>
            <w:shd w:val="clear" w:color="000000" w:fill="FFFFFF"/>
            <w:noWrap/>
            <w:vAlign w:val="center"/>
            <w:hideMark/>
          </w:tcPr>
          <w:p w14:paraId="694F37A1" w14:textId="1E3ED427"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188,945</w:t>
            </w:r>
          </w:p>
        </w:tc>
      </w:tr>
      <w:tr w:rsidR="004D3373" w:rsidRPr="004D3373" w14:paraId="4E47DD9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E4DE5AE"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Grants and subsidies paid</w:t>
            </w:r>
          </w:p>
        </w:tc>
        <w:tc>
          <w:tcPr>
            <w:tcW w:w="519" w:type="pct"/>
            <w:tcBorders>
              <w:top w:val="nil"/>
              <w:left w:val="nil"/>
              <w:bottom w:val="nil"/>
              <w:right w:val="nil"/>
            </w:tcBorders>
            <w:shd w:val="clear" w:color="000000" w:fill="FFFFFF"/>
            <w:noWrap/>
            <w:vAlign w:val="center"/>
            <w:hideMark/>
          </w:tcPr>
          <w:p w14:paraId="7D711AC0" w14:textId="01DAA1E8"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230,044</w:t>
            </w:r>
          </w:p>
        </w:tc>
        <w:tc>
          <w:tcPr>
            <w:tcW w:w="519" w:type="pct"/>
            <w:tcBorders>
              <w:top w:val="nil"/>
              <w:left w:val="nil"/>
              <w:bottom w:val="nil"/>
              <w:right w:val="nil"/>
            </w:tcBorders>
            <w:shd w:val="clear" w:color="000000" w:fill="F2F9FC"/>
            <w:noWrap/>
            <w:vAlign w:val="center"/>
            <w:hideMark/>
          </w:tcPr>
          <w:p w14:paraId="771C3015" w14:textId="04667ED8"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226,346</w:t>
            </w:r>
          </w:p>
        </w:tc>
        <w:tc>
          <w:tcPr>
            <w:tcW w:w="519" w:type="pct"/>
            <w:tcBorders>
              <w:top w:val="nil"/>
              <w:left w:val="nil"/>
              <w:bottom w:val="nil"/>
              <w:right w:val="nil"/>
            </w:tcBorders>
            <w:shd w:val="clear" w:color="000000" w:fill="FFFFFF"/>
            <w:noWrap/>
            <w:vAlign w:val="center"/>
            <w:hideMark/>
          </w:tcPr>
          <w:p w14:paraId="0F6D8B0B" w14:textId="4BBD9A49"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230,210</w:t>
            </w:r>
          </w:p>
        </w:tc>
        <w:tc>
          <w:tcPr>
            <w:tcW w:w="519" w:type="pct"/>
            <w:tcBorders>
              <w:top w:val="nil"/>
              <w:left w:val="nil"/>
              <w:bottom w:val="nil"/>
              <w:right w:val="nil"/>
            </w:tcBorders>
            <w:shd w:val="clear" w:color="000000" w:fill="FFFFFF"/>
            <w:noWrap/>
            <w:vAlign w:val="center"/>
            <w:hideMark/>
          </w:tcPr>
          <w:p w14:paraId="787BF0BF" w14:textId="538FE3FD"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232,246</w:t>
            </w:r>
          </w:p>
        </w:tc>
        <w:tc>
          <w:tcPr>
            <w:tcW w:w="518" w:type="pct"/>
            <w:tcBorders>
              <w:top w:val="nil"/>
              <w:left w:val="nil"/>
              <w:bottom w:val="nil"/>
              <w:right w:val="nil"/>
            </w:tcBorders>
            <w:shd w:val="clear" w:color="000000" w:fill="FFFFFF"/>
            <w:noWrap/>
            <w:vAlign w:val="center"/>
            <w:hideMark/>
          </w:tcPr>
          <w:p w14:paraId="45CFC1BA" w14:textId="3B784E44"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229,812</w:t>
            </w:r>
          </w:p>
        </w:tc>
      </w:tr>
      <w:tr w:rsidR="004D3373" w:rsidRPr="004D3373" w14:paraId="1C6003A4"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360D3F67"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Interest paid</w:t>
            </w:r>
          </w:p>
        </w:tc>
        <w:tc>
          <w:tcPr>
            <w:tcW w:w="519" w:type="pct"/>
            <w:tcBorders>
              <w:top w:val="nil"/>
              <w:left w:val="nil"/>
              <w:bottom w:val="nil"/>
              <w:right w:val="nil"/>
            </w:tcBorders>
            <w:shd w:val="clear" w:color="000000" w:fill="FFFFFF"/>
            <w:noWrap/>
            <w:vAlign w:val="center"/>
            <w:hideMark/>
          </w:tcPr>
          <w:p w14:paraId="35461FD2" w14:textId="0FC02BEF"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17,457</w:t>
            </w:r>
          </w:p>
        </w:tc>
        <w:tc>
          <w:tcPr>
            <w:tcW w:w="519" w:type="pct"/>
            <w:tcBorders>
              <w:top w:val="nil"/>
              <w:left w:val="nil"/>
              <w:bottom w:val="nil"/>
              <w:right w:val="nil"/>
            </w:tcBorders>
            <w:shd w:val="clear" w:color="000000" w:fill="F2F9FC"/>
            <w:noWrap/>
            <w:vAlign w:val="center"/>
            <w:hideMark/>
          </w:tcPr>
          <w:p w14:paraId="5E3F871D" w14:textId="03FC3B1C"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17,894</w:t>
            </w:r>
          </w:p>
        </w:tc>
        <w:tc>
          <w:tcPr>
            <w:tcW w:w="519" w:type="pct"/>
            <w:tcBorders>
              <w:top w:val="nil"/>
              <w:left w:val="nil"/>
              <w:bottom w:val="nil"/>
              <w:right w:val="nil"/>
            </w:tcBorders>
            <w:shd w:val="clear" w:color="000000" w:fill="FFFFFF"/>
            <w:noWrap/>
            <w:vAlign w:val="center"/>
            <w:hideMark/>
          </w:tcPr>
          <w:p w14:paraId="462F5CD8" w14:textId="52641902"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20,288</w:t>
            </w:r>
          </w:p>
        </w:tc>
        <w:tc>
          <w:tcPr>
            <w:tcW w:w="519" w:type="pct"/>
            <w:tcBorders>
              <w:top w:val="nil"/>
              <w:left w:val="nil"/>
              <w:bottom w:val="nil"/>
              <w:right w:val="nil"/>
            </w:tcBorders>
            <w:shd w:val="clear" w:color="000000" w:fill="FFFFFF"/>
            <w:noWrap/>
            <w:vAlign w:val="center"/>
            <w:hideMark/>
          </w:tcPr>
          <w:p w14:paraId="2209A73B" w14:textId="20328001"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21,631</w:t>
            </w:r>
          </w:p>
        </w:tc>
        <w:tc>
          <w:tcPr>
            <w:tcW w:w="518" w:type="pct"/>
            <w:tcBorders>
              <w:top w:val="nil"/>
              <w:left w:val="nil"/>
              <w:bottom w:val="nil"/>
              <w:right w:val="nil"/>
            </w:tcBorders>
            <w:shd w:val="clear" w:color="000000" w:fill="FFFFFF"/>
            <w:noWrap/>
            <w:vAlign w:val="center"/>
            <w:hideMark/>
          </w:tcPr>
          <w:p w14:paraId="67615753" w14:textId="6C1F6621"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26,344</w:t>
            </w:r>
          </w:p>
        </w:tc>
      </w:tr>
      <w:tr w:rsidR="004D3373" w:rsidRPr="004D3373" w14:paraId="5E839DC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A78610D"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Personal benefit payments</w:t>
            </w:r>
          </w:p>
        </w:tc>
        <w:tc>
          <w:tcPr>
            <w:tcW w:w="519" w:type="pct"/>
            <w:tcBorders>
              <w:top w:val="nil"/>
              <w:left w:val="nil"/>
              <w:bottom w:val="nil"/>
              <w:right w:val="nil"/>
            </w:tcBorders>
            <w:shd w:val="clear" w:color="000000" w:fill="FFFFFF"/>
            <w:noWrap/>
            <w:vAlign w:val="center"/>
            <w:hideMark/>
          </w:tcPr>
          <w:p w14:paraId="67300B95" w14:textId="471E2DB0"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157,280</w:t>
            </w:r>
          </w:p>
        </w:tc>
        <w:tc>
          <w:tcPr>
            <w:tcW w:w="519" w:type="pct"/>
            <w:tcBorders>
              <w:top w:val="nil"/>
              <w:left w:val="nil"/>
              <w:bottom w:val="nil"/>
              <w:right w:val="nil"/>
            </w:tcBorders>
            <w:shd w:val="clear" w:color="000000" w:fill="F2F9FC"/>
            <w:noWrap/>
            <w:vAlign w:val="center"/>
            <w:hideMark/>
          </w:tcPr>
          <w:p w14:paraId="3939477E" w14:textId="7988E7F5"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142,255</w:t>
            </w:r>
          </w:p>
        </w:tc>
        <w:tc>
          <w:tcPr>
            <w:tcW w:w="519" w:type="pct"/>
            <w:tcBorders>
              <w:top w:val="nil"/>
              <w:left w:val="nil"/>
              <w:bottom w:val="nil"/>
              <w:right w:val="nil"/>
            </w:tcBorders>
            <w:shd w:val="clear" w:color="000000" w:fill="FFFFFF"/>
            <w:noWrap/>
            <w:vAlign w:val="center"/>
            <w:hideMark/>
          </w:tcPr>
          <w:p w14:paraId="657889FB" w14:textId="32EF78AD"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149,594</w:t>
            </w:r>
          </w:p>
        </w:tc>
        <w:tc>
          <w:tcPr>
            <w:tcW w:w="519" w:type="pct"/>
            <w:tcBorders>
              <w:top w:val="nil"/>
              <w:left w:val="nil"/>
              <w:bottom w:val="nil"/>
              <w:right w:val="nil"/>
            </w:tcBorders>
            <w:shd w:val="clear" w:color="000000" w:fill="FFFFFF"/>
            <w:noWrap/>
            <w:vAlign w:val="center"/>
            <w:hideMark/>
          </w:tcPr>
          <w:p w14:paraId="5C5260E3" w14:textId="0C272D23"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157,900</w:t>
            </w:r>
          </w:p>
        </w:tc>
        <w:tc>
          <w:tcPr>
            <w:tcW w:w="518" w:type="pct"/>
            <w:tcBorders>
              <w:top w:val="nil"/>
              <w:left w:val="nil"/>
              <w:bottom w:val="nil"/>
              <w:right w:val="nil"/>
            </w:tcBorders>
            <w:shd w:val="clear" w:color="000000" w:fill="FFFFFF"/>
            <w:noWrap/>
            <w:vAlign w:val="center"/>
            <w:hideMark/>
          </w:tcPr>
          <w:p w14:paraId="5F5BC439" w14:textId="2626F577"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170,197</w:t>
            </w:r>
          </w:p>
        </w:tc>
      </w:tr>
      <w:tr w:rsidR="004D3373" w:rsidRPr="004D3373" w14:paraId="75B904E0"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A493B7A"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Other payments(e)</w:t>
            </w:r>
          </w:p>
        </w:tc>
        <w:tc>
          <w:tcPr>
            <w:tcW w:w="519" w:type="pct"/>
            <w:tcBorders>
              <w:top w:val="nil"/>
              <w:left w:val="nil"/>
              <w:bottom w:val="nil"/>
              <w:right w:val="nil"/>
            </w:tcBorders>
            <w:shd w:val="clear" w:color="000000" w:fill="FFFFFF"/>
            <w:noWrap/>
            <w:vAlign w:val="center"/>
            <w:hideMark/>
          </w:tcPr>
          <w:p w14:paraId="667BA324" w14:textId="0109095E"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7,496</w:t>
            </w:r>
          </w:p>
        </w:tc>
        <w:tc>
          <w:tcPr>
            <w:tcW w:w="519" w:type="pct"/>
            <w:tcBorders>
              <w:top w:val="nil"/>
              <w:left w:val="nil"/>
              <w:bottom w:val="nil"/>
              <w:right w:val="nil"/>
            </w:tcBorders>
            <w:shd w:val="clear" w:color="000000" w:fill="F2F9FC"/>
            <w:noWrap/>
            <w:vAlign w:val="center"/>
            <w:hideMark/>
          </w:tcPr>
          <w:p w14:paraId="302E849B" w14:textId="213EF89E"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8,556</w:t>
            </w:r>
          </w:p>
        </w:tc>
        <w:tc>
          <w:tcPr>
            <w:tcW w:w="519" w:type="pct"/>
            <w:tcBorders>
              <w:top w:val="nil"/>
              <w:left w:val="nil"/>
              <w:bottom w:val="nil"/>
              <w:right w:val="nil"/>
            </w:tcBorders>
            <w:shd w:val="clear" w:color="000000" w:fill="FFFFFF"/>
            <w:noWrap/>
            <w:vAlign w:val="center"/>
            <w:hideMark/>
          </w:tcPr>
          <w:p w14:paraId="03A1F0B3" w14:textId="00F98F57"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7,297</w:t>
            </w:r>
          </w:p>
        </w:tc>
        <w:tc>
          <w:tcPr>
            <w:tcW w:w="519" w:type="pct"/>
            <w:tcBorders>
              <w:top w:val="nil"/>
              <w:left w:val="nil"/>
              <w:bottom w:val="nil"/>
              <w:right w:val="nil"/>
            </w:tcBorders>
            <w:shd w:val="clear" w:color="000000" w:fill="FFFFFF"/>
            <w:noWrap/>
            <w:vAlign w:val="center"/>
            <w:hideMark/>
          </w:tcPr>
          <w:p w14:paraId="769BB3F4" w14:textId="77247C82"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7,489</w:t>
            </w:r>
          </w:p>
        </w:tc>
        <w:tc>
          <w:tcPr>
            <w:tcW w:w="518" w:type="pct"/>
            <w:tcBorders>
              <w:top w:val="nil"/>
              <w:left w:val="nil"/>
              <w:bottom w:val="nil"/>
              <w:right w:val="nil"/>
            </w:tcBorders>
            <w:shd w:val="clear" w:color="000000" w:fill="FFFFFF"/>
            <w:noWrap/>
            <w:vAlign w:val="center"/>
            <w:hideMark/>
          </w:tcPr>
          <w:p w14:paraId="4E5388EF" w14:textId="46D1D7F1"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7,608</w:t>
            </w:r>
          </w:p>
        </w:tc>
      </w:tr>
      <w:tr w:rsidR="004D3373" w:rsidRPr="004D3373" w14:paraId="4B696750"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55FCED3A"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Total operating payments</w:t>
            </w:r>
          </w:p>
        </w:tc>
        <w:tc>
          <w:tcPr>
            <w:tcW w:w="519" w:type="pct"/>
            <w:tcBorders>
              <w:top w:val="nil"/>
              <w:left w:val="nil"/>
              <w:bottom w:val="nil"/>
              <w:right w:val="nil"/>
            </w:tcBorders>
            <w:shd w:val="clear" w:color="000000" w:fill="FFFFFF"/>
            <w:noWrap/>
            <w:vAlign w:val="center"/>
            <w:hideMark/>
          </w:tcPr>
          <w:p w14:paraId="63259A9E" w14:textId="2D51D76D"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613,996</w:t>
            </w:r>
          </w:p>
        </w:tc>
        <w:tc>
          <w:tcPr>
            <w:tcW w:w="519" w:type="pct"/>
            <w:tcBorders>
              <w:top w:val="nil"/>
              <w:left w:val="nil"/>
              <w:bottom w:val="nil"/>
              <w:right w:val="nil"/>
            </w:tcBorders>
            <w:shd w:val="clear" w:color="000000" w:fill="F2F9FC"/>
            <w:noWrap/>
            <w:vAlign w:val="center"/>
            <w:hideMark/>
          </w:tcPr>
          <w:p w14:paraId="34A9835B" w14:textId="3438762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605,257</w:t>
            </w:r>
          </w:p>
        </w:tc>
        <w:tc>
          <w:tcPr>
            <w:tcW w:w="519" w:type="pct"/>
            <w:tcBorders>
              <w:top w:val="nil"/>
              <w:left w:val="nil"/>
              <w:bottom w:val="nil"/>
              <w:right w:val="nil"/>
            </w:tcBorders>
            <w:shd w:val="clear" w:color="000000" w:fill="FFFFFF"/>
            <w:noWrap/>
            <w:vAlign w:val="center"/>
            <w:hideMark/>
          </w:tcPr>
          <w:p w14:paraId="6620F95F" w14:textId="6FBF3985"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618,122</w:t>
            </w:r>
          </w:p>
        </w:tc>
        <w:tc>
          <w:tcPr>
            <w:tcW w:w="519" w:type="pct"/>
            <w:tcBorders>
              <w:top w:val="nil"/>
              <w:left w:val="nil"/>
              <w:bottom w:val="nil"/>
              <w:right w:val="nil"/>
            </w:tcBorders>
            <w:shd w:val="clear" w:color="000000" w:fill="FFFFFF"/>
            <w:noWrap/>
            <w:vAlign w:val="center"/>
            <w:hideMark/>
          </w:tcPr>
          <w:p w14:paraId="1A0B9E03" w14:textId="4631AA4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638,419</w:t>
            </w:r>
          </w:p>
        </w:tc>
        <w:tc>
          <w:tcPr>
            <w:tcW w:w="518" w:type="pct"/>
            <w:tcBorders>
              <w:top w:val="nil"/>
              <w:left w:val="nil"/>
              <w:bottom w:val="nil"/>
              <w:right w:val="nil"/>
            </w:tcBorders>
            <w:shd w:val="clear" w:color="000000" w:fill="FFFFFF"/>
            <w:noWrap/>
            <w:vAlign w:val="center"/>
            <w:hideMark/>
          </w:tcPr>
          <w:p w14:paraId="4AB98D2A" w14:textId="0B0FAECC"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663,105</w:t>
            </w:r>
          </w:p>
        </w:tc>
      </w:tr>
      <w:tr w:rsidR="004D3373" w:rsidRPr="004D3373" w14:paraId="083665A7"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25AD46D9" w14:textId="77777777" w:rsidR="004D3373" w:rsidRPr="004D3373" w:rsidRDefault="004D3373" w:rsidP="004D3373">
            <w:pPr>
              <w:spacing w:after="0" w:line="240" w:lineRule="auto"/>
              <w:ind w:left="170"/>
              <w:jc w:val="left"/>
              <w:rPr>
                <w:rFonts w:ascii="Arial" w:hAnsi="Arial" w:cs="Arial"/>
                <w:i/>
                <w:iCs/>
                <w:color w:val="000000"/>
                <w:sz w:val="16"/>
                <w:szCs w:val="16"/>
              </w:rPr>
            </w:pPr>
            <w:r w:rsidRPr="004D3373">
              <w:rPr>
                <w:rFonts w:ascii="Arial" w:hAnsi="Arial" w:cs="Arial"/>
                <w:i/>
                <w:iCs/>
                <w:color w:val="000000"/>
                <w:sz w:val="16"/>
                <w:szCs w:val="16"/>
              </w:rPr>
              <w:t> </w:t>
            </w:r>
          </w:p>
        </w:tc>
        <w:tc>
          <w:tcPr>
            <w:tcW w:w="519" w:type="pct"/>
            <w:tcBorders>
              <w:top w:val="nil"/>
              <w:left w:val="nil"/>
              <w:bottom w:val="nil"/>
              <w:right w:val="nil"/>
            </w:tcBorders>
            <w:shd w:val="clear" w:color="000000" w:fill="FFFFFF"/>
            <w:noWrap/>
            <w:vAlign w:val="bottom"/>
            <w:hideMark/>
          </w:tcPr>
          <w:p w14:paraId="0383C40F"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71052307"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6D1DAA7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262293CB"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178C9B81"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431808A3"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9E67D94"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cash flows from operating activities</w:t>
            </w:r>
          </w:p>
        </w:tc>
        <w:tc>
          <w:tcPr>
            <w:tcW w:w="519" w:type="pct"/>
            <w:tcBorders>
              <w:top w:val="nil"/>
              <w:left w:val="nil"/>
              <w:bottom w:val="nil"/>
              <w:right w:val="nil"/>
            </w:tcBorders>
            <w:shd w:val="clear" w:color="000000" w:fill="FFFFFF"/>
            <w:noWrap/>
            <w:vAlign w:val="center"/>
            <w:hideMark/>
          </w:tcPr>
          <w:p w14:paraId="0A6C5C4D" w14:textId="7AD93B6B"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57,667</w:t>
            </w:r>
          </w:p>
        </w:tc>
        <w:tc>
          <w:tcPr>
            <w:tcW w:w="519" w:type="pct"/>
            <w:tcBorders>
              <w:top w:val="nil"/>
              <w:left w:val="nil"/>
              <w:bottom w:val="nil"/>
              <w:right w:val="nil"/>
            </w:tcBorders>
            <w:shd w:val="clear" w:color="000000" w:fill="F2F9FC"/>
            <w:noWrap/>
            <w:vAlign w:val="center"/>
            <w:hideMark/>
          </w:tcPr>
          <w:p w14:paraId="7A1DBF06" w14:textId="1F3B3534"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56,972</w:t>
            </w:r>
          </w:p>
        </w:tc>
        <w:tc>
          <w:tcPr>
            <w:tcW w:w="519" w:type="pct"/>
            <w:tcBorders>
              <w:top w:val="nil"/>
              <w:left w:val="nil"/>
              <w:bottom w:val="nil"/>
              <w:right w:val="nil"/>
            </w:tcBorders>
            <w:shd w:val="clear" w:color="000000" w:fill="FFFFFF"/>
            <w:noWrap/>
            <w:vAlign w:val="center"/>
            <w:hideMark/>
          </w:tcPr>
          <w:p w14:paraId="62364D34" w14:textId="42DE4AD2"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35,237</w:t>
            </w:r>
          </w:p>
        </w:tc>
        <w:tc>
          <w:tcPr>
            <w:tcW w:w="519" w:type="pct"/>
            <w:tcBorders>
              <w:top w:val="nil"/>
              <w:left w:val="nil"/>
              <w:bottom w:val="nil"/>
              <w:right w:val="nil"/>
            </w:tcBorders>
            <w:shd w:val="clear" w:color="000000" w:fill="FFFFFF"/>
            <w:noWrap/>
            <w:vAlign w:val="center"/>
            <w:hideMark/>
          </w:tcPr>
          <w:p w14:paraId="583C9FD4" w14:textId="6170686F"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23,489</w:t>
            </w:r>
          </w:p>
        </w:tc>
        <w:tc>
          <w:tcPr>
            <w:tcW w:w="518" w:type="pct"/>
            <w:tcBorders>
              <w:top w:val="nil"/>
              <w:left w:val="nil"/>
              <w:bottom w:val="nil"/>
              <w:right w:val="nil"/>
            </w:tcBorders>
            <w:shd w:val="clear" w:color="000000" w:fill="FFFFFF"/>
            <w:noWrap/>
            <w:vAlign w:val="center"/>
            <w:hideMark/>
          </w:tcPr>
          <w:p w14:paraId="28CC5CFC" w14:textId="6EDE270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19,477</w:t>
            </w:r>
          </w:p>
        </w:tc>
      </w:tr>
      <w:tr w:rsidR="004D3373" w:rsidRPr="004D3373" w14:paraId="63B1BE4B"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0C102DEF"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63BEDFB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2C98A08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765263D4"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51CCBC98"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366BE15F"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1DFCF2B2"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34DE39B5"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Cash flows from investments in</w:t>
            </w:r>
          </w:p>
        </w:tc>
        <w:tc>
          <w:tcPr>
            <w:tcW w:w="519" w:type="pct"/>
            <w:tcBorders>
              <w:top w:val="nil"/>
              <w:left w:val="nil"/>
              <w:bottom w:val="nil"/>
              <w:right w:val="nil"/>
            </w:tcBorders>
            <w:shd w:val="clear" w:color="000000" w:fill="FFFFFF"/>
            <w:noWrap/>
            <w:vAlign w:val="bottom"/>
            <w:hideMark/>
          </w:tcPr>
          <w:p w14:paraId="4C58B54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022EA36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523EAA7C"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491F469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4FE4F7A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0CC63152" w14:textId="77777777" w:rsidTr="0034104B">
        <w:trPr>
          <w:trHeight w:hRule="exact" w:val="225"/>
        </w:trPr>
        <w:tc>
          <w:tcPr>
            <w:tcW w:w="2407" w:type="pct"/>
            <w:tcBorders>
              <w:top w:val="nil"/>
              <w:left w:val="nil"/>
              <w:bottom w:val="nil"/>
              <w:right w:val="nil"/>
            </w:tcBorders>
            <w:shd w:val="clear" w:color="000000" w:fill="FFFFFF"/>
            <w:vAlign w:val="center"/>
            <w:hideMark/>
          </w:tcPr>
          <w:p w14:paraId="0BF75F46" w14:textId="2891E232" w:rsidR="004D3373" w:rsidRPr="004D3373" w:rsidRDefault="004D3373" w:rsidP="004D3373">
            <w:pPr>
              <w:spacing w:after="0" w:line="240" w:lineRule="auto"/>
              <w:ind w:left="170"/>
              <w:jc w:val="left"/>
              <w:rPr>
                <w:rFonts w:ascii="Arial" w:hAnsi="Arial" w:cs="Arial"/>
                <w:b/>
                <w:bCs/>
                <w:color w:val="000000"/>
                <w:sz w:val="16"/>
                <w:szCs w:val="16"/>
              </w:rPr>
            </w:pPr>
            <w:r w:rsidRPr="004D3373">
              <w:rPr>
                <w:rFonts w:ascii="Arial" w:hAnsi="Arial" w:cs="Arial"/>
                <w:b/>
                <w:bCs/>
                <w:color w:val="000000"/>
                <w:sz w:val="16"/>
                <w:szCs w:val="16"/>
              </w:rPr>
              <w:t xml:space="preserve"> non</w:t>
            </w:r>
            <w:r w:rsidR="00660645">
              <w:rPr>
                <w:rFonts w:ascii="Arial" w:hAnsi="Arial" w:cs="Arial"/>
                <w:b/>
                <w:bCs/>
                <w:color w:val="000000"/>
                <w:sz w:val="16"/>
                <w:szCs w:val="16"/>
              </w:rPr>
              <w:noBreakHyphen/>
            </w:r>
            <w:r w:rsidRPr="004D3373">
              <w:rPr>
                <w:rFonts w:ascii="Arial" w:hAnsi="Arial" w:cs="Arial"/>
                <w:b/>
                <w:bCs/>
                <w:color w:val="000000"/>
                <w:sz w:val="16"/>
                <w:szCs w:val="16"/>
              </w:rPr>
              <w:t>financial assets</w:t>
            </w:r>
          </w:p>
        </w:tc>
        <w:tc>
          <w:tcPr>
            <w:tcW w:w="519" w:type="pct"/>
            <w:tcBorders>
              <w:top w:val="nil"/>
              <w:left w:val="nil"/>
              <w:bottom w:val="nil"/>
              <w:right w:val="nil"/>
            </w:tcBorders>
            <w:shd w:val="clear" w:color="000000" w:fill="FFFFFF"/>
            <w:noWrap/>
            <w:vAlign w:val="bottom"/>
            <w:hideMark/>
          </w:tcPr>
          <w:p w14:paraId="2C0EB448"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4B26FC4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31AA277C"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67B99025"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54DBBBF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63862A74"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A5EDAAD" w14:textId="1D8FFF78"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Sales of non</w:t>
            </w:r>
            <w:r w:rsidR="00660645">
              <w:rPr>
                <w:rFonts w:ascii="Arial" w:hAnsi="Arial" w:cs="Arial"/>
                <w:color w:val="000000"/>
                <w:sz w:val="16"/>
                <w:szCs w:val="16"/>
              </w:rPr>
              <w:noBreakHyphen/>
            </w:r>
            <w:r w:rsidRPr="004D3373">
              <w:rPr>
                <w:rFonts w:ascii="Arial" w:hAnsi="Arial" w:cs="Arial"/>
                <w:color w:val="000000"/>
                <w:sz w:val="16"/>
                <w:szCs w:val="16"/>
              </w:rPr>
              <w:t>financial assets</w:t>
            </w:r>
          </w:p>
        </w:tc>
        <w:tc>
          <w:tcPr>
            <w:tcW w:w="519" w:type="pct"/>
            <w:tcBorders>
              <w:top w:val="nil"/>
              <w:left w:val="nil"/>
              <w:bottom w:val="nil"/>
              <w:right w:val="nil"/>
            </w:tcBorders>
            <w:shd w:val="clear" w:color="000000" w:fill="FFFFFF"/>
            <w:noWrap/>
            <w:vAlign w:val="center"/>
            <w:hideMark/>
          </w:tcPr>
          <w:p w14:paraId="13F7E80E"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487</w:t>
            </w:r>
          </w:p>
        </w:tc>
        <w:tc>
          <w:tcPr>
            <w:tcW w:w="519" w:type="pct"/>
            <w:tcBorders>
              <w:top w:val="nil"/>
              <w:left w:val="nil"/>
              <w:bottom w:val="nil"/>
              <w:right w:val="nil"/>
            </w:tcBorders>
            <w:shd w:val="clear" w:color="000000" w:fill="F2F9FC"/>
            <w:noWrap/>
            <w:vAlign w:val="center"/>
            <w:hideMark/>
          </w:tcPr>
          <w:p w14:paraId="288E2652"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248</w:t>
            </w:r>
          </w:p>
        </w:tc>
        <w:tc>
          <w:tcPr>
            <w:tcW w:w="519" w:type="pct"/>
            <w:tcBorders>
              <w:top w:val="nil"/>
              <w:left w:val="nil"/>
              <w:bottom w:val="nil"/>
              <w:right w:val="nil"/>
            </w:tcBorders>
            <w:shd w:val="clear" w:color="000000" w:fill="FFFFFF"/>
            <w:noWrap/>
            <w:vAlign w:val="center"/>
            <w:hideMark/>
          </w:tcPr>
          <w:p w14:paraId="7060EB55"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2,304</w:t>
            </w:r>
          </w:p>
        </w:tc>
        <w:tc>
          <w:tcPr>
            <w:tcW w:w="519" w:type="pct"/>
            <w:tcBorders>
              <w:top w:val="nil"/>
              <w:left w:val="nil"/>
              <w:bottom w:val="nil"/>
              <w:right w:val="nil"/>
            </w:tcBorders>
            <w:shd w:val="clear" w:color="000000" w:fill="FFFFFF"/>
            <w:noWrap/>
            <w:vAlign w:val="center"/>
            <w:hideMark/>
          </w:tcPr>
          <w:p w14:paraId="51310A06"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255</w:t>
            </w:r>
          </w:p>
        </w:tc>
        <w:tc>
          <w:tcPr>
            <w:tcW w:w="518" w:type="pct"/>
            <w:tcBorders>
              <w:top w:val="nil"/>
              <w:left w:val="nil"/>
              <w:bottom w:val="nil"/>
              <w:right w:val="nil"/>
            </w:tcBorders>
            <w:shd w:val="clear" w:color="000000" w:fill="FFFFFF"/>
            <w:noWrap/>
            <w:vAlign w:val="center"/>
            <w:hideMark/>
          </w:tcPr>
          <w:p w14:paraId="615A629E"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272</w:t>
            </w:r>
          </w:p>
        </w:tc>
      </w:tr>
      <w:tr w:rsidR="004D3373" w:rsidRPr="004D3373" w14:paraId="5F872027"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D1782ED" w14:textId="49984D2D"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Purchases of non</w:t>
            </w:r>
            <w:r w:rsidR="00660645">
              <w:rPr>
                <w:rFonts w:ascii="Arial" w:hAnsi="Arial" w:cs="Arial"/>
                <w:color w:val="000000"/>
                <w:sz w:val="16"/>
                <w:szCs w:val="16"/>
              </w:rPr>
              <w:noBreakHyphen/>
            </w:r>
            <w:r w:rsidRPr="004D3373">
              <w:rPr>
                <w:rFonts w:ascii="Arial" w:hAnsi="Arial" w:cs="Arial"/>
                <w:color w:val="000000"/>
                <w:sz w:val="16"/>
                <w:szCs w:val="16"/>
              </w:rPr>
              <w:t>financial assets</w:t>
            </w:r>
          </w:p>
        </w:tc>
        <w:tc>
          <w:tcPr>
            <w:tcW w:w="519" w:type="pct"/>
            <w:tcBorders>
              <w:top w:val="nil"/>
              <w:left w:val="nil"/>
              <w:bottom w:val="nil"/>
              <w:right w:val="nil"/>
            </w:tcBorders>
            <w:shd w:val="clear" w:color="000000" w:fill="FFFFFF"/>
            <w:noWrap/>
            <w:vAlign w:val="center"/>
            <w:hideMark/>
          </w:tcPr>
          <w:p w14:paraId="7A068F51" w14:textId="06ED6794"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20,159</w:t>
            </w:r>
          </w:p>
        </w:tc>
        <w:tc>
          <w:tcPr>
            <w:tcW w:w="519" w:type="pct"/>
            <w:tcBorders>
              <w:top w:val="nil"/>
              <w:left w:val="nil"/>
              <w:bottom w:val="nil"/>
              <w:right w:val="nil"/>
            </w:tcBorders>
            <w:shd w:val="clear" w:color="000000" w:fill="F2F9FC"/>
            <w:noWrap/>
            <w:vAlign w:val="center"/>
            <w:hideMark/>
          </w:tcPr>
          <w:p w14:paraId="68B512BB" w14:textId="32033EEC"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18,770</w:t>
            </w:r>
          </w:p>
        </w:tc>
        <w:tc>
          <w:tcPr>
            <w:tcW w:w="519" w:type="pct"/>
            <w:tcBorders>
              <w:top w:val="nil"/>
              <w:left w:val="nil"/>
              <w:bottom w:val="nil"/>
              <w:right w:val="nil"/>
            </w:tcBorders>
            <w:shd w:val="clear" w:color="000000" w:fill="FFFFFF"/>
            <w:noWrap/>
            <w:vAlign w:val="center"/>
            <w:hideMark/>
          </w:tcPr>
          <w:p w14:paraId="059C76F7" w14:textId="0CAFDE45"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21,117</w:t>
            </w:r>
          </w:p>
        </w:tc>
        <w:tc>
          <w:tcPr>
            <w:tcW w:w="519" w:type="pct"/>
            <w:tcBorders>
              <w:top w:val="nil"/>
              <w:left w:val="nil"/>
              <w:bottom w:val="nil"/>
              <w:right w:val="nil"/>
            </w:tcBorders>
            <w:shd w:val="clear" w:color="000000" w:fill="FFFFFF"/>
            <w:noWrap/>
            <w:vAlign w:val="center"/>
            <w:hideMark/>
          </w:tcPr>
          <w:p w14:paraId="5E8C8BD7" w14:textId="4F4D7B44"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21,371</w:t>
            </w:r>
          </w:p>
        </w:tc>
        <w:tc>
          <w:tcPr>
            <w:tcW w:w="518" w:type="pct"/>
            <w:tcBorders>
              <w:top w:val="nil"/>
              <w:left w:val="nil"/>
              <w:bottom w:val="nil"/>
              <w:right w:val="nil"/>
            </w:tcBorders>
            <w:shd w:val="clear" w:color="000000" w:fill="FFFFFF"/>
            <w:noWrap/>
            <w:vAlign w:val="center"/>
            <w:hideMark/>
          </w:tcPr>
          <w:p w14:paraId="50DD9417" w14:textId="1E55707E"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21,252</w:t>
            </w:r>
          </w:p>
        </w:tc>
      </w:tr>
      <w:tr w:rsidR="004D3373" w:rsidRPr="004D3373" w14:paraId="6D0ED047"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5DE9644A"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cash flows from investments in</w:t>
            </w:r>
          </w:p>
        </w:tc>
        <w:tc>
          <w:tcPr>
            <w:tcW w:w="519" w:type="pct"/>
            <w:tcBorders>
              <w:top w:val="nil"/>
              <w:left w:val="nil"/>
              <w:bottom w:val="nil"/>
              <w:right w:val="nil"/>
            </w:tcBorders>
            <w:shd w:val="clear" w:color="000000" w:fill="FFFFFF"/>
            <w:noWrap/>
            <w:vAlign w:val="center"/>
            <w:hideMark/>
          </w:tcPr>
          <w:p w14:paraId="5DB948D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282C57C5"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482FD71D"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6E5C565D"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8" w:type="pct"/>
            <w:tcBorders>
              <w:top w:val="nil"/>
              <w:left w:val="nil"/>
              <w:bottom w:val="nil"/>
              <w:right w:val="nil"/>
            </w:tcBorders>
            <w:shd w:val="clear" w:color="000000" w:fill="FFFFFF"/>
            <w:noWrap/>
            <w:vAlign w:val="center"/>
            <w:hideMark/>
          </w:tcPr>
          <w:p w14:paraId="676A1E0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r>
      <w:tr w:rsidR="004D3373" w:rsidRPr="004D3373" w14:paraId="16D5ACA2"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6C59168C" w14:textId="1D8BD63B" w:rsidR="004D3373" w:rsidRPr="004D3373" w:rsidRDefault="004D3373" w:rsidP="004D3373">
            <w:pPr>
              <w:spacing w:after="0" w:line="240" w:lineRule="auto"/>
              <w:ind w:left="170"/>
              <w:jc w:val="left"/>
              <w:rPr>
                <w:rFonts w:ascii="Arial" w:hAnsi="Arial" w:cs="Arial"/>
                <w:b/>
                <w:bCs/>
                <w:color w:val="000000"/>
                <w:sz w:val="16"/>
                <w:szCs w:val="16"/>
              </w:rPr>
            </w:pPr>
            <w:r w:rsidRPr="004D3373">
              <w:rPr>
                <w:rFonts w:ascii="Arial" w:hAnsi="Arial" w:cs="Arial"/>
                <w:b/>
                <w:bCs/>
                <w:color w:val="000000"/>
                <w:sz w:val="16"/>
                <w:szCs w:val="16"/>
              </w:rPr>
              <w:t xml:space="preserve"> non</w:t>
            </w:r>
            <w:r w:rsidR="00660645">
              <w:rPr>
                <w:rFonts w:ascii="Arial" w:hAnsi="Arial" w:cs="Arial"/>
                <w:b/>
                <w:bCs/>
                <w:color w:val="000000"/>
                <w:sz w:val="16"/>
                <w:szCs w:val="16"/>
              </w:rPr>
              <w:noBreakHyphen/>
            </w:r>
            <w:r w:rsidRPr="004D3373">
              <w:rPr>
                <w:rFonts w:ascii="Arial" w:hAnsi="Arial" w:cs="Arial"/>
                <w:b/>
                <w:bCs/>
                <w:color w:val="000000"/>
                <w:sz w:val="16"/>
                <w:szCs w:val="16"/>
              </w:rPr>
              <w:t>financial assets</w:t>
            </w:r>
          </w:p>
        </w:tc>
        <w:tc>
          <w:tcPr>
            <w:tcW w:w="519" w:type="pct"/>
            <w:tcBorders>
              <w:top w:val="nil"/>
              <w:left w:val="nil"/>
              <w:bottom w:val="nil"/>
              <w:right w:val="nil"/>
            </w:tcBorders>
            <w:shd w:val="clear" w:color="000000" w:fill="FFFFFF"/>
            <w:noWrap/>
            <w:vAlign w:val="center"/>
            <w:hideMark/>
          </w:tcPr>
          <w:p w14:paraId="30C2E249" w14:textId="403C0DD0"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19,672</w:t>
            </w:r>
          </w:p>
        </w:tc>
        <w:tc>
          <w:tcPr>
            <w:tcW w:w="519" w:type="pct"/>
            <w:tcBorders>
              <w:top w:val="nil"/>
              <w:left w:val="nil"/>
              <w:bottom w:val="nil"/>
              <w:right w:val="nil"/>
            </w:tcBorders>
            <w:shd w:val="clear" w:color="000000" w:fill="F2F9FC"/>
            <w:noWrap/>
            <w:vAlign w:val="center"/>
            <w:hideMark/>
          </w:tcPr>
          <w:p w14:paraId="3F6FD3E0" w14:textId="7C4C336E"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18,522</w:t>
            </w:r>
          </w:p>
        </w:tc>
        <w:tc>
          <w:tcPr>
            <w:tcW w:w="519" w:type="pct"/>
            <w:tcBorders>
              <w:top w:val="nil"/>
              <w:left w:val="nil"/>
              <w:bottom w:val="nil"/>
              <w:right w:val="nil"/>
            </w:tcBorders>
            <w:shd w:val="clear" w:color="000000" w:fill="FFFFFF"/>
            <w:noWrap/>
            <w:vAlign w:val="center"/>
            <w:hideMark/>
          </w:tcPr>
          <w:p w14:paraId="40200B8C" w14:textId="39B80A82"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18,813</w:t>
            </w:r>
          </w:p>
        </w:tc>
        <w:tc>
          <w:tcPr>
            <w:tcW w:w="519" w:type="pct"/>
            <w:tcBorders>
              <w:top w:val="nil"/>
              <w:left w:val="nil"/>
              <w:bottom w:val="nil"/>
              <w:right w:val="nil"/>
            </w:tcBorders>
            <w:shd w:val="clear" w:color="000000" w:fill="FFFFFF"/>
            <w:noWrap/>
            <w:vAlign w:val="center"/>
            <w:hideMark/>
          </w:tcPr>
          <w:p w14:paraId="2867C52A" w14:textId="6882020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21,117</w:t>
            </w:r>
          </w:p>
        </w:tc>
        <w:tc>
          <w:tcPr>
            <w:tcW w:w="518" w:type="pct"/>
            <w:tcBorders>
              <w:top w:val="nil"/>
              <w:left w:val="nil"/>
              <w:bottom w:val="nil"/>
              <w:right w:val="nil"/>
            </w:tcBorders>
            <w:shd w:val="clear" w:color="000000" w:fill="FFFFFF"/>
            <w:noWrap/>
            <w:vAlign w:val="center"/>
            <w:hideMark/>
          </w:tcPr>
          <w:p w14:paraId="3003A4CA" w14:textId="0A63188A"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20,980</w:t>
            </w:r>
          </w:p>
        </w:tc>
      </w:tr>
      <w:tr w:rsidR="004D3373" w:rsidRPr="004D3373" w14:paraId="0A2970BE"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1E4C6EC3"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bottom"/>
            <w:hideMark/>
          </w:tcPr>
          <w:p w14:paraId="7541F33F"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7E1DB1DE"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543D86C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5767BD15"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41CDAB17"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4B933A30"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2D6E543"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cash flows from investments in</w:t>
            </w:r>
          </w:p>
        </w:tc>
        <w:tc>
          <w:tcPr>
            <w:tcW w:w="519" w:type="pct"/>
            <w:tcBorders>
              <w:top w:val="nil"/>
              <w:left w:val="nil"/>
              <w:bottom w:val="nil"/>
              <w:right w:val="nil"/>
            </w:tcBorders>
            <w:shd w:val="clear" w:color="000000" w:fill="FFFFFF"/>
            <w:noWrap/>
            <w:vAlign w:val="bottom"/>
            <w:hideMark/>
          </w:tcPr>
          <w:p w14:paraId="39263D0B"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0B0092A9"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300711B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1A3EAB4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713CFBC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5C3E7686"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6A2C0EE3" w14:textId="77777777" w:rsidR="004D3373" w:rsidRPr="004D3373" w:rsidRDefault="004D3373" w:rsidP="004D3373">
            <w:pPr>
              <w:spacing w:after="0" w:line="240" w:lineRule="auto"/>
              <w:ind w:left="170"/>
              <w:jc w:val="left"/>
              <w:rPr>
                <w:rFonts w:ascii="Arial" w:hAnsi="Arial" w:cs="Arial"/>
                <w:b/>
                <w:bCs/>
                <w:color w:val="000000"/>
                <w:sz w:val="16"/>
                <w:szCs w:val="16"/>
              </w:rPr>
            </w:pPr>
            <w:r w:rsidRPr="004D3373">
              <w:rPr>
                <w:rFonts w:ascii="Arial" w:hAnsi="Arial" w:cs="Arial"/>
                <w:b/>
                <w:bCs/>
                <w:color w:val="000000"/>
                <w:sz w:val="16"/>
                <w:szCs w:val="16"/>
              </w:rPr>
              <w:t>financial assets for policy purposes</w:t>
            </w:r>
          </w:p>
        </w:tc>
        <w:tc>
          <w:tcPr>
            <w:tcW w:w="519" w:type="pct"/>
            <w:tcBorders>
              <w:top w:val="nil"/>
              <w:left w:val="nil"/>
              <w:bottom w:val="nil"/>
              <w:right w:val="nil"/>
            </w:tcBorders>
            <w:shd w:val="clear" w:color="000000" w:fill="FFFFFF"/>
            <w:noWrap/>
            <w:vAlign w:val="center"/>
            <w:hideMark/>
          </w:tcPr>
          <w:p w14:paraId="3744174C" w14:textId="240D9D63"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5,949</w:t>
            </w:r>
          </w:p>
        </w:tc>
        <w:tc>
          <w:tcPr>
            <w:tcW w:w="519" w:type="pct"/>
            <w:tcBorders>
              <w:top w:val="nil"/>
              <w:left w:val="nil"/>
              <w:bottom w:val="nil"/>
              <w:right w:val="nil"/>
            </w:tcBorders>
            <w:shd w:val="clear" w:color="000000" w:fill="F2F9FC"/>
            <w:noWrap/>
            <w:vAlign w:val="center"/>
            <w:hideMark/>
          </w:tcPr>
          <w:p w14:paraId="4A3E899D" w14:textId="0D2CBB43"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12,857</w:t>
            </w:r>
          </w:p>
        </w:tc>
        <w:tc>
          <w:tcPr>
            <w:tcW w:w="519" w:type="pct"/>
            <w:tcBorders>
              <w:top w:val="nil"/>
              <w:left w:val="nil"/>
              <w:bottom w:val="nil"/>
              <w:right w:val="nil"/>
            </w:tcBorders>
            <w:shd w:val="clear" w:color="000000" w:fill="FFFFFF"/>
            <w:noWrap/>
            <w:vAlign w:val="center"/>
            <w:hideMark/>
          </w:tcPr>
          <w:p w14:paraId="5C321F0E" w14:textId="38E95A39"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3,873</w:t>
            </w:r>
          </w:p>
        </w:tc>
        <w:tc>
          <w:tcPr>
            <w:tcW w:w="519" w:type="pct"/>
            <w:tcBorders>
              <w:top w:val="nil"/>
              <w:left w:val="nil"/>
              <w:bottom w:val="nil"/>
              <w:right w:val="nil"/>
            </w:tcBorders>
            <w:shd w:val="clear" w:color="000000" w:fill="FFFFFF"/>
            <w:noWrap/>
            <w:vAlign w:val="center"/>
            <w:hideMark/>
          </w:tcPr>
          <w:p w14:paraId="09DE3FD2" w14:textId="3B156E48"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10,130</w:t>
            </w:r>
          </w:p>
        </w:tc>
        <w:tc>
          <w:tcPr>
            <w:tcW w:w="518" w:type="pct"/>
            <w:tcBorders>
              <w:top w:val="nil"/>
              <w:left w:val="nil"/>
              <w:bottom w:val="nil"/>
              <w:right w:val="nil"/>
            </w:tcBorders>
            <w:shd w:val="clear" w:color="000000" w:fill="FFFFFF"/>
            <w:noWrap/>
            <w:vAlign w:val="center"/>
            <w:hideMark/>
          </w:tcPr>
          <w:p w14:paraId="2E4305B3" w14:textId="3D9FD653"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6,818</w:t>
            </w:r>
          </w:p>
        </w:tc>
      </w:tr>
      <w:tr w:rsidR="004D3373" w:rsidRPr="004D3373" w14:paraId="7B80708E" w14:textId="77777777" w:rsidTr="0034104B">
        <w:trPr>
          <w:trHeight w:hRule="exact" w:val="60"/>
        </w:trPr>
        <w:tc>
          <w:tcPr>
            <w:tcW w:w="2407" w:type="pct"/>
            <w:tcBorders>
              <w:top w:val="nil"/>
              <w:left w:val="nil"/>
              <w:bottom w:val="nil"/>
              <w:right w:val="nil"/>
            </w:tcBorders>
            <w:shd w:val="clear" w:color="000000" w:fill="FFFFFF"/>
            <w:vAlign w:val="center"/>
            <w:hideMark/>
          </w:tcPr>
          <w:p w14:paraId="6355CBFE"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6D7FBCE4"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2F9FC"/>
            <w:noWrap/>
            <w:vAlign w:val="bottom"/>
            <w:hideMark/>
          </w:tcPr>
          <w:p w14:paraId="587E6D10"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bottom"/>
            <w:hideMark/>
          </w:tcPr>
          <w:p w14:paraId="052AF0EF"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bottom"/>
            <w:hideMark/>
          </w:tcPr>
          <w:p w14:paraId="5B69A670"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8" w:type="pct"/>
            <w:tcBorders>
              <w:top w:val="nil"/>
              <w:left w:val="nil"/>
              <w:bottom w:val="nil"/>
              <w:right w:val="nil"/>
            </w:tcBorders>
            <w:shd w:val="clear" w:color="000000" w:fill="FFFFFF"/>
            <w:noWrap/>
            <w:vAlign w:val="bottom"/>
            <w:hideMark/>
          </w:tcPr>
          <w:p w14:paraId="7F22F791"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r>
      <w:tr w:rsidR="004D3373" w:rsidRPr="004D3373" w14:paraId="1067953B"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096AF399"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cash flows from investments in</w:t>
            </w:r>
          </w:p>
        </w:tc>
        <w:tc>
          <w:tcPr>
            <w:tcW w:w="519" w:type="pct"/>
            <w:tcBorders>
              <w:top w:val="nil"/>
              <w:left w:val="nil"/>
              <w:bottom w:val="nil"/>
              <w:right w:val="nil"/>
            </w:tcBorders>
            <w:shd w:val="clear" w:color="000000" w:fill="FFFFFF"/>
            <w:noWrap/>
            <w:vAlign w:val="bottom"/>
            <w:hideMark/>
          </w:tcPr>
          <w:p w14:paraId="670FD95F"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bottom"/>
            <w:hideMark/>
          </w:tcPr>
          <w:p w14:paraId="6612F278"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7FECC114"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bottom"/>
            <w:hideMark/>
          </w:tcPr>
          <w:p w14:paraId="38B81427"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bottom"/>
            <w:hideMark/>
          </w:tcPr>
          <w:p w14:paraId="08E9E7A0"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r>
      <w:tr w:rsidR="004D3373" w:rsidRPr="004D3373" w14:paraId="73384ACB"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0D4C36F" w14:textId="77777777" w:rsidR="004D3373" w:rsidRPr="004D3373" w:rsidRDefault="004D3373" w:rsidP="004D3373">
            <w:pPr>
              <w:spacing w:after="0" w:line="240" w:lineRule="auto"/>
              <w:ind w:left="170"/>
              <w:jc w:val="left"/>
              <w:rPr>
                <w:rFonts w:ascii="Arial" w:hAnsi="Arial" w:cs="Arial"/>
                <w:b/>
                <w:bCs/>
                <w:color w:val="000000"/>
                <w:sz w:val="16"/>
                <w:szCs w:val="16"/>
              </w:rPr>
            </w:pPr>
            <w:r w:rsidRPr="004D3373">
              <w:rPr>
                <w:rFonts w:ascii="Arial" w:hAnsi="Arial" w:cs="Arial"/>
                <w:b/>
                <w:bCs/>
                <w:color w:val="000000"/>
                <w:sz w:val="16"/>
                <w:szCs w:val="16"/>
              </w:rPr>
              <w:t>financial assets for liquidity purposes</w:t>
            </w:r>
          </w:p>
        </w:tc>
        <w:tc>
          <w:tcPr>
            <w:tcW w:w="519" w:type="pct"/>
            <w:tcBorders>
              <w:top w:val="nil"/>
              <w:left w:val="nil"/>
              <w:bottom w:val="nil"/>
              <w:right w:val="nil"/>
            </w:tcBorders>
            <w:shd w:val="clear" w:color="000000" w:fill="FFFFFF"/>
            <w:noWrap/>
            <w:vAlign w:val="center"/>
            <w:hideMark/>
          </w:tcPr>
          <w:p w14:paraId="2D5A72B6" w14:textId="42C96088"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3,200</w:t>
            </w:r>
          </w:p>
        </w:tc>
        <w:tc>
          <w:tcPr>
            <w:tcW w:w="519" w:type="pct"/>
            <w:tcBorders>
              <w:top w:val="nil"/>
              <w:left w:val="nil"/>
              <w:bottom w:val="nil"/>
              <w:right w:val="nil"/>
            </w:tcBorders>
            <w:shd w:val="clear" w:color="000000" w:fill="F2F9FC"/>
            <w:noWrap/>
            <w:vAlign w:val="center"/>
            <w:hideMark/>
          </w:tcPr>
          <w:p w14:paraId="01EF6D7D" w14:textId="1F09E70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4,754</w:t>
            </w:r>
          </w:p>
        </w:tc>
        <w:tc>
          <w:tcPr>
            <w:tcW w:w="519" w:type="pct"/>
            <w:tcBorders>
              <w:top w:val="nil"/>
              <w:left w:val="nil"/>
              <w:bottom w:val="nil"/>
              <w:right w:val="nil"/>
            </w:tcBorders>
            <w:shd w:val="clear" w:color="000000" w:fill="FFFFFF"/>
            <w:noWrap/>
            <w:vAlign w:val="center"/>
            <w:hideMark/>
          </w:tcPr>
          <w:p w14:paraId="5947FED1" w14:textId="0594FA2D"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5,097</w:t>
            </w:r>
          </w:p>
        </w:tc>
        <w:tc>
          <w:tcPr>
            <w:tcW w:w="519" w:type="pct"/>
            <w:tcBorders>
              <w:top w:val="nil"/>
              <w:left w:val="nil"/>
              <w:bottom w:val="nil"/>
              <w:right w:val="nil"/>
            </w:tcBorders>
            <w:shd w:val="clear" w:color="000000" w:fill="FFFFFF"/>
            <w:noWrap/>
            <w:vAlign w:val="center"/>
            <w:hideMark/>
          </w:tcPr>
          <w:p w14:paraId="3A0790CA" w14:textId="37CF0FDC"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1,592</w:t>
            </w:r>
          </w:p>
        </w:tc>
        <w:tc>
          <w:tcPr>
            <w:tcW w:w="518" w:type="pct"/>
            <w:tcBorders>
              <w:top w:val="nil"/>
              <w:left w:val="nil"/>
              <w:bottom w:val="nil"/>
              <w:right w:val="nil"/>
            </w:tcBorders>
            <w:shd w:val="clear" w:color="000000" w:fill="FFFFFF"/>
            <w:noWrap/>
            <w:vAlign w:val="center"/>
            <w:hideMark/>
          </w:tcPr>
          <w:p w14:paraId="4F4A5F56" w14:textId="28EDB95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1,962</w:t>
            </w:r>
          </w:p>
        </w:tc>
      </w:tr>
      <w:tr w:rsidR="004D3373" w:rsidRPr="004D3373" w14:paraId="470184C8"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519A44CE"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264E84CE"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2F9FC"/>
            <w:noWrap/>
            <w:vAlign w:val="center"/>
            <w:hideMark/>
          </w:tcPr>
          <w:p w14:paraId="2D4990E1"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center"/>
            <w:hideMark/>
          </w:tcPr>
          <w:p w14:paraId="7A47CA7F"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center"/>
            <w:hideMark/>
          </w:tcPr>
          <w:p w14:paraId="2F306445"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c>
          <w:tcPr>
            <w:tcW w:w="518" w:type="pct"/>
            <w:tcBorders>
              <w:top w:val="nil"/>
              <w:left w:val="nil"/>
              <w:bottom w:val="nil"/>
              <w:right w:val="nil"/>
            </w:tcBorders>
            <w:shd w:val="clear" w:color="000000" w:fill="FFFFFF"/>
            <w:noWrap/>
            <w:vAlign w:val="center"/>
            <w:hideMark/>
          </w:tcPr>
          <w:p w14:paraId="6E8387E6"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w:t>
            </w:r>
          </w:p>
        </w:tc>
      </w:tr>
      <w:tr w:rsidR="004D3373" w:rsidRPr="004D3373" w14:paraId="783A828D"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204FBACF"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xml:space="preserve">Cash receipts from financing activities </w:t>
            </w:r>
          </w:p>
        </w:tc>
        <w:tc>
          <w:tcPr>
            <w:tcW w:w="519" w:type="pct"/>
            <w:tcBorders>
              <w:top w:val="nil"/>
              <w:left w:val="nil"/>
              <w:bottom w:val="nil"/>
              <w:right w:val="nil"/>
            </w:tcBorders>
            <w:shd w:val="clear" w:color="000000" w:fill="FFFFFF"/>
            <w:noWrap/>
            <w:vAlign w:val="center"/>
            <w:hideMark/>
          </w:tcPr>
          <w:p w14:paraId="2DBE5BFC"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2F9FC"/>
            <w:noWrap/>
            <w:vAlign w:val="center"/>
            <w:hideMark/>
          </w:tcPr>
          <w:p w14:paraId="7ADBA2A4"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center"/>
            <w:hideMark/>
          </w:tcPr>
          <w:p w14:paraId="56FB7473"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 </w:t>
            </w:r>
          </w:p>
        </w:tc>
        <w:tc>
          <w:tcPr>
            <w:tcW w:w="519" w:type="pct"/>
            <w:tcBorders>
              <w:top w:val="nil"/>
              <w:left w:val="nil"/>
              <w:bottom w:val="nil"/>
              <w:right w:val="nil"/>
            </w:tcBorders>
            <w:shd w:val="clear" w:color="000000" w:fill="FFFFFF"/>
            <w:noWrap/>
            <w:vAlign w:val="center"/>
            <w:hideMark/>
          </w:tcPr>
          <w:p w14:paraId="07AF37D2"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 </w:t>
            </w:r>
          </w:p>
        </w:tc>
        <w:tc>
          <w:tcPr>
            <w:tcW w:w="518" w:type="pct"/>
            <w:tcBorders>
              <w:top w:val="nil"/>
              <w:left w:val="nil"/>
              <w:bottom w:val="nil"/>
              <w:right w:val="nil"/>
            </w:tcBorders>
            <w:shd w:val="clear" w:color="000000" w:fill="FFFFFF"/>
            <w:noWrap/>
            <w:vAlign w:val="center"/>
            <w:hideMark/>
          </w:tcPr>
          <w:p w14:paraId="67FD372C"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 </w:t>
            </w:r>
          </w:p>
        </w:tc>
      </w:tr>
      <w:tr w:rsidR="004D3373" w:rsidRPr="004D3373" w14:paraId="0132F2C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7AF46D1"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Borrowing</w:t>
            </w:r>
          </w:p>
        </w:tc>
        <w:tc>
          <w:tcPr>
            <w:tcW w:w="519" w:type="pct"/>
            <w:tcBorders>
              <w:top w:val="nil"/>
              <w:left w:val="nil"/>
              <w:bottom w:val="nil"/>
              <w:right w:val="nil"/>
            </w:tcBorders>
            <w:shd w:val="clear" w:color="000000" w:fill="FFFFFF"/>
            <w:noWrap/>
            <w:vAlign w:val="center"/>
            <w:hideMark/>
          </w:tcPr>
          <w:p w14:paraId="1A3CB9D6"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262,545</w:t>
            </w:r>
          </w:p>
        </w:tc>
        <w:tc>
          <w:tcPr>
            <w:tcW w:w="519" w:type="pct"/>
            <w:tcBorders>
              <w:top w:val="nil"/>
              <w:left w:val="nil"/>
              <w:bottom w:val="nil"/>
              <w:right w:val="nil"/>
            </w:tcBorders>
            <w:shd w:val="clear" w:color="000000" w:fill="F2F9FC"/>
            <w:noWrap/>
            <w:vAlign w:val="center"/>
            <w:hideMark/>
          </w:tcPr>
          <w:p w14:paraId="26B20E9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612,724</w:t>
            </w:r>
          </w:p>
        </w:tc>
        <w:tc>
          <w:tcPr>
            <w:tcW w:w="519" w:type="pct"/>
            <w:tcBorders>
              <w:top w:val="nil"/>
              <w:left w:val="nil"/>
              <w:bottom w:val="nil"/>
              <w:right w:val="nil"/>
            </w:tcBorders>
            <w:shd w:val="clear" w:color="000000" w:fill="FFFFFF"/>
            <w:noWrap/>
            <w:vAlign w:val="center"/>
            <w:hideMark/>
          </w:tcPr>
          <w:p w14:paraId="17E6E4D7"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714,048</w:t>
            </w:r>
          </w:p>
        </w:tc>
        <w:tc>
          <w:tcPr>
            <w:tcW w:w="519" w:type="pct"/>
            <w:tcBorders>
              <w:top w:val="nil"/>
              <w:left w:val="nil"/>
              <w:bottom w:val="nil"/>
              <w:right w:val="nil"/>
            </w:tcBorders>
            <w:shd w:val="clear" w:color="000000" w:fill="FFFFFF"/>
            <w:noWrap/>
            <w:vAlign w:val="center"/>
            <w:hideMark/>
          </w:tcPr>
          <w:p w14:paraId="0FE5DD1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756,275</w:t>
            </w:r>
          </w:p>
        </w:tc>
        <w:tc>
          <w:tcPr>
            <w:tcW w:w="518" w:type="pct"/>
            <w:tcBorders>
              <w:top w:val="nil"/>
              <w:left w:val="nil"/>
              <w:bottom w:val="nil"/>
              <w:right w:val="nil"/>
            </w:tcBorders>
            <w:shd w:val="clear" w:color="000000" w:fill="FFFFFF"/>
            <w:noWrap/>
            <w:vAlign w:val="center"/>
            <w:hideMark/>
          </w:tcPr>
          <w:p w14:paraId="006015DA"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759,709</w:t>
            </w:r>
          </w:p>
        </w:tc>
      </w:tr>
      <w:tr w:rsidR="004D3373" w:rsidRPr="004D3373" w14:paraId="3BA322E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A98D168"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Other financing</w:t>
            </w:r>
          </w:p>
        </w:tc>
        <w:tc>
          <w:tcPr>
            <w:tcW w:w="519" w:type="pct"/>
            <w:tcBorders>
              <w:top w:val="nil"/>
              <w:left w:val="nil"/>
              <w:bottom w:val="nil"/>
              <w:right w:val="nil"/>
            </w:tcBorders>
            <w:shd w:val="clear" w:color="000000" w:fill="FFFFFF"/>
            <w:noWrap/>
            <w:vAlign w:val="center"/>
            <w:hideMark/>
          </w:tcPr>
          <w:p w14:paraId="73A63019"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72</w:t>
            </w:r>
          </w:p>
        </w:tc>
        <w:tc>
          <w:tcPr>
            <w:tcW w:w="519" w:type="pct"/>
            <w:tcBorders>
              <w:top w:val="nil"/>
              <w:left w:val="nil"/>
              <w:bottom w:val="nil"/>
              <w:right w:val="nil"/>
            </w:tcBorders>
            <w:shd w:val="clear" w:color="000000" w:fill="F2F9FC"/>
            <w:noWrap/>
            <w:vAlign w:val="center"/>
            <w:hideMark/>
          </w:tcPr>
          <w:p w14:paraId="49901FC6"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13</w:t>
            </w:r>
          </w:p>
        </w:tc>
        <w:tc>
          <w:tcPr>
            <w:tcW w:w="519" w:type="pct"/>
            <w:tcBorders>
              <w:top w:val="nil"/>
              <w:left w:val="nil"/>
              <w:bottom w:val="nil"/>
              <w:right w:val="nil"/>
            </w:tcBorders>
            <w:shd w:val="clear" w:color="000000" w:fill="FFFFFF"/>
            <w:noWrap/>
            <w:vAlign w:val="center"/>
            <w:hideMark/>
          </w:tcPr>
          <w:p w14:paraId="391FCFF6"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21</w:t>
            </w:r>
          </w:p>
        </w:tc>
        <w:tc>
          <w:tcPr>
            <w:tcW w:w="519" w:type="pct"/>
            <w:tcBorders>
              <w:top w:val="nil"/>
              <w:left w:val="nil"/>
              <w:bottom w:val="nil"/>
              <w:right w:val="nil"/>
            </w:tcBorders>
            <w:shd w:val="clear" w:color="000000" w:fill="FFFFFF"/>
            <w:noWrap/>
            <w:vAlign w:val="center"/>
            <w:hideMark/>
          </w:tcPr>
          <w:p w14:paraId="1479F2D3"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16</w:t>
            </w:r>
          </w:p>
        </w:tc>
        <w:tc>
          <w:tcPr>
            <w:tcW w:w="518" w:type="pct"/>
            <w:tcBorders>
              <w:top w:val="nil"/>
              <w:left w:val="nil"/>
              <w:bottom w:val="nil"/>
              <w:right w:val="nil"/>
            </w:tcBorders>
            <w:shd w:val="clear" w:color="000000" w:fill="FFFFFF"/>
            <w:noWrap/>
            <w:vAlign w:val="center"/>
            <w:hideMark/>
          </w:tcPr>
          <w:p w14:paraId="2565560E"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12</w:t>
            </w:r>
          </w:p>
        </w:tc>
      </w:tr>
      <w:tr w:rsidR="004D3373" w:rsidRPr="004D3373" w14:paraId="3EBD91D6"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C7F3DF3"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Total cash receipts from financing</w:t>
            </w:r>
          </w:p>
        </w:tc>
        <w:tc>
          <w:tcPr>
            <w:tcW w:w="519" w:type="pct"/>
            <w:tcBorders>
              <w:top w:val="nil"/>
              <w:left w:val="nil"/>
              <w:bottom w:val="nil"/>
              <w:right w:val="nil"/>
            </w:tcBorders>
            <w:shd w:val="clear" w:color="000000" w:fill="FFFFFF"/>
            <w:noWrap/>
            <w:vAlign w:val="center"/>
            <w:hideMark/>
          </w:tcPr>
          <w:p w14:paraId="38789667"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center"/>
            <w:hideMark/>
          </w:tcPr>
          <w:p w14:paraId="052EC277"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6DE708EC"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534E40B1"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center"/>
            <w:hideMark/>
          </w:tcPr>
          <w:p w14:paraId="7C14A2FC"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r>
      <w:tr w:rsidR="004D3373" w:rsidRPr="004D3373" w14:paraId="046FF763"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099094FD" w14:textId="77777777" w:rsidR="004D3373" w:rsidRPr="004D3373" w:rsidRDefault="004D3373" w:rsidP="004D3373">
            <w:pPr>
              <w:spacing w:after="0" w:line="240" w:lineRule="auto"/>
              <w:ind w:left="170"/>
              <w:jc w:val="left"/>
              <w:rPr>
                <w:rFonts w:ascii="Arial" w:hAnsi="Arial" w:cs="Arial"/>
                <w:b/>
                <w:bCs/>
                <w:sz w:val="16"/>
                <w:szCs w:val="16"/>
              </w:rPr>
            </w:pPr>
            <w:r w:rsidRPr="004D3373">
              <w:rPr>
                <w:rFonts w:ascii="Arial" w:hAnsi="Arial" w:cs="Arial"/>
                <w:b/>
                <w:bCs/>
                <w:sz w:val="16"/>
                <w:szCs w:val="16"/>
              </w:rPr>
              <w:t>activities</w:t>
            </w:r>
          </w:p>
        </w:tc>
        <w:tc>
          <w:tcPr>
            <w:tcW w:w="519" w:type="pct"/>
            <w:tcBorders>
              <w:top w:val="nil"/>
              <w:left w:val="nil"/>
              <w:bottom w:val="nil"/>
              <w:right w:val="nil"/>
            </w:tcBorders>
            <w:shd w:val="clear" w:color="000000" w:fill="FFFFFF"/>
            <w:noWrap/>
            <w:vAlign w:val="center"/>
            <w:hideMark/>
          </w:tcPr>
          <w:p w14:paraId="0AB06403"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262,617</w:t>
            </w:r>
          </w:p>
        </w:tc>
        <w:tc>
          <w:tcPr>
            <w:tcW w:w="519" w:type="pct"/>
            <w:tcBorders>
              <w:top w:val="nil"/>
              <w:left w:val="nil"/>
              <w:bottom w:val="nil"/>
              <w:right w:val="nil"/>
            </w:tcBorders>
            <w:shd w:val="clear" w:color="000000" w:fill="F2F9FC"/>
            <w:noWrap/>
            <w:vAlign w:val="center"/>
            <w:hideMark/>
          </w:tcPr>
          <w:p w14:paraId="2BF9801D"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612,737</w:t>
            </w:r>
          </w:p>
        </w:tc>
        <w:tc>
          <w:tcPr>
            <w:tcW w:w="519" w:type="pct"/>
            <w:tcBorders>
              <w:top w:val="nil"/>
              <w:left w:val="nil"/>
              <w:bottom w:val="nil"/>
              <w:right w:val="nil"/>
            </w:tcBorders>
            <w:shd w:val="clear" w:color="000000" w:fill="FFFFFF"/>
            <w:noWrap/>
            <w:vAlign w:val="center"/>
            <w:hideMark/>
          </w:tcPr>
          <w:p w14:paraId="1DB494C8"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714,069</w:t>
            </w:r>
          </w:p>
        </w:tc>
        <w:tc>
          <w:tcPr>
            <w:tcW w:w="519" w:type="pct"/>
            <w:tcBorders>
              <w:top w:val="nil"/>
              <w:left w:val="nil"/>
              <w:bottom w:val="nil"/>
              <w:right w:val="nil"/>
            </w:tcBorders>
            <w:shd w:val="clear" w:color="000000" w:fill="FFFFFF"/>
            <w:noWrap/>
            <w:vAlign w:val="center"/>
            <w:hideMark/>
          </w:tcPr>
          <w:p w14:paraId="33BC71A2"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756,291</w:t>
            </w:r>
          </w:p>
        </w:tc>
        <w:tc>
          <w:tcPr>
            <w:tcW w:w="518" w:type="pct"/>
            <w:tcBorders>
              <w:top w:val="nil"/>
              <w:left w:val="nil"/>
              <w:bottom w:val="nil"/>
              <w:right w:val="nil"/>
            </w:tcBorders>
            <w:shd w:val="clear" w:color="000000" w:fill="FFFFFF"/>
            <w:noWrap/>
            <w:vAlign w:val="center"/>
            <w:hideMark/>
          </w:tcPr>
          <w:p w14:paraId="5F60176F" w14:textId="77777777" w:rsidR="004D3373" w:rsidRPr="004D3373" w:rsidRDefault="004D3373" w:rsidP="004D3373">
            <w:pPr>
              <w:spacing w:after="0" w:line="240" w:lineRule="auto"/>
              <w:jc w:val="right"/>
              <w:rPr>
                <w:rFonts w:ascii="Arial" w:hAnsi="Arial" w:cs="Arial"/>
                <w:b/>
                <w:bCs/>
                <w:sz w:val="16"/>
                <w:szCs w:val="16"/>
              </w:rPr>
            </w:pPr>
            <w:r w:rsidRPr="004D3373">
              <w:rPr>
                <w:rFonts w:ascii="Arial" w:hAnsi="Arial" w:cs="Arial"/>
                <w:b/>
                <w:bCs/>
                <w:sz w:val="16"/>
                <w:szCs w:val="16"/>
              </w:rPr>
              <w:t>759,720</w:t>
            </w:r>
          </w:p>
        </w:tc>
      </w:tr>
      <w:tr w:rsidR="004D3373" w:rsidRPr="004D3373" w14:paraId="246FDF31"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56724052"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781A5BD5"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center"/>
            <w:hideMark/>
          </w:tcPr>
          <w:p w14:paraId="2641F69D"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4B9E9ECE"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1F3F2067"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center"/>
            <w:hideMark/>
          </w:tcPr>
          <w:p w14:paraId="53CAC18B"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r>
      <w:tr w:rsidR="004D3373" w:rsidRPr="004D3373" w14:paraId="64E3E89A"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2D231A4"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Cash payments for financing activities</w:t>
            </w:r>
          </w:p>
        </w:tc>
        <w:tc>
          <w:tcPr>
            <w:tcW w:w="519" w:type="pct"/>
            <w:tcBorders>
              <w:top w:val="nil"/>
              <w:left w:val="nil"/>
              <w:bottom w:val="nil"/>
              <w:right w:val="nil"/>
            </w:tcBorders>
            <w:shd w:val="clear" w:color="000000" w:fill="FFFFFF"/>
            <w:noWrap/>
            <w:vAlign w:val="center"/>
            <w:hideMark/>
          </w:tcPr>
          <w:p w14:paraId="04C74E6D"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center"/>
            <w:hideMark/>
          </w:tcPr>
          <w:p w14:paraId="6D186A29"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5CAD9A6F"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0B0A71C3"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center"/>
            <w:hideMark/>
          </w:tcPr>
          <w:p w14:paraId="2ABB0CB9"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r>
      <w:tr w:rsidR="004D3373" w:rsidRPr="004D3373" w14:paraId="32237178"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65F3C28"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Borrowing</w:t>
            </w:r>
          </w:p>
        </w:tc>
        <w:tc>
          <w:tcPr>
            <w:tcW w:w="519" w:type="pct"/>
            <w:tcBorders>
              <w:top w:val="nil"/>
              <w:left w:val="nil"/>
              <w:bottom w:val="nil"/>
              <w:right w:val="nil"/>
            </w:tcBorders>
            <w:shd w:val="clear" w:color="000000" w:fill="FFFFFF"/>
            <w:noWrap/>
            <w:vAlign w:val="center"/>
            <w:hideMark/>
          </w:tcPr>
          <w:p w14:paraId="5E9386B2" w14:textId="74AC7384"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168,956</w:t>
            </w:r>
          </w:p>
        </w:tc>
        <w:tc>
          <w:tcPr>
            <w:tcW w:w="519" w:type="pct"/>
            <w:tcBorders>
              <w:top w:val="nil"/>
              <w:left w:val="nil"/>
              <w:bottom w:val="nil"/>
              <w:right w:val="nil"/>
            </w:tcBorders>
            <w:shd w:val="clear" w:color="000000" w:fill="F2F9FC"/>
            <w:noWrap/>
            <w:vAlign w:val="center"/>
            <w:hideMark/>
          </w:tcPr>
          <w:p w14:paraId="5CA35565" w14:textId="0CBF45DE"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538,436</w:t>
            </w:r>
          </w:p>
        </w:tc>
        <w:tc>
          <w:tcPr>
            <w:tcW w:w="519" w:type="pct"/>
            <w:tcBorders>
              <w:top w:val="nil"/>
              <w:left w:val="nil"/>
              <w:bottom w:val="nil"/>
              <w:right w:val="nil"/>
            </w:tcBorders>
            <w:shd w:val="clear" w:color="000000" w:fill="FFFFFF"/>
            <w:noWrap/>
            <w:vAlign w:val="center"/>
            <w:hideMark/>
          </w:tcPr>
          <w:p w14:paraId="010FF1C4" w14:textId="02876D39"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632,479</w:t>
            </w:r>
          </w:p>
        </w:tc>
        <w:tc>
          <w:tcPr>
            <w:tcW w:w="519" w:type="pct"/>
            <w:tcBorders>
              <w:top w:val="nil"/>
              <w:left w:val="nil"/>
              <w:bottom w:val="nil"/>
              <w:right w:val="nil"/>
            </w:tcBorders>
            <w:shd w:val="clear" w:color="000000" w:fill="FFFFFF"/>
            <w:noWrap/>
            <w:vAlign w:val="center"/>
            <w:hideMark/>
          </w:tcPr>
          <w:p w14:paraId="5BBA9929" w14:textId="60CD7A47"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692,682</w:t>
            </w:r>
          </w:p>
        </w:tc>
        <w:tc>
          <w:tcPr>
            <w:tcW w:w="518" w:type="pct"/>
            <w:tcBorders>
              <w:top w:val="nil"/>
              <w:left w:val="nil"/>
              <w:bottom w:val="nil"/>
              <w:right w:val="nil"/>
            </w:tcBorders>
            <w:shd w:val="clear" w:color="000000" w:fill="FFFFFF"/>
            <w:noWrap/>
            <w:vAlign w:val="center"/>
            <w:hideMark/>
          </w:tcPr>
          <w:p w14:paraId="20929323" w14:textId="2B2EF9AE" w:rsidR="004D3373" w:rsidRPr="004D3373" w:rsidRDefault="00660645" w:rsidP="004D3373">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D3373" w:rsidRPr="004D3373">
              <w:rPr>
                <w:rFonts w:ascii="Arial" w:hAnsi="Arial" w:cs="Arial"/>
                <w:color w:val="000000"/>
                <w:sz w:val="16"/>
                <w:szCs w:val="16"/>
              </w:rPr>
              <w:t>703,492</w:t>
            </w:r>
          </w:p>
        </w:tc>
      </w:tr>
      <w:tr w:rsidR="004D3373" w:rsidRPr="004D3373" w14:paraId="50B38F83"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4C4D493" w14:textId="77777777" w:rsidR="004D3373" w:rsidRPr="004D3373" w:rsidRDefault="004D3373" w:rsidP="004D3373">
            <w:pPr>
              <w:spacing w:after="0" w:line="240" w:lineRule="auto"/>
              <w:jc w:val="left"/>
              <w:rPr>
                <w:rFonts w:ascii="Arial" w:hAnsi="Arial" w:cs="Arial"/>
                <w:sz w:val="16"/>
                <w:szCs w:val="16"/>
              </w:rPr>
            </w:pPr>
            <w:r w:rsidRPr="004D3373">
              <w:rPr>
                <w:rFonts w:ascii="Arial" w:hAnsi="Arial" w:cs="Arial"/>
                <w:sz w:val="16"/>
                <w:szCs w:val="16"/>
              </w:rPr>
              <w:t>Other financing</w:t>
            </w:r>
          </w:p>
        </w:tc>
        <w:tc>
          <w:tcPr>
            <w:tcW w:w="519" w:type="pct"/>
            <w:tcBorders>
              <w:top w:val="nil"/>
              <w:left w:val="nil"/>
              <w:bottom w:val="nil"/>
              <w:right w:val="nil"/>
            </w:tcBorders>
            <w:shd w:val="clear" w:color="000000" w:fill="FFFFFF"/>
            <w:noWrap/>
            <w:vAlign w:val="center"/>
            <w:hideMark/>
          </w:tcPr>
          <w:p w14:paraId="5E1BC5EB" w14:textId="174915C0" w:rsidR="004D3373" w:rsidRPr="004D3373" w:rsidRDefault="00660645" w:rsidP="004D3373">
            <w:pPr>
              <w:spacing w:after="0" w:line="240" w:lineRule="auto"/>
              <w:jc w:val="right"/>
              <w:rPr>
                <w:rFonts w:ascii="Arial" w:hAnsi="Arial" w:cs="Arial"/>
                <w:sz w:val="16"/>
                <w:szCs w:val="16"/>
              </w:rPr>
            </w:pPr>
            <w:r>
              <w:rPr>
                <w:rFonts w:ascii="Arial" w:hAnsi="Arial" w:cs="Arial"/>
                <w:sz w:val="16"/>
                <w:szCs w:val="16"/>
              </w:rPr>
              <w:noBreakHyphen/>
            </w:r>
            <w:r w:rsidR="004D3373" w:rsidRPr="004D3373">
              <w:rPr>
                <w:rFonts w:ascii="Arial" w:hAnsi="Arial" w:cs="Arial"/>
                <w:sz w:val="16"/>
                <w:szCs w:val="16"/>
              </w:rPr>
              <w:t>7,356</w:t>
            </w:r>
          </w:p>
        </w:tc>
        <w:tc>
          <w:tcPr>
            <w:tcW w:w="519" w:type="pct"/>
            <w:tcBorders>
              <w:top w:val="nil"/>
              <w:left w:val="nil"/>
              <w:bottom w:val="nil"/>
              <w:right w:val="nil"/>
            </w:tcBorders>
            <w:shd w:val="clear" w:color="000000" w:fill="F2F9FC"/>
            <w:noWrap/>
            <w:vAlign w:val="center"/>
            <w:hideMark/>
          </w:tcPr>
          <w:p w14:paraId="6A84C340" w14:textId="08CB3713" w:rsidR="004D3373" w:rsidRPr="004D3373" w:rsidRDefault="00660645" w:rsidP="004D3373">
            <w:pPr>
              <w:spacing w:after="0" w:line="240" w:lineRule="auto"/>
              <w:jc w:val="right"/>
              <w:rPr>
                <w:rFonts w:ascii="Arial" w:hAnsi="Arial" w:cs="Arial"/>
                <w:sz w:val="16"/>
                <w:szCs w:val="16"/>
              </w:rPr>
            </w:pPr>
            <w:r>
              <w:rPr>
                <w:rFonts w:ascii="Arial" w:hAnsi="Arial" w:cs="Arial"/>
                <w:sz w:val="16"/>
                <w:szCs w:val="16"/>
              </w:rPr>
              <w:noBreakHyphen/>
            </w:r>
            <w:r w:rsidR="004D3373" w:rsidRPr="004D3373">
              <w:rPr>
                <w:rFonts w:ascii="Arial" w:hAnsi="Arial" w:cs="Arial"/>
                <w:sz w:val="16"/>
                <w:szCs w:val="16"/>
              </w:rPr>
              <w:t>7,315</w:t>
            </w:r>
          </w:p>
        </w:tc>
        <w:tc>
          <w:tcPr>
            <w:tcW w:w="519" w:type="pct"/>
            <w:tcBorders>
              <w:top w:val="nil"/>
              <w:left w:val="nil"/>
              <w:bottom w:val="nil"/>
              <w:right w:val="nil"/>
            </w:tcBorders>
            <w:shd w:val="clear" w:color="000000" w:fill="FFFFFF"/>
            <w:noWrap/>
            <w:vAlign w:val="center"/>
            <w:hideMark/>
          </w:tcPr>
          <w:p w14:paraId="02436A43" w14:textId="363F6B16" w:rsidR="004D3373" w:rsidRPr="004D3373" w:rsidRDefault="00660645" w:rsidP="004D3373">
            <w:pPr>
              <w:spacing w:after="0" w:line="240" w:lineRule="auto"/>
              <w:jc w:val="right"/>
              <w:rPr>
                <w:rFonts w:ascii="Arial" w:hAnsi="Arial" w:cs="Arial"/>
                <w:sz w:val="16"/>
                <w:szCs w:val="16"/>
              </w:rPr>
            </w:pPr>
            <w:r>
              <w:rPr>
                <w:rFonts w:ascii="Arial" w:hAnsi="Arial" w:cs="Arial"/>
                <w:sz w:val="16"/>
                <w:szCs w:val="16"/>
              </w:rPr>
              <w:noBreakHyphen/>
            </w:r>
            <w:r w:rsidR="004D3373" w:rsidRPr="004D3373">
              <w:rPr>
                <w:rFonts w:ascii="Arial" w:hAnsi="Arial" w:cs="Arial"/>
                <w:sz w:val="16"/>
                <w:szCs w:val="16"/>
              </w:rPr>
              <w:t>5,348</w:t>
            </w:r>
          </w:p>
        </w:tc>
        <w:tc>
          <w:tcPr>
            <w:tcW w:w="519" w:type="pct"/>
            <w:tcBorders>
              <w:top w:val="nil"/>
              <w:left w:val="nil"/>
              <w:bottom w:val="nil"/>
              <w:right w:val="nil"/>
            </w:tcBorders>
            <w:shd w:val="clear" w:color="000000" w:fill="FFFFFF"/>
            <w:noWrap/>
            <w:vAlign w:val="center"/>
            <w:hideMark/>
          </w:tcPr>
          <w:p w14:paraId="6F50310D" w14:textId="103BE021" w:rsidR="004D3373" w:rsidRPr="004D3373" w:rsidRDefault="00660645" w:rsidP="004D3373">
            <w:pPr>
              <w:spacing w:after="0" w:line="240" w:lineRule="auto"/>
              <w:jc w:val="right"/>
              <w:rPr>
                <w:rFonts w:ascii="Arial" w:hAnsi="Arial" w:cs="Arial"/>
                <w:sz w:val="16"/>
                <w:szCs w:val="16"/>
              </w:rPr>
            </w:pPr>
            <w:r>
              <w:rPr>
                <w:rFonts w:ascii="Arial" w:hAnsi="Arial" w:cs="Arial"/>
                <w:sz w:val="16"/>
                <w:szCs w:val="16"/>
              </w:rPr>
              <w:noBreakHyphen/>
            </w:r>
            <w:r w:rsidR="004D3373" w:rsidRPr="004D3373">
              <w:rPr>
                <w:rFonts w:ascii="Arial" w:hAnsi="Arial" w:cs="Arial"/>
                <w:sz w:val="16"/>
                <w:szCs w:val="16"/>
              </w:rPr>
              <w:t>5,952</w:t>
            </w:r>
          </w:p>
        </w:tc>
        <w:tc>
          <w:tcPr>
            <w:tcW w:w="518" w:type="pct"/>
            <w:tcBorders>
              <w:top w:val="nil"/>
              <w:left w:val="nil"/>
              <w:bottom w:val="nil"/>
              <w:right w:val="nil"/>
            </w:tcBorders>
            <w:shd w:val="clear" w:color="000000" w:fill="FFFFFF"/>
            <w:noWrap/>
            <w:vAlign w:val="center"/>
            <w:hideMark/>
          </w:tcPr>
          <w:p w14:paraId="7276C013" w14:textId="22ECB1F5" w:rsidR="004D3373" w:rsidRPr="004D3373" w:rsidRDefault="00660645" w:rsidP="004D3373">
            <w:pPr>
              <w:spacing w:after="0" w:line="240" w:lineRule="auto"/>
              <w:jc w:val="right"/>
              <w:rPr>
                <w:rFonts w:ascii="Arial" w:hAnsi="Arial" w:cs="Arial"/>
                <w:sz w:val="16"/>
                <w:szCs w:val="16"/>
              </w:rPr>
            </w:pPr>
            <w:r>
              <w:rPr>
                <w:rFonts w:ascii="Arial" w:hAnsi="Arial" w:cs="Arial"/>
                <w:sz w:val="16"/>
                <w:szCs w:val="16"/>
              </w:rPr>
              <w:noBreakHyphen/>
            </w:r>
            <w:r w:rsidR="004D3373" w:rsidRPr="004D3373">
              <w:rPr>
                <w:rFonts w:ascii="Arial" w:hAnsi="Arial" w:cs="Arial"/>
                <w:sz w:val="16"/>
                <w:szCs w:val="16"/>
              </w:rPr>
              <w:t>6,193</w:t>
            </w:r>
          </w:p>
        </w:tc>
      </w:tr>
      <w:tr w:rsidR="004D3373" w:rsidRPr="004D3373" w14:paraId="38A95B9E"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1395831D" w14:textId="77777777" w:rsidR="004D3373" w:rsidRPr="004D3373" w:rsidRDefault="004D3373" w:rsidP="004D3373">
            <w:pPr>
              <w:spacing w:after="0" w:line="240" w:lineRule="auto"/>
              <w:jc w:val="left"/>
              <w:rPr>
                <w:rFonts w:ascii="Arial" w:hAnsi="Arial" w:cs="Arial"/>
                <w:b/>
                <w:bCs/>
                <w:sz w:val="16"/>
                <w:szCs w:val="16"/>
              </w:rPr>
            </w:pPr>
            <w:r w:rsidRPr="004D3373">
              <w:rPr>
                <w:rFonts w:ascii="Arial" w:hAnsi="Arial" w:cs="Arial"/>
                <w:b/>
                <w:bCs/>
                <w:sz w:val="16"/>
                <w:szCs w:val="16"/>
              </w:rPr>
              <w:t xml:space="preserve">Total cash payments for financing </w:t>
            </w:r>
          </w:p>
        </w:tc>
        <w:tc>
          <w:tcPr>
            <w:tcW w:w="519" w:type="pct"/>
            <w:tcBorders>
              <w:top w:val="nil"/>
              <w:left w:val="nil"/>
              <w:bottom w:val="nil"/>
              <w:right w:val="nil"/>
            </w:tcBorders>
            <w:shd w:val="clear" w:color="000000" w:fill="FFFFFF"/>
            <w:noWrap/>
            <w:vAlign w:val="center"/>
            <w:hideMark/>
          </w:tcPr>
          <w:p w14:paraId="69D39FF0"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2F9FC"/>
            <w:noWrap/>
            <w:vAlign w:val="center"/>
            <w:hideMark/>
          </w:tcPr>
          <w:p w14:paraId="76ABA110"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314ECBB7"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36E9EA59"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c>
          <w:tcPr>
            <w:tcW w:w="518" w:type="pct"/>
            <w:tcBorders>
              <w:top w:val="nil"/>
              <w:left w:val="nil"/>
              <w:bottom w:val="nil"/>
              <w:right w:val="nil"/>
            </w:tcBorders>
            <w:shd w:val="clear" w:color="000000" w:fill="FFFFFF"/>
            <w:noWrap/>
            <w:vAlign w:val="center"/>
            <w:hideMark/>
          </w:tcPr>
          <w:p w14:paraId="46D01B05" w14:textId="77777777" w:rsidR="004D3373" w:rsidRPr="004D3373" w:rsidRDefault="004D3373" w:rsidP="004D3373">
            <w:pPr>
              <w:spacing w:after="0" w:line="240" w:lineRule="auto"/>
              <w:jc w:val="right"/>
              <w:rPr>
                <w:rFonts w:ascii="Arial" w:hAnsi="Arial" w:cs="Arial"/>
                <w:sz w:val="16"/>
                <w:szCs w:val="16"/>
              </w:rPr>
            </w:pPr>
            <w:r w:rsidRPr="004D3373">
              <w:rPr>
                <w:rFonts w:ascii="Arial" w:hAnsi="Arial" w:cs="Arial"/>
                <w:sz w:val="16"/>
                <w:szCs w:val="16"/>
              </w:rPr>
              <w:t> </w:t>
            </w:r>
          </w:p>
        </w:tc>
      </w:tr>
      <w:tr w:rsidR="004D3373" w:rsidRPr="004D3373" w14:paraId="7E7A1290"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542C9D34" w14:textId="77777777" w:rsidR="004D3373" w:rsidRPr="004D3373" w:rsidRDefault="004D3373" w:rsidP="004D3373">
            <w:pPr>
              <w:spacing w:after="0" w:line="240" w:lineRule="auto"/>
              <w:ind w:left="170"/>
              <w:jc w:val="left"/>
              <w:rPr>
                <w:rFonts w:ascii="Arial" w:hAnsi="Arial" w:cs="Arial"/>
                <w:b/>
                <w:bCs/>
                <w:color w:val="000000"/>
                <w:sz w:val="16"/>
                <w:szCs w:val="16"/>
              </w:rPr>
            </w:pPr>
            <w:r w:rsidRPr="004D3373">
              <w:rPr>
                <w:rFonts w:ascii="Arial" w:hAnsi="Arial" w:cs="Arial"/>
                <w:b/>
                <w:bCs/>
                <w:color w:val="000000"/>
                <w:sz w:val="16"/>
                <w:szCs w:val="16"/>
              </w:rPr>
              <w:t>activities</w:t>
            </w:r>
          </w:p>
        </w:tc>
        <w:tc>
          <w:tcPr>
            <w:tcW w:w="519" w:type="pct"/>
            <w:tcBorders>
              <w:top w:val="nil"/>
              <w:left w:val="nil"/>
              <w:bottom w:val="nil"/>
              <w:right w:val="nil"/>
            </w:tcBorders>
            <w:shd w:val="clear" w:color="000000" w:fill="FFFFFF"/>
            <w:noWrap/>
            <w:vAlign w:val="center"/>
            <w:hideMark/>
          </w:tcPr>
          <w:p w14:paraId="4E97C7CE" w14:textId="0B97B841"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176,312</w:t>
            </w:r>
          </w:p>
        </w:tc>
        <w:tc>
          <w:tcPr>
            <w:tcW w:w="519" w:type="pct"/>
            <w:tcBorders>
              <w:top w:val="nil"/>
              <w:left w:val="nil"/>
              <w:bottom w:val="nil"/>
              <w:right w:val="nil"/>
            </w:tcBorders>
            <w:shd w:val="clear" w:color="000000" w:fill="F2F9FC"/>
            <w:noWrap/>
            <w:vAlign w:val="center"/>
            <w:hideMark/>
          </w:tcPr>
          <w:p w14:paraId="2FD9039A" w14:textId="2E562D9D"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545,751</w:t>
            </w:r>
          </w:p>
        </w:tc>
        <w:tc>
          <w:tcPr>
            <w:tcW w:w="519" w:type="pct"/>
            <w:tcBorders>
              <w:top w:val="nil"/>
              <w:left w:val="nil"/>
              <w:bottom w:val="nil"/>
              <w:right w:val="nil"/>
            </w:tcBorders>
            <w:shd w:val="clear" w:color="000000" w:fill="FFFFFF"/>
            <w:noWrap/>
            <w:vAlign w:val="center"/>
            <w:hideMark/>
          </w:tcPr>
          <w:p w14:paraId="336BF5A6" w14:textId="6D040C09"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637,827</w:t>
            </w:r>
          </w:p>
        </w:tc>
        <w:tc>
          <w:tcPr>
            <w:tcW w:w="519" w:type="pct"/>
            <w:tcBorders>
              <w:top w:val="nil"/>
              <w:left w:val="nil"/>
              <w:bottom w:val="nil"/>
              <w:right w:val="nil"/>
            </w:tcBorders>
            <w:shd w:val="clear" w:color="000000" w:fill="FFFFFF"/>
            <w:noWrap/>
            <w:vAlign w:val="center"/>
            <w:hideMark/>
          </w:tcPr>
          <w:p w14:paraId="4FBBBED1" w14:textId="14D1EB8A"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698,634</w:t>
            </w:r>
          </w:p>
        </w:tc>
        <w:tc>
          <w:tcPr>
            <w:tcW w:w="518" w:type="pct"/>
            <w:tcBorders>
              <w:top w:val="nil"/>
              <w:left w:val="nil"/>
              <w:bottom w:val="nil"/>
              <w:right w:val="nil"/>
            </w:tcBorders>
            <w:shd w:val="clear" w:color="000000" w:fill="FFFFFF"/>
            <w:noWrap/>
            <w:vAlign w:val="center"/>
            <w:hideMark/>
          </w:tcPr>
          <w:p w14:paraId="709425C6" w14:textId="1719E2E2"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709,685</w:t>
            </w:r>
          </w:p>
        </w:tc>
      </w:tr>
      <w:tr w:rsidR="004D3373" w:rsidRPr="004D3373" w14:paraId="597834A8"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2C272569" w14:textId="77777777" w:rsidR="004D3373" w:rsidRPr="004D3373" w:rsidRDefault="004D3373" w:rsidP="004D3373">
            <w:pPr>
              <w:spacing w:after="0" w:line="240" w:lineRule="auto"/>
              <w:jc w:val="lef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74D2F3CD"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5BDFE453"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374730E0"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412ACA5B"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c>
          <w:tcPr>
            <w:tcW w:w="518" w:type="pct"/>
            <w:tcBorders>
              <w:top w:val="nil"/>
              <w:left w:val="nil"/>
              <w:bottom w:val="nil"/>
              <w:right w:val="nil"/>
            </w:tcBorders>
            <w:shd w:val="clear" w:color="000000" w:fill="FFFFFF"/>
            <w:noWrap/>
            <w:vAlign w:val="center"/>
            <w:hideMark/>
          </w:tcPr>
          <w:p w14:paraId="21A1DBC1" w14:textId="77777777" w:rsidR="004D3373" w:rsidRPr="004D3373" w:rsidRDefault="004D3373" w:rsidP="004D3373">
            <w:pPr>
              <w:spacing w:after="0" w:line="240" w:lineRule="auto"/>
              <w:jc w:val="right"/>
              <w:rPr>
                <w:rFonts w:ascii="Arial" w:hAnsi="Arial" w:cs="Arial"/>
                <w:color w:val="000000"/>
                <w:sz w:val="16"/>
                <w:szCs w:val="16"/>
              </w:rPr>
            </w:pPr>
            <w:r w:rsidRPr="004D3373">
              <w:rPr>
                <w:rFonts w:ascii="Arial" w:hAnsi="Arial" w:cs="Arial"/>
                <w:color w:val="000000"/>
                <w:sz w:val="16"/>
                <w:szCs w:val="16"/>
              </w:rPr>
              <w:t> </w:t>
            </w:r>
          </w:p>
        </w:tc>
      </w:tr>
      <w:tr w:rsidR="004D3373" w:rsidRPr="004D3373" w14:paraId="6B70D215" w14:textId="77777777" w:rsidTr="0034104B">
        <w:trPr>
          <w:trHeight w:hRule="exact" w:val="225"/>
        </w:trPr>
        <w:tc>
          <w:tcPr>
            <w:tcW w:w="2407" w:type="pct"/>
            <w:tcBorders>
              <w:top w:val="nil"/>
              <w:left w:val="nil"/>
              <w:bottom w:val="nil"/>
              <w:right w:val="nil"/>
            </w:tcBorders>
            <w:shd w:val="clear" w:color="000000" w:fill="FFFFFF"/>
            <w:noWrap/>
            <w:vAlign w:val="center"/>
            <w:hideMark/>
          </w:tcPr>
          <w:p w14:paraId="7388FE0D"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cash flows from financing activities</w:t>
            </w:r>
          </w:p>
        </w:tc>
        <w:tc>
          <w:tcPr>
            <w:tcW w:w="519" w:type="pct"/>
            <w:tcBorders>
              <w:top w:val="nil"/>
              <w:left w:val="nil"/>
              <w:bottom w:val="nil"/>
              <w:right w:val="nil"/>
            </w:tcBorders>
            <w:shd w:val="clear" w:color="000000" w:fill="FFFFFF"/>
            <w:noWrap/>
            <w:vAlign w:val="center"/>
            <w:hideMark/>
          </w:tcPr>
          <w:p w14:paraId="69871D93"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86,305</w:t>
            </w:r>
          </w:p>
        </w:tc>
        <w:tc>
          <w:tcPr>
            <w:tcW w:w="519" w:type="pct"/>
            <w:tcBorders>
              <w:top w:val="nil"/>
              <w:left w:val="nil"/>
              <w:bottom w:val="nil"/>
              <w:right w:val="nil"/>
            </w:tcBorders>
            <w:shd w:val="clear" w:color="000000" w:fill="F2F9FC"/>
            <w:noWrap/>
            <w:vAlign w:val="center"/>
            <w:hideMark/>
          </w:tcPr>
          <w:p w14:paraId="7F867D1F"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66,986</w:t>
            </w:r>
          </w:p>
        </w:tc>
        <w:tc>
          <w:tcPr>
            <w:tcW w:w="519" w:type="pct"/>
            <w:tcBorders>
              <w:top w:val="nil"/>
              <w:left w:val="nil"/>
              <w:bottom w:val="nil"/>
              <w:right w:val="nil"/>
            </w:tcBorders>
            <w:shd w:val="clear" w:color="000000" w:fill="FFFFFF"/>
            <w:noWrap/>
            <w:vAlign w:val="center"/>
            <w:hideMark/>
          </w:tcPr>
          <w:p w14:paraId="657AFD9A"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76,243</w:t>
            </w:r>
          </w:p>
        </w:tc>
        <w:tc>
          <w:tcPr>
            <w:tcW w:w="519" w:type="pct"/>
            <w:tcBorders>
              <w:top w:val="nil"/>
              <w:left w:val="nil"/>
              <w:bottom w:val="nil"/>
              <w:right w:val="nil"/>
            </w:tcBorders>
            <w:shd w:val="clear" w:color="000000" w:fill="FFFFFF"/>
            <w:noWrap/>
            <w:vAlign w:val="center"/>
            <w:hideMark/>
          </w:tcPr>
          <w:p w14:paraId="3A5FFA27"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57,657</w:t>
            </w:r>
          </w:p>
        </w:tc>
        <w:tc>
          <w:tcPr>
            <w:tcW w:w="518" w:type="pct"/>
            <w:tcBorders>
              <w:top w:val="nil"/>
              <w:left w:val="nil"/>
              <w:bottom w:val="nil"/>
              <w:right w:val="nil"/>
            </w:tcBorders>
            <w:shd w:val="clear" w:color="000000" w:fill="FFFFFF"/>
            <w:noWrap/>
            <w:vAlign w:val="center"/>
            <w:hideMark/>
          </w:tcPr>
          <w:p w14:paraId="0F0C71A7"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50,035</w:t>
            </w:r>
          </w:p>
        </w:tc>
      </w:tr>
      <w:tr w:rsidR="004D3373" w:rsidRPr="004D3373" w14:paraId="46158D37" w14:textId="77777777" w:rsidTr="0034104B">
        <w:trPr>
          <w:trHeight w:hRule="exact" w:val="60"/>
        </w:trPr>
        <w:tc>
          <w:tcPr>
            <w:tcW w:w="2407" w:type="pct"/>
            <w:tcBorders>
              <w:top w:val="nil"/>
              <w:left w:val="nil"/>
              <w:bottom w:val="nil"/>
              <w:right w:val="nil"/>
            </w:tcBorders>
            <w:shd w:val="clear" w:color="000000" w:fill="FFFFFF"/>
            <w:noWrap/>
            <w:vAlign w:val="center"/>
            <w:hideMark/>
          </w:tcPr>
          <w:p w14:paraId="6238553B"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center"/>
            <w:hideMark/>
          </w:tcPr>
          <w:p w14:paraId="262A9DF7"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 </w:t>
            </w:r>
          </w:p>
        </w:tc>
        <w:tc>
          <w:tcPr>
            <w:tcW w:w="519" w:type="pct"/>
            <w:tcBorders>
              <w:top w:val="nil"/>
              <w:left w:val="nil"/>
              <w:bottom w:val="nil"/>
              <w:right w:val="nil"/>
            </w:tcBorders>
            <w:shd w:val="clear" w:color="000000" w:fill="F2F9FC"/>
            <w:noWrap/>
            <w:vAlign w:val="center"/>
            <w:hideMark/>
          </w:tcPr>
          <w:p w14:paraId="4BFAC4ED"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center"/>
            <w:hideMark/>
          </w:tcPr>
          <w:p w14:paraId="6E619AC7"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center"/>
            <w:hideMark/>
          </w:tcPr>
          <w:p w14:paraId="317BA69A"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 </w:t>
            </w:r>
          </w:p>
        </w:tc>
        <w:tc>
          <w:tcPr>
            <w:tcW w:w="518" w:type="pct"/>
            <w:tcBorders>
              <w:top w:val="nil"/>
              <w:left w:val="nil"/>
              <w:bottom w:val="nil"/>
              <w:right w:val="nil"/>
            </w:tcBorders>
            <w:shd w:val="clear" w:color="000000" w:fill="FFFFFF"/>
            <w:noWrap/>
            <w:vAlign w:val="center"/>
            <w:hideMark/>
          </w:tcPr>
          <w:p w14:paraId="6FB32168"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 </w:t>
            </w:r>
          </w:p>
        </w:tc>
      </w:tr>
      <w:tr w:rsidR="00786B91" w:rsidRPr="004D3373" w14:paraId="7E837D4E" w14:textId="77777777" w:rsidTr="005D0BF7">
        <w:trPr>
          <w:trHeight w:val="225"/>
        </w:trPr>
        <w:tc>
          <w:tcPr>
            <w:tcW w:w="2407" w:type="pct"/>
            <w:tcBorders>
              <w:top w:val="nil"/>
              <w:left w:val="nil"/>
              <w:bottom w:val="single" w:sz="4" w:space="0" w:color="000000"/>
              <w:right w:val="nil"/>
            </w:tcBorders>
            <w:shd w:val="clear" w:color="000000" w:fill="FFFFFF"/>
            <w:noWrap/>
            <w:vAlign w:val="center"/>
            <w:hideMark/>
          </w:tcPr>
          <w:p w14:paraId="43D74954" w14:textId="77777777" w:rsidR="004D3373" w:rsidRPr="004D3373" w:rsidRDefault="004D3373" w:rsidP="004D3373">
            <w:pPr>
              <w:spacing w:after="0" w:line="240" w:lineRule="auto"/>
              <w:jc w:val="left"/>
              <w:rPr>
                <w:rFonts w:ascii="Arial" w:hAnsi="Arial" w:cs="Arial"/>
                <w:b/>
                <w:bCs/>
                <w:color w:val="000000"/>
                <w:sz w:val="16"/>
                <w:szCs w:val="16"/>
              </w:rPr>
            </w:pPr>
            <w:r w:rsidRPr="004D3373">
              <w:rPr>
                <w:rFonts w:ascii="Arial" w:hAnsi="Arial" w:cs="Arial"/>
                <w:b/>
                <w:bCs/>
                <w:color w:val="000000"/>
                <w:sz w:val="16"/>
                <w:szCs w:val="16"/>
              </w:rPr>
              <w:t>Net increase/(decrease) in cash held</w:t>
            </w:r>
          </w:p>
        </w:tc>
        <w:tc>
          <w:tcPr>
            <w:tcW w:w="519" w:type="pct"/>
            <w:tcBorders>
              <w:top w:val="nil"/>
              <w:left w:val="nil"/>
              <w:bottom w:val="single" w:sz="4" w:space="0" w:color="000000"/>
              <w:right w:val="nil"/>
            </w:tcBorders>
            <w:shd w:val="clear" w:color="000000" w:fill="FFFFFF"/>
            <w:noWrap/>
            <w:vAlign w:val="bottom"/>
            <w:hideMark/>
          </w:tcPr>
          <w:p w14:paraId="3524E6E5" w14:textId="44FED910"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184</w:t>
            </w:r>
          </w:p>
        </w:tc>
        <w:tc>
          <w:tcPr>
            <w:tcW w:w="519" w:type="pct"/>
            <w:tcBorders>
              <w:top w:val="nil"/>
              <w:left w:val="nil"/>
              <w:bottom w:val="single" w:sz="4" w:space="0" w:color="000000"/>
              <w:right w:val="nil"/>
            </w:tcBorders>
            <w:shd w:val="clear" w:color="000000" w:fill="F2F9FC"/>
            <w:noWrap/>
            <w:vAlign w:val="bottom"/>
            <w:hideMark/>
          </w:tcPr>
          <w:p w14:paraId="63BAAEB0" w14:textId="6C03C017" w:rsidR="004D3373" w:rsidRPr="004D3373" w:rsidRDefault="00660645" w:rsidP="004D3373">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D3373" w:rsidRPr="004D3373">
              <w:rPr>
                <w:rFonts w:ascii="Arial" w:hAnsi="Arial" w:cs="Arial"/>
                <w:b/>
                <w:bCs/>
                <w:color w:val="000000"/>
                <w:sz w:val="16"/>
                <w:szCs w:val="16"/>
              </w:rPr>
              <w:t>26,120</w:t>
            </w:r>
          </w:p>
        </w:tc>
        <w:tc>
          <w:tcPr>
            <w:tcW w:w="519" w:type="pct"/>
            <w:tcBorders>
              <w:top w:val="nil"/>
              <w:left w:val="nil"/>
              <w:bottom w:val="single" w:sz="4" w:space="0" w:color="auto"/>
              <w:right w:val="nil"/>
            </w:tcBorders>
            <w:shd w:val="clear" w:color="000000" w:fill="FFFFFF"/>
            <w:noWrap/>
            <w:vAlign w:val="bottom"/>
            <w:hideMark/>
          </w:tcPr>
          <w:p w14:paraId="0BCC8B6E"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13,222</w:t>
            </w:r>
          </w:p>
        </w:tc>
        <w:tc>
          <w:tcPr>
            <w:tcW w:w="519" w:type="pct"/>
            <w:tcBorders>
              <w:top w:val="nil"/>
              <w:left w:val="nil"/>
              <w:bottom w:val="single" w:sz="4" w:space="0" w:color="auto"/>
              <w:right w:val="nil"/>
            </w:tcBorders>
            <w:shd w:val="clear" w:color="000000" w:fill="FFFFFF"/>
            <w:noWrap/>
            <w:vAlign w:val="bottom"/>
            <w:hideMark/>
          </w:tcPr>
          <w:p w14:paraId="410DA73E"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1,328</w:t>
            </w:r>
          </w:p>
        </w:tc>
        <w:tc>
          <w:tcPr>
            <w:tcW w:w="518" w:type="pct"/>
            <w:tcBorders>
              <w:top w:val="nil"/>
              <w:left w:val="nil"/>
              <w:bottom w:val="single" w:sz="4" w:space="0" w:color="000000"/>
              <w:right w:val="nil"/>
            </w:tcBorders>
            <w:shd w:val="clear" w:color="000000" w:fill="FFFFFF"/>
            <w:noWrap/>
            <w:vAlign w:val="bottom"/>
            <w:hideMark/>
          </w:tcPr>
          <w:p w14:paraId="43D5DCC6" w14:textId="77777777" w:rsidR="004D3373" w:rsidRPr="004D3373" w:rsidRDefault="004D3373" w:rsidP="004D3373">
            <w:pPr>
              <w:spacing w:after="0" w:line="240" w:lineRule="auto"/>
              <w:jc w:val="right"/>
              <w:rPr>
                <w:rFonts w:ascii="Arial" w:hAnsi="Arial" w:cs="Arial"/>
                <w:b/>
                <w:bCs/>
                <w:color w:val="000000"/>
                <w:sz w:val="16"/>
                <w:szCs w:val="16"/>
              </w:rPr>
            </w:pPr>
            <w:r w:rsidRPr="004D3373">
              <w:rPr>
                <w:rFonts w:ascii="Arial" w:hAnsi="Arial" w:cs="Arial"/>
                <w:b/>
                <w:bCs/>
                <w:color w:val="000000"/>
                <w:sz w:val="16"/>
                <w:szCs w:val="16"/>
              </w:rPr>
              <w:t>798</w:t>
            </w:r>
          </w:p>
        </w:tc>
      </w:tr>
    </w:tbl>
    <w:p w14:paraId="5C0445A4" w14:textId="77517C9A" w:rsidR="004A095C" w:rsidRDefault="004A095C" w:rsidP="004A095C">
      <w:pPr>
        <w:pStyle w:val="ChartandTableFootnoteAlpha"/>
        <w:tabs>
          <w:tab w:val="clear" w:pos="284"/>
        </w:tabs>
        <w:rPr>
          <w:rFonts w:ascii="Arial Bold" w:hAnsi="Arial Bold"/>
        </w:rPr>
      </w:pPr>
    </w:p>
    <w:p w14:paraId="62ED8070" w14:textId="77777777" w:rsidR="004A095C" w:rsidRDefault="004A095C">
      <w:pPr>
        <w:spacing w:after="160" w:line="259" w:lineRule="auto"/>
        <w:jc w:val="left"/>
        <w:rPr>
          <w:rFonts w:ascii="Arial Bold" w:hAnsi="Arial Bold"/>
          <w:color w:val="000000"/>
          <w:sz w:val="16"/>
        </w:rPr>
      </w:pPr>
      <w:r>
        <w:rPr>
          <w:rFonts w:ascii="Arial Bold" w:hAnsi="Arial Bold"/>
        </w:rPr>
        <w:br w:type="page"/>
      </w:r>
    </w:p>
    <w:p w14:paraId="14BD6F10" w14:textId="78A544E8" w:rsidR="004A095C" w:rsidRDefault="004A095C" w:rsidP="007034CA">
      <w:pPr>
        <w:spacing w:after="0"/>
        <w:jc w:val="left"/>
        <w:rPr>
          <w:rFonts w:asciiTheme="minorHAnsi" w:eastAsiaTheme="minorHAnsi" w:hAnsiTheme="minorHAnsi" w:cstheme="minorBidi"/>
          <w:sz w:val="22"/>
          <w:szCs w:val="22"/>
          <w:lang w:eastAsia="en-US"/>
        </w:rPr>
      </w:pPr>
      <w:r w:rsidRPr="00676477">
        <w:rPr>
          <w:rFonts w:ascii="Arial Bold" w:hAnsi="Arial Bold"/>
          <w:b/>
          <w:spacing w:val="-4"/>
        </w:rPr>
        <w:t>Table A3: Australian Government general government sector cash flow statemen</w:t>
      </w:r>
      <w:r w:rsidR="00531408" w:rsidRPr="00676477">
        <w:rPr>
          <w:rFonts w:ascii="Arial Bold" w:hAnsi="Arial Bold"/>
          <w:b/>
          <w:spacing w:val="-4"/>
        </w:rPr>
        <w:t>t (continued)</w:t>
      </w:r>
      <w:r w:rsidR="007034CA">
        <w:rPr>
          <w:rFonts w:ascii="Arial Bold" w:hAnsi="Arial Bold"/>
          <w:b/>
          <w:spacing w:val="-4"/>
          <w:vertAlign w:val="superscript"/>
        </w:rPr>
        <w:t>(a)</w:t>
      </w:r>
      <w:bookmarkStart w:id="68" w:name="_1711895837"/>
      <w:bookmarkEnd w:id="68"/>
    </w:p>
    <w:tbl>
      <w:tblPr>
        <w:tblW w:w="5000" w:type="pct"/>
        <w:tblCellMar>
          <w:left w:w="0" w:type="dxa"/>
          <w:right w:w="28" w:type="dxa"/>
        </w:tblCellMar>
        <w:tblLook w:val="04A0" w:firstRow="1" w:lastRow="0" w:firstColumn="1" w:lastColumn="0" w:noHBand="0" w:noVBand="1"/>
      </w:tblPr>
      <w:tblGrid>
        <w:gridCol w:w="3711"/>
        <w:gridCol w:w="800"/>
        <w:gridCol w:w="800"/>
        <w:gridCol w:w="800"/>
        <w:gridCol w:w="800"/>
        <w:gridCol w:w="799"/>
      </w:tblGrid>
      <w:tr w:rsidR="004A095C" w:rsidRPr="004A095C" w14:paraId="545FCE58" w14:textId="77777777" w:rsidTr="00AA5348">
        <w:trPr>
          <w:trHeight w:hRule="exact" w:val="225"/>
        </w:trPr>
        <w:tc>
          <w:tcPr>
            <w:tcW w:w="2406" w:type="pct"/>
            <w:tcBorders>
              <w:top w:val="single" w:sz="4" w:space="0" w:color="auto"/>
              <w:left w:val="nil"/>
              <w:bottom w:val="nil"/>
              <w:right w:val="nil"/>
            </w:tcBorders>
            <w:shd w:val="clear" w:color="000000" w:fill="FFFFFF"/>
            <w:noWrap/>
            <w:vAlign w:val="center"/>
            <w:hideMark/>
          </w:tcPr>
          <w:p w14:paraId="4F78E20A" w14:textId="44087D58" w:rsidR="004A095C" w:rsidRPr="004A095C" w:rsidRDefault="004A095C" w:rsidP="004A095C">
            <w:pPr>
              <w:spacing w:after="0" w:line="240" w:lineRule="auto"/>
              <w:jc w:val="left"/>
              <w:rPr>
                <w:rFonts w:ascii="Arial" w:hAnsi="Arial" w:cs="Arial"/>
                <w:b/>
                <w:bCs/>
                <w:color w:val="000000"/>
                <w:sz w:val="16"/>
                <w:szCs w:val="16"/>
              </w:rPr>
            </w:pPr>
            <w:r w:rsidRPr="004A095C">
              <w:rPr>
                <w:rFonts w:ascii="Arial" w:hAnsi="Arial" w:cs="Arial"/>
                <w:b/>
                <w:bCs/>
                <w:color w:val="000000"/>
                <w:sz w:val="16"/>
                <w:szCs w:val="16"/>
              </w:rPr>
              <w:t> </w:t>
            </w:r>
          </w:p>
        </w:tc>
        <w:tc>
          <w:tcPr>
            <w:tcW w:w="2594" w:type="pct"/>
            <w:gridSpan w:val="5"/>
            <w:tcBorders>
              <w:top w:val="single" w:sz="4" w:space="0" w:color="auto"/>
              <w:left w:val="nil"/>
              <w:bottom w:val="single" w:sz="4" w:space="0" w:color="000000"/>
              <w:right w:val="nil"/>
            </w:tcBorders>
            <w:shd w:val="clear" w:color="000000" w:fill="FFFFFF"/>
            <w:noWrap/>
            <w:vAlign w:val="center"/>
            <w:hideMark/>
          </w:tcPr>
          <w:p w14:paraId="6B847A96" w14:textId="77777777" w:rsidR="004A095C" w:rsidRPr="004A095C" w:rsidRDefault="004A095C" w:rsidP="004A095C">
            <w:pPr>
              <w:spacing w:after="0" w:line="240" w:lineRule="auto"/>
              <w:jc w:val="center"/>
              <w:rPr>
                <w:rFonts w:ascii="Arial" w:hAnsi="Arial" w:cs="Arial"/>
                <w:sz w:val="16"/>
                <w:szCs w:val="16"/>
              </w:rPr>
            </w:pPr>
            <w:r w:rsidRPr="004A095C">
              <w:rPr>
                <w:rFonts w:ascii="Arial" w:hAnsi="Arial" w:cs="Arial"/>
                <w:sz w:val="16"/>
                <w:szCs w:val="16"/>
              </w:rPr>
              <w:t>Estimates</w:t>
            </w:r>
          </w:p>
        </w:tc>
      </w:tr>
      <w:tr w:rsidR="004A095C" w:rsidRPr="004A095C" w14:paraId="22B0D2AD"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7A7BD790" w14:textId="77777777" w:rsidR="004A095C" w:rsidRPr="004A095C" w:rsidRDefault="004A095C" w:rsidP="004A095C">
            <w:pPr>
              <w:spacing w:after="0" w:line="240" w:lineRule="auto"/>
              <w:jc w:val="left"/>
              <w:rPr>
                <w:rFonts w:ascii="Arial" w:hAnsi="Arial" w:cs="Arial"/>
                <w:sz w:val="16"/>
                <w:szCs w:val="16"/>
              </w:rPr>
            </w:pPr>
            <w:r w:rsidRPr="004A095C">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7C09A818" w14:textId="2F94E4EE"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2021</w:t>
            </w:r>
            <w:r w:rsidR="00660645">
              <w:rPr>
                <w:rFonts w:ascii="Arial" w:hAnsi="Arial" w:cs="Arial"/>
                <w:color w:val="000000"/>
                <w:sz w:val="16"/>
                <w:szCs w:val="16"/>
              </w:rPr>
              <w:noBreakHyphen/>
            </w:r>
            <w:r w:rsidRPr="004A095C">
              <w:rPr>
                <w:rFonts w:ascii="Arial" w:hAnsi="Arial" w:cs="Arial"/>
                <w:color w:val="000000"/>
                <w:sz w:val="16"/>
                <w:szCs w:val="16"/>
              </w:rPr>
              <w:t>22</w:t>
            </w:r>
          </w:p>
        </w:tc>
        <w:tc>
          <w:tcPr>
            <w:tcW w:w="519" w:type="pct"/>
            <w:tcBorders>
              <w:top w:val="nil"/>
              <w:left w:val="nil"/>
              <w:bottom w:val="nil"/>
              <w:right w:val="nil"/>
            </w:tcBorders>
            <w:shd w:val="clear" w:color="000000" w:fill="F2F9FC"/>
            <w:noWrap/>
            <w:vAlign w:val="center"/>
            <w:hideMark/>
          </w:tcPr>
          <w:p w14:paraId="1982996E" w14:textId="0FEADD6C"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2022</w:t>
            </w:r>
            <w:r w:rsidR="00660645">
              <w:rPr>
                <w:rFonts w:ascii="Arial" w:hAnsi="Arial" w:cs="Arial"/>
                <w:color w:val="000000"/>
                <w:sz w:val="16"/>
                <w:szCs w:val="16"/>
              </w:rPr>
              <w:noBreakHyphen/>
            </w:r>
            <w:r w:rsidRPr="004A095C">
              <w:rPr>
                <w:rFonts w:ascii="Arial" w:hAnsi="Arial" w:cs="Arial"/>
                <w:color w:val="000000"/>
                <w:sz w:val="16"/>
                <w:szCs w:val="16"/>
              </w:rPr>
              <w:t>23</w:t>
            </w:r>
          </w:p>
        </w:tc>
        <w:tc>
          <w:tcPr>
            <w:tcW w:w="519" w:type="pct"/>
            <w:tcBorders>
              <w:top w:val="nil"/>
              <w:left w:val="nil"/>
              <w:bottom w:val="nil"/>
              <w:right w:val="nil"/>
            </w:tcBorders>
            <w:shd w:val="clear" w:color="000000" w:fill="FFFFFF"/>
            <w:noWrap/>
            <w:vAlign w:val="center"/>
            <w:hideMark/>
          </w:tcPr>
          <w:p w14:paraId="4244DC6A" w14:textId="03F6CB7C"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2023</w:t>
            </w:r>
            <w:r w:rsidR="00660645">
              <w:rPr>
                <w:rFonts w:ascii="Arial" w:hAnsi="Arial" w:cs="Arial"/>
                <w:color w:val="000000"/>
                <w:sz w:val="16"/>
                <w:szCs w:val="16"/>
              </w:rPr>
              <w:noBreakHyphen/>
            </w:r>
            <w:r w:rsidRPr="004A095C">
              <w:rPr>
                <w:rFonts w:ascii="Arial" w:hAnsi="Arial" w:cs="Arial"/>
                <w:color w:val="000000"/>
                <w:sz w:val="16"/>
                <w:szCs w:val="16"/>
              </w:rPr>
              <w:t>24</w:t>
            </w:r>
          </w:p>
        </w:tc>
        <w:tc>
          <w:tcPr>
            <w:tcW w:w="519" w:type="pct"/>
            <w:tcBorders>
              <w:top w:val="nil"/>
              <w:left w:val="nil"/>
              <w:bottom w:val="nil"/>
              <w:right w:val="nil"/>
            </w:tcBorders>
            <w:shd w:val="clear" w:color="000000" w:fill="FFFFFF"/>
            <w:noWrap/>
            <w:vAlign w:val="center"/>
            <w:hideMark/>
          </w:tcPr>
          <w:p w14:paraId="66C8A4F9" w14:textId="60D525B6"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2024</w:t>
            </w:r>
            <w:r w:rsidR="00660645">
              <w:rPr>
                <w:rFonts w:ascii="Arial" w:hAnsi="Arial" w:cs="Arial"/>
                <w:color w:val="000000"/>
                <w:sz w:val="16"/>
                <w:szCs w:val="16"/>
              </w:rPr>
              <w:noBreakHyphen/>
            </w:r>
            <w:r w:rsidRPr="004A095C">
              <w:rPr>
                <w:rFonts w:ascii="Arial" w:hAnsi="Arial" w:cs="Arial"/>
                <w:color w:val="000000"/>
                <w:sz w:val="16"/>
                <w:szCs w:val="16"/>
              </w:rPr>
              <w:t>25</w:t>
            </w:r>
          </w:p>
        </w:tc>
        <w:tc>
          <w:tcPr>
            <w:tcW w:w="519" w:type="pct"/>
            <w:tcBorders>
              <w:top w:val="nil"/>
              <w:left w:val="nil"/>
              <w:bottom w:val="nil"/>
              <w:right w:val="nil"/>
            </w:tcBorders>
            <w:shd w:val="clear" w:color="000000" w:fill="FFFFFF"/>
            <w:noWrap/>
            <w:vAlign w:val="center"/>
            <w:hideMark/>
          </w:tcPr>
          <w:p w14:paraId="3A6DD5D3" w14:textId="6DE143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2025</w:t>
            </w:r>
            <w:r w:rsidR="00660645">
              <w:rPr>
                <w:rFonts w:ascii="Arial" w:hAnsi="Arial" w:cs="Arial"/>
                <w:color w:val="000000"/>
                <w:sz w:val="16"/>
                <w:szCs w:val="16"/>
              </w:rPr>
              <w:noBreakHyphen/>
            </w:r>
            <w:r w:rsidRPr="004A095C">
              <w:rPr>
                <w:rFonts w:ascii="Arial" w:hAnsi="Arial" w:cs="Arial"/>
                <w:color w:val="000000"/>
                <w:sz w:val="16"/>
                <w:szCs w:val="16"/>
              </w:rPr>
              <w:t>26</w:t>
            </w:r>
          </w:p>
        </w:tc>
      </w:tr>
      <w:tr w:rsidR="004A095C" w:rsidRPr="004A095C" w14:paraId="1141FD5A"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748EF436" w14:textId="77777777" w:rsidR="004A095C" w:rsidRPr="004A095C" w:rsidRDefault="004A095C" w:rsidP="004A095C">
            <w:pPr>
              <w:spacing w:after="0" w:line="240" w:lineRule="auto"/>
              <w:jc w:val="left"/>
              <w:rPr>
                <w:rFonts w:ascii="Arial" w:hAnsi="Arial" w:cs="Arial"/>
                <w:sz w:val="16"/>
                <w:szCs w:val="16"/>
              </w:rPr>
            </w:pPr>
            <w:r w:rsidRPr="004A095C">
              <w:rPr>
                <w:rFonts w:ascii="Arial" w:hAnsi="Arial" w:cs="Arial"/>
                <w:sz w:val="16"/>
                <w:szCs w:val="16"/>
              </w:rPr>
              <w:t> </w:t>
            </w:r>
          </w:p>
        </w:tc>
        <w:tc>
          <w:tcPr>
            <w:tcW w:w="519" w:type="pct"/>
            <w:tcBorders>
              <w:top w:val="nil"/>
              <w:left w:val="nil"/>
              <w:bottom w:val="single" w:sz="4" w:space="0" w:color="000000"/>
              <w:right w:val="nil"/>
            </w:tcBorders>
            <w:shd w:val="clear" w:color="000000" w:fill="FFFFFF"/>
            <w:noWrap/>
            <w:vAlign w:val="center"/>
            <w:hideMark/>
          </w:tcPr>
          <w:p w14:paraId="2B3BB2C1"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2F9FC"/>
            <w:noWrap/>
            <w:vAlign w:val="center"/>
            <w:hideMark/>
          </w:tcPr>
          <w:p w14:paraId="2C4568C3"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FFFFF"/>
            <w:noWrap/>
            <w:vAlign w:val="center"/>
            <w:hideMark/>
          </w:tcPr>
          <w:p w14:paraId="7DD0C1B9"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FFFFF"/>
            <w:noWrap/>
            <w:vAlign w:val="center"/>
            <w:hideMark/>
          </w:tcPr>
          <w:p w14:paraId="4CA4E1F3"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$m</w:t>
            </w:r>
          </w:p>
        </w:tc>
        <w:tc>
          <w:tcPr>
            <w:tcW w:w="519" w:type="pct"/>
            <w:tcBorders>
              <w:top w:val="nil"/>
              <w:left w:val="nil"/>
              <w:bottom w:val="single" w:sz="4" w:space="0" w:color="000000"/>
              <w:right w:val="nil"/>
            </w:tcBorders>
            <w:shd w:val="clear" w:color="000000" w:fill="FFFFFF"/>
            <w:noWrap/>
            <w:vAlign w:val="center"/>
            <w:hideMark/>
          </w:tcPr>
          <w:p w14:paraId="6C7CF7F9"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$m</w:t>
            </w:r>
          </w:p>
        </w:tc>
      </w:tr>
      <w:tr w:rsidR="004A095C" w:rsidRPr="004A095C" w14:paraId="0AC524D5"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2BA11CC5" w14:textId="77777777" w:rsidR="004A095C" w:rsidRPr="004A095C" w:rsidRDefault="004A095C" w:rsidP="004A095C">
            <w:pPr>
              <w:spacing w:after="0" w:line="240" w:lineRule="auto"/>
              <w:jc w:val="left"/>
              <w:rPr>
                <w:rFonts w:ascii="Arial" w:hAnsi="Arial" w:cs="Arial"/>
                <w:b/>
                <w:bCs/>
                <w:color w:val="000000"/>
                <w:sz w:val="16"/>
                <w:szCs w:val="16"/>
              </w:rPr>
            </w:pPr>
            <w:r w:rsidRPr="004A095C">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center"/>
            <w:hideMark/>
          </w:tcPr>
          <w:p w14:paraId="5ED97872" w14:textId="77777777" w:rsidR="004A095C" w:rsidRPr="004A095C" w:rsidRDefault="004A095C" w:rsidP="004A095C">
            <w:pPr>
              <w:spacing w:after="0" w:line="240" w:lineRule="auto"/>
              <w:jc w:val="center"/>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57EEA72C" w14:textId="77777777" w:rsidR="004A095C" w:rsidRPr="004A095C" w:rsidRDefault="004A095C" w:rsidP="004A095C">
            <w:pPr>
              <w:spacing w:after="0" w:line="240" w:lineRule="auto"/>
              <w:jc w:val="center"/>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79902330" w14:textId="77777777" w:rsidR="004A095C" w:rsidRPr="004A095C" w:rsidRDefault="004A095C" w:rsidP="004A095C">
            <w:pPr>
              <w:spacing w:after="0" w:line="240" w:lineRule="auto"/>
              <w:jc w:val="left"/>
              <w:rPr>
                <w:rFonts w:ascii="Arial" w:hAnsi="Arial" w:cs="Arial"/>
                <w:sz w:val="16"/>
                <w:szCs w:val="16"/>
              </w:rPr>
            </w:pPr>
            <w:r w:rsidRPr="004A095C">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29A2F155" w14:textId="77777777" w:rsidR="004A095C" w:rsidRPr="004A095C" w:rsidRDefault="004A095C" w:rsidP="004A095C">
            <w:pPr>
              <w:spacing w:after="0" w:line="240" w:lineRule="auto"/>
              <w:jc w:val="lef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6B111E52" w14:textId="77777777" w:rsidR="004A095C" w:rsidRPr="004A095C" w:rsidRDefault="004A095C" w:rsidP="004A095C">
            <w:pPr>
              <w:spacing w:after="0" w:line="240" w:lineRule="auto"/>
              <w:jc w:val="left"/>
              <w:rPr>
                <w:rFonts w:ascii="Arial" w:hAnsi="Arial" w:cs="Arial"/>
                <w:color w:val="000000"/>
                <w:sz w:val="16"/>
                <w:szCs w:val="16"/>
              </w:rPr>
            </w:pPr>
            <w:r w:rsidRPr="004A095C">
              <w:rPr>
                <w:rFonts w:ascii="Arial" w:hAnsi="Arial" w:cs="Arial"/>
                <w:color w:val="000000"/>
                <w:sz w:val="16"/>
                <w:szCs w:val="16"/>
              </w:rPr>
              <w:t> </w:t>
            </w:r>
          </w:p>
        </w:tc>
      </w:tr>
      <w:tr w:rsidR="004A095C" w:rsidRPr="004A095C" w14:paraId="0DFA766D"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4822A85D" w14:textId="77777777" w:rsidR="004A095C" w:rsidRPr="004A095C" w:rsidRDefault="004A095C" w:rsidP="004A095C">
            <w:pPr>
              <w:spacing w:after="0" w:line="240" w:lineRule="auto"/>
              <w:ind w:left="170"/>
              <w:jc w:val="left"/>
              <w:rPr>
                <w:rFonts w:ascii="Arial" w:hAnsi="Arial" w:cs="Arial"/>
                <w:b/>
                <w:bCs/>
                <w:color w:val="000000"/>
                <w:sz w:val="16"/>
                <w:szCs w:val="16"/>
              </w:rPr>
            </w:pPr>
            <w:r w:rsidRPr="004A095C">
              <w:rPr>
                <w:rFonts w:ascii="Arial" w:hAnsi="Arial" w:cs="Arial"/>
                <w:b/>
                <w:bCs/>
                <w:color w:val="000000"/>
                <w:sz w:val="16"/>
                <w:szCs w:val="16"/>
              </w:rPr>
              <w:t> </w:t>
            </w:r>
          </w:p>
        </w:tc>
        <w:tc>
          <w:tcPr>
            <w:tcW w:w="519" w:type="pct"/>
            <w:tcBorders>
              <w:top w:val="nil"/>
              <w:left w:val="nil"/>
              <w:bottom w:val="nil"/>
              <w:right w:val="nil"/>
            </w:tcBorders>
            <w:shd w:val="clear" w:color="000000" w:fill="FFFFFF"/>
            <w:noWrap/>
            <w:vAlign w:val="center"/>
            <w:hideMark/>
          </w:tcPr>
          <w:p w14:paraId="74A1DF55" w14:textId="77777777" w:rsidR="004A095C" w:rsidRPr="004A095C" w:rsidRDefault="004A095C" w:rsidP="004A095C">
            <w:pPr>
              <w:spacing w:after="0" w:line="240" w:lineRule="auto"/>
              <w:jc w:val="center"/>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0101C122" w14:textId="77777777" w:rsidR="004A095C" w:rsidRPr="004A095C" w:rsidRDefault="004A095C" w:rsidP="004A095C">
            <w:pPr>
              <w:spacing w:after="0" w:line="240" w:lineRule="auto"/>
              <w:jc w:val="center"/>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3B5AF591" w14:textId="77777777" w:rsidR="004A095C" w:rsidRPr="004A095C" w:rsidRDefault="004A095C" w:rsidP="004A095C">
            <w:pPr>
              <w:spacing w:after="0" w:line="240" w:lineRule="auto"/>
              <w:jc w:val="left"/>
              <w:rPr>
                <w:rFonts w:ascii="Arial" w:hAnsi="Arial" w:cs="Arial"/>
                <w:sz w:val="16"/>
                <w:szCs w:val="16"/>
              </w:rPr>
            </w:pPr>
            <w:r w:rsidRPr="004A095C">
              <w:rPr>
                <w:rFonts w:ascii="Arial" w:hAnsi="Arial" w:cs="Arial"/>
                <w:sz w:val="16"/>
                <w:szCs w:val="16"/>
              </w:rPr>
              <w:t> </w:t>
            </w:r>
          </w:p>
        </w:tc>
        <w:tc>
          <w:tcPr>
            <w:tcW w:w="519" w:type="pct"/>
            <w:tcBorders>
              <w:top w:val="nil"/>
              <w:left w:val="nil"/>
              <w:bottom w:val="nil"/>
              <w:right w:val="nil"/>
            </w:tcBorders>
            <w:shd w:val="clear" w:color="000000" w:fill="FFFFFF"/>
            <w:noWrap/>
            <w:vAlign w:val="center"/>
            <w:hideMark/>
          </w:tcPr>
          <w:p w14:paraId="2B8B88B4" w14:textId="77777777" w:rsidR="004A095C" w:rsidRPr="004A095C" w:rsidRDefault="004A095C" w:rsidP="004A095C">
            <w:pPr>
              <w:spacing w:after="0" w:line="240" w:lineRule="auto"/>
              <w:jc w:val="lef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23083C35" w14:textId="77777777" w:rsidR="004A095C" w:rsidRPr="004A095C" w:rsidRDefault="004A095C" w:rsidP="004A095C">
            <w:pPr>
              <w:spacing w:after="0" w:line="240" w:lineRule="auto"/>
              <w:jc w:val="left"/>
              <w:rPr>
                <w:rFonts w:ascii="Arial" w:hAnsi="Arial" w:cs="Arial"/>
                <w:color w:val="000000"/>
                <w:sz w:val="16"/>
                <w:szCs w:val="16"/>
              </w:rPr>
            </w:pPr>
            <w:r w:rsidRPr="004A095C">
              <w:rPr>
                <w:rFonts w:ascii="Arial" w:hAnsi="Arial" w:cs="Arial"/>
                <w:color w:val="000000"/>
                <w:sz w:val="16"/>
                <w:szCs w:val="16"/>
              </w:rPr>
              <w:t> </w:t>
            </w:r>
          </w:p>
        </w:tc>
      </w:tr>
      <w:tr w:rsidR="004A095C" w:rsidRPr="004A095C" w14:paraId="4FB2E1CB"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5C9DFDC6" w14:textId="16AB9975" w:rsidR="004A095C" w:rsidRPr="004A095C" w:rsidRDefault="004A095C" w:rsidP="004A095C">
            <w:pPr>
              <w:spacing w:after="0" w:line="240" w:lineRule="auto"/>
              <w:jc w:val="left"/>
              <w:rPr>
                <w:rFonts w:ascii="Arial" w:hAnsi="Arial" w:cs="Arial"/>
                <w:b/>
                <w:bCs/>
                <w:color w:val="000000"/>
                <w:sz w:val="16"/>
                <w:szCs w:val="16"/>
              </w:rPr>
            </w:pPr>
            <w:r w:rsidRPr="004A095C">
              <w:rPr>
                <w:rFonts w:ascii="Arial" w:hAnsi="Arial" w:cs="Arial"/>
                <w:b/>
                <w:bCs/>
                <w:color w:val="000000"/>
                <w:sz w:val="16"/>
                <w:szCs w:val="16"/>
              </w:rPr>
              <w:t>GFS cash surplus(+)/deficit(</w:t>
            </w:r>
            <w:r w:rsidR="00660645">
              <w:rPr>
                <w:rFonts w:ascii="Arial" w:hAnsi="Arial" w:cs="Arial"/>
                <w:b/>
                <w:bCs/>
                <w:color w:val="000000"/>
                <w:sz w:val="16"/>
                <w:szCs w:val="16"/>
              </w:rPr>
              <w:noBreakHyphen/>
            </w:r>
            <w:r w:rsidRPr="004A095C">
              <w:rPr>
                <w:rFonts w:ascii="Arial" w:hAnsi="Arial" w:cs="Arial"/>
                <w:b/>
                <w:bCs/>
                <w:color w:val="000000"/>
                <w:sz w:val="16"/>
                <w:szCs w:val="16"/>
              </w:rPr>
              <w:t>)(f)</w:t>
            </w:r>
          </w:p>
        </w:tc>
        <w:tc>
          <w:tcPr>
            <w:tcW w:w="519" w:type="pct"/>
            <w:tcBorders>
              <w:top w:val="nil"/>
              <w:left w:val="nil"/>
              <w:bottom w:val="nil"/>
              <w:right w:val="nil"/>
            </w:tcBorders>
            <w:shd w:val="clear" w:color="000000" w:fill="FFFFFF"/>
            <w:noWrap/>
            <w:vAlign w:val="center"/>
            <w:hideMark/>
          </w:tcPr>
          <w:p w14:paraId="341D8E64" w14:textId="18C4DAA6"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77,339</w:t>
            </w:r>
          </w:p>
        </w:tc>
        <w:tc>
          <w:tcPr>
            <w:tcW w:w="519" w:type="pct"/>
            <w:tcBorders>
              <w:top w:val="nil"/>
              <w:left w:val="nil"/>
              <w:bottom w:val="nil"/>
              <w:right w:val="nil"/>
            </w:tcBorders>
            <w:shd w:val="clear" w:color="000000" w:fill="F2F9FC"/>
            <w:noWrap/>
            <w:vAlign w:val="center"/>
            <w:hideMark/>
          </w:tcPr>
          <w:p w14:paraId="6CEC56A9" w14:textId="78A02146"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75,494</w:t>
            </w:r>
          </w:p>
        </w:tc>
        <w:tc>
          <w:tcPr>
            <w:tcW w:w="519" w:type="pct"/>
            <w:tcBorders>
              <w:top w:val="nil"/>
              <w:left w:val="nil"/>
              <w:bottom w:val="nil"/>
              <w:right w:val="nil"/>
            </w:tcBorders>
            <w:shd w:val="clear" w:color="000000" w:fill="FFFFFF"/>
            <w:noWrap/>
            <w:vAlign w:val="center"/>
            <w:hideMark/>
          </w:tcPr>
          <w:p w14:paraId="41C58469" w14:textId="7BEAEF40"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54,050</w:t>
            </w:r>
          </w:p>
        </w:tc>
        <w:tc>
          <w:tcPr>
            <w:tcW w:w="519" w:type="pct"/>
            <w:tcBorders>
              <w:top w:val="nil"/>
              <w:left w:val="nil"/>
              <w:bottom w:val="nil"/>
              <w:right w:val="nil"/>
            </w:tcBorders>
            <w:shd w:val="clear" w:color="000000" w:fill="FFFFFF"/>
            <w:noWrap/>
            <w:vAlign w:val="center"/>
            <w:hideMark/>
          </w:tcPr>
          <w:p w14:paraId="51758317" w14:textId="5BDC5381"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44,606</w:t>
            </w:r>
          </w:p>
        </w:tc>
        <w:tc>
          <w:tcPr>
            <w:tcW w:w="519" w:type="pct"/>
            <w:tcBorders>
              <w:top w:val="nil"/>
              <w:left w:val="nil"/>
              <w:bottom w:val="nil"/>
              <w:right w:val="nil"/>
            </w:tcBorders>
            <w:shd w:val="clear" w:color="000000" w:fill="FFFFFF"/>
            <w:noWrap/>
            <w:vAlign w:val="center"/>
            <w:hideMark/>
          </w:tcPr>
          <w:p w14:paraId="2432E61E" w14:textId="74BC975E"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40,457</w:t>
            </w:r>
          </w:p>
        </w:tc>
      </w:tr>
      <w:tr w:rsidR="004A095C" w:rsidRPr="004A095C" w14:paraId="6246D8FC"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1C8CFADF" w14:textId="77777777" w:rsidR="004A095C" w:rsidRPr="004A095C" w:rsidRDefault="004A095C" w:rsidP="004A095C">
            <w:pPr>
              <w:spacing w:after="0" w:line="240" w:lineRule="auto"/>
              <w:jc w:val="left"/>
              <w:rPr>
                <w:rFonts w:ascii="Arial" w:hAnsi="Arial" w:cs="Arial"/>
                <w:color w:val="000000"/>
                <w:sz w:val="16"/>
                <w:szCs w:val="16"/>
              </w:rPr>
            </w:pPr>
            <w:r w:rsidRPr="004A095C">
              <w:rPr>
                <w:rFonts w:ascii="Arial" w:hAnsi="Arial" w:cs="Arial"/>
                <w:i/>
                <w:iCs/>
                <w:color w:val="000000"/>
                <w:sz w:val="16"/>
                <w:szCs w:val="16"/>
              </w:rPr>
              <w:t xml:space="preserve">plus </w:t>
            </w:r>
            <w:r w:rsidRPr="004A095C">
              <w:rPr>
                <w:rFonts w:ascii="Arial" w:hAnsi="Arial" w:cs="Arial"/>
                <w:color w:val="000000"/>
                <w:sz w:val="16"/>
                <w:szCs w:val="16"/>
              </w:rPr>
              <w:t>Net cash flows from financing</w:t>
            </w:r>
          </w:p>
        </w:tc>
        <w:tc>
          <w:tcPr>
            <w:tcW w:w="519" w:type="pct"/>
            <w:tcBorders>
              <w:top w:val="nil"/>
              <w:left w:val="nil"/>
              <w:bottom w:val="nil"/>
              <w:right w:val="nil"/>
            </w:tcBorders>
            <w:shd w:val="clear" w:color="000000" w:fill="FFFFFF"/>
            <w:noWrap/>
            <w:vAlign w:val="center"/>
            <w:hideMark/>
          </w:tcPr>
          <w:p w14:paraId="6780F37C"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center"/>
            <w:hideMark/>
          </w:tcPr>
          <w:p w14:paraId="5909B7E8"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64E133A5"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2E871E27"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center"/>
            <w:hideMark/>
          </w:tcPr>
          <w:p w14:paraId="109C9683"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r>
      <w:tr w:rsidR="004A095C" w:rsidRPr="004A095C" w14:paraId="303819BA"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52FF1AA1" w14:textId="77777777" w:rsidR="004A095C" w:rsidRPr="004A095C" w:rsidRDefault="004A095C" w:rsidP="004A095C">
            <w:pPr>
              <w:spacing w:after="0" w:line="240" w:lineRule="auto"/>
              <w:ind w:left="340"/>
              <w:jc w:val="left"/>
              <w:rPr>
                <w:rFonts w:ascii="Arial" w:hAnsi="Arial" w:cs="Arial"/>
                <w:color w:val="000000"/>
                <w:sz w:val="16"/>
                <w:szCs w:val="16"/>
              </w:rPr>
            </w:pPr>
            <w:r w:rsidRPr="004A095C">
              <w:rPr>
                <w:rFonts w:ascii="Arial" w:hAnsi="Arial" w:cs="Arial"/>
                <w:color w:val="000000"/>
                <w:sz w:val="16"/>
                <w:szCs w:val="16"/>
              </w:rPr>
              <w:t>activities for leases(g)</w:t>
            </w:r>
          </w:p>
        </w:tc>
        <w:tc>
          <w:tcPr>
            <w:tcW w:w="519" w:type="pct"/>
            <w:tcBorders>
              <w:top w:val="nil"/>
              <w:left w:val="nil"/>
              <w:bottom w:val="nil"/>
              <w:right w:val="nil"/>
            </w:tcBorders>
            <w:shd w:val="clear" w:color="000000" w:fill="FFFFFF"/>
            <w:noWrap/>
            <w:vAlign w:val="center"/>
            <w:hideMark/>
          </w:tcPr>
          <w:p w14:paraId="1FAD7F96" w14:textId="049DA8A3"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2,460</w:t>
            </w:r>
          </w:p>
        </w:tc>
        <w:tc>
          <w:tcPr>
            <w:tcW w:w="519" w:type="pct"/>
            <w:tcBorders>
              <w:top w:val="nil"/>
              <w:left w:val="nil"/>
              <w:bottom w:val="nil"/>
              <w:right w:val="nil"/>
            </w:tcBorders>
            <w:shd w:val="clear" w:color="000000" w:fill="F2F9FC"/>
            <w:noWrap/>
            <w:vAlign w:val="center"/>
            <w:hideMark/>
          </w:tcPr>
          <w:p w14:paraId="5E0462F3" w14:textId="57EFCE8F"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2,443</w:t>
            </w:r>
          </w:p>
        </w:tc>
        <w:tc>
          <w:tcPr>
            <w:tcW w:w="519" w:type="pct"/>
            <w:tcBorders>
              <w:top w:val="nil"/>
              <w:left w:val="nil"/>
              <w:bottom w:val="nil"/>
              <w:right w:val="nil"/>
            </w:tcBorders>
            <w:shd w:val="clear" w:color="000000" w:fill="FFFFFF"/>
            <w:noWrap/>
            <w:vAlign w:val="center"/>
            <w:hideMark/>
          </w:tcPr>
          <w:p w14:paraId="6954ECBA" w14:textId="57AB3761"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2,474</w:t>
            </w:r>
          </w:p>
        </w:tc>
        <w:tc>
          <w:tcPr>
            <w:tcW w:w="519" w:type="pct"/>
            <w:tcBorders>
              <w:top w:val="nil"/>
              <w:left w:val="nil"/>
              <w:bottom w:val="nil"/>
              <w:right w:val="nil"/>
            </w:tcBorders>
            <w:shd w:val="clear" w:color="000000" w:fill="FFFFFF"/>
            <w:noWrap/>
            <w:vAlign w:val="center"/>
            <w:hideMark/>
          </w:tcPr>
          <w:p w14:paraId="7A0A7D59" w14:textId="4D3C1A3A"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2,487</w:t>
            </w:r>
          </w:p>
        </w:tc>
        <w:tc>
          <w:tcPr>
            <w:tcW w:w="519" w:type="pct"/>
            <w:tcBorders>
              <w:top w:val="nil"/>
              <w:left w:val="nil"/>
              <w:bottom w:val="nil"/>
              <w:right w:val="nil"/>
            </w:tcBorders>
            <w:shd w:val="clear" w:color="000000" w:fill="FFFFFF"/>
            <w:noWrap/>
            <w:vAlign w:val="center"/>
            <w:hideMark/>
          </w:tcPr>
          <w:p w14:paraId="7F77C11B" w14:textId="0EB03F02"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2,479</w:t>
            </w:r>
          </w:p>
        </w:tc>
      </w:tr>
      <w:tr w:rsidR="004A095C" w:rsidRPr="004A095C" w14:paraId="5AD86A6F"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733FC437" w14:textId="77777777" w:rsidR="004A095C" w:rsidRPr="004A095C" w:rsidRDefault="004A095C" w:rsidP="004A095C">
            <w:pPr>
              <w:spacing w:after="0" w:line="240" w:lineRule="auto"/>
              <w:jc w:val="left"/>
              <w:rPr>
                <w:rFonts w:ascii="Arial" w:hAnsi="Arial" w:cs="Arial"/>
                <w:b/>
                <w:bCs/>
                <w:color w:val="000000"/>
                <w:sz w:val="16"/>
                <w:szCs w:val="16"/>
              </w:rPr>
            </w:pPr>
            <w:r w:rsidRPr="004A095C">
              <w:rPr>
                <w:rFonts w:ascii="Arial" w:hAnsi="Arial" w:cs="Arial"/>
                <w:b/>
                <w:bCs/>
                <w:color w:val="000000"/>
                <w:sz w:val="16"/>
                <w:szCs w:val="16"/>
              </w:rPr>
              <w:t>Equals underlying cash balance(h)</w:t>
            </w:r>
          </w:p>
        </w:tc>
        <w:tc>
          <w:tcPr>
            <w:tcW w:w="519" w:type="pct"/>
            <w:tcBorders>
              <w:top w:val="nil"/>
              <w:left w:val="nil"/>
              <w:bottom w:val="single" w:sz="4" w:space="0" w:color="000000"/>
              <w:right w:val="nil"/>
            </w:tcBorders>
            <w:shd w:val="clear" w:color="000000" w:fill="FFFFFF"/>
            <w:noWrap/>
            <w:vAlign w:val="bottom"/>
            <w:hideMark/>
          </w:tcPr>
          <w:p w14:paraId="70577567" w14:textId="0627C2C1"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79,799</w:t>
            </w:r>
          </w:p>
        </w:tc>
        <w:tc>
          <w:tcPr>
            <w:tcW w:w="519" w:type="pct"/>
            <w:tcBorders>
              <w:top w:val="nil"/>
              <w:left w:val="nil"/>
              <w:bottom w:val="single" w:sz="4" w:space="0" w:color="000000"/>
              <w:right w:val="nil"/>
            </w:tcBorders>
            <w:shd w:val="clear" w:color="000000" w:fill="F2F9FC"/>
            <w:noWrap/>
            <w:vAlign w:val="bottom"/>
            <w:hideMark/>
          </w:tcPr>
          <w:p w14:paraId="663FE155" w14:textId="147005FA"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77,937</w:t>
            </w:r>
          </w:p>
        </w:tc>
        <w:tc>
          <w:tcPr>
            <w:tcW w:w="519" w:type="pct"/>
            <w:tcBorders>
              <w:top w:val="nil"/>
              <w:left w:val="nil"/>
              <w:bottom w:val="single" w:sz="4" w:space="0" w:color="000000"/>
              <w:right w:val="nil"/>
            </w:tcBorders>
            <w:shd w:val="clear" w:color="000000" w:fill="FFFFFF"/>
            <w:noWrap/>
            <w:vAlign w:val="bottom"/>
            <w:hideMark/>
          </w:tcPr>
          <w:p w14:paraId="3BB46FE4" w14:textId="6D3775FB"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56,525</w:t>
            </w:r>
          </w:p>
        </w:tc>
        <w:tc>
          <w:tcPr>
            <w:tcW w:w="519" w:type="pct"/>
            <w:tcBorders>
              <w:top w:val="nil"/>
              <w:left w:val="nil"/>
              <w:bottom w:val="single" w:sz="4" w:space="0" w:color="000000"/>
              <w:right w:val="nil"/>
            </w:tcBorders>
            <w:shd w:val="clear" w:color="000000" w:fill="FFFFFF"/>
            <w:noWrap/>
            <w:vAlign w:val="bottom"/>
            <w:hideMark/>
          </w:tcPr>
          <w:p w14:paraId="14355AE4" w14:textId="7A06ACBF"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47,093</w:t>
            </w:r>
          </w:p>
        </w:tc>
        <w:tc>
          <w:tcPr>
            <w:tcW w:w="519" w:type="pct"/>
            <w:tcBorders>
              <w:top w:val="nil"/>
              <w:left w:val="nil"/>
              <w:bottom w:val="single" w:sz="4" w:space="0" w:color="000000"/>
              <w:right w:val="nil"/>
            </w:tcBorders>
            <w:shd w:val="clear" w:color="000000" w:fill="FFFFFF"/>
            <w:noWrap/>
            <w:vAlign w:val="bottom"/>
            <w:hideMark/>
          </w:tcPr>
          <w:p w14:paraId="5DECA73B" w14:textId="36CD64E9"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42,936</w:t>
            </w:r>
          </w:p>
        </w:tc>
      </w:tr>
      <w:tr w:rsidR="004A095C" w:rsidRPr="004A095C" w14:paraId="55BEE37C"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3B7802A9" w14:textId="77777777" w:rsidR="004A095C" w:rsidRPr="004A095C" w:rsidRDefault="004A095C" w:rsidP="004A095C">
            <w:pPr>
              <w:spacing w:after="0" w:line="240" w:lineRule="auto"/>
              <w:jc w:val="left"/>
              <w:rPr>
                <w:rFonts w:ascii="Arial" w:hAnsi="Arial" w:cs="Arial"/>
                <w:i/>
                <w:iCs/>
                <w:color w:val="000000"/>
                <w:sz w:val="16"/>
                <w:szCs w:val="16"/>
              </w:rPr>
            </w:pPr>
            <w:r w:rsidRPr="004A095C">
              <w:rPr>
                <w:rFonts w:ascii="Arial" w:hAnsi="Arial" w:cs="Arial"/>
                <w:i/>
                <w:iCs/>
                <w:color w:val="000000"/>
                <w:sz w:val="16"/>
                <w:szCs w:val="16"/>
              </w:rPr>
              <w:t>plus</w:t>
            </w:r>
            <w:r w:rsidRPr="004A095C">
              <w:rPr>
                <w:rFonts w:ascii="Arial" w:hAnsi="Arial" w:cs="Arial"/>
                <w:color w:val="000000"/>
                <w:sz w:val="16"/>
                <w:szCs w:val="16"/>
              </w:rPr>
              <w:t xml:space="preserve"> Net cash flows from investments in</w:t>
            </w:r>
          </w:p>
        </w:tc>
        <w:tc>
          <w:tcPr>
            <w:tcW w:w="519" w:type="pct"/>
            <w:tcBorders>
              <w:top w:val="nil"/>
              <w:left w:val="nil"/>
              <w:bottom w:val="nil"/>
              <w:right w:val="nil"/>
            </w:tcBorders>
            <w:shd w:val="clear" w:color="000000" w:fill="FFFFFF"/>
            <w:noWrap/>
            <w:vAlign w:val="bottom"/>
            <w:hideMark/>
          </w:tcPr>
          <w:p w14:paraId="060ADB2D"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2F9FC"/>
            <w:noWrap/>
            <w:vAlign w:val="bottom"/>
            <w:hideMark/>
          </w:tcPr>
          <w:p w14:paraId="6986EF4A"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7896CE95"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4C802F20"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c>
          <w:tcPr>
            <w:tcW w:w="519" w:type="pct"/>
            <w:tcBorders>
              <w:top w:val="nil"/>
              <w:left w:val="nil"/>
              <w:bottom w:val="nil"/>
              <w:right w:val="nil"/>
            </w:tcBorders>
            <w:shd w:val="clear" w:color="000000" w:fill="FFFFFF"/>
            <w:noWrap/>
            <w:vAlign w:val="bottom"/>
            <w:hideMark/>
          </w:tcPr>
          <w:p w14:paraId="6C9CC859" w14:textId="77777777" w:rsidR="004A095C" w:rsidRPr="004A095C" w:rsidRDefault="004A095C" w:rsidP="004A095C">
            <w:pPr>
              <w:spacing w:after="0" w:line="240" w:lineRule="auto"/>
              <w:jc w:val="right"/>
              <w:rPr>
                <w:rFonts w:ascii="Arial" w:hAnsi="Arial" w:cs="Arial"/>
                <w:color w:val="000000"/>
                <w:sz w:val="16"/>
                <w:szCs w:val="16"/>
              </w:rPr>
            </w:pPr>
            <w:r w:rsidRPr="004A095C">
              <w:rPr>
                <w:rFonts w:ascii="Arial" w:hAnsi="Arial" w:cs="Arial"/>
                <w:color w:val="000000"/>
                <w:sz w:val="16"/>
                <w:szCs w:val="16"/>
              </w:rPr>
              <w:t> </w:t>
            </w:r>
          </w:p>
        </w:tc>
      </w:tr>
      <w:tr w:rsidR="004A095C" w:rsidRPr="004A095C" w14:paraId="25B5FCB7" w14:textId="77777777" w:rsidTr="004A095C">
        <w:trPr>
          <w:trHeight w:hRule="exact" w:val="225"/>
        </w:trPr>
        <w:tc>
          <w:tcPr>
            <w:tcW w:w="2406" w:type="pct"/>
            <w:tcBorders>
              <w:top w:val="nil"/>
              <w:left w:val="nil"/>
              <w:bottom w:val="nil"/>
              <w:right w:val="nil"/>
            </w:tcBorders>
            <w:shd w:val="clear" w:color="000000" w:fill="FFFFFF"/>
            <w:noWrap/>
            <w:vAlign w:val="center"/>
            <w:hideMark/>
          </w:tcPr>
          <w:p w14:paraId="1729EE48" w14:textId="77777777" w:rsidR="004A095C" w:rsidRPr="004A095C" w:rsidRDefault="004A095C" w:rsidP="004A095C">
            <w:pPr>
              <w:spacing w:after="0" w:line="240" w:lineRule="auto"/>
              <w:ind w:left="340"/>
              <w:jc w:val="left"/>
              <w:rPr>
                <w:rFonts w:ascii="Arial" w:hAnsi="Arial" w:cs="Arial"/>
                <w:color w:val="000000"/>
                <w:sz w:val="16"/>
                <w:szCs w:val="16"/>
              </w:rPr>
            </w:pPr>
            <w:r w:rsidRPr="004A095C">
              <w:rPr>
                <w:rFonts w:ascii="Arial" w:hAnsi="Arial" w:cs="Arial"/>
                <w:color w:val="000000"/>
                <w:sz w:val="16"/>
                <w:szCs w:val="16"/>
              </w:rPr>
              <w:t>financial assets for policy purposes</w:t>
            </w:r>
          </w:p>
        </w:tc>
        <w:tc>
          <w:tcPr>
            <w:tcW w:w="519" w:type="pct"/>
            <w:tcBorders>
              <w:top w:val="nil"/>
              <w:left w:val="nil"/>
              <w:bottom w:val="nil"/>
              <w:right w:val="nil"/>
            </w:tcBorders>
            <w:shd w:val="clear" w:color="000000" w:fill="FFFFFF"/>
            <w:noWrap/>
            <w:vAlign w:val="center"/>
            <w:hideMark/>
          </w:tcPr>
          <w:p w14:paraId="3EA6F8A7" w14:textId="58E29C22"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5,949</w:t>
            </w:r>
          </w:p>
        </w:tc>
        <w:tc>
          <w:tcPr>
            <w:tcW w:w="519" w:type="pct"/>
            <w:tcBorders>
              <w:top w:val="nil"/>
              <w:left w:val="nil"/>
              <w:bottom w:val="nil"/>
              <w:right w:val="nil"/>
            </w:tcBorders>
            <w:shd w:val="clear" w:color="000000" w:fill="F2F9FC"/>
            <w:noWrap/>
            <w:vAlign w:val="center"/>
            <w:hideMark/>
          </w:tcPr>
          <w:p w14:paraId="269DF6DC" w14:textId="14B1E58B"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12,857</w:t>
            </w:r>
          </w:p>
        </w:tc>
        <w:tc>
          <w:tcPr>
            <w:tcW w:w="519" w:type="pct"/>
            <w:tcBorders>
              <w:top w:val="nil"/>
              <w:left w:val="nil"/>
              <w:bottom w:val="nil"/>
              <w:right w:val="nil"/>
            </w:tcBorders>
            <w:shd w:val="clear" w:color="000000" w:fill="FFFFFF"/>
            <w:noWrap/>
            <w:vAlign w:val="center"/>
            <w:hideMark/>
          </w:tcPr>
          <w:p w14:paraId="151427BF" w14:textId="64893333"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3,873</w:t>
            </w:r>
          </w:p>
        </w:tc>
        <w:tc>
          <w:tcPr>
            <w:tcW w:w="519" w:type="pct"/>
            <w:tcBorders>
              <w:top w:val="nil"/>
              <w:left w:val="nil"/>
              <w:bottom w:val="nil"/>
              <w:right w:val="nil"/>
            </w:tcBorders>
            <w:shd w:val="clear" w:color="000000" w:fill="FFFFFF"/>
            <w:noWrap/>
            <w:vAlign w:val="center"/>
            <w:hideMark/>
          </w:tcPr>
          <w:p w14:paraId="41458B5A" w14:textId="4763AD7F"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10,130</w:t>
            </w:r>
          </w:p>
        </w:tc>
        <w:tc>
          <w:tcPr>
            <w:tcW w:w="519" w:type="pct"/>
            <w:tcBorders>
              <w:top w:val="nil"/>
              <w:left w:val="nil"/>
              <w:bottom w:val="nil"/>
              <w:right w:val="nil"/>
            </w:tcBorders>
            <w:shd w:val="clear" w:color="000000" w:fill="FFFFFF"/>
            <w:noWrap/>
            <w:vAlign w:val="center"/>
            <w:hideMark/>
          </w:tcPr>
          <w:p w14:paraId="23FFC1AE" w14:textId="682E9A3B" w:rsidR="004A095C" w:rsidRPr="004A095C" w:rsidRDefault="00660645" w:rsidP="004A095C">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4A095C" w:rsidRPr="004A095C">
              <w:rPr>
                <w:rFonts w:ascii="Arial" w:hAnsi="Arial" w:cs="Arial"/>
                <w:color w:val="000000"/>
                <w:sz w:val="16"/>
                <w:szCs w:val="16"/>
              </w:rPr>
              <w:t>6,818</w:t>
            </w:r>
          </w:p>
        </w:tc>
      </w:tr>
      <w:tr w:rsidR="004A095C" w:rsidRPr="004A095C" w14:paraId="102B6792" w14:textId="77777777" w:rsidTr="004A095C">
        <w:trPr>
          <w:trHeight w:hRule="exact" w:val="225"/>
        </w:trPr>
        <w:tc>
          <w:tcPr>
            <w:tcW w:w="2406" w:type="pct"/>
            <w:tcBorders>
              <w:top w:val="nil"/>
              <w:left w:val="nil"/>
              <w:bottom w:val="single" w:sz="4" w:space="0" w:color="000000"/>
              <w:right w:val="nil"/>
            </w:tcBorders>
            <w:shd w:val="clear" w:color="000000" w:fill="FFFFFF"/>
            <w:noWrap/>
            <w:vAlign w:val="center"/>
            <w:hideMark/>
          </w:tcPr>
          <w:p w14:paraId="51ACBD6A" w14:textId="77777777" w:rsidR="004A095C" w:rsidRPr="004A095C" w:rsidRDefault="004A095C" w:rsidP="004A095C">
            <w:pPr>
              <w:spacing w:after="0" w:line="240" w:lineRule="auto"/>
              <w:jc w:val="left"/>
              <w:rPr>
                <w:rFonts w:ascii="Arial" w:hAnsi="Arial" w:cs="Arial"/>
                <w:b/>
                <w:bCs/>
                <w:color w:val="000000"/>
                <w:sz w:val="16"/>
                <w:szCs w:val="16"/>
              </w:rPr>
            </w:pPr>
            <w:r w:rsidRPr="004A095C">
              <w:rPr>
                <w:rFonts w:ascii="Arial" w:hAnsi="Arial" w:cs="Arial"/>
                <w:b/>
                <w:bCs/>
                <w:color w:val="000000"/>
                <w:sz w:val="16"/>
                <w:szCs w:val="16"/>
              </w:rPr>
              <w:t>Equals headline cash balance</w:t>
            </w:r>
          </w:p>
        </w:tc>
        <w:tc>
          <w:tcPr>
            <w:tcW w:w="519" w:type="pct"/>
            <w:tcBorders>
              <w:top w:val="nil"/>
              <w:left w:val="nil"/>
              <w:bottom w:val="single" w:sz="4" w:space="0" w:color="000000"/>
              <w:right w:val="nil"/>
            </w:tcBorders>
            <w:shd w:val="clear" w:color="000000" w:fill="FFFFFF"/>
            <w:noWrap/>
            <w:vAlign w:val="bottom"/>
            <w:hideMark/>
          </w:tcPr>
          <w:p w14:paraId="6AEB698A" w14:textId="48F9D2E3"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85,748</w:t>
            </w:r>
          </w:p>
        </w:tc>
        <w:tc>
          <w:tcPr>
            <w:tcW w:w="519" w:type="pct"/>
            <w:tcBorders>
              <w:top w:val="nil"/>
              <w:left w:val="nil"/>
              <w:bottom w:val="single" w:sz="4" w:space="0" w:color="000000"/>
              <w:right w:val="nil"/>
            </w:tcBorders>
            <w:shd w:val="clear" w:color="000000" w:fill="F2F9FC"/>
            <w:noWrap/>
            <w:vAlign w:val="bottom"/>
            <w:hideMark/>
          </w:tcPr>
          <w:p w14:paraId="643CD1C2" w14:textId="5CD82C43"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90,794</w:t>
            </w:r>
          </w:p>
        </w:tc>
        <w:tc>
          <w:tcPr>
            <w:tcW w:w="519" w:type="pct"/>
            <w:tcBorders>
              <w:top w:val="nil"/>
              <w:left w:val="nil"/>
              <w:bottom w:val="single" w:sz="4" w:space="0" w:color="000000"/>
              <w:right w:val="nil"/>
            </w:tcBorders>
            <w:shd w:val="clear" w:color="000000" w:fill="FFFFFF"/>
            <w:noWrap/>
            <w:vAlign w:val="bottom"/>
            <w:hideMark/>
          </w:tcPr>
          <w:p w14:paraId="0C47FEC9" w14:textId="2C1103C3"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60,398</w:t>
            </w:r>
          </w:p>
        </w:tc>
        <w:tc>
          <w:tcPr>
            <w:tcW w:w="519" w:type="pct"/>
            <w:tcBorders>
              <w:top w:val="nil"/>
              <w:left w:val="nil"/>
              <w:bottom w:val="single" w:sz="4" w:space="0" w:color="000000"/>
              <w:right w:val="nil"/>
            </w:tcBorders>
            <w:shd w:val="clear" w:color="000000" w:fill="FFFFFF"/>
            <w:noWrap/>
            <w:vAlign w:val="bottom"/>
            <w:hideMark/>
          </w:tcPr>
          <w:p w14:paraId="4106096F" w14:textId="1AF06971"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57,224</w:t>
            </w:r>
          </w:p>
        </w:tc>
        <w:tc>
          <w:tcPr>
            <w:tcW w:w="519" w:type="pct"/>
            <w:tcBorders>
              <w:top w:val="nil"/>
              <w:left w:val="nil"/>
              <w:bottom w:val="single" w:sz="4" w:space="0" w:color="000000"/>
              <w:right w:val="nil"/>
            </w:tcBorders>
            <w:shd w:val="clear" w:color="000000" w:fill="FFFFFF"/>
            <w:noWrap/>
            <w:vAlign w:val="bottom"/>
            <w:hideMark/>
          </w:tcPr>
          <w:p w14:paraId="1FA4CBCE" w14:textId="575D8A86" w:rsidR="004A095C" w:rsidRPr="004A095C" w:rsidRDefault="00660645" w:rsidP="004A095C">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4A095C" w:rsidRPr="004A095C">
              <w:rPr>
                <w:rFonts w:ascii="Arial" w:hAnsi="Arial" w:cs="Arial"/>
                <w:b/>
                <w:bCs/>
                <w:color w:val="000000"/>
                <w:sz w:val="16"/>
                <w:szCs w:val="16"/>
              </w:rPr>
              <w:t>49,754</w:t>
            </w:r>
          </w:p>
        </w:tc>
      </w:tr>
    </w:tbl>
    <w:p w14:paraId="03862255" w14:textId="1EFD5B53" w:rsidR="00531408" w:rsidRPr="00BB08DB" w:rsidRDefault="00076460" w:rsidP="00424761">
      <w:pPr>
        <w:pStyle w:val="ChartandTableFootnoteAlpha"/>
        <w:numPr>
          <w:ilvl w:val="0"/>
          <w:numId w:val="9"/>
        </w:numPr>
        <w:rPr>
          <w:rFonts w:eastAsia="Book Antiqua"/>
          <w:color w:val="auto"/>
        </w:rPr>
      </w:pPr>
      <w:r w:rsidRPr="00BB08DB">
        <w:rPr>
          <w:rFonts w:eastAsia="Book Antiqua"/>
          <w:color w:val="auto"/>
        </w:rPr>
        <w:t>A positive number denotes a cash inflow; a negative number denotes a cash outflow.</w:t>
      </w:r>
    </w:p>
    <w:p w14:paraId="4BDFBA2B" w14:textId="56717984" w:rsidR="00531408" w:rsidRPr="00BB08DB" w:rsidRDefault="00531408" w:rsidP="00424761">
      <w:pPr>
        <w:pStyle w:val="ChartandTableFootnoteAlpha"/>
        <w:numPr>
          <w:ilvl w:val="0"/>
          <w:numId w:val="9"/>
        </w:numPr>
        <w:rPr>
          <w:rFonts w:eastAsia="Book Antiqua"/>
          <w:color w:val="auto"/>
        </w:rPr>
      </w:pPr>
      <w:r w:rsidRPr="00BB08DB">
        <w:rPr>
          <w:rFonts w:eastAsia="Book Antiqua"/>
          <w:color w:val="auto"/>
        </w:rPr>
        <w:t>In the 2022</w:t>
      </w:r>
      <w:r w:rsidR="00660645">
        <w:rPr>
          <w:rFonts w:eastAsia="Book Antiqua"/>
          <w:color w:val="auto"/>
        </w:rPr>
        <w:noBreakHyphen/>
      </w:r>
      <w:r w:rsidRPr="00BB08DB">
        <w:rPr>
          <w:rFonts w:eastAsia="Book Antiqua"/>
          <w:color w:val="auto"/>
        </w:rPr>
        <w:t>23 Budget, following a determination issued by the ABS, the industry contribution levy collected by the Australian Transaction Reports and Analysis Centre has been reclassified from non</w:t>
      </w:r>
      <w:r w:rsidR="00660645">
        <w:rPr>
          <w:rFonts w:eastAsia="Book Antiqua"/>
          <w:color w:val="auto"/>
        </w:rPr>
        <w:noBreakHyphen/>
      </w:r>
      <w:r w:rsidRPr="00BB08DB">
        <w:rPr>
          <w:rFonts w:eastAsia="Book Antiqua"/>
          <w:color w:val="auto"/>
        </w:rPr>
        <w:t>taxation receipt to taxation receipt to reflect the change in the nature of this receipt. This results in an increase in taxes received and a decrease in other receipts.</w:t>
      </w:r>
    </w:p>
    <w:p w14:paraId="60F5F2AA" w14:textId="21B043F6" w:rsidR="00531408" w:rsidRPr="00BB08DB" w:rsidRDefault="00660645" w:rsidP="00424761">
      <w:pPr>
        <w:pStyle w:val="ChartandTableFootnoteAlpha"/>
        <w:numPr>
          <w:ilvl w:val="0"/>
          <w:numId w:val="9"/>
        </w:numPr>
        <w:rPr>
          <w:rFonts w:eastAsia="Book Antiqua"/>
          <w:color w:val="auto"/>
        </w:rPr>
      </w:pPr>
      <w:r>
        <w:rPr>
          <w:rFonts w:eastAsia="Book Antiqua"/>
          <w:color w:val="auto"/>
        </w:rPr>
        <w:t>‘</w:t>
      </w:r>
      <w:r w:rsidR="00531408" w:rsidRPr="00BB08DB">
        <w:rPr>
          <w:rFonts w:eastAsia="Book Antiqua"/>
          <w:color w:val="auto"/>
        </w:rPr>
        <w:t>Dividends and income tax equivalents</w:t>
      </w:r>
      <w:r>
        <w:rPr>
          <w:rFonts w:eastAsia="Book Antiqua"/>
          <w:color w:val="auto"/>
        </w:rPr>
        <w:t>’</w:t>
      </w:r>
      <w:r w:rsidR="00531408" w:rsidRPr="00BB08DB">
        <w:rPr>
          <w:rFonts w:eastAsia="Book Antiqua"/>
          <w:color w:val="auto"/>
        </w:rPr>
        <w:t xml:space="preserve"> has been renamed to </w:t>
      </w:r>
      <w:r>
        <w:rPr>
          <w:rFonts w:eastAsia="Book Antiqua"/>
          <w:color w:val="auto"/>
        </w:rPr>
        <w:t>‘</w:t>
      </w:r>
      <w:r w:rsidR="00531408" w:rsidRPr="00BB08DB">
        <w:rPr>
          <w:rFonts w:eastAsia="Book Antiqua"/>
          <w:color w:val="auto"/>
        </w:rPr>
        <w:t>dividends, distributions and income tax equivalents</w:t>
      </w:r>
      <w:r>
        <w:rPr>
          <w:rFonts w:eastAsia="Book Antiqua"/>
          <w:color w:val="auto"/>
        </w:rPr>
        <w:t>’</w:t>
      </w:r>
      <w:r w:rsidR="00531408" w:rsidRPr="00BB08DB">
        <w:rPr>
          <w:rFonts w:eastAsia="Book Antiqua"/>
          <w:color w:val="auto"/>
        </w:rPr>
        <w:t xml:space="preserve"> to more accurately reflect the types of receipts included in this item.</w:t>
      </w:r>
    </w:p>
    <w:p w14:paraId="566B44F0" w14:textId="3C586466" w:rsidR="00531408" w:rsidRPr="00BB08DB" w:rsidRDefault="00531408" w:rsidP="00424761">
      <w:pPr>
        <w:pStyle w:val="ChartandTableFootnoteAlpha"/>
        <w:numPr>
          <w:ilvl w:val="0"/>
          <w:numId w:val="9"/>
        </w:numPr>
        <w:rPr>
          <w:rFonts w:eastAsia="Book Antiqua"/>
          <w:color w:val="auto"/>
        </w:rPr>
      </w:pPr>
      <w:r w:rsidRPr="00BB08DB">
        <w:rPr>
          <w:rFonts w:eastAsia="Book Antiqua"/>
          <w:color w:val="auto"/>
        </w:rPr>
        <w:t>As result of a voluntary accounting policy change, the pass</w:t>
      </w:r>
      <w:r w:rsidR="00660645">
        <w:rPr>
          <w:rFonts w:eastAsia="Book Antiqua"/>
          <w:color w:val="auto"/>
        </w:rPr>
        <w:noBreakHyphen/>
      </w:r>
      <w:r w:rsidRPr="00BB08DB">
        <w:rPr>
          <w:rFonts w:eastAsia="Book Antiqua"/>
          <w:color w:val="auto"/>
        </w:rPr>
        <w:t>through of defined benefit member superannuation receipts and payments are reported on a gross basis in the cash flow statement. This was previously reported on a net basis.</w:t>
      </w:r>
    </w:p>
    <w:p w14:paraId="6C409B94" w14:textId="77777777" w:rsidR="00531408" w:rsidRPr="00BB08DB" w:rsidRDefault="00531408" w:rsidP="00424761">
      <w:pPr>
        <w:pStyle w:val="ChartandTableFootnoteAlpha"/>
        <w:numPr>
          <w:ilvl w:val="0"/>
          <w:numId w:val="9"/>
        </w:numPr>
        <w:rPr>
          <w:rFonts w:eastAsia="Book Antiqua"/>
          <w:color w:val="auto"/>
        </w:rPr>
      </w:pPr>
      <w:r w:rsidRPr="00BB08DB">
        <w:rPr>
          <w:rFonts w:eastAsia="Book Antiqua"/>
          <w:color w:val="auto"/>
        </w:rPr>
        <w:t>Consistent with the ABS GFS classification, other employee related payments are classified separately from wages and salaries under other payments.</w:t>
      </w:r>
    </w:p>
    <w:p w14:paraId="059D684B" w14:textId="5FEA89A8" w:rsidR="00531408" w:rsidRPr="00BB08DB" w:rsidRDefault="00531408" w:rsidP="00424761">
      <w:pPr>
        <w:pStyle w:val="ChartandTableFootnoteAlpha"/>
        <w:numPr>
          <w:ilvl w:val="0"/>
          <w:numId w:val="9"/>
        </w:numPr>
        <w:rPr>
          <w:rFonts w:eastAsia="Book Antiqua"/>
          <w:color w:val="auto"/>
        </w:rPr>
      </w:pPr>
      <w:r w:rsidRPr="00BB08DB">
        <w:rPr>
          <w:rFonts w:eastAsia="Book Antiqua"/>
          <w:color w:val="auto"/>
        </w:rPr>
        <w:t>GFS cash surplus/deficit equals net cash flows from operating activities and investments in non</w:t>
      </w:r>
      <w:r w:rsidR="00660645">
        <w:rPr>
          <w:rFonts w:eastAsia="Book Antiqua"/>
          <w:color w:val="auto"/>
        </w:rPr>
        <w:noBreakHyphen/>
      </w:r>
      <w:r w:rsidRPr="00BB08DB">
        <w:rPr>
          <w:rFonts w:eastAsia="Book Antiqua"/>
          <w:color w:val="auto"/>
        </w:rPr>
        <w:t>financial assets.</w:t>
      </w:r>
    </w:p>
    <w:p w14:paraId="02B6AB8A" w14:textId="249B054B" w:rsidR="00531408" w:rsidRPr="00BB08DB" w:rsidRDefault="00531408" w:rsidP="00424761">
      <w:pPr>
        <w:pStyle w:val="ChartandTableFootnoteAlpha"/>
        <w:numPr>
          <w:ilvl w:val="0"/>
          <w:numId w:val="9"/>
        </w:numPr>
        <w:rPr>
          <w:rFonts w:eastAsia="Book Antiqua"/>
          <w:color w:val="auto"/>
        </w:rPr>
      </w:pPr>
      <w:r w:rsidRPr="00BB08DB">
        <w:rPr>
          <w:rFonts w:eastAsia="Book Antiqua"/>
          <w:color w:val="auto"/>
        </w:rPr>
        <w:t xml:space="preserve">Principal payments on lease liabilities, which are financing cash payments, are deducted in the calculation of the underlying cash balance to maintain consistency of measure following the implementation of </w:t>
      </w:r>
      <w:r w:rsidR="001262F2" w:rsidRPr="00BB08DB">
        <w:rPr>
          <w:rFonts w:eastAsia="Book Antiqua"/>
          <w:color w:val="auto"/>
        </w:rPr>
        <w:br/>
      </w:r>
      <w:r w:rsidRPr="00BB08DB">
        <w:rPr>
          <w:rFonts w:eastAsia="Book Antiqua"/>
          <w:color w:val="auto"/>
        </w:rPr>
        <w:t>AASB 16.</w:t>
      </w:r>
    </w:p>
    <w:p w14:paraId="2E499DF6" w14:textId="79C06ECA" w:rsidR="00A32989" w:rsidRPr="00BB08DB" w:rsidRDefault="00531408" w:rsidP="00424761">
      <w:pPr>
        <w:pStyle w:val="ChartandTableFootnoteAlpha"/>
        <w:numPr>
          <w:ilvl w:val="0"/>
          <w:numId w:val="9"/>
        </w:numPr>
        <w:rPr>
          <w:rFonts w:eastAsia="Book Antiqua"/>
          <w:color w:val="auto"/>
        </w:rPr>
      </w:pPr>
      <w:r w:rsidRPr="00BB08DB">
        <w:rPr>
          <w:rFonts w:eastAsia="Book Antiqua"/>
          <w:color w:val="auto"/>
        </w:rPr>
        <w:t>The term underlying cash balance is not used by the ABS.</w:t>
      </w:r>
    </w:p>
    <w:p w14:paraId="32542BAD" w14:textId="77777777" w:rsidR="00076460" w:rsidRPr="00625155" w:rsidRDefault="00076460" w:rsidP="00E449DC"/>
    <w:p w14:paraId="3F17DBB1" w14:textId="0A58FE9C" w:rsidR="00076460" w:rsidRPr="00625155" w:rsidRDefault="00076460" w:rsidP="00702304">
      <w:pPr>
        <w:sectPr w:rsidR="00076460" w:rsidRPr="00625155" w:rsidSect="00943388">
          <w:headerReference w:type="even" r:id="rId53"/>
          <w:headerReference w:type="default" r:id="rId54"/>
          <w:footerReference w:type="even" r:id="rId55"/>
          <w:footerReference w:type="default" r:id="rId56"/>
          <w:headerReference w:type="first" r:id="rId57"/>
          <w:footerReference w:type="first" r:id="rId58"/>
          <w:pgSz w:w="11906" w:h="16838" w:code="9"/>
          <w:pgMar w:top="2835" w:right="2098" w:bottom="2466" w:left="2098" w:header="1814" w:footer="1814" w:gutter="0"/>
          <w:cols w:space="708"/>
          <w:titlePg/>
          <w:docGrid w:linePitch="360"/>
        </w:sectPr>
      </w:pPr>
    </w:p>
    <w:p w14:paraId="321E218A" w14:textId="648FBDA6" w:rsidR="00076460" w:rsidRPr="00625155" w:rsidRDefault="00076460" w:rsidP="00E449DC">
      <w:pPr>
        <w:pStyle w:val="Heading1"/>
      </w:pPr>
      <w:bookmarkStart w:id="69" w:name="_Toc100752519"/>
      <w:bookmarkStart w:id="70" w:name="_Toc101281546"/>
      <w:r w:rsidRPr="00625155">
        <w:t>Appendix B: Policy decisions since the</w:t>
      </w:r>
      <w:r w:rsidR="00943388" w:rsidRPr="00625155">
        <w:t xml:space="preserve"> </w:t>
      </w:r>
      <w:r w:rsidRPr="00625155">
        <w:t>2022</w:t>
      </w:r>
      <w:r w:rsidR="00660645">
        <w:noBreakHyphen/>
      </w:r>
      <w:r w:rsidRPr="00625155">
        <w:t>23 Budget</w:t>
      </w:r>
      <w:bookmarkEnd w:id="69"/>
      <w:bookmarkEnd w:id="70"/>
    </w:p>
    <w:p w14:paraId="787A61F1" w14:textId="34270034" w:rsidR="00546C4E" w:rsidRPr="00625155" w:rsidRDefault="00546C4E" w:rsidP="00546C4E">
      <w:pPr>
        <w:pStyle w:val="TableHeading"/>
      </w:pPr>
      <w:r w:rsidRPr="00625155">
        <w:t xml:space="preserve">Table </w:t>
      </w:r>
      <w:r w:rsidR="00EA5EA0" w:rsidRPr="00625155">
        <w:t>B</w:t>
      </w:r>
      <w:r w:rsidRPr="00625155">
        <w:t xml:space="preserve">1: </w:t>
      </w:r>
      <w:r w:rsidR="00743FAF" w:rsidRPr="00625155">
        <w:t>Receipt</w:t>
      </w:r>
      <w:r w:rsidRPr="00625155">
        <w:t xml:space="preserve"> measures since the 2022</w:t>
      </w:r>
      <w:r w:rsidR="00660645">
        <w:noBreakHyphen/>
      </w:r>
      <w:r w:rsidRPr="00625155">
        <w:t>23 B</w:t>
      </w:r>
      <w:r w:rsidR="00AD376D" w:rsidRPr="00625155">
        <w:t>udget</w:t>
      </w:r>
      <w:r w:rsidRPr="00625155">
        <w:rPr>
          <w:rFonts w:ascii="Cambria Math" w:hAnsi="Cambria Math" w:cs="Cambria Math"/>
          <w:vertAlign w:val="superscript"/>
        </w:rPr>
        <w:t>(a)</w:t>
      </w:r>
    </w:p>
    <w:tbl>
      <w:tblPr>
        <w:tblW w:w="5000" w:type="pct"/>
        <w:tblLayout w:type="fixed"/>
        <w:tblCellMar>
          <w:left w:w="0" w:type="dxa"/>
          <w:right w:w="57" w:type="dxa"/>
        </w:tblCellMar>
        <w:tblLook w:val="0000" w:firstRow="0" w:lastRow="0" w:firstColumn="0" w:lastColumn="0" w:noHBand="0" w:noVBand="0"/>
      </w:tblPr>
      <w:tblGrid>
        <w:gridCol w:w="3464"/>
        <w:gridCol w:w="849"/>
        <w:gridCol w:w="849"/>
        <w:gridCol w:w="849"/>
        <w:gridCol w:w="849"/>
        <w:gridCol w:w="849"/>
      </w:tblGrid>
      <w:tr w:rsidR="00546C4E" w:rsidRPr="00625155" w14:paraId="744ED38B" w14:textId="77777777" w:rsidTr="00E70D23">
        <w:tc>
          <w:tcPr>
            <w:tcW w:w="3470" w:type="dxa"/>
            <w:tcBorders>
              <w:top w:val="single" w:sz="4" w:space="0" w:color="auto"/>
            </w:tcBorders>
            <w:shd w:val="clear" w:color="auto" w:fill="auto"/>
            <w:vAlign w:val="bottom"/>
          </w:tcPr>
          <w:p w14:paraId="0A0C4913" w14:textId="77777777" w:rsidR="00546C4E" w:rsidRPr="00625155" w:rsidRDefault="00546C4E" w:rsidP="00513731">
            <w:pPr>
              <w:pStyle w:val="Summarytabletextrightaligned"/>
            </w:pPr>
          </w:p>
        </w:tc>
        <w:tc>
          <w:tcPr>
            <w:tcW w:w="851" w:type="dxa"/>
            <w:tcBorders>
              <w:top w:val="single" w:sz="4" w:space="0" w:color="auto"/>
            </w:tcBorders>
            <w:vAlign w:val="bottom"/>
          </w:tcPr>
          <w:p w14:paraId="145C0E62" w14:textId="40E71CDD" w:rsidR="00546C4E" w:rsidRPr="00625155" w:rsidRDefault="00546C4E" w:rsidP="00513731">
            <w:pPr>
              <w:pStyle w:val="Summarytabletextrightaligned"/>
            </w:pPr>
            <w:r w:rsidRPr="00625155">
              <w:t>2021</w:t>
            </w:r>
            <w:r w:rsidR="00660645">
              <w:noBreakHyphen/>
            </w:r>
            <w:r w:rsidRPr="00625155">
              <w:t>22</w:t>
            </w:r>
          </w:p>
        </w:tc>
        <w:tc>
          <w:tcPr>
            <w:tcW w:w="851" w:type="dxa"/>
            <w:tcBorders>
              <w:top w:val="single" w:sz="4" w:space="0" w:color="auto"/>
            </w:tcBorders>
            <w:shd w:val="clear" w:color="auto" w:fill="F2F9FC"/>
            <w:vAlign w:val="bottom"/>
          </w:tcPr>
          <w:p w14:paraId="2AA08D16" w14:textId="453A425E" w:rsidR="00546C4E" w:rsidRPr="00625155" w:rsidRDefault="00546C4E" w:rsidP="00513731">
            <w:pPr>
              <w:pStyle w:val="Summarytabletextrightaligned"/>
            </w:pPr>
            <w:r w:rsidRPr="00625155">
              <w:t>2022</w:t>
            </w:r>
            <w:r w:rsidR="00660645">
              <w:noBreakHyphen/>
            </w:r>
            <w:r w:rsidRPr="00625155">
              <w:t>23</w:t>
            </w:r>
          </w:p>
        </w:tc>
        <w:tc>
          <w:tcPr>
            <w:tcW w:w="851" w:type="dxa"/>
            <w:tcBorders>
              <w:top w:val="single" w:sz="4" w:space="0" w:color="auto"/>
            </w:tcBorders>
            <w:vAlign w:val="bottom"/>
          </w:tcPr>
          <w:p w14:paraId="6C514368" w14:textId="0FEA5534" w:rsidR="00546C4E" w:rsidRPr="00625155" w:rsidRDefault="00546C4E" w:rsidP="00513731">
            <w:pPr>
              <w:pStyle w:val="Summarytabletextrightaligned"/>
            </w:pPr>
            <w:r w:rsidRPr="00625155">
              <w:t>2023</w:t>
            </w:r>
            <w:r w:rsidR="00660645">
              <w:noBreakHyphen/>
            </w:r>
            <w:r w:rsidRPr="00625155">
              <w:t>24</w:t>
            </w:r>
          </w:p>
        </w:tc>
        <w:tc>
          <w:tcPr>
            <w:tcW w:w="851" w:type="dxa"/>
            <w:tcBorders>
              <w:top w:val="single" w:sz="4" w:space="0" w:color="auto"/>
            </w:tcBorders>
            <w:vAlign w:val="bottom"/>
          </w:tcPr>
          <w:p w14:paraId="0493D263" w14:textId="6A120762" w:rsidR="00546C4E" w:rsidRPr="00625155" w:rsidRDefault="00546C4E" w:rsidP="00513731">
            <w:pPr>
              <w:pStyle w:val="Summarytabletextrightaligned"/>
            </w:pPr>
            <w:r w:rsidRPr="00625155">
              <w:t>2024</w:t>
            </w:r>
            <w:r w:rsidR="00660645">
              <w:noBreakHyphen/>
            </w:r>
            <w:r w:rsidRPr="00625155">
              <w:t>25</w:t>
            </w:r>
          </w:p>
        </w:tc>
        <w:tc>
          <w:tcPr>
            <w:tcW w:w="851" w:type="dxa"/>
            <w:tcBorders>
              <w:top w:val="single" w:sz="4" w:space="0" w:color="auto"/>
            </w:tcBorders>
            <w:vAlign w:val="bottom"/>
          </w:tcPr>
          <w:p w14:paraId="35FADF21" w14:textId="5DF75FFE" w:rsidR="00546C4E" w:rsidRPr="00625155" w:rsidRDefault="00546C4E" w:rsidP="00513731">
            <w:pPr>
              <w:pStyle w:val="Summarytabletextrightaligned"/>
            </w:pPr>
            <w:r w:rsidRPr="00625155">
              <w:t>2025</w:t>
            </w:r>
            <w:r w:rsidR="00660645">
              <w:noBreakHyphen/>
            </w:r>
            <w:r w:rsidRPr="00625155">
              <w:t>26</w:t>
            </w:r>
          </w:p>
        </w:tc>
      </w:tr>
      <w:tr w:rsidR="00546C4E" w:rsidRPr="00625155" w14:paraId="55822199" w14:textId="77777777" w:rsidTr="00E70D23">
        <w:tc>
          <w:tcPr>
            <w:tcW w:w="3470" w:type="dxa"/>
            <w:shd w:val="clear" w:color="auto" w:fill="auto"/>
            <w:vAlign w:val="bottom"/>
          </w:tcPr>
          <w:p w14:paraId="0F16848B" w14:textId="77777777" w:rsidR="00546C4E" w:rsidRPr="00625155" w:rsidRDefault="00546C4E" w:rsidP="00513731">
            <w:pPr>
              <w:pStyle w:val="Summarytabletextrightaligned"/>
            </w:pPr>
          </w:p>
        </w:tc>
        <w:tc>
          <w:tcPr>
            <w:tcW w:w="851" w:type="dxa"/>
            <w:tcBorders>
              <w:bottom w:val="single" w:sz="4" w:space="0" w:color="auto"/>
            </w:tcBorders>
            <w:vAlign w:val="bottom"/>
          </w:tcPr>
          <w:p w14:paraId="6DE78483" w14:textId="77777777" w:rsidR="00546C4E" w:rsidRPr="00625155" w:rsidRDefault="00546C4E" w:rsidP="00513731">
            <w:pPr>
              <w:pStyle w:val="Summarytabletextrightaligned"/>
            </w:pPr>
            <w:r w:rsidRPr="00625155">
              <w:t>$m</w:t>
            </w:r>
          </w:p>
        </w:tc>
        <w:tc>
          <w:tcPr>
            <w:tcW w:w="851" w:type="dxa"/>
            <w:tcBorders>
              <w:bottom w:val="single" w:sz="4" w:space="0" w:color="auto"/>
            </w:tcBorders>
            <w:shd w:val="clear" w:color="auto" w:fill="F2F9FC"/>
            <w:vAlign w:val="bottom"/>
          </w:tcPr>
          <w:p w14:paraId="65D38262" w14:textId="77777777" w:rsidR="00546C4E" w:rsidRPr="00625155" w:rsidRDefault="00546C4E" w:rsidP="00513731">
            <w:pPr>
              <w:pStyle w:val="Summarytabletextrightaligned"/>
            </w:pPr>
            <w:r w:rsidRPr="00625155">
              <w:t>$m</w:t>
            </w:r>
          </w:p>
        </w:tc>
        <w:tc>
          <w:tcPr>
            <w:tcW w:w="851" w:type="dxa"/>
            <w:tcBorders>
              <w:bottom w:val="single" w:sz="4" w:space="0" w:color="auto"/>
            </w:tcBorders>
            <w:vAlign w:val="bottom"/>
          </w:tcPr>
          <w:p w14:paraId="7E3DDFE9" w14:textId="77777777" w:rsidR="00546C4E" w:rsidRPr="00625155" w:rsidRDefault="00546C4E" w:rsidP="00513731">
            <w:pPr>
              <w:pStyle w:val="Summarytabletextrightaligned"/>
            </w:pPr>
            <w:r w:rsidRPr="00625155">
              <w:t>$m</w:t>
            </w:r>
          </w:p>
        </w:tc>
        <w:tc>
          <w:tcPr>
            <w:tcW w:w="851" w:type="dxa"/>
            <w:tcBorders>
              <w:bottom w:val="single" w:sz="4" w:space="0" w:color="auto"/>
            </w:tcBorders>
            <w:vAlign w:val="bottom"/>
          </w:tcPr>
          <w:p w14:paraId="26C3E695" w14:textId="77777777" w:rsidR="00546C4E" w:rsidRPr="00625155" w:rsidRDefault="00546C4E" w:rsidP="00513731">
            <w:pPr>
              <w:pStyle w:val="Summarytabletextrightaligned"/>
            </w:pPr>
            <w:r w:rsidRPr="00625155">
              <w:t>$m</w:t>
            </w:r>
          </w:p>
        </w:tc>
        <w:tc>
          <w:tcPr>
            <w:tcW w:w="851" w:type="dxa"/>
            <w:tcBorders>
              <w:bottom w:val="single" w:sz="4" w:space="0" w:color="auto"/>
            </w:tcBorders>
            <w:vAlign w:val="bottom"/>
          </w:tcPr>
          <w:p w14:paraId="44719C33" w14:textId="77777777" w:rsidR="00546C4E" w:rsidRPr="00625155" w:rsidRDefault="00546C4E" w:rsidP="00513731">
            <w:pPr>
              <w:pStyle w:val="Summarytabletextrightaligned"/>
            </w:pPr>
            <w:r w:rsidRPr="00625155">
              <w:t>$m</w:t>
            </w:r>
          </w:p>
        </w:tc>
      </w:tr>
      <w:tr w:rsidR="00546C4E" w:rsidRPr="00625155" w14:paraId="7786A11C" w14:textId="77777777" w:rsidTr="00E70D23">
        <w:tc>
          <w:tcPr>
            <w:tcW w:w="3470" w:type="dxa"/>
            <w:shd w:val="clear" w:color="auto" w:fill="auto"/>
            <w:vAlign w:val="bottom"/>
          </w:tcPr>
          <w:p w14:paraId="7C4FD8F3" w14:textId="77777777" w:rsidR="00546C4E" w:rsidRPr="00625155" w:rsidRDefault="00546C4E" w:rsidP="00513731">
            <w:pPr>
              <w:pStyle w:val="SummaryPortfolioTitle-BP2"/>
            </w:pPr>
            <w:r w:rsidRPr="00625155">
              <w:t>HEALTH</w:t>
            </w:r>
          </w:p>
        </w:tc>
        <w:tc>
          <w:tcPr>
            <w:tcW w:w="851" w:type="dxa"/>
            <w:tcBorders>
              <w:top w:val="single" w:sz="4" w:space="0" w:color="auto"/>
            </w:tcBorders>
            <w:vAlign w:val="bottom"/>
          </w:tcPr>
          <w:p w14:paraId="1E42D179"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shd w:val="clear" w:color="auto" w:fill="F2F9FC"/>
            <w:vAlign w:val="bottom"/>
          </w:tcPr>
          <w:p w14:paraId="046AD7B7"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11E24945"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3121A1FA"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724FB95A" w14:textId="77777777" w:rsidR="00546C4E" w:rsidRPr="00625155" w:rsidRDefault="00546C4E" w:rsidP="00513731">
            <w:pPr>
              <w:pStyle w:val="MeasureTableTextRightAlignedBefore6ptAfter1pt"/>
              <w:rPr>
                <w:b/>
                <w:bCs/>
                <w:color w:val="auto"/>
              </w:rPr>
            </w:pPr>
          </w:p>
        </w:tc>
      </w:tr>
      <w:tr w:rsidR="00546C4E" w:rsidRPr="00625155" w14:paraId="0C2AA1F6" w14:textId="77777777" w:rsidTr="00E70D23">
        <w:tc>
          <w:tcPr>
            <w:tcW w:w="3470" w:type="dxa"/>
            <w:shd w:val="clear" w:color="auto" w:fill="auto"/>
            <w:vAlign w:val="bottom"/>
          </w:tcPr>
          <w:p w14:paraId="02DFB346" w14:textId="77777777" w:rsidR="00546C4E" w:rsidRPr="00625155" w:rsidRDefault="00546C4E" w:rsidP="00513731">
            <w:pPr>
              <w:pStyle w:val="SummaryAgencyTitle-BP2"/>
              <w:rPr>
                <w:iCs/>
              </w:rPr>
            </w:pPr>
            <w:r w:rsidRPr="00625155">
              <w:rPr>
                <w:iCs/>
              </w:rPr>
              <w:t>Department of Health</w:t>
            </w:r>
          </w:p>
        </w:tc>
        <w:tc>
          <w:tcPr>
            <w:tcW w:w="851" w:type="dxa"/>
            <w:vAlign w:val="bottom"/>
          </w:tcPr>
          <w:p w14:paraId="5AED40E5" w14:textId="77777777" w:rsidR="00546C4E" w:rsidRPr="00625155" w:rsidRDefault="00546C4E" w:rsidP="00513731">
            <w:pPr>
              <w:pStyle w:val="SummaryAgencyTitle-BP2"/>
              <w:rPr>
                <w:iCs/>
              </w:rPr>
            </w:pPr>
          </w:p>
        </w:tc>
        <w:tc>
          <w:tcPr>
            <w:tcW w:w="851" w:type="dxa"/>
            <w:shd w:val="clear" w:color="auto" w:fill="F2F9FC"/>
            <w:vAlign w:val="bottom"/>
          </w:tcPr>
          <w:p w14:paraId="5ADF816F" w14:textId="77777777" w:rsidR="00546C4E" w:rsidRPr="00625155" w:rsidRDefault="00546C4E" w:rsidP="00513731">
            <w:pPr>
              <w:pStyle w:val="SummaryAgencyTitle-BP2"/>
              <w:rPr>
                <w:iCs/>
              </w:rPr>
            </w:pPr>
          </w:p>
        </w:tc>
        <w:tc>
          <w:tcPr>
            <w:tcW w:w="851" w:type="dxa"/>
            <w:vAlign w:val="bottom"/>
          </w:tcPr>
          <w:p w14:paraId="4B7573EA" w14:textId="77777777" w:rsidR="00546C4E" w:rsidRPr="00625155" w:rsidRDefault="00546C4E" w:rsidP="00513731">
            <w:pPr>
              <w:pStyle w:val="SummaryAgencyTitle-BP2"/>
              <w:rPr>
                <w:iCs/>
              </w:rPr>
            </w:pPr>
          </w:p>
        </w:tc>
        <w:tc>
          <w:tcPr>
            <w:tcW w:w="851" w:type="dxa"/>
            <w:vAlign w:val="bottom"/>
          </w:tcPr>
          <w:p w14:paraId="73ECA3C2" w14:textId="77777777" w:rsidR="00546C4E" w:rsidRPr="00625155" w:rsidRDefault="00546C4E" w:rsidP="00513731">
            <w:pPr>
              <w:pStyle w:val="SummaryAgencyTitle-BP2"/>
              <w:rPr>
                <w:iCs/>
              </w:rPr>
            </w:pPr>
          </w:p>
        </w:tc>
        <w:tc>
          <w:tcPr>
            <w:tcW w:w="851" w:type="dxa"/>
            <w:vAlign w:val="bottom"/>
          </w:tcPr>
          <w:p w14:paraId="58533BD1" w14:textId="77777777" w:rsidR="00546C4E" w:rsidRPr="00625155" w:rsidRDefault="00546C4E" w:rsidP="00513731">
            <w:pPr>
              <w:pStyle w:val="SummaryAgencyTitle-BP2"/>
              <w:rPr>
                <w:iCs/>
              </w:rPr>
            </w:pPr>
          </w:p>
        </w:tc>
      </w:tr>
      <w:tr w:rsidR="00546C4E" w:rsidRPr="00625155" w14:paraId="6B123419" w14:textId="77777777" w:rsidTr="00E70D23">
        <w:tc>
          <w:tcPr>
            <w:tcW w:w="3470" w:type="dxa"/>
            <w:shd w:val="clear" w:color="auto" w:fill="auto"/>
            <w:vAlign w:val="bottom"/>
          </w:tcPr>
          <w:p w14:paraId="5A941675" w14:textId="576BE364" w:rsidR="00546C4E" w:rsidRPr="00625155" w:rsidRDefault="00546C4E" w:rsidP="00513731">
            <w:pPr>
              <w:pStyle w:val="SummaryMeasureTitlewithTheme"/>
              <w:rPr>
                <w:color w:val="auto"/>
              </w:rPr>
            </w:pPr>
            <w:r w:rsidRPr="00625155">
              <w:rPr>
                <w:color w:val="auto"/>
              </w:rPr>
              <w:t>COVID</w:t>
            </w:r>
            <w:r w:rsidR="00660645">
              <w:rPr>
                <w:color w:val="auto"/>
              </w:rPr>
              <w:noBreakHyphen/>
            </w:r>
            <w:r w:rsidRPr="00625155">
              <w:rPr>
                <w:color w:val="auto"/>
              </w:rPr>
              <w:t>19 Response Package – treatments(b)</w:t>
            </w:r>
          </w:p>
        </w:tc>
        <w:tc>
          <w:tcPr>
            <w:tcW w:w="851" w:type="dxa"/>
            <w:tcBorders>
              <w:bottom w:val="single" w:sz="4" w:space="0" w:color="auto"/>
            </w:tcBorders>
            <w:vAlign w:val="bottom"/>
          </w:tcPr>
          <w:p w14:paraId="7E2E7A44" w14:textId="77777777" w:rsidR="00546C4E" w:rsidRPr="00625155" w:rsidRDefault="00546C4E" w:rsidP="00513731">
            <w:pPr>
              <w:pStyle w:val="Summarytabletextrightaligned"/>
              <w:rPr>
                <w:szCs w:val="16"/>
              </w:rPr>
            </w:pPr>
            <w:r w:rsidRPr="00625155">
              <w:rPr>
                <w:szCs w:val="16"/>
              </w:rPr>
              <w:t>175.0</w:t>
            </w:r>
          </w:p>
        </w:tc>
        <w:tc>
          <w:tcPr>
            <w:tcW w:w="851" w:type="dxa"/>
            <w:tcBorders>
              <w:bottom w:val="single" w:sz="4" w:space="0" w:color="auto"/>
            </w:tcBorders>
            <w:shd w:val="clear" w:color="auto" w:fill="F2F9FC"/>
            <w:vAlign w:val="bottom"/>
          </w:tcPr>
          <w:p w14:paraId="581574E5" w14:textId="77777777" w:rsidR="00546C4E" w:rsidRPr="00625155" w:rsidRDefault="00546C4E" w:rsidP="00513731">
            <w:pPr>
              <w:pStyle w:val="Summarytabletextrightaligned"/>
              <w:rPr>
                <w:szCs w:val="16"/>
              </w:rPr>
            </w:pPr>
            <w:r w:rsidRPr="00625155">
              <w:rPr>
                <w:szCs w:val="16"/>
              </w:rPr>
              <w:t>875.0</w:t>
            </w:r>
          </w:p>
        </w:tc>
        <w:tc>
          <w:tcPr>
            <w:tcW w:w="851" w:type="dxa"/>
            <w:tcBorders>
              <w:bottom w:val="single" w:sz="4" w:space="0" w:color="auto"/>
            </w:tcBorders>
            <w:vAlign w:val="bottom"/>
          </w:tcPr>
          <w:p w14:paraId="4A324823" w14:textId="407C170C"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0606437B" w14:textId="03BE8FD7"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39577437" w14:textId="77A73EDD" w:rsidR="00546C4E" w:rsidRPr="00625155" w:rsidRDefault="00660645" w:rsidP="00513731">
            <w:pPr>
              <w:pStyle w:val="Summarytabletextrightaligned"/>
              <w:rPr>
                <w:szCs w:val="16"/>
              </w:rPr>
            </w:pPr>
            <w:r>
              <w:rPr>
                <w:szCs w:val="16"/>
              </w:rPr>
              <w:noBreakHyphen/>
            </w:r>
          </w:p>
        </w:tc>
      </w:tr>
      <w:tr w:rsidR="00546C4E" w:rsidRPr="00625155" w14:paraId="5142FD59" w14:textId="77777777" w:rsidTr="00E70D23">
        <w:tc>
          <w:tcPr>
            <w:tcW w:w="3470" w:type="dxa"/>
            <w:shd w:val="clear" w:color="auto" w:fill="auto"/>
            <w:vAlign w:val="bottom"/>
          </w:tcPr>
          <w:p w14:paraId="3465A648" w14:textId="77777777" w:rsidR="00546C4E" w:rsidRPr="00625155" w:rsidRDefault="00546C4E" w:rsidP="00513731">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3AA8F418" w14:textId="77777777" w:rsidR="00546C4E" w:rsidRPr="00625155" w:rsidRDefault="00546C4E" w:rsidP="00513731">
            <w:pPr>
              <w:pStyle w:val="Summarytabletextrightalignedbold"/>
              <w:rPr>
                <w:bCs/>
                <w:szCs w:val="16"/>
              </w:rPr>
            </w:pPr>
            <w:r w:rsidRPr="00625155">
              <w:rPr>
                <w:bCs/>
                <w:szCs w:val="16"/>
              </w:rPr>
              <w:t>175.0</w:t>
            </w:r>
          </w:p>
        </w:tc>
        <w:tc>
          <w:tcPr>
            <w:tcW w:w="851" w:type="dxa"/>
            <w:tcBorders>
              <w:top w:val="single" w:sz="4" w:space="0" w:color="auto"/>
              <w:bottom w:val="single" w:sz="4" w:space="0" w:color="auto"/>
            </w:tcBorders>
            <w:shd w:val="clear" w:color="auto" w:fill="F2F9FC"/>
            <w:vAlign w:val="bottom"/>
          </w:tcPr>
          <w:p w14:paraId="7EA911AF" w14:textId="77777777" w:rsidR="00546C4E" w:rsidRPr="00625155" w:rsidRDefault="00546C4E" w:rsidP="00513731">
            <w:pPr>
              <w:pStyle w:val="Summarytabletextrightalignedbold"/>
              <w:rPr>
                <w:bCs/>
                <w:szCs w:val="16"/>
              </w:rPr>
            </w:pPr>
            <w:r w:rsidRPr="00625155">
              <w:rPr>
                <w:bCs/>
                <w:szCs w:val="16"/>
              </w:rPr>
              <w:t>875.0</w:t>
            </w:r>
          </w:p>
        </w:tc>
        <w:tc>
          <w:tcPr>
            <w:tcW w:w="851" w:type="dxa"/>
            <w:tcBorders>
              <w:top w:val="single" w:sz="4" w:space="0" w:color="auto"/>
              <w:bottom w:val="single" w:sz="4" w:space="0" w:color="auto"/>
            </w:tcBorders>
            <w:vAlign w:val="bottom"/>
          </w:tcPr>
          <w:p w14:paraId="37186607" w14:textId="01D450DE" w:rsidR="00546C4E" w:rsidRPr="00625155" w:rsidRDefault="00660645" w:rsidP="00513731">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3E0EF355" w14:textId="2A3DFD7C" w:rsidR="00546C4E" w:rsidRPr="00625155" w:rsidRDefault="00660645" w:rsidP="00513731">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5E99E715" w14:textId="4F85469B" w:rsidR="00546C4E" w:rsidRPr="00625155" w:rsidRDefault="00660645" w:rsidP="00513731">
            <w:pPr>
              <w:pStyle w:val="Summarytabletextrightalignedbold"/>
              <w:rPr>
                <w:bCs/>
                <w:szCs w:val="16"/>
              </w:rPr>
            </w:pPr>
            <w:r>
              <w:rPr>
                <w:bCs/>
                <w:szCs w:val="16"/>
              </w:rPr>
              <w:noBreakHyphen/>
            </w:r>
          </w:p>
        </w:tc>
      </w:tr>
      <w:tr w:rsidR="00546C4E" w:rsidRPr="00625155" w14:paraId="0236A9E0" w14:textId="77777777" w:rsidTr="00E70D23">
        <w:tc>
          <w:tcPr>
            <w:tcW w:w="3470" w:type="dxa"/>
            <w:shd w:val="clear" w:color="auto" w:fill="auto"/>
            <w:vAlign w:val="bottom"/>
          </w:tcPr>
          <w:p w14:paraId="11FE2EAE" w14:textId="1A77A7E9" w:rsidR="00546C4E" w:rsidRPr="00625155" w:rsidRDefault="00546C4E" w:rsidP="00513731">
            <w:pPr>
              <w:pStyle w:val="SummaryPortfolioTitle-BP2"/>
            </w:pPr>
            <w:r w:rsidRPr="00625155">
              <w:t>HOME AFFAIRS</w:t>
            </w:r>
          </w:p>
        </w:tc>
        <w:tc>
          <w:tcPr>
            <w:tcW w:w="851" w:type="dxa"/>
            <w:tcBorders>
              <w:top w:val="single" w:sz="4" w:space="0" w:color="auto"/>
            </w:tcBorders>
            <w:vAlign w:val="bottom"/>
          </w:tcPr>
          <w:p w14:paraId="5F51798A"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shd w:val="clear" w:color="auto" w:fill="F2F9FC"/>
            <w:vAlign w:val="bottom"/>
          </w:tcPr>
          <w:p w14:paraId="53B0830A"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35A003A8"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56B90285"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12A294E4" w14:textId="77777777" w:rsidR="00546C4E" w:rsidRPr="00625155" w:rsidRDefault="00546C4E" w:rsidP="00513731">
            <w:pPr>
              <w:pStyle w:val="MeasureTableTextRightAlignedBefore6ptAfter1pt"/>
              <w:rPr>
                <w:b/>
                <w:bCs/>
                <w:color w:val="auto"/>
              </w:rPr>
            </w:pPr>
          </w:p>
        </w:tc>
      </w:tr>
      <w:tr w:rsidR="00546C4E" w:rsidRPr="00625155" w14:paraId="4687C1A2" w14:textId="77777777" w:rsidTr="00E70D23">
        <w:tc>
          <w:tcPr>
            <w:tcW w:w="3470" w:type="dxa"/>
            <w:shd w:val="clear" w:color="auto" w:fill="auto"/>
            <w:vAlign w:val="bottom"/>
          </w:tcPr>
          <w:p w14:paraId="061FAEF3" w14:textId="27B7396D" w:rsidR="00546C4E" w:rsidRPr="00625155" w:rsidRDefault="00546C4E" w:rsidP="00513731">
            <w:pPr>
              <w:pStyle w:val="SummaryAgencyTitle-BP2"/>
              <w:rPr>
                <w:iCs/>
              </w:rPr>
            </w:pPr>
            <w:r w:rsidRPr="00625155">
              <w:rPr>
                <w:iCs/>
              </w:rPr>
              <w:t>Department of Home Affairs</w:t>
            </w:r>
          </w:p>
        </w:tc>
        <w:tc>
          <w:tcPr>
            <w:tcW w:w="851" w:type="dxa"/>
            <w:vAlign w:val="bottom"/>
          </w:tcPr>
          <w:p w14:paraId="08875914" w14:textId="77777777" w:rsidR="00546C4E" w:rsidRPr="00625155" w:rsidRDefault="00546C4E" w:rsidP="00513731">
            <w:pPr>
              <w:pStyle w:val="SummaryAgencyTitle-BP2"/>
              <w:rPr>
                <w:iCs/>
              </w:rPr>
            </w:pPr>
          </w:p>
        </w:tc>
        <w:tc>
          <w:tcPr>
            <w:tcW w:w="851" w:type="dxa"/>
            <w:shd w:val="clear" w:color="auto" w:fill="F2F9FC"/>
            <w:vAlign w:val="bottom"/>
          </w:tcPr>
          <w:p w14:paraId="4B711299" w14:textId="77777777" w:rsidR="00546C4E" w:rsidRPr="00625155" w:rsidRDefault="00546C4E" w:rsidP="00513731">
            <w:pPr>
              <w:pStyle w:val="SummaryAgencyTitle-BP2"/>
              <w:rPr>
                <w:iCs/>
              </w:rPr>
            </w:pPr>
          </w:p>
        </w:tc>
        <w:tc>
          <w:tcPr>
            <w:tcW w:w="851" w:type="dxa"/>
            <w:vAlign w:val="bottom"/>
          </w:tcPr>
          <w:p w14:paraId="4BE346F5" w14:textId="77777777" w:rsidR="00546C4E" w:rsidRPr="00625155" w:rsidRDefault="00546C4E" w:rsidP="00513731">
            <w:pPr>
              <w:pStyle w:val="SummaryAgencyTitle-BP2"/>
              <w:rPr>
                <w:iCs/>
              </w:rPr>
            </w:pPr>
          </w:p>
        </w:tc>
        <w:tc>
          <w:tcPr>
            <w:tcW w:w="851" w:type="dxa"/>
            <w:vAlign w:val="bottom"/>
          </w:tcPr>
          <w:p w14:paraId="692613F8" w14:textId="77777777" w:rsidR="00546C4E" w:rsidRPr="00625155" w:rsidRDefault="00546C4E" w:rsidP="00513731">
            <w:pPr>
              <w:pStyle w:val="SummaryAgencyTitle-BP2"/>
              <w:rPr>
                <w:iCs/>
              </w:rPr>
            </w:pPr>
          </w:p>
        </w:tc>
        <w:tc>
          <w:tcPr>
            <w:tcW w:w="851" w:type="dxa"/>
            <w:vAlign w:val="bottom"/>
          </w:tcPr>
          <w:p w14:paraId="74D911AB" w14:textId="77777777" w:rsidR="00546C4E" w:rsidRPr="00625155" w:rsidRDefault="00546C4E" w:rsidP="00513731">
            <w:pPr>
              <w:pStyle w:val="SummaryAgencyTitle-BP2"/>
              <w:rPr>
                <w:iCs/>
              </w:rPr>
            </w:pPr>
          </w:p>
        </w:tc>
      </w:tr>
      <w:tr w:rsidR="00546C4E" w:rsidRPr="00625155" w14:paraId="3D7AE250" w14:textId="77777777" w:rsidTr="00E70D23">
        <w:tc>
          <w:tcPr>
            <w:tcW w:w="3470" w:type="dxa"/>
            <w:shd w:val="clear" w:color="auto" w:fill="auto"/>
            <w:vAlign w:val="bottom"/>
          </w:tcPr>
          <w:p w14:paraId="611C4F12" w14:textId="5F6F495F" w:rsidR="00546C4E" w:rsidRPr="00625155" w:rsidRDefault="00546C4E" w:rsidP="00513731">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r w:rsidR="00041262" w:rsidRPr="00625155">
              <w:rPr>
                <w:color w:val="auto"/>
              </w:rPr>
              <w:t>(d</w:t>
            </w:r>
            <w:r w:rsidRPr="00625155">
              <w:rPr>
                <w:color w:val="auto"/>
              </w:rPr>
              <w:t>)</w:t>
            </w:r>
          </w:p>
        </w:tc>
        <w:tc>
          <w:tcPr>
            <w:tcW w:w="851" w:type="dxa"/>
            <w:vAlign w:val="bottom"/>
          </w:tcPr>
          <w:p w14:paraId="161262F9" w14:textId="0C7CA3B1" w:rsidR="00546C4E" w:rsidRPr="00625155" w:rsidRDefault="00660645" w:rsidP="00513731">
            <w:pPr>
              <w:pStyle w:val="Summarytabletextrightaligned"/>
              <w:rPr>
                <w:szCs w:val="16"/>
              </w:rPr>
            </w:pPr>
            <w:r>
              <w:rPr>
                <w:szCs w:val="16"/>
              </w:rPr>
              <w:noBreakHyphen/>
            </w:r>
          </w:p>
        </w:tc>
        <w:tc>
          <w:tcPr>
            <w:tcW w:w="851" w:type="dxa"/>
            <w:shd w:val="clear" w:color="auto" w:fill="F2F9FC"/>
            <w:vAlign w:val="bottom"/>
          </w:tcPr>
          <w:p w14:paraId="5A6BA07B" w14:textId="3A864ECB" w:rsidR="00546C4E" w:rsidRPr="00625155" w:rsidRDefault="00660645" w:rsidP="00513731">
            <w:pPr>
              <w:pStyle w:val="Summarytabletextrightaligned"/>
              <w:rPr>
                <w:szCs w:val="16"/>
              </w:rPr>
            </w:pPr>
            <w:r>
              <w:rPr>
                <w:szCs w:val="16"/>
              </w:rPr>
              <w:noBreakHyphen/>
            </w:r>
            <w:r w:rsidR="00546C4E" w:rsidRPr="00625155">
              <w:rPr>
                <w:szCs w:val="16"/>
              </w:rPr>
              <w:t>45.0</w:t>
            </w:r>
          </w:p>
        </w:tc>
        <w:tc>
          <w:tcPr>
            <w:tcW w:w="851" w:type="dxa"/>
            <w:vAlign w:val="bottom"/>
          </w:tcPr>
          <w:p w14:paraId="6DF86719" w14:textId="315C6F99" w:rsidR="00546C4E" w:rsidRPr="00625155" w:rsidRDefault="00660645" w:rsidP="00513731">
            <w:pPr>
              <w:pStyle w:val="Summarytabletextrightaligned"/>
              <w:rPr>
                <w:szCs w:val="16"/>
              </w:rPr>
            </w:pPr>
            <w:r>
              <w:rPr>
                <w:szCs w:val="16"/>
              </w:rPr>
              <w:noBreakHyphen/>
            </w:r>
            <w:r w:rsidR="00546C4E" w:rsidRPr="00625155">
              <w:rPr>
                <w:szCs w:val="16"/>
              </w:rPr>
              <w:t>95.0</w:t>
            </w:r>
          </w:p>
        </w:tc>
        <w:tc>
          <w:tcPr>
            <w:tcW w:w="851" w:type="dxa"/>
            <w:vAlign w:val="bottom"/>
          </w:tcPr>
          <w:p w14:paraId="6D9810CE" w14:textId="16F2F57F" w:rsidR="00546C4E" w:rsidRPr="00625155" w:rsidRDefault="00660645" w:rsidP="00513731">
            <w:pPr>
              <w:pStyle w:val="Summarytabletextrightaligned"/>
              <w:rPr>
                <w:szCs w:val="16"/>
              </w:rPr>
            </w:pPr>
            <w:r>
              <w:rPr>
                <w:szCs w:val="16"/>
              </w:rPr>
              <w:noBreakHyphen/>
            </w:r>
            <w:r w:rsidR="00546C4E" w:rsidRPr="00625155">
              <w:rPr>
                <w:szCs w:val="16"/>
              </w:rPr>
              <w:t>95.0</w:t>
            </w:r>
          </w:p>
        </w:tc>
        <w:tc>
          <w:tcPr>
            <w:tcW w:w="851" w:type="dxa"/>
            <w:vAlign w:val="bottom"/>
          </w:tcPr>
          <w:p w14:paraId="7DC9B03C" w14:textId="5AD9DBA7" w:rsidR="00546C4E" w:rsidRPr="00625155" w:rsidRDefault="00660645" w:rsidP="00513731">
            <w:pPr>
              <w:pStyle w:val="Summarytabletextrightaligned"/>
              <w:rPr>
                <w:szCs w:val="16"/>
              </w:rPr>
            </w:pPr>
            <w:r>
              <w:rPr>
                <w:szCs w:val="16"/>
              </w:rPr>
              <w:noBreakHyphen/>
            </w:r>
            <w:r w:rsidR="00546C4E" w:rsidRPr="00625155">
              <w:rPr>
                <w:szCs w:val="16"/>
              </w:rPr>
              <w:t>100.0</w:t>
            </w:r>
          </w:p>
        </w:tc>
      </w:tr>
      <w:tr w:rsidR="00546C4E" w:rsidRPr="00625155" w14:paraId="11FF1F06" w14:textId="77777777" w:rsidTr="00E70D23">
        <w:tc>
          <w:tcPr>
            <w:tcW w:w="3470" w:type="dxa"/>
            <w:shd w:val="clear" w:color="auto" w:fill="auto"/>
            <w:vAlign w:val="bottom"/>
          </w:tcPr>
          <w:p w14:paraId="2E48DBEC" w14:textId="798612EB" w:rsidR="00546C4E" w:rsidRPr="00625155" w:rsidRDefault="00546C4E" w:rsidP="00513731">
            <w:pPr>
              <w:pStyle w:val="SummaryMeasureTitlewithTheme"/>
              <w:rPr>
                <w:color w:val="auto"/>
              </w:rPr>
            </w:pPr>
            <w:r w:rsidRPr="00625155">
              <w:rPr>
                <w:color w:val="auto"/>
              </w:rPr>
              <w:t>Responding to the Invasion of Ukraine – punitive tariffs on Russia and Belarus</w:t>
            </w:r>
            <w:r w:rsidR="004831FC" w:rsidRPr="00625155">
              <w:rPr>
                <w:color w:val="auto"/>
              </w:rPr>
              <w:t>(</w:t>
            </w:r>
            <w:r w:rsidR="009E2B62" w:rsidRPr="00625155">
              <w:rPr>
                <w:color w:val="auto"/>
              </w:rPr>
              <w:t>e</w:t>
            </w:r>
            <w:r w:rsidR="004831FC" w:rsidRPr="00625155">
              <w:rPr>
                <w:color w:val="auto"/>
              </w:rPr>
              <w:t>)</w:t>
            </w:r>
          </w:p>
        </w:tc>
        <w:tc>
          <w:tcPr>
            <w:tcW w:w="851" w:type="dxa"/>
            <w:tcBorders>
              <w:bottom w:val="single" w:sz="4" w:space="0" w:color="auto"/>
            </w:tcBorders>
            <w:vAlign w:val="bottom"/>
          </w:tcPr>
          <w:p w14:paraId="3C29C3CD" w14:textId="2A9097DD"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shd w:val="clear" w:color="auto" w:fill="F2F9FC"/>
            <w:vAlign w:val="bottom"/>
          </w:tcPr>
          <w:p w14:paraId="29496BDC" w14:textId="216E061C"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00BBAF57" w14:textId="68EBF862"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3B425CF8" w14:textId="2F1940F1"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7BF5710E" w14:textId="1CC2EA1C" w:rsidR="00546C4E" w:rsidRPr="00625155" w:rsidRDefault="00660645" w:rsidP="00513731">
            <w:pPr>
              <w:pStyle w:val="Summarytabletextrightaligned"/>
              <w:rPr>
                <w:szCs w:val="16"/>
              </w:rPr>
            </w:pPr>
            <w:r>
              <w:rPr>
                <w:szCs w:val="16"/>
              </w:rPr>
              <w:noBreakHyphen/>
            </w:r>
          </w:p>
        </w:tc>
      </w:tr>
      <w:tr w:rsidR="00546C4E" w:rsidRPr="00625155" w14:paraId="14E8223F" w14:textId="77777777" w:rsidTr="00E70D23">
        <w:tc>
          <w:tcPr>
            <w:tcW w:w="3470" w:type="dxa"/>
            <w:shd w:val="clear" w:color="auto" w:fill="auto"/>
            <w:vAlign w:val="bottom"/>
          </w:tcPr>
          <w:p w14:paraId="0355E341" w14:textId="77777777" w:rsidR="00546C4E" w:rsidRPr="00625155" w:rsidRDefault="00546C4E" w:rsidP="00513731">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10FBDF53" w14:textId="06E6FC64" w:rsidR="00546C4E" w:rsidRPr="00625155" w:rsidRDefault="00660645" w:rsidP="00513731">
            <w:pPr>
              <w:pStyle w:val="Summarytabletextrightalignedbold"/>
              <w:rPr>
                <w:bCs/>
                <w:szCs w:val="16"/>
              </w:rPr>
            </w:pPr>
            <w:r>
              <w:rPr>
                <w:bCs/>
                <w:szCs w:val="16"/>
              </w:rPr>
              <w:noBreakHyphen/>
            </w:r>
          </w:p>
        </w:tc>
        <w:tc>
          <w:tcPr>
            <w:tcW w:w="851" w:type="dxa"/>
            <w:tcBorders>
              <w:top w:val="single" w:sz="4" w:space="0" w:color="auto"/>
              <w:bottom w:val="single" w:sz="4" w:space="0" w:color="auto"/>
            </w:tcBorders>
            <w:shd w:val="clear" w:color="auto" w:fill="F2F9FC"/>
            <w:vAlign w:val="bottom"/>
          </w:tcPr>
          <w:p w14:paraId="29B33B29" w14:textId="072924AF" w:rsidR="00546C4E" w:rsidRPr="00625155" w:rsidRDefault="00660645" w:rsidP="00513731">
            <w:pPr>
              <w:pStyle w:val="Summarytabletextrightalignedbold"/>
              <w:rPr>
                <w:bCs/>
                <w:szCs w:val="16"/>
              </w:rPr>
            </w:pPr>
            <w:r>
              <w:rPr>
                <w:bCs/>
                <w:szCs w:val="16"/>
              </w:rPr>
              <w:noBreakHyphen/>
            </w:r>
            <w:r w:rsidR="00546C4E" w:rsidRPr="00625155">
              <w:rPr>
                <w:bCs/>
                <w:szCs w:val="16"/>
              </w:rPr>
              <w:t>45.0</w:t>
            </w:r>
          </w:p>
        </w:tc>
        <w:tc>
          <w:tcPr>
            <w:tcW w:w="851" w:type="dxa"/>
            <w:tcBorders>
              <w:top w:val="single" w:sz="4" w:space="0" w:color="auto"/>
              <w:bottom w:val="single" w:sz="4" w:space="0" w:color="auto"/>
            </w:tcBorders>
            <w:vAlign w:val="bottom"/>
          </w:tcPr>
          <w:p w14:paraId="5BF15CB9" w14:textId="1BE5CE84" w:rsidR="00546C4E" w:rsidRPr="00625155" w:rsidRDefault="00660645" w:rsidP="00513731">
            <w:pPr>
              <w:pStyle w:val="Summarytabletextrightalignedbold"/>
              <w:rPr>
                <w:bCs/>
                <w:szCs w:val="16"/>
              </w:rPr>
            </w:pPr>
            <w:r>
              <w:rPr>
                <w:bCs/>
                <w:szCs w:val="16"/>
              </w:rPr>
              <w:noBreakHyphen/>
            </w:r>
            <w:r w:rsidR="00546C4E" w:rsidRPr="00625155">
              <w:rPr>
                <w:bCs/>
                <w:szCs w:val="16"/>
              </w:rPr>
              <w:t>95.0</w:t>
            </w:r>
          </w:p>
        </w:tc>
        <w:tc>
          <w:tcPr>
            <w:tcW w:w="851" w:type="dxa"/>
            <w:tcBorders>
              <w:top w:val="single" w:sz="4" w:space="0" w:color="auto"/>
              <w:bottom w:val="single" w:sz="4" w:space="0" w:color="auto"/>
            </w:tcBorders>
            <w:vAlign w:val="bottom"/>
          </w:tcPr>
          <w:p w14:paraId="557F1453" w14:textId="0C712676" w:rsidR="00546C4E" w:rsidRPr="00625155" w:rsidRDefault="00660645" w:rsidP="00513731">
            <w:pPr>
              <w:pStyle w:val="Summarytabletextrightalignedbold"/>
              <w:rPr>
                <w:bCs/>
                <w:szCs w:val="16"/>
              </w:rPr>
            </w:pPr>
            <w:r>
              <w:rPr>
                <w:bCs/>
                <w:szCs w:val="16"/>
              </w:rPr>
              <w:noBreakHyphen/>
            </w:r>
            <w:r w:rsidR="00546C4E" w:rsidRPr="00625155">
              <w:rPr>
                <w:bCs/>
                <w:szCs w:val="16"/>
              </w:rPr>
              <w:t>95.0</w:t>
            </w:r>
          </w:p>
        </w:tc>
        <w:tc>
          <w:tcPr>
            <w:tcW w:w="851" w:type="dxa"/>
            <w:tcBorders>
              <w:top w:val="single" w:sz="4" w:space="0" w:color="auto"/>
              <w:bottom w:val="single" w:sz="4" w:space="0" w:color="auto"/>
            </w:tcBorders>
            <w:vAlign w:val="bottom"/>
          </w:tcPr>
          <w:p w14:paraId="073B9C4E" w14:textId="20E7A262" w:rsidR="00546C4E" w:rsidRPr="00625155" w:rsidRDefault="00660645" w:rsidP="00513731">
            <w:pPr>
              <w:pStyle w:val="Summarytabletextrightalignedbold"/>
              <w:rPr>
                <w:bCs/>
                <w:szCs w:val="16"/>
              </w:rPr>
            </w:pPr>
            <w:r>
              <w:rPr>
                <w:bCs/>
                <w:szCs w:val="16"/>
              </w:rPr>
              <w:noBreakHyphen/>
            </w:r>
            <w:r w:rsidR="00546C4E" w:rsidRPr="00625155">
              <w:rPr>
                <w:bCs/>
                <w:szCs w:val="16"/>
              </w:rPr>
              <w:t>100.0</w:t>
            </w:r>
          </w:p>
        </w:tc>
      </w:tr>
      <w:tr w:rsidR="00546C4E" w:rsidRPr="00625155" w14:paraId="75313E71" w14:textId="77777777" w:rsidTr="00E70D23">
        <w:tc>
          <w:tcPr>
            <w:tcW w:w="3470" w:type="dxa"/>
            <w:shd w:val="clear" w:color="auto" w:fill="auto"/>
            <w:vAlign w:val="bottom"/>
          </w:tcPr>
          <w:p w14:paraId="2876906C" w14:textId="77777777" w:rsidR="00546C4E" w:rsidRPr="00625155" w:rsidRDefault="00546C4E" w:rsidP="00513731">
            <w:pPr>
              <w:pStyle w:val="SummaryPortfolioTitle-BP2"/>
            </w:pPr>
            <w:r w:rsidRPr="00625155">
              <w:t>TREASURY</w:t>
            </w:r>
          </w:p>
        </w:tc>
        <w:tc>
          <w:tcPr>
            <w:tcW w:w="851" w:type="dxa"/>
            <w:tcBorders>
              <w:top w:val="single" w:sz="4" w:space="0" w:color="auto"/>
            </w:tcBorders>
            <w:vAlign w:val="bottom"/>
          </w:tcPr>
          <w:p w14:paraId="678F484A"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shd w:val="clear" w:color="auto" w:fill="F2F9FC"/>
            <w:vAlign w:val="bottom"/>
          </w:tcPr>
          <w:p w14:paraId="7ED51C8A"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50B4DC48"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4573A3A0" w14:textId="77777777" w:rsidR="00546C4E" w:rsidRPr="00625155" w:rsidRDefault="00546C4E" w:rsidP="00513731">
            <w:pPr>
              <w:pStyle w:val="MeasureTableTextRightAlignedBefore6ptAfter1pt"/>
              <w:rPr>
                <w:b/>
                <w:bCs/>
                <w:color w:val="auto"/>
              </w:rPr>
            </w:pPr>
          </w:p>
        </w:tc>
        <w:tc>
          <w:tcPr>
            <w:tcW w:w="851" w:type="dxa"/>
            <w:tcBorders>
              <w:top w:val="single" w:sz="4" w:space="0" w:color="auto"/>
            </w:tcBorders>
            <w:vAlign w:val="bottom"/>
          </w:tcPr>
          <w:p w14:paraId="0059196E" w14:textId="77777777" w:rsidR="00546C4E" w:rsidRPr="00625155" w:rsidRDefault="00546C4E" w:rsidP="00513731">
            <w:pPr>
              <w:pStyle w:val="MeasureTableTextRightAlignedBefore6ptAfter1pt"/>
              <w:rPr>
                <w:b/>
                <w:bCs/>
                <w:color w:val="auto"/>
              </w:rPr>
            </w:pPr>
          </w:p>
        </w:tc>
      </w:tr>
      <w:tr w:rsidR="00546C4E" w:rsidRPr="00625155" w14:paraId="6FF75295" w14:textId="77777777" w:rsidTr="00E70D23">
        <w:tc>
          <w:tcPr>
            <w:tcW w:w="3470" w:type="dxa"/>
            <w:shd w:val="clear" w:color="auto" w:fill="auto"/>
            <w:vAlign w:val="bottom"/>
          </w:tcPr>
          <w:p w14:paraId="7D3558B4" w14:textId="77777777" w:rsidR="00546C4E" w:rsidRPr="00625155" w:rsidRDefault="00546C4E" w:rsidP="00513731">
            <w:pPr>
              <w:pStyle w:val="SummaryAgencyTitle-BP2"/>
              <w:rPr>
                <w:iCs/>
              </w:rPr>
            </w:pPr>
            <w:r w:rsidRPr="00625155">
              <w:rPr>
                <w:iCs/>
              </w:rPr>
              <w:t>Australian Taxation Office</w:t>
            </w:r>
          </w:p>
        </w:tc>
        <w:tc>
          <w:tcPr>
            <w:tcW w:w="851" w:type="dxa"/>
            <w:vAlign w:val="bottom"/>
          </w:tcPr>
          <w:p w14:paraId="0298EFF3" w14:textId="77777777" w:rsidR="00546C4E" w:rsidRPr="00625155" w:rsidRDefault="00546C4E" w:rsidP="00513731">
            <w:pPr>
              <w:pStyle w:val="SummaryAgencyTitle-BP2"/>
              <w:rPr>
                <w:iCs/>
              </w:rPr>
            </w:pPr>
          </w:p>
        </w:tc>
        <w:tc>
          <w:tcPr>
            <w:tcW w:w="851" w:type="dxa"/>
            <w:shd w:val="clear" w:color="auto" w:fill="F2F9FC"/>
            <w:vAlign w:val="bottom"/>
          </w:tcPr>
          <w:p w14:paraId="4039E8D0" w14:textId="77777777" w:rsidR="00546C4E" w:rsidRPr="00625155" w:rsidRDefault="00546C4E" w:rsidP="00513731">
            <w:pPr>
              <w:pStyle w:val="SummaryAgencyTitle-BP2"/>
              <w:rPr>
                <w:iCs/>
              </w:rPr>
            </w:pPr>
          </w:p>
        </w:tc>
        <w:tc>
          <w:tcPr>
            <w:tcW w:w="851" w:type="dxa"/>
            <w:vAlign w:val="bottom"/>
          </w:tcPr>
          <w:p w14:paraId="08A53B80" w14:textId="77777777" w:rsidR="00546C4E" w:rsidRPr="00625155" w:rsidRDefault="00546C4E" w:rsidP="00513731">
            <w:pPr>
              <w:pStyle w:val="SummaryAgencyTitle-BP2"/>
              <w:rPr>
                <w:iCs/>
              </w:rPr>
            </w:pPr>
          </w:p>
        </w:tc>
        <w:tc>
          <w:tcPr>
            <w:tcW w:w="851" w:type="dxa"/>
            <w:vAlign w:val="bottom"/>
          </w:tcPr>
          <w:p w14:paraId="45E85000" w14:textId="77777777" w:rsidR="00546C4E" w:rsidRPr="00625155" w:rsidRDefault="00546C4E" w:rsidP="00513731">
            <w:pPr>
              <w:pStyle w:val="SummaryAgencyTitle-BP2"/>
              <w:rPr>
                <w:iCs/>
              </w:rPr>
            </w:pPr>
          </w:p>
        </w:tc>
        <w:tc>
          <w:tcPr>
            <w:tcW w:w="851" w:type="dxa"/>
            <w:vAlign w:val="bottom"/>
          </w:tcPr>
          <w:p w14:paraId="7C51FA2C" w14:textId="77777777" w:rsidR="00546C4E" w:rsidRPr="00625155" w:rsidRDefault="00546C4E" w:rsidP="00513731">
            <w:pPr>
              <w:pStyle w:val="SummaryAgencyTitle-BP2"/>
              <w:rPr>
                <w:iCs/>
              </w:rPr>
            </w:pPr>
          </w:p>
        </w:tc>
      </w:tr>
      <w:tr w:rsidR="00546C4E" w:rsidRPr="00625155" w14:paraId="1DBE06D8" w14:textId="77777777" w:rsidTr="00E70D23">
        <w:tc>
          <w:tcPr>
            <w:tcW w:w="3470" w:type="dxa"/>
            <w:shd w:val="clear" w:color="auto" w:fill="auto"/>
            <w:vAlign w:val="bottom"/>
          </w:tcPr>
          <w:p w14:paraId="7E280DD8" w14:textId="3CF8E53F" w:rsidR="00546C4E" w:rsidRPr="00625155" w:rsidRDefault="00546C4E" w:rsidP="00513731">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r w:rsidR="009E2B62" w:rsidRPr="00625155">
              <w:rPr>
                <w:color w:val="auto"/>
              </w:rPr>
              <w:t>(d</w:t>
            </w:r>
            <w:r w:rsidRPr="00625155">
              <w:rPr>
                <w:color w:val="auto"/>
              </w:rPr>
              <w:t>)</w:t>
            </w:r>
          </w:p>
        </w:tc>
        <w:tc>
          <w:tcPr>
            <w:tcW w:w="851" w:type="dxa"/>
            <w:vAlign w:val="bottom"/>
          </w:tcPr>
          <w:p w14:paraId="61A81113" w14:textId="3B9AED2D" w:rsidR="00546C4E" w:rsidRPr="00625155" w:rsidRDefault="00660645" w:rsidP="00513731">
            <w:pPr>
              <w:pStyle w:val="Summarytabletextrightaligned"/>
              <w:rPr>
                <w:szCs w:val="16"/>
              </w:rPr>
            </w:pPr>
            <w:r>
              <w:rPr>
                <w:szCs w:val="16"/>
              </w:rPr>
              <w:noBreakHyphen/>
            </w:r>
          </w:p>
        </w:tc>
        <w:tc>
          <w:tcPr>
            <w:tcW w:w="851" w:type="dxa"/>
            <w:shd w:val="clear" w:color="auto" w:fill="F2F9FC"/>
            <w:vAlign w:val="bottom"/>
          </w:tcPr>
          <w:p w14:paraId="07A3FE9E" w14:textId="77777777" w:rsidR="00546C4E" w:rsidRPr="00625155" w:rsidRDefault="00546C4E" w:rsidP="00513731">
            <w:pPr>
              <w:pStyle w:val="Summarytabletextrightaligned"/>
              <w:rPr>
                <w:szCs w:val="16"/>
              </w:rPr>
            </w:pPr>
            <w:r w:rsidRPr="00625155">
              <w:rPr>
                <w:szCs w:val="16"/>
              </w:rPr>
              <w:t>..</w:t>
            </w:r>
          </w:p>
        </w:tc>
        <w:tc>
          <w:tcPr>
            <w:tcW w:w="851" w:type="dxa"/>
            <w:vAlign w:val="bottom"/>
          </w:tcPr>
          <w:p w14:paraId="396B986A" w14:textId="58D2A1F5" w:rsidR="00546C4E" w:rsidRPr="00625155" w:rsidRDefault="00660645" w:rsidP="00513731">
            <w:pPr>
              <w:pStyle w:val="Summarytabletextrightaligned"/>
              <w:rPr>
                <w:szCs w:val="16"/>
              </w:rPr>
            </w:pPr>
            <w:r>
              <w:rPr>
                <w:szCs w:val="16"/>
              </w:rPr>
              <w:noBreakHyphen/>
            </w:r>
            <w:r w:rsidR="00546C4E" w:rsidRPr="00625155">
              <w:rPr>
                <w:szCs w:val="16"/>
              </w:rPr>
              <w:t>25.0</w:t>
            </w:r>
          </w:p>
        </w:tc>
        <w:tc>
          <w:tcPr>
            <w:tcW w:w="851" w:type="dxa"/>
            <w:vAlign w:val="bottom"/>
          </w:tcPr>
          <w:p w14:paraId="6FC2EA01" w14:textId="33B7F58F" w:rsidR="00546C4E" w:rsidRPr="00625155" w:rsidRDefault="00660645" w:rsidP="00513731">
            <w:pPr>
              <w:pStyle w:val="Summarytabletextrightaligned"/>
              <w:rPr>
                <w:szCs w:val="16"/>
              </w:rPr>
            </w:pPr>
            <w:r>
              <w:rPr>
                <w:szCs w:val="16"/>
              </w:rPr>
              <w:noBreakHyphen/>
            </w:r>
            <w:r w:rsidR="00546C4E" w:rsidRPr="00625155">
              <w:rPr>
                <w:szCs w:val="16"/>
              </w:rPr>
              <w:t>60.0</w:t>
            </w:r>
          </w:p>
        </w:tc>
        <w:tc>
          <w:tcPr>
            <w:tcW w:w="851" w:type="dxa"/>
            <w:vAlign w:val="bottom"/>
          </w:tcPr>
          <w:p w14:paraId="23981DDA" w14:textId="3F742D5B" w:rsidR="00546C4E" w:rsidRPr="00625155" w:rsidRDefault="00660645" w:rsidP="00513731">
            <w:pPr>
              <w:pStyle w:val="Summarytabletextrightaligned"/>
              <w:rPr>
                <w:szCs w:val="16"/>
              </w:rPr>
            </w:pPr>
            <w:r>
              <w:rPr>
                <w:szCs w:val="16"/>
              </w:rPr>
              <w:noBreakHyphen/>
            </w:r>
            <w:r w:rsidR="00546C4E" w:rsidRPr="00625155">
              <w:rPr>
                <w:szCs w:val="16"/>
              </w:rPr>
              <w:t>55.0</w:t>
            </w:r>
          </w:p>
        </w:tc>
      </w:tr>
      <w:tr w:rsidR="00546C4E" w:rsidRPr="00625155" w14:paraId="407B4E07" w14:textId="77777777" w:rsidTr="00E70D23">
        <w:tc>
          <w:tcPr>
            <w:tcW w:w="3470" w:type="dxa"/>
            <w:shd w:val="clear" w:color="auto" w:fill="auto"/>
            <w:vAlign w:val="bottom"/>
          </w:tcPr>
          <w:p w14:paraId="1E194D5C" w14:textId="6B92024F" w:rsidR="00546C4E" w:rsidRPr="00625155" w:rsidRDefault="00546C4E" w:rsidP="00513731">
            <w:pPr>
              <w:pStyle w:val="SummaryMeasureTitlewithTheme"/>
              <w:rPr>
                <w:color w:val="auto"/>
              </w:rPr>
            </w:pPr>
            <w:r w:rsidRPr="00625155">
              <w:rPr>
                <w:color w:val="auto"/>
              </w:rPr>
              <w:t xml:space="preserve">Superannuation – </w:t>
            </w:r>
            <w:r w:rsidR="00205DA9" w:rsidRPr="00625155">
              <w:rPr>
                <w:color w:val="auto"/>
              </w:rPr>
              <w:t>p</w:t>
            </w:r>
            <w:r w:rsidRPr="00625155">
              <w:rPr>
                <w:color w:val="auto"/>
              </w:rPr>
              <w:t xml:space="preserve">rotecting </w:t>
            </w:r>
            <w:r w:rsidR="00205DA9" w:rsidRPr="00625155">
              <w:rPr>
                <w:color w:val="auto"/>
              </w:rPr>
              <w:t>v</w:t>
            </w:r>
            <w:r w:rsidRPr="00625155">
              <w:rPr>
                <w:color w:val="auto"/>
              </w:rPr>
              <w:t>eterans</w:t>
            </w:r>
            <w:r w:rsidR="00660645">
              <w:rPr>
                <w:color w:val="auto"/>
              </w:rPr>
              <w:t>’</w:t>
            </w:r>
            <w:r w:rsidRPr="00625155">
              <w:rPr>
                <w:color w:val="auto"/>
              </w:rPr>
              <w:t xml:space="preserve"> interests</w:t>
            </w:r>
            <w:r w:rsidR="002A10C9" w:rsidRPr="00625155">
              <w:rPr>
                <w:color w:val="auto"/>
              </w:rPr>
              <w:t xml:space="preserve"> </w:t>
            </w:r>
            <w:r w:rsidR="00FA6DA9" w:rsidRPr="00625155">
              <w:rPr>
                <w:color w:val="auto"/>
              </w:rPr>
              <w:t>–</w:t>
            </w:r>
            <w:r w:rsidR="002A10C9" w:rsidRPr="00625155">
              <w:rPr>
                <w:color w:val="auto"/>
              </w:rPr>
              <w:t xml:space="preserve"> </w:t>
            </w:r>
            <w:r w:rsidR="00FA6DA9" w:rsidRPr="00625155">
              <w:rPr>
                <w:color w:val="auto"/>
              </w:rPr>
              <w:t>further amendmen</w:t>
            </w:r>
            <w:r w:rsidR="009371CA" w:rsidRPr="00625155">
              <w:rPr>
                <w:color w:val="auto"/>
              </w:rPr>
              <w:t>ts</w:t>
            </w:r>
            <w:r w:rsidR="009E2B62" w:rsidRPr="00625155">
              <w:rPr>
                <w:color w:val="auto"/>
              </w:rPr>
              <w:t>(f)</w:t>
            </w:r>
          </w:p>
        </w:tc>
        <w:tc>
          <w:tcPr>
            <w:tcW w:w="851" w:type="dxa"/>
            <w:tcBorders>
              <w:bottom w:val="single" w:sz="4" w:space="0" w:color="auto"/>
            </w:tcBorders>
            <w:vAlign w:val="bottom"/>
          </w:tcPr>
          <w:p w14:paraId="4BB98170" w14:textId="77777777" w:rsidR="00546C4E" w:rsidRPr="00625155" w:rsidRDefault="00546C4E" w:rsidP="00513731">
            <w:pPr>
              <w:pStyle w:val="Summarytabletextrightaligned"/>
              <w:rPr>
                <w:szCs w:val="16"/>
              </w:rPr>
            </w:pPr>
            <w:r w:rsidRPr="00625155">
              <w:rPr>
                <w:szCs w:val="16"/>
              </w:rPr>
              <w:t>15.0</w:t>
            </w:r>
          </w:p>
        </w:tc>
        <w:tc>
          <w:tcPr>
            <w:tcW w:w="851" w:type="dxa"/>
            <w:tcBorders>
              <w:bottom w:val="single" w:sz="4" w:space="0" w:color="auto"/>
            </w:tcBorders>
            <w:shd w:val="clear" w:color="auto" w:fill="F2F9FC"/>
            <w:vAlign w:val="bottom"/>
          </w:tcPr>
          <w:p w14:paraId="26A77650" w14:textId="09764EF5" w:rsidR="00546C4E" w:rsidRPr="00625155" w:rsidRDefault="00660645" w:rsidP="00513731">
            <w:pPr>
              <w:pStyle w:val="Summarytabletextrightaligned"/>
              <w:rPr>
                <w:szCs w:val="16"/>
              </w:rPr>
            </w:pPr>
            <w:r>
              <w:rPr>
                <w:szCs w:val="16"/>
              </w:rPr>
              <w:noBreakHyphen/>
            </w:r>
            <w:r w:rsidR="00546C4E" w:rsidRPr="00625155">
              <w:rPr>
                <w:szCs w:val="16"/>
              </w:rPr>
              <w:t>15.0</w:t>
            </w:r>
          </w:p>
        </w:tc>
        <w:tc>
          <w:tcPr>
            <w:tcW w:w="851" w:type="dxa"/>
            <w:tcBorders>
              <w:bottom w:val="single" w:sz="4" w:space="0" w:color="auto"/>
            </w:tcBorders>
            <w:vAlign w:val="bottom"/>
          </w:tcPr>
          <w:p w14:paraId="01729FA0" w14:textId="4C221F82"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25627852" w14:textId="5964A981" w:rsidR="00546C4E" w:rsidRPr="00625155" w:rsidRDefault="00660645" w:rsidP="00513731">
            <w:pPr>
              <w:pStyle w:val="Summarytabletextrightaligned"/>
              <w:rPr>
                <w:szCs w:val="16"/>
              </w:rPr>
            </w:pPr>
            <w:r>
              <w:rPr>
                <w:szCs w:val="16"/>
              </w:rPr>
              <w:noBreakHyphen/>
            </w:r>
          </w:p>
        </w:tc>
        <w:tc>
          <w:tcPr>
            <w:tcW w:w="851" w:type="dxa"/>
            <w:tcBorders>
              <w:bottom w:val="single" w:sz="4" w:space="0" w:color="auto"/>
            </w:tcBorders>
            <w:vAlign w:val="bottom"/>
          </w:tcPr>
          <w:p w14:paraId="4DAEA84C" w14:textId="564BDD1C" w:rsidR="00546C4E" w:rsidRPr="00625155" w:rsidRDefault="00660645" w:rsidP="00513731">
            <w:pPr>
              <w:pStyle w:val="Summarytabletextrightaligned"/>
              <w:rPr>
                <w:szCs w:val="16"/>
              </w:rPr>
            </w:pPr>
            <w:r>
              <w:rPr>
                <w:szCs w:val="16"/>
              </w:rPr>
              <w:noBreakHyphen/>
            </w:r>
          </w:p>
        </w:tc>
      </w:tr>
      <w:tr w:rsidR="00546C4E" w:rsidRPr="00625155" w14:paraId="67F3D475" w14:textId="77777777" w:rsidTr="00E70D23">
        <w:tc>
          <w:tcPr>
            <w:tcW w:w="3470" w:type="dxa"/>
            <w:shd w:val="clear" w:color="auto" w:fill="auto"/>
            <w:vAlign w:val="bottom"/>
          </w:tcPr>
          <w:p w14:paraId="556D3F9A" w14:textId="77777777" w:rsidR="00546C4E" w:rsidRPr="00625155" w:rsidRDefault="00546C4E" w:rsidP="00513731">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5B2DE7B6" w14:textId="77777777" w:rsidR="00546C4E" w:rsidRPr="00625155" w:rsidRDefault="00546C4E" w:rsidP="00513731">
            <w:pPr>
              <w:pStyle w:val="Summarytabletextrightalignedbold"/>
              <w:rPr>
                <w:bCs/>
                <w:szCs w:val="16"/>
              </w:rPr>
            </w:pPr>
            <w:r w:rsidRPr="00625155">
              <w:rPr>
                <w:bCs/>
                <w:szCs w:val="16"/>
              </w:rPr>
              <w:t>15.0</w:t>
            </w:r>
          </w:p>
        </w:tc>
        <w:tc>
          <w:tcPr>
            <w:tcW w:w="851" w:type="dxa"/>
            <w:tcBorders>
              <w:top w:val="single" w:sz="4" w:space="0" w:color="auto"/>
              <w:bottom w:val="single" w:sz="4" w:space="0" w:color="auto"/>
            </w:tcBorders>
            <w:shd w:val="clear" w:color="auto" w:fill="F2F9FC"/>
            <w:vAlign w:val="bottom"/>
          </w:tcPr>
          <w:p w14:paraId="0B1F191F" w14:textId="221E7EF7" w:rsidR="00546C4E" w:rsidRPr="00625155" w:rsidRDefault="00660645" w:rsidP="00513731">
            <w:pPr>
              <w:pStyle w:val="Summarytabletextrightalignedbold"/>
              <w:rPr>
                <w:bCs/>
                <w:szCs w:val="16"/>
              </w:rPr>
            </w:pPr>
            <w:r>
              <w:rPr>
                <w:bCs/>
                <w:szCs w:val="16"/>
              </w:rPr>
              <w:noBreakHyphen/>
            </w:r>
            <w:r w:rsidR="00546C4E" w:rsidRPr="00625155">
              <w:rPr>
                <w:bCs/>
                <w:szCs w:val="16"/>
              </w:rPr>
              <w:t>15.0</w:t>
            </w:r>
          </w:p>
        </w:tc>
        <w:tc>
          <w:tcPr>
            <w:tcW w:w="851" w:type="dxa"/>
            <w:tcBorders>
              <w:top w:val="single" w:sz="4" w:space="0" w:color="auto"/>
              <w:bottom w:val="single" w:sz="4" w:space="0" w:color="auto"/>
            </w:tcBorders>
            <w:vAlign w:val="bottom"/>
          </w:tcPr>
          <w:p w14:paraId="4313723C" w14:textId="30A6397D" w:rsidR="00546C4E" w:rsidRPr="00625155" w:rsidRDefault="00660645" w:rsidP="00513731">
            <w:pPr>
              <w:pStyle w:val="Summarytabletextrightalignedbold"/>
              <w:rPr>
                <w:bCs/>
                <w:szCs w:val="16"/>
              </w:rPr>
            </w:pPr>
            <w:r>
              <w:rPr>
                <w:bCs/>
                <w:szCs w:val="16"/>
              </w:rPr>
              <w:noBreakHyphen/>
            </w:r>
            <w:r w:rsidR="00546C4E" w:rsidRPr="00625155">
              <w:rPr>
                <w:bCs/>
                <w:szCs w:val="16"/>
              </w:rPr>
              <w:t>25.0</w:t>
            </w:r>
          </w:p>
        </w:tc>
        <w:tc>
          <w:tcPr>
            <w:tcW w:w="851" w:type="dxa"/>
            <w:tcBorders>
              <w:top w:val="single" w:sz="4" w:space="0" w:color="auto"/>
              <w:bottom w:val="single" w:sz="4" w:space="0" w:color="auto"/>
            </w:tcBorders>
            <w:vAlign w:val="bottom"/>
          </w:tcPr>
          <w:p w14:paraId="5C123592" w14:textId="17CF44B8" w:rsidR="00546C4E" w:rsidRPr="00625155" w:rsidRDefault="00660645" w:rsidP="00513731">
            <w:pPr>
              <w:pStyle w:val="Summarytabletextrightalignedbold"/>
              <w:rPr>
                <w:bCs/>
                <w:szCs w:val="16"/>
              </w:rPr>
            </w:pPr>
            <w:r>
              <w:rPr>
                <w:bCs/>
                <w:szCs w:val="16"/>
              </w:rPr>
              <w:noBreakHyphen/>
            </w:r>
            <w:r w:rsidR="00546C4E" w:rsidRPr="00625155">
              <w:rPr>
                <w:bCs/>
                <w:szCs w:val="16"/>
              </w:rPr>
              <w:t>60.0</w:t>
            </w:r>
          </w:p>
        </w:tc>
        <w:tc>
          <w:tcPr>
            <w:tcW w:w="851" w:type="dxa"/>
            <w:tcBorders>
              <w:top w:val="single" w:sz="4" w:space="0" w:color="auto"/>
              <w:bottom w:val="single" w:sz="4" w:space="0" w:color="auto"/>
            </w:tcBorders>
            <w:vAlign w:val="bottom"/>
          </w:tcPr>
          <w:p w14:paraId="419E10B5" w14:textId="651D7853" w:rsidR="00546C4E" w:rsidRPr="00625155" w:rsidRDefault="00660645" w:rsidP="00513731">
            <w:pPr>
              <w:pStyle w:val="Summarytabletextrightalignedbold"/>
              <w:rPr>
                <w:bCs/>
                <w:szCs w:val="16"/>
              </w:rPr>
            </w:pPr>
            <w:r>
              <w:rPr>
                <w:bCs/>
                <w:szCs w:val="16"/>
              </w:rPr>
              <w:noBreakHyphen/>
            </w:r>
            <w:r w:rsidR="00546C4E" w:rsidRPr="00625155">
              <w:rPr>
                <w:bCs/>
                <w:szCs w:val="16"/>
              </w:rPr>
              <w:t>55.0</w:t>
            </w:r>
          </w:p>
        </w:tc>
      </w:tr>
      <w:tr w:rsidR="00546C4E" w:rsidRPr="00625155" w14:paraId="440690BA" w14:textId="77777777" w:rsidTr="00E70D23">
        <w:tc>
          <w:tcPr>
            <w:tcW w:w="3470" w:type="dxa"/>
            <w:tcBorders>
              <w:bottom w:val="single" w:sz="4" w:space="0" w:color="auto"/>
            </w:tcBorders>
            <w:shd w:val="clear" w:color="auto" w:fill="auto"/>
            <w:vAlign w:val="bottom"/>
          </w:tcPr>
          <w:p w14:paraId="102A6B24" w14:textId="77777777" w:rsidR="00546C4E" w:rsidRPr="00625155" w:rsidRDefault="00546C4E" w:rsidP="00513731">
            <w:pPr>
              <w:pStyle w:val="Summarytabletextleftalignedbold"/>
              <w:rPr>
                <w:color w:val="auto"/>
              </w:rPr>
            </w:pPr>
            <w:r w:rsidRPr="00625155">
              <w:rPr>
                <w:color w:val="auto"/>
              </w:rPr>
              <w:t>Total impact of receipt measures(c)</w:t>
            </w:r>
          </w:p>
        </w:tc>
        <w:tc>
          <w:tcPr>
            <w:tcW w:w="851" w:type="dxa"/>
            <w:tcBorders>
              <w:top w:val="single" w:sz="4" w:space="0" w:color="auto"/>
              <w:bottom w:val="single" w:sz="4" w:space="0" w:color="auto"/>
            </w:tcBorders>
            <w:vAlign w:val="bottom"/>
          </w:tcPr>
          <w:p w14:paraId="465D075D" w14:textId="77777777" w:rsidR="00546C4E" w:rsidRPr="00625155" w:rsidRDefault="00546C4E" w:rsidP="00513731">
            <w:pPr>
              <w:pStyle w:val="Summarytabletextrightalignedbold"/>
              <w:rPr>
                <w:bCs/>
                <w:szCs w:val="16"/>
              </w:rPr>
            </w:pPr>
            <w:r w:rsidRPr="00625155">
              <w:rPr>
                <w:bCs/>
                <w:szCs w:val="16"/>
              </w:rPr>
              <w:t>190.0</w:t>
            </w:r>
          </w:p>
        </w:tc>
        <w:tc>
          <w:tcPr>
            <w:tcW w:w="851" w:type="dxa"/>
            <w:tcBorders>
              <w:top w:val="single" w:sz="4" w:space="0" w:color="auto"/>
              <w:bottom w:val="single" w:sz="4" w:space="0" w:color="auto"/>
            </w:tcBorders>
            <w:shd w:val="clear" w:color="auto" w:fill="F2F9FC"/>
            <w:vAlign w:val="bottom"/>
          </w:tcPr>
          <w:p w14:paraId="79F058F8" w14:textId="77777777" w:rsidR="00546C4E" w:rsidRPr="00625155" w:rsidRDefault="00546C4E" w:rsidP="00513731">
            <w:pPr>
              <w:pStyle w:val="Summarytabletextrightalignedbold"/>
              <w:rPr>
                <w:bCs/>
                <w:szCs w:val="16"/>
              </w:rPr>
            </w:pPr>
            <w:r w:rsidRPr="00625155">
              <w:rPr>
                <w:bCs/>
                <w:szCs w:val="16"/>
              </w:rPr>
              <w:t>815.0</w:t>
            </w:r>
          </w:p>
        </w:tc>
        <w:tc>
          <w:tcPr>
            <w:tcW w:w="851" w:type="dxa"/>
            <w:tcBorders>
              <w:top w:val="single" w:sz="4" w:space="0" w:color="auto"/>
              <w:bottom w:val="single" w:sz="4" w:space="0" w:color="auto"/>
            </w:tcBorders>
            <w:vAlign w:val="bottom"/>
          </w:tcPr>
          <w:p w14:paraId="1492084D" w14:textId="6204DE2B" w:rsidR="00546C4E" w:rsidRPr="00625155" w:rsidRDefault="00660645" w:rsidP="00513731">
            <w:pPr>
              <w:pStyle w:val="Summarytabletextrightalignedbold"/>
              <w:rPr>
                <w:bCs/>
                <w:szCs w:val="16"/>
              </w:rPr>
            </w:pPr>
            <w:r>
              <w:rPr>
                <w:bCs/>
                <w:szCs w:val="16"/>
              </w:rPr>
              <w:noBreakHyphen/>
            </w:r>
            <w:r w:rsidR="00546C4E" w:rsidRPr="00625155">
              <w:rPr>
                <w:bCs/>
                <w:szCs w:val="16"/>
              </w:rPr>
              <w:t>120.0</w:t>
            </w:r>
          </w:p>
        </w:tc>
        <w:tc>
          <w:tcPr>
            <w:tcW w:w="851" w:type="dxa"/>
            <w:tcBorders>
              <w:top w:val="single" w:sz="4" w:space="0" w:color="auto"/>
              <w:bottom w:val="single" w:sz="4" w:space="0" w:color="auto"/>
            </w:tcBorders>
            <w:vAlign w:val="bottom"/>
          </w:tcPr>
          <w:p w14:paraId="41551C28" w14:textId="7FF4F6C6" w:rsidR="00546C4E" w:rsidRPr="00625155" w:rsidRDefault="00660645" w:rsidP="00513731">
            <w:pPr>
              <w:pStyle w:val="Summarytabletextrightalignedbold"/>
              <w:rPr>
                <w:bCs/>
                <w:szCs w:val="16"/>
              </w:rPr>
            </w:pPr>
            <w:r>
              <w:rPr>
                <w:bCs/>
                <w:szCs w:val="16"/>
              </w:rPr>
              <w:noBreakHyphen/>
            </w:r>
            <w:r w:rsidR="00546C4E" w:rsidRPr="00625155">
              <w:rPr>
                <w:bCs/>
                <w:szCs w:val="16"/>
              </w:rPr>
              <w:t>155.0</w:t>
            </w:r>
          </w:p>
        </w:tc>
        <w:tc>
          <w:tcPr>
            <w:tcW w:w="851" w:type="dxa"/>
            <w:tcBorders>
              <w:top w:val="single" w:sz="4" w:space="0" w:color="auto"/>
              <w:bottom w:val="single" w:sz="4" w:space="0" w:color="auto"/>
            </w:tcBorders>
            <w:vAlign w:val="bottom"/>
          </w:tcPr>
          <w:p w14:paraId="79260E7C" w14:textId="2A8C0669" w:rsidR="00546C4E" w:rsidRPr="00625155" w:rsidRDefault="00660645" w:rsidP="00513731">
            <w:pPr>
              <w:pStyle w:val="Summarytabletextrightalignedbold"/>
              <w:rPr>
                <w:bCs/>
                <w:szCs w:val="16"/>
              </w:rPr>
            </w:pPr>
            <w:r>
              <w:rPr>
                <w:bCs/>
                <w:szCs w:val="16"/>
              </w:rPr>
              <w:noBreakHyphen/>
            </w:r>
            <w:r w:rsidR="00546C4E" w:rsidRPr="00625155">
              <w:rPr>
                <w:bCs/>
                <w:szCs w:val="16"/>
              </w:rPr>
              <w:t>155.0</w:t>
            </w:r>
          </w:p>
        </w:tc>
      </w:tr>
    </w:tbl>
    <w:p w14:paraId="15212B74" w14:textId="77777777" w:rsidR="00E70D23" w:rsidRPr="00625155" w:rsidRDefault="00E70D23" w:rsidP="00E70D23">
      <w:pPr>
        <w:pStyle w:val="ChartandTableFootnote"/>
        <w:tabs>
          <w:tab w:val="clear" w:pos="709"/>
        </w:tabs>
        <w:ind w:left="284" w:hanging="284"/>
        <w:rPr>
          <w:color w:val="auto"/>
        </w:rPr>
      </w:pPr>
      <w:r w:rsidRPr="00625155">
        <w:rPr>
          <w:color w:val="auto"/>
        </w:rPr>
        <w:t>*</w:t>
      </w:r>
      <w:r w:rsidRPr="00625155">
        <w:rPr>
          <w:color w:val="auto"/>
        </w:rPr>
        <w:tab/>
        <w:t>The nature of the measure is such that a reliable estimate cannot be provided.</w:t>
      </w:r>
    </w:p>
    <w:p w14:paraId="348CB285" w14:textId="77777777" w:rsidR="00E70D23" w:rsidRPr="00625155" w:rsidRDefault="00E70D23" w:rsidP="00E70D23">
      <w:pPr>
        <w:pStyle w:val="ChartandTableFootnote"/>
        <w:tabs>
          <w:tab w:val="clear" w:pos="709"/>
        </w:tabs>
        <w:ind w:left="284" w:hanging="284"/>
        <w:rPr>
          <w:color w:val="auto"/>
        </w:rPr>
      </w:pPr>
      <w:r w:rsidRPr="00625155">
        <w:rPr>
          <w:color w:val="auto"/>
        </w:rPr>
        <w:t>..</w:t>
      </w:r>
      <w:r w:rsidRPr="00625155">
        <w:rPr>
          <w:color w:val="auto"/>
        </w:rPr>
        <w:tab/>
        <w:t>Not zero, but rounded to zero.</w:t>
      </w:r>
    </w:p>
    <w:p w14:paraId="14A966B2" w14:textId="71E110F2" w:rsidR="00E70D23" w:rsidRPr="00625155" w:rsidRDefault="00660645" w:rsidP="00E70D23">
      <w:pPr>
        <w:pStyle w:val="ChartandTableFootnote"/>
        <w:tabs>
          <w:tab w:val="clear" w:pos="709"/>
        </w:tabs>
        <w:ind w:left="284" w:hanging="284"/>
        <w:rPr>
          <w:color w:val="auto"/>
        </w:rPr>
      </w:pPr>
      <w:r>
        <w:rPr>
          <w:color w:val="auto"/>
        </w:rPr>
        <w:noBreakHyphen/>
      </w:r>
      <w:r w:rsidR="00E70D23" w:rsidRPr="00625155">
        <w:rPr>
          <w:color w:val="auto"/>
        </w:rPr>
        <w:tab/>
        <w:t>Nil.</w:t>
      </w:r>
    </w:p>
    <w:p w14:paraId="42ABFA8B" w14:textId="39F8E63D" w:rsidR="00546C4E" w:rsidRPr="00106BF8" w:rsidRDefault="00546C4E" w:rsidP="00424761">
      <w:pPr>
        <w:pStyle w:val="ChartandTableFootnoteAlpha"/>
        <w:numPr>
          <w:ilvl w:val="0"/>
          <w:numId w:val="14"/>
        </w:numPr>
        <w:rPr>
          <w:rFonts w:eastAsia="Book Antiqua"/>
        </w:rPr>
      </w:pPr>
      <w:r w:rsidRPr="003D1E7B">
        <w:rPr>
          <w:rFonts w:eastAsia="Book Antiqua"/>
          <w:color w:val="auto"/>
        </w:rPr>
        <w:t>A minus sign before an estimate indicates a reduction in receipts, no sign before an estimate indicates a gain</w:t>
      </w:r>
      <w:r w:rsidRPr="00625155">
        <w:rPr>
          <w:rFonts w:eastAsia="Book Antiqua"/>
          <w:color w:val="auto"/>
        </w:rPr>
        <w:t xml:space="preserve"> </w:t>
      </w:r>
      <w:r w:rsidRPr="00106BF8">
        <w:rPr>
          <w:rFonts w:eastAsia="Book Antiqua"/>
          <w:color w:val="auto"/>
        </w:rPr>
        <w:t>in receipts.</w:t>
      </w:r>
    </w:p>
    <w:p w14:paraId="6ACEB17A" w14:textId="6E64A66D" w:rsidR="00546C4E" w:rsidRPr="00106BF8" w:rsidRDefault="00546C4E" w:rsidP="00424761">
      <w:pPr>
        <w:pStyle w:val="ChartandTableFootnoteAlpha"/>
        <w:numPr>
          <w:ilvl w:val="0"/>
          <w:numId w:val="14"/>
        </w:numPr>
        <w:rPr>
          <w:rFonts w:eastAsia="Book Antiqua"/>
        </w:rPr>
      </w:pPr>
      <w:r w:rsidRPr="00106BF8">
        <w:rPr>
          <w:rFonts w:eastAsia="Book Antiqua"/>
          <w:color w:val="auto"/>
        </w:rPr>
        <w:t>These measures can also be found in the payment measures summary table.</w:t>
      </w:r>
    </w:p>
    <w:p w14:paraId="167B742F" w14:textId="465EF9DA" w:rsidR="00546C4E" w:rsidRDefault="00546C4E" w:rsidP="00424761">
      <w:pPr>
        <w:pStyle w:val="ChartandTableFootnoteAlpha"/>
        <w:numPr>
          <w:ilvl w:val="0"/>
          <w:numId w:val="14"/>
        </w:numPr>
        <w:rPr>
          <w:rFonts w:eastAsia="Book Antiqua"/>
          <w:color w:val="auto"/>
        </w:rPr>
      </w:pPr>
      <w:r w:rsidRPr="00106BF8">
        <w:rPr>
          <w:rFonts w:eastAsia="Book Antiqua"/>
          <w:color w:val="auto"/>
        </w:rPr>
        <w:t>Measures may not add due to rounding.</w:t>
      </w:r>
    </w:p>
    <w:p w14:paraId="3CDAA456" w14:textId="4BAEF603" w:rsidR="00E92099" w:rsidRPr="00384BEE" w:rsidRDefault="00341420" w:rsidP="00424761">
      <w:pPr>
        <w:pStyle w:val="ChartandTableFootnoteAlpha"/>
        <w:numPr>
          <w:ilvl w:val="0"/>
          <w:numId w:val="14"/>
        </w:numPr>
        <w:rPr>
          <w:rFonts w:eastAsia="Book Antiqua"/>
        </w:rPr>
      </w:pPr>
      <w:r w:rsidRPr="00106BF8">
        <w:rPr>
          <w:rFonts w:eastAsia="Book Antiqua"/>
          <w:color w:val="auto"/>
        </w:rPr>
        <w:t xml:space="preserve">Further information can be found in the joint media release of </w:t>
      </w:r>
      <w:r w:rsidR="00B41EC9">
        <w:rPr>
          <w:rFonts w:eastAsia="Book Antiqua"/>
          <w:color w:val="auto"/>
        </w:rPr>
        <w:t>2 April</w:t>
      </w:r>
      <w:r w:rsidRPr="00106BF8">
        <w:rPr>
          <w:rFonts w:eastAsia="Book Antiqua"/>
          <w:color w:val="auto"/>
        </w:rPr>
        <w:t xml:space="preserve"> 2022 issued by the Prime Minister and the Minister for Trade, Tourism and Investment; and in the Australia</w:t>
      </w:r>
      <w:r w:rsidR="00660645">
        <w:rPr>
          <w:rFonts w:eastAsia="Book Antiqua"/>
          <w:color w:val="auto"/>
        </w:rPr>
        <w:noBreakHyphen/>
      </w:r>
      <w:r w:rsidRPr="00106BF8">
        <w:rPr>
          <w:rFonts w:eastAsia="Book Antiqua"/>
          <w:color w:val="auto"/>
        </w:rPr>
        <w:t>India ECTA official text as published on the Department of Foreign Affairs and Trade website.</w:t>
      </w:r>
    </w:p>
    <w:p w14:paraId="53FBA3E8" w14:textId="16376272" w:rsidR="00E92099" w:rsidRPr="00384BEE" w:rsidRDefault="00D70EF4" w:rsidP="00424761">
      <w:pPr>
        <w:pStyle w:val="ChartandTableFootnoteAlpha"/>
        <w:numPr>
          <w:ilvl w:val="0"/>
          <w:numId w:val="14"/>
        </w:numPr>
        <w:rPr>
          <w:rFonts w:eastAsia="Book Antiqua"/>
        </w:rPr>
      </w:pPr>
      <w:r w:rsidRPr="00106BF8">
        <w:rPr>
          <w:rFonts w:eastAsia="Book Antiqua"/>
          <w:color w:val="auto"/>
        </w:rPr>
        <w:t xml:space="preserve">The </w:t>
      </w:r>
      <w:r w:rsidR="00341420" w:rsidRPr="00106BF8">
        <w:rPr>
          <w:rFonts w:eastAsia="Book Antiqua"/>
          <w:color w:val="auto"/>
        </w:rPr>
        <w:t>receipts</w:t>
      </w:r>
      <w:r w:rsidRPr="00106BF8">
        <w:rPr>
          <w:rFonts w:eastAsia="Book Antiqua"/>
          <w:color w:val="auto"/>
        </w:rPr>
        <w:t xml:space="preserve"> impact for this measure </w:t>
      </w:r>
      <w:r w:rsidR="00341420" w:rsidRPr="00106BF8">
        <w:rPr>
          <w:rFonts w:eastAsia="Book Antiqua"/>
          <w:color w:val="auto"/>
        </w:rPr>
        <w:t xml:space="preserve">(which was not zero, but rounded to zero) </w:t>
      </w:r>
      <w:r w:rsidRPr="00106BF8">
        <w:rPr>
          <w:rFonts w:eastAsia="Book Antiqua"/>
          <w:color w:val="auto"/>
        </w:rPr>
        <w:t xml:space="preserve">was included as a </w:t>
      </w:r>
      <w:r w:rsidR="00660645">
        <w:rPr>
          <w:rFonts w:eastAsia="Book Antiqua"/>
          <w:color w:val="auto"/>
        </w:rPr>
        <w:t>‘</w:t>
      </w:r>
      <w:r w:rsidRPr="00106BF8">
        <w:rPr>
          <w:rFonts w:eastAsia="Book Antiqua"/>
          <w:color w:val="auto"/>
        </w:rPr>
        <w:t>decision taken but not yet announced</w:t>
      </w:r>
      <w:r w:rsidR="00660645">
        <w:rPr>
          <w:rFonts w:eastAsia="Book Antiqua"/>
          <w:color w:val="auto"/>
        </w:rPr>
        <w:t>’</w:t>
      </w:r>
      <w:r w:rsidRPr="00106BF8">
        <w:rPr>
          <w:rFonts w:eastAsia="Book Antiqua"/>
          <w:color w:val="auto"/>
        </w:rPr>
        <w:t xml:space="preserve"> in the 2022</w:t>
      </w:r>
      <w:r w:rsidR="00660645">
        <w:rPr>
          <w:rFonts w:eastAsia="Book Antiqua"/>
          <w:color w:val="auto"/>
        </w:rPr>
        <w:noBreakHyphen/>
      </w:r>
      <w:r w:rsidRPr="00106BF8">
        <w:rPr>
          <w:rFonts w:eastAsia="Book Antiqua"/>
          <w:color w:val="auto"/>
        </w:rPr>
        <w:t>23 Budget.</w:t>
      </w:r>
      <w:r w:rsidR="00341420" w:rsidRPr="00106BF8">
        <w:rPr>
          <w:rFonts w:eastAsia="Book Antiqua"/>
          <w:color w:val="auto"/>
        </w:rPr>
        <w:t xml:space="preserve"> Further information can be found in the joint media release of 31 March </w:t>
      </w:r>
      <w:r w:rsidR="00974B19">
        <w:rPr>
          <w:rFonts w:eastAsia="Book Antiqua"/>
          <w:color w:val="auto"/>
        </w:rPr>
        <w:t xml:space="preserve">2022 </w:t>
      </w:r>
      <w:r w:rsidR="00341420" w:rsidRPr="00106BF8">
        <w:rPr>
          <w:rFonts w:eastAsia="Book Antiqua"/>
          <w:color w:val="auto"/>
        </w:rPr>
        <w:t>issued by the Prime Minister; the Minister for Foreign Affairs, Minister for Women; and the Minister for Trade, Tourism and Investment.</w:t>
      </w:r>
    </w:p>
    <w:p w14:paraId="42975E29" w14:textId="32397CFF" w:rsidR="00E92099" w:rsidRPr="00384BEE" w:rsidRDefault="00341420" w:rsidP="00424761">
      <w:pPr>
        <w:pStyle w:val="ChartandTableFootnoteAlpha"/>
        <w:numPr>
          <w:ilvl w:val="0"/>
          <w:numId w:val="14"/>
        </w:numPr>
        <w:rPr>
          <w:rFonts w:eastAsia="Book Antiqua"/>
        </w:rPr>
      </w:pPr>
      <w:r w:rsidRPr="00106BF8">
        <w:rPr>
          <w:rFonts w:eastAsia="Book Antiqua"/>
          <w:color w:val="auto"/>
        </w:rPr>
        <w:t>Further to the 2021</w:t>
      </w:r>
      <w:r w:rsidR="00660645">
        <w:rPr>
          <w:rFonts w:eastAsia="Book Antiqua"/>
          <w:color w:val="auto"/>
        </w:rPr>
        <w:noBreakHyphen/>
      </w:r>
      <w:r w:rsidRPr="00106BF8">
        <w:rPr>
          <w:rFonts w:eastAsia="Book Antiqua"/>
          <w:color w:val="auto"/>
        </w:rPr>
        <w:t xml:space="preserve">22 MYEFO measure </w:t>
      </w:r>
      <w:r w:rsidR="00660645">
        <w:rPr>
          <w:rFonts w:eastAsia="Book Antiqua"/>
          <w:i/>
          <w:iCs/>
          <w:color w:val="auto"/>
        </w:rPr>
        <w:t>“</w:t>
      </w:r>
      <w:r w:rsidRPr="00663CD7">
        <w:rPr>
          <w:rFonts w:eastAsia="Book Antiqua"/>
          <w:i/>
          <w:iCs/>
          <w:color w:val="auto"/>
        </w:rPr>
        <w:t>Superannuation – protecting veterans</w:t>
      </w:r>
      <w:r w:rsidR="00660645">
        <w:rPr>
          <w:rFonts w:eastAsia="Book Antiqua"/>
          <w:i/>
          <w:iCs/>
          <w:color w:val="auto"/>
        </w:rPr>
        <w:t>’</w:t>
      </w:r>
      <w:r w:rsidRPr="00663CD7">
        <w:rPr>
          <w:rFonts w:eastAsia="Book Antiqua"/>
          <w:i/>
          <w:iCs/>
          <w:color w:val="auto"/>
        </w:rPr>
        <w:t xml:space="preserve"> interests</w:t>
      </w:r>
      <w:r w:rsidR="00660645">
        <w:rPr>
          <w:rFonts w:eastAsia="Book Antiqua"/>
          <w:i/>
          <w:iCs/>
          <w:color w:val="auto"/>
        </w:rPr>
        <w:t>”</w:t>
      </w:r>
      <w:r w:rsidRPr="00106BF8">
        <w:rPr>
          <w:rFonts w:eastAsia="Book Antiqua"/>
          <w:color w:val="auto"/>
        </w:rPr>
        <w:t>, this measure makes changes to the Government</w:t>
      </w:r>
      <w:r w:rsidR="00660645">
        <w:rPr>
          <w:rFonts w:eastAsia="Book Antiqua"/>
          <w:color w:val="auto"/>
        </w:rPr>
        <w:t>’</w:t>
      </w:r>
      <w:r w:rsidRPr="00106BF8">
        <w:rPr>
          <w:rFonts w:eastAsia="Book Antiqua"/>
          <w:color w:val="auto"/>
        </w:rPr>
        <w:t>s policy approach to ensure that no veteran faces adverse tax outcomes and that veterans retain any preferable non</w:t>
      </w:r>
      <w:r w:rsidR="00660645">
        <w:rPr>
          <w:rFonts w:eastAsia="Book Antiqua"/>
          <w:color w:val="auto"/>
        </w:rPr>
        <w:noBreakHyphen/>
      </w:r>
      <w:r w:rsidRPr="00106BF8">
        <w:rPr>
          <w:rFonts w:eastAsia="Book Antiqua"/>
          <w:color w:val="auto"/>
        </w:rPr>
        <w:t xml:space="preserve">tax outcomes as a result of the Full Federal Court decision in </w:t>
      </w:r>
      <w:r w:rsidR="00660645">
        <w:rPr>
          <w:rFonts w:eastAsia="Book Antiqua"/>
          <w:i/>
          <w:iCs/>
          <w:color w:val="auto"/>
        </w:rPr>
        <w:t>“</w:t>
      </w:r>
      <w:r w:rsidRPr="00663CD7">
        <w:rPr>
          <w:rFonts w:eastAsia="Book Antiqua"/>
          <w:i/>
          <w:iCs/>
          <w:color w:val="auto"/>
        </w:rPr>
        <w:t>Commissioner of Taxation v Douglas</w:t>
      </w:r>
      <w:r w:rsidR="00660645">
        <w:rPr>
          <w:rFonts w:eastAsia="Book Antiqua"/>
          <w:i/>
          <w:iCs/>
          <w:color w:val="auto"/>
        </w:rPr>
        <w:t>”</w:t>
      </w:r>
      <w:r w:rsidRPr="00106BF8">
        <w:rPr>
          <w:rFonts w:eastAsia="Book Antiqua"/>
          <w:color w:val="auto"/>
        </w:rPr>
        <w:t>.</w:t>
      </w:r>
    </w:p>
    <w:p w14:paraId="03599182" w14:textId="61315474" w:rsidR="006E438E" w:rsidRPr="00625155" w:rsidRDefault="006E438E" w:rsidP="006E438E">
      <w:pPr>
        <w:rPr>
          <w:rFonts w:eastAsia="Book Antiqua"/>
        </w:rPr>
      </w:pPr>
    </w:p>
    <w:p w14:paraId="1D3477CA" w14:textId="77777777" w:rsidR="00076460" w:rsidRPr="00625155" w:rsidRDefault="00076460" w:rsidP="00E449DC"/>
    <w:p w14:paraId="00E4312A" w14:textId="316BDD39" w:rsidR="00076460" w:rsidRPr="00625155" w:rsidRDefault="00076460" w:rsidP="00E449DC">
      <w:pPr>
        <w:pStyle w:val="TableHeading"/>
      </w:pPr>
      <w:r w:rsidRPr="00625155">
        <w:br w:type="page"/>
        <w:t xml:space="preserve">Table B2: </w:t>
      </w:r>
      <w:r w:rsidR="00C42CC4" w:rsidRPr="00625155">
        <w:t xml:space="preserve">Payment </w:t>
      </w:r>
      <w:r w:rsidRPr="00625155">
        <w:t>measures since the 2022</w:t>
      </w:r>
      <w:r w:rsidR="00660645">
        <w:noBreakHyphen/>
      </w:r>
      <w:r w:rsidRPr="00625155">
        <w:t>23 Budget</w:t>
      </w:r>
      <w:r w:rsidRPr="00625155">
        <w:rPr>
          <w:vertAlign w:val="superscript"/>
        </w:rPr>
        <w:t xml:space="preserve">(a) </w:t>
      </w:r>
    </w:p>
    <w:tbl>
      <w:tblPr>
        <w:tblW w:w="5000" w:type="pct"/>
        <w:tblLayout w:type="fixed"/>
        <w:tblCellMar>
          <w:left w:w="0" w:type="dxa"/>
          <w:right w:w="57" w:type="dxa"/>
        </w:tblCellMar>
        <w:tblLook w:val="0000" w:firstRow="0" w:lastRow="0" w:firstColumn="0" w:lastColumn="0" w:noHBand="0" w:noVBand="0"/>
      </w:tblPr>
      <w:tblGrid>
        <w:gridCol w:w="3459"/>
        <w:gridCol w:w="850"/>
        <w:gridCol w:w="850"/>
        <w:gridCol w:w="850"/>
        <w:gridCol w:w="850"/>
        <w:gridCol w:w="850"/>
      </w:tblGrid>
      <w:tr w:rsidR="008023C5" w:rsidRPr="00625155" w14:paraId="7E5C0C88" w14:textId="77777777" w:rsidTr="00D700B4">
        <w:tc>
          <w:tcPr>
            <w:tcW w:w="3461" w:type="dxa"/>
            <w:tcBorders>
              <w:top w:val="single" w:sz="4" w:space="0" w:color="auto"/>
            </w:tcBorders>
            <w:shd w:val="clear" w:color="auto" w:fill="auto"/>
            <w:vAlign w:val="bottom"/>
          </w:tcPr>
          <w:p w14:paraId="318DB8B4" w14:textId="77777777" w:rsidR="008023C5" w:rsidRPr="00625155" w:rsidRDefault="008023C5" w:rsidP="00C10E33">
            <w:pPr>
              <w:pStyle w:val="Summarytabletextrightaligned"/>
            </w:pPr>
          </w:p>
        </w:tc>
        <w:tc>
          <w:tcPr>
            <w:tcW w:w="850" w:type="dxa"/>
            <w:tcBorders>
              <w:top w:val="single" w:sz="4" w:space="0" w:color="auto"/>
            </w:tcBorders>
            <w:vAlign w:val="bottom"/>
          </w:tcPr>
          <w:p w14:paraId="24F39414" w14:textId="01A82C1F" w:rsidR="008023C5" w:rsidRPr="00625155" w:rsidRDefault="008023C5" w:rsidP="00C10E33">
            <w:pPr>
              <w:pStyle w:val="Summarytabletextrightaligned"/>
            </w:pPr>
            <w:r w:rsidRPr="00625155">
              <w:t>2021</w:t>
            </w:r>
            <w:r w:rsidR="00660645">
              <w:noBreakHyphen/>
            </w:r>
            <w:r w:rsidRPr="00625155">
              <w:t>22</w:t>
            </w:r>
          </w:p>
        </w:tc>
        <w:tc>
          <w:tcPr>
            <w:tcW w:w="850" w:type="dxa"/>
            <w:tcBorders>
              <w:top w:val="single" w:sz="4" w:space="0" w:color="auto"/>
            </w:tcBorders>
            <w:shd w:val="clear" w:color="auto" w:fill="F2F9FC"/>
            <w:vAlign w:val="bottom"/>
          </w:tcPr>
          <w:p w14:paraId="2F849012" w14:textId="4B353D8B" w:rsidR="008023C5" w:rsidRPr="00625155" w:rsidRDefault="008023C5" w:rsidP="00C10E33">
            <w:pPr>
              <w:pStyle w:val="Summarytabletextrightaligned"/>
            </w:pPr>
            <w:r w:rsidRPr="00625155">
              <w:t>2022</w:t>
            </w:r>
            <w:r w:rsidR="00660645">
              <w:noBreakHyphen/>
            </w:r>
            <w:r w:rsidRPr="00625155">
              <w:t>23</w:t>
            </w:r>
          </w:p>
        </w:tc>
        <w:tc>
          <w:tcPr>
            <w:tcW w:w="850" w:type="dxa"/>
            <w:tcBorders>
              <w:top w:val="single" w:sz="4" w:space="0" w:color="auto"/>
            </w:tcBorders>
            <w:vAlign w:val="bottom"/>
          </w:tcPr>
          <w:p w14:paraId="0B97BCFD" w14:textId="53746639" w:rsidR="008023C5" w:rsidRPr="00625155" w:rsidRDefault="008023C5" w:rsidP="00C10E33">
            <w:pPr>
              <w:pStyle w:val="Summarytabletextrightaligned"/>
            </w:pPr>
            <w:r w:rsidRPr="00625155">
              <w:t>2023</w:t>
            </w:r>
            <w:r w:rsidR="00660645">
              <w:noBreakHyphen/>
            </w:r>
            <w:r w:rsidRPr="00625155">
              <w:t>24</w:t>
            </w:r>
          </w:p>
        </w:tc>
        <w:tc>
          <w:tcPr>
            <w:tcW w:w="850" w:type="dxa"/>
            <w:tcBorders>
              <w:top w:val="single" w:sz="4" w:space="0" w:color="auto"/>
            </w:tcBorders>
            <w:vAlign w:val="bottom"/>
          </w:tcPr>
          <w:p w14:paraId="5739DD19" w14:textId="301AA364" w:rsidR="008023C5" w:rsidRPr="00625155" w:rsidRDefault="008023C5" w:rsidP="00C10E33">
            <w:pPr>
              <w:pStyle w:val="Summarytabletextrightaligned"/>
            </w:pPr>
            <w:r w:rsidRPr="00625155">
              <w:t>2024</w:t>
            </w:r>
            <w:r w:rsidR="00660645">
              <w:noBreakHyphen/>
            </w:r>
            <w:r w:rsidRPr="00625155">
              <w:t>25</w:t>
            </w:r>
          </w:p>
        </w:tc>
        <w:tc>
          <w:tcPr>
            <w:tcW w:w="850" w:type="dxa"/>
            <w:tcBorders>
              <w:top w:val="single" w:sz="4" w:space="0" w:color="auto"/>
            </w:tcBorders>
            <w:vAlign w:val="bottom"/>
          </w:tcPr>
          <w:p w14:paraId="61E3E1D8" w14:textId="22B93659" w:rsidR="008023C5" w:rsidRPr="00625155" w:rsidRDefault="008023C5" w:rsidP="00C10E33">
            <w:pPr>
              <w:pStyle w:val="Summarytabletextrightaligned"/>
            </w:pPr>
            <w:r w:rsidRPr="00625155">
              <w:t>2025</w:t>
            </w:r>
            <w:r w:rsidR="00660645">
              <w:noBreakHyphen/>
            </w:r>
            <w:r w:rsidRPr="00625155">
              <w:t>26</w:t>
            </w:r>
          </w:p>
        </w:tc>
      </w:tr>
      <w:tr w:rsidR="008023C5" w:rsidRPr="00625155" w14:paraId="4BAA140C" w14:textId="77777777" w:rsidTr="00D700B4">
        <w:tc>
          <w:tcPr>
            <w:tcW w:w="3461" w:type="dxa"/>
            <w:shd w:val="clear" w:color="auto" w:fill="auto"/>
            <w:vAlign w:val="bottom"/>
          </w:tcPr>
          <w:p w14:paraId="2C59C148" w14:textId="77777777" w:rsidR="008023C5" w:rsidRPr="00625155" w:rsidRDefault="008023C5" w:rsidP="00C10E33">
            <w:pPr>
              <w:pStyle w:val="Summarytabletextrightaligned"/>
            </w:pPr>
          </w:p>
        </w:tc>
        <w:tc>
          <w:tcPr>
            <w:tcW w:w="850" w:type="dxa"/>
            <w:tcBorders>
              <w:bottom w:val="single" w:sz="4" w:space="0" w:color="auto"/>
            </w:tcBorders>
            <w:vAlign w:val="bottom"/>
          </w:tcPr>
          <w:p w14:paraId="0A58B503" w14:textId="77777777" w:rsidR="008023C5" w:rsidRPr="00625155" w:rsidRDefault="008023C5" w:rsidP="00C10E33">
            <w:pPr>
              <w:pStyle w:val="Summarytabletextrightaligned"/>
            </w:pPr>
            <w:r w:rsidRPr="00625155">
              <w:t>$m</w:t>
            </w:r>
          </w:p>
        </w:tc>
        <w:tc>
          <w:tcPr>
            <w:tcW w:w="850" w:type="dxa"/>
            <w:tcBorders>
              <w:bottom w:val="single" w:sz="4" w:space="0" w:color="auto"/>
            </w:tcBorders>
            <w:shd w:val="clear" w:color="auto" w:fill="F2F9FC"/>
            <w:vAlign w:val="bottom"/>
          </w:tcPr>
          <w:p w14:paraId="0824DD01" w14:textId="77777777" w:rsidR="008023C5" w:rsidRPr="00625155" w:rsidRDefault="008023C5" w:rsidP="00C10E33">
            <w:pPr>
              <w:pStyle w:val="Summarytabletextrightaligned"/>
            </w:pPr>
            <w:r w:rsidRPr="00625155">
              <w:t>$m</w:t>
            </w:r>
          </w:p>
        </w:tc>
        <w:tc>
          <w:tcPr>
            <w:tcW w:w="850" w:type="dxa"/>
            <w:tcBorders>
              <w:bottom w:val="single" w:sz="4" w:space="0" w:color="auto"/>
            </w:tcBorders>
            <w:vAlign w:val="bottom"/>
          </w:tcPr>
          <w:p w14:paraId="093F2996" w14:textId="77777777" w:rsidR="008023C5" w:rsidRPr="00625155" w:rsidRDefault="008023C5" w:rsidP="00C10E33">
            <w:pPr>
              <w:pStyle w:val="Summarytabletextrightaligned"/>
            </w:pPr>
            <w:r w:rsidRPr="00625155">
              <w:t>$m</w:t>
            </w:r>
          </w:p>
        </w:tc>
        <w:tc>
          <w:tcPr>
            <w:tcW w:w="850" w:type="dxa"/>
            <w:tcBorders>
              <w:bottom w:val="single" w:sz="4" w:space="0" w:color="auto"/>
            </w:tcBorders>
            <w:vAlign w:val="bottom"/>
          </w:tcPr>
          <w:p w14:paraId="572B1823" w14:textId="77777777" w:rsidR="008023C5" w:rsidRPr="00625155" w:rsidRDefault="008023C5" w:rsidP="00C10E33">
            <w:pPr>
              <w:pStyle w:val="Summarytabletextrightaligned"/>
            </w:pPr>
            <w:r w:rsidRPr="00625155">
              <w:t>$m</w:t>
            </w:r>
          </w:p>
        </w:tc>
        <w:tc>
          <w:tcPr>
            <w:tcW w:w="850" w:type="dxa"/>
            <w:tcBorders>
              <w:bottom w:val="single" w:sz="4" w:space="0" w:color="auto"/>
            </w:tcBorders>
            <w:vAlign w:val="bottom"/>
          </w:tcPr>
          <w:p w14:paraId="2B49DCD8" w14:textId="77777777" w:rsidR="008023C5" w:rsidRPr="00625155" w:rsidRDefault="008023C5" w:rsidP="00C10E33">
            <w:pPr>
              <w:pStyle w:val="Summarytabletextrightaligned"/>
            </w:pPr>
            <w:r w:rsidRPr="00625155">
              <w:t>$m</w:t>
            </w:r>
          </w:p>
        </w:tc>
      </w:tr>
      <w:tr w:rsidR="008023C5" w:rsidRPr="00625155" w14:paraId="3E4FF493" w14:textId="77777777" w:rsidTr="00D700B4">
        <w:tc>
          <w:tcPr>
            <w:tcW w:w="3461" w:type="dxa"/>
            <w:shd w:val="clear" w:color="auto" w:fill="auto"/>
            <w:vAlign w:val="bottom"/>
          </w:tcPr>
          <w:p w14:paraId="56CFF86F" w14:textId="77777777" w:rsidR="008023C5" w:rsidRPr="00625155" w:rsidRDefault="008023C5" w:rsidP="00C10E33">
            <w:pPr>
              <w:pStyle w:val="SummaryPortfolioTitle-BP2"/>
            </w:pPr>
            <w:r w:rsidRPr="00625155">
              <w:t>AGRICULTURE, WATER AND THE ENVIRONMENT</w:t>
            </w:r>
          </w:p>
        </w:tc>
        <w:tc>
          <w:tcPr>
            <w:tcW w:w="850" w:type="dxa"/>
            <w:tcBorders>
              <w:top w:val="single" w:sz="4" w:space="0" w:color="auto"/>
            </w:tcBorders>
            <w:vAlign w:val="bottom"/>
          </w:tcPr>
          <w:p w14:paraId="037A9FA2"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shd w:val="clear" w:color="auto" w:fill="F2F9FC"/>
            <w:vAlign w:val="bottom"/>
          </w:tcPr>
          <w:p w14:paraId="124AAD25"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55E12D1F"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3A8CDF72"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4964E271" w14:textId="77777777" w:rsidR="008023C5" w:rsidRPr="00625155" w:rsidRDefault="008023C5" w:rsidP="00C10E33">
            <w:pPr>
              <w:pStyle w:val="MeasureTableTextRightAlignedBefore6ptAfter1pt"/>
              <w:rPr>
                <w:b/>
                <w:bCs/>
                <w:color w:val="auto"/>
              </w:rPr>
            </w:pPr>
          </w:p>
        </w:tc>
      </w:tr>
      <w:tr w:rsidR="008023C5" w:rsidRPr="00625155" w14:paraId="45FB4FB4" w14:textId="77777777" w:rsidTr="00D700B4">
        <w:tc>
          <w:tcPr>
            <w:tcW w:w="3461" w:type="dxa"/>
            <w:shd w:val="clear" w:color="auto" w:fill="auto"/>
            <w:vAlign w:val="bottom"/>
          </w:tcPr>
          <w:p w14:paraId="1C6677FB" w14:textId="77777777" w:rsidR="008023C5" w:rsidRPr="00625155" w:rsidRDefault="008023C5" w:rsidP="00C10E33">
            <w:pPr>
              <w:pStyle w:val="SummaryAgencyTitle-BP2"/>
              <w:rPr>
                <w:iCs/>
              </w:rPr>
            </w:pPr>
            <w:r w:rsidRPr="00625155">
              <w:rPr>
                <w:iCs/>
              </w:rPr>
              <w:t>Department of Agriculture, Water and the Environment</w:t>
            </w:r>
          </w:p>
        </w:tc>
        <w:tc>
          <w:tcPr>
            <w:tcW w:w="850" w:type="dxa"/>
            <w:vAlign w:val="bottom"/>
          </w:tcPr>
          <w:p w14:paraId="2215A417" w14:textId="77777777" w:rsidR="008023C5" w:rsidRPr="00625155" w:rsidRDefault="008023C5" w:rsidP="00C10E33">
            <w:pPr>
              <w:pStyle w:val="SummaryAgencyTitle-BP2"/>
              <w:rPr>
                <w:iCs/>
              </w:rPr>
            </w:pPr>
          </w:p>
        </w:tc>
        <w:tc>
          <w:tcPr>
            <w:tcW w:w="850" w:type="dxa"/>
            <w:shd w:val="clear" w:color="auto" w:fill="F2F9FC"/>
            <w:vAlign w:val="bottom"/>
          </w:tcPr>
          <w:p w14:paraId="3344B9E8" w14:textId="77777777" w:rsidR="008023C5" w:rsidRPr="00625155" w:rsidRDefault="008023C5" w:rsidP="00C10E33">
            <w:pPr>
              <w:pStyle w:val="SummaryAgencyTitle-BP2"/>
              <w:rPr>
                <w:iCs/>
              </w:rPr>
            </w:pPr>
          </w:p>
        </w:tc>
        <w:tc>
          <w:tcPr>
            <w:tcW w:w="850" w:type="dxa"/>
            <w:vAlign w:val="bottom"/>
          </w:tcPr>
          <w:p w14:paraId="6E9CD1EB" w14:textId="77777777" w:rsidR="008023C5" w:rsidRPr="00625155" w:rsidRDefault="008023C5" w:rsidP="00C10E33">
            <w:pPr>
              <w:pStyle w:val="SummaryAgencyTitle-BP2"/>
              <w:rPr>
                <w:iCs/>
              </w:rPr>
            </w:pPr>
          </w:p>
        </w:tc>
        <w:tc>
          <w:tcPr>
            <w:tcW w:w="850" w:type="dxa"/>
            <w:vAlign w:val="bottom"/>
          </w:tcPr>
          <w:p w14:paraId="112E2002" w14:textId="77777777" w:rsidR="008023C5" w:rsidRPr="00625155" w:rsidRDefault="008023C5" w:rsidP="00C10E33">
            <w:pPr>
              <w:pStyle w:val="SummaryAgencyTitle-BP2"/>
              <w:rPr>
                <w:iCs/>
              </w:rPr>
            </w:pPr>
          </w:p>
        </w:tc>
        <w:tc>
          <w:tcPr>
            <w:tcW w:w="850" w:type="dxa"/>
            <w:vAlign w:val="bottom"/>
          </w:tcPr>
          <w:p w14:paraId="318E951D" w14:textId="77777777" w:rsidR="008023C5" w:rsidRPr="00625155" w:rsidRDefault="008023C5" w:rsidP="00C10E33">
            <w:pPr>
              <w:pStyle w:val="SummaryAgencyTitle-BP2"/>
              <w:rPr>
                <w:iCs/>
              </w:rPr>
            </w:pPr>
          </w:p>
        </w:tc>
      </w:tr>
      <w:tr w:rsidR="008023C5" w:rsidRPr="00625155" w14:paraId="58488B0C" w14:textId="77777777" w:rsidTr="00D700B4">
        <w:tc>
          <w:tcPr>
            <w:tcW w:w="3461" w:type="dxa"/>
            <w:shd w:val="clear" w:color="auto" w:fill="auto"/>
            <w:vAlign w:val="bottom"/>
          </w:tcPr>
          <w:p w14:paraId="552D81E2" w14:textId="3342F247" w:rsidR="008023C5" w:rsidRPr="00625155" w:rsidRDefault="008023C5" w:rsidP="00C10E33">
            <w:pPr>
              <w:pStyle w:val="SummaryMeasureTitlewithTheme"/>
              <w:rPr>
                <w:color w:val="auto"/>
              </w:rPr>
            </w:pPr>
            <w:r w:rsidRPr="00625155">
              <w:rPr>
                <w:color w:val="auto"/>
              </w:rPr>
              <w:t>Accelerate Adoption of Wood Processing Innovation(</w:t>
            </w:r>
            <w:r w:rsidR="0011539C">
              <w:rPr>
                <w:color w:val="auto"/>
              </w:rPr>
              <w:t>g</w:t>
            </w:r>
            <w:r w:rsidRPr="00625155">
              <w:rPr>
                <w:color w:val="auto"/>
              </w:rPr>
              <w:t>)</w:t>
            </w:r>
          </w:p>
        </w:tc>
        <w:tc>
          <w:tcPr>
            <w:tcW w:w="850" w:type="dxa"/>
            <w:tcBorders>
              <w:bottom w:val="single" w:sz="4" w:space="0" w:color="auto"/>
            </w:tcBorders>
            <w:vAlign w:val="bottom"/>
          </w:tcPr>
          <w:p w14:paraId="4DDC9E9B" w14:textId="1B857EC5"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shd w:val="clear" w:color="auto" w:fill="F2F9FC"/>
            <w:vAlign w:val="bottom"/>
          </w:tcPr>
          <w:p w14:paraId="23BD828B" w14:textId="6C0CBF82"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vAlign w:val="bottom"/>
          </w:tcPr>
          <w:p w14:paraId="3845C6FE" w14:textId="04E9997A"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vAlign w:val="bottom"/>
          </w:tcPr>
          <w:p w14:paraId="67EFD676" w14:textId="0463726F"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vAlign w:val="bottom"/>
          </w:tcPr>
          <w:p w14:paraId="7703650D" w14:textId="3D422F88" w:rsidR="008023C5" w:rsidRPr="00625155" w:rsidRDefault="00660645" w:rsidP="00C10E33">
            <w:pPr>
              <w:pStyle w:val="Summarytabletextrightaligned"/>
              <w:rPr>
                <w:szCs w:val="16"/>
              </w:rPr>
            </w:pPr>
            <w:r>
              <w:rPr>
                <w:szCs w:val="16"/>
              </w:rPr>
              <w:noBreakHyphen/>
            </w:r>
          </w:p>
        </w:tc>
      </w:tr>
      <w:tr w:rsidR="008023C5" w:rsidRPr="00625155" w14:paraId="1DFDEF46" w14:textId="77777777" w:rsidTr="00D700B4">
        <w:tc>
          <w:tcPr>
            <w:tcW w:w="3461" w:type="dxa"/>
            <w:shd w:val="clear" w:color="auto" w:fill="auto"/>
            <w:vAlign w:val="bottom"/>
          </w:tcPr>
          <w:p w14:paraId="720B37C7" w14:textId="77777777" w:rsidR="008023C5" w:rsidRPr="00625155" w:rsidRDefault="008023C5" w:rsidP="00C10E33">
            <w:pPr>
              <w:pStyle w:val="Summarytabletextleftalignedbold"/>
              <w:rPr>
                <w:color w:val="auto"/>
              </w:rPr>
            </w:pPr>
            <w:r w:rsidRPr="00625155">
              <w:rPr>
                <w:color w:val="auto"/>
              </w:rPr>
              <w:t>Portfolio total</w:t>
            </w:r>
          </w:p>
        </w:tc>
        <w:tc>
          <w:tcPr>
            <w:tcW w:w="850" w:type="dxa"/>
            <w:tcBorders>
              <w:top w:val="single" w:sz="4" w:space="0" w:color="auto"/>
              <w:bottom w:val="single" w:sz="4" w:space="0" w:color="auto"/>
            </w:tcBorders>
            <w:vAlign w:val="bottom"/>
          </w:tcPr>
          <w:p w14:paraId="3367C721" w14:textId="6813C0E8"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shd w:val="clear" w:color="auto" w:fill="F2F9FC"/>
            <w:vAlign w:val="bottom"/>
          </w:tcPr>
          <w:p w14:paraId="2F4EFDF4" w14:textId="1BF93B92"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04713FA1" w14:textId="16791E86"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07A2A9A1" w14:textId="459F4991"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06524A6D" w14:textId="515BBD1C" w:rsidR="008023C5" w:rsidRPr="00625155" w:rsidRDefault="00660645" w:rsidP="00C10E33">
            <w:pPr>
              <w:pStyle w:val="Summarytabletextrightalignedbold"/>
              <w:rPr>
                <w:bCs/>
                <w:szCs w:val="16"/>
              </w:rPr>
            </w:pPr>
            <w:r>
              <w:rPr>
                <w:bCs/>
                <w:szCs w:val="16"/>
              </w:rPr>
              <w:noBreakHyphen/>
            </w:r>
          </w:p>
        </w:tc>
      </w:tr>
      <w:tr w:rsidR="008023C5" w:rsidRPr="00625155" w14:paraId="2B42E667" w14:textId="77777777" w:rsidTr="00D700B4">
        <w:tc>
          <w:tcPr>
            <w:tcW w:w="3461" w:type="dxa"/>
            <w:shd w:val="clear" w:color="auto" w:fill="auto"/>
            <w:vAlign w:val="bottom"/>
          </w:tcPr>
          <w:p w14:paraId="31D10255" w14:textId="754F6E6A" w:rsidR="008023C5" w:rsidRPr="00625155" w:rsidRDefault="008023C5" w:rsidP="00C10E33">
            <w:pPr>
              <w:pStyle w:val="SummaryPortfolioTitle-BP2"/>
            </w:pPr>
            <w:r w:rsidRPr="00625155">
              <w:t>ATTORNEY</w:t>
            </w:r>
            <w:r w:rsidR="00660645">
              <w:noBreakHyphen/>
            </w:r>
            <w:r w:rsidRPr="00625155">
              <w:t>GENERAL</w:t>
            </w:r>
            <w:r w:rsidR="00660645">
              <w:t>’</w:t>
            </w:r>
            <w:r w:rsidRPr="00625155">
              <w:t>S</w:t>
            </w:r>
          </w:p>
        </w:tc>
        <w:tc>
          <w:tcPr>
            <w:tcW w:w="850" w:type="dxa"/>
            <w:tcBorders>
              <w:top w:val="single" w:sz="4" w:space="0" w:color="auto"/>
            </w:tcBorders>
            <w:vAlign w:val="bottom"/>
          </w:tcPr>
          <w:p w14:paraId="3A534FAB"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shd w:val="clear" w:color="auto" w:fill="F2F9FC"/>
            <w:vAlign w:val="bottom"/>
          </w:tcPr>
          <w:p w14:paraId="29243654"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6D44FADF"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0A592C5C"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1A0775E7" w14:textId="77777777" w:rsidR="008023C5" w:rsidRPr="00625155" w:rsidRDefault="008023C5" w:rsidP="00C10E33">
            <w:pPr>
              <w:pStyle w:val="MeasureTableTextRightAlignedBefore6ptAfter1pt"/>
              <w:rPr>
                <w:b/>
                <w:bCs/>
                <w:color w:val="auto"/>
              </w:rPr>
            </w:pPr>
          </w:p>
        </w:tc>
      </w:tr>
      <w:tr w:rsidR="008023C5" w:rsidRPr="00625155" w14:paraId="0ABEC8F2" w14:textId="77777777" w:rsidTr="00D700B4">
        <w:tc>
          <w:tcPr>
            <w:tcW w:w="3461" w:type="dxa"/>
            <w:shd w:val="clear" w:color="auto" w:fill="auto"/>
            <w:vAlign w:val="bottom"/>
          </w:tcPr>
          <w:p w14:paraId="408DBBD5" w14:textId="10582959" w:rsidR="008023C5" w:rsidRPr="00625155" w:rsidRDefault="008023C5" w:rsidP="00C10E33">
            <w:pPr>
              <w:pStyle w:val="SummaryAgencyTitle-BP2"/>
              <w:rPr>
                <w:iCs/>
              </w:rPr>
            </w:pPr>
            <w:r w:rsidRPr="00625155">
              <w:rPr>
                <w:iCs/>
              </w:rPr>
              <w:t>Attorney</w:t>
            </w:r>
            <w:r w:rsidR="00660645">
              <w:rPr>
                <w:iCs/>
              </w:rPr>
              <w:noBreakHyphen/>
            </w:r>
            <w:r w:rsidRPr="00625155">
              <w:rPr>
                <w:iCs/>
              </w:rPr>
              <w:t>General</w:t>
            </w:r>
            <w:r w:rsidR="00660645">
              <w:rPr>
                <w:iCs/>
              </w:rPr>
              <w:t>’</w:t>
            </w:r>
            <w:r w:rsidRPr="00625155">
              <w:rPr>
                <w:iCs/>
              </w:rPr>
              <w:t>s Department</w:t>
            </w:r>
          </w:p>
        </w:tc>
        <w:tc>
          <w:tcPr>
            <w:tcW w:w="850" w:type="dxa"/>
            <w:vAlign w:val="bottom"/>
          </w:tcPr>
          <w:p w14:paraId="186BBFFC" w14:textId="77777777" w:rsidR="008023C5" w:rsidRPr="00625155" w:rsidRDefault="008023C5" w:rsidP="00C10E33">
            <w:pPr>
              <w:pStyle w:val="SummaryAgencyTitle-BP2"/>
              <w:rPr>
                <w:iCs/>
              </w:rPr>
            </w:pPr>
          </w:p>
        </w:tc>
        <w:tc>
          <w:tcPr>
            <w:tcW w:w="850" w:type="dxa"/>
            <w:shd w:val="clear" w:color="auto" w:fill="F2F9FC"/>
            <w:vAlign w:val="bottom"/>
          </w:tcPr>
          <w:p w14:paraId="78B0E5B5" w14:textId="77777777" w:rsidR="008023C5" w:rsidRPr="00625155" w:rsidRDefault="008023C5" w:rsidP="00C10E33">
            <w:pPr>
              <w:pStyle w:val="SummaryAgencyTitle-BP2"/>
              <w:rPr>
                <w:iCs/>
              </w:rPr>
            </w:pPr>
          </w:p>
        </w:tc>
        <w:tc>
          <w:tcPr>
            <w:tcW w:w="850" w:type="dxa"/>
            <w:vAlign w:val="bottom"/>
          </w:tcPr>
          <w:p w14:paraId="356955AD" w14:textId="77777777" w:rsidR="008023C5" w:rsidRPr="00625155" w:rsidRDefault="008023C5" w:rsidP="00C10E33">
            <w:pPr>
              <w:pStyle w:val="SummaryAgencyTitle-BP2"/>
              <w:rPr>
                <w:iCs/>
              </w:rPr>
            </w:pPr>
          </w:p>
        </w:tc>
        <w:tc>
          <w:tcPr>
            <w:tcW w:w="850" w:type="dxa"/>
            <w:vAlign w:val="bottom"/>
          </w:tcPr>
          <w:p w14:paraId="2508B0AE" w14:textId="77777777" w:rsidR="008023C5" w:rsidRPr="00625155" w:rsidRDefault="008023C5" w:rsidP="00C10E33">
            <w:pPr>
              <w:pStyle w:val="SummaryAgencyTitle-BP2"/>
              <w:rPr>
                <w:iCs/>
              </w:rPr>
            </w:pPr>
          </w:p>
        </w:tc>
        <w:tc>
          <w:tcPr>
            <w:tcW w:w="850" w:type="dxa"/>
            <w:vAlign w:val="bottom"/>
          </w:tcPr>
          <w:p w14:paraId="596ECD17" w14:textId="77777777" w:rsidR="008023C5" w:rsidRPr="00625155" w:rsidRDefault="008023C5" w:rsidP="00C10E33">
            <w:pPr>
              <w:pStyle w:val="SummaryAgencyTitle-BP2"/>
              <w:rPr>
                <w:iCs/>
              </w:rPr>
            </w:pPr>
          </w:p>
        </w:tc>
      </w:tr>
      <w:tr w:rsidR="008023C5" w:rsidRPr="00625155" w14:paraId="5E808EA9" w14:textId="77777777" w:rsidTr="00D700B4">
        <w:tc>
          <w:tcPr>
            <w:tcW w:w="3461" w:type="dxa"/>
            <w:shd w:val="clear" w:color="auto" w:fill="auto"/>
            <w:vAlign w:val="bottom"/>
          </w:tcPr>
          <w:p w14:paraId="542F9A5E" w14:textId="21E13ECB" w:rsidR="008023C5" w:rsidRPr="00625155" w:rsidRDefault="008023C5" w:rsidP="00C10E33">
            <w:pPr>
              <w:pStyle w:val="SummaryMeasureTitlewithTheme"/>
              <w:rPr>
                <w:color w:val="auto"/>
              </w:rPr>
            </w:pPr>
            <w:r w:rsidRPr="00625155">
              <w:rPr>
                <w:color w:val="auto"/>
              </w:rPr>
              <w:t>Royal Commission into Defence and Veteran Suicide – extension(</w:t>
            </w:r>
            <w:r w:rsidR="0011539C">
              <w:rPr>
                <w:color w:val="auto"/>
              </w:rPr>
              <w:t>h</w:t>
            </w:r>
            <w:r w:rsidRPr="00625155">
              <w:rPr>
                <w:color w:val="auto"/>
              </w:rPr>
              <w:t>)</w:t>
            </w:r>
          </w:p>
        </w:tc>
        <w:tc>
          <w:tcPr>
            <w:tcW w:w="850" w:type="dxa"/>
            <w:tcBorders>
              <w:bottom w:val="single" w:sz="4" w:space="0" w:color="auto"/>
            </w:tcBorders>
            <w:vAlign w:val="bottom"/>
          </w:tcPr>
          <w:p w14:paraId="4141F9AA" w14:textId="5E8459D8"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shd w:val="clear" w:color="auto" w:fill="F2F9FC"/>
            <w:vAlign w:val="bottom"/>
          </w:tcPr>
          <w:p w14:paraId="1B13CFB8" w14:textId="0751B4E3"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vAlign w:val="bottom"/>
          </w:tcPr>
          <w:p w14:paraId="62147AF7" w14:textId="77777777" w:rsidR="008023C5" w:rsidRPr="00625155" w:rsidRDefault="008023C5" w:rsidP="00C10E33">
            <w:pPr>
              <w:pStyle w:val="Summarytabletextrightaligned"/>
              <w:rPr>
                <w:szCs w:val="16"/>
              </w:rPr>
            </w:pPr>
            <w:r w:rsidRPr="00625155">
              <w:rPr>
                <w:szCs w:val="16"/>
              </w:rPr>
              <w:t>49.3</w:t>
            </w:r>
          </w:p>
        </w:tc>
        <w:tc>
          <w:tcPr>
            <w:tcW w:w="850" w:type="dxa"/>
            <w:tcBorders>
              <w:bottom w:val="single" w:sz="4" w:space="0" w:color="auto"/>
            </w:tcBorders>
            <w:vAlign w:val="bottom"/>
          </w:tcPr>
          <w:p w14:paraId="46BE4D9E" w14:textId="47917BE5" w:rsidR="008023C5" w:rsidRPr="00625155" w:rsidRDefault="00660645" w:rsidP="00C10E33">
            <w:pPr>
              <w:pStyle w:val="Summarytabletextrightaligned"/>
              <w:rPr>
                <w:szCs w:val="16"/>
              </w:rPr>
            </w:pPr>
            <w:r>
              <w:rPr>
                <w:szCs w:val="16"/>
              </w:rPr>
              <w:noBreakHyphen/>
            </w:r>
          </w:p>
        </w:tc>
        <w:tc>
          <w:tcPr>
            <w:tcW w:w="850" w:type="dxa"/>
            <w:tcBorders>
              <w:bottom w:val="single" w:sz="4" w:space="0" w:color="auto"/>
            </w:tcBorders>
            <w:vAlign w:val="bottom"/>
          </w:tcPr>
          <w:p w14:paraId="0DB471DB" w14:textId="59EBB2F5" w:rsidR="008023C5" w:rsidRPr="00625155" w:rsidRDefault="00660645" w:rsidP="00C10E33">
            <w:pPr>
              <w:pStyle w:val="Summarytabletextrightaligned"/>
              <w:rPr>
                <w:szCs w:val="16"/>
              </w:rPr>
            </w:pPr>
            <w:r>
              <w:rPr>
                <w:szCs w:val="16"/>
              </w:rPr>
              <w:noBreakHyphen/>
            </w:r>
          </w:p>
        </w:tc>
      </w:tr>
      <w:tr w:rsidR="008023C5" w:rsidRPr="00625155" w14:paraId="0B4E697B" w14:textId="77777777" w:rsidTr="00D700B4">
        <w:tc>
          <w:tcPr>
            <w:tcW w:w="3461" w:type="dxa"/>
            <w:shd w:val="clear" w:color="auto" w:fill="auto"/>
            <w:vAlign w:val="bottom"/>
          </w:tcPr>
          <w:p w14:paraId="04EDDAC4" w14:textId="77777777" w:rsidR="008023C5" w:rsidRPr="00625155" w:rsidRDefault="008023C5" w:rsidP="00C10E33">
            <w:pPr>
              <w:pStyle w:val="Summarytabletextleftalignedbold"/>
              <w:rPr>
                <w:color w:val="auto"/>
              </w:rPr>
            </w:pPr>
            <w:r w:rsidRPr="00625155">
              <w:rPr>
                <w:color w:val="auto"/>
              </w:rPr>
              <w:t>Portfolio total</w:t>
            </w:r>
          </w:p>
        </w:tc>
        <w:tc>
          <w:tcPr>
            <w:tcW w:w="850" w:type="dxa"/>
            <w:tcBorders>
              <w:top w:val="single" w:sz="4" w:space="0" w:color="auto"/>
              <w:bottom w:val="single" w:sz="4" w:space="0" w:color="auto"/>
            </w:tcBorders>
            <w:vAlign w:val="bottom"/>
          </w:tcPr>
          <w:p w14:paraId="33EE3DDD" w14:textId="41EA836F"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shd w:val="clear" w:color="auto" w:fill="F2F9FC"/>
            <w:vAlign w:val="bottom"/>
          </w:tcPr>
          <w:p w14:paraId="55C804A7" w14:textId="7664FFCA"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75674B70" w14:textId="77777777" w:rsidR="008023C5" w:rsidRPr="00625155" w:rsidRDefault="008023C5" w:rsidP="00C10E33">
            <w:pPr>
              <w:pStyle w:val="Summarytabletextrightalignedbold"/>
              <w:rPr>
                <w:bCs/>
                <w:szCs w:val="16"/>
              </w:rPr>
            </w:pPr>
            <w:r w:rsidRPr="00625155">
              <w:rPr>
                <w:bCs/>
                <w:szCs w:val="16"/>
              </w:rPr>
              <w:t>49.3</w:t>
            </w:r>
          </w:p>
        </w:tc>
        <w:tc>
          <w:tcPr>
            <w:tcW w:w="850" w:type="dxa"/>
            <w:tcBorders>
              <w:top w:val="single" w:sz="4" w:space="0" w:color="auto"/>
              <w:bottom w:val="single" w:sz="4" w:space="0" w:color="auto"/>
            </w:tcBorders>
            <w:vAlign w:val="bottom"/>
          </w:tcPr>
          <w:p w14:paraId="16C6008D" w14:textId="2A1371FC"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450FD440" w14:textId="31C851C9" w:rsidR="008023C5" w:rsidRPr="00625155" w:rsidRDefault="00660645" w:rsidP="00C10E33">
            <w:pPr>
              <w:pStyle w:val="Summarytabletextrightalignedbold"/>
              <w:rPr>
                <w:bCs/>
                <w:szCs w:val="16"/>
              </w:rPr>
            </w:pPr>
            <w:r>
              <w:rPr>
                <w:bCs/>
                <w:szCs w:val="16"/>
              </w:rPr>
              <w:noBreakHyphen/>
            </w:r>
          </w:p>
        </w:tc>
      </w:tr>
      <w:tr w:rsidR="008023C5" w:rsidRPr="00625155" w14:paraId="45842E36" w14:textId="77777777" w:rsidTr="00D700B4">
        <w:tc>
          <w:tcPr>
            <w:tcW w:w="3461" w:type="dxa"/>
            <w:shd w:val="clear" w:color="auto" w:fill="auto"/>
            <w:vAlign w:val="bottom"/>
          </w:tcPr>
          <w:p w14:paraId="5A313912" w14:textId="77777777" w:rsidR="008023C5" w:rsidRPr="00625155" w:rsidRDefault="008023C5" w:rsidP="00C10E33">
            <w:pPr>
              <w:pStyle w:val="SummaryPortfolioTitle-BP2"/>
            </w:pPr>
            <w:r w:rsidRPr="00625155">
              <w:t>CROSS PORTFOLIO</w:t>
            </w:r>
          </w:p>
        </w:tc>
        <w:tc>
          <w:tcPr>
            <w:tcW w:w="850" w:type="dxa"/>
            <w:tcBorders>
              <w:top w:val="single" w:sz="4" w:space="0" w:color="auto"/>
            </w:tcBorders>
            <w:vAlign w:val="bottom"/>
          </w:tcPr>
          <w:p w14:paraId="2D6759E2"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shd w:val="clear" w:color="auto" w:fill="F2F9FC"/>
            <w:vAlign w:val="bottom"/>
          </w:tcPr>
          <w:p w14:paraId="70EFED9E"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3F7BC148"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09B2BCCE"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2901CF8D" w14:textId="77777777" w:rsidR="008023C5" w:rsidRPr="00625155" w:rsidRDefault="008023C5" w:rsidP="00C10E33">
            <w:pPr>
              <w:pStyle w:val="MeasureTableTextRightAlignedBefore6ptAfter1pt"/>
              <w:rPr>
                <w:b/>
                <w:bCs/>
                <w:color w:val="auto"/>
              </w:rPr>
            </w:pPr>
          </w:p>
        </w:tc>
      </w:tr>
      <w:tr w:rsidR="008023C5" w:rsidRPr="00625155" w14:paraId="0CBF15F0" w14:textId="77777777" w:rsidTr="00D700B4">
        <w:tc>
          <w:tcPr>
            <w:tcW w:w="3461" w:type="dxa"/>
            <w:shd w:val="clear" w:color="auto" w:fill="auto"/>
            <w:vAlign w:val="bottom"/>
          </w:tcPr>
          <w:p w14:paraId="7AEDAD39" w14:textId="77777777" w:rsidR="008023C5" w:rsidRPr="00625155" w:rsidRDefault="008023C5" w:rsidP="00C10E33">
            <w:pPr>
              <w:pStyle w:val="SummaryAgencyTitle-BP2"/>
              <w:rPr>
                <w:iCs/>
              </w:rPr>
            </w:pPr>
            <w:r w:rsidRPr="00625155">
              <w:rPr>
                <w:iCs/>
              </w:rPr>
              <w:t>Various Agencies</w:t>
            </w:r>
          </w:p>
        </w:tc>
        <w:tc>
          <w:tcPr>
            <w:tcW w:w="850" w:type="dxa"/>
            <w:vAlign w:val="bottom"/>
          </w:tcPr>
          <w:p w14:paraId="0B1B5B39" w14:textId="77777777" w:rsidR="008023C5" w:rsidRPr="00625155" w:rsidRDefault="008023C5" w:rsidP="00C10E33">
            <w:pPr>
              <w:pStyle w:val="SummaryAgencyTitle-BP2"/>
              <w:rPr>
                <w:iCs/>
              </w:rPr>
            </w:pPr>
          </w:p>
        </w:tc>
        <w:tc>
          <w:tcPr>
            <w:tcW w:w="850" w:type="dxa"/>
            <w:shd w:val="clear" w:color="auto" w:fill="F2F9FC"/>
            <w:vAlign w:val="bottom"/>
          </w:tcPr>
          <w:p w14:paraId="33874265" w14:textId="77777777" w:rsidR="008023C5" w:rsidRPr="00625155" w:rsidRDefault="008023C5" w:rsidP="00C10E33">
            <w:pPr>
              <w:pStyle w:val="SummaryAgencyTitle-BP2"/>
              <w:rPr>
                <w:iCs/>
              </w:rPr>
            </w:pPr>
          </w:p>
        </w:tc>
        <w:tc>
          <w:tcPr>
            <w:tcW w:w="850" w:type="dxa"/>
            <w:vAlign w:val="bottom"/>
          </w:tcPr>
          <w:p w14:paraId="670AE85E" w14:textId="77777777" w:rsidR="008023C5" w:rsidRPr="00625155" w:rsidRDefault="008023C5" w:rsidP="00C10E33">
            <w:pPr>
              <w:pStyle w:val="SummaryAgencyTitle-BP2"/>
              <w:rPr>
                <w:iCs/>
              </w:rPr>
            </w:pPr>
          </w:p>
        </w:tc>
        <w:tc>
          <w:tcPr>
            <w:tcW w:w="850" w:type="dxa"/>
            <w:vAlign w:val="bottom"/>
          </w:tcPr>
          <w:p w14:paraId="28814986" w14:textId="77777777" w:rsidR="008023C5" w:rsidRPr="00625155" w:rsidRDefault="008023C5" w:rsidP="00C10E33">
            <w:pPr>
              <w:pStyle w:val="SummaryAgencyTitle-BP2"/>
              <w:rPr>
                <w:iCs/>
              </w:rPr>
            </w:pPr>
          </w:p>
        </w:tc>
        <w:tc>
          <w:tcPr>
            <w:tcW w:w="850" w:type="dxa"/>
            <w:vAlign w:val="bottom"/>
          </w:tcPr>
          <w:p w14:paraId="02EE5853" w14:textId="77777777" w:rsidR="008023C5" w:rsidRPr="00625155" w:rsidRDefault="008023C5" w:rsidP="00C10E33">
            <w:pPr>
              <w:pStyle w:val="SummaryAgencyTitle-BP2"/>
              <w:rPr>
                <w:iCs/>
              </w:rPr>
            </w:pPr>
          </w:p>
        </w:tc>
      </w:tr>
      <w:tr w:rsidR="008023C5" w:rsidRPr="00625155" w14:paraId="7C0C9865" w14:textId="77777777" w:rsidTr="00D700B4">
        <w:tc>
          <w:tcPr>
            <w:tcW w:w="3461" w:type="dxa"/>
            <w:shd w:val="clear" w:color="auto" w:fill="auto"/>
            <w:vAlign w:val="bottom"/>
          </w:tcPr>
          <w:p w14:paraId="19B94AFE" w14:textId="577F3CE5" w:rsidR="008023C5" w:rsidRPr="00625155" w:rsidRDefault="008023C5" w:rsidP="00C10E33">
            <w:pPr>
              <w:pStyle w:val="SummaryMeasureTitlewithTheme"/>
              <w:rPr>
                <w:color w:val="auto"/>
              </w:rPr>
            </w:pPr>
            <w:r w:rsidRPr="00625155">
              <w:rPr>
                <w:color w:val="auto"/>
              </w:rPr>
              <w:t xml:space="preserve">Reversal of measures reported as a </w:t>
            </w:r>
            <w:r w:rsidR="00660645">
              <w:rPr>
                <w:color w:val="auto"/>
              </w:rPr>
              <w:t>‘</w:t>
            </w:r>
            <w:r w:rsidRPr="00625155">
              <w:rPr>
                <w:color w:val="auto"/>
              </w:rPr>
              <w:t>decision taken but not yet announced</w:t>
            </w:r>
            <w:r w:rsidR="00660645">
              <w:rPr>
                <w:color w:val="auto"/>
              </w:rPr>
              <w:t>’</w:t>
            </w:r>
            <w:r w:rsidRPr="00625155">
              <w:rPr>
                <w:color w:val="auto"/>
              </w:rPr>
              <w:t xml:space="preserve"> in prior rounds</w:t>
            </w:r>
          </w:p>
        </w:tc>
        <w:tc>
          <w:tcPr>
            <w:tcW w:w="850" w:type="dxa"/>
            <w:tcBorders>
              <w:bottom w:val="single" w:sz="4" w:space="0" w:color="auto"/>
            </w:tcBorders>
            <w:vAlign w:val="bottom"/>
          </w:tcPr>
          <w:p w14:paraId="747EC296" w14:textId="77777777" w:rsidR="008023C5" w:rsidRPr="00625155" w:rsidRDefault="008023C5" w:rsidP="00C10E33">
            <w:pPr>
              <w:pStyle w:val="Summarytabletextrightaligned"/>
              <w:rPr>
                <w:szCs w:val="16"/>
              </w:rPr>
            </w:pPr>
            <w:r w:rsidRPr="00625155">
              <w:rPr>
                <w:szCs w:val="16"/>
              </w:rPr>
              <w:t>1.9</w:t>
            </w:r>
          </w:p>
        </w:tc>
        <w:tc>
          <w:tcPr>
            <w:tcW w:w="850" w:type="dxa"/>
            <w:tcBorders>
              <w:bottom w:val="single" w:sz="4" w:space="0" w:color="auto"/>
            </w:tcBorders>
            <w:shd w:val="clear" w:color="auto" w:fill="F2F9FC"/>
            <w:vAlign w:val="bottom"/>
          </w:tcPr>
          <w:p w14:paraId="3DFBDAA8" w14:textId="42472AC2" w:rsidR="008023C5" w:rsidRPr="00625155" w:rsidRDefault="00660645" w:rsidP="00C10E33">
            <w:pPr>
              <w:pStyle w:val="Summarytabletextrightaligned"/>
              <w:rPr>
                <w:szCs w:val="16"/>
              </w:rPr>
            </w:pPr>
            <w:r>
              <w:rPr>
                <w:szCs w:val="16"/>
              </w:rPr>
              <w:noBreakHyphen/>
            </w:r>
            <w:r w:rsidR="008023C5" w:rsidRPr="00625155">
              <w:rPr>
                <w:szCs w:val="16"/>
              </w:rPr>
              <w:t>50.6</w:t>
            </w:r>
          </w:p>
        </w:tc>
        <w:tc>
          <w:tcPr>
            <w:tcW w:w="850" w:type="dxa"/>
            <w:tcBorders>
              <w:bottom w:val="single" w:sz="4" w:space="0" w:color="auto"/>
            </w:tcBorders>
            <w:vAlign w:val="bottom"/>
          </w:tcPr>
          <w:p w14:paraId="02003F51" w14:textId="1EA4CF6D" w:rsidR="008023C5" w:rsidRPr="00625155" w:rsidRDefault="00660645" w:rsidP="00C10E33">
            <w:pPr>
              <w:pStyle w:val="Summarytabletextrightaligned"/>
              <w:rPr>
                <w:szCs w:val="16"/>
              </w:rPr>
            </w:pPr>
            <w:r>
              <w:rPr>
                <w:szCs w:val="16"/>
              </w:rPr>
              <w:noBreakHyphen/>
            </w:r>
            <w:r w:rsidR="008023C5" w:rsidRPr="00625155">
              <w:rPr>
                <w:szCs w:val="16"/>
              </w:rPr>
              <w:t>97.0</w:t>
            </w:r>
          </w:p>
        </w:tc>
        <w:tc>
          <w:tcPr>
            <w:tcW w:w="850" w:type="dxa"/>
            <w:tcBorders>
              <w:bottom w:val="single" w:sz="4" w:space="0" w:color="auto"/>
            </w:tcBorders>
            <w:vAlign w:val="bottom"/>
          </w:tcPr>
          <w:p w14:paraId="5E89C98F" w14:textId="712B7692" w:rsidR="008023C5" w:rsidRPr="00625155" w:rsidRDefault="00660645" w:rsidP="00C10E33">
            <w:pPr>
              <w:pStyle w:val="Summarytabletextrightaligned"/>
              <w:rPr>
                <w:szCs w:val="16"/>
              </w:rPr>
            </w:pPr>
            <w:r>
              <w:rPr>
                <w:szCs w:val="16"/>
              </w:rPr>
              <w:noBreakHyphen/>
            </w:r>
            <w:r w:rsidR="008023C5" w:rsidRPr="00625155">
              <w:rPr>
                <w:szCs w:val="16"/>
              </w:rPr>
              <w:t>106.8</w:t>
            </w:r>
          </w:p>
        </w:tc>
        <w:tc>
          <w:tcPr>
            <w:tcW w:w="850" w:type="dxa"/>
            <w:tcBorders>
              <w:bottom w:val="single" w:sz="4" w:space="0" w:color="auto"/>
            </w:tcBorders>
            <w:vAlign w:val="bottom"/>
          </w:tcPr>
          <w:p w14:paraId="67066990" w14:textId="1F54400C" w:rsidR="008023C5" w:rsidRPr="00625155" w:rsidRDefault="00660645" w:rsidP="00C10E33">
            <w:pPr>
              <w:pStyle w:val="Summarytabletextrightaligned"/>
              <w:rPr>
                <w:szCs w:val="16"/>
              </w:rPr>
            </w:pPr>
            <w:r>
              <w:rPr>
                <w:szCs w:val="16"/>
              </w:rPr>
              <w:noBreakHyphen/>
            </w:r>
            <w:r w:rsidR="008023C5" w:rsidRPr="00625155">
              <w:rPr>
                <w:szCs w:val="16"/>
              </w:rPr>
              <w:t>110.2</w:t>
            </w:r>
          </w:p>
        </w:tc>
      </w:tr>
      <w:tr w:rsidR="008023C5" w:rsidRPr="00625155" w14:paraId="412A9139" w14:textId="77777777" w:rsidTr="00D700B4">
        <w:tc>
          <w:tcPr>
            <w:tcW w:w="3461" w:type="dxa"/>
            <w:shd w:val="clear" w:color="auto" w:fill="auto"/>
            <w:vAlign w:val="bottom"/>
          </w:tcPr>
          <w:p w14:paraId="0A3F47CA" w14:textId="77777777" w:rsidR="008023C5" w:rsidRPr="00625155" w:rsidRDefault="008023C5" w:rsidP="00C10E33">
            <w:pPr>
              <w:pStyle w:val="Summarytabletextleftalignedbold"/>
              <w:rPr>
                <w:color w:val="auto"/>
              </w:rPr>
            </w:pPr>
            <w:r w:rsidRPr="00625155">
              <w:rPr>
                <w:color w:val="auto"/>
              </w:rPr>
              <w:t>Portfolio total</w:t>
            </w:r>
          </w:p>
        </w:tc>
        <w:tc>
          <w:tcPr>
            <w:tcW w:w="850" w:type="dxa"/>
            <w:tcBorders>
              <w:top w:val="single" w:sz="4" w:space="0" w:color="auto"/>
              <w:bottom w:val="single" w:sz="4" w:space="0" w:color="auto"/>
            </w:tcBorders>
            <w:vAlign w:val="bottom"/>
          </w:tcPr>
          <w:p w14:paraId="38B1D5D8" w14:textId="77777777" w:rsidR="008023C5" w:rsidRPr="00625155" w:rsidRDefault="008023C5" w:rsidP="00C10E33">
            <w:pPr>
              <w:pStyle w:val="Summarytabletextrightalignedbold"/>
              <w:rPr>
                <w:bCs/>
                <w:szCs w:val="16"/>
              </w:rPr>
            </w:pPr>
            <w:r w:rsidRPr="00625155">
              <w:rPr>
                <w:bCs/>
                <w:szCs w:val="16"/>
              </w:rPr>
              <w:t>1.9</w:t>
            </w:r>
          </w:p>
        </w:tc>
        <w:tc>
          <w:tcPr>
            <w:tcW w:w="850" w:type="dxa"/>
            <w:tcBorders>
              <w:top w:val="single" w:sz="4" w:space="0" w:color="auto"/>
              <w:bottom w:val="single" w:sz="4" w:space="0" w:color="auto"/>
            </w:tcBorders>
            <w:shd w:val="clear" w:color="auto" w:fill="F2F9FC"/>
            <w:vAlign w:val="bottom"/>
          </w:tcPr>
          <w:p w14:paraId="1965818F" w14:textId="275FF07D" w:rsidR="008023C5" w:rsidRPr="00625155" w:rsidRDefault="00660645" w:rsidP="00C10E33">
            <w:pPr>
              <w:pStyle w:val="Summarytabletextrightalignedbold"/>
              <w:rPr>
                <w:bCs/>
                <w:szCs w:val="16"/>
              </w:rPr>
            </w:pPr>
            <w:r>
              <w:rPr>
                <w:bCs/>
                <w:szCs w:val="16"/>
              </w:rPr>
              <w:noBreakHyphen/>
            </w:r>
            <w:r w:rsidR="008023C5" w:rsidRPr="00625155">
              <w:rPr>
                <w:bCs/>
                <w:szCs w:val="16"/>
              </w:rPr>
              <w:t>50.6</w:t>
            </w:r>
          </w:p>
        </w:tc>
        <w:tc>
          <w:tcPr>
            <w:tcW w:w="850" w:type="dxa"/>
            <w:tcBorders>
              <w:top w:val="single" w:sz="4" w:space="0" w:color="auto"/>
              <w:bottom w:val="single" w:sz="4" w:space="0" w:color="auto"/>
            </w:tcBorders>
            <w:vAlign w:val="bottom"/>
          </w:tcPr>
          <w:p w14:paraId="6628065E" w14:textId="6F90AF34" w:rsidR="008023C5" w:rsidRPr="00625155" w:rsidRDefault="00660645" w:rsidP="00C10E33">
            <w:pPr>
              <w:pStyle w:val="Summarytabletextrightalignedbold"/>
              <w:rPr>
                <w:bCs/>
                <w:szCs w:val="16"/>
              </w:rPr>
            </w:pPr>
            <w:r>
              <w:rPr>
                <w:bCs/>
                <w:szCs w:val="16"/>
              </w:rPr>
              <w:noBreakHyphen/>
            </w:r>
            <w:r w:rsidR="008023C5" w:rsidRPr="00625155">
              <w:rPr>
                <w:bCs/>
                <w:szCs w:val="16"/>
              </w:rPr>
              <w:t>97.0</w:t>
            </w:r>
          </w:p>
        </w:tc>
        <w:tc>
          <w:tcPr>
            <w:tcW w:w="850" w:type="dxa"/>
            <w:tcBorders>
              <w:top w:val="single" w:sz="4" w:space="0" w:color="auto"/>
              <w:bottom w:val="single" w:sz="4" w:space="0" w:color="auto"/>
            </w:tcBorders>
            <w:vAlign w:val="bottom"/>
          </w:tcPr>
          <w:p w14:paraId="28891F90" w14:textId="7E370262" w:rsidR="008023C5" w:rsidRPr="00625155" w:rsidRDefault="00660645" w:rsidP="00C10E33">
            <w:pPr>
              <w:pStyle w:val="Summarytabletextrightalignedbold"/>
              <w:rPr>
                <w:bCs/>
                <w:szCs w:val="16"/>
              </w:rPr>
            </w:pPr>
            <w:r>
              <w:rPr>
                <w:bCs/>
                <w:szCs w:val="16"/>
              </w:rPr>
              <w:noBreakHyphen/>
            </w:r>
            <w:r w:rsidR="008023C5" w:rsidRPr="00625155">
              <w:rPr>
                <w:bCs/>
                <w:szCs w:val="16"/>
              </w:rPr>
              <w:t>106.8</w:t>
            </w:r>
          </w:p>
        </w:tc>
        <w:tc>
          <w:tcPr>
            <w:tcW w:w="850" w:type="dxa"/>
            <w:tcBorders>
              <w:top w:val="single" w:sz="4" w:space="0" w:color="auto"/>
              <w:bottom w:val="single" w:sz="4" w:space="0" w:color="auto"/>
            </w:tcBorders>
            <w:vAlign w:val="bottom"/>
          </w:tcPr>
          <w:p w14:paraId="2F8CA1DE" w14:textId="41C54DB1" w:rsidR="008023C5" w:rsidRPr="00625155" w:rsidRDefault="00660645" w:rsidP="00C10E33">
            <w:pPr>
              <w:pStyle w:val="Summarytabletextrightalignedbold"/>
              <w:rPr>
                <w:bCs/>
                <w:szCs w:val="16"/>
              </w:rPr>
            </w:pPr>
            <w:r>
              <w:rPr>
                <w:bCs/>
                <w:szCs w:val="16"/>
              </w:rPr>
              <w:noBreakHyphen/>
            </w:r>
            <w:r w:rsidR="008023C5" w:rsidRPr="00625155">
              <w:rPr>
                <w:bCs/>
                <w:szCs w:val="16"/>
              </w:rPr>
              <w:t>110.2</w:t>
            </w:r>
          </w:p>
        </w:tc>
      </w:tr>
      <w:tr w:rsidR="008023C5" w:rsidRPr="00625155" w14:paraId="7086F731" w14:textId="77777777" w:rsidTr="00D700B4">
        <w:tc>
          <w:tcPr>
            <w:tcW w:w="3461" w:type="dxa"/>
            <w:shd w:val="clear" w:color="auto" w:fill="auto"/>
            <w:vAlign w:val="bottom"/>
          </w:tcPr>
          <w:p w14:paraId="19120DCD" w14:textId="77777777" w:rsidR="008023C5" w:rsidRPr="00625155" w:rsidRDefault="008023C5" w:rsidP="00C10E33">
            <w:pPr>
              <w:pStyle w:val="SummaryPortfolioTitle-BP2"/>
            </w:pPr>
            <w:r w:rsidRPr="00625155">
              <w:t>DEFENCE</w:t>
            </w:r>
          </w:p>
        </w:tc>
        <w:tc>
          <w:tcPr>
            <w:tcW w:w="850" w:type="dxa"/>
            <w:tcBorders>
              <w:top w:val="single" w:sz="4" w:space="0" w:color="auto"/>
            </w:tcBorders>
            <w:vAlign w:val="bottom"/>
          </w:tcPr>
          <w:p w14:paraId="64A83FFF"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shd w:val="clear" w:color="auto" w:fill="F2F9FC"/>
            <w:vAlign w:val="bottom"/>
          </w:tcPr>
          <w:p w14:paraId="25AC0144"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52B94932"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2939E58C" w14:textId="77777777" w:rsidR="008023C5" w:rsidRPr="00625155" w:rsidRDefault="008023C5" w:rsidP="00C10E33">
            <w:pPr>
              <w:pStyle w:val="MeasureTableTextRightAlignedBefore6ptAfter1pt"/>
              <w:rPr>
                <w:b/>
                <w:bCs/>
                <w:color w:val="auto"/>
              </w:rPr>
            </w:pPr>
          </w:p>
        </w:tc>
        <w:tc>
          <w:tcPr>
            <w:tcW w:w="850" w:type="dxa"/>
            <w:tcBorders>
              <w:top w:val="single" w:sz="4" w:space="0" w:color="auto"/>
            </w:tcBorders>
            <w:vAlign w:val="bottom"/>
          </w:tcPr>
          <w:p w14:paraId="2D27F24B" w14:textId="77777777" w:rsidR="008023C5" w:rsidRPr="00625155" w:rsidRDefault="008023C5" w:rsidP="00C10E33">
            <w:pPr>
              <w:pStyle w:val="MeasureTableTextRightAlignedBefore6ptAfter1pt"/>
              <w:rPr>
                <w:b/>
                <w:bCs/>
                <w:color w:val="auto"/>
              </w:rPr>
            </w:pPr>
          </w:p>
        </w:tc>
      </w:tr>
      <w:tr w:rsidR="008023C5" w:rsidRPr="00625155" w14:paraId="2C106A2D" w14:textId="77777777" w:rsidTr="00D700B4">
        <w:tc>
          <w:tcPr>
            <w:tcW w:w="3461" w:type="dxa"/>
            <w:shd w:val="clear" w:color="auto" w:fill="auto"/>
            <w:vAlign w:val="bottom"/>
          </w:tcPr>
          <w:p w14:paraId="04C60BBD" w14:textId="77777777" w:rsidR="008023C5" w:rsidRPr="00625155" w:rsidRDefault="008023C5" w:rsidP="00C10E33">
            <w:pPr>
              <w:pStyle w:val="SummaryAgencyTitle-BP2"/>
              <w:rPr>
                <w:iCs/>
              </w:rPr>
            </w:pPr>
            <w:r w:rsidRPr="00625155">
              <w:rPr>
                <w:iCs/>
              </w:rPr>
              <w:t>Department of Defence</w:t>
            </w:r>
          </w:p>
        </w:tc>
        <w:tc>
          <w:tcPr>
            <w:tcW w:w="850" w:type="dxa"/>
            <w:vAlign w:val="bottom"/>
          </w:tcPr>
          <w:p w14:paraId="3CBD0BBB" w14:textId="77777777" w:rsidR="008023C5" w:rsidRPr="00625155" w:rsidRDefault="008023C5" w:rsidP="00C10E33">
            <w:pPr>
              <w:pStyle w:val="SummaryAgencyTitle-BP2"/>
              <w:rPr>
                <w:iCs/>
              </w:rPr>
            </w:pPr>
          </w:p>
        </w:tc>
        <w:tc>
          <w:tcPr>
            <w:tcW w:w="850" w:type="dxa"/>
            <w:shd w:val="clear" w:color="auto" w:fill="F2F9FC"/>
            <w:vAlign w:val="bottom"/>
          </w:tcPr>
          <w:p w14:paraId="3B77D602" w14:textId="77777777" w:rsidR="008023C5" w:rsidRPr="00625155" w:rsidRDefault="008023C5" w:rsidP="00C10E33">
            <w:pPr>
              <w:pStyle w:val="SummaryAgencyTitle-BP2"/>
              <w:rPr>
                <w:iCs/>
              </w:rPr>
            </w:pPr>
          </w:p>
        </w:tc>
        <w:tc>
          <w:tcPr>
            <w:tcW w:w="850" w:type="dxa"/>
            <w:vAlign w:val="bottom"/>
          </w:tcPr>
          <w:p w14:paraId="7F59D2BB" w14:textId="77777777" w:rsidR="008023C5" w:rsidRPr="00625155" w:rsidRDefault="008023C5" w:rsidP="00C10E33">
            <w:pPr>
              <w:pStyle w:val="SummaryAgencyTitle-BP2"/>
              <w:rPr>
                <w:iCs/>
              </w:rPr>
            </w:pPr>
          </w:p>
        </w:tc>
        <w:tc>
          <w:tcPr>
            <w:tcW w:w="850" w:type="dxa"/>
            <w:vAlign w:val="bottom"/>
          </w:tcPr>
          <w:p w14:paraId="33F63F21" w14:textId="77777777" w:rsidR="008023C5" w:rsidRPr="00625155" w:rsidRDefault="008023C5" w:rsidP="00C10E33">
            <w:pPr>
              <w:pStyle w:val="SummaryAgencyTitle-BP2"/>
              <w:rPr>
                <w:iCs/>
              </w:rPr>
            </w:pPr>
          </w:p>
        </w:tc>
        <w:tc>
          <w:tcPr>
            <w:tcW w:w="850" w:type="dxa"/>
            <w:vAlign w:val="bottom"/>
          </w:tcPr>
          <w:p w14:paraId="08E09DBF" w14:textId="77777777" w:rsidR="008023C5" w:rsidRPr="00625155" w:rsidRDefault="008023C5" w:rsidP="00C10E33">
            <w:pPr>
              <w:pStyle w:val="SummaryAgencyTitle-BP2"/>
              <w:rPr>
                <w:iCs/>
              </w:rPr>
            </w:pPr>
          </w:p>
        </w:tc>
      </w:tr>
      <w:tr w:rsidR="008023C5" w:rsidRPr="00625155" w14:paraId="57D2EDD9" w14:textId="77777777" w:rsidTr="00D700B4">
        <w:tc>
          <w:tcPr>
            <w:tcW w:w="3461" w:type="dxa"/>
            <w:shd w:val="clear" w:color="auto" w:fill="auto"/>
            <w:vAlign w:val="bottom"/>
          </w:tcPr>
          <w:p w14:paraId="0CC60642" w14:textId="0DBE6AFB" w:rsidR="008023C5" w:rsidRPr="00625155" w:rsidRDefault="008023C5" w:rsidP="00C10E33">
            <w:pPr>
              <w:pStyle w:val="SummaryMeasureTitlewithTheme"/>
              <w:rPr>
                <w:color w:val="auto"/>
              </w:rPr>
            </w:pPr>
            <w:r w:rsidRPr="00625155">
              <w:rPr>
                <w:color w:val="auto"/>
              </w:rPr>
              <w:t>Assistance to Ukraine – additional(</w:t>
            </w:r>
            <w:r w:rsidR="0011539C">
              <w:rPr>
                <w:color w:val="auto"/>
              </w:rPr>
              <w:t>i</w:t>
            </w:r>
            <w:r w:rsidRPr="00625155">
              <w:rPr>
                <w:color w:val="auto"/>
              </w:rPr>
              <w:t>)</w:t>
            </w:r>
          </w:p>
        </w:tc>
        <w:tc>
          <w:tcPr>
            <w:tcW w:w="850" w:type="dxa"/>
            <w:vAlign w:val="bottom"/>
          </w:tcPr>
          <w:p w14:paraId="23EAD783" w14:textId="11D2A6B6" w:rsidR="008023C5" w:rsidRPr="00625155" w:rsidRDefault="00660645" w:rsidP="00C10E33">
            <w:pPr>
              <w:pStyle w:val="Summarytabletextrightaligned"/>
              <w:rPr>
                <w:szCs w:val="16"/>
              </w:rPr>
            </w:pPr>
            <w:r>
              <w:rPr>
                <w:szCs w:val="16"/>
              </w:rPr>
              <w:noBreakHyphen/>
            </w:r>
          </w:p>
        </w:tc>
        <w:tc>
          <w:tcPr>
            <w:tcW w:w="850" w:type="dxa"/>
            <w:shd w:val="clear" w:color="auto" w:fill="F2F9FC"/>
            <w:vAlign w:val="bottom"/>
          </w:tcPr>
          <w:p w14:paraId="035A85A6" w14:textId="43695136" w:rsidR="008023C5" w:rsidRPr="00625155" w:rsidRDefault="00660645" w:rsidP="00C10E33">
            <w:pPr>
              <w:pStyle w:val="Summarytabletextrightaligned"/>
              <w:rPr>
                <w:szCs w:val="16"/>
              </w:rPr>
            </w:pPr>
            <w:r>
              <w:rPr>
                <w:szCs w:val="16"/>
              </w:rPr>
              <w:noBreakHyphen/>
            </w:r>
          </w:p>
        </w:tc>
        <w:tc>
          <w:tcPr>
            <w:tcW w:w="850" w:type="dxa"/>
            <w:vAlign w:val="bottom"/>
          </w:tcPr>
          <w:p w14:paraId="42C5E89A" w14:textId="2B4B1CAF" w:rsidR="008023C5" w:rsidRPr="00625155" w:rsidRDefault="00660645" w:rsidP="00C10E33">
            <w:pPr>
              <w:pStyle w:val="Summarytabletextrightaligned"/>
              <w:rPr>
                <w:szCs w:val="16"/>
              </w:rPr>
            </w:pPr>
            <w:r>
              <w:rPr>
                <w:szCs w:val="16"/>
              </w:rPr>
              <w:noBreakHyphen/>
            </w:r>
          </w:p>
        </w:tc>
        <w:tc>
          <w:tcPr>
            <w:tcW w:w="850" w:type="dxa"/>
            <w:vAlign w:val="bottom"/>
          </w:tcPr>
          <w:p w14:paraId="3D7937BC" w14:textId="1B46F15D" w:rsidR="008023C5" w:rsidRPr="00625155" w:rsidRDefault="00660645" w:rsidP="00C10E33">
            <w:pPr>
              <w:pStyle w:val="Summarytabletextrightaligned"/>
              <w:rPr>
                <w:szCs w:val="16"/>
              </w:rPr>
            </w:pPr>
            <w:r>
              <w:rPr>
                <w:szCs w:val="16"/>
              </w:rPr>
              <w:noBreakHyphen/>
            </w:r>
          </w:p>
        </w:tc>
        <w:tc>
          <w:tcPr>
            <w:tcW w:w="850" w:type="dxa"/>
            <w:vAlign w:val="bottom"/>
          </w:tcPr>
          <w:p w14:paraId="6E5BEE54" w14:textId="027C41AB" w:rsidR="008023C5" w:rsidRPr="00625155" w:rsidRDefault="00660645" w:rsidP="00C10E33">
            <w:pPr>
              <w:pStyle w:val="Summarytabletextrightaligned"/>
              <w:rPr>
                <w:szCs w:val="16"/>
              </w:rPr>
            </w:pPr>
            <w:r>
              <w:rPr>
                <w:szCs w:val="16"/>
              </w:rPr>
              <w:noBreakHyphen/>
            </w:r>
          </w:p>
        </w:tc>
      </w:tr>
      <w:tr w:rsidR="008023C5" w:rsidRPr="00625155" w14:paraId="31077456" w14:textId="77777777" w:rsidTr="00D700B4">
        <w:tc>
          <w:tcPr>
            <w:tcW w:w="3461" w:type="dxa"/>
            <w:shd w:val="clear" w:color="auto" w:fill="auto"/>
            <w:vAlign w:val="bottom"/>
          </w:tcPr>
          <w:p w14:paraId="51FB75DF" w14:textId="46532009" w:rsidR="008023C5" w:rsidRPr="00625155" w:rsidRDefault="008023C5" w:rsidP="00C10E33">
            <w:pPr>
              <w:pStyle w:val="SummaryMeasureTitlewithTheme"/>
              <w:rPr>
                <w:color w:val="auto"/>
              </w:rPr>
            </w:pPr>
            <w:r w:rsidRPr="00625155">
              <w:rPr>
                <w:color w:val="auto"/>
              </w:rPr>
              <w:t>Cape Class patrol boats – acquisition(</w:t>
            </w:r>
            <w:r w:rsidR="0011539C">
              <w:rPr>
                <w:color w:val="auto"/>
              </w:rPr>
              <w:t>j</w:t>
            </w:r>
            <w:r w:rsidRPr="00625155">
              <w:rPr>
                <w:color w:val="auto"/>
              </w:rPr>
              <w:t>)</w:t>
            </w:r>
          </w:p>
        </w:tc>
        <w:tc>
          <w:tcPr>
            <w:tcW w:w="850" w:type="dxa"/>
            <w:vAlign w:val="bottom"/>
          </w:tcPr>
          <w:p w14:paraId="36E5D643" w14:textId="59329522" w:rsidR="008023C5" w:rsidRPr="00625155" w:rsidRDefault="00660645" w:rsidP="00C10E33">
            <w:pPr>
              <w:pStyle w:val="Summarytabletextrightaligned"/>
              <w:rPr>
                <w:szCs w:val="16"/>
              </w:rPr>
            </w:pPr>
            <w:r>
              <w:rPr>
                <w:szCs w:val="16"/>
              </w:rPr>
              <w:noBreakHyphen/>
            </w:r>
          </w:p>
        </w:tc>
        <w:tc>
          <w:tcPr>
            <w:tcW w:w="850" w:type="dxa"/>
            <w:shd w:val="clear" w:color="auto" w:fill="F2F9FC"/>
            <w:vAlign w:val="bottom"/>
          </w:tcPr>
          <w:p w14:paraId="2A59918C" w14:textId="259C17B8" w:rsidR="008023C5" w:rsidRPr="00625155" w:rsidRDefault="00660645" w:rsidP="00C10E33">
            <w:pPr>
              <w:pStyle w:val="Summarytabletextrightaligned"/>
              <w:rPr>
                <w:szCs w:val="16"/>
              </w:rPr>
            </w:pPr>
            <w:r>
              <w:rPr>
                <w:szCs w:val="16"/>
              </w:rPr>
              <w:noBreakHyphen/>
            </w:r>
          </w:p>
        </w:tc>
        <w:tc>
          <w:tcPr>
            <w:tcW w:w="850" w:type="dxa"/>
            <w:vAlign w:val="bottom"/>
          </w:tcPr>
          <w:p w14:paraId="49316D18" w14:textId="60AD5833" w:rsidR="008023C5" w:rsidRPr="00625155" w:rsidRDefault="00660645" w:rsidP="00C10E33">
            <w:pPr>
              <w:pStyle w:val="Summarytabletextrightaligned"/>
              <w:rPr>
                <w:szCs w:val="16"/>
              </w:rPr>
            </w:pPr>
            <w:r>
              <w:rPr>
                <w:szCs w:val="16"/>
              </w:rPr>
              <w:noBreakHyphen/>
            </w:r>
          </w:p>
        </w:tc>
        <w:tc>
          <w:tcPr>
            <w:tcW w:w="850" w:type="dxa"/>
            <w:vAlign w:val="bottom"/>
          </w:tcPr>
          <w:p w14:paraId="08330544" w14:textId="0AC5129C" w:rsidR="008023C5" w:rsidRPr="00625155" w:rsidRDefault="00660645" w:rsidP="00C10E33">
            <w:pPr>
              <w:pStyle w:val="Summarytabletextrightaligned"/>
              <w:rPr>
                <w:szCs w:val="16"/>
              </w:rPr>
            </w:pPr>
            <w:r>
              <w:rPr>
                <w:szCs w:val="16"/>
              </w:rPr>
              <w:noBreakHyphen/>
            </w:r>
          </w:p>
        </w:tc>
        <w:tc>
          <w:tcPr>
            <w:tcW w:w="850" w:type="dxa"/>
            <w:vAlign w:val="bottom"/>
          </w:tcPr>
          <w:p w14:paraId="285DC97C" w14:textId="35C5CB79" w:rsidR="008023C5" w:rsidRPr="00625155" w:rsidRDefault="00660645" w:rsidP="00C10E33">
            <w:pPr>
              <w:pStyle w:val="Summarytabletextrightaligned"/>
              <w:rPr>
                <w:szCs w:val="16"/>
              </w:rPr>
            </w:pPr>
            <w:r>
              <w:rPr>
                <w:szCs w:val="16"/>
              </w:rPr>
              <w:noBreakHyphen/>
            </w:r>
          </w:p>
        </w:tc>
      </w:tr>
      <w:tr w:rsidR="008023C5" w:rsidRPr="00625155" w14:paraId="3B2DC991" w14:textId="77777777" w:rsidTr="00D700B4">
        <w:tc>
          <w:tcPr>
            <w:tcW w:w="3461" w:type="dxa"/>
            <w:shd w:val="clear" w:color="auto" w:fill="auto"/>
            <w:vAlign w:val="bottom"/>
          </w:tcPr>
          <w:p w14:paraId="0606DC5D" w14:textId="7DF41F30" w:rsidR="008023C5" w:rsidRPr="00625155" w:rsidRDefault="008023C5" w:rsidP="00C10E33">
            <w:pPr>
              <w:pStyle w:val="SummaryMeasureTitlewithTheme"/>
              <w:rPr>
                <w:color w:val="auto"/>
              </w:rPr>
            </w:pPr>
            <w:r w:rsidRPr="00625155">
              <w:rPr>
                <w:color w:val="auto"/>
              </w:rPr>
              <w:t>Defence Force Retirement and Death Pensions(</w:t>
            </w:r>
            <w:r w:rsidR="0011539C">
              <w:rPr>
                <w:color w:val="auto"/>
              </w:rPr>
              <w:t>k</w:t>
            </w:r>
            <w:r w:rsidRPr="00625155">
              <w:rPr>
                <w:color w:val="auto"/>
              </w:rPr>
              <w:t>)</w:t>
            </w:r>
          </w:p>
        </w:tc>
        <w:tc>
          <w:tcPr>
            <w:tcW w:w="850" w:type="dxa"/>
            <w:vAlign w:val="bottom"/>
          </w:tcPr>
          <w:p w14:paraId="50409C73" w14:textId="433BB162" w:rsidR="008023C5" w:rsidRPr="00625155" w:rsidRDefault="00660645" w:rsidP="00C10E33">
            <w:pPr>
              <w:pStyle w:val="Summarytabletextrightaligned"/>
              <w:rPr>
                <w:szCs w:val="16"/>
              </w:rPr>
            </w:pPr>
            <w:r>
              <w:rPr>
                <w:szCs w:val="16"/>
              </w:rPr>
              <w:noBreakHyphen/>
            </w:r>
          </w:p>
        </w:tc>
        <w:tc>
          <w:tcPr>
            <w:tcW w:w="850" w:type="dxa"/>
            <w:shd w:val="clear" w:color="auto" w:fill="F2F9FC"/>
            <w:vAlign w:val="bottom"/>
          </w:tcPr>
          <w:p w14:paraId="59BEB840" w14:textId="76EDF6DD" w:rsidR="008023C5" w:rsidRPr="00625155" w:rsidRDefault="00660645" w:rsidP="00C10E33">
            <w:pPr>
              <w:pStyle w:val="Summarytabletextrightaligned"/>
              <w:rPr>
                <w:szCs w:val="16"/>
              </w:rPr>
            </w:pPr>
            <w:r>
              <w:rPr>
                <w:szCs w:val="16"/>
              </w:rPr>
              <w:noBreakHyphen/>
            </w:r>
          </w:p>
        </w:tc>
        <w:tc>
          <w:tcPr>
            <w:tcW w:w="850" w:type="dxa"/>
            <w:vAlign w:val="bottom"/>
          </w:tcPr>
          <w:p w14:paraId="04AF4C3D" w14:textId="694201C3" w:rsidR="008023C5" w:rsidRPr="00625155" w:rsidRDefault="00660645" w:rsidP="00C10E33">
            <w:pPr>
              <w:pStyle w:val="Summarytabletextrightaligned"/>
              <w:rPr>
                <w:szCs w:val="16"/>
              </w:rPr>
            </w:pPr>
            <w:r>
              <w:rPr>
                <w:szCs w:val="16"/>
              </w:rPr>
              <w:noBreakHyphen/>
            </w:r>
          </w:p>
        </w:tc>
        <w:tc>
          <w:tcPr>
            <w:tcW w:w="850" w:type="dxa"/>
            <w:vAlign w:val="bottom"/>
          </w:tcPr>
          <w:p w14:paraId="540C8398" w14:textId="5BD85C43" w:rsidR="008023C5" w:rsidRPr="00625155" w:rsidRDefault="00660645" w:rsidP="00C10E33">
            <w:pPr>
              <w:pStyle w:val="Summarytabletextrightaligned"/>
              <w:rPr>
                <w:szCs w:val="16"/>
              </w:rPr>
            </w:pPr>
            <w:r>
              <w:rPr>
                <w:szCs w:val="16"/>
              </w:rPr>
              <w:noBreakHyphen/>
            </w:r>
          </w:p>
        </w:tc>
        <w:tc>
          <w:tcPr>
            <w:tcW w:w="850" w:type="dxa"/>
            <w:vAlign w:val="bottom"/>
          </w:tcPr>
          <w:p w14:paraId="7F214A56" w14:textId="57B7C779" w:rsidR="008023C5" w:rsidRPr="00625155" w:rsidRDefault="00660645" w:rsidP="00C10E33">
            <w:pPr>
              <w:pStyle w:val="Summarytabletextrightaligned"/>
              <w:rPr>
                <w:szCs w:val="16"/>
              </w:rPr>
            </w:pPr>
            <w:r>
              <w:rPr>
                <w:szCs w:val="16"/>
              </w:rPr>
              <w:noBreakHyphen/>
            </w:r>
          </w:p>
        </w:tc>
      </w:tr>
      <w:tr w:rsidR="008023C5" w:rsidRPr="00625155" w14:paraId="662734D6" w14:textId="77777777" w:rsidTr="00D700B4">
        <w:tc>
          <w:tcPr>
            <w:tcW w:w="3461" w:type="dxa"/>
            <w:tcBorders>
              <w:bottom w:val="single" w:sz="4" w:space="0" w:color="auto"/>
            </w:tcBorders>
            <w:shd w:val="clear" w:color="auto" w:fill="auto"/>
            <w:vAlign w:val="bottom"/>
          </w:tcPr>
          <w:p w14:paraId="669A911F" w14:textId="77777777" w:rsidR="008023C5" w:rsidRPr="00625155" w:rsidRDefault="008023C5" w:rsidP="00C10E33">
            <w:pPr>
              <w:pStyle w:val="Summarytabletextleftalignedbold"/>
              <w:rPr>
                <w:color w:val="auto"/>
              </w:rPr>
            </w:pPr>
            <w:r w:rsidRPr="00625155">
              <w:rPr>
                <w:color w:val="auto"/>
              </w:rPr>
              <w:t>Portfolio total</w:t>
            </w:r>
          </w:p>
        </w:tc>
        <w:tc>
          <w:tcPr>
            <w:tcW w:w="850" w:type="dxa"/>
            <w:tcBorders>
              <w:top w:val="single" w:sz="4" w:space="0" w:color="auto"/>
              <w:bottom w:val="single" w:sz="4" w:space="0" w:color="auto"/>
            </w:tcBorders>
            <w:vAlign w:val="bottom"/>
          </w:tcPr>
          <w:p w14:paraId="52BE3D1C" w14:textId="16B39CF6"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shd w:val="clear" w:color="auto" w:fill="F2F9FC"/>
            <w:vAlign w:val="bottom"/>
          </w:tcPr>
          <w:p w14:paraId="673B35C2" w14:textId="2CBC6E3B"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658A4477" w14:textId="788F63CC"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04718624" w14:textId="5386B0E9" w:rsidR="008023C5" w:rsidRPr="00625155" w:rsidRDefault="00660645" w:rsidP="00C10E33">
            <w:pPr>
              <w:pStyle w:val="Summarytabletextrightalignedbold"/>
              <w:rPr>
                <w:bCs/>
                <w:szCs w:val="16"/>
              </w:rPr>
            </w:pPr>
            <w:r>
              <w:rPr>
                <w:bCs/>
                <w:szCs w:val="16"/>
              </w:rPr>
              <w:noBreakHyphen/>
            </w:r>
          </w:p>
        </w:tc>
        <w:tc>
          <w:tcPr>
            <w:tcW w:w="850" w:type="dxa"/>
            <w:tcBorders>
              <w:top w:val="single" w:sz="4" w:space="0" w:color="auto"/>
              <w:bottom w:val="single" w:sz="4" w:space="0" w:color="auto"/>
            </w:tcBorders>
            <w:vAlign w:val="bottom"/>
          </w:tcPr>
          <w:p w14:paraId="1233BEB1" w14:textId="6692729B" w:rsidR="008023C5" w:rsidRPr="00625155" w:rsidRDefault="00660645" w:rsidP="00C10E33">
            <w:pPr>
              <w:pStyle w:val="Summarytabletextrightalignedbold"/>
              <w:rPr>
                <w:bCs/>
                <w:szCs w:val="16"/>
              </w:rPr>
            </w:pPr>
            <w:r>
              <w:rPr>
                <w:bCs/>
                <w:szCs w:val="16"/>
              </w:rPr>
              <w:noBreakHyphen/>
            </w:r>
          </w:p>
        </w:tc>
      </w:tr>
    </w:tbl>
    <w:p w14:paraId="40C21409" w14:textId="0A6A6587" w:rsidR="00AD376D" w:rsidRPr="00625155" w:rsidRDefault="00076460" w:rsidP="00AD376D">
      <w:pPr>
        <w:pStyle w:val="TableHeadingcontinued"/>
        <w:rPr>
          <w:bCs/>
        </w:rPr>
      </w:pPr>
      <w:r w:rsidRPr="00625155">
        <w:br w:type="page"/>
        <w:t xml:space="preserve">Table B2: </w:t>
      </w:r>
      <w:r w:rsidR="00F56B5C" w:rsidRPr="00625155">
        <w:t>Payment</w:t>
      </w:r>
      <w:r w:rsidRPr="00625155">
        <w:t xml:space="preserve"> measures since the 2022</w:t>
      </w:r>
      <w:r w:rsidR="00660645">
        <w:noBreakHyphen/>
      </w:r>
      <w:r w:rsidRPr="00625155">
        <w:t>23 Budget</w:t>
      </w:r>
      <w:r w:rsidR="00AD376D" w:rsidRPr="00625155">
        <w:rPr>
          <w:rFonts w:ascii="Cambria Math" w:hAnsi="Cambria Math" w:cs="Cambria Math"/>
        </w:rPr>
        <w:t>⁽</w:t>
      </w:r>
      <w:r w:rsidR="00AD376D" w:rsidRPr="00625155">
        <w:rPr>
          <w:rFonts w:cs="Arial"/>
        </w:rPr>
        <w:t>ª</w:t>
      </w:r>
      <w:r w:rsidR="00AD376D" w:rsidRPr="00625155">
        <w:rPr>
          <w:rFonts w:ascii="Cambria Math" w:hAnsi="Cambria Math" w:cs="Cambria Math"/>
        </w:rPr>
        <w:t>⁾</w:t>
      </w:r>
      <w:r w:rsidR="00AD376D" w:rsidRPr="00625155">
        <w:t xml:space="preserve"> (continued)</w:t>
      </w:r>
    </w:p>
    <w:tbl>
      <w:tblPr>
        <w:tblW w:w="5000" w:type="pct"/>
        <w:tblLayout w:type="fixed"/>
        <w:tblCellMar>
          <w:left w:w="0" w:type="dxa"/>
          <w:right w:w="57" w:type="dxa"/>
        </w:tblCellMar>
        <w:tblLook w:val="0000" w:firstRow="0" w:lastRow="0" w:firstColumn="0" w:lastColumn="0" w:noHBand="0" w:noVBand="0"/>
      </w:tblPr>
      <w:tblGrid>
        <w:gridCol w:w="3464"/>
        <w:gridCol w:w="849"/>
        <w:gridCol w:w="849"/>
        <w:gridCol w:w="849"/>
        <w:gridCol w:w="849"/>
        <w:gridCol w:w="849"/>
      </w:tblGrid>
      <w:tr w:rsidR="00AD376D" w:rsidRPr="00625155" w14:paraId="4F247284" w14:textId="77777777" w:rsidTr="004F79EE">
        <w:tc>
          <w:tcPr>
            <w:tcW w:w="3464" w:type="dxa"/>
            <w:tcBorders>
              <w:top w:val="single" w:sz="4" w:space="0" w:color="auto"/>
            </w:tcBorders>
            <w:shd w:val="clear" w:color="auto" w:fill="auto"/>
            <w:vAlign w:val="bottom"/>
          </w:tcPr>
          <w:p w14:paraId="70876FD6" w14:textId="77777777" w:rsidR="00AD376D" w:rsidRPr="00625155" w:rsidRDefault="00AD376D" w:rsidP="00C10E33">
            <w:pPr>
              <w:pStyle w:val="Summarytabletextrightaligned"/>
            </w:pPr>
          </w:p>
        </w:tc>
        <w:tc>
          <w:tcPr>
            <w:tcW w:w="849" w:type="dxa"/>
            <w:tcBorders>
              <w:top w:val="single" w:sz="4" w:space="0" w:color="auto"/>
            </w:tcBorders>
            <w:vAlign w:val="bottom"/>
          </w:tcPr>
          <w:p w14:paraId="16DA6B64" w14:textId="6F3D7AB5" w:rsidR="00AD376D" w:rsidRPr="00625155" w:rsidRDefault="00AD376D" w:rsidP="00C10E33">
            <w:pPr>
              <w:pStyle w:val="Summarytabletextrightaligned"/>
            </w:pPr>
            <w:r w:rsidRPr="00625155">
              <w:t>2021</w:t>
            </w:r>
            <w:r w:rsidR="00660645">
              <w:noBreakHyphen/>
            </w:r>
            <w:r w:rsidRPr="00625155">
              <w:t>22</w:t>
            </w:r>
          </w:p>
        </w:tc>
        <w:tc>
          <w:tcPr>
            <w:tcW w:w="849" w:type="dxa"/>
            <w:tcBorders>
              <w:top w:val="single" w:sz="4" w:space="0" w:color="auto"/>
            </w:tcBorders>
            <w:shd w:val="clear" w:color="auto" w:fill="F2F9FC"/>
            <w:vAlign w:val="bottom"/>
          </w:tcPr>
          <w:p w14:paraId="54569E8A" w14:textId="2E5C4E40" w:rsidR="00AD376D" w:rsidRPr="00625155" w:rsidRDefault="00AD376D" w:rsidP="00C10E33">
            <w:pPr>
              <w:pStyle w:val="Summarytabletextrightaligned"/>
            </w:pPr>
            <w:r w:rsidRPr="00625155">
              <w:t>2022</w:t>
            </w:r>
            <w:r w:rsidR="00660645">
              <w:noBreakHyphen/>
            </w:r>
            <w:r w:rsidRPr="00625155">
              <w:t>23</w:t>
            </w:r>
          </w:p>
        </w:tc>
        <w:tc>
          <w:tcPr>
            <w:tcW w:w="849" w:type="dxa"/>
            <w:tcBorders>
              <w:top w:val="single" w:sz="4" w:space="0" w:color="auto"/>
            </w:tcBorders>
            <w:vAlign w:val="bottom"/>
          </w:tcPr>
          <w:p w14:paraId="1A0CEB5A" w14:textId="04B3730A" w:rsidR="00AD376D" w:rsidRPr="00625155" w:rsidRDefault="00AD376D" w:rsidP="00C10E33">
            <w:pPr>
              <w:pStyle w:val="Summarytabletextrightaligned"/>
            </w:pPr>
            <w:r w:rsidRPr="00625155">
              <w:t>2023</w:t>
            </w:r>
            <w:r w:rsidR="00660645">
              <w:noBreakHyphen/>
            </w:r>
            <w:r w:rsidRPr="00625155">
              <w:t>24</w:t>
            </w:r>
          </w:p>
        </w:tc>
        <w:tc>
          <w:tcPr>
            <w:tcW w:w="849" w:type="dxa"/>
            <w:tcBorders>
              <w:top w:val="single" w:sz="4" w:space="0" w:color="auto"/>
            </w:tcBorders>
            <w:vAlign w:val="bottom"/>
          </w:tcPr>
          <w:p w14:paraId="7CAD9FA7" w14:textId="066C60C4" w:rsidR="00AD376D" w:rsidRPr="00625155" w:rsidRDefault="00AD376D" w:rsidP="00C10E33">
            <w:pPr>
              <w:pStyle w:val="Summarytabletextrightaligned"/>
            </w:pPr>
            <w:r w:rsidRPr="00625155">
              <w:t>2024</w:t>
            </w:r>
            <w:r w:rsidR="00660645">
              <w:noBreakHyphen/>
            </w:r>
            <w:r w:rsidRPr="00625155">
              <w:t>25</w:t>
            </w:r>
          </w:p>
        </w:tc>
        <w:tc>
          <w:tcPr>
            <w:tcW w:w="849" w:type="dxa"/>
            <w:tcBorders>
              <w:top w:val="single" w:sz="4" w:space="0" w:color="auto"/>
            </w:tcBorders>
            <w:vAlign w:val="bottom"/>
          </w:tcPr>
          <w:p w14:paraId="2BD2C035" w14:textId="68D5EF11" w:rsidR="00AD376D" w:rsidRPr="00625155" w:rsidRDefault="00AD376D" w:rsidP="00C10E33">
            <w:pPr>
              <w:pStyle w:val="Summarytabletextrightaligned"/>
            </w:pPr>
            <w:r w:rsidRPr="00625155">
              <w:t>2025</w:t>
            </w:r>
            <w:r w:rsidR="00660645">
              <w:noBreakHyphen/>
            </w:r>
            <w:r w:rsidRPr="00625155">
              <w:t>26</w:t>
            </w:r>
          </w:p>
        </w:tc>
      </w:tr>
      <w:tr w:rsidR="00AD376D" w:rsidRPr="00625155" w14:paraId="450CD97D" w14:textId="77777777" w:rsidTr="004F79EE">
        <w:tc>
          <w:tcPr>
            <w:tcW w:w="3464" w:type="dxa"/>
            <w:shd w:val="clear" w:color="auto" w:fill="auto"/>
            <w:vAlign w:val="bottom"/>
          </w:tcPr>
          <w:p w14:paraId="444A13CF" w14:textId="77777777" w:rsidR="00AD376D" w:rsidRPr="00625155" w:rsidRDefault="00AD376D" w:rsidP="00C10E33">
            <w:pPr>
              <w:pStyle w:val="Summarytabletextrightaligned"/>
            </w:pPr>
          </w:p>
        </w:tc>
        <w:tc>
          <w:tcPr>
            <w:tcW w:w="849" w:type="dxa"/>
            <w:tcBorders>
              <w:bottom w:val="single" w:sz="4" w:space="0" w:color="auto"/>
            </w:tcBorders>
            <w:vAlign w:val="bottom"/>
          </w:tcPr>
          <w:p w14:paraId="68E6CE94" w14:textId="77777777" w:rsidR="00AD376D" w:rsidRPr="00625155" w:rsidRDefault="00AD376D" w:rsidP="00C10E33">
            <w:pPr>
              <w:pStyle w:val="Summarytabletextrightaligned"/>
            </w:pPr>
            <w:r w:rsidRPr="00625155">
              <w:t>$m</w:t>
            </w:r>
          </w:p>
        </w:tc>
        <w:tc>
          <w:tcPr>
            <w:tcW w:w="849" w:type="dxa"/>
            <w:tcBorders>
              <w:bottom w:val="single" w:sz="4" w:space="0" w:color="auto"/>
            </w:tcBorders>
            <w:shd w:val="clear" w:color="auto" w:fill="F2F9FC"/>
            <w:vAlign w:val="bottom"/>
          </w:tcPr>
          <w:p w14:paraId="798FF08F" w14:textId="77777777" w:rsidR="00AD376D" w:rsidRPr="00625155" w:rsidRDefault="00AD376D" w:rsidP="00C10E33">
            <w:pPr>
              <w:pStyle w:val="Summarytabletextrightaligned"/>
            </w:pPr>
            <w:r w:rsidRPr="00625155">
              <w:t>$m</w:t>
            </w:r>
          </w:p>
        </w:tc>
        <w:tc>
          <w:tcPr>
            <w:tcW w:w="849" w:type="dxa"/>
            <w:tcBorders>
              <w:bottom w:val="single" w:sz="4" w:space="0" w:color="auto"/>
            </w:tcBorders>
            <w:vAlign w:val="bottom"/>
          </w:tcPr>
          <w:p w14:paraId="220C9443" w14:textId="77777777" w:rsidR="00AD376D" w:rsidRPr="00625155" w:rsidRDefault="00AD376D" w:rsidP="00C10E33">
            <w:pPr>
              <w:pStyle w:val="Summarytabletextrightaligned"/>
            </w:pPr>
            <w:r w:rsidRPr="00625155">
              <w:t>$m</w:t>
            </w:r>
          </w:p>
        </w:tc>
        <w:tc>
          <w:tcPr>
            <w:tcW w:w="849" w:type="dxa"/>
            <w:tcBorders>
              <w:bottom w:val="single" w:sz="4" w:space="0" w:color="auto"/>
            </w:tcBorders>
            <w:vAlign w:val="bottom"/>
          </w:tcPr>
          <w:p w14:paraId="57A0A0FC" w14:textId="77777777" w:rsidR="00AD376D" w:rsidRPr="00625155" w:rsidRDefault="00AD376D" w:rsidP="00C10E33">
            <w:pPr>
              <w:pStyle w:val="Summarytabletextrightaligned"/>
            </w:pPr>
            <w:r w:rsidRPr="00625155">
              <w:t>$m</w:t>
            </w:r>
          </w:p>
        </w:tc>
        <w:tc>
          <w:tcPr>
            <w:tcW w:w="849" w:type="dxa"/>
            <w:tcBorders>
              <w:bottom w:val="single" w:sz="4" w:space="0" w:color="auto"/>
            </w:tcBorders>
            <w:vAlign w:val="bottom"/>
          </w:tcPr>
          <w:p w14:paraId="484CCACC" w14:textId="77777777" w:rsidR="00AD376D" w:rsidRPr="00625155" w:rsidRDefault="00AD376D" w:rsidP="00C10E33">
            <w:pPr>
              <w:pStyle w:val="Summarytabletextrightaligned"/>
            </w:pPr>
            <w:r w:rsidRPr="00625155">
              <w:t>$m</w:t>
            </w:r>
          </w:p>
        </w:tc>
      </w:tr>
      <w:tr w:rsidR="00AD376D" w:rsidRPr="00625155" w14:paraId="03791594" w14:textId="77777777" w:rsidTr="004F79EE">
        <w:tc>
          <w:tcPr>
            <w:tcW w:w="3464" w:type="dxa"/>
            <w:shd w:val="clear" w:color="auto" w:fill="auto"/>
            <w:vAlign w:val="bottom"/>
          </w:tcPr>
          <w:p w14:paraId="19006109" w14:textId="77777777" w:rsidR="00AD376D" w:rsidRPr="00625155" w:rsidRDefault="00AD376D" w:rsidP="00C10E33">
            <w:pPr>
              <w:pStyle w:val="SummaryPortfolioTitle-BP2"/>
            </w:pPr>
            <w:r w:rsidRPr="00625155">
              <w:t>EDUCATION, SKILLS AND EMPLOYMENT</w:t>
            </w:r>
          </w:p>
        </w:tc>
        <w:tc>
          <w:tcPr>
            <w:tcW w:w="849" w:type="dxa"/>
            <w:tcBorders>
              <w:top w:val="single" w:sz="4" w:space="0" w:color="auto"/>
            </w:tcBorders>
            <w:vAlign w:val="bottom"/>
          </w:tcPr>
          <w:p w14:paraId="3E975AD4"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4F845892"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2346C5E9"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6D23528F"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7F232CC2" w14:textId="77777777" w:rsidR="00AD376D" w:rsidRPr="00625155" w:rsidRDefault="00AD376D" w:rsidP="00C10E33">
            <w:pPr>
              <w:pStyle w:val="MeasureTableTextRightAlignedBefore6ptAfter1pt"/>
              <w:rPr>
                <w:b/>
                <w:bCs/>
                <w:color w:val="auto"/>
              </w:rPr>
            </w:pPr>
          </w:p>
        </w:tc>
      </w:tr>
      <w:tr w:rsidR="00AD376D" w:rsidRPr="00625155" w14:paraId="2B6948F7" w14:textId="77777777" w:rsidTr="004F79EE">
        <w:tc>
          <w:tcPr>
            <w:tcW w:w="3464" w:type="dxa"/>
            <w:shd w:val="clear" w:color="auto" w:fill="auto"/>
            <w:vAlign w:val="bottom"/>
          </w:tcPr>
          <w:p w14:paraId="573D6F0F" w14:textId="77777777" w:rsidR="00AD376D" w:rsidRPr="00625155" w:rsidRDefault="00AD376D" w:rsidP="00C10E33">
            <w:pPr>
              <w:pStyle w:val="SummaryAgencyTitle-BP2"/>
              <w:rPr>
                <w:iCs/>
              </w:rPr>
            </w:pPr>
            <w:r w:rsidRPr="00625155">
              <w:rPr>
                <w:iCs/>
              </w:rPr>
              <w:t>Department of Education, Skills and Employment</w:t>
            </w:r>
          </w:p>
        </w:tc>
        <w:tc>
          <w:tcPr>
            <w:tcW w:w="849" w:type="dxa"/>
            <w:vAlign w:val="bottom"/>
          </w:tcPr>
          <w:p w14:paraId="6ADA774D" w14:textId="77777777" w:rsidR="00AD376D" w:rsidRPr="00625155" w:rsidRDefault="00AD376D" w:rsidP="00C10E33">
            <w:pPr>
              <w:pStyle w:val="SummaryAgencyTitle-BP2"/>
              <w:rPr>
                <w:iCs/>
              </w:rPr>
            </w:pPr>
          </w:p>
        </w:tc>
        <w:tc>
          <w:tcPr>
            <w:tcW w:w="849" w:type="dxa"/>
            <w:shd w:val="clear" w:color="auto" w:fill="F2F9FC"/>
            <w:vAlign w:val="bottom"/>
          </w:tcPr>
          <w:p w14:paraId="5A1FB18B" w14:textId="77777777" w:rsidR="00AD376D" w:rsidRPr="00625155" w:rsidRDefault="00AD376D" w:rsidP="00C10E33">
            <w:pPr>
              <w:pStyle w:val="SummaryAgencyTitle-BP2"/>
              <w:rPr>
                <w:iCs/>
              </w:rPr>
            </w:pPr>
          </w:p>
        </w:tc>
        <w:tc>
          <w:tcPr>
            <w:tcW w:w="849" w:type="dxa"/>
            <w:vAlign w:val="bottom"/>
          </w:tcPr>
          <w:p w14:paraId="0CEB02FB" w14:textId="77777777" w:rsidR="00AD376D" w:rsidRPr="00625155" w:rsidRDefault="00AD376D" w:rsidP="00C10E33">
            <w:pPr>
              <w:pStyle w:val="SummaryAgencyTitle-BP2"/>
              <w:rPr>
                <w:iCs/>
              </w:rPr>
            </w:pPr>
          </w:p>
        </w:tc>
        <w:tc>
          <w:tcPr>
            <w:tcW w:w="849" w:type="dxa"/>
            <w:vAlign w:val="bottom"/>
          </w:tcPr>
          <w:p w14:paraId="2EDE16B9" w14:textId="77777777" w:rsidR="00AD376D" w:rsidRPr="00625155" w:rsidRDefault="00AD376D" w:rsidP="00C10E33">
            <w:pPr>
              <w:pStyle w:val="SummaryAgencyTitle-BP2"/>
              <w:rPr>
                <w:iCs/>
              </w:rPr>
            </w:pPr>
          </w:p>
        </w:tc>
        <w:tc>
          <w:tcPr>
            <w:tcW w:w="849" w:type="dxa"/>
            <w:vAlign w:val="bottom"/>
          </w:tcPr>
          <w:p w14:paraId="191A923F" w14:textId="77777777" w:rsidR="00AD376D" w:rsidRPr="00625155" w:rsidRDefault="00AD376D" w:rsidP="00C10E33">
            <w:pPr>
              <w:pStyle w:val="SummaryAgencyTitle-BP2"/>
              <w:rPr>
                <w:iCs/>
              </w:rPr>
            </w:pPr>
          </w:p>
        </w:tc>
      </w:tr>
      <w:tr w:rsidR="00AD376D" w:rsidRPr="00625155" w14:paraId="037034FA" w14:textId="77777777" w:rsidTr="004F79EE">
        <w:tc>
          <w:tcPr>
            <w:tcW w:w="3464" w:type="dxa"/>
            <w:shd w:val="clear" w:color="auto" w:fill="auto"/>
            <w:vAlign w:val="bottom"/>
          </w:tcPr>
          <w:p w14:paraId="0120E98D" w14:textId="51A26CFA" w:rsidR="00AD376D" w:rsidRPr="00625155" w:rsidRDefault="00AD376D" w:rsidP="00C10E33">
            <w:pPr>
              <w:pStyle w:val="SummaryMeasureTitlewithTheme"/>
              <w:rPr>
                <w:color w:val="auto"/>
              </w:rPr>
            </w:pPr>
            <w:r w:rsidRPr="00625155">
              <w:rPr>
                <w:color w:val="auto"/>
              </w:rPr>
              <w:t>Virtual Production Pilot Program(</w:t>
            </w:r>
            <w:r w:rsidR="0011539C">
              <w:rPr>
                <w:color w:val="auto"/>
              </w:rPr>
              <w:t>l</w:t>
            </w:r>
            <w:r w:rsidRPr="00625155">
              <w:rPr>
                <w:color w:val="auto"/>
              </w:rPr>
              <w:t>)</w:t>
            </w:r>
          </w:p>
        </w:tc>
        <w:tc>
          <w:tcPr>
            <w:tcW w:w="849" w:type="dxa"/>
            <w:vAlign w:val="bottom"/>
          </w:tcPr>
          <w:p w14:paraId="66AC7414" w14:textId="4E70FAE1" w:rsidR="00AD376D" w:rsidRPr="00625155" w:rsidRDefault="00660645" w:rsidP="00C10E33">
            <w:pPr>
              <w:pStyle w:val="Summarytabletextrightaligned"/>
              <w:rPr>
                <w:szCs w:val="16"/>
              </w:rPr>
            </w:pPr>
            <w:r>
              <w:rPr>
                <w:szCs w:val="16"/>
              </w:rPr>
              <w:noBreakHyphen/>
            </w:r>
          </w:p>
        </w:tc>
        <w:tc>
          <w:tcPr>
            <w:tcW w:w="849" w:type="dxa"/>
            <w:shd w:val="clear" w:color="auto" w:fill="F2F9FC"/>
            <w:vAlign w:val="bottom"/>
          </w:tcPr>
          <w:p w14:paraId="00EE0367" w14:textId="6A2A72D0" w:rsidR="00AD376D" w:rsidRPr="00625155" w:rsidRDefault="00660645" w:rsidP="00C10E33">
            <w:pPr>
              <w:pStyle w:val="Summarytabletextrightaligned"/>
              <w:rPr>
                <w:szCs w:val="16"/>
              </w:rPr>
            </w:pPr>
            <w:r>
              <w:rPr>
                <w:szCs w:val="16"/>
              </w:rPr>
              <w:noBreakHyphen/>
            </w:r>
          </w:p>
        </w:tc>
        <w:tc>
          <w:tcPr>
            <w:tcW w:w="849" w:type="dxa"/>
            <w:vAlign w:val="bottom"/>
          </w:tcPr>
          <w:p w14:paraId="46054715" w14:textId="47F8932B" w:rsidR="00AD376D" w:rsidRPr="00625155" w:rsidRDefault="00660645" w:rsidP="00C10E33">
            <w:pPr>
              <w:pStyle w:val="Summarytabletextrightaligned"/>
              <w:rPr>
                <w:szCs w:val="16"/>
              </w:rPr>
            </w:pPr>
            <w:r>
              <w:rPr>
                <w:szCs w:val="16"/>
              </w:rPr>
              <w:noBreakHyphen/>
            </w:r>
          </w:p>
        </w:tc>
        <w:tc>
          <w:tcPr>
            <w:tcW w:w="849" w:type="dxa"/>
            <w:vAlign w:val="bottom"/>
          </w:tcPr>
          <w:p w14:paraId="5384C11A" w14:textId="02512668" w:rsidR="00AD376D" w:rsidRPr="00625155" w:rsidRDefault="00660645" w:rsidP="00C10E33">
            <w:pPr>
              <w:pStyle w:val="Summarytabletextrightaligned"/>
              <w:rPr>
                <w:szCs w:val="16"/>
              </w:rPr>
            </w:pPr>
            <w:r>
              <w:rPr>
                <w:szCs w:val="16"/>
              </w:rPr>
              <w:noBreakHyphen/>
            </w:r>
          </w:p>
        </w:tc>
        <w:tc>
          <w:tcPr>
            <w:tcW w:w="849" w:type="dxa"/>
            <w:vAlign w:val="bottom"/>
          </w:tcPr>
          <w:p w14:paraId="26F0EAE6" w14:textId="3962EE65" w:rsidR="00AD376D" w:rsidRPr="00625155" w:rsidRDefault="00660645" w:rsidP="00C10E33">
            <w:pPr>
              <w:pStyle w:val="Summarytabletextrightaligned"/>
              <w:rPr>
                <w:szCs w:val="16"/>
              </w:rPr>
            </w:pPr>
            <w:r>
              <w:rPr>
                <w:szCs w:val="16"/>
              </w:rPr>
              <w:noBreakHyphen/>
            </w:r>
          </w:p>
        </w:tc>
      </w:tr>
      <w:tr w:rsidR="00AD376D" w:rsidRPr="00625155" w14:paraId="150B1F2A" w14:textId="77777777" w:rsidTr="004F79EE">
        <w:tc>
          <w:tcPr>
            <w:tcW w:w="3464" w:type="dxa"/>
            <w:shd w:val="clear" w:color="auto" w:fill="auto"/>
            <w:vAlign w:val="bottom"/>
          </w:tcPr>
          <w:p w14:paraId="02AD0FE0" w14:textId="2D264DD5" w:rsidR="00AD376D" w:rsidRPr="00625155" w:rsidRDefault="00AD376D" w:rsidP="00C10E33">
            <w:pPr>
              <w:pStyle w:val="SummaryMeasureTitlewithTheme"/>
              <w:rPr>
                <w:color w:val="auto"/>
              </w:rPr>
            </w:pPr>
            <w:r w:rsidRPr="00625155">
              <w:rPr>
                <w:color w:val="auto"/>
              </w:rPr>
              <w:t>Workforce Australia – reversal of contingency measures(</w:t>
            </w:r>
            <w:r w:rsidR="0011539C">
              <w:rPr>
                <w:color w:val="auto"/>
              </w:rPr>
              <w:t>m</w:t>
            </w:r>
            <w:r w:rsidRPr="00625155">
              <w:rPr>
                <w:color w:val="auto"/>
              </w:rPr>
              <w:t>)</w:t>
            </w:r>
          </w:p>
        </w:tc>
        <w:tc>
          <w:tcPr>
            <w:tcW w:w="849" w:type="dxa"/>
            <w:tcBorders>
              <w:bottom w:val="single" w:sz="4" w:space="0" w:color="auto"/>
            </w:tcBorders>
            <w:vAlign w:val="bottom"/>
          </w:tcPr>
          <w:p w14:paraId="4446A891" w14:textId="47CB896C" w:rsidR="00AD376D" w:rsidRPr="00625155" w:rsidRDefault="00660645" w:rsidP="00C10E33">
            <w:pPr>
              <w:pStyle w:val="Summarytabletextrightaligned"/>
              <w:rPr>
                <w:szCs w:val="16"/>
              </w:rPr>
            </w:pPr>
            <w:r>
              <w:rPr>
                <w:szCs w:val="16"/>
              </w:rPr>
              <w:noBreakHyphen/>
            </w:r>
            <w:r w:rsidR="00AD376D" w:rsidRPr="00625155">
              <w:rPr>
                <w:szCs w:val="16"/>
              </w:rPr>
              <w:t>8.9</w:t>
            </w:r>
          </w:p>
        </w:tc>
        <w:tc>
          <w:tcPr>
            <w:tcW w:w="849" w:type="dxa"/>
            <w:tcBorders>
              <w:bottom w:val="single" w:sz="4" w:space="0" w:color="auto"/>
            </w:tcBorders>
            <w:shd w:val="clear" w:color="auto" w:fill="F2F9FC"/>
            <w:vAlign w:val="bottom"/>
          </w:tcPr>
          <w:p w14:paraId="65BD9240" w14:textId="1BF15714" w:rsidR="00AD376D" w:rsidRPr="00625155" w:rsidRDefault="00660645" w:rsidP="00C10E33">
            <w:pPr>
              <w:pStyle w:val="Summarytabletextrightaligned"/>
              <w:rPr>
                <w:szCs w:val="16"/>
              </w:rPr>
            </w:pPr>
            <w:r>
              <w:rPr>
                <w:szCs w:val="16"/>
              </w:rPr>
              <w:noBreakHyphen/>
            </w:r>
            <w:r w:rsidR="00AD376D" w:rsidRPr="00625155">
              <w:rPr>
                <w:szCs w:val="16"/>
              </w:rPr>
              <w:t>140.8</w:t>
            </w:r>
          </w:p>
        </w:tc>
        <w:tc>
          <w:tcPr>
            <w:tcW w:w="849" w:type="dxa"/>
            <w:tcBorders>
              <w:bottom w:val="single" w:sz="4" w:space="0" w:color="auto"/>
            </w:tcBorders>
            <w:vAlign w:val="bottom"/>
          </w:tcPr>
          <w:p w14:paraId="34A08E59" w14:textId="4EE996B0" w:rsidR="00AD376D" w:rsidRPr="00625155" w:rsidRDefault="00660645" w:rsidP="00C10E33">
            <w:pPr>
              <w:pStyle w:val="Summarytabletextrightaligned"/>
              <w:rPr>
                <w:szCs w:val="16"/>
              </w:rPr>
            </w:pPr>
            <w:r>
              <w:rPr>
                <w:szCs w:val="16"/>
              </w:rPr>
              <w:noBreakHyphen/>
            </w:r>
            <w:r w:rsidR="00AD376D" w:rsidRPr="00625155">
              <w:rPr>
                <w:szCs w:val="16"/>
              </w:rPr>
              <w:t>26.0</w:t>
            </w:r>
          </w:p>
        </w:tc>
        <w:tc>
          <w:tcPr>
            <w:tcW w:w="849" w:type="dxa"/>
            <w:tcBorders>
              <w:bottom w:val="single" w:sz="4" w:space="0" w:color="auto"/>
            </w:tcBorders>
            <w:vAlign w:val="bottom"/>
          </w:tcPr>
          <w:p w14:paraId="0E81B1CB" w14:textId="218036E0" w:rsidR="00AD376D" w:rsidRPr="00625155" w:rsidRDefault="00660645" w:rsidP="00C10E33">
            <w:pPr>
              <w:pStyle w:val="Summarytabletextrightaligned"/>
              <w:rPr>
                <w:szCs w:val="16"/>
              </w:rPr>
            </w:pPr>
            <w:r>
              <w:rPr>
                <w:szCs w:val="16"/>
              </w:rPr>
              <w:noBreakHyphen/>
            </w:r>
            <w:r w:rsidR="00AD376D" w:rsidRPr="00625155">
              <w:rPr>
                <w:szCs w:val="16"/>
              </w:rPr>
              <w:t>16.9</w:t>
            </w:r>
          </w:p>
        </w:tc>
        <w:tc>
          <w:tcPr>
            <w:tcW w:w="849" w:type="dxa"/>
            <w:tcBorders>
              <w:bottom w:val="single" w:sz="4" w:space="0" w:color="auto"/>
            </w:tcBorders>
            <w:vAlign w:val="bottom"/>
          </w:tcPr>
          <w:p w14:paraId="208E7AD6" w14:textId="1C906959" w:rsidR="00AD376D" w:rsidRPr="00625155" w:rsidRDefault="00660645" w:rsidP="00C10E33">
            <w:pPr>
              <w:pStyle w:val="Summarytabletextrightaligned"/>
              <w:rPr>
                <w:szCs w:val="16"/>
              </w:rPr>
            </w:pPr>
            <w:r>
              <w:rPr>
                <w:szCs w:val="16"/>
              </w:rPr>
              <w:noBreakHyphen/>
            </w:r>
            <w:r w:rsidR="00AD376D" w:rsidRPr="00625155">
              <w:rPr>
                <w:szCs w:val="16"/>
              </w:rPr>
              <w:t>9.9</w:t>
            </w:r>
          </w:p>
        </w:tc>
      </w:tr>
      <w:tr w:rsidR="00AD376D" w:rsidRPr="00625155" w14:paraId="2880F6ED" w14:textId="77777777" w:rsidTr="004F79EE">
        <w:tc>
          <w:tcPr>
            <w:tcW w:w="3464" w:type="dxa"/>
            <w:shd w:val="clear" w:color="auto" w:fill="auto"/>
            <w:vAlign w:val="bottom"/>
          </w:tcPr>
          <w:p w14:paraId="66B7434E"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1F9DF841" w14:textId="33E1413C" w:rsidR="00AD376D" w:rsidRPr="00625155" w:rsidRDefault="00660645" w:rsidP="00C10E33">
            <w:pPr>
              <w:pStyle w:val="Summarytabletextrightalignedbold"/>
              <w:rPr>
                <w:bCs/>
                <w:szCs w:val="16"/>
              </w:rPr>
            </w:pPr>
            <w:r>
              <w:rPr>
                <w:bCs/>
                <w:szCs w:val="16"/>
              </w:rPr>
              <w:noBreakHyphen/>
            </w:r>
            <w:r w:rsidR="00AD376D" w:rsidRPr="00625155">
              <w:rPr>
                <w:bCs/>
                <w:szCs w:val="16"/>
              </w:rPr>
              <w:t>8.9</w:t>
            </w:r>
          </w:p>
        </w:tc>
        <w:tc>
          <w:tcPr>
            <w:tcW w:w="849" w:type="dxa"/>
            <w:tcBorders>
              <w:top w:val="single" w:sz="4" w:space="0" w:color="auto"/>
              <w:bottom w:val="single" w:sz="4" w:space="0" w:color="auto"/>
            </w:tcBorders>
            <w:shd w:val="clear" w:color="auto" w:fill="F2F9FC"/>
            <w:vAlign w:val="bottom"/>
          </w:tcPr>
          <w:p w14:paraId="0A49A531" w14:textId="33EF0FE5" w:rsidR="00AD376D" w:rsidRPr="00625155" w:rsidRDefault="00660645" w:rsidP="00C10E33">
            <w:pPr>
              <w:pStyle w:val="Summarytabletextrightalignedbold"/>
              <w:rPr>
                <w:bCs/>
                <w:szCs w:val="16"/>
              </w:rPr>
            </w:pPr>
            <w:r>
              <w:rPr>
                <w:bCs/>
                <w:szCs w:val="16"/>
              </w:rPr>
              <w:noBreakHyphen/>
            </w:r>
            <w:r w:rsidR="00AD376D" w:rsidRPr="00625155">
              <w:rPr>
                <w:bCs/>
                <w:szCs w:val="16"/>
              </w:rPr>
              <w:t>140.8</w:t>
            </w:r>
          </w:p>
        </w:tc>
        <w:tc>
          <w:tcPr>
            <w:tcW w:w="849" w:type="dxa"/>
            <w:tcBorders>
              <w:top w:val="single" w:sz="4" w:space="0" w:color="auto"/>
              <w:bottom w:val="single" w:sz="4" w:space="0" w:color="auto"/>
            </w:tcBorders>
            <w:vAlign w:val="bottom"/>
          </w:tcPr>
          <w:p w14:paraId="4652F888" w14:textId="6DBAD438" w:rsidR="00AD376D" w:rsidRPr="00625155" w:rsidRDefault="00660645" w:rsidP="00C10E33">
            <w:pPr>
              <w:pStyle w:val="Summarytabletextrightalignedbold"/>
              <w:rPr>
                <w:bCs/>
                <w:szCs w:val="16"/>
              </w:rPr>
            </w:pPr>
            <w:r>
              <w:rPr>
                <w:bCs/>
                <w:szCs w:val="16"/>
              </w:rPr>
              <w:noBreakHyphen/>
            </w:r>
            <w:r w:rsidR="00AD376D" w:rsidRPr="00625155">
              <w:rPr>
                <w:bCs/>
                <w:szCs w:val="16"/>
              </w:rPr>
              <w:t>26.0</w:t>
            </w:r>
          </w:p>
        </w:tc>
        <w:tc>
          <w:tcPr>
            <w:tcW w:w="849" w:type="dxa"/>
            <w:tcBorders>
              <w:top w:val="single" w:sz="4" w:space="0" w:color="auto"/>
              <w:bottom w:val="single" w:sz="4" w:space="0" w:color="auto"/>
            </w:tcBorders>
            <w:vAlign w:val="bottom"/>
          </w:tcPr>
          <w:p w14:paraId="781547EE" w14:textId="5E86B08A" w:rsidR="00AD376D" w:rsidRPr="00625155" w:rsidRDefault="00660645" w:rsidP="00C10E33">
            <w:pPr>
              <w:pStyle w:val="Summarytabletextrightalignedbold"/>
              <w:rPr>
                <w:bCs/>
                <w:szCs w:val="16"/>
              </w:rPr>
            </w:pPr>
            <w:r>
              <w:rPr>
                <w:bCs/>
                <w:szCs w:val="16"/>
              </w:rPr>
              <w:noBreakHyphen/>
            </w:r>
            <w:r w:rsidR="00AD376D" w:rsidRPr="00625155">
              <w:rPr>
                <w:bCs/>
                <w:szCs w:val="16"/>
              </w:rPr>
              <w:t>16.9</w:t>
            </w:r>
          </w:p>
        </w:tc>
        <w:tc>
          <w:tcPr>
            <w:tcW w:w="849" w:type="dxa"/>
            <w:tcBorders>
              <w:top w:val="single" w:sz="4" w:space="0" w:color="auto"/>
              <w:bottom w:val="single" w:sz="4" w:space="0" w:color="auto"/>
            </w:tcBorders>
            <w:vAlign w:val="bottom"/>
          </w:tcPr>
          <w:p w14:paraId="63755D16" w14:textId="6A3F646D" w:rsidR="00AD376D" w:rsidRPr="00625155" w:rsidRDefault="00660645" w:rsidP="00C10E33">
            <w:pPr>
              <w:pStyle w:val="Summarytabletextrightalignedbold"/>
              <w:rPr>
                <w:bCs/>
                <w:szCs w:val="16"/>
              </w:rPr>
            </w:pPr>
            <w:r>
              <w:rPr>
                <w:bCs/>
                <w:szCs w:val="16"/>
              </w:rPr>
              <w:noBreakHyphen/>
            </w:r>
            <w:r w:rsidR="00AD376D" w:rsidRPr="00625155">
              <w:rPr>
                <w:bCs/>
                <w:szCs w:val="16"/>
              </w:rPr>
              <w:t>9.9</w:t>
            </w:r>
          </w:p>
        </w:tc>
      </w:tr>
      <w:tr w:rsidR="00AD376D" w:rsidRPr="00625155" w14:paraId="2EF54B18" w14:textId="77777777" w:rsidTr="004F79EE">
        <w:tc>
          <w:tcPr>
            <w:tcW w:w="3464" w:type="dxa"/>
            <w:shd w:val="clear" w:color="auto" w:fill="auto"/>
            <w:vAlign w:val="bottom"/>
          </w:tcPr>
          <w:p w14:paraId="768DA515" w14:textId="77777777" w:rsidR="00AD376D" w:rsidRPr="00625155" w:rsidRDefault="00AD376D" w:rsidP="00C10E33">
            <w:pPr>
              <w:pStyle w:val="SummaryPortfolioTitle-BP2"/>
            </w:pPr>
            <w:r w:rsidRPr="00625155">
              <w:t>FINANCE</w:t>
            </w:r>
          </w:p>
        </w:tc>
        <w:tc>
          <w:tcPr>
            <w:tcW w:w="849" w:type="dxa"/>
            <w:tcBorders>
              <w:top w:val="single" w:sz="4" w:space="0" w:color="auto"/>
            </w:tcBorders>
            <w:vAlign w:val="bottom"/>
          </w:tcPr>
          <w:p w14:paraId="3302FF4E"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150923BD"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1AACB951"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6F4E1FFB"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232DCBEF" w14:textId="77777777" w:rsidR="00AD376D" w:rsidRPr="00625155" w:rsidRDefault="00AD376D" w:rsidP="00C10E33">
            <w:pPr>
              <w:pStyle w:val="MeasureTableTextRightAlignedBefore6ptAfter1pt"/>
              <w:rPr>
                <w:b/>
                <w:bCs/>
                <w:color w:val="auto"/>
              </w:rPr>
            </w:pPr>
          </w:p>
        </w:tc>
      </w:tr>
      <w:tr w:rsidR="00AD376D" w:rsidRPr="00625155" w14:paraId="5DB1B5B9" w14:textId="77777777" w:rsidTr="004F79EE">
        <w:tc>
          <w:tcPr>
            <w:tcW w:w="3464" w:type="dxa"/>
            <w:shd w:val="clear" w:color="auto" w:fill="auto"/>
            <w:vAlign w:val="bottom"/>
          </w:tcPr>
          <w:p w14:paraId="134EA533" w14:textId="77777777" w:rsidR="00AD376D" w:rsidRPr="00625155" w:rsidRDefault="00AD376D" w:rsidP="00C10E33">
            <w:pPr>
              <w:pStyle w:val="SummaryAgencyTitle-BP2"/>
              <w:rPr>
                <w:iCs/>
              </w:rPr>
            </w:pPr>
            <w:r w:rsidRPr="00625155">
              <w:rPr>
                <w:iCs/>
              </w:rPr>
              <w:t>Department of Finance</w:t>
            </w:r>
          </w:p>
        </w:tc>
        <w:tc>
          <w:tcPr>
            <w:tcW w:w="849" w:type="dxa"/>
            <w:vAlign w:val="bottom"/>
          </w:tcPr>
          <w:p w14:paraId="4B2441F6" w14:textId="77777777" w:rsidR="00AD376D" w:rsidRPr="00625155" w:rsidRDefault="00AD376D" w:rsidP="00C10E33">
            <w:pPr>
              <w:pStyle w:val="SummaryAgencyTitle-BP2"/>
              <w:rPr>
                <w:iCs/>
              </w:rPr>
            </w:pPr>
          </w:p>
        </w:tc>
        <w:tc>
          <w:tcPr>
            <w:tcW w:w="849" w:type="dxa"/>
            <w:shd w:val="clear" w:color="auto" w:fill="F2F9FC"/>
            <w:vAlign w:val="bottom"/>
          </w:tcPr>
          <w:p w14:paraId="49034931" w14:textId="77777777" w:rsidR="00AD376D" w:rsidRPr="00625155" w:rsidRDefault="00AD376D" w:rsidP="00C10E33">
            <w:pPr>
              <w:pStyle w:val="SummaryAgencyTitle-BP2"/>
              <w:rPr>
                <w:iCs/>
              </w:rPr>
            </w:pPr>
          </w:p>
        </w:tc>
        <w:tc>
          <w:tcPr>
            <w:tcW w:w="849" w:type="dxa"/>
            <w:vAlign w:val="bottom"/>
          </w:tcPr>
          <w:p w14:paraId="1E1BB9F0" w14:textId="77777777" w:rsidR="00AD376D" w:rsidRPr="00625155" w:rsidRDefault="00AD376D" w:rsidP="00C10E33">
            <w:pPr>
              <w:pStyle w:val="SummaryAgencyTitle-BP2"/>
              <w:rPr>
                <w:iCs/>
              </w:rPr>
            </w:pPr>
          </w:p>
        </w:tc>
        <w:tc>
          <w:tcPr>
            <w:tcW w:w="849" w:type="dxa"/>
            <w:vAlign w:val="bottom"/>
          </w:tcPr>
          <w:p w14:paraId="28B8FD90" w14:textId="77777777" w:rsidR="00AD376D" w:rsidRPr="00625155" w:rsidRDefault="00AD376D" w:rsidP="00C10E33">
            <w:pPr>
              <w:pStyle w:val="SummaryAgencyTitle-BP2"/>
              <w:rPr>
                <w:iCs/>
              </w:rPr>
            </w:pPr>
          </w:p>
        </w:tc>
        <w:tc>
          <w:tcPr>
            <w:tcW w:w="849" w:type="dxa"/>
            <w:vAlign w:val="bottom"/>
          </w:tcPr>
          <w:p w14:paraId="5BE43AD4" w14:textId="77777777" w:rsidR="00AD376D" w:rsidRPr="00625155" w:rsidRDefault="00AD376D" w:rsidP="00C10E33">
            <w:pPr>
              <w:pStyle w:val="SummaryAgencyTitle-BP2"/>
              <w:rPr>
                <w:iCs/>
              </w:rPr>
            </w:pPr>
          </w:p>
        </w:tc>
      </w:tr>
      <w:tr w:rsidR="00AD376D" w:rsidRPr="00625155" w14:paraId="6E922C5F" w14:textId="77777777" w:rsidTr="004F79EE">
        <w:tc>
          <w:tcPr>
            <w:tcW w:w="3464" w:type="dxa"/>
            <w:shd w:val="clear" w:color="auto" w:fill="auto"/>
            <w:vAlign w:val="bottom"/>
          </w:tcPr>
          <w:p w14:paraId="05956AD4" w14:textId="2E30322B" w:rsidR="00AD376D" w:rsidRPr="00625155" w:rsidRDefault="00AD376D" w:rsidP="00C10E33">
            <w:pPr>
              <w:pStyle w:val="SummaryMeasureTitlewithTheme"/>
              <w:rPr>
                <w:color w:val="auto"/>
              </w:rPr>
            </w:pPr>
            <w:r w:rsidRPr="00625155">
              <w:rPr>
                <w:color w:val="auto"/>
              </w:rPr>
              <w:t>Marinus Link(</w:t>
            </w:r>
            <w:r w:rsidR="0011539C">
              <w:rPr>
                <w:color w:val="auto"/>
              </w:rPr>
              <w:t>s</w:t>
            </w:r>
            <w:r w:rsidRPr="00625155">
              <w:rPr>
                <w:color w:val="auto"/>
              </w:rPr>
              <w:t>)</w:t>
            </w:r>
          </w:p>
        </w:tc>
        <w:tc>
          <w:tcPr>
            <w:tcW w:w="849" w:type="dxa"/>
            <w:tcBorders>
              <w:bottom w:val="single" w:sz="4" w:space="0" w:color="auto"/>
            </w:tcBorders>
            <w:vAlign w:val="bottom"/>
          </w:tcPr>
          <w:p w14:paraId="502FFAB7" w14:textId="2102D211"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shd w:val="clear" w:color="auto" w:fill="F2F9FC"/>
            <w:vAlign w:val="bottom"/>
          </w:tcPr>
          <w:p w14:paraId="5BB2250E" w14:textId="613F1DDB"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5C447D79" w14:textId="5A73230D"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4A8E80AB" w14:textId="4407FCFC"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57EB07AC" w14:textId="530C4D69" w:rsidR="00AD376D" w:rsidRPr="00625155" w:rsidRDefault="00660645" w:rsidP="00C10E33">
            <w:pPr>
              <w:pStyle w:val="Summarytabletextrightaligned"/>
              <w:rPr>
                <w:szCs w:val="16"/>
              </w:rPr>
            </w:pPr>
            <w:r>
              <w:rPr>
                <w:szCs w:val="16"/>
              </w:rPr>
              <w:noBreakHyphen/>
            </w:r>
          </w:p>
        </w:tc>
      </w:tr>
      <w:tr w:rsidR="00AD376D" w:rsidRPr="00625155" w14:paraId="79D8583B" w14:textId="77777777" w:rsidTr="004F79EE">
        <w:tc>
          <w:tcPr>
            <w:tcW w:w="3464" w:type="dxa"/>
            <w:shd w:val="clear" w:color="auto" w:fill="auto"/>
            <w:vAlign w:val="bottom"/>
          </w:tcPr>
          <w:p w14:paraId="78BD1F03"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0A5BA284" w14:textId="72D78CC7"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shd w:val="clear" w:color="auto" w:fill="F2F9FC"/>
            <w:vAlign w:val="bottom"/>
          </w:tcPr>
          <w:p w14:paraId="78764F22" w14:textId="164DB1A4"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6DC6B97E" w14:textId="721D9D39"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7BC71792" w14:textId="3CC50D89"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1FE04589" w14:textId="4BF84701" w:rsidR="00AD376D" w:rsidRPr="00625155" w:rsidRDefault="00660645" w:rsidP="00C10E33">
            <w:pPr>
              <w:pStyle w:val="Summarytabletextrightalignedbold"/>
              <w:rPr>
                <w:bCs/>
                <w:szCs w:val="16"/>
              </w:rPr>
            </w:pPr>
            <w:r>
              <w:rPr>
                <w:bCs/>
                <w:szCs w:val="16"/>
              </w:rPr>
              <w:noBreakHyphen/>
            </w:r>
          </w:p>
        </w:tc>
      </w:tr>
      <w:tr w:rsidR="00AD376D" w:rsidRPr="00625155" w14:paraId="4FEF5074" w14:textId="77777777" w:rsidTr="004F79EE">
        <w:tc>
          <w:tcPr>
            <w:tcW w:w="3464" w:type="dxa"/>
            <w:shd w:val="clear" w:color="auto" w:fill="auto"/>
            <w:vAlign w:val="bottom"/>
          </w:tcPr>
          <w:p w14:paraId="7BBDC9DD" w14:textId="77777777" w:rsidR="00AD376D" w:rsidRPr="00625155" w:rsidRDefault="00AD376D" w:rsidP="00C10E33">
            <w:pPr>
              <w:pStyle w:val="SummaryPortfolioTitle-BP2"/>
            </w:pPr>
            <w:r w:rsidRPr="00625155">
              <w:t>FOREIGN AFFAIRS AND TRADE</w:t>
            </w:r>
          </w:p>
        </w:tc>
        <w:tc>
          <w:tcPr>
            <w:tcW w:w="849" w:type="dxa"/>
            <w:tcBorders>
              <w:top w:val="single" w:sz="4" w:space="0" w:color="auto"/>
            </w:tcBorders>
            <w:vAlign w:val="bottom"/>
          </w:tcPr>
          <w:p w14:paraId="3AF61BFF"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0E9CD118"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310E35D3"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0933AAA9"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1E26C20E" w14:textId="77777777" w:rsidR="00AD376D" w:rsidRPr="00625155" w:rsidRDefault="00AD376D" w:rsidP="00C10E33">
            <w:pPr>
              <w:pStyle w:val="MeasureTableTextRightAlignedBefore6ptAfter1pt"/>
              <w:rPr>
                <w:b/>
                <w:bCs/>
                <w:color w:val="auto"/>
              </w:rPr>
            </w:pPr>
          </w:p>
        </w:tc>
      </w:tr>
      <w:tr w:rsidR="00AD376D" w:rsidRPr="00625155" w14:paraId="39B2FB1C" w14:textId="77777777" w:rsidTr="004F79EE">
        <w:tc>
          <w:tcPr>
            <w:tcW w:w="3464" w:type="dxa"/>
            <w:shd w:val="clear" w:color="auto" w:fill="auto"/>
            <w:vAlign w:val="bottom"/>
          </w:tcPr>
          <w:p w14:paraId="2AEE42EA" w14:textId="77777777" w:rsidR="00AD376D" w:rsidRPr="00625155" w:rsidRDefault="00AD376D" w:rsidP="00C10E33">
            <w:pPr>
              <w:pStyle w:val="SummaryAgencyTitle-BP2"/>
              <w:rPr>
                <w:iCs/>
              </w:rPr>
            </w:pPr>
            <w:r w:rsidRPr="00625155">
              <w:rPr>
                <w:iCs/>
              </w:rPr>
              <w:t>Department of Foreign Affairs and Trade</w:t>
            </w:r>
          </w:p>
        </w:tc>
        <w:tc>
          <w:tcPr>
            <w:tcW w:w="849" w:type="dxa"/>
            <w:vAlign w:val="bottom"/>
          </w:tcPr>
          <w:p w14:paraId="1189DD82" w14:textId="77777777" w:rsidR="00AD376D" w:rsidRPr="00625155" w:rsidRDefault="00AD376D" w:rsidP="00C10E33">
            <w:pPr>
              <w:pStyle w:val="SummaryAgencyTitle-BP2"/>
              <w:rPr>
                <w:iCs/>
              </w:rPr>
            </w:pPr>
          </w:p>
        </w:tc>
        <w:tc>
          <w:tcPr>
            <w:tcW w:w="849" w:type="dxa"/>
            <w:shd w:val="clear" w:color="auto" w:fill="F2F9FC"/>
            <w:vAlign w:val="bottom"/>
          </w:tcPr>
          <w:p w14:paraId="7103772D" w14:textId="77777777" w:rsidR="00AD376D" w:rsidRPr="00625155" w:rsidRDefault="00AD376D" w:rsidP="00C10E33">
            <w:pPr>
              <w:pStyle w:val="SummaryAgencyTitle-BP2"/>
              <w:rPr>
                <w:iCs/>
              </w:rPr>
            </w:pPr>
          </w:p>
        </w:tc>
        <w:tc>
          <w:tcPr>
            <w:tcW w:w="849" w:type="dxa"/>
            <w:vAlign w:val="bottom"/>
          </w:tcPr>
          <w:p w14:paraId="2CFFE6F8" w14:textId="77777777" w:rsidR="00AD376D" w:rsidRPr="00625155" w:rsidRDefault="00AD376D" w:rsidP="00C10E33">
            <w:pPr>
              <w:pStyle w:val="SummaryAgencyTitle-BP2"/>
              <w:rPr>
                <w:iCs/>
              </w:rPr>
            </w:pPr>
          </w:p>
        </w:tc>
        <w:tc>
          <w:tcPr>
            <w:tcW w:w="849" w:type="dxa"/>
            <w:vAlign w:val="bottom"/>
          </w:tcPr>
          <w:p w14:paraId="704C880A" w14:textId="77777777" w:rsidR="00AD376D" w:rsidRPr="00625155" w:rsidRDefault="00AD376D" w:rsidP="00C10E33">
            <w:pPr>
              <w:pStyle w:val="SummaryAgencyTitle-BP2"/>
              <w:rPr>
                <w:iCs/>
              </w:rPr>
            </w:pPr>
          </w:p>
        </w:tc>
        <w:tc>
          <w:tcPr>
            <w:tcW w:w="849" w:type="dxa"/>
            <w:vAlign w:val="bottom"/>
          </w:tcPr>
          <w:p w14:paraId="430BE091" w14:textId="77777777" w:rsidR="00AD376D" w:rsidRPr="00625155" w:rsidRDefault="00AD376D" w:rsidP="00C10E33">
            <w:pPr>
              <w:pStyle w:val="SummaryAgencyTitle-BP2"/>
              <w:rPr>
                <w:iCs/>
              </w:rPr>
            </w:pPr>
          </w:p>
        </w:tc>
      </w:tr>
      <w:tr w:rsidR="00AD376D" w:rsidRPr="00625155" w14:paraId="02766979" w14:textId="77777777" w:rsidTr="004F79EE">
        <w:tc>
          <w:tcPr>
            <w:tcW w:w="3464" w:type="dxa"/>
            <w:shd w:val="clear" w:color="auto" w:fill="auto"/>
            <w:vAlign w:val="bottom"/>
          </w:tcPr>
          <w:p w14:paraId="2258323F" w14:textId="2A824349" w:rsidR="00AD376D" w:rsidRPr="00625155" w:rsidRDefault="00AD376D" w:rsidP="00C10E33">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p>
        </w:tc>
        <w:tc>
          <w:tcPr>
            <w:tcW w:w="849" w:type="dxa"/>
            <w:vAlign w:val="bottom"/>
          </w:tcPr>
          <w:p w14:paraId="2C8C62E5" w14:textId="7952BCE7" w:rsidR="00AD376D" w:rsidRPr="00625155" w:rsidRDefault="00660645" w:rsidP="00C10E33">
            <w:pPr>
              <w:pStyle w:val="Summarytabletextrightaligned"/>
              <w:rPr>
                <w:szCs w:val="16"/>
              </w:rPr>
            </w:pPr>
            <w:r>
              <w:rPr>
                <w:szCs w:val="16"/>
              </w:rPr>
              <w:noBreakHyphen/>
            </w:r>
          </w:p>
        </w:tc>
        <w:tc>
          <w:tcPr>
            <w:tcW w:w="849" w:type="dxa"/>
            <w:shd w:val="clear" w:color="auto" w:fill="F2F9FC"/>
            <w:vAlign w:val="bottom"/>
          </w:tcPr>
          <w:p w14:paraId="20BAB406" w14:textId="2714FEB3" w:rsidR="00AD376D" w:rsidRPr="00625155" w:rsidRDefault="00660645" w:rsidP="00C10E33">
            <w:pPr>
              <w:pStyle w:val="Summarytabletextrightaligned"/>
              <w:rPr>
                <w:szCs w:val="16"/>
              </w:rPr>
            </w:pPr>
            <w:r>
              <w:rPr>
                <w:szCs w:val="16"/>
              </w:rPr>
              <w:noBreakHyphen/>
            </w:r>
          </w:p>
        </w:tc>
        <w:tc>
          <w:tcPr>
            <w:tcW w:w="849" w:type="dxa"/>
            <w:vAlign w:val="bottom"/>
          </w:tcPr>
          <w:p w14:paraId="359912F0" w14:textId="0C8B870C" w:rsidR="00AD376D" w:rsidRPr="00625155" w:rsidRDefault="00660645" w:rsidP="00C10E33">
            <w:pPr>
              <w:pStyle w:val="Summarytabletextrightaligned"/>
              <w:rPr>
                <w:szCs w:val="16"/>
              </w:rPr>
            </w:pPr>
            <w:r>
              <w:rPr>
                <w:szCs w:val="16"/>
              </w:rPr>
              <w:noBreakHyphen/>
            </w:r>
          </w:p>
        </w:tc>
        <w:tc>
          <w:tcPr>
            <w:tcW w:w="849" w:type="dxa"/>
            <w:vAlign w:val="bottom"/>
          </w:tcPr>
          <w:p w14:paraId="4C7842F9" w14:textId="2ED5DF23" w:rsidR="00AD376D" w:rsidRPr="00625155" w:rsidRDefault="00660645" w:rsidP="00C10E33">
            <w:pPr>
              <w:pStyle w:val="Summarytabletextrightaligned"/>
              <w:rPr>
                <w:szCs w:val="16"/>
              </w:rPr>
            </w:pPr>
            <w:r>
              <w:rPr>
                <w:szCs w:val="16"/>
              </w:rPr>
              <w:noBreakHyphen/>
            </w:r>
          </w:p>
        </w:tc>
        <w:tc>
          <w:tcPr>
            <w:tcW w:w="849" w:type="dxa"/>
            <w:vAlign w:val="bottom"/>
          </w:tcPr>
          <w:p w14:paraId="3CAE36BB" w14:textId="7F76D3B2" w:rsidR="00AD376D" w:rsidRPr="00625155" w:rsidRDefault="00660645" w:rsidP="00C10E33">
            <w:pPr>
              <w:pStyle w:val="Summarytabletextrightaligned"/>
              <w:rPr>
                <w:szCs w:val="16"/>
              </w:rPr>
            </w:pPr>
            <w:r>
              <w:rPr>
                <w:szCs w:val="16"/>
              </w:rPr>
              <w:noBreakHyphen/>
            </w:r>
          </w:p>
        </w:tc>
      </w:tr>
      <w:tr w:rsidR="00AD376D" w:rsidRPr="00625155" w14:paraId="34C89083" w14:textId="77777777" w:rsidTr="004F79EE">
        <w:tc>
          <w:tcPr>
            <w:tcW w:w="3464" w:type="dxa"/>
            <w:shd w:val="clear" w:color="auto" w:fill="auto"/>
            <w:vAlign w:val="bottom"/>
          </w:tcPr>
          <w:p w14:paraId="13B8E9A7" w14:textId="26A706FD" w:rsidR="00AD376D" w:rsidRPr="00625155" w:rsidRDefault="00AD376D" w:rsidP="00C10E33">
            <w:pPr>
              <w:pStyle w:val="SummaryMeasureTitlewithTheme"/>
              <w:rPr>
                <w:color w:val="auto"/>
              </w:rPr>
            </w:pPr>
            <w:r w:rsidRPr="00625155">
              <w:rPr>
                <w:color w:val="auto"/>
              </w:rPr>
              <w:t>Facilitated Commercial Flights Program – extension(</w:t>
            </w:r>
            <w:r w:rsidR="0011539C">
              <w:rPr>
                <w:color w:val="auto"/>
              </w:rPr>
              <w:t>n</w:t>
            </w:r>
            <w:r w:rsidRPr="00625155">
              <w:rPr>
                <w:color w:val="auto"/>
              </w:rPr>
              <w:t>)</w:t>
            </w:r>
          </w:p>
        </w:tc>
        <w:tc>
          <w:tcPr>
            <w:tcW w:w="849" w:type="dxa"/>
            <w:tcBorders>
              <w:bottom w:val="single" w:sz="4" w:space="0" w:color="auto"/>
            </w:tcBorders>
            <w:vAlign w:val="bottom"/>
          </w:tcPr>
          <w:p w14:paraId="37E862F8" w14:textId="39AB016E"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shd w:val="clear" w:color="auto" w:fill="F2F9FC"/>
            <w:vAlign w:val="bottom"/>
          </w:tcPr>
          <w:p w14:paraId="69299085" w14:textId="135BA335"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7A9A22A4" w14:textId="77C37831"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062FF61A" w14:textId="544202C0"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7900F51F" w14:textId="09E193BE" w:rsidR="00AD376D" w:rsidRPr="00625155" w:rsidRDefault="00660645" w:rsidP="00C10E33">
            <w:pPr>
              <w:pStyle w:val="Summarytabletextrightaligned"/>
              <w:rPr>
                <w:szCs w:val="16"/>
              </w:rPr>
            </w:pPr>
            <w:r>
              <w:rPr>
                <w:szCs w:val="16"/>
              </w:rPr>
              <w:noBreakHyphen/>
            </w:r>
          </w:p>
        </w:tc>
      </w:tr>
      <w:tr w:rsidR="00AD376D" w:rsidRPr="00625155" w14:paraId="717D2401" w14:textId="77777777" w:rsidTr="004F79EE">
        <w:tc>
          <w:tcPr>
            <w:tcW w:w="3464" w:type="dxa"/>
            <w:shd w:val="clear" w:color="auto" w:fill="auto"/>
            <w:vAlign w:val="bottom"/>
          </w:tcPr>
          <w:p w14:paraId="0D5CBAF3"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397CA916" w14:textId="116DE293"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shd w:val="clear" w:color="auto" w:fill="F2F9FC"/>
            <w:vAlign w:val="bottom"/>
          </w:tcPr>
          <w:p w14:paraId="7E6F7C4B" w14:textId="0EE9C67D"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16003825" w14:textId="24AB7908"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21769053" w14:textId="2945F025"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5C8B926C" w14:textId="452E64B8" w:rsidR="00AD376D" w:rsidRPr="00625155" w:rsidRDefault="00660645" w:rsidP="00C10E33">
            <w:pPr>
              <w:pStyle w:val="Summarytabletextrightalignedbold"/>
              <w:rPr>
                <w:bCs/>
                <w:szCs w:val="16"/>
              </w:rPr>
            </w:pPr>
            <w:r>
              <w:rPr>
                <w:bCs/>
                <w:szCs w:val="16"/>
              </w:rPr>
              <w:noBreakHyphen/>
            </w:r>
          </w:p>
        </w:tc>
      </w:tr>
      <w:tr w:rsidR="00AD376D" w:rsidRPr="00625155" w14:paraId="1A6C43AA" w14:textId="77777777" w:rsidTr="004F79EE">
        <w:tc>
          <w:tcPr>
            <w:tcW w:w="3464" w:type="dxa"/>
            <w:shd w:val="clear" w:color="auto" w:fill="auto"/>
            <w:vAlign w:val="bottom"/>
          </w:tcPr>
          <w:p w14:paraId="68DB3458" w14:textId="77777777" w:rsidR="00AD376D" w:rsidRPr="00625155" w:rsidRDefault="00AD376D" w:rsidP="00C10E33">
            <w:pPr>
              <w:pStyle w:val="SummaryPortfolioTitle-BP2"/>
            </w:pPr>
            <w:r w:rsidRPr="00625155">
              <w:t>HEALTH</w:t>
            </w:r>
          </w:p>
        </w:tc>
        <w:tc>
          <w:tcPr>
            <w:tcW w:w="849" w:type="dxa"/>
            <w:tcBorders>
              <w:top w:val="single" w:sz="4" w:space="0" w:color="auto"/>
            </w:tcBorders>
            <w:vAlign w:val="bottom"/>
          </w:tcPr>
          <w:p w14:paraId="3C740915"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4A8D40CC"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27FBA79B"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7C59A272"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15B9F803" w14:textId="77777777" w:rsidR="00AD376D" w:rsidRPr="00625155" w:rsidRDefault="00AD376D" w:rsidP="00C10E33">
            <w:pPr>
              <w:pStyle w:val="MeasureTableTextRightAlignedBefore6ptAfter1pt"/>
              <w:rPr>
                <w:b/>
                <w:bCs/>
                <w:color w:val="auto"/>
              </w:rPr>
            </w:pPr>
          </w:p>
        </w:tc>
      </w:tr>
      <w:tr w:rsidR="00AD376D" w:rsidRPr="00625155" w14:paraId="5DC9FD12" w14:textId="77777777" w:rsidTr="004F79EE">
        <w:tc>
          <w:tcPr>
            <w:tcW w:w="3464" w:type="dxa"/>
            <w:shd w:val="clear" w:color="auto" w:fill="auto"/>
            <w:vAlign w:val="bottom"/>
          </w:tcPr>
          <w:p w14:paraId="466C898E" w14:textId="77777777" w:rsidR="00AD376D" w:rsidRPr="00625155" w:rsidRDefault="00AD376D" w:rsidP="00C10E33">
            <w:pPr>
              <w:pStyle w:val="SummaryAgencyTitle-BP2"/>
              <w:rPr>
                <w:iCs/>
              </w:rPr>
            </w:pPr>
            <w:r w:rsidRPr="00625155">
              <w:rPr>
                <w:iCs/>
              </w:rPr>
              <w:t>Australian Sports Commission</w:t>
            </w:r>
          </w:p>
        </w:tc>
        <w:tc>
          <w:tcPr>
            <w:tcW w:w="849" w:type="dxa"/>
            <w:vAlign w:val="bottom"/>
          </w:tcPr>
          <w:p w14:paraId="4CE5DA49" w14:textId="77777777" w:rsidR="00AD376D" w:rsidRPr="00625155" w:rsidRDefault="00AD376D" w:rsidP="00C10E33">
            <w:pPr>
              <w:pStyle w:val="SummaryAgencyTitle-BP2"/>
              <w:rPr>
                <w:iCs/>
              </w:rPr>
            </w:pPr>
          </w:p>
        </w:tc>
        <w:tc>
          <w:tcPr>
            <w:tcW w:w="849" w:type="dxa"/>
            <w:shd w:val="clear" w:color="auto" w:fill="F2F9FC"/>
            <w:vAlign w:val="bottom"/>
          </w:tcPr>
          <w:p w14:paraId="28F40A39" w14:textId="77777777" w:rsidR="00AD376D" w:rsidRPr="00625155" w:rsidRDefault="00AD376D" w:rsidP="00C10E33">
            <w:pPr>
              <w:pStyle w:val="SummaryAgencyTitle-BP2"/>
              <w:rPr>
                <w:iCs/>
              </w:rPr>
            </w:pPr>
          </w:p>
        </w:tc>
        <w:tc>
          <w:tcPr>
            <w:tcW w:w="849" w:type="dxa"/>
            <w:vAlign w:val="bottom"/>
          </w:tcPr>
          <w:p w14:paraId="3538EF2B" w14:textId="77777777" w:rsidR="00AD376D" w:rsidRPr="00625155" w:rsidRDefault="00AD376D" w:rsidP="00C10E33">
            <w:pPr>
              <w:pStyle w:val="SummaryAgencyTitle-BP2"/>
              <w:rPr>
                <w:iCs/>
              </w:rPr>
            </w:pPr>
          </w:p>
        </w:tc>
        <w:tc>
          <w:tcPr>
            <w:tcW w:w="849" w:type="dxa"/>
            <w:vAlign w:val="bottom"/>
          </w:tcPr>
          <w:p w14:paraId="643C22E1" w14:textId="77777777" w:rsidR="00AD376D" w:rsidRPr="00625155" w:rsidRDefault="00AD376D" w:rsidP="00C10E33">
            <w:pPr>
              <w:pStyle w:val="SummaryAgencyTitle-BP2"/>
              <w:rPr>
                <w:iCs/>
              </w:rPr>
            </w:pPr>
          </w:p>
        </w:tc>
        <w:tc>
          <w:tcPr>
            <w:tcW w:w="849" w:type="dxa"/>
            <w:vAlign w:val="bottom"/>
          </w:tcPr>
          <w:p w14:paraId="7212FEE8" w14:textId="77777777" w:rsidR="00AD376D" w:rsidRPr="00625155" w:rsidRDefault="00AD376D" w:rsidP="00C10E33">
            <w:pPr>
              <w:pStyle w:val="SummaryAgencyTitle-BP2"/>
              <w:rPr>
                <w:iCs/>
              </w:rPr>
            </w:pPr>
          </w:p>
        </w:tc>
      </w:tr>
      <w:tr w:rsidR="00AD376D" w:rsidRPr="00625155" w14:paraId="02C96459" w14:textId="77777777" w:rsidTr="004F79EE">
        <w:tc>
          <w:tcPr>
            <w:tcW w:w="3464" w:type="dxa"/>
            <w:shd w:val="clear" w:color="auto" w:fill="auto"/>
            <w:vAlign w:val="bottom"/>
          </w:tcPr>
          <w:p w14:paraId="28FE7FDF" w14:textId="16FD3066" w:rsidR="00AD376D" w:rsidRPr="00625155" w:rsidRDefault="00AD376D" w:rsidP="00C10E33">
            <w:pPr>
              <w:pStyle w:val="SummaryMeasureTitlewithTheme"/>
              <w:rPr>
                <w:color w:val="auto"/>
              </w:rPr>
            </w:pPr>
            <w:r w:rsidRPr="00625155">
              <w:rPr>
                <w:color w:val="auto"/>
              </w:rPr>
              <w:t>Australian Institute of Sport (AIS) Arena – upgrades(</w:t>
            </w:r>
            <w:r w:rsidR="0011539C">
              <w:rPr>
                <w:color w:val="auto"/>
              </w:rPr>
              <w:t>o</w:t>
            </w:r>
            <w:r w:rsidRPr="00625155">
              <w:rPr>
                <w:color w:val="auto"/>
              </w:rPr>
              <w:t>)</w:t>
            </w:r>
          </w:p>
        </w:tc>
        <w:tc>
          <w:tcPr>
            <w:tcW w:w="849" w:type="dxa"/>
            <w:vAlign w:val="bottom"/>
          </w:tcPr>
          <w:p w14:paraId="467C49CE" w14:textId="237E2983" w:rsidR="00AD376D" w:rsidRPr="00625155" w:rsidRDefault="00660645" w:rsidP="00C10E33">
            <w:pPr>
              <w:pStyle w:val="Summarytabletextrightaligned"/>
              <w:rPr>
                <w:szCs w:val="16"/>
              </w:rPr>
            </w:pPr>
            <w:r>
              <w:rPr>
                <w:szCs w:val="16"/>
              </w:rPr>
              <w:noBreakHyphen/>
            </w:r>
          </w:p>
        </w:tc>
        <w:tc>
          <w:tcPr>
            <w:tcW w:w="849" w:type="dxa"/>
            <w:shd w:val="clear" w:color="auto" w:fill="F2F9FC"/>
            <w:vAlign w:val="bottom"/>
          </w:tcPr>
          <w:p w14:paraId="29283BBB" w14:textId="77777777" w:rsidR="00AD376D" w:rsidRPr="00625155" w:rsidRDefault="00AD376D" w:rsidP="00C10E33">
            <w:pPr>
              <w:pStyle w:val="Summarytabletextrightaligned"/>
              <w:rPr>
                <w:szCs w:val="16"/>
              </w:rPr>
            </w:pPr>
            <w:r w:rsidRPr="00625155">
              <w:rPr>
                <w:szCs w:val="16"/>
              </w:rPr>
              <w:t>8.7</w:t>
            </w:r>
          </w:p>
        </w:tc>
        <w:tc>
          <w:tcPr>
            <w:tcW w:w="849" w:type="dxa"/>
            <w:vAlign w:val="bottom"/>
          </w:tcPr>
          <w:p w14:paraId="07882AE3" w14:textId="77777777" w:rsidR="00AD376D" w:rsidRPr="00625155" w:rsidRDefault="00AD376D" w:rsidP="00C10E33">
            <w:pPr>
              <w:pStyle w:val="Summarytabletextrightaligned"/>
              <w:rPr>
                <w:szCs w:val="16"/>
              </w:rPr>
            </w:pPr>
            <w:r w:rsidRPr="00625155">
              <w:rPr>
                <w:szCs w:val="16"/>
              </w:rPr>
              <w:t>0.9</w:t>
            </w:r>
          </w:p>
        </w:tc>
        <w:tc>
          <w:tcPr>
            <w:tcW w:w="849" w:type="dxa"/>
            <w:vAlign w:val="bottom"/>
          </w:tcPr>
          <w:p w14:paraId="0DE1F18D" w14:textId="77777777" w:rsidR="00AD376D" w:rsidRPr="00625155" w:rsidRDefault="00AD376D" w:rsidP="00C10E33">
            <w:pPr>
              <w:pStyle w:val="Summarytabletextrightaligned"/>
              <w:rPr>
                <w:szCs w:val="16"/>
              </w:rPr>
            </w:pPr>
            <w:r w:rsidRPr="00625155">
              <w:rPr>
                <w:szCs w:val="16"/>
              </w:rPr>
              <w:t>0.9</w:t>
            </w:r>
          </w:p>
        </w:tc>
        <w:tc>
          <w:tcPr>
            <w:tcW w:w="849" w:type="dxa"/>
            <w:vAlign w:val="bottom"/>
          </w:tcPr>
          <w:p w14:paraId="2FFC72B5" w14:textId="77777777" w:rsidR="00AD376D" w:rsidRPr="00625155" w:rsidRDefault="00AD376D" w:rsidP="00C10E33">
            <w:pPr>
              <w:pStyle w:val="Summarytabletextrightaligned"/>
              <w:rPr>
                <w:szCs w:val="16"/>
              </w:rPr>
            </w:pPr>
            <w:r w:rsidRPr="00625155">
              <w:rPr>
                <w:szCs w:val="16"/>
              </w:rPr>
              <w:t>0.9</w:t>
            </w:r>
          </w:p>
        </w:tc>
      </w:tr>
      <w:tr w:rsidR="00AD376D" w:rsidRPr="00625155" w14:paraId="56A7EBE3" w14:textId="77777777" w:rsidTr="004F79EE">
        <w:tc>
          <w:tcPr>
            <w:tcW w:w="3464" w:type="dxa"/>
            <w:shd w:val="clear" w:color="auto" w:fill="auto"/>
            <w:vAlign w:val="bottom"/>
          </w:tcPr>
          <w:p w14:paraId="031B4E9A" w14:textId="77777777" w:rsidR="00AD376D" w:rsidRPr="00625155" w:rsidRDefault="00AD376D" w:rsidP="00C10E33">
            <w:pPr>
              <w:pStyle w:val="SummaryAgencyTitle-BP2"/>
              <w:rPr>
                <w:iCs/>
              </w:rPr>
            </w:pPr>
            <w:r w:rsidRPr="00625155">
              <w:rPr>
                <w:iCs/>
              </w:rPr>
              <w:t>Department of Health</w:t>
            </w:r>
          </w:p>
        </w:tc>
        <w:tc>
          <w:tcPr>
            <w:tcW w:w="849" w:type="dxa"/>
            <w:vAlign w:val="bottom"/>
          </w:tcPr>
          <w:p w14:paraId="49A31A20" w14:textId="77777777" w:rsidR="00AD376D" w:rsidRPr="00625155" w:rsidRDefault="00AD376D" w:rsidP="00C10E33">
            <w:pPr>
              <w:pStyle w:val="SummaryAgencyTitle-BP2"/>
              <w:rPr>
                <w:iCs/>
              </w:rPr>
            </w:pPr>
          </w:p>
        </w:tc>
        <w:tc>
          <w:tcPr>
            <w:tcW w:w="849" w:type="dxa"/>
            <w:shd w:val="clear" w:color="auto" w:fill="F2F9FC"/>
            <w:vAlign w:val="bottom"/>
          </w:tcPr>
          <w:p w14:paraId="112E2699" w14:textId="77777777" w:rsidR="00AD376D" w:rsidRPr="00625155" w:rsidRDefault="00AD376D" w:rsidP="00C10E33">
            <w:pPr>
              <w:pStyle w:val="SummaryAgencyTitle-BP2"/>
              <w:rPr>
                <w:iCs/>
              </w:rPr>
            </w:pPr>
          </w:p>
        </w:tc>
        <w:tc>
          <w:tcPr>
            <w:tcW w:w="849" w:type="dxa"/>
            <w:vAlign w:val="bottom"/>
          </w:tcPr>
          <w:p w14:paraId="328B79C6" w14:textId="77777777" w:rsidR="00AD376D" w:rsidRPr="00625155" w:rsidRDefault="00AD376D" w:rsidP="00C10E33">
            <w:pPr>
              <w:pStyle w:val="SummaryAgencyTitle-BP2"/>
              <w:rPr>
                <w:iCs/>
              </w:rPr>
            </w:pPr>
          </w:p>
        </w:tc>
        <w:tc>
          <w:tcPr>
            <w:tcW w:w="849" w:type="dxa"/>
            <w:vAlign w:val="bottom"/>
          </w:tcPr>
          <w:p w14:paraId="2BCB71A1" w14:textId="77777777" w:rsidR="00AD376D" w:rsidRPr="00625155" w:rsidRDefault="00AD376D" w:rsidP="00C10E33">
            <w:pPr>
              <w:pStyle w:val="SummaryAgencyTitle-BP2"/>
              <w:rPr>
                <w:iCs/>
              </w:rPr>
            </w:pPr>
          </w:p>
        </w:tc>
        <w:tc>
          <w:tcPr>
            <w:tcW w:w="849" w:type="dxa"/>
            <w:vAlign w:val="bottom"/>
          </w:tcPr>
          <w:p w14:paraId="36D2F904" w14:textId="77777777" w:rsidR="00AD376D" w:rsidRPr="00625155" w:rsidRDefault="00AD376D" w:rsidP="00C10E33">
            <w:pPr>
              <w:pStyle w:val="SummaryAgencyTitle-BP2"/>
              <w:rPr>
                <w:iCs/>
              </w:rPr>
            </w:pPr>
          </w:p>
        </w:tc>
      </w:tr>
      <w:tr w:rsidR="004F79EE" w:rsidRPr="00625155" w14:paraId="133E49B1" w14:textId="77777777" w:rsidTr="004F79EE">
        <w:tc>
          <w:tcPr>
            <w:tcW w:w="3464" w:type="dxa"/>
            <w:shd w:val="clear" w:color="auto" w:fill="auto"/>
            <w:vAlign w:val="bottom"/>
          </w:tcPr>
          <w:p w14:paraId="7AAB43A3" w14:textId="32FAEFF6" w:rsidR="004F79EE" w:rsidRPr="00625155" w:rsidRDefault="004F79EE" w:rsidP="004F79EE">
            <w:pPr>
              <w:pStyle w:val="SummaryMeasureTitlewithTheme"/>
              <w:rPr>
                <w:color w:val="auto"/>
              </w:rPr>
            </w:pPr>
            <w:r w:rsidRPr="00625155">
              <w:rPr>
                <w:color w:val="auto"/>
              </w:rPr>
              <w:t>Centre for National Resilience – continuation(</w:t>
            </w:r>
            <w:r>
              <w:rPr>
                <w:color w:val="auto"/>
              </w:rPr>
              <w:t>aa</w:t>
            </w:r>
            <w:r w:rsidRPr="00625155">
              <w:rPr>
                <w:color w:val="auto"/>
              </w:rPr>
              <w:t>)</w:t>
            </w:r>
          </w:p>
        </w:tc>
        <w:tc>
          <w:tcPr>
            <w:tcW w:w="849" w:type="dxa"/>
            <w:vAlign w:val="bottom"/>
          </w:tcPr>
          <w:p w14:paraId="174EADCB" w14:textId="5C776792" w:rsidR="004F79EE" w:rsidRPr="00625155" w:rsidRDefault="00660645" w:rsidP="004F79EE">
            <w:pPr>
              <w:pStyle w:val="Summarytabletextrightaligned"/>
              <w:rPr>
                <w:szCs w:val="16"/>
              </w:rPr>
            </w:pPr>
            <w:r>
              <w:rPr>
                <w:szCs w:val="16"/>
              </w:rPr>
              <w:noBreakHyphen/>
            </w:r>
          </w:p>
        </w:tc>
        <w:tc>
          <w:tcPr>
            <w:tcW w:w="849" w:type="dxa"/>
            <w:shd w:val="clear" w:color="auto" w:fill="F2F9FC"/>
            <w:vAlign w:val="bottom"/>
          </w:tcPr>
          <w:p w14:paraId="406DF5AD" w14:textId="38D9B2E9" w:rsidR="004F79EE" w:rsidRPr="00625155" w:rsidRDefault="00660645" w:rsidP="004F79EE">
            <w:pPr>
              <w:pStyle w:val="Summarytabletextrightaligned"/>
              <w:rPr>
                <w:szCs w:val="16"/>
              </w:rPr>
            </w:pPr>
            <w:r>
              <w:rPr>
                <w:szCs w:val="16"/>
              </w:rPr>
              <w:noBreakHyphen/>
            </w:r>
          </w:p>
        </w:tc>
        <w:tc>
          <w:tcPr>
            <w:tcW w:w="849" w:type="dxa"/>
            <w:vAlign w:val="bottom"/>
          </w:tcPr>
          <w:p w14:paraId="5576B8C6" w14:textId="3A83ECC1" w:rsidR="004F79EE" w:rsidRPr="00625155" w:rsidDel="00C901F4" w:rsidRDefault="00660645" w:rsidP="004F79EE">
            <w:pPr>
              <w:pStyle w:val="Summarytabletextrightaligned"/>
              <w:rPr>
                <w:szCs w:val="16"/>
              </w:rPr>
            </w:pPr>
            <w:r>
              <w:rPr>
                <w:szCs w:val="16"/>
              </w:rPr>
              <w:noBreakHyphen/>
            </w:r>
          </w:p>
        </w:tc>
        <w:tc>
          <w:tcPr>
            <w:tcW w:w="849" w:type="dxa"/>
            <w:vAlign w:val="bottom"/>
          </w:tcPr>
          <w:p w14:paraId="469B7658" w14:textId="19326AE2" w:rsidR="004F79EE" w:rsidRPr="00625155" w:rsidDel="00C901F4" w:rsidRDefault="00660645" w:rsidP="004F79EE">
            <w:pPr>
              <w:pStyle w:val="Summarytabletextrightaligned"/>
              <w:rPr>
                <w:szCs w:val="16"/>
              </w:rPr>
            </w:pPr>
            <w:r>
              <w:rPr>
                <w:szCs w:val="16"/>
              </w:rPr>
              <w:noBreakHyphen/>
            </w:r>
          </w:p>
        </w:tc>
        <w:tc>
          <w:tcPr>
            <w:tcW w:w="849" w:type="dxa"/>
            <w:vAlign w:val="bottom"/>
          </w:tcPr>
          <w:p w14:paraId="5517F5D2" w14:textId="7B81E566" w:rsidR="004F79EE" w:rsidRPr="00625155" w:rsidDel="00C901F4" w:rsidRDefault="00660645" w:rsidP="004F79EE">
            <w:pPr>
              <w:pStyle w:val="Summarytabletextrightaligned"/>
              <w:rPr>
                <w:szCs w:val="16"/>
              </w:rPr>
            </w:pPr>
            <w:r>
              <w:rPr>
                <w:szCs w:val="16"/>
              </w:rPr>
              <w:noBreakHyphen/>
            </w:r>
          </w:p>
        </w:tc>
      </w:tr>
      <w:tr w:rsidR="00AD376D" w:rsidRPr="00625155" w14:paraId="7659FB1D" w14:textId="77777777" w:rsidTr="004F79EE">
        <w:tc>
          <w:tcPr>
            <w:tcW w:w="3464" w:type="dxa"/>
            <w:shd w:val="clear" w:color="auto" w:fill="auto"/>
            <w:vAlign w:val="bottom"/>
          </w:tcPr>
          <w:p w14:paraId="031150B7" w14:textId="61FEBF30" w:rsidR="00AD376D" w:rsidRPr="00625155" w:rsidRDefault="00AD376D" w:rsidP="00C10E33">
            <w:pPr>
              <w:pStyle w:val="SummaryMeasureTitlewithTheme"/>
              <w:rPr>
                <w:color w:val="auto"/>
              </w:rPr>
            </w:pPr>
            <w:r w:rsidRPr="00625155">
              <w:rPr>
                <w:color w:val="auto"/>
              </w:rPr>
              <w:t>COVID</w:t>
            </w:r>
            <w:r w:rsidR="00660645">
              <w:rPr>
                <w:color w:val="auto"/>
              </w:rPr>
              <w:noBreakHyphen/>
            </w:r>
            <w:r w:rsidRPr="00625155">
              <w:rPr>
                <w:color w:val="auto"/>
              </w:rPr>
              <w:t>19 Response Package – treatments(b)(</w:t>
            </w:r>
            <w:r w:rsidR="0011539C">
              <w:rPr>
                <w:color w:val="auto"/>
              </w:rPr>
              <w:t>p</w:t>
            </w:r>
            <w:r w:rsidRPr="00625155">
              <w:rPr>
                <w:color w:val="auto"/>
              </w:rPr>
              <w:t>)</w:t>
            </w:r>
          </w:p>
        </w:tc>
        <w:tc>
          <w:tcPr>
            <w:tcW w:w="849" w:type="dxa"/>
            <w:vAlign w:val="bottom"/>
          </w:tcPr>
          <w:p w14:paraId="4A522983" w14:textId="77777777" w:rsidR="00AD376D" w:rsidRPr="00625155" w:rsidRDefault="00AD376D" w:rsidP="00C10E33">
            <w:pPr>
              <w:pStyle w:val="Summarytabletextrightaligned"/>
              <w:rPr>
                <w:szCs w:val="16"/>
              </w:rPr>
            </w:pPr>
            <w:r w:rsidRPr="00625155">
              <w:rPr>
                <w:szCs w:val="16"/>
              </w:rPr>
              <w:t>168.6</w:t>
            </w:r>
          </w:p>
        </w:tc>
        <w:tc>
          <w:tcPr>
            <w:tcW w:w="849" w:type="dxa"/>
            <w:shd w:val="clear" w:color="auto" w:fill="F2F9FC"/>
            <w:vAlign w:val="bottom"/>
          </w:tcPr>
          <w:p w14:paraId="4D0F66CD" w14:textId="77777777" w:rsidR="00AD376D" w:rsidRPr="00625155" w:rsidRDefault="00AD376D" w:rsidP="00C10E33">
            <w:pPr>
              <w:pStyle w:val="Summarytabletextrightaligned"/>
              <w:rPr>
                <w:szCs w:val="16"/>
              </w:rPr>
            </w:pPr>
            <w:r w:rsidRPr="00625155">
              <w:rPr>
                <w:szCs w:val="16"/>
              </w:rPr>
              <w:t>841.9</w:t>
            </w:r>
          </w:p>
        </w:tc>
        <w:tc>
          <w:tcPr>
            <w:tcW w:w="849" w:type="dxa"/>
            <w:vAlign w:val="bottom"/>
          </w:tcPr>
          <w:p w14:paraId="62E799A4" w14:textId="707E4629" w:rsidR="00AD376D" w:rsidRPr="00625155" w:rsidRDefault="00660645" w:rsidP="00C10E33">
            <w:pPr>
              <w:pStyle w:val="Summarytabletextrightaligned"/>
              <w:rPr>
                <w:szCs w:val="16"/>
              </w:rPr>
            </w:pPr>
            <w:r>
              <w:rPr>
                <w:szCs w:val="16"/>
              </w:rPr>
              <w:noBreakHyphen/>
            </w:r>
          </w:p>
        </w:tc>
        <w:tc>
          <w:tcPr>
            <w:tcW w:w="849" w:type="dxa"/>
            <w:vAlign w:val="bottom"/>
          </w:tcPr>
          <w:p w14:paraId="69FE1A3E" w14:textId="0CF1B374" w:rsidR="00AD376D" w:rsidRPr="00625155" w:rsidRDefault="00660645" w:rsidP="00C10E33">
            <w:pPr>
              <w:pStyle w:val="Summarytabletextrightaligned"/>
              <w:rPr>
                <w:szCs w:val="16"/>
              </w:rPr>
            </w:pPr>
            <w:r>
              <w:rPr>
                <w:szCs w:val="16"/>
              </w:rPr>
              <w:noBreakHyphen/>
            </w:r>
          </w:p>
        </w:tc>
        <w:tc>
          <w:tcPr>
            <w:tcW w:w="849" w:type="dxa"/>
            <w:vAlign w:val="bottom"/>
          </w:tcPr>
          <w:p w14:paraId="5441AB6B" w14:textId="1572BBAF" w:rsidR="00AD376D" w:rsidRPr="00625155" w:rsidRDefault="00660645" w:rsidP="00C10E33">
            <w:pPr>
              <w:pStyle w:val="Summarytabletextrightaligned"/>
              <w:rPr>
                <w:szCs w:val="16"/>
              </w:rPr>
            </w:pPr>
            <w:r>
              <w:rPr>
                <w:szCs w:val="16"/>
              </w:rPr>
              <w:noBreakHyphen/>
            </w:r>
          </w:p>
        </w:tc>
      </w:tr>
      <w:tr w:rsidR="00AD376D" w:rsidRPr="00625155" w14:paraId="20E36749" w14:textId="77777777" w:rsidTr="004F79EE">
        <w:tc>
          <w:tcPr>
            <w:tcW w:w="3464" w:type="dxa"/>
            <w:shd w:val="clear" w:color="auto" w:fill="auto"/>
            <w:vAlign w:val="bottom"/>
          </w:tcPr>
          <w:p w14:paraId="7503802B" w14:textId="44C7854A" w:rsidR="00AD376D" w:rsidRPr="00625155" w:rsidRDefault="00AD376D" w:rsidP="00C10E33">
            <w:pPr>
              <w:pStyle w:val="SummaryMeasureTitlewithTheme"/>
              <w:rPr>
                <w:color w:val="auto"/>
              </w:rPr>
            </w:pPr>
            <w:r w:rsidRPr="00625155">
              <w:rPr>
                <w:color w:val="auto"/>
              </w:rPr>
              <w:t>National Centre of Excellence in Intellectual Disability Health(</w:t>
            </w:r>
            <w:r w:rsidR="0011539C">
              <w:rPr>
                <w:color w:val="auto"/>
              </w:rPr>
              <w:t>q</w:t>
            </w:r>
            <w:r w:rsidRPr="00625155">
              <w:rPr>
                <w:color w:val="auto"/>
              </w:rPr>
              <w:t>)</w:t>
            </w:r>
          </w:p>
        </w:tc>
        <w:tc>
          <w:tcPr>
            <w:tcW w:w="849" w:type="dxa"/>
            <w:vAlign w:val="bottom"/>
          </w:tcPr>
          <w:p w14:paraId="2258DC8C" w14:textId="50B282D1" w:rsidR="00AD376D" w:rsidRPr="00625155" w:rsidRDefault="00660645" w:rsidP="00C10E33">
            <w:pPr>
              <w:pStyle w:val="Summarytabletextrightaligned"/>
              <w:rPr>
                <w:szCs w:val="16"/>
              </w:rPr>
            </w:pPr>
            <w:r>
              <w:rPr>
                <w:szCs w:val="16"/>
              </w:rPr>
              <w:noBreakHyphen/>
            </w:r>
          </w:p>
        </w:tc>
        <w:tc>
          <w:tcPr>
            <w:tcW w:w="849" w:type="dxa"/>
            <w:shd w:val="clear" w:color="auto" w:fill="F2F9FC"/>
            <w:vAlign w:val="bottom"/>
          </w:tcPr>
          <w:p w14:paraId="4611A221" w14:textId="2B107504" w:rsidR="00AD376D" w:rsidRPr="00625155" w:rsidRDefault="00660645" w:rsidP="00C10E33">
            <w:pPr>
              <w:pStyle w:val="Summarytabletextrightaligned"/>
              <w:rPr>
                <w:szCs w:val="16"/>
              </w:rPr>
            </w:pPr>
            <w:r>
              <w:rPr>
                <w:szCs w:val="16"/>
              </w:rPr>
              <w:noBreakHyphen/>
            </w:r>
          </w:p>
        </w:tc>
        <w:tc>
          <w:tcPr>
            <w:tcW w:w="849" w:type="dxa"/>
            <w:vAlign w:val="bottom"/>
          </w:tcPr>
          <w:p w14:paraId="2D859977" w14:textId="2EB8BA29" w:rsidR="00AD376D" w:rsidRPr="00625155" w:rsidRDefault="00660645" w:rsidP="00C10E33">
            <w:pPr>
              <w:pStyle w:val="Summarytabletextrightaligned"/>
              <w:rPr>
                <w:szCs w:val="16"/>
              </w:rPr>
            </w:pPr>
            <w:r>
              <w:rPr>
                <w:szCs w:val="16"/>
              </w:rPr>
              <w:noBreakHyphen/>
            </w:r>
          </w:p>
        </w:tc>
        <w:tc>
          <w:tcPr>
            <w:tcW w:w="849" w:type="dxa"/>
            <w:vAlign w:val="bottom"/>
          </w:tcPr>
          <w:p w14:paraId="795D3D06" w14:textId="19250DB6" w:rsidR="00AD376D" w:rsidRPr="00625155" w:rsidRDefault="00660645" w:rsidP="00C10E33">
            <w:pPr>
              <w:pStyle w:val="Summarytabletextrightaligned"/>
              <w:rPr>
                <w:szCs w:val="16"/>
              </w:rPr>
            </w:pPr>
            <w:r>
              <w:rPr>
                <w:szCs w:val="16"/>
              </w:rPr>
              <w:noBreakHyphen/>
            </w:r>
          </w:p>
        </w:tc>
        <w:tc>
          <w:tcPr>
            <w:tcW w:w="849" w:type="dxa"/>
            <w:vAlign w:val="bottom"/>
          </w:tcPr>
          <w:p w14:paraId="08FB045F" w14:textId="37C18FAE" w:rsidR="00AD376D" w:rsidRPr="00625155" w:rsidRDefault="00660645" w:rsidP="00C10E33">
            <w:pPr>
              <w:pStyle w:val="Summarytabletextrightaligned"/>
              <w:rPr>
                <w:szCs w:val="16"/>
              </w:rPr>
            </w:pPr>
            <w:r>
              <w:rPr>
                <w:szCs w:val="16"/>
              </w:rPr>
              <w:noBreakHyphen/>
            </w:r>
          </w:p>
        </w:tc>
      </w:tr>
      <w:tr w:rsidR="00AD376D" w:rsidRPr="00625155" w14:paraId="10EA96D2" w14:textId="77777777" w:rsidTr="004F79EE">
        <w:tc>
          <w:tcPr>
            <w:tcW w:w="3464" w:type="dxa"/>
            <w:shd w:val="clear" w:color="auto" w:fill="auto"/>
            <w:vAlign w:val="bottom"/>
          </w:tcPr>
          <w:p w14:paraId="4EFE2CE4" w14:textId="1E9B42D4" w:rsidR="00AD376D" w:rsidRPr="00625155" w:rsidRDefault="00AD376D" w:rsidP="00C10E33">
            <w:pPr>
              <w:pStyle w:val="SummaryMeasureTitlewithTheme"/>
              <w:rPr>
                <w:color w:val="auto"/>
              </w:rPr>
            </w:pPr>
            <w:r w:rsidRPr="00625155">
              <w:rPr>
                <w:color w:val="auto"/>
              </w:rPr>
              <w:t xml:space="preserve">Pharmaceutical Benefits Scheme – </w:t>
            </w:r>
            <w:r w:rsidR="00B7416C">
              <w:rPr>
                <w:color w:val="auto"/>
              </w:rPr>
              <w:t>n</w:t>
            </w:r>
            <w:r w:rsidRPr="00625155">
              <w:rPr>
                <w:color w:val="auto"/>
              </w:rPr>
              <w:t>ew</w:t>
            </w:r>
            <w:r w:rsidR="00DD284C" w:rsidRPr="00625155">
              <w:rPr>
                <w:color w:val="auto"/>
              </w:rPr>
              <w:t> </w:t>
            </w:r>
            <w:r w:rsidRPr="00625155">
              <w:rPr>
                <w:color w:val="auto"/>
              </w:rPr>
              <w:t>and</w:t>
            </w:r>
            <w:r w:rsidR="0087340F">
              <w:rPr>
                <w:color w:val="auto"/>
              </w:rPr>
              <w:t xml:space="preserve"> a</w:t>
            </w:r>
            <w:r w:rsidRPr="00625155">
              <w:rPr>
                <w:color w:val="auto"/>
              </w:rPr>
              <w:t xml:space="preserve">mended </w:t>
            </w:r>
            <w:r w:rsidR="0087340F">
              <w:rPr>
                <w:color w:val="auto"/>
              </w:rPr>
              <w:t>l</w:t>
            </w:r>
            <w:r w:rsidRPr="00625155">
              <w:rPr>
                <w:color w:val="auto"/>
              </w:rPr>
              <w:t>istings(</w:t>
            </w:r>
            <w:r w:rsidR="0011539C">
              <w:rPr>
                <w:color w:val="auto"/>
              </w:rPr>
              <w:t>r</w:t>
            </w:r>
            <w:r w:rsidRPr="00625155">
              <w:rPr>
                <w:color w:val="auto"/>
              </w:rPr>
              <w:t>)</w:t>
            </w:r>
          </w:p>
        </w:tc>
        <w:tc>
          <w:tcPr>
            <w:tcW w:w="849" w:type="dxa"/>
            <w:tcBorders>
              <w:bottom w:val="single" w:sz="4" w:space="0" w:color="auto"/>
            </w:tcBorders>
            <w:vAlign w:val="bottom"/>
          </w:tcPr>
          <w:p w14:paraId="080D0AB6" w14:textId="77777777" w:rsidR="00AD376D" w:rsidRPr="00625155" w:rsidRDefault="00AD376D" w:rsidP="00C10E33">
            <w:pPr>
              <w:pStyle w:val="Summarytabletextrightaligned"/>
              <w:rPr>
                <w:szCs w:val="16"/>
              </w:rPr>
            </w:pPr>
            <w:r w:rsidRPr="00625155">
              <w:rPr>
                <w:szCs w:val="16"/>
              </w:rPr>
              <w:t>0.7</w:t>
            </w:r>
          </w:p>
        </w:tc>
        <w:tc>
          <w:tcPr>
            <w:tcW w:w="849" w:type="dxa"/>
            <w:tcBorders>
              <w:bottom w:val="single" w:sz="4" w:space="0" w:color="auto"/>
            </w:tcBorders>
            <w:shd w:val="clear" w:color="auto" w:fill="F2F9FC"/>
            <w:vAlign w:val="bottom"/>
          </w:tcPr>
          <w:p w14:paraId="7760A076" w14:textId="77777777" w:rsidR="00AD376D" w:rsidRPr="00625155" w:rsidRDefault="00AD376D" w:rsidP="00C10E33">
            <w:pPr>
              <w:pStyle w:val="Summarytabletextrightaligned"/>
              <w:rPr>
                <w:szCs w:val="16"/>
              </w:rPr>
            </w:pPr>
            <w:r w:rsidRPr="00625155">
              <w:rPr>
                <w:szCs w:val="16"/>
              </w:rPr>
              <w:t>4.3</w:t>
            </w:r>
          </w:p>
        </w:tc>
        <w:tc>
          <w:tcPr>
            <w:tcW w:w="849" w:type="dxa"/>
            <w:tcBorders>
              <w:bottom w:val="single" w:sz="4" w:space="0" w:color="auto"/>
            </w:tcBorders>
            <w:vAlign w:val="bottom"/>
          </w:tcPr>
          <w:p w14:paraId="50F8BF7C" w14:textId="77777777" w:rsidR="00AD376D" w:rsidRPr="00625155" w:rsidRDefault="00AD376D" w:rsidP="00C10E33">
            <w:pPr>
              <w:pStyle w:val="Summarytabletextrightaligned"/>
              <w:rPr>
                <w:szCs w:val="16"/>
              </w:rPr>
            </w:pPr>
            <w:r w:rsidRPr="00625155">
              <w:rPr>
                <w:szCs w:val="16"/>
              </w:rPr>
              <w:t>4.7</w:t>
            </w:r>
          </w:p>
        </w:tc>
        <w:tc>
          <w:tcPr>
            <w:tcW w:w="849" w:type="dxa"/>
            <w:tcBorders>
              <w:bottom w:val="single" w:sz="4" w:space="0" w:color="auto"/>
            </w:tcBorders>
            <w:vAlign w:val="bottom"/>
          </w:tcPr>
          <w:p w14:paraId="71D6D22F" w14:textId="77777777" w:rsidR="00AD376D" w:rsidRPr="00625155" w:rsidRDefault="00AD376D" w:rsidP="00C10E33">
            <w:pPr>
              <w:pStyle w:val="Summarytabletextrightaligned"/>
              <w:rPr>
                <w:szCs w:val="16"/>
              </w:rPr>
            </w:pPr>
            <w:r w:rsidRPr="00625155">
              <w:rPr>
                <w:szCs w:val="16"/>
              </w:rPr>
              <w:t>5.3</w:t>
            </w:r>
          </w:p>
        </w:tc>
        <w:tc>
          <w:tcPr>
            <w:tcW w:w="849" w:type="dxa"/>
            <w:tcBorders>
              <w:bottom w:val="single" w:sz="4" w:space="0" w:color="auto"/>
            </w:tcBorders>
            <w:vAlign w:val="bottom"/>
          </w:tcPr>
          <w:p w14:paraId="594A429E" w14:textId="77777777" w:rsidR="00AD376D" w:rsidRPr="00625155" w:rsidRDefault="00AD376D" w:rsidP="00C10E33">
            <w:pPr>
              <w:pStyle w:val="Summarytabletextrightaligned"/>
              <w:rPr>
                <w:szCs w:val="16"/>
              </w:rPr>
            </w:pPr>
            <w:r w:rsidRPr="00625155">
              <w:rPr>
                <w:szCs w:val="16"/>
              </w:rPr>
              <w:t>5.9</w:t>
            </w:r>
          </w:p>
        </w:tc>
      </w:tr>
      <w:tr w:rsidR="00AD376D" w:rsidRPr="00625155" w14:paraId="5E778E27" w14:textId="77777777" w:rsidTr="004F79EE">
        <w:tc>
          <w:tcPr>
            <w:tcW w:w="3464" w:type="dxa"/>
            <w:shd w:val="clear" w:color="auto" w:fill="auto"/>
            <w:vAlign w:val="bottom"/>
          </w:tcPr>
          <w:p w14:paraId="12A8AD97"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6C182F47" w14:textId="77777777" w:rsidR="00AD376D" w:rsidRPr="00625155" w:rsidRDefault="00AD376D" w:rsidP="00C10E33">
            <w:pPr>
              <w:pStyle w:val="Summarytabletextrightalignedbold"/>
              <w:rPr>
                <w:bCs/>
                <w:szCs w:val="16"/>
              </w:rPr>
            </w:pPr>
            <w:r w:rsidRPr="00625155">
              <w:rPr>
                <w:bCs/>
                <w:szCs w:val="16"/>
              </w:rPr>
              <w:t>169.3</w:t>
            </w:r>
          </w:p>
        </w:tc>
        <w:tc>
          <w:tcPr>
            <w:tcW w:w="849" w:type="dxa"/>
            <w:tcBorders>
              <w:top w:val="single" w:sz="4" w:space="0" w:color="auto"/>
              <w:bottom w:val="single" w:sz="4" w:space="0" w:color="auto"/>
            </w:tcBorders>
            <w:shd w:val="clear" w:color="auto" w:fill="F2F9FC"/>
            <w:vAlign w:val="bottom"/>
          </w:tcPr>
          <w:p w14:paraId="76DAA42F" w14:textId="77777777" w:rsidR="00AD376D" w:rsidRPr="00625155" w:rsidRDefault="00AD376D" w:rsidP="00C10E33">
            <w:pPr>
              <w:pStyle w:val="Summarytabletextrightalignedbold"/>
              <w:rPr>
                <w:bCs/>
                <w:szCs w:val="16"/>
              </w:rPr>
            </w:pPr>
            <w:r w:rsidRPr="00625155">
              <w:rPr>
                <w:bCs/>
                <w:szCs w:val="16"/>
              </w:rPr>
              <w:t>854.9</w:t>
            </w:r>
          </w:p>
        </w:tc>
        <w:tc>
          <w:tcPr>
            <w:tcW w:w="849" w:type="dxa"/>
            <w:tcBorders>
              <w:top w:val="single" w:sz="4" w:space="0" w:color="auto"/>
              <w:bottom w:val="single" w:sz="4" w:space="0" w:color="auto"/>
            </w:tcBorders>
            <w:vAlign w:val="bottom"/>
          </w:tcPr>
          <w:p w14:paraId="3CD9A6C5" w14:textId="77777777" w:rsidR="00AD376D" w:rsidRPr="00625155" w:rsidRDefault="00AD376D" w:rsidP="00C10E33">
            <w:pPr>
              <w:pStyle w:val="Summarytabletextrightalignedbold"/>
              <w:rPr>
                <w:bCs/>
                <w:szCs w:val="16"/>
              </w:rPr>
            </w:pPr>
            <w:r w:rsidRPr="00625155">
              <w:rPr>
                <w:bCs/>
                <w:szCs w:val="16"/>
              </w:rPr>
              <w:t>5.6</w:t>
            </w:r>
          </w:p>
        </w:tc>
        <w:tc>
          <w:tcPr>
            <w:tcW w:w="849" w:type="dxa"/>
            <w:tcBorders>
              <w:top w:val="single" w:sz="4" w:space="0" w:color="auto"/>
              <w:bottom w:val="single" w:sz="4" w:space="0" w:color="auto"/>
            </w:tcBorders>
            <w:vAlign w:val="bottom"/>
          </w:tcPr>
          <w:p w14:paraId="04DFAB9C" w14:textId="77777777" w:rsidR="00AD376D" w:rsidRPr="00625155" w:rsidRDefault="00AD376D" w:rsidP="00C10E33">
            <w:pPr>
              <w:pStyle w:val="Summarytabletextrightalignedbold"/>
              <w:rPr>
                <w:bCs/>
                <w:szCs w:val="16"/>
              </w:rPr>
            </w:pPr>
            <w:r w:rsidRPr="00625155">
              <w:rPr>
                <w:bCs/>
                <w:szCs w:val="16"/>
              </w:rPr>
              <w:t>6.2</w:t>
            </w:r>
          </w:p>
        </w:tc>
        <w:tc>
          <w:tcPr>
            <w:tcW w:w="849" w:type="dxa"/>
            <w:tcBorders>
              <w:top w:val="single" w:sz="4" w:space="0" w:color="auto"/>
              <w:bottom w:val="single" w:sz="4" w:space="0" w:color="auto"/>
            </w:tcBorders>
            <w:vAlign w:val="bottom"/>
          </w:tcPr>
          <w:p w14:paraId="13C7438F" w14:textId="77777777" w:rsidR="00AD376D" w:rsidRPr="00625155" w:rsidRDefault="00AD376D" w:rsidP="00C10E33">
            <w:pPr>
              <w:pStyle w:val="Summarytabletextrightalignedbold"/>
              <w:rPr>
                <w:bCs/>
                <w:szCs w:val="16"/>
              </w:rPr>
            </w:pPr>
            <w:r w:rsidRPr="00625155">
              <w:rPr>
                <w:bCs/>
                <w:szCs w:val="16"/>
              </w:rPr>
              <w:t>6.8</w:t>
            </w:r>
          </w:p>
        </w:tc>
      </w:tr>
      <w:tr w:rsidR="00AD376D" w:rsidRPr="00625155" w14:paraId="2B28950C" w14:textId="77777777" w:rsidTr="004F79EE">
        <w:tc>
          <w:tcPr>
            <w:tcW w:w="3464" w:type="dxa"/>
            <w:shd w:val="clear" w:color="auto" w:fill="auto"/>
            <w:vAlign w:val="bottom"/>
          </w:tcPr>
          <w:p w14:paraId="2B9559C4" w14:textId="77777777" w:rsidR="00AD376D" w:rsidRPr="00625155" w:rsidRDefault="00AD376D" w:rsidP="00C10E33">
            <w:pPr>
              <w:pStyle w:val="SummaryPortfolioTitle-BP2"/>
            </w:pPr>
            <w:r w:rsidRPr="00625155">
              <w:t>HOME AFFAIRS</w:t>
            </w:r>
          </w:p>
        </w:tc>
        <w:tc>
          <w:tcPr>
            <w:tcW w:w="849" w:type="dxa"/>
            <w:tcBorders>
              <w:top w:val="single" w:sz="4" w:space="0" w:color="auto"/>
            </w:tcBorders>
            <w:vAlign w:val="bottom"/>
          </w:tcPr>
          <w:p w14:paraId="1BA187C0"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1EE19889"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4FA573B2"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195448C9"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517907AF" w14:textId="5A3BE952" w:rsidR="00AD376D" w:rsidRPr="00625155" w:rsidRDefault="00AD376D" w:rsidP="00C10E33">
            <w:pPr>
              <w:pStyle w:val="MeasureTableTextRightAlignedBefore6ptAfter1pt"/>
              <w:rPr>
                <w:b/>
                <w:bCs/>
                <w:color w:val="auto"/>
              </w:rPr>
            </w:pPr>
          </w:p>
        </w:tc>
      </w:tr>
      <w:tr w:rsidR="00AD376D" w:rsidRPr="00625155" w14:paraId="758072B6" w14:textId="77777777" w:rsidTr="004F79EE">
        <w:tc>
          <w:tcPr>
            <w:tcW w:w="3464" w:type="dxa"/>
            <w:shd w:val="clear" w:color="auto" w:fill="auto"/>
            <w:vAlign w:val="bottom"/>
          </w:tcPr>
          <w:p w14:paraId="4EEACA58" w14:textId="18732BF1" w:rsidR="00AD376D" w:rsidRPr="00625155" w:rsidRDefault="00AD376D" w:rsidP="00C10E33">
            <w:pPr>
              <w:pStyle w:val="SummaryAgencyTitle-BP2"/>
              <w:rPr>
                <w:iCs/>
              </w:rPr>
            </w:pPr>
            <w:r w:rsidRPr="00625155">
              <w:rPr>
                <w:iCs/>
              </w:rPr>
              <w:t>Department of Home Affairs</w:t>
            </w:r>
          </w:p>
        </w:tc>
        <w:tc>
          <w:tcPr>
            <w:tcW w:w="849" w:type="dxa"/>
            <w:vAlign w:val="bottom"/>
          </w:tcPr>
          <w:p w14:paraId="20617BC5" w14:textId="77777777" w:rsidR="00AD376D" w:rsidRPr="00625155" w:rsidRDefault="00AD376D" w:rsidP="00C10E33">
            <w:pPr>
              <w:pStyle w:val="SummaryAgencyTitle-BP2"/>
              <w:rPr>
                <w:iCs/>
              </w:rPr>
            </w:pPr>
          </w:p>
        </w:tc>
        <w:tc>
          <w:tcPr>
            <w:tcW w:w="849" w:type="dxa"/>
            <w:shd w:val="clear" w:color="auto" w:fill="F2F9FC"/>
            <w:vAlign w:val="bottom"/>
          </w:tcPr>
          <w:p w14:paraId="56D5FA53" w14:textId="77777777" w:rsidR="00AD376D" w:rsidRPr="00625155" w:rsidRDefault="00AD376D" w:rsidP="00C10E33">
            <w:pPr>
              <w:pStyle w:val="SummaryAgencyTitle-BP2"/>
              <w:rPr>
                <w:iCs/>
              </w:rPr>
            </w:pPr>
          </w:p>
        </w:tc>
        <w:tc>
          <w:tcPr>
            <w:tcW w:w="849" w:type="dxa"/>
            <w:vAlign w:val="bottom"/>
          </w:tcPr>
          <w:p w14:paraId="69F1201C" w14:textId="77777777" w:rsidR="00AD376D" w:rsidRPr="00625155" w:rsidRDefault="00AD376D" w:rsidP="00C10E33">
            <w:pPr>
              <w:pStyle w:val="SummaryAgencyTitle-BP2"/>
              <w:rPr>
                <w:iCs/>
              </w:rPr>
            </w:pPr>
          </w:p>
        </w:tc>
        <w:tc>
          <w:tcPr>
            <w:tcW w:w="849" w:type="dxa"/>
            <w:vAlign w:val="bottom"/>
          </w:tcPr>
          <w:p w14:paraId="6269C9D5" w14:textId="77777777" w:rsidR="00AD376D" w:rsidRPr="00625155" w:rsidRDefault="00AD376D" w:rsidP="00C10E33">
            <w:pPr>
              <w:pStyle w:val="SummaryAgencyTitle-BP2"/>
              <w:rPr>
                <w:iCs/>
              </w:rPr>
            </w:pPr>
          </w:p>
        </w:tc>
        <w:tc>
          <w:tcPr>
            <w:tcW w:w="849" w:type="dxa"/>
            <w:vAlign w:val="bottom"/>
          </w:tcPr>
          <w:p w14:paraId="0F70CD4B" w14:textId="77777777" w:rsidR="00AD376D" w:rsidRPr="00625155" w:rsidRDefault="00AD376D" w:rsidP="00C10E33">
            <w:pPr>
              <w:pStyle w:val="SummaryAgencyTitle-BP2"/>
              <w:rPr>
                <w:iCs/>
              </w:rPr>
            </w:pPr>
          </w:p>
        </w:tc>
      </w:tr>
      <w:tr w:rsidR="00AD376D" w:rsidRPr="00625155" w14:paraId="5BBE852A" w14:textId="77777777" w:rsidTr="004F79EE">
        <w:tc>
          <w:tcPr>
            <w:tcW w:w="3464" w:type="dxa"/>
            <w:shd w:val="clear" w:color="auto" w:fill="auto"/>
            <w:vAlign w:val="bottom"/>
          </w:tcPr>
          <w:p w14:paraId="5BBDA05C" w14:textId="1AC288DE" w:rsidR="00AD376D" w:rsidRPr="00625155" w:rsidRDefault="00AD376D" w:rsidP="00C10E33">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p>
        </w:tc>
        <w:tc>
          <w:tcPr>
            <w:tcW w:w="849" w:type="dxa"/>
            <w:tcBorders>
              <w:bottom w:val="single" w:sz="4" w:space="0" w:color="auto"/>
            </w:tcBorders>
            <w:vAlign w:val="bottom"/>
          </w:tcPr>
          <w:p w14:paraId="14BDC729" w14:textId="68576AAC"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shd w:val="clear" w:color="auto" w:fill="F2F9FC"/>
            <w:vAlign w:val="bottom"/>
          </w:tcPr>
          <w:p w14:paraId="4F8E2C49" w14:textId="77777777" w:rsidR="00AD376D" w:rsidRPr="00625155" w:rsidRDefault="00AD376D" w:rsidP="00C10E33">
            <w:pPr>
              <w:pStyle w:val="Summarytabletextrightaligned"/>
              <w:rPr>
                <w:szCs w:val="16"/>
              </w:rPr>
            </w:pPr>
            <w:r w:rsidRPr="00625155">
              <w:rPr>
                <w:szCs w:val="16"/>
              </w:rPr>
              <w:t>4.6</w:t>
            </w:r>
          </w:p>
        </w:tc>
        <w:tc>
          <w:tcPr>
            <w:tcW w:w="849" w:type="dxa"/>
            <w:tcBorders>
              <w:bottom w:val="single" w:sz="4" w:space="0" w:color="auto"/>
            </w:tcBorders>
            <w:vAlign w:val="bottom"/>
          </w:tcPr>
          <w:p w14:paraId="1C45D5CC" w14:textId="77777777" w:rsidR="00AD376D" w:rsidRPr="00625155" w:rsidRDefault="00AD376D" w:rsidP="00C10E33">
            <w:pPr>
              <w:pStyle w:val="Summarytabletextrightaligned"/>
              <w:rPr>
                <w:szCs w:val="16"/>
              </w:rPr>
            </w:pPr>
            <w:r w:rsidRPr="00625155">
              <w:rPr>
                <w:szCs w:val="16"/>
              </w:rPr>
              <w:t>0.9</w:t>
            </w:r>
          </w:p>
        </w:tc>
        <w:tc>
          <w:tcPr>
            <w:tcW w:w="849" w:type="dxa"/>
            <w:tcBorders>
              <w:bottom w:val="single" w:sz="4" w:space="0" w:color="auto"/>
            </w:tcBorders>
            <w:vAlign w:val="bottom"/>
          </w:tcPr>
          <w:p w14:paraId="3E27AE74" w14:textId="77777777" w:rsidR="00AD376D" w:rsidRPr="00625155" w:rsidRDefault="00AD376D" w:rsidP="00C10E33">
            <w:pPr>
              <w:pStyle w:val="Summarytabletextrightaligned"/>
              <w:rPr>
                <w:szCs w:val="16"/>
              </w:rPr>
            </w:pPr>
            <w:r w:rsidRPr="00625155">
              <w:rPr>
                <w:szCs w:val="16"/>
              </w:rPr>
              <w:t>0.4</w:t>
            </w:r>
          </w:p>
        </w:tc>
        <w:tc>
          <w:tcPr>
            <w:tcW w:w="849" w:type="dxa"/>
            <w:tcBorders>
              <w:bottom w:val="single" w:sz="4" w:space="0" w:color="auto"/>
            </w:tcBorders>
            <w:vAlign w:val="bottom"/>
          </w:tcPr>
          <w:p w14:paraId="135C6C96" w14:textId="77777777" w:rsidR="00AD376D" w:rsidRPr="00625155" w:rsidRDefault="00AD376D" w:rsidP="00C10E33">
            <w:pPr>
              <w:pStyle w:val="Summarytabletextrightaligned"/>
              <w:rPr>
                <w:szCs w:val="16"/>
              </w:rPr>
            </w:pPr>
            <w:r w:rsidRPr="00625155">
              <w:rPr>
                <w:szCs w:val="16"/>
              </w:rPr>
              <w:t>0.4</w:t>
            </w:r>
          </w:p>
        </w:tc>
      </w:tr>
      <w:tr w:rsidR="00AD376D" w:rsidRPr="00625155" w14:paraId="467C99D6" w14:textId="77777777" w:rsidTr="004F79EE">
        <w:tc>
          <w:tcPr>
            <w:tcW w:w="3464" w:type="dxa"/>
            <w:shd w:val="clear" w:color="auto" w:fill="auto"/>
            <w:vAlign w:val="bottom"/>
          </w:tcPr>
          <w:p w14:paraId="370791D2"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3871FEE7" w14:textId="42C2396C"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shd w:val="clear" w:color="auto" w:fill="F2F9FC"/>
            <w:vAlign w:val="bottom"/>
          </w:tcPr>
          <w:p w14:paraId="084CC70D" w14:textId="77777777" w:rsidR="00AD376D" w:rsidRPr="00625155" w:rsidRDefault="00AD376D" w:rsidP="00C10E33">
            <w:pPr>
              <w:pStyle w:val="Summarytabletextrightalignedbold"/>
              <w:rPr>
                <w:bCs/>
                <w:szCs w:val="16"/>
              </w:rPr>
            </w:pPr>
            <w:r w:rsidRPr="00625155">
              <w:rPr>
                <w:bCs/>
                <w:szCs w:val="16"/>
              </w:rPr>
              <w:t>4.6</w:t>
            </w:r>
          </w:p>
        </w:tc>
        <w:tc>
          <w:tcPr>
            <w:tcW w:w="849" w:type="dxa"/>
            <w:tcBorders>
              <w:top w:val="single" w:sz="4" w:space="0" w:color="auto"/>
              <w:bottom w:val="single" w:sz="4" w:space="0" w:color="auto"/>
            </w:tcBorders>
            <w:vAlign w:val="bottom"/>
          </w:tcPr>
          <w:p w14:paraId="047CFD1E" w14:textId="77777777" w:rsidR="00AD376D" w:rsidRPr="00625155" w:rsidRDefault="00AD376D" w:rsidP="00C10E33">
            <w:pPr>
              <w:pStyle w:val="Summarytabletextrightalignedbold"/>
              <w:rPr>
                <w:bCs/>
                <w:szCs w:val="16"/>
              </w:rPr>
            </w:pPr>
            <w:r w:rsidRPr="00625155">
              <w:rPr>
                <w:bCs/>
                <w:szCs w:val="16"/>
              </w:rPr>
              <w:t>0.9</w:t>
            </w:r>
          </w:p>
        </w:tc>
        <w:tc>
          <w:tcPr>
            <w:tcW w:w="849" w:type="dxa"/>
            <w:tcBorders>
              <w:top w:val="single" w:sz="4" w:space="0" w:color="auto"/>
              <w:bottom w:val="single" w:sz="4" w:space="0" w:color="auto"/>
            </w:tcBorders>
            <w:vAlign w:val="bottom"/>
          </w:tcPr>
          <w:p w14:paraId="4A070EA3" w14:textId="77777777" w:rsidR="00AD376D" w:rsidRPr="00625155" w:rsidRDefault="00AD376D" w:rsidP="00C10E33">
            <w:pPr>
              <w:pStyle w:val="Summarytabletextrightalignedbold"/>
              <w:rPr>
                <w:bCs/>
                <w:szCs w:val="16"/>
              </w:rPr>
            </w:pPr>
            <w:r w:rsidRPr="00625155">
              <w:rPr>
                <w:bCs/>
                <w:szCs w:val="16"/>
              </w:rPr>
              <w:t>0.4</w:t>
            </w:r>
          </w:p>
        </w:tc>
        <w:tc>
          <w:tcPr>
            <w:tcW w:w="849" w:type="dxa"/>
            <w:tcBorders>
              <w:top w:val="single" w:sz="4" w:space="0" w:color="auto"/>
              <w:bottom w:val="single" w:sz="4" w:space="0" w:color="auto"/>
            </w:tcBorders>
            <w:vAlign w:val="bottom"/>
          </w:tcPr>
          <w:p w14:paraId="0BC95989" w14:textId="34C5DEE9" w:rsidR="00AD376D" w:rsidRPr="00625155" w:rsidRDefault="00AD376D" w:rsidP="00C10E33">
            <w:pPr>
              <w:pStyle w:val="Summarytabletextrightalignedbold"/>
              <w:rPr>
                <w:bCs/>
                <w:szCs w:val="16"/>
              </w:rPr>
            </w:pPr>
            <w:r w:rsidRPr="00625155">
              <w:rPr>
                <w:bCs/>
                <w:szCs w:val="16"/>
              </w:rPr>
              <w:t>0.4</w:t>
            </w:r>
          </w:p>
        </w:tc>
      </w:tr>
      <w:tr w:rsidR="00AD376D" w:rsidRPr="00625155" w14:paraId="5101E9BB" w14:textId="77777777" w:rsidTr="004F79EE">
        <w:tc>
          <w:tcPr>
            <w:tcW w:w="3464" w:type="dxa"/>
            <w:shd w:val="clear" w:color="auto" w:fill="auto"/>
            <w:vAlign w:val="bottom"/>
          </w:tcPr>
          <w:p w14:paraId="35268201" w14:textId="0F06CF9D" w:rsidR="00AD376D" w:rsidRPr="00625155" w:rsidRDefault="00AD376D" w:rsidP="00C10E33">
            <w:pPr>
              <w:pStyle w:val="SummaryPortfolioTitle-BP2"/>
            </w:pPr>
            <w:r w:rsidRPr="00625155">
              <w:t>INDUSTRY, SCIENCE, ENERGY AND RESOURCES</w:t>
            </w:r>
          </w:p>
        </w:tc>
        <w:tc>
          <w:tcPr>
            <w:tcW w:w="849" w:type="dxa"/>
            <w:tcBorders>
              <w:top w:val="single" w:sz="4" w:space="0" w:color="auto"/>
            </w:tcBorders>
            <w:vAlign w:val="bottom"/>
          </w:tcPr>
          <w:p w14:paraId="21564359"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shd w:val="clear" w:color="auto" w:fill="F2F9FC"/>
            <w:vAlign w:val="bottom"/>
          </w:tcPr>
          <w:p w14:paraId="05625ECA"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29DB1A5D"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558F375A" w14:textId="77777777" w:rsidR="00AD376D" w:rsidRPr="00625155" w:rsidRDefault="00AD376D" w:rsidP="00C10E33">
            <w:pPr>
              <w:pStyle w:val="MeasureTableTextRightAlignedBefore6ptAfter1pt"/>
              <w:rPr>
                <w:b/>
                <w:bCs/>
                <w:color w:val="auto"/>
              </w:rPr>
            </w:pPr>
          </w:p>
        </w:tc>
        <w:tc>
          <w:tcPr>
            <w:tcW w:w="849" w:type="dxa"/>
            <w:tcBorders>
              <w:top w:val="single" w:sz="4" w:space="0" w:color="auto"/>
            </w:tcBorders>
            <w:vAlign w:val="bottom"/>
          </w:tcPr>
          <w:p w14:paraId="724B622A" w14:textId="45839AA7" w:rsidR="00AD376D" w:rsidRPr="00625155" w:rsidRDefault="00AD376D" w:rsidP="00C10E33">
            <w:pPr>
              <w:pStyle w:val="MeasureTableTextRightAlignedBefore6ptAfter1pt"/>
              <w:rPr>
                <w:b/>
                <w:bCs/>
                <w:color w:val="auto"/>
              </w:rPr>
            </w:pPr>
          </w:p>
        </w:tc>
      </w:tr>
      <w:tr w:rsidR="00AD376D" w:rsidRPr="00625155" w14:paraId="6C67CA92" w14:textId="77777777" w:rsidTr="004F79EE">
        <w:tc>
          <w:tcPr>
            <w:tcW w:w="3464" w:type="dxa"/>
            <w:shd w:val="clear" w:color="auto" w:fill="auto"/>
            <w:vAlign w:val="bottom"/>
          </w:tcPr>
          <w:p w14:paraId="51708A2B" w14:textId="546E4792" w:rsidR="00AD376D" w:rsidRPr="00625155" w:rsidRDefault="00AD376D" w:rsidP="00C10E33">
            <w:pPr>
              <w:pStyle w:val="SummaryAgencyTitle-BP2"/>
              <w:rPr>
                <w:iCs/>
              </w:rPr>
            </w:pPr>
            <w:r w:rsidRPr="00625155">
              <w:rPr>
                <w:iCs/>
              </w:rPr>
              <w:t>Department of Industry, Science, Energy and Resources</w:t>
            </w:r>
          </w:p>
        </w:tc>
        <w:tc>
          <w:tcPr>
            <w:tcW w:w="849" w:type="dxa"/>
            <w:vAlign w:val="bottom"/>
          </w:tcPr>
          <w:p w14:paraId="6571684A" w14:textId="77777777" w:rsidR="00AD376D" w:rsidRPr="00625155" w:rsidRDefault="00AD376D" w:rsidP="00C10E33">
            <w:pPr>
              <w:pStyle w:val="SummaryAgencyTitle-BP2"/>
              <w:rPr>
                <w:iCs/>
              </w:rPr>
            </w:pPr>
          </w:p>
        </w:tc>
        <w:tc>
          <w:tcPr>
            <w:tcW w:w="849" w:type="dxa"/>
            <w:shd w:val="clear" w:color="auto" w:fill="F2F9FC"/>
            <w:vAlign w:val="bottom"/>
          </w:tcPr>
          <w:p w14:paraId="4ABAC276" w14:textId="77777777" w:rsidR="00AD376D" w:rsidRPr="00625155" w:rsidRDefault="00AD376D" w:rsidP="00C10E33">
            <w:pPr>
              <w:pStyle w:val="SummaryAgencyTitle-BP2"/>
              <w:rPr>
                <w:iCs/>
              </w:rPr>
            </w:pPr>
          </w:p>
        </w:tc>
        <w:tc>
          <w:tcPr>
            <w:tcW w:w="849" w:type="dxa"/>
            <w:vAlign w:val="bottom"/>
          </w:tcPr>
          <w:p w14:paraId="79C31210" w14:textId="77777777" w:rsidR="00AD376D" w:rsidRPr="00625155" w:rsidRDefault="00AD376D" w:rsidP="00C10E33">
            <w:pPr>
              <w:pStyle w:val="SummaryAgencyTitle-BP2"/>
              <w:rPr>
                <w:iCs/>
              </w:rPr>
            </w:pPr>
          </w:p>
        </w:tc>
        <w:tc>
          <w:tcPr>
            <w:tcW w:w="849" w:type="dxa"/>
            <w:vAlign w:val="bottom"/>
          </w:tcPr>
          <w:p w14:paraId="4B98F0EA" w14:textId="77777777" w:rsidR="00AD376D" w:rsidRPr="00625155" w:rsidRDefault="00AD376D" w:rsidP="00C10E33">
            <w:pPr>
              <w:pStyle w:val="SummaryAgencyTitle-BP2"/>
              <w:rPr>
                <w:iCs/>
              </w:rPr>
            </w:pPr>
          </w:p>
        </w:tc>
        <w:tc>
          <w:tcPr>
            <w:tcW w:w="849" w:type="dxa"/>
            <w:vAlign w:val="bottom"/>
          </w:tcPr>
          <w:p w14:paraId="455F19A6" w14:textId="77777777" w:rsidR="00AD376D" w:rsidRPr="00625155" w:rsidRDefault="00AD376D" w:rsidP="00C10E33">
            <w:pPr>
              <w:pStyle w:val="SummaryAgencyTitle-BP2"/>
              <w:rPr>
                <w:iCs/>
              </w:rPr>
            </w:pPr>
          </w:p>
        </w:tc>
      </w:tr>
      <w:tr w:rsidR="00AD376D" w:rsidRPr="00625155" w14:paraId="2C8AA50A" w14:textId="77777777" w:rsidTr="004F79EE">
        <w:tc>
          <w:tcPr>
            <w:tcW w:w="3464" w:type="dxa"/>
            <w:shd w:val="clear" w:color="auto" w:fill="auto"/>
            <w:vAlign w:val="bottom"/>
          </w:tcPr>
          <w:p w14:paraId="64D33800" w14:textId="1F37BFEA" w:rsidR="00AD376D" w:rsidRPr="00625155" w:rsidRDefault="00AD376D" w:rsidP="00C10E33">
            <w:pPr>
              <w:pStyle w:val="SummaryMeasureTitlewithTheme"/>
              <w:rPr>
                <w:color w:val="auto"/>
              </w:rPr>
            </w:pPr>
            <w:r w:rsidRPr="00625155">
              <w:rPr>
                <w:color w:val="auto"/>
              </w:rPr>
              <w:t>Marinus Link(</w:t>
            </w:r>
            <w:r w:rsidR="0011539C">
              <w:rPr>
                <w:color w:val="auto"/>
              </w:rPr>
              <w:t>s</w:t>
            </w:r>
            <w:r w:rsidRPr="00625155">
              <w:rPr>
                <w:color w:val="auto"/>
              </w:rPr>
              <w:t>)</w:t>
            </w:r>
          </w:p>
        </w:tc>
        <w:tc>
          <w:tcPr>
            <w:tcW w:w="849" w:type="dxa"/>
            <w:vAlign w:val="bottom"/>
          </w:tcPr>
          <w:p w14:paraId="161846AC" w14:textId="1BE71529" w:rsidR="00AD376D" w:rsidRPr="00625155" w:rsidRDefault="00660645" w:rsidP="00C10E33">
            <w:pPr>
              <w:pStyle w:val="Summarytabletextrightaligned"/>
              <w:rPr>
                <w:szCs w:val="16"/>
              </w:rPr>
            </w:pPr>
            <w:r>
              <w:rPr>
                <w:szCs w:val="16"/>
              </w:rPr>
              <w:noBreakHyphen/>
            </w:r>
          </w:p>
        </w:tc>
        <w:tc>
          <w:tcPr>
            <w:tcW w:w="849" w:type="dxa"/>
            <w:shd w:val="clear" w:color="auto" w:fill="F2F9FC"/>
            <w:vAlign w:val="bottom"/>
          </w:tcPr>
          <w:p w14:paraId="3C5BF2D3" w14:textId="6C3034F5" w:rsidR="00AD376D" w:rsidRPr="00625155" w:rsidRDefault="00660645" w:rsidP="00C10E33">
            <w:pPr>
              <w:pStyle w:val="Summarytabletextrightaligned"/>
              <w:rPr>
                <w:szCs w:val="16"/>
              </w:rPr>
            </w:pPr>
            <w:r>
              <w:rPr>
                <w:szCs w:val="16"/>
              </w:rPr>
              <w:noBreakHyphen/>
            </w:r>
          </w:p>
        </w:tc>
        <w:tc>
          <w:tcPr>
            <w:tcW w:w="849" w:type="dxa"/>
            <w:vAlign w:val="bottom"/>
          </w:tcPr>
          <w:p w14:paraId="2E7F674A" w14:textId="2CC848D6" w:rsidR="00AD376D" w:rsidRPr="00625155" w:rsidRDefault="00660645" w:rsidP="00C10E33">
            <w:pPr>
              <w:pStyle w:val="Summarytabletextrightaligned"/>
              <w:rPr>
                <w:szCs w:val="16"/>
              </w:rPr>
            </w:pPr>
            <w:r>
              <w:rPr>
                <w:szCs w:val="16"/>
              </w:rPr>
              <w:noBreakHyphen/>
            </w:r>
          </w:p>
        </w:tc>
        <w:tc>
          <w:tcPr>
            <w:tcW w:w="849" w:type="dxa"/>
            <w:vAlign w:val="bottom"/>
          </w:tcPr>
          <w:p w14:paraId="68AA452B" w14:textId="621E3F8D" w:rsidR="00AD376D" w:rsidRPr="00625155" w:rsidRDefault="00660645" w:rsidP="00C10E33">
            <w:pPr>
              <w:pStyle w:val="Summarytabletextrightaligned"/>
              <w:rPr>
                <w:szCs w:val="16"/>
              </w:rPr>
            </w:pPr>
            <w:r>
              <w:rPr>
                <w:szCs w:val="16"/>
              </w:rPr>
              <w:noBreakHyphen/>
            </w:r>
          </w:p>
        </w:tc>
        <w:tc>
          <w:tcPr>
            <w:tcW w:w="849" w:type="dxa"/>
            <w:vAlign w:val="bottom"/>
          </w:tcPr>
          <w:p w14:paraId="672C60CE" w14:textId="642A981B" w:rsidR="00AD376D" w:rsidRPr="00625155" w:rsidRDefault="00660645" w:rsidP="00C10E33">
            <w:pPr>
              <w:pStyle w:val="Summarytabletextrightaligned"/>
              <w:rPr>
                <w:szCs w:val="16"/>
              </w:rPr>
            </w:pPr>
            <w:r>
              <w:rPr>
                <w:szCs w:val="16"/>
              </w:rPr>
              <w:noBreakHyphen/>
            </w:r>
          </w:p>
        </w:tc>
      </w:tr>
      <w:tr w:rsidR="00AD376D" w:rsidRPr="00625155" w14:paraId="3652DB1D" w14:textId="77777777" w:rsidTr="004F79EE">
        <w:tc>
          <w:tcPr>
            <w:tcW w:w="3464" w:type="dxa"/>
            <w:shd w:val="clear" w:color="auto" w:fill="auto"/>
            <w:vAlign w:val="bottom"/>
          </w:tcPr>
          <w:p w14:paraId="5DEA412E" w14:textId="61B5D416" w:rsidR="00AD376D" w:rsidRPr="00625155" w:rsidRDefault="00AD376D" w:rsidP="00C10E33">
            <w:pPr>
              <w:pStyle w:val="SummaryMeasureTitlewithTheme"/>
              <w:rPr>
                <w:color w:val="auto"/>
              </w:rPr>
            </w:pPr>
            <w:r w:rsidRPr="00625155">
              <w:rPr>
                <w:color w:val="auto"/>
              </w:rPr>
              <w:t>Tarraleah Hydro Power Plan</w:t>
            </w:r>
            <w:r w:rsidR="004F79EE">
              <w:rPr>
                <w:color w:val="auto"/>
              </w:rPr>
              <w:t>t</w:t>
            </w:r>
            <w:r w:rsidRPr="00625155">
              <w:rPr>
                <w:color w:val="auto"/>
              </w:rPr>
              <w:t>(</w:t>
            </w:r>
            <w:r w:rsidR="0011539C">
              <w:rPr>
                <w:color w:val="auto"/>
              </w:rPr>
              <w:t>t</w:t>
            </w:r>
            <w:r w:rsidRPr="00625155">
              <w:rPr>
                <w:color w:val="auto"/>
              </w:rPr>
              <w:t>)</w:t>
            </w:r>
          </w:p>
        </w:tc>
        <w:tc>
          <w:tcPr>
            <w:tcW w:w="849" w:type="dxa"/>
            <w:tcBorders>
              <w:bottom w:val="single" w:sz="4" w:space="0" w:color="auto"/>
            </w:tcBorders>
            <w:vAlign w:val="bottom"/>
          </w:tcPr>
          <w:p w14:paraId="7ED365A9" w14:textId="775C9C82"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shd w:val="clear" w:color="auto" w:fill="F2F9FC"/>
            <w:vAlign w:val="bottom"/>
          </w:tcPr>
          <w:p w14:paraId="0EF01070" w14:textId="43A6D1C7"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2AB35EE6" w14:textId="06138B80"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3E4C5899" w14:textId="17D0F7C1" w:rsidR="00AD376D" w:rsidRPr="00625155" w:rsidRDefault="00660645" w:rsidP="00C10E33">
            <w:pPr>
              <w:pStyle w:val="Summarytabletextrightaligned"/>
              <w:rPr>
                <w:szCs w:val="16"/>
              </w:rPr>
            </w:pPr>
            <w:r>
              <w:rPr>
                <w:szCs w:val="16"/>
              </w:rPr>
              <w:noBreakHyphen/>
            </w:r>
          </w:p>
        </w:tc>
        <w:tc>
          <w:tcPr>
            <w:tcW w:w="849" w:type="dxa"/>
            <w:tcBorders>
              <w:bottom w:val="single" w:sz="4" w:space="0" w:color="auto"/>
            </w:tcBorders>
            <w:vAlign w:val="bottom"/>
          </w:tcPr>
          <w:p w14:paraId="11EFC485" w14:textId="6D1A788E" w:rsidR="00AD376D" w:rsidRPr="00625155" w:rsidRDefault="00660645" w:rsidP="00C10E33">
            <w:pPr>
              <w:pStyle w:val="Summarytabletextrightaligned"/>
              <w:rPr>
                <w:szCs w:val="16"/>
              </w:rPr>
            </w:pPr>
            <w:r>
              <w:rPr>
                <w:szCs w:val="16"/>
              </w:rPr>
              <w:noBreakHyphen/>
            </w:r>
          </w:p>
        </w:tc>
      </w:tr>
      <w:tr w:rsidR="00AD376D" w:rsidRPr="00625155" w14:paraId="188E519A" w14:textId="77777777" w:rsidTr="004F79EE">
        <w:tc>
          <w:tcPr>
            <w:tcW w:w="3464" w:type="dxa"/>
            <w:tcBorders>
              <w:bottom w:val="single" w:sz="4" w:space="0" w:color="auto"/>
            </w:tcBorders>
            <w:shd w:val="clear" w:color="auto" w:fill="auto"/>
            <w:vAlign w:val="bottom"/>
          </w:tcPr>
          <w:p w14:paraId="23ACB53D" w14:textId="77777777" w:rsidR="00AD376D" w:rsidRPr="00625155" w:rsidRDefault="00AD376D" w:rsidP="00C10E33">
            <w:pPr>
              <w:pStyle w:val="Summarytabletextleftalignedbold"/>
              <w:rPr>
                <w:color w:val="auto"/>
              </w:rPr>
            </w:pPr>
            <w:r w:rsidRPr="00625155">
              <w:rPr>
                <w:color w:val="auto"/>
              </w:rPr>
              <w:t>Portfolio total</w:t>
            </w:r>
          </w:p>
        </w:tc>
        <w:tc>
          <w:tcPr>
            <w:tcW w:w="849" w:type="dxa"/>
            <w:tcBorders>
              <w:top w:val="single" w:sz="4" w:space="0" w:color="auto"/>
              <w:bottom w:val="single" w:sz="4" w:space="0" w:color="auto"/>
            </w:tcBorders>
            <w:vAlign w:val="bottom"/>
          </w:tcPr>
          <w:p w14:paraId="33B1A680" w14:textId="46757D91"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shd w:val="clear" w:color="auto" w:fill="F2F9FC"/>
            <w:vAlign w:val="bottom"/>
          </w:tcPr>
          <w:p w14:paraId="414D3EF6" w14:textId="68E8FCE0"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4B7541A0" w14:textId="485FB604"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6C63844B" w14:textId="361A8A34" w:rsidR="00AD376D" w:rsidRPr="00625155" w:rsidRDefault="00660645" w:rsidP="00C10E33">
            <w:pPr>
              <w:pStyle w:val="Summarytabletextrightalignedbold"/>
              <w:rPr>
                <w:bCs/>
                <w:szCs w:val="16"/>
              </w:rPr>
            </w:pPr>
            <w:r>
              <w:rPr>
                <w:bCs/>
                <w:szCs w:val="16"/>
              </w:rPr>
              <w:noBreakHyphen/>
            </w:r>
          </w:p>
        </w:tc>
        <w:tc>
          <w:tcPr>
            <w:tcW w:w="849" w:type="dxa"/>
            <w:tcBorders>
              <w:top w:val="single" w:sz="4" w:space="0" w:color="auto"/>
              <w:bottom w:val="single" w:sz="4" w:space="0" w:color="auto"/>
            </w:tcBorders>
            <w:vAlign w:val="bottom"/>
          </w:tcPr>
          <w:p w14:paraId="40D72409" w14:textId="068895D9" w:rsidR="00AD376D" w:rsidRPr="00625155" w:rsidRDefault="00660645" w:rsidP="00C10E33">
            <w:pPr>
              <w:pStyle w:val="Summarytabletextrightalignedbold"/>
              <w:rPr>
                <w:bCs/>
                <w:szCs w:val="16"/>
              </w:rPr>
            </w:pPr>
            <w:r>
              <w:rPr>
                <w:bCs/>
                <w:szCs w:val="16"/>
              </w:rPr>
              <w:noBreakHyphen/>
            </w:r>
          </w:p>
        </w:tc>
      </w:tr>
    </w:tbl>
    <w:p w14:paraId="26DD3CBD" w14:textId="77777777" w:rsidR="00AD376D" w:rsidRPr="00625155" w:rsidRDefault="00AD376D" w:rsidP="00AD376D">
      <w:pPr>
        <w:pStyle w:val="TableHeadingcontinued"/>
        <w:sectPr w:rsidR="00AD376D" w:rsidRPr="00625155" w:rsidSect="0046465B">
          <w:footerReference w:type="first" r:id="rId59"/>
          <w:pgSz w:w="11905" w:h="16837"/>
          <w:pgMar w:top="2835" w:right="2098" w:bottom="2466" w:left="2098" w:header="1814" w:footer="1814" w:gutter="0"/>
          <w:cols w:space="720"/>
          <w:noEndnote/>
          <w:titlePg/>
          <w:docGrid w:linePitch="272"/>
        </w:sectPr>
      </w:pPr>
    </w:p>
    <w:p w14:paraId="711D683B" w14:textId="5367599F" w:rsidR="005C0ACE" w:rsidRPr="00625155" w:rsidRDefault="005C0ACE" w:rsidP="005C0ACE">
      <w:pPr>
        <w:pStyle w:val="TableHeadingcontinued"/>
        <w:rPr>
          <w:bCs/>
        </w:rPr>
      </w:pPr>
      <w:r w:rsidRPr="00625155">
        <w:t xml:space="preserve">Table B2: </w:t>
      </w:r>
      <w:r w:rsidR="00360097" w:rsidRPr="00625155">
        <w:t>Payment</w:t>
      </w:r>
      <w:r w:rsidRPr="00625155">
        <w:t xml:space="preserve"> measures since the 2022</w:t>
      </w:r>
      <w:r w:rsidR="00660645">
        <w:noBreakHyphen/>
      </w:r>
      <w:r w:rsidRPr="00625155">
        <w:t>23 Budget</w:t>
      </w:r>
      <w:r w:rsidRPr="00625155">
        <w:rPr>
          <w:rFonts w:ascii="Cambria Math" w:hAnsi="Cambria Math" w:cs="Cambria Math"/>
        </w:rPr>
        <w:t>⁽</w:t>
      </w:r>
      <w:r w:rsidRPr="00625155">
        <w:rPr>
          <w:rFonts w:cs="Arial"/>
        </w:rPr>
        <w:t>ª</w:t>
      </w:r>
      <w:r w:rsidRPr="00625155">
        <w:rPr>
          <w:rFonts w:ascii="Cambria Math" w:hAnsi="Cambria Math" w:cs="Cambria Math"/>
        </w:rPr>
        <w:t>⁾</w:t>
      </w:r>
      <w:r w:rsidRPr="00625155">
        <w:t xml:space="preserve"> (continued)</w:t>
      </w:r>
    </w:p>
    <w:tbl>
      <w:tblPr>
        <w:tblW w:w="7725" w:type="dxa"/>
        <w:tblLayout w:type="fixed"/>
        <w:tblCellMar>
          <w:left w:w="0" w:type="dxa"/>
          <w:right w:w="57" w:type="dxa"/>
        </w:tblCellMar>
        <w:tblLook w:val="0000" w:firstRow="0" w:lastRow="0" w:firstColumn="0" w:lastColumn="0" w:noHBand="0" w:noVBand="0"/>
      </w:tblPr>
      <w:tblGrid>
        <w:gridCol w:w="3470"/>
        <w:gridCol w:w="851"/>
        <w:gridCol w:w="851"/>
        <w:gridCol w:w="851"/>
        <w:gridCol w:w="851"/>
        <w:gridCol w:w="851"/>
      </w:tblGrid>
      <w:tr w:rsidR="005C0ACE" w:rsidRPr="00625155" w14:paraId="3251CD70" w14:textId="77777777" w:rsidTr="00C10E33">
        <w:tc>
          <w:tcPr>
            <w:tcW w:w="3470" w:type="dxa"/>
            <w:tcBorders>
              <w:top w:val="single" w:sz="4" w:space="0" w:color="auto"/>
            </w:tcBorders>
            <w:shd w:val="clear" w:color="auto" w:fill="auto"/>
            <w:vAlign w:val="bottom"/>
          </w:tcPr>
          <w:p w14:paraId="10349D64" w14:textId="77777777" w:rsidR="005C0ACE" w:rsidRPr="00625155" w:rsidRDefault="005C0ACE" w:rsidP="00C10E33">
            <w:pPr>
              <w:pStyle w:val="Summarytabletextrightaligned"/>
            </w:pPr>
          </w:p>
        </w:tc>
        <w:tc>
          <w:tcPr>
            <w:tcW w:w="851" w:type="dxa"/>
            <w:tcBorders>
              <w:top w:val="single" w:sz="4" w:space="0" w:color="auto"/>
            </w:tcBorders>
            <w:vAlign w:val="bottom"/>
          </w:tcPr>
          <w:p w14:paraId="4D86C5D7" w14:textId="1843C807" w:rsidR="005C0ACE" w:rsidRPr="00625155" w:rsidRDefault="005C0ACE" w:rsidP="00C10E33">
            <w:pPr>
              <w:pStyle w:val="Summarytabletextrightaligned"/>
            </w:pPr>
            <w:r w:rsidRPr="00625155">
              <w:t>2021</w:t>
            </w:r>
            <w:r w:rsidR="00660645">
              <w:noBreakHyphen/>
            </w:r>
            <w:r w:rsidRPr="00625155">
              <w:t>22</w:t>
            </w:r>
          </w:p>
        </w:tc>
        <w:tc>
          <w:tcPr>
            <w:tcW w:w="851" w:type="dxa"/>
            <w:tcBorders>
              <w:top w:val="single" w:sz="4" w:space="0" w:color="auto"/>
            </w:tcBorders>
            <w:shd w:val="clear" w:color="auto" w:fill="F2F9FC"/>
            <w:vAlign w:val="bottom"/>
          </w:tcPr>
          <w:p w14:paraId="4660B201" w14:textId="49413B6E" w:rsidR="005C0ACE" w:rsidRPr="00625155" w:rsidRDefault="005C0ACE" w:rsidP="00C10E33">
            <w:pPr>
              <w:pStyle w:val="Summarytabletextrightaligned"/>
            </w:pPr>
            <w:r w:rsidRPr="00625155">
              <w:t>2022</w:t>
            </w:r>
            <w:r w:rsidR="00660645">
              <w:noBreakHyphen/>
            </w:r>
            <w:r w:rsidRPr="00625155">
              <w:t>23</w:t>
            </w:r>
          </w:p>
        </w:tc>
        <w:tc>
          <w:tcPr>
            <w:tcW w:w="851" w:type="dxa"/>
            <w:tcBorders>
              <w:top w:val="single" w:sz="4" w:space="0" w:color="auto"/>
            </w:tcBorders>
            <w:vAlign w:val="bottom"/>
          </w:tcPr>
          <w:p w14:paraId="0699B598" w14:textId="7EED5886" w:rsidR="005C0ACE" w:rsidRPr="00625155" w:rsidRDefault="005C0ACE" w:rsidP="00C10E33">
            <w:pPr>
              <w:pStyle w:val="Summarytabletextrightaligned"/>
            </w:pPr>
            <w:r w:rsidRPr="00625155">
              <w:t>2023</w:t>
            </w:r>
            <w:r w:rsidR="00660645">
              <w:noBreakHyphen/>
            </w:r>
            <w:r w:rsidRPr="00625155">
              <w:t>24</w:t>
            </w:r>
          </w:p>
        </w:tc>
        <w:tc>
          <w:tcPr>
            <w:tcW w:w="851" w:type="dxa"/>
            <w:tcBorders>
              <w:top w:val="single" w:sz="4" w:space="0" w:color="auto"/>
            </w:tcBorders>
            <w:vAlign w:val="bottom"/>
          </w:tcPr>
          <w:p w14:paraId="51D84AE7" w14:textId="68ED5250" w:rsidR="005C0ACE" w:rsidRPr="00625155" w:rsidRDefault="005C0ACE" w:rsidP="00C10E33">
            <w:pPr>
              <w:pStyle w:val="Summarytabletextrightaligned"/>
            </w:pPr>
            <w:r w:rsidRPr="00625155">
              <w:t>2024</w:t>
            </w:r>
            <w:r w:rsidR="00660645">
              <w:noBreakHyphen/>
            </w:r>
            <w:r w:rsidRPr="00625155">
              <w:t>25</w:t>
            </w:r>
          </w:p>
        </w:tc>
        <w:tc>
          <w:tcPr>
            <w:tcW w:w="851" w:type="dxa"/>
            <w:tcBorders>
              <w:top w:val="single" w:sz="4" w:space="0" w:color="auto"/>
            </w:tcBorders>
            <w:vAlign w:val="bottom"/>
          </w:tcPr>
          <w:p w14:paraId="71BE7314" w14:textId="6BF7ABA3" w:rsidR="005C0ACE" w:rsidRPr="00625155" w:rsidRDefault="005C0ACE" w:rsidP="00C10E33">
            <w:pPr>
              <w:pStyle w:val="Summarytabletextrightaligned"/>
            </w:pPr>
            <w:r w:rsidRPr="00625155">
              <w:t>2025</w:t>
            </w:r>
            <w:r w:rsidR="00660645">
              <w:noBreakHyphen/>
            </w:r>
            <w:r w:rsidRPr="00625155">
              <w:t>26</w:t>
            </w:r>
          </w:p>
        </w:tc>
      </w:tr>
      <w:tr w:rsidR="005C0ACE" w:rsidRPr="00625155" w14:paraId="6F964F18" w14:textId="77777777" w:rsidTr="00C10E33">
        <w:tc>
          <w:tcPr>
            <w:tcW w:w="3470" w:type="dxa"/>
            <w:shd w:val="clear" w:color="auto" w:fill="auto"/>
            <w:vAlign w:val="bottom"/>
          </w:tcPr>
          <w:p w14:paraId="07430F3E" w14:textId="77777777" w:rsidR="005C0ACE" w:rsidRPr="00625155" w:rsidRDefault="005C0ACE" w:rsidP="00C10E33">
            <w:pPr>
              <w:pStyle w:val="Summarytabletextrightaligned"/>
            </w:pPr>
          </w:p>
        </w:tc>
        <w:tc>
          <w:tcPr>
            <w:tcW w:w="851" w:type="dxa"/>
            <w:tcBorders>
              <w:bottom w:val="single" w:sz="4" w:space="0" w:color="auto"/>
            </w:tcBorders>
            <w:vAlign w:val="bottom"/>
          </w:tcPr>
          <w:p w14:paraId="32AC70ED" w14:textId="77777777" w:rsidR="005C0ACE" w:rsidRPr="00625155" w:rsidRDefault="005C0ACE" w:rsidP="00C10E33">
            <w:pPr>
              <w:pStyle w:val="Summarytabletextrightaligned"/>
            </w:pPr>
            <w:r w:rsidRPr="00625155">
              <w:t>$m</w:t>
            </w:r>
          </w:p>
        </w:tc>
        <w:tc>
          <w:tcPr>
            <w:tcW w:w="851" w:type="dxa"/>
            <w:tcBorders>
              <w:bottom w:val="single" w:sz="4" w:space="0" w:color="auto"/>
            </w:tcBorders>
            <w:shd w:val="clear" w:color="auto" w:fill="F2F9FC"/>
            <w:vAlign w:val="bottom"/>
          </w:tcPr>
          <w:p w14:paraId="1C74FECE" w14:textId="77777777" w:rsidR="005C0ACE" w:rsidRPr="00625155" w:rsidRDefault="005C0ACE" w:rsidP="00C10E33">
            <w:pPr>
              <w:pStyle w:val="Summarytabletextrightaligned"/>
            </w:pPr>
            <w:r w:rsidRPr="00625155">
              <w:t>$m</w:t>
            </w:r>
          </w:p>
        </w:tc>
        <w:tc>
          <w:tcPr>
            <w:tcW w:w="851" w:type="dxa"/>
            <w:tcBorders>
              <w:bottom w:val="single" w:sz="4" w:space="0" w:color="auto"/>
            </w:tcBorders>
            <w:vAlign w:val="bottom"/>
          </w:tcPr>
          <w:p w14:paraId="4F5FDBFC" w14:textId="77777777" w:rsidR="005C0ACE" w:rsidRPr="00625155" w:rsidRDefault="005C0ACE" w:rsidP="00C10E33">
            <w:pPr>
              <w:pStyle w:val="Summarytabletextrightaligned"/>
            </w:pPr>
            <w:r w:rsidRPr="00625155">
              <w:t>$m</w:t>
            </w:r>
          </w:p>
        </w:tc>
        <w:tc>
          <w:tcPr>
            <w:tcW w:w="851" w:type="dxa"/>
            <w:tcBorders>
              <w:bottom w:val="single" w:sz="4" w:space="0" w:color="auto"/>
            </w:tcBorders>
            <w:vAlign w:val="bottom"/>
          </w:tcPr>
          <w:p w14:paraId="2B872066" w14:textId="77777777" w:rsidR="005C0ACE" w:rsidRPr="00625155" w:rsidRDefault="005C0ACE" w:rsidP="00C10E33">
            <w:pPr>
              <w:pStyle w:val="Summarytabletextrightaligned"/>
            </w:pPr>
            <w:r w:rsidRPr="00625155">
              <w:t>$m</w:t>
            </w:r>
          </w:p>
        </w:tc>
        <w:tc>
          <w:tcPr>
            <w:tcW w:w="851" w:type="dxa"/>
            <w:tcBorders>
              <w:bottom w:val="single" w:sz="4" w:space="0" w:color="auto"/>
            </w:tcBorders>
            <w:vAlign w:val="bottom"/>
          </w:tcPr>
          <w:p w14:paraId="79F2B853" w14:textId="77777777" w:rsidR="005C0ACE" w:rsidRPr="00625155" w:rsidRDefault="005C0ACE" w:rsidP="00C10E33">
            <w:pPr>
              <w:pStyle w:val="Summarytabletextrightaligned"/>
            </w:pPr>
            <w:r w:rsidRPr="00625155">
              <w:t>$m</w:t>
            </w:r>
          </w:p>
        </w:tc>
      </w:tr>
      <w:tr w:rsidR="005C0ACE" w:rsidRPr="00625155" w14:paraId="53032795" w14:textId="77777777" w:rsidTr="00C10E33">
        <w:tc>
          <w:tcPr>
            <w:tcW w:w="3470" w:type="dxa"/>
            <w:shd w:val="clear" w:color="auto" w:fill="auto"/>
            <w:vAlign w:val="bottom"/>
          </w:tcPr>
          <w:p w14:paraId="7465512A" w14:textId="77777777" w:rsidR="005C0ACE" w:rsidRPr="00625155" w:rsidRDefault="005C0ACE" w:rsidP="00C10E33">
            <w:pPr>
              <w:pStyle w:val="SummaryPortfolioTitle-BP2"/>
            </w:pPr>
            <w:r w:rsidRPr="00625155">
              <w:t>INFRASTRUCTURE, TRANSPORT, REGIONAL DEVELOPMENT AND COMMUNICATIONS</w:t>
            </w:r>
          </w:p>
        </w:tc>
        <w:tc>
          <w:tcPr>
            <w:tcW w:w="851" w:type="dxa"/>
            <w:tcBorders>
              <w:top w:val="single" w:sz="4" w:space="0" w:color="auto"/>
            </w:tcBorders>
            <w:vAlign w:val="bottom"/>
          </w:tcPr>
          <w:p w14:paraId="6DE7A56D"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shd w:val="clear" w:color="auto" w:fill="F2F9FC"/>
            <w:vAlign w:val="bottom"/>
          </w:tcPr>
          <w:p w14:paraId="6AC23976"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8234F3D"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DA3BC2A"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4D766B67" w14:textId="77777777" w:rsidR="005C0ACE" w:rsidRPr="00625155" w:rsidRDefault="005C0ACE" w:rsidP="00C10E33">
            <w:pPr>
              <w:pStyle w:val="MeasureTableTextRightAlignedBefore6ptAfter1pt"/>
              <w:rPr>
                <w:b/>
                <w:bCs/>
                <w:color w:val="auto"/>
              </w:rPr>
            </w:pPr>
          </w:p>
        </w:tc>
      </w:tr>
      <w:tr w:rsidR="005C0ACE" w:rsidRPr="00625155" w14:paraId="3211C483" w14:textId="77777777" w:rsidTr="00C10E33">
        <w:tc>
          <w:tcPr>
            <w:tcW w:w="3470" w:type="dxa"/>
            <w:shd w:val="clear" w:color="auto" w:fill="auto"/>
            <w:vAlign w:val="bottom"/>
          </w:tcPr>
          <w:p w14:paraId="3B125ED0" w14:textId="77777777" w:rsidR="005C0ACE" w:rsidRPr="00625155" w:rsidRDefault="005C0ACE" w:rsidP="00C10E33">
            <w:pPr>
              <w:pStyle w:val="SummaryAgencyTitle-BP2"/>
              <w:rPr>
                <w:iCs/>
              </w:rPr>
            </w:pPr>
            <w:r w:rsidRPr="00625155">
              <w:rPr>
                <w:iCs/>
              </w:rPr>
              <w:t>Department of Infrastructure, Transport, Regional Development and Communications</w:t>
            </w:r>
          </w:p>
        </w:tc>
        <w:tc>
          <w:tcPr>
            <w:tcW w:w="851" w:type="dxa"/>
            <w:vAlign w:val="bottom"/>
          </w:tcPr>
          <w:p w14:paraId="4ACC29AE" w14:textId="77777777" w:rsidR="005C0ACE" w:rsidRPr="00625155" w:rsidRDefault="005C0ACE" w:rsidP="00C10E33">
            <w:pPr>
              <w:pStyle w:val="SummaryAgencyTitle-BP2"/>
              <w:rPr>
                <w:iCs/>
              </w:rPr>
            </w:pPr>
          </w:p>
        </w:tc>
        <w:tc>
          <w:tcPr>
            <w:tcW w:w="851" w:type="dxa"/>
            <w:shd w:val="clear" w:color="auto" w:fill="F2F9FC"/>
            <w:vAlign w:val="bottom"/>
          </w:tcPr>
          <w:p w14:paraId="1567C311" w14:textId="77777777" w:rsidR="005C0ACE" w:rsidRPr="00625155" w:rsidRDefault="005C0ACE" w:rsidP="00C10E33">
            <w:pPr>
              <w:pStyle w:val="SummaryAgencyTitle-BP2"/>
              <w:rPr>
                <w:iCs/>
              </w:rPr>
            </w:pPr>
          </w:p>
        </w:tc>
        <w:tc>
          <w:tcPr>
            <w:tcW w:w="851" w:type="dxa"/>
            <w:vAlign w:val="bottom"/>
          </w:tcPr>
          <w:p w14:paraId="48B32842" w14:textId="77777777" w:rsidR="005C0ACE" w:rsidRPr="00625155" w:rsidRDefault="005C0ACE" w:rsidP="00C10E33">
            <w:pPr>
              <w:pStyle w:val="SummaryAgencyTitle-BP2"/>
              <w:rPr>
                <w:iCs/>
              </w:rPr>
            </w:pPr>
          </w:p>
        </w:tc>
        <w:tc>
          <w:tcPr>
            <w:tcW w:w="851" w:type="dxa"/>
            <w:vAlign w:val="bottom"/>
          </w:tcPr>
          <w:p w14:paraId="1C1C57F3" w14:textId="77777777" w:rsidR="005C0ACE" w:rsidRPr="00625155" w:rsidRDefault="005C0ACE" w:rsidP="00C10E33">
            <w:pPr>
              <w:pStyle w:val="SummaryAgencyTitle-BP2"/>
              <w:rPr>
                <w:iCs/>
              </w:rPr>
            </w:pPr>
          </w:p>
        </w:tc>
        <w:tc>
          <w:tcPr>
            <w:tcW w:w="851" w:type="dxa"/>
            <w:vAlign w:val="bottom"/>
          </w:tcPr>
          <w:p w14:paraId="0666D54E" w14:textId="77777777" w:rsidR="005C0ACE" w:rsidRPr="00625155" w:rsidRDefault="005C0ACE" w:rsidP="00C10E33">
            <w:pPr>
              <w:pStyle w:val="SummaryAgencyTitle-BP2"/>
              <w:rPr>
                <w:iCs/>
              </w:rPr>
            </w:pPr>
          </w:p>
        </w:tc>
      </w:tr>
      <w:tr w:rsidR="005C0ACE" w:rsidRPr="00625155" w14:paraId="06CFF65A" w14:textId="77777777" w:rsidTr="00C10E33">
        <w:tc>
          <w:tcPr>
            <w:tcW w:w="3470" w:type="dxa"/>
            <w:shd w:val="clear" w:color="auto" w:fill="auto"/>
            <w:vAlign w:val="bottom"/>
          </w:tcPr>
          <w:p w14:paraId="6EACB1C0" w14:textId="014B48DF" w:rsidR="005C0ACE" w:rsidRPr="00625155" w:rsidRDefault="005C0ACE" w:rsidP="00C10E33">
            <w:pPr>
              <w:pStyle w:val="SummaryMeasureTitlewithTheme"/>
              <w:rPr>
                <w:color w:val="auto"/>
              </w:rPr>
            </w:pPr>
            <w:r w:rsidRPr="00625155">
              <w:rPr>
                <w:color w:val="auto"/>
              </w:rPr>
              <w:t>Community Development Grants – additional projects(</w:t>
            </w:r>
            <w:r w:rsidR="0011539C">
              <w:rPr>
                <w:color w:val="auto"/>
              </w:rPr>
              <w:t>u</w:t>
            </w:r>
            <w:r w:rsidRPr="00625155">
              <w:rPr>
                <w:color w:val="auto"/>
              </w:rPr>
              <w:t xml:space="preserve">) </w:t>
            </w:r>
          </w:p>
        </w:tc>
        <w:tc>
          <w:tcPr>
            <w:tcW w:w="851" w:type="dxa"/>
            <w:vAlign w:val="bottom"/>
          </w:tcPr>
          <w:p w14:paraId="722BFC9F" w14:textId="348FF08F"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1C8752EE" w14:textId="77777777" w:rsidR="005C0ACE" w:rsidRPr="00625155" w:rsidRDefault="005C0ACE" w:rsidP="00C10E33">
            <w:pPr>
              <w:pStyle w:val="Summarytabletextrightaligned"/>
              <w:rPr>
                <w:szCs w:val="16"/>
              </w:rPr>
            </w:pPr>
            <w:r w:rsidRPr="00625155">
              <w:rPr>
                <w:szCs w:val="16"/>
              </w:rPr>
              <w:t>116.6</w:t>
            </w:r>
          </w:p>
        </w:tc>
        <w:tc>
          <w:tcPr>
            <w:tcW w:w="851" w:type="dxa"/>
            <w:vAlign w:val="bottom"/>
          </w:tcPr>
          <w:p w14:paraId="0E852EFC" w14:textId="224EA0BE" w:rsidR="005C0ACE" w:rsidRPr="00625155" w:rsidRDefault="00660645" w:rsidP="00C10E33">
            <w:pPr>
              <w:pStyle w:val="Summarytabletextrightaligned"/>
              <w:rPr>
                <w:szCs w:val="16"/>
              </w:rPr>
            </w:pPr>
            <w:r>
              <w:rPr>
                <w:szCs w:val="16"/>
              </w:rPr>
              <w:noBreakHyphen/>
            </w:r>
          </w:p>
        </w:tc>
        <w:tc>
          <w:tcPr>
            <w:tcW w:w="851" w:type="dxa"/>
            <w:vAlign w:val="bottom"/>
          </w:tcPr>
          <w:p w14:paraId="266827B4" w14:textId="75E24958" w:rsidR="005C0ACE" w:rsidRPr="00625155" w:rsidRDefault="00660645" w:rsidP="00C10E33">
            <w:pPr>
              <w:pStyle w:val="Summarytabletextrightaligned"/>
              <w:rPr>
                <w:szCs w:val="16"/>
              </w:rPr>
            </w:pPr>
            <w:r>
              <w:rPr>
                <w:szCs w:val="16"/>
              </w:rPr>
              <w:noBreakHyphen/>
            </w:r>
          </w:p>
        </w:tc>
        <w:tc>
          <w:tcPr>
            <w:tcW w:w="851" w:type="dxa"/>
            <w:vAlign w:val="bottom"/>
          </w:tcPr>
          <w:p w14:paraId="04C7FA0A" w14:textId="6AF6D9EF" w:rsidR="005C0ACE" w:rsidRPr="00625155" w:rsidRDefault="00660645" w:rsidP="00C10E33">
            <w:pPr>
              <w:pStyle w:val="Summarytabletextrightaligned"/>
              <w:rPr>
                <w:szCs w:val="16"/>
              </w:rPr>
            </w:pPr>
            <w:r>
              <w:rPr>
                <w:szCs w:val="16"/>
              </w:rPr>
              <w:noBreakHyphen/>
            </w:r>
          </w:p>
        </w:tc>
      </w:tr>
      <w:tr w:rsidR="005C0ACE" w:rsidRPr="00625155" w14:paraId="3E10FEA2" w14:textId="77777777" w:rsidTr="00C10E33">
        <w:tc>
          <w:tcPr>
            <w:tcW w:w="3470" w:type="dxa"/>
            <w:shd w:val="clear" w:color="auto" w:fill="auto"/>
            <w:vAlign w:val="bottom"/>
          </w:tcPr>
          <w:p w14:paraId="732A8E51" w14:textId="7539ECA7" w:rsidR="005C0ACE" w:rsidRPr="00625155" w:rsidRDefault="005C0ACE" w:rsidP="00C10E33">
            <w:pPr>
              <w:pStyle w:val="SummaryMeasureTitlewithTheme"/>
              <w:rPr>
                <w:color w:val="auto"/>
              </w:rPr>
            </w:pPr>
            <w:r w:rsidRPr="00625155">
              <w:rPr>
                <w:color w:val="auto"/>
              </w:rPr>
              <w:t>Infrastructure Investment Program – additional projects(</w:t>
            </w:r>
            <w:r w:rsidR="0011539C">
              <w:rPr>
                <w:color w:val="auto"/>
              </w:rPr>
              <w:t>v</w:t>
            </w:r>
            <w:r w:rsidRPr="00625155">
              <w:rPr>
                <w:color w:val="auto"/>
              </w:rPr>
              <w:t>)</w:t>
            </w:r>
          </w:p>
        </w:tc>
        <w:tc>
          <w:tcPr>
            <w:tcW w:w="851" w:type="dxa"/>
            <w:vAlign w:val="bottom"/>
          </w:tcPr>
          <w:p w14:paraId="42A2BF66" w14:textId="5B5F51AA"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78957D33" w14:textId="385DED35" w:rsidR="005C0ACE" w:rsidRPr="00625155" w:rsidRDefault="00660645" w:rsidP="00C10E33">
            <w:pPr>
              <w:pStyle w:val="Summarytabletextrightaligned"/>
              <w:rPr>
                <w:szCs w:val="16"/>
              </w:rPr>
            </w:pPr>
            <w:r>
              <w:rPr>
                <w:szCs w:val="16"/>
              </w:rPr>
              <w:noBreakHyphen/>
            </w:r>
          </w:p>
        </w:tc>
        <w:tc>
          <w:tcPr>
            <w:tcW w:w="851" w:type="dxa"/>
            <w:vAlign w:val="bottom"/>
          </w:tcPr>
          <w:p w14:paraId="19F102DE" w14:textId="711FA4ED" w:rsidR="005C0ACE" w:rsidRPr="00625155" w:rsidRDefault="00660645" w:rsidP="00C10E33">
            <w:pPr>
              <w:pStyle w:val="Summarytabletextrightaligned"/>
              <w:rPr>
                <w:szCs w:val="16"/>
              </w:rPr>
            </w:pPr>
            <w:r>
              <w:rPr>
                <w:szCs w:val="16"/>
              </w:rPr>
              <w:noBreakHyphen/>
            </w:r>
          </w:p>
        </w:tc>
        <w:tc>
          <w:tcPr>
            <w:tcW w:w="851" w:type="dxa"/>
            <w:vAlign w:val="bottom"/>
          </w:tcPr>
          <w:p w14:paraId="4E07C382" w14:textId="393C13B8" w:rsidR="005C0ACE" w:rsidRPr="00625155" w:rsidRDefault="00660645" w:rsidP="00C10E33">
            <w:pPr>
              <w:pStyle w:val="Summarytabletextrightaligned"/>
              <w:rPr>
                <w:szCs w:val="16"/>
              </w:rPr>
            </w:pPr>
            <w:r>
              <w:rPr>
                <w:szCs w:val="16"/>
              </w:rPr>
              <w:noBreakHyphen/>
            </w:r>
          </w:p>
        </w:tc>
        <w:tc>
          <w:tcPr>
            <w:tcW w:w="851" w:type="dxa"/>
            <w:vAlign w:val="bottom"/>
          </w:tcPr>
          <w:p w14:paraId="1AE4294C" w14:textId="710A46FE" w:rsidR="005C0ACE" w:rsidRPr="00625155" w:rsidRDefault="00660645" w:rsidP="00C10E33">
            <w:pPr>
              <w:pStyle w:val="Summarytabletextrightaligned"/>
              <w:rPr>
                <w:szCs w:val="16"/>
              </w:rPr>
            </w:pPr>
            <w:r>
              <w:rPr>
                <w:szCs w:val="16"/>
              </w:rPr>
              <w:noBreakHyphen/>
            </w:r>
          </w:p>
        </w:tc>
      </w:tr>
      <w:tr w:rsidR="005C0ACE" w:rsidRPr="00625155" w14:paraId="38349C99" w14:textId="77777777" w:rsidTr="00C10E33">
        <w:tc>
          <w:tcPr>
            <w:tcW w:w="3470" w:type="dxa"/>
            <w:shd w:val="clear" w:color="auto" w:fill="auto"/>
            <w:vAlign w:val="bottom"/>
          </w:tcPr>
          <w:p w14:paraId="2D056545" w14:textId="5EDBC1A0" w:rsidR="005C0ACE" w:rsidRPr="00625155" w:rsidRDefault="005C0ACE" w:rsidP="00C10E33">
            <w:pPr>
              <w:pStyle w:val="SummaryMeasureTitlewithTheme"/>
              <w:rPr>
                <w:color w:val="auto"/>
              </w:rPr>
            </w:pPr>
            <w:r w:rsidRPr="00625155">
              <w:rPr>
                <w:color w:val="auto"/>
              </w:rPr>
              <w:t>National Water Grid Fund – project funding(</w:t>
            </w:r>
            <w:r w:rsidR="0011539C">
              <w:rPr>
                <w:color w:val="auto"/>
              </w:rPr>
              <w:t>w</w:t>
            </w:r>
            <w:r w:rsidRPr="00625155">
              <w:rPr>
                <w:color w:val="auto"/>
              </w:rPr>
              <w:t>)</w:t>
            </w:r>
          </w:p>
        </w:tc>
        <w:tc>
          <w:tcPr>
            <w:tcW w:w="851" w:type="dxa"/>
            <w:vAlign w:val="bottom"/>
          </w:tcPr>
          <w:p w14:paraId="430AC86E" w14:textId="1FBCD7A9"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0FB7FEED" w14:textId="5F99AEE0" w:rsidR="005C0ACE" w:rsidRPr="00625155" w:rsidRDefault="00660645" w:rsidP="00C10E33">
            <w:pPr>
              <w:pStyle w:val="Summarytabletextrightaligned"/>
              <w:rPr>
                <w:szCs w:val="16"/>
              </w:rPr>
            </w:pPr>
            <w:r>
              <w:rPr>
                <w:szCs w:val="16"/>
              </w:rPr>
              <w:noBreakHyphen/>
            </w:r>
          </w:p>
        </w:tc>
        <w:tc>
          <w:tcPr>
            <w:tcW w:w="851" w:type="dxa"/>
            <w:vAlign w:val="bottom"/>
          </w:tcPr>
          <w:p w14:paraId="20BB9135" w14:textId="386ED012" w:rsidR="005C0ACE" w:rsidRPr="00625155" w:rsidRDefault="00660645" w:rsidP="00C10E33">
            <w:pPr>
              <w:pStyle w:val="Summarytabletextrightaligned"/>
              <w:rPr>
                <w:szCs w:val="16"/>
              </w:rPr>
            </w:pPr>
            <w:r>
              <w:rPr>
                <w:szCs w:val="16"/>
              </w:rPr>
              <w:noBreakHyphen/>
            </w:r>
          </w:p>
        </w:tc>
        <w:tc>
          <w:tcPr>
            <w:tcW w:w="851" w:type="dxa"/>
            <w:vAlign w:val="bottom"/>
          </w:tcPr>
          <w:p w14:paraId="56BE6031" w14:textId="0E87967D" w:rsidR="005C0ACE" w:rsidRPr="00625155" w:rsidRDefault="00660645" w:rsidP="00C10E33">
            <w:pPr>
              <w:pStyle w:val="Summarytabletextrightaligned"/>
              <w:rPr>
                <w:szCs w:val="16"/>
              </w:rPr>
            </w:pPr>
            <w:r>
              <w:rPr>
                <w:szCs w:val="16"/>
              </w:rPr>
              <w:noBreakHyphen/>
            </w:r>
          </w:p>
        </w:tc>
        <w:tc>
          <w:tcPr>
            <w:tcW w:w="851" w:type="dxa"/>
            <w:vAlign w:val="bottom"/>
          </w:tcPr>
          <w:p w14:paraId="607D0BA5" w14:textId="0E1D5B40" w:rsidR="005C0ACE" w:rsidRPr="00625155" w:rsidRDefault="00660645" w:rsidP="00C10E33">
            <w:pPr>
              <w:pStyle w:val="Summarytabletextrightaligned"/>
              <w:rPr>
                <w:szCs w:val="16"/>
              </w:rPr>
            </w:pPr>
            <w:r>
              <w:rPr>
                <w:szCs w:val="16"/>
              </w:rPr>
              <w:noBreakHyphen/>
            </w:r>
          </w:p>
        </w:tc>
      </w:tr>
      <w:tr w:rsidR="005C0ACE" w:rsidRPr="00625155" w14:paraId="04916CBE" w14:textId="77777777" w:rsidTr="00C10E33">
        <w:tc>
          <w:tcPr>
            <w:tcW w:w="3470" w:type="dxa"/>
            <w:shd w:val="clear" w:color="auto" w:fill="auto"/>
            <w:vAlign w:val="bottom"/>
          </w:tcPr>
          <w:p w14:paraId="55686363" w14:textId="62C294B7" w:rsidR="005C0ACE" w:rsidRPr="00625155" w:rsidRDefault="005C0ACE" w:rsidP="00C10E33">
            <w:pPr>
              <w:pStyle w:val="SummaryMeasureTitlewithTheme"/>
              <w:rPr>
                <w:color w:val="auto"/>
              </w:rPr>
            </w:pPr>
            <w:r w:rsidRPr="00625155">
              <w:rPr>
                <w:color w:val="auto"/>
              </w:rPr>
              <w:t>Road Safety Programs – additional funding(</w:t>
            </w:r>
            <w:r w:rsidR="0011539C">
              <w:rPr>
                <w:color w:val="auto"/>
              </w:rPr>
              <w:t>x</w:t>
            </w:r>
            <w:r w:rsidRPr="00625155">
              <w:rPr>
                <w:color w:val="auto"/>
              </w:rPr>
              <w:t>)</w:t>
            </w:r>
          </w:p>
        </w:tc>
        <w:tc>
          <w:tcPr>
            <w:tcW w:w="851" w:type="dxa"/>
            <w:tcBorders>
              <w:bottom w:val="single" w:sz="4" w:space="0" w:color="auto"/>
            </w:tcBorders>
            <w:vAlign w:val="bottom"/>
          </w:tcPr>
          <w:p w14:paraId="20B9A396" w14:textId="6753BEED"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shd w:val="clear" w:color="auto" w:fill="F2F9FC"/>
            <w:vAlign w:val="bottom"/>
          </w:tcPr>
          <w:p w14:paraId="0CC56412" w14:textId="77777777" w:rsidR="005C0ACE" w:rsidRPr="00625155" w:rsidRDefault="005C0ACE" w:rsidP="00C10E33">
            <w:pPr>
              <w:pStyle w:val="Summarytabletextrightaligned"/>
              <w:rPr>
                <w:szCs w:val="16"/>
              </w:rPr>
            </w:pPr>
            <w:r w:rsidRPr="00625155">
              <w:rPr>
                <w:szCs w:val="16"/>
              </w:rPr>
              <w:t>5.0</w:t>
            </w:r>
          </w:p>
        </w:tc>
        <w:tc>
          <w:tcPr>
            <w:tcW w:w="851" w:type="dxa"/>
            <w:tcBorders>
              <w:bottom w:val="single" w:sz="4" w:space="0" w:color="auto"/>
            </w:tcBorders>
            <w:vAlign w:val="bottom"/>
          </w:tcPr>
          <w:p w14:paraId="0B9CD152" w14:textId="77777777" w:rsidR="005C0ACE" w:rsidRPr="00625155" w:rsidRDefault="005C0ACE" w:rsidP="00C10E33">
            <w:pPr>
              <w:pStyle w:val="Summarytabletextrightaligned"/>
              <w:rPr>
                <w:szCs w:val="16"/>
              </w:rPr>
            </w:pPr>
            <w:r w:rsidRPr="00625155">
              <w:rPr>
                <w:szCs w:val="16"/>
              </w:rPr>
              <w:t>9.5</w:t>
            </w:r>
          </w:p>
        </w:tc>
        <w:tc>
          <w:tcPr>
            <w:tcW w:w="851" w:type="dxa"/>
            <w:tcBorders>
              <w:bottom w:val="single" w:sz="4" w:space="0" w:color="auto"/>
            </w:tcBorders>
            <w:vAlign w:val="bottom"/>
          </w:tcPr>
          <w:p w14:paraId="1A16F4E8" w14:textId="77777777" w:rsidR="005C0ACE" w:rsidRPr="00625155" w:rsidRDefault="005C0ACE" w:rsidP="00C10E33">
            <w:pPr>
              <w:pStyle w:val="Summarytabletextrightaligned"/>
              <w:rPr>
                <w:szCs w:val="16"/>
              </w:rPr>
            </w:pPr>
            <w:r w:rsidRPr="00625155">
              <w:rPr>
                <w:szCs w:val="16"/>
              </w:rPr>
              <w:t>11.5</w:t>
            </w:r>
          </w:p>
        </w:tc>
        <w:tc>
          <w:tcPr>
            <w:tcW w:w="851" w:type="dxa"/>
            <w:tcBorders>
              <w:bottom w:val="single" w:sz="4" w:space="0" w:color="auto"/>
            </w:tcBorders>
            <w:vAlign w:val="bottom"/>
          </w:tcPr>
          <w:p w14:paraId="7DBE3202" w14:textId="60713607" w:rsidR="005C0ACE" w:rsidRPr="00625155" w:rsidRDefault="00660645" w:rsidP="00C10E33">
            <w:pPr>
              <w:pStyle w:val="Summarytabletextrightaligned"/>
              <w:rPr>
                <w:szCs w:val="16"/>
              </w:rPr>
            </w:pPr>
            <w:r>
              <w:rPr>
                <w:szCs w:val="16"/>
              </w:rPr>
              <w:noBreakHyphen/>
            </w:r>
          </w:p>
        </w:tc>
      </w:tr>
      <w:tr w:rsidR="005C0ACE" w:rsidRPr="00625155" w14:paraId="4D53438B" w14:textId="77777777" w:rsidTr="00C10E33">
        <w:tc>
          <w:tcPr>
            <w:tcW w:w="3470" w:type="dxa"/>
            <w:shd w:val="clear" w:color="auto" w:fill="auto"/>
            <w:vAlign w:val="bottom"/>
          </w:tcPr>
          <w:p w14:paraId="5A056BCB" w14:textId="77777777" w:rsidR="005C0ACE" w:rsidRPr="00625155" w:rsidRDefault="005C0ACE" w:rsidP="00C10E33">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1D05427C" w14:textId="1BCA7EB3" w:rsidR="005C0ACE" w:rsidRPr="00625155" w:rsidRDefault="00660645" w:rsidP="00C10E33">
            <w:pPr>
              <w:pStyle w:val="Summarytabletextrightalignedbold"/>
              <w:rPr>
                <w:bCs/>
                <w:szCs w:val="16"/>
              </w:rPr>
            </w:pPr>
            <w:r>
              <w:rPr>
                <w:bCs/>
                <w:szCs w:val="16"/>
              </w:rPr>
              <w:noBreakHyphen/>
            </w:r>
          </w:p>
        </w:tc>
        <w:tc>
          <w:tcPr>
            <w:tcW w:w="851" w:type="dxa"/>
            <w:tcBorders>
              <w:top w:val="single" w:sz="4" w:space="0" w:color="auto"/>
              <w:bottom w:val="single" w:sz="4" w:space="0" w:color="auto"/>
            </w:tcBorders>
            <w:shd w:val="clear" w:color="auto" w:fill="F2F9FC"/>
            <w:vAlign w:val="bottom"/>
          </w:tcPr>
          <w:p w14:paraId="6DD44C8F" w14:textId="77777777" w:rsidR="005C0ACE" w:rsidRPr="00625155" w:rsidRDefault="005C0ACE" w:rsidP="00C10E33">
            <w:pPr>
              <w:pStyle w:val="Summarytabletextrightalignedbold"/>
              <w:rPr>
                <w:bCs/>
                <w:szCs w:val="16"/>
              </w:rPr>
            </w:pPr>
            <w:r w:rsidRPr="00625155">
              <w:rPr>
                <w:bCs/>
                <w:szCs w:val="16"/>
              </w:rPr>
              <w:t>121.6</w:t>
            </w:r>
          </w:p>
        </w:tc>
        <w:tc>
          <w:tcPr>
            <w:tcW w:w="851" w:type="dxa"/>
            <w:tcBorders>
              <w:top w:val="single" w:sz="4" w:space="0" w:color="auto"/>
              <w:bottom w:val="single" w:sz="4" w:space="0" w:color="auto"/>
            </w:tcBorders>
            <w:vAlign w:val="bottom"/>
          </w:tcPr>
          <w:p w14:paraId="048A0F07" w14:textId="77777777" w:rsidR="005C0ACE" w:rsidRPr="00625155" w:rsidRDefault="005C0ACE" w:rsidP="00C10E33">
            <w:pPr>
              <w:pStyle w:val="Summarytabletextrightalignedbold"/>
              <w:rPr>
                <w:bCs/>
                <w:szCs w:val="16"/>
              </w:rPr>
            </w:pPr>
            <w:r w:rsidRPr="00625155">
              <w:rPr>
                <w:bCs/>
                <w:szCs w:val="16"/>
              </w:rPr>
              <w:t>9.5</w:t>
            </w:r>
          </w:p>
        </w:tc>
        <w:tc>
          <w:tcPr>
            <w:tcW w:w="851" w:type="dxa"/>
            <w:tcBorders>
              <w:top w:val="single" w:sz="4" w:space="0" w:color="auto"/>
              <w:bottom w:val="single" w:sz="4" w:space="0" w:color="auto"/>
            </w:tcBorders>
            <w:vAlign w:val="bottom"/>
          </w:tcPr>
          <w:p w14:paraId="3F6F236F" w14:textId="77777777" w:rsidR="005C0ACE" w:rsidRPr="00625155" w:rsidRDefault="005C0ACE" w:rsidP="00C10E33">
            <w:pPr>
              <w:pStyle w:val="Summarytabletextrightalignedbold"/>
              <w:rPr>
                <w:bCs/>
                <w:szCs w:val="16"/>
              </w:rPr>
            </w:pPr>
            <w:r w:rsidRPr="00625155">
              <w:rPr>
                <w:bCs/>
                <w:szCs w:val="16"/>
              </w:rPr>
              <w:t>11.5</w:t>
            </w:r>
          </w:p>
        </w:tc>
        <w:tc>
          <w:tcPr>
            <w:tcW w:w="851" w:type="dxa"/>
            <w:tcBorders>
              <w:top w:val="single" w:sz="4" w:space="0" w:color="auto"/>
              <w:bottom w:val="single" w:sz="4" w:space="0" w:color="auto"/>
            </w:tcBorders>
            <w:vAlign w:val="bottom"/>
          </w:tcPr>
          <w:p w14:paraId="25AF3364" w14:textId="2D289715" w:rsidR="005C0ACE" w:rsidRPr="00625155" w:rsidRDefault="00660645" w:rsidP="00C10E33">
            <w:pPr>
              <w:pStyle w:val="Summarytabletextrightalignedbold"/>
              <w:rPr>
                <w:bCs/>
                <w:szCs w:val="16"/>
              </w:rPr>
            </w:pPr>
            <w:r>
              <w:rPr>
                <w:bCs/>
                <w:szCs w:val="16"/>
              </w:rPr>
              <w:noBreakHyphen/>
            </w:r>
          </w:p>
        </w:tc>
      </w:tr>
      <w:tr w:rsidR="005C0ACE" w:rsidRPr="00625155" w14:paraId="1D16133C" w14:textId="77777777" w:rsidTr="00C10E33">
        <w:tc>
          <w:tcPr>
            <w:tcW w:w="3470" w:type="dxa"/>
            <w:shd w:val="clear" w:color="auto" w:fill="auto"/>
            <w:vAlign w:val="bottom"/>
          </w:tcPr>
          <w:p w14:paraId="0E52F887" w14:textId="77777777" w:rsidR="005C0ACE" w:rsidRPr="00625155" w:rsidRDefault="005C0ACE" w:rsidP="00C10E33">
            <w:pPr>
              <w:pStyle w:val="SummaryPortfolioTitle-BP2"/>
            </w:pPr>
            <w:r w:rsidRPr="00625155">
              <w:t>PRIME MINISTER AND CABINET</w:t>
            </w:r>
          </w:p>
        </w:tc>
        <w:tc>
          <w:tcPr>
            <w:tcW w:w="851" w:type="dxa"/>
            <w:tcBorders>
              <w:top w:val="single" w:sz="4" w:space="0" w:color="auto"/>
            </w:tcBorders>
            <w:vAlign w:val="bottom"/>
          </w:tcPr>
          <w:p w14:paraId="2014FC08"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shd w:val="clear" w:color="auto" w:fill="F2F9FC"/>
            <w:vAlign w:val="bottom"/>
          </w:tcPr>
          <w:p w14:paraId="60158018"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3DFF39C"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19167D0"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2485C9F" w14:textId="77777777" w:rsidR="005C0ACE" w:rsidRPr="00625155" w:rsidRDefault="005C0ACE" w:rsidP="00C10E33">
            <w:pPr>
              <w:pStyle w:val="MeasureTableTextRightAlignedBefore6ptAfter1pt"/>
              <w:rPr>
                <w:b/>
                <w:bCs/>
                <w:color w:val="auto"/>
              </w:rPr>
            </w:pPr>
          </w:p>
        </w:tc>
      </w:tr>
      <w:tr w:rsidR="005C0ACE" w:rsidRPr="00625155" w14:paraId="1CBEBE65" w14:textId="77777777" w:rsidTr="00C10E33">
        <w:tc>
          <w:tcPr>
            <w:tcW w:w="3470" w:type="dxa"/>
            <w:shd w:val="clear" w:color="auto" w:fill="auto"/>
            <w:vAlign w:val="bottom"/>
          </w:tcPr>
          <w:p w14:paraId="72ECA59B" w14:textId="77777777" w:rsidR="005C0ACE" w:rsidRPr="00625155" w:rsidRDefault="005C0ACE" w:rsidP="00C10E33">
            <w:pPr>
              <w:pStyle w:val="SummaryAgencyTitle-BP2"/>
              <w:rPr>
                <w:iCs/>
              </w:rPr>
            </w:pPr>
            <w:r w:rsidRPr="00625155">
              <w:rPr>
                <w:iCs/>
              </w:rPr>
              <w:t>National Recovery and Resilience Agency</w:t>
            </w:r>
          </w:p>
        </w:tc>
        <w:tc>
          <w:tcPr>
            <w:tcW w:w="851" w:type="dxa"/>
            <w:vAlign w:val="bottom"/>
          </w:tcPr>
          <w:p w14:paraId="7B9A3014" w14:textId="77777777" w:rsidR="005C0ACE" w:rsidRPr="00625155" w:rsidRDefault="005C0ACE" w:rsidP="00C10E33">
            <w:pPr>
              <w:pStyle w:val="SummaryAgencyTitle-BP2"/>
              <w:rPr>
                <w:iCs/>
              </w:rPr>
            </w:pPr>
          </w:p>
        </w:tc>
        <w:tc>
          <w:tcPr>
            <w:tcW w:w="851" w:type="dxa"/>
            <w:shd w:val="clear" w:color="auto" w:fill="F2F9FC"/>
            <w:vAlign w:val="bottom"/>
          </w:tcPr>
          <w:p w14:paraId="65336A5F" w14:textId="77777777" w:rsidR="005C0ACE" w:rsidRPr="00625155" w:rsidRDefault="005C0ACE" w:rsidP="00C10E33">
            <w:pPr>
              <w:pStyle w:val="SummaryAgencyTitle-BP2"/>
              <w:rPr>
                <w:iCs/>
              </w:rPr>
            </w:pPr>
          </w:p>
        </w:tc>
        <w:tc>
          <w:tcPr>
            <w:tcW w:w="851" w:type="dxa"/>
            <w:vAlign w:val="bottom"/>
          </w:tcPr>
          <w:p w14:paraId="0084A924" w14:textId="77777777" w:rsidR="005C0ACE" w:rsidRPr="00625155" w:rsidRDefault="005C0ACE" w:rsidP="00C10E33">
            <w:pPr>
              <w:pStyle w:val="SummaryAgencyTitle-BP2"/>
              <w:rPr>
                <w:iCs/>
              </w:rPr>
            </w:pPr>
          </w:p>
        </w:tc>
        <w:tc>
          <w:tcPr>
            <w:tcW w:w="851" w:type="dxa"/>
            <w:vAlign w:val="bottom"/>
          </w:tcPr>
          <w:p w14:paraId="7C596965" w14:textId="77777777" w:rsidR="005C0ACE" w:rsidRPr="00625155" w:rsidRDefault="005C0ACE" w:rsidP="00C10E33">
            <w:pPr>
              <w:pStyle w:val="SummaryAgencyTitle-BP2"/>
              <w:rPr>
                <w:iCs/>
              </w:rPr>
            </w:pPr>
          </w:p>
        </w:tc>
        <w:tc>
          <w:tcPr>
            <w:tcW w:w="851" w:type="dxa"/>
            <w:vAlign w:val="bottom"/>
          </w:tcPr>
          <w:p w14:paraId="0D2D450D" w14:textId="77777777" w:rsidR="005C0ACE" w:rsidRPr="00625155" w:rsidRDefault="005C0ACE" w:rsidP="00C10E33">
            <w:pPr>
              <w:pStyle w:val="SummaryAgencyTitle-BP2"/>
              <w:rPr>
                <w:iCs/>
              </w:rPr>
            </w:pPr>
          </w:p>
        </w:tc>
      </w:tr>
      <w:tr w:rsidR="005C0ACE" w:rsidRPr="00625155" w14:paraId="7A7ECA34" w14:textId="77777777" w:rsidTr="00C10E33">
        <w:tc>
          <w:tcPr>
            <w:tcW w:w="3470" w:type="dxa"/>
            <w:shd w:val="clear" w:color="auto" w:fill="auto"/>
            <w:vAlign w:val="bottom"/>
          </w:tcPr>
          <w:p w14:paraId="5C9AE4C8" w14:textId="09981817" w:rsidR="005C0ACE" w:rsidRPr="00625155" w:rsidRDefault="005C0ACE" w:rsidP="00C10E33">
            <w:pPr>
              <w:pStyle w:val="SummaryMeasureTitlewithTheme"/>
              <w:rPr>
                <w:color w:val="auto"/>
              </w:rPr>
            </w:pPr>
            <w:r w:rsidRPr="00625155">
              <w:rPr>
                <w:color w:val="auto"/>
              </w:rPr>
              <w:t>Disaster Recovery Funding Arrangement – 2021 Tasmanian storms(</w:t>
            </w:r>
            <w:r w:rsidR="0011539C">
              <w:rPr>
                <w:color w:val="auto"/>
              </w:rPr>
              <w:t>y</w:t>
            </w:r>
            <w:r w:rsidRPr="00625155">
              <w:rPr>
                <w:color w:val="auto"/>
              </w:rPr>
              <w:t>)</w:t>
            </w:r>
          </w:p>
        </w:tc>
        <w:tc>
          <w:tcPr>
            <w:tcW w:w="851" w:type="dxa"/>
            <w:vAlign w:val="bottom"/>
          </w:tcPr>
          <w:p w14:paraId="3D47C06C" w14:textId="6486C63F"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04ADBB11" w14:textId="6DC654FE" w:rsidR="005C0ACE" w:rsidRPr="00625155" w:rsidRDefault="00660645" w:rsidP="00C10E33">
            <w:pPr>
              <w:pStyle w:val="Summarytabletextrightaligned"/>
              <w:rPr>
                <w:szCs w:val="16"/>
              </w:rPr>
            </w:pPr>
            <w:r>
              <w:rPr>
                <w:szCs w:val="16"/>
              </w:rPr>
              <w:noBreakHyphen/>
            </w:r>
          </w:p>
        </w:tc>
        <w:tc>
          <w:tcPr>
            <w:tcW w:w="851" w:type="dxa"/>
            <w:vAlign w:val="bottom"/>
          </w:tcPr>
          <w:p w14:paraId="17EE27C3" w14:textId="576C3939" w:rsidR="005C0ACE" w:rsidRPr="00625155" w:rsidRDefault="00660645" w:rsidP="00C10E33">
            <w:pPr>
              <w:pStyle w:val="Summarytabletextrightaligned"/>
              <w:rPr>
                <w:szCs w:val="16"/>
              </w:rPr>
            </w:pPr>
            <w:r>
              <w:rPr>
                <w:szCs w:val="16"/>
              </w:rPr>
              <w:noBreakHyphen/>
            </w:r>
          </w:p>
        </w:tc>
        <w:tc>
          <w:tcPr>
            <w:tcW w:w="851" w:type="dxa"/>
            <w:vAlign w:val="bottom"/>
          </w:tcPr>
          <w:p w14:paraId="26781A3D" w14:textId="33FFF12A" w:rsidR="005C0ACE" w:rsidRPr="00625155" w:rsidRDefault="00660645" w:rsidP="00C10E33">
            <w:pPr>
              <w:pStyle w:val="Summarytabletextrightaligned"/>
              <w:rPr>
                <w:szCs w:val="16"/>
              </w:rPr>
            </w:pPr>
            <w:r>
              <w:rPr>
                <w:szCs w:val="16"/>
              </w:rPr>
              <w:noBreakHyphen/>
            </w:r>
          </w:p>
        </w:tc>
        <w:tc>
          <w:tcPr>
            <w:tcW w:w="851" w:type="dxa"/>
            <w:vAlign w:val="bottom"/>
          </w:tcPr>
          <w:p w14:paraId="68936B0D" w14:textId="5F50472B" w:rsidR="005C0ACE" w:rsidRPr="00625155" w:rsidRDefault="00660645" w:rsidP="00C10E33">
            <w:pPr>
              <w:pStyle w:val="Summarytabletextrightaligned"/>
              <w:rPr>
                <w:szCs w:val="16"/>
              </w:rPr>
            </w:pPr>
            <w:r>
              <w:rPr>
                <w:szCs w:val="16"/>
              </w:rPr>
              <w:noBreakHyphen/>
            </w:r>
          </w:p>
        </w:tc>
      </w:tr>
      <w:tr w:rsidR="005C0ACE" w:rsidRPr="00625155" w14:paraId="1058100C" w14:textId="77777777" w:rsidTr="00C10E33">
        <w:tc>
          <w:tcPr>
            <w:tcW w:w="3470" w:type="dxa"/>
            <w:shd w:val="clear" w:color="auto" w:fill="auto"/>
            <w:vAlign w:val="bottom"/>
          </w:tcPr>
          <w:p w14:paraId="6D203016" w14:textId="4FA89430" w:rsidR="005C0ACE" w:rsidRPr="00625155" w:rsidRDefault="005C0ACE" w:rsidP="00C10E33">
            <w:pPr>
              <w:pStyle w:val="SummaryMeasureTitlewithTheme"/>
              <w:rPr>
                <w:color w:val="auto"/>
              </w:rPr>
            </w:pPr>
            <w:r w:rsidRPr="00625155">
              <w:rPr>
                <w:color w:val="auto"/>
              </w:rPr>
              <w:t>Flood Package – additional support(</w:t>
            </w:r>
            <w:r w:rsidR="0011539C">
              <w:rPr>
                <w:color w:val="auto"/>
              </w:rPr>
              <w:t>z</w:t>
            </w:r>
            <w:r w:rsidRPr="00625155">
              <w:rPr>
                <w:color w:val="auto"/>
              </w:rPr>
              <w:t>)</w:t>
            </w:r>
          </w:p>
        </w:tc>
        <w:tc>
          <w:tcPr>
            <w:tcW w:w="851" w:type="dxa"/>
            <w:tcBorders>
              <w:bottom w:val="single" w:sz="4" w:space="0" w:color="auto"/>
            </w:tcBorders>
            <w:vAlign w:val="bottom"/>
          </w:tcPr>
          <w:p w14:paraId="06E1BE4C" w14:textId="6375EA5D"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shd w:val="clear" w:color="auto" w:fill="F2F9FC"/>
            <w:vAlign w:val="bottom"/>
          </w:tcPr>
          <w:p w14:paraId="1D4E184B" w14:textId="2A5FBB8A"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vAlign w:val="bottom"/>
          </w:tcPr>
          <w:p w14:paraId="5806AEF1" w14:textId="63AF2DA6"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vAlign w:val="bottom"/>
          </w:tcPr>
          <w:p w14:paraId="13722826" w14:textId="41C0CF17"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vAlign w:val="bottom"/>
          </w:tcPr>
          <w:p w14:paraId="1D7AF00E" w14:textId="452CF675" w:rsidR="005C0ACE" w:rsidRPr="00625155" w:rsidRDefault="00660645" w:rsidP="00C10E33">
            <w:pPr>
              <w:pStyle w:val="Summarytabletextrightaligned"/>
              <w:rPr>
                <w:szCs w:val="16"/>
              </w:rPr>
            </w:pPr>
            <w:r>
              <w:rPr>
                <w:szCs w:val="16"/>
              </w:rPr>
              <w:noBreakHyphen/>
            </w:r>
          </w:p>
        </w:tc>
      </w:tr>
      <w:tr w:rsidR="005C0ACE" w:rsidRPr="00625155" w14:paraId="6C09B4F7" w14:textId="77777777" w:rsidTr="00C10E33">
        <w:tc>
          <w:tcPr>
            <w:tcW w:w="3470" w:type="dxa"/>
            <w:shd w:val="clear" w:color="auto" w:fill="auto"/>
            <w:vAlign w:val="bottom"/>
          </w:tcPr>
          <w:p w14:paraId="1D6C505D" w14:textId="77777777" w:rsidR="005C0ACE" w:rsidRPr="00625155" w:rsidRDefault="005C0ACE" w:rsidP="00C10E33">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5F53B582" w14:textId="039501E7" w:rsidR="005C0ACE" w:rsidRPr="00625155" w:rsidRDefault="00660645" w:rsidP="00C10E33">
            <w:pPr>
              <w:pStyle w:val="Summarytabletextrightalignedbold"/>
              <w:rPr>
                <w:bCs/>
                <w:szCs w:val="16"/>
              </w:rPr>
            </w:pPr>
            <w:r>
              <w:rPr>
                <w:bCs/>
                <w:szCs w:val="16"/>
              </w:rPr>
              <w:noBreakHyphen/>
            </w:r>
          </w:p>
        </w:tc>
        <w:tc>
          <w:tcPr>
            <w:tcW w:w="851" w:type="dxa"/>
            <w:tcBorders>
              <w:top w:val="single" w:sz="4" w:space="0" w:color="auto"/>
              <w:bottom w:val="single" w:sz="4" w:space="0" w:color="auto"/>
            </w:tcBorders>
            <w:shd w:val="clear" w:color="auto" w:fill="F2F9FC"/>
            <w:vAlign w:val="bottom"/>
          </w:tcPr>
          <w:p w14:paraId="29671F22" w14:textId="13381CEB" w:rsidR="005C0ACE" w:rsidRPr="00625155" w:rsidRDefault="00660645" w:rsidP="00C10E33">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74222C32" w14:textId="7EFD20A8" w:rsidR="005C0ACE" w:rsidRPr="00625155" w:rsidRDefault="00660645" w:rsidP="00C10E33">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5E0679FD" w14:textId="187EC2DB" w:rsidR="005C0ACE" w:rsidRPr="00625155" w:rsidRDefault="00660645" w:rsidP="00C10E33">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3982DA9E" w14:textId="4DA25095" w:rsidR="005C0ACE" w:rsidRPr="00625155" w:rsidRDefault="00660645" w:rsidP="00C10E33">
            <w:pPr>
              <w:pStyle w:val="Summarytabletextrightalignedbold"/>
              <w:rPr>
                <w:bCs/>
                <w:szCs w:val="16"/>
              </w:rPr>
            </w:pPr>
            <w:r>
              <w:rPr>
                <w:bCs/>
                <w:szCs w:val="16"/>
              </w:rPr>
              <w:noBreakHyphen/>
            </w:r>
          </w:p>
        </w:tc>
      </w:tr>
      <w:tr w:rsidR="005C0ACE" w:rsidRPr="00625155" w14:paraId="2C4EF4B3" w14:textId="77777777" w:rsidTr="00C10E33">
        <w:tc>
          <w:tcPr>
            <w:tcW w:w="3470" w:type="dxa"/>
            <w:shd w:val="clear" w:color="auto" w:fill="auto"/>
            <w:vAlign w:val="bottom"/>
          </w:tcPr>
          <w:p w14:paraId="4B705234" w14:textId="77777777" w:rsidR="005C0ACE" w:rsidRPr="00625155" w:rsidRDefault="005C0ACE" w:rsidP="00C10E33">
            <w:pPr>
              <w:pStyle w:val="SummaryPortfolioTitle-BP2"/>
            </w:pPr>
            <w:r w:rsidRPr="00625155">
              <w:t>SOCIAL SERVICES</w:t>
            </w:r>
          </w:p>
        </w:tc>
        <w:tc>
          <w:tcPr>
            <w:tcW w:w="851" w:type="dxa"/>
            <w:tcBorders>
              <w:top w:val="single" w:sz="4" w:space="0" w:color="auto"/>
            </w:tcBorders>
            <w:vAlign w:val="bottom"/>
          </w:tcPr>
          <w:p w14:paraId="2F0E7314"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shd w:val="clear" w:color="auto" w:fill="F2F9FC"/>
            <w:vAlign w:val="bottom"/>
          </w:tcPr>
          <w:p w14:paraId="5861861A"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30628A5C"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4F62A903"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16FABDC5" w14:textId="77777777" w:rsidR="005C0ACE" w:rsidRPr="00625155" w:rsidRDefault="005C0ACE" w:rsidP="00C10E33">
            <w:pPr>
              <w:pStyle w:val="MeasureTableTextRightAlignedBefore6ptAfter1pt"/>
              <w:rPr>
                <w:b/>
                <w:bCs/>
                <w:color w:val="auto"/>
              </w:rPr>
            </w:pPr>
          </w:p>
        </w:tc>
      </w:tr>
      <w:tr w:rsidR="005C0ACE" w:rsidRPr="00625155" w14:paraId="2F774E1A" w14:textId="77777777" w:rsidTr="00C10E33">
        <w:tc>
          <w:tcPr>
            <w:tcW w:w="3470" w:type="dxa"/>
            <w:shd w:val="clear" w:color="auto" w:fill="auto"/>
            <w:vAlign w:val="bottom"/>
          </w:tcPr>
          <w:p w14:paraId="6C0E5177" w14:textId="77777777" w:rsidR="005C0ACE" w:rsidRPr="00625155" w:rsidRDefault="005C0ACE" w:rsidP="00C10E33">
            <w:pPr>
              <w:pStyle w:val="SummaryAgencyTitle-BP2"/>
              <w:rPr>
                <w:iCs/>
              </w:rPr>
            </w:pPr>
            <w:r w:rsidRPr="00625155">
              <w:rPr>
                <w:iCs/>
              </w:rPr>
              <w:t>Department of Social Services</w:t>
            </w:r>
          </w:p>
        </w:tc>
        <w:tc>
          <w:tcPr>
            <w:tcW w:w="851" w:type="dxa"/>
            <w:vAlign w:val="bottom"/>
          </w:tcPr>
          <w:p w14:paraId="7C582548" w14:textId="77777777" w:rsidR="005C0ACE" w:rsidRPr="00625155" w:rsidRDefault="005C0ACE" w:rsidP="00C10E33">
            <w:pPr>
              <w:pStyle w:val="SummaryAgencyTitle-BP2"/>
              <w:rPr>
                <w:iCs/>
              </w:rPr>
            </w:pPr>
          </w:p>
        </w:tc>
        <w:tc>
          <w:tcPr>
            <w:tcW w:w="851" w:type="dxa"/>
            <w:shd w:val="clear" w:color="auto" w:fill="F2F9FC"/>
            <w:vAlign w:val="bottom"/>
          </w:tcPr>
          <w:p w14:paraId="5C9B4074" w14:textId="77777777" w:rsidR="005C0ACE" w:rsidRPr="00625155" w:rsidRDefault="005C0ACE" w:rsidP="00C10E33">
            <w:pPr>
              <w:pStyle w:val="SummaryAgencyTitle-BP2"/>
              <w:rPr>
                <w:iCs/>
              </w:rPr>
            </w:pPr>
          </w:p>
        </w:tc>
        <w:tc>
          <w:tcPr>
            <w:tcW w:w="851" w:type="dxa"/>
            <w:vAlign w:val="bottom"/>
          </w:tcPr>
          <w:p w14:paraId="4B048160" w14:textId="77777777" w:rsidR="005C0ACE" w:rsidRPr="00625155" w:rsidRDefault="005C0ACE" w:rsidP="00C10E33">
            <w:pPr>
              <w:pStyle w:val="SummaryAgencyTitle-BP2"/>
              <w:rPr>
                <w:iCs/>
              </w:rPr>
            </w:pPr>
          </w:p>
        </w:tc>
        <w:tc>
          <w:tcPr>
            <w:tcW w:w="851" w:type="dxa"/>
            <w:vAlign w:val="bottom"/>
          </w:tcPr>
          <w:p w14:paraId="06E4148C" w14:textId="77777777" w:rsidR="005C0ACE" w:rsidRPr="00625155" w:rsidRDefault="005C0ACE" w:rsidP="00C10E33">
            <w:pPr>
              <w:pStyle w:val="SummaryAgencyTitle-BP2"/>
              <w:rPr>
                <w:iCs/>
              </w:rPr>
            </w:pPr>
          </w:p>
        </w:tc>
        <w:tc>
          <w:tcPr>
            <w:tcW w:w="851" w:type="dxa"/>
            <w:vAlign w:val="bottom"/>
          </w:tcPr>
          <w:p w14:paraId="76F4FC13" w14:textId="77777777" w:rsidR="005C0ACE" w:rsidRPr="00625155" w:rsidRDefault="005C0ACE" w:rsidP="00C10E33">
            <w:pPr>
              <w:pStyle w:val="SummaryAgencyTitle-BP2"/>
              <w:rPr>
                <w:iCs/>
              </w:rPr>
            </w:pPr>
          </w:p>
        </w:tc>
      </w:tr>
      <w:tr w:rsidR="005C0ACE" w:rsidRPr="00625155" w14:paraId="76EEBE6D" w14:textId="77777777" w:rsidTr="00C10E33">
        <w:tc>
          <w:tcPr>
            <w:tcW w:w="3470" w:type="dxa"/>
            <w:shd w:val="clear" w:color="auto" w:fill="auto"/>
            <w:vAlign w:val="bottom"/>
          </w:tcPr>
          <w:p w14:paraId="0EFC1630" w14:textId="511F5C6E" w:rsidR="005C0ACE" w:rsidRPr="00625155" w:rsidRDefault="005C0ACE" w:rsidP="00C10E33">
            <w:pPr>
              <w:pStyle w:val="SummaryMeasureTitlewithTheme"/>
              <w:rPr>
                <w:color w:val="auto"/>
              </w:rPr>
            </w:pPr>
            <w:r w:rsidRPr="00625155">
              <w:rPr>
                <w:color w:val="auto"/>
              </w:rPr>
              <w:t>Workforce Australia – reversal of contingency measures(</w:t>
            </w:r>
            <w:r w:rsidR="0011539C">
              <w:rPr>
                <w:color w:val="auto"/>
              </w:rPr>
              <w:t>m</w:t>
            </w:r>
            <w:r w:rsidRPr="00625155">
              <w:rPr>
                <w:color w:val="auto"/>
              </w:rPr>
              <w:t>)</w:t>
            </w:r>
          </w:p>
        </w:tc>
        <w:tc>
          <w:tcPr>
            <w:tcW w:w="851" w:type="dxa"/>
            <w:vAlign w:val="bottom"/>
          </w:tcPr>
          <w:p w14:paraId="77EBE1A3" w14:textId="2CA05CCE" w:rsidR="005C0ACE" w:rsidRPr="00625155" w:rsidRDefault="00660645" w:rsidP="00C10E33">
            <w:pPr>
              <w:pStyle w:val="Summarytabletextrightaligned"/>
              <w:rPr>
                <w:szCs w:val="16"/>
              </w:rPr>
            </w:pPr>
            <w:r>
              <w:rPr>
                <w:szCs w:val="16"/>
              </w:rPr>
              <w:noBreakHyphen/>
            </w:r>
            <w:r w:rsidR="005C0ACE" w:rsidRPr="00625155">
              <w:rPr>
                <w:szCs w:val="16"/>
              </w:rPr>
              <w:t>6.9</w:t>
            </w:r>
          </w:p>
        </w:tc>
        <w:tc>
          <w:tcPr>
            <w:tcW w:w="851" w:type="dxa"/>
            <w:shd w:val="clear" w:color="auto" w:fill="F2F9FC"/>
            <w:vAlign w:val="bottom"/>
          </w:tcPr>
          <w:p w14:paraId="2F3C1EE1" w14:textId="07FF001A" w:rsidR="005C0ACE" w:rsidRPr="00625155" w:rsidRDefault="00660645" w:rsidP="00C10E33">
            <w:pPr>
              <w:pStyle w:val="Summarytabletextrightaligned"/>
              <w:rPr>
                <w:szCs w:val="16"/>
              </w:rPr>
            </w:pPr>
            <w:r>
              <w:rPr>
                <w:szCs w:val="16"/>
              </w:rPr>
              <w:noBreakHyphen/>
            </w:r>
            <w:r w:rsidR="005C0ACE" w:rsidRPr="00625155">
              <w:rPr>
                <w:szCs w:val="16"/>
              </w:rPr>
              <w:t>40.6</w:t>
            </w:r>
          </w:p>
        </w:tc>
        <w:tc>
          <w:tcPr>
            <w:tcW w:w="851" w:type="dxa"/>
            <w:vAlign w:val="bottom"/>
          </w:tcPr>
          <w:p w14:paraId="30797089" w14:textId="728835B0" w:rsidR="005C0ACE" w:rsidRPr="00625155" w:rsidRDefault="00660645" w:rsidP="00C10E33">
            <w:pPr>
              <w:pStyle w:val="Summarytabletextrightaligned"/>
              <w:rPr>
                <w:szCs w:val="16"/>
              </w:rPr>
            </w:pPr>
            <w:r>
              <w:rPr>
                <w:szCs w:val="16"/>
              </w:rPr>
              <w:noBreakHyphen/>
            </w:r>
            <w:r w:rsidR="005C0ACE" w:rsidRPr="00625155">
              <w:rPr>
                <w:szCs w:val="16"/>
              </w:rPr>
              <w:t>18.5</w:t>
            </w:r>
          </w:p>
        </w:tc>
        <w:tc>
          <w:tcPr>
            <w:tcW w:w="851" w:type="dxa"/>
            <w:vAlign w:val="bottom"/>
          </w:tcPr>
          <w:p w14:paraId="3DDF0698" w14:textId="53828423" w:rsidR="005C0ACE" w:rsidRPr="00625155" w:rsidRDefault="00660645" w:rsidP="00C10E33">
            <w:pPr>
              <w:pStyle w:val="Summarytabletextrightaligned"/>
              <w:rPr>
                <w:szCs w:val="16"/>
              </w:rPr>
            </w:pPr>
            <w:r>
              <w:rPr>
                <w:szCs w:val="16"/>
              </w:rPr>
              <w:noBreakHyphen/>
            </w:r>
          </w:p>
        </w:tc>
        <w:tc>
          <w:tcPr>
            <w:tcW w:w="851" w:type="dxa"/>
            <w:vAlign w:val="bottom"/>
          </w:tcPr>
          <w:p w14:paraId="300CD25B" w14:textId="0B9F5954" w:rsidR="005C0ACE" w:rsidRPr="00625155" w:rsidRDefault="00660645" w:rsidP="00C10E33">
            <w:pPr>
              <w:pStyle w:val="Summarytabletextrightaligned"/>
              <w:rPr>
                <w:szCs w:val="16"/>
              </w:rPr>
            </w:pPr>
            <w:r>
              <w:rPr>
                <w:szCs w:val="16"/>
              </w:rPr>
              <w:noBreakHyphen/>
            </w:r>
          </w:p>
        </w:tc>
      </w:tr>
      <w:tr w:rsidR="005C0ACE" w:rsidRPr="00625155" w14:paraId="28A8D0E9" w14:textId="77777777" w:rsidTr="00C10E33">
        <w:tc>
          <w:tcPr>
            <w:tcW w:w="3470" w:type="dxa"/>
            <w:shd w:val="clear" w:color="auto" w:fill="auto"/>
            <w:vAlign w:val="bottom"/>
          </w:tcPr>
          <w:p w14:paraId="400C65D7" w14:textId="77777777" w:rsidR="005C0ACE" w:rsidRPr="00625155" w:rsidRDefault="005C0ACE" w:rsidP="00C10E33">
            <w:pPr>
              <w:pStyle w:val="SummaryAgencyTitle-BP2"/>
              <w:rPr>
                <w:iCs/>
              </w:rPr>
            </w:pPr>
            <w:r w:rsidRPr="00625155">
              <w:rPr>
                <w:iCs/>
              </w:rPr>
              <w:t>Services Australia</w:t>
            </w:r>
          </w:p>
        </w:tc>
        <w:tc>
          <w:tcPr>
            <w:tcW w:w="851" w:type="dxa"/>
            <w:vAlign w:val="bottom"/>
          </w:tcPr>
          <w:p w14:paraId="36ABC7E4" w14:textId="77777777" w:rsidR="005C0ACE" w:rsidRPr="00625155" w:rsidRDefault="005C0ACE" w:rsidP="00C10E33">
            <w:pPr>
              <w:pStyle w:val="SummaryAgencyTitle-BP2"/>
              <w:rPr>
                <w:iCs/>
              </w:rPr>
            </w:pPr>
          </w:p>
        </w:tc>
        <w:tc>
          <w:tcPr>
            <w:tcW w:w="851" w:type="dxa"/>
            <w:shd w:val="clear" w:color="auto" w:fill="F2F9FC"/>
            <w:vAlign w:val="bottom"/>
          </w:tcPr>
          <w:p w14:paraId="7720470C" w14:textId="77777777" w:rsidR="005C0ACE" w:rsidRPr="00625155" w:rsidRDefault="005C0ACE" w:rsidP="00C10E33">
            <w:pPr>
              <w:pStyle w:val="SummaryAgencyTitle-BP2"/>
              <w:rPr>
                <w:iCs/>
              </w:rPr>
            </w:pPr>
          </w:p>
        </w:tc>
        <w:tc>
          <w:tcPr>
            <w:tcW w:w="851" w:type="dxa"/>
            <w:vAlign w:val="bottom"/>
          </w:tcPr>
          <w:p w14:paraId="2C5293AB" w14:textId="77777777" w:rsidR="005C0ACE" w:rsidRPr="00625155" w:rsidRDefault="005C0ACE" w:rsidP="00C10E33">
            <w:pPr>
              <w:pStyle w:val="SummaryAgencyTitle-BP2"/>
              <w:rPr>
                <w:iCs/>
              </w:rPr>
            </w:pPr>
          </w:p>
        </w:tc>
        <w:tc>
          <w:tcPr>
            <w:tcW w:w="851" w:type="dxa"/>
            <w:vAlign w:val="bottom"/>
          </w:tcPr>
          <w:p w14:paraId="76F7C7C8" w14:textId="77777777" w:rsidR="005C0ACE" w:rsidRPr="00625155" w:rsidRDefault="005C0ACE" w:rsidP="00C10E33">
            <w:pPr>
              <w:pStyle w:val="SummaryAgencyTitle-BP2"/>
              <w:rPr>
                <w:iCs/>
              </w:rPr>
            </w:pPr>
          </w:p>
        </w:tc>
        <w:tc>
          <w:tcPr>
            <w:tcW w:w="851" w:type="dxa"/>
            <w:vAlign w:val="bottom"/>
          </w:tcPr>
          <w:p w14:paraId="1AB83A7F" w14:textId="77777777" w:rsidR="005C0ACE" w:rsidRPr="00625155" w:rsidRDefault="005C0ACE" w:rsidP="00C10E33">
            <w:pPr>
              <w:pStyle w:val="SummaryAgencyTitle-BP2"/>
              <w:rPr>
                <w:iCs/>
              </w:rPr>
            </w:pPr>
          </w:p>
        </w:tc>
      </w:tr>
      <w:tr w:rsidR="005C0ACE" w:rsidRPr="00625155" w14:paraId="280F0E6C" w14:textId="77777777" w:rsidTr="00C10E33">
        <w:tc>
          <w:tcPr>
            <w:tcW w:w="3470" w:type="dxa"/>
            <w:shd w:val="clear" w:color="auto" w:fill="auto"/>
            <w:vAlign w:val="bottom"/>
          </w:tcPr>
          <w:p w14:paraId="6F634C04" w14:textId="5ECE162B" w:rsidR="005C0ACE" w:rsidRPr="00625155" w:rsidRDefault="005C0ACE" w:rsidP="00C10E33">
            <w:pPr>
              <w:pStyle w:val="SummaryMeasureTitlewithTheme"/>
              <w:rPr>
                <w:color w:val="auto"/>
              </w:rPr>
            </w:pPr>
            <w:r w:rsidRPr="00625155">
              <w:rPr>
                <w:color w:val="auto"/>
              </w:rPr>
              <w:t>COVID</w:t>
            </w:r>
            <w:r w:rsidR="00660645">
              <w:rPr>
                <w:color w:val="auto"/>
              </w:rPr>
              <w:noBreakHyphen/>
            </w:r>
            <w:r w:rsidRPr="00625155">
              <w:rPr>
                <w:color w:val="auto"/>
              </w:rPr>
              <w:t>19 Response Package – treatments(b)(</w:t>
            </w:r>
            <w:r w:rsidR="0011539C">
              <w:rPr>
                <w:color w:val="auto"/>
              </w:rPr>
              <w:t>p</w:t>
            </w:r>
            <w:r w:rsidRPr="00625155">
              <w:rPr>
                <w:color w:val="auto"/>
              </w:rPr>
              <w:t>)</w:t>
            </w:r>
          </w:p>
        </w:tc>
        <w:tc>
          <w:tcPr>
            <w:tcW w:w="851" w:type="dxa"/>
            <w:vAlign w:val="bottom"/>
          </w:tcPr>
          <w:p w14:paraId="4F681955" w14:textId="77777777" w:rsidR="005C0ACE" w:rsidRPr="00625155" w:rsidRDefault="005C0ACE" w:rsidP="00C10E33">
            <w:pPr>
              <w:pStyle w:val="Summarytabletextrightaligned"/>
              <w:rPr>
                <w:szCs w:val="16"/>
              </w:rPr>
            </w:pPr>
            <w:r w:rsidRPr="00625155">
              <w:rPr>
                <w:szCs w:val="16"/>
              </w:rPr>
              <w:t>..</w:t>
            </w:r>
          </w:p>
        </w:tc>
        <w:tc>
          <w:tcPr>
            <w:tcW w:w="851" w:type="dxa"/>
            <w:shd w:val="clear" w:color="auto" w:fill="F2F9FC"/>
            <w:vAlign w:val="bottom"/>
          </w:tcPr>
          <w:p w14:paraId="67A0B0A9" w14:textId="52F05042" w:rsidR="005C0ACE" w:rsidRPr="00625155" w:rsidRDefault="00660645" w:rsidP="00C10E33">
            <w:pPr>
              <w:pStyle w:val="Summarytabletextrightaligned"/>
              <w:rPr>
                <w:szCs w:val="16"/>
              </w:rPr>
            </w:pPr>
            <w:r>
              <w:rPr>
                <w:szCs w:val="16"/>
              </w:rPr>
              <w:noBreakHyphen/>
            </w:r>
          </w:p>
        </w:tc>
        <w:tc>
          <w:tcPr>
            <w:tcW w:w="851" w:type="dxa"/>
            <w:vAlign w:val="bottom"/>
          </w:tcPr>
          <w:p w14:paraId="1AA63AFC" w14:textId="0AAEEE73" w:rsidR="005C0ACE" w:rsidRPr="00625155" w:rsidRDefault="00660645" w:rsidP="00C10E33">
            <w:pPr>
              <w:pStyle w:val="Summarytabletextrightaligned"/>
              <w:rPr>
                <w:szCs w:val="16"/>
              </w:rPr>
            </w:pPr>
            <w:r>
              <w:rPr>
                <w:szCs w:val="16"/>
              </w:rPr>
              <w:noBreakHyphen/>
            </w:r>
          </w:p>
        </w:tc>
        <w:tc>
          <w:tcPr>
            <w:tcW w:w="851" w:type="dxa"/>
            <w:vAlign w:val="bottom"/>
          </w:tcPr>
          <w:p w14:paraId="76318520" w14:textId="006B4CB4" w:rsidR="005C0ACE" w:rsidRPr="00625155" w:rsidRDefault="00660645" w:rsidP="00C10E33">
            <w:pPr>
              <w:pStyle w:val="Summarytabletextrightaligned"/>
              <w:rPr>
                <w:szCs w:val="16"/>
              </w:rPr>
            </w:pPr>
            <w:r>
              <w:rPr>
                <w:szCs w:val="16"/>
              </w:rPr>
              <w:noBreakHyphen/>
            </w:r>
          </w:p>
        </w:tc>
        <w:tc>
          <w:tcPr>
            <w:tcW w:w="851" w:type="dxa"/>
            <w:vAlign w:val="bottom"/>
          </w:tcPr>
          <w:p w14:paraId="64CD0393" w14:textId="1D3AAA26" w:rsidR="005C0ACE" w:rsidRPr="00625155" w:rsidRDefault="00660645" w:rsidP="00C10E33">
            <w:pPr>
              <w:pStyle w:val="Summarytabletextrightaligned"/>
              <w:rPr>
                <w:szCs w:val="16"/>
              </w:rPr>
            </w:pPr>
            <w:r>
              <w:rPr>
                <w:szCs w:val="16"/>
              </w:rPr>
              <w:noBreakHyphen/>
            </w:r>
          </w:p>
        </w:tc>
      </w:tr>
      <w:tr w:rsidR="005C0ACE" w:rsidRPr="00625155" w14:paraId="18EB5D79" w14:textId="77777777" w:rsidTr="00C10E33">
        <w:tc>
          <w:tcPr>
            <w:tcW w:w="3470" w:type="dxa"/>
            <w:shd w:val="clear" w:color="auto" w:fill="auto"/>
            <w:vAlign w:val="bottom"/>
          </w:tcPr>
          <w:p w14:paraId="64A90DEA" w14:textId="715826E4" w:rsidR="005C0ACE" w:rsidRPr="00625155" w:rsidRDefault="005C0ACE" w:rsidP="00C10E33">
            <w:pPr>
              <w:pStyle w:val="SummaryMeasureTitlewithTheme"/>
              <w:rPr>
                <w:color w:val="auto"/>
              </w:rPr>
            </w:pPr>
            <w:r w:rsidRPr="00625155">
              <w:rPr>
                <w:color w:val="auto"/>
              </w:rPr>
              <w:t>DVA – Additional resources for claims processing(</w:t>
            </w:r>
            <w:r w:rsidR="0011539C">
              <w:rPr>
                <w:color w:val="auto"/>
              </w:rPr>
              <w:t>cc</w:t>
            </w:r>
            <w:r w:rsidRPr="00625155">
              <w:rPr>
                <w:color w:val="auto"/>
              </w:rPr>
              <w:t>)</w:t>
            </w:r>
          </w:p>
        </w:tc>
        <w:tc>
          <w:tcPr>
            <w:tcW w:w="851" w:type="dxa"/>
            <w:vAlign w:val="bottom"/>
          </w:tcPr>
          <w:p w14:paraId="4487AB31" w14:textId="476233B7"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23BF40D5" w14:textId="0DBCBEFF" w:rsidR="005C0ACE" w:rsidRPr="00625155" w:rsidRDefault="00660645" w:rsidP="00C10E33">
            <w:pPr>
              <w:pStyle w:val="Summarytabletextrightaligned"/>
              <w:rPr>
                <w:szCs w:val="16"/>
              </w:rPr>
            </w:pPr>
            <w:r>
              <w:rPr>
                <w:szCs w:val="16"/>
              </w:rPr>
              <w:noBreakHyphen/>
            </w:r>
          </w:p>
        </w:tc>
        <w:tc>
          <w:tcPr>
            <w:tcW w:w="851" w:type="dxa"/>
            <w:vAlign w:val="bottom"/>
          </w:tcPr>
          <w:p w14:paraId="7B26F089" w14:textId="6FA94FDC" w:rsidR="005C0ACE" w:rsidRPr="00625155" w:rsidRDefault="00660645" w:rsidP="00C10E33">
            <w:pPr>
              <w:pStyle w:val="Summarytabletextrightaligned"/>
              <w:rPr>
                <w:szCs w:val="16"/>
              </w:rPr>
            </w:pPr>
            <w:r>
              <w:rPr>
                <w:szCs w:val="16"/>
              </w:rPr>
              <w:noBreakHyphen/>
            </w:r>
          </w:p>
        </w:tc>
        <w:tc>
          <w:tcPr>
            <w:tcW w:w="851" w:type="dxa"/>
            <w:vAlign w:val="bottom"/>
          </w:tcPr>
          <w:p w14:paraId="1FE6AAB6" w14:textId="665BA476" w:rsidR="005C0ACE" w:rsidRPr="00625155" w:rsidRDefault="00660645" w:rsidP="00C10E33">
            <w:pPr>
              <w:pStyle w:val="Summarytabletextrightaligned"/>
              <w:rPr>
                <w:szCs w:val="16"/>
              </w:rPr>
            </w:pPr>
            <w:r>
              <w:rPr>
                <w:szCs w:val="16"/>
              </w:rPr>
              <w:noBreakHyphen/>
            </w:r>
          </w:p>
        </w:tc>
        <w:tc>
          <w:tcPr>
            <w:tcW w:w="851" w:type="dxa"/>
            <w:vAlign w:val="bottom"/>
          </w:tcPr>
          <w:p w14:paraId="6F2FD42B" w14:textId="622BDE42" w:rsidR="005C0ACE" w:rsidRPr="00625155" w:rsidRDefault="00660645" w:rsidP="00C10E33">
            <w:pPr>
              <w:pStyle w:val="Summarytabletextrightaligned"/>
              <w:rPr>
                <w:szCs w:val="16"/>
              </w:rPr>
            </w:pPr>
            <w:r>
              <w:rPr>
                <w:szCs w:val="16"/>
              </w:rPr>
              <w:noBreakHyphen/>
            </w:r>
          </w:p>
        </w:tc>
      </w:tr>
      <w:tr w:rsidR="005C0ACE" w:rsidRPr="00625155" w14:paraId="6E5FED03" w14:textId="77777777" w:rsidTr="00C10E33">
        <w:tc>
          <w:tcPr>
            <w:tcW w:w="3470" w:type="dxa"/>
            <w:shd w:val="clear" w:color="auto" w:fill="auto"/>
            <w:vAlign w:val="bottom"/>
          </w:tcPr>
          <w:p w14:paraId="186DBB82" w14:textId="2DBD3C96" w:rsidR="005C0ACE" w:rsidRPr="00625155" w:rsidRDefault="005C0ACE" w:rsidP="00C10E33">
            <w:pPr>
              <w:pStyle w:val="SummaryMeasureTitlewithTheme"/>
              <w:rPr>
                <w:color w:val="auto"/>
              </w:rPr>
            </w:pPr>
            <w:r w:rsidRPr="00625155">
              <w:rPr>
                <w:color w:val="auto"/>
              </w:rPr>
              <w:t xml:space="preserve">Pharmaceutical Benefits Scheme – </w:t>
            </w:r>
            <w:r w:rsidR="00B545EC">
              <w:rPr>
                <w:color w:val="auto"/>
              </w:rPr>
              <w:t>n</w:t>
            </w:r>
            <w:r w:rsidRPr="00625155">
              <w:rPr>
                <w:color w:val="auto"/>
              </w:rPr>
              <w:t>ew</w:t>
            </w:r>
            <w:r w:rsidR="00BF569A" w:rsidRPr="00625155">
              <w:rPr>
                <w:color w:val="auto"/>
              </w:rPr>
              <w:t> </w:t>
            </w:r>
            <w:r w:rsidRPr="00625155">
              <w:rPr>
                <w:color w:val="auto"/>
              </w:rPr>
              <w:t xml:space="preserve">and </w:t>
            </w:r>
            <w:r w:rsidR="00B545EC">
              <w:rPr>
                <w:color w:val="auto"/>
              </w:rPr>
              <w:t>a</w:t>
            </w:r>
            <w:r w:rsidRPr="00625155">
              <w:rPr>
                <w:color w:val="auto"/>
              </w:rPr>
              <w:t xml:space="preserve">mended </w:t>
            </w:r>
            <w:r w:rsidR="00B545EC">
              <w:rPr>
                <w:color w:val="auto"/>
              </w:rPr>
              <w:t>l</w:t>
            </w:r>
            <w:r w:rsidRPr="00625155">
              <w:rPr>
                <w:color w:val="auto"/>
              </w:rPr>
              <w:t>istings(</w:t>
            </w:r>
            <w:r w:rsidR="0011539C">
              <w:rPr>
                <w:color w:val="auto"/>
              </w:rPr>
              <w:t>r</w:t>
            </w:r>
            <w:r w:rsidRPr="00625155">
              <w:rPr>
                <w:color w:val="auto"/>
              </w:rPr>
              <w:t>)</w:t>
            </w:r>
          </w:p>
        </w:tc>
        <w:tc>
          <w:tcPr>
            <w:tcW w:w="851" w:type="dxa"/>
            <w:vAlign w:val="bottom"/>
          </w:tcPr>
          <w:p w14:paraId="44BF27D1" w14:textId="6C66B400"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7467629A" w14:textId="15837107" w:rsidR="005C0ACE" w:rsidRPr="00625155" w:rsidRDefault="00660645" w:rsidP="00C10E33">
            <w:pPr>
              <w:pStyle w:val="Summarytabletextrightaligned"/>
              <w:rPr>
                <w:szCs w:val="16"/>
              </w:rPr>
            </w:pPr>
            <w:r>
              <w:rPr>
                <w:szCs w:val="16"/>
              </w:rPr>
              <w:noBreakHyphen/>
            </w:r>
          </w:p>
        </w:tc>
        <w:tc>
          <w:tcPr>
            <w:tcW w:w="851" w:type="dxa"/>
            <w:vAlign w:val="bottom"/>
          </w:tcPr>
          <w:p w14:paraId="3D3E9A71" w14:textId="36E52DB9" w:rsidR="005C0ACE" w:rsidRPr="00625155" w:rsidRDefault="00660645" w:rsidP="00C10E33">
            <w:pPr>
              <w:pStyle w:val="Summarytabletextrightaligned"/>
              <w:rPr>
                <w:szCs w:val="16"/>
              </w:rPr>
            </w:pPr>
            <w:r>
              <w:rPr>
                <w:szCs w:val="16"/>
              </w:rPr>
              <w:noBreakHyphen/>
            </w:r>
          </w:p>
        </w:tc>
        <w:tc>
          <w:tcPr>
            <w:tcW w:w="851" w:type="dxa"/>
            <w:vAlign w:val="bottom"/>
          </w:tcPr>
          <w:p w14:paraId="25B7BB7E" w14:textId="5BEA2F7F" w:rsidR="005C0ACE" w:rsidRPr="00625155" w:rsidRDefault="00660645" w:rsidP="00C10E33">
            <w:pPr>
              <w:pStyle w:val="Summarytabletextrightaligned"/>
              <w:rPr>
                <w:szCs w:val="16"/>
              </w:rPr>
            </w:pPr>
            <w:r>
              <w:rPr>
                <w:szCs w:val="16"/>
              </w:rPr>
              <w:noBreakHyphen/>
            </w:r>
          </w:p>
        </w:tc>
        <w:tc>
          <w:tcPr>
            <w:tcW w:w="851" w:type="dxa"/>
            <w:vAlign w:val="bottom"/>
          </w:tcPr>
          <w:p w14:paraId="14A08D78" w14:textId="5676362D" w:rsidR="005C0ACE" w:rsidRPr="00625155" w:rsidRDefault="00660645" w:rsidP="00C10E33">
            <w:pPr>
              <w:pStyle w:val="Summarytabletextrightaligned"/>
              <w:rPr>
                <w:szCs w:val="16"/>
              </w:rPr>
            </w:pPr>
            <w:r>
              <w:rPr>
                <w:szCs w:val="16"/>
              </w:rPr>
              <w:noBreakHyphen/>
            </w:r>
          </w:p>
        </w:tc>
      </w:tr>
      <w:tr w:rsidR="005C0ACE" w:rsidRPr="00625155" w14:paraId="4C17312D" w14:textId="77777777" w:rsidTr="00C10E33">
        <w:tc>
          <w:tcPr>
            <w:tcW w:w="3470" w:type="dxa"/>
            <w:shd w:val="clear" w:color="auto" w:fill="auto"/>
            <w:vAlign w:val="bottom"/>
          </w:tcPr>
          <w:p w14:paraId="711483AC" w14:textId="14D13E6C" w:rsidR="005C0ACE" w:rsidRPr="00625155" w:rsidRDefault="005C0ACE" w:rsidP="00C10E33">
            <w:pPr>
              <w:pStyle w:val="SummaryMeasureTitlewithTheme"/>
              <w:rPr>
                <w:color w:val="auto"/>
              </w:rPr>
            </w:pPr>
            <w:r w:rsidRPr="00625155">
              <w:rPr>
                <w:color w:val="auto"/>
              </w:rPr>
              <w:t>Workforce Australia – reversal of contingency measures(</w:t>
            </w:r>
            <w:r w:rsidR="0011539C">
              <w:rPr>
                <w:color w:val="auto"/>
              </w:rPr>
              <w:t>m</w:t>
            </w:r>
            <w:r w:rsidRPr="00625155">
              <w:rPr>
                <w:color w:val="auto"/>
              </w:rPr>
              <w:t>)</w:t>
            </w:r>
          </w:p>
        </w:tc>
        <w:tc>
          <w:tcPr>
            <w:tcW w:w="851" w:type="dxa"/>
            <w:tcBorders>
              <w:bottom w:val="single" w:sz="4" w:space="0" w:color="auto"/>
            </w:tcBorders>
            <w:vAlign w:val="bottom"/>
          </w:tcPr>
          <w:p w14:paraId="3B0C59CB" w14:textId="77777777" w:rsidR="005C0ACE" w:rsidRPr="00625155" w:rsidRDefault="005C0ACE" w:rsidP="00C10E33">
            <w:pPr>
              <w:pStyle w:val="Summarytabletextrightaligned"/>
              <w:rPr>
                <w:szCs w:val="16"/>
              </w:rPr>
            </w:pPr>
            <w:r w:rsidRPr="00625155">
              <w:rPr>
                <w:szCs w:val="16"/>
              </w:rPr>
              <w:t>1.8</w:t>
            </w:r>
          </w:p>
        </w:tc>
        <w:tc>
          <w:tcPr>
            <w:tcW w:w="851" w:type="dxa"/>
            <w:tcBorders>
              <w:bottom w:val="single" w:sz="4" w:space="0" w:color="auto"/>
            </w:tcBorders>
            <w:shd w:val="clear" w:color="auto" w:fill="F2F9FC"/>
            <w:vAlign w:val="bottom"/>
          </w:tcPr>
          <w:p w14:paraId="63DD8168" w14:textId="4BB2E9A5" w:rsidR="005C0ACE" w:rsidRPr="00625155" w:rsidRDefault="00660645" w:rsidP="00C10E33">
            <w:pPr>
              <w:pStyle w:val="Summarytabletextrightaligned"/>
              <w:rPr>
                <w:szCs w:val="16"/>
              </w:rPr>
            </w:pPr>
            <w:r>
              <w:rPr>
                <w:szCs w:val="16"/>
              </w:rPr>
              <w:noBreakHyphen/>
            </w:r>
            <w:r w:rsidR="005C0ACE" w:rsidRPr="00625155">
              <w:rPr>
                <w:szCs w:val="16"/>
              </w:rPr>
              <w:t>2.9</w:t>
            </w:r>
          </w:p>
        </w:tc>
        <w:tc>
          <w:tcPr>
            <w:tcW w:w="851" w:type="dxa"/>
            <w:tcBorders>
              <w:bottom w:val="single" w:sz="4" w:space="0" w:color="auto"/>
            </w:tcBorders>
            <w:vAlign w:val="bottom"/>
          </w:tcPr>
          <w:p w14:paraId="43BA699E" w14:textId="68941D27" w:rsidR="005C0ACE" w:rsidRPr="00625155" w:rsidRDefault="00660645" w:rsidP="00C10E33">
            <w:pPr>
              <w:pStyle w:val="Summarytabletextrightaligned"/>
              <w:rPr>
                <w:szCs w:val="16"/>
              </w:rPr>
            </w:pPr>
            <w:r>
              <w:rPr>
                <w:szCs w:val="16"/>
              </w:rPr>
              <w:noBreakHyphen/>
            </w:r>
            <w:r w:rsidR="005C0ACE" w:rsidRPr="00625155">
              <w:rPr>
                <w:szCs w:val="16"/>
              </w:rPr>
              <w:t>0.1</w:t>
            </w:r>
          </w:p>
        </w:tc>
        <w:tc>
          <w:tcPr>
            <w:tcW w:w="851" w:type="dxa"/>
            <w:tcBorders>
              <w:bottom w:val="single" w:sz="4" w:space="0" w:color="auto"/>
            </w:tcBorders>
            <w:vAlign w:val="bottom"/>
          </w:tcPr>
          <w:p w14:paraId="6172AF62" w14:textId="53F11F9E" w:rsidR="005C0ACE" w:rsidRPr="00625155" w:rsidRDefault="00660645" w:rsidP="00C10E33">
            <w:pPr>
              <w:pStyle w:val="Summarytabletextrightaligned"/>
              <w:rPr>
                <w:szCs w:val="16"/>
              </w:rPr>
            </w:pPr>
            <w:r>
              <w:rPr>
                <w:szCs w:val="16"/>
              </w:rPr>
              <w:noBreakHyphen/>
            </w:r>
            <w:r w:rsidR="005C0ACE" w:rsidRPr="00625155">
              <w:rPr>
                <w:szCs w:val="16"/>
              </w:rPr>
              <w:t>0.1</w:t>
            </w:r>
          </w:p>
        </w:tc>
        <w:tc>
          <w:tcPr>
            <w:tcW w:w="851" w:type="dxa"/>
            <w:tcBorders>
              <w:bottom w:val="single" w:sz="4" w:space="0" w:color="auto"/>
            </w:tcBorders>
            <w:vAlign w:val="bottom"/>
          </w:tcPr>
          <w:p w14:paraId="07BF2C67" w14:textId="705FDA6A" w:rsidR="005C0ACE" w:rsidRPr="00625155" w:rsidRDefault="00660645" w:rsidP="00C10E33">
            <w:pPr>
              <w:pStyle w:val="Summarytabletextrightaligned"/>
              <w:rPr>
                <w:szCs w:val="16"/>
              </w:rPr>
            </w:pPr>
            <w:r>
              <w:rPr>
                <w:szCs w:val="16"/>
              </w:rPr>
              <w:noBreakHyphen/>
            </w:r>
            <w:r w:rsidR="005C0ACE" w:rsidRPr="00625155">
              <w:rPr>
                <w:szCs w:val="16"/>
              </w:rPr>
              <w:t>0.1</w:t>
            </w:r>
          </w:p>
        </w:tc>
      </w:tr>
      <w:tr w:rsidR="005C0ACE" w:rsidRPr="00625155" w14:paraId="64CF3280" w14:textId="77777777" w:rsidTr="00C10E33">
        <w:tc>
          <w:tcPr>
            <w:tcW w:w="3470" w:type="dxa"/>
            <w:shd w:val="clear" w:color="auto" w:fill="auto"/>
            <w:vAlign w:val="bottom"/>
          </w:tcPr>
          <w:p w14:paraId="30C6694F" w14:textId="77777777" w:rsidR="005C0ACE" w:rsidRPr="00625155" w:rsidRDefault="005C0ACE" w:rsidP="00C10E33">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46C2CCFF" w14:textId="642F92CF" w:rsidR="005C0ACE" w:rsidRPr="00625155" w:rsidRDefault="00660645" w:rsidP="00C10E33">
            <w:pPr>
              <w:pStyle w:val="Summarytabletextrightalignedbold"/>
              <w:rPr>
                <w:bCs/>
                <w:szCs w:val="16"/>
              </w:rPr>
            </w:pPr>
            <w:r>
              <w:rPr>
                <w:bCs/>
                <w:szCs w:val="16"/>
              </w:rPr>
              <w:noBreakHyphen/>
            </w:r>
            <w:r w:rsidR="005C0ACE" w:rsidRPr="00625155">
              <w:rPr>
                <w:bCs/>
                <w:szCs w:val="16"/>
              </w:rPr>
              <w:t>5.1</w:t>
            </w:r>
          </w:p>
        </w:tc>
        <w:tc>
          <w:tcPr>
            <w:tcW w:w="851" w:type="dxa"/>
            <w:tcBorders>
              <w:top w:val="single" w:sz="4" w:space="0" w:color="auto"/>
              <w:bottom w:val="single" w:sz="4" w:space="0" w:color="auto"/>
            </w:tcBorders>
            <w:shd w:val="clear" w:color="auto" w:fill="F2F9FC"/>
            <w:vAlign w:val="bottom"/>
          </w:tcPr>
          <w:p w14:paraId="3A3F2F8C" w14:textId="36F92B3D" w:rsidR="005C0ACE" w:rsidRPr="00625155" w:rsidRDefault="00660645" w:rsidP="00C10E33">
            <w:pPr>
              <w:pStyle w:val="Summarytabletextrightalignedbold"/>
              <w:rPr>
                <w:bCs/>
                <w:szCs w:val="16"/>
              </w:rPr>
            </w:pPr>
            <w:r>
              <w:rPr>
                <w:bCs/>
                <w:szCs w:val="16"/>
              </w:rPr>
              <w:noBreakHyphen/>
            </w:r>
            <w:r w:rsidR="005C0ACE" w:rsidRPr="00625155">
              <w:rPr>
                <w:bCs/>
                <w:szCs w:val="16"/>
              </w:rPr>
              <w:t>43.5</w:t>
            </w:r>
          </w:p>
        </w:tc>
        <w:tc>
          <w:tcPr>
            <w:tcW w:w="851" w:type="dxa"/>
            <w:tcBorders>
              <w:top w:val="single" w:sz="4" w:space="0" w:color="auto"/>
              <w:bottom w:val="single" w:sz="4" w:space="0" w:color="auto"/>
            </w:tcBorders>
            <w:vAlign w:val="bottom"/>
          </w:tcPr>
          <w:p w14:paraId="250FF0B1" w14:textId="6A5EEC50" w:rsidR="005C0ACE" w:rsidRPr="00625155" w:rsidRDefault="00660645" w:rsidP="00C10E33">
            <w:pPr>
              <w:pStyle w:val="Summarytabletextrightalignedbold"/>
              <w:rPr>
                <w:bCs/>
                <w:szCs w:val="16"/>
              </w:rPr>
            </w:pPr>
            <w:r>
              <w:rPr>
                <w:bCs/>
                <w:szCs w:val="16"/>
              </w:rPr>
              <w:noBreakHyphen/>
            </w:r>
            <w:r w:rsidR="005C0ACE" w:rsidRPr="00625155">
              <w:rPr>
                <w:bCs/>
                <w:szCs w:val="16"/>
              </w:rPr>
              <w:t>18.6</w:t>
            </w:r>
          </w:p>
        </w:tc>
        <w:tc>
          <w:tcPr>
            <w:tcW w:w="851" w:type="dxa"/>
            <w:tcBorders>
              <w:top w:val="single" w:sz="4" w:space="0" w:color="auto"/>
              <w:bottom w:val="single" w:sz="4" w:space="0" w:color="auto"/>
            </w:tcBorders>
            <w:vAlign w:val="bottom"/>
          </w:tcPr>
          <w:p w14:paraId="6F91802D" w14:textId="55DB131B" w:rsidR="005C0ACE" w:rsidRPr="00625155" w:rsidRDefault="00660645" w:rsidP="00C10E33">
            <w:pPr>
              <w:pStyle w:val="Summarytabletextrightalignedbold"/>
              <w:rPr>
                <w:bCs/>
                <w:szCs w:val="16"/>
              </w:rPr>
            </w:pPr>
            <w:r>
              <w:rPr>
                <w:bCs/>
                <w:szCs w:val="16"/>
              </w:rPr>
              <w:noBreakHyphen/>
            </w:r>
            <w:r w:rsidR="005C0ACE" w:rsidRPr="00625155">
              <w:rPr>
                <w:bCs/>
                <w:szCs w:val="16"/>
              </w:rPr>
              <w:t>0.1</w:t>
            </w:r>
          </w:p>
        </w:tc>
        <w:tc>
          <w:tcPr>
            <w:tcW w:w="851" w:type="dxa"/>
            <w:tcBorders>
              <w:top w:val="single" w:sz="4" w:space="0" w:color="auto"/>
              <w:bottom w:val="single" w:sz="4" w:space="0" w:color="auto"/>
            </w:tcBorders>
            <w:vAlign w:val="bottom"/>
          </w:tcPr>
          <w:p w14:paraId="3BEF424C" w14:textId="47DC509F" w:rsidR="005C0ACE" w:rsidRPr="00625155" w:rsidRDefault="00660645" w:rsidP="00C10E33">
            <w:pPr>
              <w:pStyle w:val="Summarytabletextrightalignedbold"/>
              <w:rPr>
                <w:bCs/>
                <w:szCs w:val="16"/>
              </w:rPr>
            </w:pPr>
            <w:r>
              <w:rPr>
                <w:bCs/>
                <w:szCs w:val="16"/>
              </w:rPr>
              <w:noBreakHyphen/>
            </w:r>
            <w:r w:rsidR="005C0ACE" w:rsidRPr="00625155">
              <w:rPr>
                <w:bCs/>
                <w:szCs w:val="16"/>
              </w:rPr>
              <w:t>0.1</w:t>
            </w:r>
          </w:p>
        </w:tc>
      </w:tr>
      <w:tr w:rsidR="005C0ACE" w:rsidRPr="00625155" w14:paraId="3EAF4D11" w14:textId="77777777" w:rsidTr="00C10E33">
        <w:tc>
          <w:tcPr>
            <w:tcW w:w="3470" w:type="dxa"/>
            <w:shd w:val="clear" w:color="auto" w:fill="auto"/>
            <w:vAlign w:val="bottom"/>
          </w:tcPr>
          <w:p w14:paraId="7BD150FB" w14:textId="74D6BA74" w:rsidR="005C0ACE" w:rsidRPr="00625155" w:rsidRDefault="005C0ACE" w:rsidP="00C10E33">
            <w:pPr>
              <w:pStyle w:val="SummaryPortfolioTitle-BP2"/>
            </w:pPr>
            <w:r w:rsidRPr="00625155">
              <w:t>TREASURY</w:t>
            </w:r>
          </w:p>
        </w:tc>
        <w:tc>
          <w:tcPr>
            <w:tcW w:w="851" w:type="dxa"/>
            <w:tcBorders>
              <w:top w:val="single" w:sz="4" w:space="0" w:color="auto"/>
            </w:tcBorders>
            <w:vAlign w:val="bottom"/>
          </w:tcPr>
          <w:p w14:paraId="281CB063"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shd w:val="clear" w:color="auto" w:fill="F2F9FC"/>
            <w:vAlign w:val="bottom"/>
          </w:tcPr>
          <w:p w14:paraId="6FA77B89"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073B321B"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04FDE8B0" w14:textId="77777777" w:rsidR="005C0ACE" w:rsidRPr="00625155" w:rsidRDefault="005C0ACE" w:rsidP="00C10E33">
            <w:pPr>
              <w:pStyle w:val="MeasureTableTextRightAlignedBefore6ptAfter1pt"/>
              <w:rPr>
                <w:b/>
                <w:bCs/>
                <w:color w:val="auto"/>
              </w:rPr>
            </w:pPr>
          </w:p>
        </w:tc>
        <w:tc>
          <w:tcPr>
            <w:tcW w:w="851" w:type="dxa"/>
            <w:tcBorders>
              <w:top w:val="single" w:sz="4" w:space="0" w:color="auto"/>
            </w:tcBorders>
            <w:vAlign w:val="bottom"/>
          </w:tcPr>
          <w:p w14:paraId="1BD4683A" w14:textId="77777777" w:rsidR="005C0ACE" w:rsidRPr="00625155" w:rsidRDefault="005C0ACE" w:rsidP="00C10E33">
            <w:pPr>
              <w:pStyle w:val="MeasureTableTextRightAlignedBefore6ptAfter1pt"/>
              <w:rPr>
                <w:b/>
                <w:bCs/>
                <w:color w:val="auto"/>
              </w:rPr>
            </w:pPr>
          </w:p>
        </w:tc>
      </w:tr>
      <w:tr w:rsidR="005C0ACE" w:rsidRPr="00625155" w14:paraId="7FA13183" w14:textId="77777777" w:rsidTr="00C10E33">
        <w:tc>
          <w:tcPr>
            <w:tcW w:w="3470" w:type="dxa"/>
            <w:shd w:val="clear" w:color="auto" w:fill="auto"/>
            <w:vAlign w:val="bottom"/>
          </w:tcPr>
          <w:p w14:paraId="662C5067" w14:textId="006C16FC" w:rsidR="005C0ACE" w:rsidRPr="00625155" w:rsidRDefault="005C0ACE" w:rsidP="00C10E33">
            <w:pPr>
              <w:pStyle w:val="SummaryAgencyTitle-BP2"/>
              <w:rPr>
                <w:iCs/>
              </w:rPr>
            </w:pPr>
            <w:r w:rsidRPr="00625155">
              <w:rPr>
                <w:iCs/>
              </w:rPr>
              <w:t>Australian Taxation Office</w:t>
            </w:r>
          </w:p>
        </w:tc>
        <w:tc>
          <w:tcPr>
            <w:tcW w:w="851" w:type="dxa"/>
            <w:vAlign w:val="bottom"/>
          </w:tcPr>
          <w:p w14:paraId="4D156758" w14:textId="77777777" w:rsidR="005C0ACE" w:rsidRPr="00625155" w:rsidRDefault="005C0ACE" w:rsidP="00C10E33">
            <w:pPr>
              <w:pStyle w:val="SummaryAgencyTitle-BP2"/>
              <w:rPr>
                <w:iCs/>
              </w:rPr>
            </w:pPr>
          </w:p>
        </w:tc>
        <w:tc>
          <w:tcPr>
            <w:tcW w:w="851" w:type="dxa"/>
            <w:shd w:val="clear" w:color="auto" w:fill="F2F9FC"/>
            <w:vAlign w:val="bottom"/>
          </w:tcPr>
          <w:p w14:paraId="492A7256" w14:textId="77777777" w:rsidR="005C0ACE" w:rsidRPr="00625155" w:rsidRDefault="005C0ACE" w:rsidP="00C10E33">
            <w:pPr>
              <w:pStyle w:val="SummaryAgencyTitle-BP2"/>
              <w:rPr>
                <w:iCs/>
              </w:rPr>
            </w:pPr>
          </w:p>
        </w:tc>
        <w:tc>
          <w:tcPr>
            <w:tcW w:w="851" w:type="dxa"/>
            <w:vAlign w:val="bottom"/>
          </w:tcPr>
          <w:p w14:paraId="7C711F23" w14:textId="77777777" w:rsidR="005C0ACE" w:rsidRPr="00625155" w:rsidRDefault="005C0ACE" w:rsidP="00C10E33">
            <w:pPr>
              <w:pStyle w:val="SummaryAgencyTitle-BP2"/>
              <w:rPr>
                <w:iCs/>
              </w:rPr>
            </w:pPr>
          </w:p>
        </w:tc>
        <w:tc>
          <w:tcPr>
            <w:tcW w:w="851" w:type="dxa"/>
            <w:vAlign w:val="bottom"/>
          </w:tcPr>
          <w:p w14:paraId="1AC47003" w14:textId="77777777" w:rsidR="005C0ACE" w:rsidRPr="00625155" w:rsidRDefault="005C0ACE" w:rsidP="00C10E33">
            <w:pPr>
              <w:pStyle w:val="SummaryAgencyTitle-BP2"/>
              <w:rPr>
                <w:iCs/>
              </w:rPr>
            </w:pPr>
          </w:p>
        </w:tc>
        <w:tc>
          <w:tcPr>
            <w:tcW w:w="851" w:type="dxa"/>
            <w:vAlign w:val="bottom"/>
          </w:tcPr>
          <w:p w14:paraId="7D09E4F3" w14:textId="77777777" w:rsidR="005C0ACE" w:rsidRPr="00625155" w:rsidRDefault="005C0ACE" w:rsidP="00C10E33">
            <w:pPr>
              <w:pStyle w:val="SummaryAgencyTitle-BP2"/>
              <w:rPr>
                <w:iCs/>
              </w:rPr>
            </w:pPr>
          </w:p>
        </w:tc>
      </w:tr>
      <w:tr w:rsidR="005C0ACE" w:rsidRPr="00625155" w14:paraId="09EA2A05" w14:textId="77777777" w:rsidTr="00C10E33">
        <w:tc>
          <w:tcPr>
            <w:tcW w:w="3470" w:type="dxa"/>
            <w:shd w:val="clear" w:color="auto" w:fill="auto"/>
            <w:vAlign w:val="bottom"/>
          </w:tcPr>
          <w:p w14:paraId="65F57CE0" w14:textId="29E808DF" w:rsidR="005C0ACE" w:rsidRPr="00625155" w:rsidRDefault="005C0ACE" w:rsidP="00C10E33">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p>
        </w:tc>
        <w:tc>
          <w:tcPr>
            <w:tcW w:w="851" w:type="dxa"/>
            <w:vAlign w:val="bottom"/>
          </w:tcPr>
          <w:p w14:paraId="15C49B2F" w14:textId="04FCA673"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32820C94" w14:textId="32E68692" w:rsidR="005C0ACE" w:rsidRPr="00625155" w:rsidRDefault="00660645" w:rsidP="00C10E33">
            <w:pPr>
              <w:pStyle w:val="Summarytabletextrightaligned"/>
              <w:rPr>
                <w:szCs w:val="16"/>
              </w:rPr>
            </w:pPr>
            <w:r>
              <w:rPr>
                <w:szCs w:val="16"/>
              </w:rPr>
              <w:noBreakHyphen/>
            </w:r>
          </w:p>
        </w:tc>
        <w:tc>
          <w:tcPr>
            <w:tcW w:w="851" w:type="dxa"/>
            <w:vAlign w:val="bottom"/>
          </w:tcPr>
          <w:p w14:paraId="42294D93" w14:textId="77777777" w:rsidR="005C0ACE" w:rsidRPr="00625155" w:rsidRDefault="005C0ACE" w:rsidP="00C10E33">
            <w:pPr>
              <w:pStyle w:val="Summarytabletextrightaligned"/>
              <w:rPr>
                <w:szCs w:val="16"/>
              </w:rPr>
            </w:pPr>
            <w:r w:rsidRPr="00625155">
              <w:rPr>
                <w:szCs w:val="16"/>
              </w:rPr>
              <w:t>0.1</w:t>
            </w:r>
          </w:p>
        </w:tc>
        <w:tc>
          <w:tcPr>
            <w:tcW w:w="851" w:type="dxa"/>
            <w:vAlign w:val="bottom"/>
          </w:tcPr>
          <w:p w14:paraId="4591E901" w14:textId="77777777" w:rsidR="005C0ACE" w:rsidRPr="00625155" w:rsidRDefault="005C0ACE" w:rsidP="00C10E33">
            <w:pPr>
              <w:pStyle w:val="Summarytabletextrightaligned"/>
              <w:rPr>
                <w:szCs w:val="16"/>
              </w:rPr>
            </w:pPr>
            <w:r w:rsidRPr="00625155">
              <w:rPr>
                <w:szCs w:val="16"/>
              </w:rPr>
              <w:t>0.2</w:t>
            </w:r>
          </w:p>
        </w:tc>
        <w:tc>
          <w:tcPr>
            <w:tcW w:w="851" w:type="dxa"/>
            <w:vAlign w:val="bottom"/>
          </w:tcPr>
          <w:p w14:paraId="09A494B9" w14:textId="77777777" w:rsidR="005C0ACE" w:rsidRPr="00625155" w:rsidRDefault="005C0ACE" w:rsidP="00C10E33">
            <w:pPr>
              <w:pStyle w:val="Summarytabletextrightaligned"/>
              <w:rPr>
                <w:szCs w:val="16"/>
              </w:rPr>
            </w:pPr>
            <w:r w:rsidRPr="00625155">
              <w:rPr>
                <w:szCs w:val="16"/>
              </w:rPr>
              <w:t>0.2</w:t>
            </w:r>
          </w:p>
        </w:tc>
      </w:tr>
      <w:tr w:rsidR="005C0ACE" w:rsidRPr="00625155" w14:paraId="388B1E8D" w14:textId="77777777" w:rsidTr="00C10E33">
        <w:tc>
          <w:tcPr>
            <w:tcW w:w="3470" w:type="dxa"/>
            <w:shd w:val="clear" w:color="auto" w:fill="auto"/>
            <w:vAlign w:val="bottom"/>
          </w:tcPr>
          <w:p w14:paraId="775AA6C1" w14:textId="77777777" w:rsidR="005C0ACE" w:rsidRPr="00625155" w:rsidRDefault="005C0ACE" w:rsidP="00C10E33">
            <w:pPr>
              <w:pStyle w:val="SummaryAgencyTitle-BP2"/>
              <w:rPr>
                <w:iCs/>
              </w:rPr>
            </w:pPr>
            <w:r w:rsidRPr="00625155">
              <w:rPr>
                <w:iCs/>
              </w:rPr>
              <w:t>Department of the Treasury</w:t>
            </w:r>
          </w:p>
        </w:tc>
        <w:tc>
          <w:tcPr>
            <w:tcW w:w="851" w:type="dxa"/>
            <w:vAlign w:val="bottom"/>
          </w:tcPr>
          <w:p w14:paraId="6BBC2901" w14:textId="77777777" w:rsidR="005C0ACE" w:rsidRPr="00625155" w:rsidRDefault="005C0ACE" w:rsidP="00C10E33">
            <w:pPr>
              <w:pStyle w:val="SummaryAgencyTitle-BP2"/>
              <w:rPr>
                <w:iCs/>
              </w:rPr>
            </w:pPr>
          </w:p>
        </w:tc>
        <w:tc>
          <w:tcPr>
            <w:tcW w:w="851" w:type="dxa"/>
            <w:shd w:val="clear" w:color="auto" w:fill="F2F9FC"/>
            <w:vAlign w:val="bottom"/>
          </w:tcPr>
          <w:p w14:paraId="2C7E04F9" w14:textId="77777777" w:rsidR="005C0ACE" w:rsidRPr="00625155" w:rsidRDefault="005C0ACE" w:rsidP="00C10E33">
            <w:pPr>
              <w:pStyle w:val="SummaryAgencyTitle-BP2"/>
              <w:rPr>
                <w:iCs/>
              </w:rPr>
            </w:pPr>
          </w:p>
        </w:tc>
        <w:tc>
          <w:tcPr>
            <w:tcW w:w="851" w:type="dxa"/>
            <w:vAlign w:val="bottom"/>
          </w:tcPr>
          <w:p w14:paraId="799196CD" w14:textId="77777777" w:rsidR="005C0ACE" w:rsidRPr="00625155" w:rsidRDefault="005C0ACE" w:rsidP="00C10E33">
            <w:pPr>
              <w:pStyle w:val="SummaryAgencyTitle-BP2"/>
              <w:rPr>
                <w:iCs/>
              </w:rPr>
            </w:pPr>
          </w:p>
        </w:tc>
        <w:tc>
          <w:tcPr>
            <w:tcW w:w="851" w:type="dxa"/>
            <w:vAlign w:val="bottom"/>
          </w:tcPr>
          <w:p w14:paraId="61532836" w14:textId="77777777" w:rsidR="005C0ACE" w:rsidRPr="00625155" w:rsidRDefault="005C0ACE" w:rsidP="00C10E33">
            <w:pPr>
              <w:pStyle w:val="SummaryAgencyTitle-BP2"/>
              <w:rPr>
                <w:iCs/>
              </w:rPr>
            </w:pPr>
          </w:p>
        </w:tc>
        <w:tc>
          <w:tcPr>
            <w:tcW w:w="851" w:type="dxa"/>
            <w:vAlign w:val="bottom"/>
          </w:tcPr>
          <w:p w14:paraId="4E3A95A1" w14:textId="77777777" w:rsidR="005C0ACE" w:rsidRPr="00625155" w:rsidRDefault="005C0ACE" w:rsidP="00C10E33">
            <w:pPr>
              <w:pStyle w:val="SummaryAgencyTitle-BP2"/>
              <w:rPr>
                <w:iCs/>
              </w:rPr>
            </w:pPr>
          </w:p>
        </w:tc>
      </w:tr>
      <w:tr w:rsidR="005C0ACE" w:rsidRPr="00625155" w14:paraId="27B6B345" w14:textId="77777777" w:rsidTr="00C10E33">
        <w:tc>
          <w:tcPr>
            <w:tcW w:w="3470" w:type="dxa"/>
            <w:shd w:val="clear" w:color="auto" w:fill="auto"/>
            <w:vAlign w:val="bottom"/>
          </w:tcPr>
          <w:p w14:paraId="4C1FD1A0" w14:textId="3C280185" w:rsidR="005C0ACE" w:rsidRPr="00625155" w:rsidRDefault="005C0ACE" w:rsidP="00C10E33">
            <w:pPr>
              <w:pStyle w:val="SummaryMeasureTitlewithTheme"/>
              <w:rPr>
                <w:color w:val="auto"/>
              </w:rPr>
            </w:pPr>
            <w:r w:rsidRPr="00625155">
              <w:rPr>
                <w:color w:val="auto"/>
              </w:rPr>
              <w:t>Australia</w:t>
            </w:r>
            <w:r w:rsidR="00660645">
              <w:rPr>
                <w:color w:val="auto"/>
              </w:rPr>
              <w:noBreakHyphen/>
            </w:r>
            <w:r w:rsidRPr="00625155">
              <w:rPr>
                <w:color w:val="auto"/>
              </w:rPr>
              <w:t>India Economic Cooperation and Trade Agreement(b)</w:t>
            </w:r>
          </w:p>
        </w:tc>
        <w:tc>
          <w:tcPr>
            <w:tcW w:w="851" w:type="dxa"/>
            <w:vAlign w:val="bottom"/>
          </w:tcPr>
          <w:p w14:paraId="7BB9CF1F" w14:textId="56868491"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224BDCF6" w14:textId="5278101C" w:rsidR="005C0ACE" w:rsidRPr="00625155" w:rsidRDefault="00660645" w:rsidP="00C10E33">
            <w:pPr>
              <w:pStyle w:val="Summarytabletextrightaligned"/>
              <w:rPr>
                <w:szCs w:val="16"/>
              </w:rPr>
            </w:pPr>
            <w:r>
              <w:rPr>
                <w:szCs w:val="16"/>
              </w:rPr>
              <w:noBreakHyphen/>
            </w:r>
          </w:p>
        </w:tc>
        <w:tc>
          <w:tcPr>
            <w:tcW w:w="851" w:type="dxa"/>
            <w:vAlign w:val="bottom"/>
          </w:tcPr>
          <w:p w14:paraId="53689738" w14:textId="77777777" w:rsidR="005C0ACE" w:rsidRPr="00625155" w:rsidRDefault="005C0ACE" w:rsidP="00C10E33">
            <w:pPr>
              <w:pStyle w:val="Summarytabletextrightaligned"/>
              <w:rPr>
                <w:szCs w:val="16"/>
              </w:rPr>
            </w:pPr>
            <w:r w:rsidRPr="00625155">
              <w:rPr>
                <w:szCs w:val="16"/>
              </w:rPr>
              <w:t>..</w:t>
            </w:r>
          </w:p>
        </w:tc>
        <w:tc>
          <w:tcPr>
            <w:tcW w:w="851" w:type="dxa"/>
            <w:vAlign w:val="bottom"/>
          </w:tcPr>
          <w:p w14:paraId="6E7E0E9E" w14:textId="77777777" w:rsidR="005C0ACE" w:rsidRPr="00625155" w:rsidRDefault="005C0ACE" w:rsidP="00C10E33">
            <w:pPr>
              <w:pStyle w:val="Summarytabletextrightaligned"/>
              <w:rPr>
                <w:szCs w:val="16"/>
              </w:rPr>
            </w:pPr>
            <w:r w:rsidRPr="00625155">
              <w:rPr>
                <w:szCs w:val="16"/>
              </w:rPr>
              <w:t>..</w:t>
            </w:r>
          </w:p>
        </w:tc>
        <w:tc>
          <w:tcPr>
            <w:tcW w:w="851" w:type="dxa"/>
            <w:vAlign w:val="bottom"/>
          </w:tcPr>
          <w:p w14:paraId="7503A3FA" w14:textId="3ECC6674" w:rsidR="005C0ACE" w:rsidRPr="00625155" w:rsidRDefault="005C0ACE" w:rsidP="00C10E33">
            <w:pPr>
              <w:pStyle w:val="Summarytabletextrightaligned"/>
              <w:rPr>
                <w:szCs w:val="16"/>
              </w:rPr>
            </w:pPr>
            <w:r w:rsidRPr="00F03213">
              <w:rPr>
                <w:szCs w:val="16"/>
              </w:rPr>
              <w:t>..</w:t>
            </w:r>
          </w:p>
        </w:tc>
      </w:tr>
      <w:tr w:rsidR="005C0ACE" w:rsidRPr="00625155" w14:paraId="794AA6DF" w14:textId="77777777" w:rsidTr="00C10E33">
        <w:tc>
          <w:tcPr>
            <w:tcW w:w="3470" w:type="dxa"/>
            <w:shd w:val="clear" w:color="auto" w:fill="auto"/>
            <w:vAlign w:val="bottom"/>
          </w:tcPr>
          <w:p w14:paraId="270824E0" w14:textId="198ADD03" w:rsidR="005C0ACE" w:rsidRPr="00625155" w:rsidRDefault="005C0ACE" w:rsidP="00C10E33">
            <w:pPr>
              <w:pStyle w:val="SummaryMeasureTitlewithTheme"/>
              <w:rPr>
                <w:color w:val="auto"/>
              </w:rPr>
            </w:pPr>
            <w:r w:rsidRPr="00625155">
              <w:rPr>
                <w:color w:val="auto"/>
              </w:rPr>
              <w:t>Centre for National Resilience – continuation(</w:t>
            </w:r>
            <w:r w:rsidR="0011539C">
              <w:rPr>
                <w:color w:val="auto"/>
              </w:rPr>
              <w:t>aa</w:t>
            </w:r>
            <w:r w:rsidRPr="00625155">
              <w:rPr>
                <w:color w:val="auto"/>
              </w:rPr>
              <w:t>)</w:t>
            </w:r>
          </w:p>
        </w:tc>
        <w:tc>
          <w:tcPr>
            <w:tcW w:w="851" w:type="dxa"/>
            <w:vAlign w:val="bottom"/>
          </w:tcPr>
          <w:p w14:paraId="7E7B71CC" w14:textId="4C37FAEF"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60C9A9CD" w14:textId="64E34AF5" w:rsidR="005C0ACE" w:rsidRPr="00625155" w:rsidRDefault="00660645" w:rsidP="00C10E33">
            <w:pPr>
              <w:pStyle w:val="Summarytabletextrightaligned"/>
              <w:rPr>
                <w:szCs w:val="16"/>
              </w:rPr>
            </w:pPr>
            <w:r>
              <w:rPr>
                <w:szCs w:val="16"/>
              </w:rPr>
              <w:noBreakHyphen/>
            </w:r>
          </w:p>
        </w:tc>
        <w:tc>
          <w:tcPr>
            <w:tcW w:w="851" w:type="dxa"/>
            <w:vAlign w:val="bottom"/>
          </w:tcPr>
          <w:p w14:paraId="3383FFB4" w14:textId="12D92C4E" w:rsidR="005C0ACE" w:rsidRPr="00625155" w:rsidRDefault="00660645" w:rsidP="00C10E33">
            <w:pPr>
              <w:pStyle w:val="Summarytabletextrightaligned"/>
              <w:rPr>
                <w:szCs w:val="16"/>
              </w:rPr>
            </w:pPr>
            <w:r>
              <w:rPr>
                <w:szCs w:val="16"/>
              </w:rPr>
              <w:noBreakHyphen/>
            </w:r>
          </w:p>
        </w:tc>
        <w:tc>
          <w:tcPr>
            <w:tcW w:w="851" w:type="dxa"/>
            <w:vAlign w:val="bottom"/>
          </w:tcPr>
          <w:p w14:paraId="69F57B3F" w14:textId="0A939F64" w:rsidR="005C0ACE" w:rsidRPr="00625155" w:rsidRDefault="00660645" w:rsidP="00C10E33">
            <w:pPr>
              <w:pStyle w:val="Summarytabletextrightaligned"/>
              <w:rPr>
                <w:szCs w:val="16"/>
              </w:rPr>
            </w:pPr>
            <w:r>
              <w:rPr>
                <w:szCs w:val="16"/>
              </w:rPr>
              <w:noBreakHyphen/>
            </w:r>
          </w:p>
        </w:tc>
        <w:tc>
          <w:tcPr>
            <w:tcW w:w="851" w:type="dxa"/>
            <w:vAlign w:val="bottom"/>
          </w:tcPr>
          <w:p w14:paraId="09861E72" w14:textId="79CA2E29" w:rsidR="005C0ACE" w:rsidRPr="00625155" w:rsidRDefault="00660645" w:rsidP="00C10E33">
            <w:pPr>
              <w:pStyle w:val="Summarytabletextrightaligned"/>
              <w:rPr>
                <w:szCs w:val="16"/>
              </w:rPr>
            </w:pPr>
            <w:r>
              <w:rPr>
                <w:szCs w:val="16"/>
              </w:rPr>
              <w:noBreakHyphen/>
            </w:r>
          </w:p>
        </w:tc>
      </w:tr>
      <w:tr w:rsidR="005C0ACE" w:rsidRPr="00625155" w14:paraId="3B53FA8F" w14:textId="77777777" w:rsidTr="00C10E33">
        <w:tc>
          <w:tcPr>
            <w:tcW w:w="3470" w:type="dxa"/>
            <w:shd w:val="clear" w:color="auto" w:fill="auto"/>
            <w:vAlign w:val="bottom"/>
          </w:tcPr>
          <w:p w14:paraId="3FF0A057" w14:textId="5C568973" w:rsidR="005C0ACE" w:rsidRPr="00625155" w:rsidRDefault="005C0ACE" w:rsidP="00C10E33">
            <w:pPr>
              <w:pStyle w:val="SummaryMeasureTitlewithTheme"/>
              <w:rPr>
                <w:color w:val="auto"/>
              </w:rPr>
            </w:pPr>
            <w:r w:rsidRPr="00625155">
              <w:rPr>
                <w:color w:val="auto"/>
              </w:rPr>
              <w:t>Disaster Recovery Funding Arrangement – 2021 Tasmanian storms(</w:t>
            </w:r>
            <w:r w:rsidR="0011539C">
              <w:rPr>
                <w:color w:val="auto"/>
              </w:rPr>
              <w:t>y</w:t>
            </w:r>
            <w:r w:rsidRPr="00625155">
              <w:rPr>
                <w:color w:val="auto"/>
              </w:rPr>
              <w:t>)</w:t>
            </w:r>
          </w:p>
        </w:tc>
        <w:tc>
          <w:tcPr>
            <w:tcW w:w="851" w:type="dxa"/>
            <w:vAlign w:val="bottom"/>
          </w:tcPr>
          <w:p w14:paraId="0D43EFAB" w14:textId="0008CAE2" w:rsidR="005C0ACE" w:rsidRPr="00625155" w:rsidRDefault="00660645" w:rsidP="00C10E33">
            <w:pPr>
              <w:pStyle w:val="Summarytabletextrightaligned"/>
              <w:rPr>
                <w:szCs w:val="16"/>
              </w:rPr>
            </w:pPr>
            <w:r>
              <w:rPr>
                <w:szCs w:val="16"/>
              </w:rPr>
              <w:noBreakHyphen/>
            </w:r>
          </w:p>
        </w:tc>
        <w:tc>
          <w:tcPr>
            <w:tcW w:w="851" w:type="dxa"/>
            <w:shd w:val="clear" w:color="auto" w:fill="F2F9FC"/>
            <w:vAlign w:val="bottom"/>
          </w:tcPr>
          <w:p w14:paraId="024E203B" w14:textId="77777777" w:rsidR="005C0ACE" w:rsidRPr="00625155" w:rsidRDefault="005C0ACE" w:rsidP="00C10E33">
            <w:pPr>
              <w:pStyle w:val="Summarytabletextrightaligned"/>
              <w:rPr>
                <w:szCs w:val="16"/>
              </w:rPr>
            </w:pPr>
            <w:r w:rsidRPr="00625155">
              <w:rPr>
                <w:szCs w:val="16"/>
              </w:rPr>
              <w:t>0.2</w:t>
            </w:r>
          </w:p>
        </w:tc>
        <w:tc>
          <w:tcPr>
            <w:tcW w:w="851" w:type="dxa"/>
            <w:vAlign w:val="bottom"/>
          </w:tcPr>
          <w:p w14:paraId="0A373840" w14:textId="1D4635D5" w:rsidR="005C0ACE" w:rsidRPr="00625155" w:rsidRDefault="00660645" w:rsidP="00C10E33">
            <w:pPr>
              <w:pStyle w:val="Summarytabletextrightaligned"/>
              <w:rPr>
                <w:szCs w:val="16"/>
              </w:rPr>
            </w:pPr>
            <w:r>
              <w:rPr>
                <w:szCs w:val="16"/>
              </w:rPr>
              <w:noBreakHyphen/>
            </w:r>
          </w:p>
        </w:tc>
        <w:tc>
          <w:tcPr>
            <w:tcW w:w="851" w:type="dxa"/>
            <w:vAlign w:val="bottom"/>
          </w:tcPr>
          <w:p w14:paraId="0375A74D" w14:textId="76D55DB1" w:rsidR="005C0ACE" w:rsidRPr="00625155" w:rsidRDefault="00660645" w:rsidP="00C10E33">
            <w:pPr>
              <w:pStyle w:val="Summarytabletextrightaligned"/>
              <w:rPr>
                <w:szCs w:val="16"/>
              </w:rPr>
            </w:pPr>
            <w:r>
              <w:rPr>
                <w:szCs w:val="16"/>
              </w:rPr>
              <w:noBreakHyphen/>
            </w:r>
          </w:p>
        </w:tc>
        <w:tc>
          <w:tcPr>
            <w:tcW w:w="851" w:type="dxa"/>
            <w:vAlign w:val="bottom"/>
          </w:tcPr>
          <w:p w14:paraId="539FFA59" w14:textId="0BF96057" w:rsidR="005C0ACE" w:rsidRPr="00625155" w:rsidRDefault="00660645" w:rsidP="00C10E33">
            <w:pPr>
              <w:pStyle w:val="Summarytabletextrightaligned"/>
              <w:rPr>
                <w:szCs w:val="16"/>
              </w:rPr>
            </w:pPr>
            <w:r>
              <w:rPr>
                <w:szCs w:val="16"/>
              </w:rPr>
              <w:noBreakHyphen/>
            </w:r>
          </w:p>
        </w:tc>
      </w:tr>
      <w:tr w:rsidR="005C0ACE" w:rsidRPr="00625155" w14:paraId="19C981BA" w14:textId="77777777" w:rsidTr="00C10E33">
        <w:tc>
          <w:tcPr>
            <w:tcW w:w="3470" w:type="dxa"/>
            <w:tcBorders>
              <w:bottom w:val="single" w:sz="4" w:space="0" w:color="auto"/>
            </w:tcBorders>
            <w:shd w:val="clear" w:color="auto" w:fill="auto"/>
            <w:vAlign w:val="bottom"/>
          </w:tcPr>
          <w:p w14:paraId="1FC004D0" w14:textId="7B95BA32" w:rsidR="005C0ACE" w:rsidRPr="00625155" w:rsidRDefault="005C0ACE" w:rsidP="00C10E33">
            <w:pPr>
              <w:pStyle w:val="SummaryMeasureTitlewithTheme"/>
              <w:rPr>
                <w:color w:val="auto"/>
              </w:rPr>
            </w:pPr>
            <w:r w:rsidRPr="00625155">
              <w:rPr>
                <w:color w:val="auto"/>
              </w:rPr>
              <w:t>Flood Package – additional support(</w:t>
            </w:r>
            <w:r w:rsidR="0011539C">
              <w:rPr>
                <w:color w:val="auto"/>
              </w:rPr>
              <w:t>z</w:t>
            </w:r>
            <w:r w:rsidRPr="00625155">
              <w:rPr>
                <w:color w:val="auto"/>
              </w:rPr>
              <w:t>)</w:t>
            </w:r>
          </w:p>
        </w:tc>
        <w:tc>
          <w:tcPr>
            <w:tcW w:w="851" w:type="dxa"/>
            <w:tcBorders>
              <w:bottom w:val="single" w:sz="4" w:space="0" w:color="auto"/>
            </w:tcBorders>
            <w:vAlign w:val="bottom"/>
          </w:tcPr>
          <w:p w14:paraId="24855045" w14:textId="77777777" w:rsidR="005C0ACE" w:rsidRPr="00625155" w:rsidRDefault="005C0ACE" w:rsidP="00C10E33">
            <w:pPr>
              <w:pStyle w:val="Summarytabletextrightaligned"/>
              <w:rPr>
                <w:szCs w:val="16"/>
              </w:rPr>
            </w:pPr>
            <w:r w:rsidRPr="00625155">
              <w:rPr>
                <w:szCs w:val="16"/>
              </w:rPr>
              <w:t>2.8</w:t>
            </w:r>
          </w:p>
        </w:tc>
        <w:tc>
          <w:tcPr>
            <w:tcW w:w="851" w:type="dxa"/>
            <w:tcBorders>
              <w:bottom w:val="single" w:sz="4" w:space="0" w:color="auto"/>
            </w:tcBorders>
            <w:shd w:val="clear" w:color="auto" w:fill="F2F9FC"/>
            <w:vAlign w:val="bottom"/>
          </w:tcPr>
          <w:p w14:paraId="29651D17" w14:textId="77777777" w:rsidR="005C0ACE" w:rsidRPr="00625155" w:rsidRDefault="005C0ACE" w:rsidP="00C10E33">
            <w:pPr>
              <w:pStyle w:val="Summarytabletextrightaligned"/>
              <w:rPr>
                <w:szCs w:val="16"/>
              </w:rPr>
            </w:pPr>
            <w:r w:rsidRPr="00625155">
              <w:rPr>
                <w:szCs w:val="16"/>
              </w:rPr>
              <w:t>534.0</w:t>
            </w:r>
          </w:p>
        </w:tc>
        <w:tc>
          <w:tcPr>
            <w:tcW w:w="851" w:type="dxa"/>
            <w:tcBorders>
              <w:bottom w:val="single" w:sz="4" w:space="0" w:color="auto"/>
            </w:tcBorders>
            <w:vAlign w:val="bottom"/>
          </w:tcPr>
          <w:p w14:paraId="2719D3C6" w14:textId="66BF9056"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vAlign w:val="bottom"/>
          </w:tcPr>
          <w:p w14:paraId="24DE134C" w14:textId="50FB9B9C" w:rsidR="005C0ACE" w:rsidRPr="00625155" w:rsidRDefault="00660645" w:rsidP="00C10E33">
            <w:pPr>
              <w:pStyle w:val="Summarytabletextrightaligned"/>
              <w:rPr>
                <w:szCs w:val="16"/>
              </w:rPr>
            </w:pPr>
            <w:r>
              <w:rPr>
                <w:szCs w:val="16"/>
              </w:rPr>
              <w:noBreakHyphen/>
            </w:r>
          </w:p>
        </w:tc>
        <w:tc>
          <w:tcPr>
            <w:tcW w:w="851" w:type="dxa"/>
            <w:tcBorders>
              <w:bottom w:val="single" w:sz="4" w:space="0" w:color="auto"/>
            </w:tcBorders>
            <w:vAlign w:val="bottom"/>
          </w:tcPr>
          <w:p w14:paraId="7696FF35" w14:textId="52BC0574" w:rsidR="005C0ACE" w:rsidRPr="00625155" w:rsidRDefault="00660645" w:rsidP="00C10E33">
            <w:pPr>
              <w:pStyle w:val="Summarytabletextrightaligned"/>
              <w:rPr>
                <w:szCs w:val="16"/>
              </w:rPr>
            </w:pPr>
            <w:r>
              <w:rPr>
                <w:szCs w:val="16"/>
              </w:rPr>
              <w:noBreakHyphen/>
            </w:r>
          </w:p>
        </w:tc>
      </w:tr>
    </w:tbl>
    <w:p w14:paraId="62827E95" w14:textId="77777777" w:rsidR="005C0ACE" w:rsidRPr="00625155" w:rsidRDefault="005C0ACE" w:rsidP="005C0ACE">
      <w:pPr>
        <w:pStyle w:val="TableHeadingcontinued"/>
        <w:sectPr w:rsidR="005C0ACE" w:rsidRPr="00625155" w:rsidSect="00C10E33">
          <w:pgSz w:w="11905" w:h="16837"/>
          <w:pgMar w:top="2835" w:right="2098" w:bottom="2466" w:left="2098" w:header="1814" w:footer="1814" w:gutter="0"/>
          <w:cols w:space="720"/>
          <w:noEndnote/>
          <w:docGrid w:linePitch="272"/>
        </w:sectPr>
      </w:pPr>
    </w:p>
    <w:p w14:paraId="4B3B9A60" w14:textId="71F04E79" w:rsidR="00F011E2" w:rsidRPr="00625155" w:rsidRDefault="00F011E2" w:rsidP="00F011E2">
      <w:pPr>
        <w:pStyle w:val="TableHeadingcontinued"/>
        <w:rPr>
          <w:bCs/>
        </w:rPr>
      </w:pPr>
      <w:r w:rsidRPr="00625155">
        <w:t xml:space="preserve">Table B2: </w:t>
      </w:r>
      <w:r w:rsidR="00360097" w:rsidRPr="00625155">
        <w:t>Payment</w:t>
      </w:r>
      <w:r w:rsidRPr="00625155">
        <w:t xml:space="preserve"> measures since the 2022</w:t>
      </w:r>
      <w:r w:rsidR="00660645">
        <w:noBreakHyphen/>
      </w:r>
      <w:r w:rsidRPr="00625155">
        <w:t>23 Budget</w:t>
      </w:r>
      <w:r w:rsidRPr="00625155">
        <w:rPr>
          <w:rFonts w:ascii="Cambria Math" w:hAnsi="Cambria Math" w:cs="Cambria Math"/>
        </w:rPr>
        <w:t>⁽</w:t>
      </w:r>
      <w:r w:rsidRPr="00625155">
        <w:rPr>
          <w:rFonts w:cs="Arial"/>
        </w:rPr>
        <w:t>ª</w:t>
      </w:r>
      <w:r w:rsidRPr="00625155">
        <w:rPr>
          <w:rFonts w:ascii="Cambria Math" w:hAnsi="Cambria Math" w:cs="Cambria Math"/>
        </w:rPr>
        <w:t>⁾</w:t>
      </w:r>
      <w:r w:rsidRPr="00625155">
        <w:t xml:space="preserve"> (continued)</w:t>
      </w:r>
    </w:p>
    <w:tbl>
      <w:tblPr>
        <w:tblW w:w="7725" w:type="dxa"/>
        <w:tblLayout w:type="fixed"/>
        <w:tblCellMar>
          <w:left w:w="0" w:type="dxa"/>
          <w:right w:w="57" w:type="dxa"/>
        </w:tblCellMar>
        <w:tblLook w:val="0000" w:firstRow="0" w:lastRow="0" w:firstColumn="0" w:lastColumn="0" w:noHBand="0" w:noVBand="0"/>
      </w:tblPr>
      <w:tblGrid>
        <w:gridCol w:w="3470"/>
        <w:gridCol w:w="851"/>
        <w:gridCol w:w="851"/>
        <w:gridCol w:w="851"/>
        <w:gridCol w:w="851"/>
        <w:gridCol w:w="851"/>
      </w:tblGrid>
      <w:tr w:rsidR="00F011E2" w:rsidRPr="00625155" w14:paraId="1662C31C" w14:textId="77777777" w:rsidTr="00A16BD6">
        <w:tc>
          <w:tcPr>
            <w:tcW w:w="3470" w:type="dxa"/>
            <w:tcBorders>
              <w:top w:val="single" w:sz="4" w:space="0" w:color="auto"/>
            </w:tcBorders>
            <w:shd w:val="clear" w:color="auto" w:fill="auto"/>
            <w:vAlign w:val="bottom"/>
          </w:tcPr>
          <w:p w14:paraId="141334A5" w14:textId="77777777" w:rsidR="00F011E2" w:rsidRPr="00625155" w:rsidRDefault="00F011E2" w:rsidP="00A16BD6">
            <w:pPr>
              <w:pStyle w:val="Summarytabletextrightaligned"/>
            </w:pPr>
          </w:p>
        </w:tc>
        <w:tc>
          <w:tcPr>
            <w:tcW w:w="851" w:type="dxa"/>
            <w:tcBorders>
              <w:top w:val="single" w:sz="4" w:space="0" w:color="auto"/>
            </w:tcBorders>
            <w:vAlign w:val="bottom"/>
          </w:tcPr>
          <w:p w14:paraId="3FD75564" w14:textId="25ABCEE7" w:rsidR="00F011E2" w:rsidRPr="00625155" w:rsidRDefault="00F011E2" w:rsidP="00A16BD6">
            <w:pPr>
              <w:pStyle w:val="Summarytabletextrightaligned"/>
            </w:pPr>
            <w:r w:rsidRPr="00625155">
              <w:t>2021</w:t>
            </w:r>
            <w:r w:rsidR="00660645">
              <w:noBreakHyphen/>
            </w:r>
            <w:r w:rsidRPr="00625155">
              <w:t>22</w:t>
            </w:r>
          </w:p>
        </w:tc>
        <w:tc>
          <w:tcPr>
            <w:tcW w:w="851" w:type="dxa"/>
            <w:tcBorders>
              <w:top w:val="single" w:sz="4" w:space="0" w:color="auto"/>
            </w:tcBorders>
            <w:shd w:val="clear" w:color="auto" w:fill="F2F9FC"/>
            <w:vAlign w:val="bottom"/>
          </w:tcPr>
          <w:p w14:paraId="42F3A0B0" w14:textId="208365E3" w:rsidR="00F011E2" w:rsidRPr="00625155" w:rsidRDefault="00F011E2" w:rsidP="00A16BD6">
            <w:pPr>
              <w:pStyle w:val="Summarytabletextrightaligned"/>
            </w:pPr>
            <w:r w:rsidRPr="00625155">
              <w:t>2022</w:t>
            </w:r>
            <w:r w:rsidR="00660645">
              <w:noBreakHyphen/>
            </w:r>
            <w:r w:rsidRPr="00625155">
              <w:t>23</w:t>
            </w:r>
          </w:p>
        </w:tc>
        <w:tc>
          <w:tcPr>
            <w:tcW w:w="851" w:type="dxa"/>
            <w:tcBorders>
              <w:top w:val="single" w:sz="4" w:space="0" w:color="auto"/>
            </w:tcBorders>
            <w:vAlign w:val="bottom"/>
          </w:tcPr>
          <w:p w14:paraId="17686518" w14:textId="52CEA084" w:rsidR="00F011E2" w:rsidRPr="00625155" w:rsidRDefault="00F011E2" w:rsidP="00A16BD6">
            <w:pPr>
              <w:pStyle w:val="Summarytabletextrightaligned"/>
            </w:pPr>
            <w:r w:rsidRPr="00625155">
              <w:t>2023</w:t>
            </w:r>
            <w:r w:rsidR="00660645">
              <w:noBreakHyphen/>
            </w:r>
            <w:r w:rsidRPr="00625155">
              <w:t>24</w:t>
            </w:r>
          </w:p>
        </w:tc>
        <w:tc>
          <w:tcPr>
            <w:tcW w:w="851" w:type="dxa"/>
            <w:tcBorders>
              <w:top w:val="single" w:sz="4" w:space="0" w:color="auto"/>
            </w:tcBorders>
            <w:vAlign w:val="bottom"/>
          </w:tcPr>
          <w:p w14:paraId="1AFB0570" w14:textId="4171F5F3" w:rsidR="00F011E2" w:rsidRPr="00625155" w:rsidRDefault="00F011E2" w:rsidP="00A16BD6">
            <w:pPr>
              <w:pStyle w:val="Summarytabletextrightaligned"/>
            </w:pPr>
            <w:r w:rsidRPr="00625155">
              <w:t>2024</w:t>
            </w:r>
            <w:r w:rsidR="00660645">
              <w:noBreakHyphen/>
            </w:r>
            <w:r w:rsidRPr="00625155">
              <w:t>25</w:t>
            </w:r>
          </w:p>
        </w:tc>
        <w:tc>
          <w:tcPr>
            <w:tcW w:w="851" w:type="dxa"/>
            <w:tcBorders>
              <w:top w:val="single" w:sz="4" w:space="0" w:color="auto"/>
            </w:tcBorders>
            <w:vAlign w:val="bottom"/>
          </w:tcPr>
          <w:p w14:paraId="2B0C6A9D" w14:textId="19A8F5BF" w:rsidR="00F011E2" w:rsidRPr="00625155" w:rsidRDefault="00F011E2" w:rsidP="00A16BD6">
            <w:pPr>
              <w:pStyle w:val="Summarytabletextrightaligned"/>
            </w:pPr>
            <w:r w:rsidRPr="00625155">
              <w:t>2025</w:t>
            </w:r>
            <w:r w:rsidR="00660645">
              <w:noBreakHyphen/>
            </w:r>
            <w:r w:rsidRPr="00625155">
              <w:t>26</w:t>
            </w:r>
          </w:p>
        </w:tc>
      </w:tr>
      <w:tr w:rsidR="00F011E2" w:rsidRPr="00625155" w14:paraId="32199964" w14:textId="77777777" w:rsidTr="00A16BD6">
        <w:tc>
          <w:tcPr>
            <w:tcW w:w="3470" w:type="dxa"/>
            <w:shd w:val="clear" w:color="auto" w:fill="auto"/>
            <w:vAlign w:val="bottom"/>
          </w:tcPr>
          <w:p w14:paraId="65E3B3E1" w14:textId="77777777" w:rsidR="00F011E2" w:rsidRPr="00625155" w:rsidRDefault="00F011E2" w:rsidP="00A16BD6">
            <w:pPr>
              <w:pStyle w:val="Summarytabletextrightaligned"/>
            </w:pPr>
          </w:p>
        </w:tc>
        <w:tc>
          <w:tcPr>
            <w:tcW w:w="851" w:type="dxa"/>
            <w:tcBorders>
              <w:bottom w:val="single" w:sz="4" w:space="0" w:color="auto"/>
            </w:tcBorders>
            <w:vAlign w:val="bottom"/>
          </w:tcPr>
          <w:p w14:paraId="6B78AD1B" w14:textId="77777777" w:rsidR="00F011E2" w:rsidRPr="00625155" w:rsidRDefault="00F011E2" w:rsidP="00A16BD6">
            <w:pPr>
              <w:pStyle w:val="Summarytabletextrightaligned"/>
            </w:pPr>
            <w:r w:rsidRPr="00625155">
              <w:t>$m</w:t>
            </w:r>
          </w:p>
        </w:tc>
        <w:tc>
          <w:tcPr>
            <w:tcW w:w="851" w:type="dxa"/>
            <w:tcBorders>
              <w:bottom w:val="single" w:sz="4" w:space="0" w:color="auto"/>
            </w:tcBorders>
            <w:shd w:val="clear" w:color="auto" w:fill="F2F9FC"/>
            <w:vAlign w:val="bottom"/>
          </w:tcPr>
          <w:p w14:paraId="0F95D401" w14:textId="77777777" w:rsidR="00F011E2" w:rsidRPr="00625155" w:rsidRDefault="00F011E2" w:rsidP="00A16BD6">
            <w:pPr>
              <w:pStyle w:val="Summarytabletextrightaligned"/>
            </w:pPr>
            <w:r w:rsidRPr="00625155">
              <w:t>$m</w:t>
            </w:r>
          </w:p>
        </w:tc>
        <w:tc>
          <w:tcPr>
            <w:tcW w:w="851" w:type="dxa"/>
            <w:tcBorders>
              <w:bottom w:val="single" w:sz="4" w:space="0" w:color="auto"/>
            </w:tcBorders>
            <w:vAlign w:val="bottom"/>
          </w:tcPr>
          <w:p w14:paraId="01F2F31F" w14:textId="77777777" w:rsidR="00F011E2" w:rsidRPr="00625155" w:rsidRDefault="00F011E2" w:rsidP="00A16BD6">
            <w:pPr>
              <w:pStyle w:val="Summarytabletextrightaligned"/>
            </w:pPr>
            <w:r w:rsidRPr="00625155">
              <w:t>$m</w:t>
            </w:r>
          </w:p>
        </w:tc>
        <w:tc>
          <w:tcPr>
            <w:tcW w:w="851" w:type="dxa"/>
            <w:tcBorders>
              <w:bottom w:val="single" w:sz="4" w:space="0" w:color="auto"/>
            </w:tcBorders>
            <w:vAlign w:val="bottom"/>
          </w:tcPr>
          <w:p w14:paraId="6065AE0C" w14:textId="77777777" w:rsidR="00F011E2" w:rsidRPr="00625155" w:rsidRDefault="00F011E2" w:rsidP="00A16BD6">
            <w:pPr>
              <w:pStyle w:val="Summarytabletextrightaligned"/>
            </w:pPr>
            <w:r w:rsidRPr="00625155">
              <w:t>$m</w:t>
            </w:r>
          </w:p>
        </w:tc>
        <w:tc>
          <w:tcPr>
            <w:tcW w:w="851" w:type="dxa"/>
            <w:tcBorders>
              <w:bottom w:val="single" w:sz="4" w:space="0" w:color="auto"/>
            </w:tcBorders>
            <w:vAlign w:val="bottom"/>
          </w:tcPr>
          <w:p w14:paraId="37D2EEA2" w14:textId="77777777" w:rsidR="00F011E2" w:rsidRPr="00625155" w:rsidRDefault="00F011E2" w:rsidP="00A16BD6">
            <w:pPr>
              <w:pStyle w:val="Summarytabletextrightaligned"/>
            </w:pPr>
            <w:r w:rsidRPr="00625155">
              <w:t>$m</w:t>
            </w:r>
          </w:p>
        </w:tc>
      </w:tr>
      <w:tr w:rsidR="00F011E2" w:rsidRPr="00625155" w14:paraId="1B3E7A29" w14:textId="77777777" w:rsidTr="00A16BD6">
        <w:tc>
          <w:tcPr>
            <w:tcW w:w="3470" w:type="dxa"/>
            <w:shd w:val="clear" w:color="auto" w:fill="auto"/>
            <w:vAlign w:val="bottom"/>
          </w:tcPr>
          <w:p w14:paraId="1B1E5152" w14:textId="77777777" w:rsidR="00F011E2" w:rsidRPr="00625155" w:rsidRDefault="00F011E2" w:rsidP="00A16BD6">
            <w:pPr>
              <w:pStyle w:val="SummaryMeasureTitlewithTheme"/>
              <w:rPr>
                <w:rFonts w:cs="Arial"/>
                <w:b/>
                <w:color w:val="auto"/>
              </w:rPr>
            </w:pPr>
            <w:r w:rsidRPr="00625155">
              <w:rPr>
                <w:rFonts w:cs="Arial"/>
                <w:b/>
                <w:color w:val="auto"/>
              </w:rPr>
              <w:t>TREASURY (continued)</w:t>
            </w:r>
          </w:p>
        </w:tc>
        <w:tc>
          <w:tcPr>
            <w:tcW w:w="851" w:type="dxa"/>
            <w:vAlign w:val="bottom"/>
          </w:tcPr>
          <w:p w14:paraId="75226EE8" w14:textId="77777777" w:rsidR="00F011E2" w:rsidRPr="00625155" w:rsidRDefault="00F011E2" w:rsidP="00A16BD6">
            <w:pPr>
              <w:pStyle w:val="Summarytabletextrightaligned"/>
              <w:rPr>
                <w:szCs w:val="16"/>
              </w:rPr>
            </w:pPr>
          </w:p>
        </w:tc>
        <w:tc>
          <w:tcPr>
            <w:tcW w:w="851" w:type="dxa"/>
            <w:shd w:val="clear" w:color="auto" w:fill="F2F9FC"/>
            <w:vAlign w:val="bottom"/>
          </w:tcPr>
          <w:p w14:paraId="4505BC5B" w14:textId="77777777" w:rsidR="00F011E2" w:rsidRPr="00625155" w:rsidRDefault="00F011E2" w:rsidP="00A16BD6">
            <w:pPr>
              <w:pStyle w:val="Summarytabletextrightaligned"/>
              <w:rPr>
                <w:szCs w:val="16"/>
              </w:rPr>
            </w:pPr>
          </w:p>
        </w:tc>
        <w:tc>
          <w:tcPr>
            <w:tcW w:w="851" w:type="dxa"/>
            <w:vAlign w:val="bottom"/>
          </w:tcPr>
          <w:p w14:paraId="0817D57D" w14:textId="77777777" w:rsidR="00F011E2" w:rsidRPr="00625155" w:rsidRDefault="00F011E2" w:rsidP="00A16BD6">
            <w:pPr>
              <w:pStyle w:val="Summarytabletextrightaligned"/>
              <w:rPr>
                <w:szCs w:val="16"/>
              </w:rPr>
            </w:pPr>
          </w:p>
        </w:tc>
        <w:tc>
          <w:tcPr>
            <w:tcW w:w="851" w:type="dxa"/>
            <w:vAlign w:val="bottom"/>
          </w:tcPr>
          <w:p w14:paraId="1565DB81" w14:textId="77777777" w:rsidR="00F011E2" w:rsidRPr="00625155" w:rsidRDefault="00F011E2" w:rsidP="00A16BD6">
            <w:pPr>
              <w:pStyle w:val="Summarytabletextrightaligned"/>
              <w:rPr>
                <w:szCs w:val="16"/>
              </w:rPr>
            </w:pPr>
          </w:p>
        </w:tc>
        <w:tc>
          <w:tcPr>
            <w:tcW w:w="851" w:type="dxa"/>
            <w:vAlign w:val="bottom"/>
          </w:tcPr>
          <w:p w14:paraId="7FA29516" w14:textId="77777777" w:rsidR="00F011E2" w:rsidRPr="00625155" w:rsidRDefault="00F011E2" w:rsidP="00A16BD6">
            <w:pPr>
              <w:pStyle w:val="Summarytabletextrightaligned"/>
              <w:rPr>
                <w:szCs w:val="16"/>
              </w:rPr>
            </w:pPr>
          </w:p>
        </w:tc>
      </w:tr>
      <w:tr w:rsidR="00F011E2" w:rsidRPr="00625155" w14:paraId="2E596C35" w14:textId="77777777" w:rsidTr="00A16BD6">
        <w:tc>
          <w:tcPr>
            <w:tcW w:w="3470" w:type="dxa"/>
            <w:shd w:val="clear" w:color="auto" w:fill="auto"/>
            <w:vAlign w:val="bottom"/>
          </w:tcPr>
          <w:p w14:paraId="46E13276" w14:textId="2AD0A777" w:rsidR="00F011E2" w:rsidRPr="00625155" w:rsidRDefault="00F011E2" w:rsidP="00A16BD6">
            <w:pPr>
              <w:pStyle w:val="SummaryMeasureTitlewithTheme"/>
              <w:rPr>
                <w:color w:val="auto"/>
              </w:rPr>
            </w:pPr>
            <w:r w:rsidRPr="00625155">
              <w:rPr>
                <w:color w:val="auto"/>
              </w:rPr>
              <w:t>Home Guarantee Scheme – increase to price caps(</w:t>
            </w:r>
            <w:r w:rsidR="0011539C">
              <w:rPr>
                <w:color w:val="auto"/>
              </w:rPr>
              <w:t>bb</w:t>
            </w:r>
            <w:r w:rsidRPr="00625155">
              <w:rPr>
                <w:color w:val="auto"/>
              </w:rPr>
              <w:t>)</w:t>
            </w:r>
          </w:p>
        </w:tc>
        <w:tc>
          <w:tcPr>
            <w:tcW w:w="851" w:type="dxa"/>
            <w:vAlign w:val="bottom"/>
          </w:tcPr>
          <w:p w14:paraId="4859C237" w14:textId="4D30258E" w:rsidR="00F011E2" w:rsidRPr="00625155" w:rsidRDefault="00660645" w:rsidP="00A16BD6">
            <w:pPr>
              <w:pStyle w:val="Summarytabletextrightaligned"/>
              <w:rPr>
                <w:szCs w:val="16"/>
              </w:rPr>
            </w:pPr>
            <w:r>
              <w:rPr>
                <w:szCs w:val="16"/>
              </w:rPr>
              <w:noBreakHyphen/>
            </w:r>
          </w:p>
        </w:tc>
        <w:tc>
          <w:tcPr>
            <w:tcW w:w="851" w:type="dxa"/>
            <w:shd w:val="clear" w:color="auto" w:fill="F2F9FC"/>
            <w:vAlign w:val="bottom"/>
          </w:tcPr>
          <w:p w14:paraId="367CA0A8" w14:textId="48424B60" w:rsidR="00F011E2" w:rsidRPr="00625155" w:rsidRDefault="00660645" w:rsidP="00A16BD6">
            <w:pPr>
              <w:pStyle w:val="Summarytabletextrightaligned"/>
              <w:rPr>
                <w:szCs w:val="16"/>
              </w:rPr>
            </w:pPr>
            <w:r>
              <w:rPr>
                <w:szCs w:val="16"/>
              </w:rPr>
              <w:noBreakHyphen/>
            </w:r>
          </w:p>
        </w:tc>
        <w:tc>
          <w:tcPr>
            <w:tcW w:w="851" w:type="dxa"/>
            <w:vAlign w:val="bottom"/>
          </w:tcPr>
          <w:p w14:paraId="662C1D5A" w14:textId="2346B74C" w:rsidR="00F011E2" w:rsidRPr="00625155" w:rsidRDefault="00660645" w:rsidP="00A16BD6">
            <w:pPr>
              <w:pStyle w:val="Summarytabletextrightaligned"/>
              <w:rPr>
                <w:szCs w:val="16"/>
              </w:rPr>
            </w:pPr>
            <w:r>
              <w:rPr>
                <w:szCs w:val="16"/>
              </w:rPr>
              <w:noBreakHyphen/>
            </w:r>
          </w:p>
        </w:tc>
        <w:tc>
          <w:tcPr>
            <w:tcW w:w="851" w:type="dxa"/>
            <w:vAlign w:val="bottom"/>
          </w:tcPr>
          <w:p w14:paraId="456EFB1C" w14:textId="77777777" w:rsidR="00F011E2" w:rsidRPr="00625155" w:rsidRDefault="00F011E2" w:rsidP="00A16BD6">
            <w:pPr>
              <w:pStyle w:val="Summarytabletextrightaligned"/>
              <w:rPr>
                <w:szCs w:val="16"/>
              </w:rPr>
            </w:pPr>
            <w:r w:rsidRPr="00625155">
              <w:rPr>
                <w:szCs w:val="16"/>
              </w:rPr>
              <w:t>0.1</w:t>
            </w:r>
          </w:p>
        </w:tc>
        <w:tc>
          <w:tcPr>
            <w:tcW w:w="851" w:type="dxa"/>
            <w:vAlign w:val="bottom"/>
          </w:tcPr>
          <w:p w14:paraId="4DA42CD9" w14:textId="77777777" w:rsidR="00F011E2" w:rsidRPr="00625155" w:rsidRDefault="00F011E2" w:rsidP="00A16BD6">
            <w:pPr>
              <w:pStyle w:val="Summarytabletextrightaligned"/>
              <w:rPr>
                <w:szCs w:val="16"/>
              </w:rPr>
            </w:pPr>
            <w:r w:rsidRPr="00625155">
              <w:rPr>
                <w:szCs w:val="16"/>
              </w:rPr>
              <w:t>0.6</w:t>
            </w:r>
          </w:p>
        </w:tc>
      </w:tr>
      <w:tr w:rsidR="00F011E2" w:rsidRPr="00625155" w14:paraId="20A90ACC" w14:textId="77777777" w:rsidTr="00A16BD6">
        <w:tc>
          <w:tcPr>
            <w:tcW w:w="3470" w:type="dxa"/>
            <w:shd w:val="clear" w:color="auto" w:fill="auto"/>
            <w:vAlign w:val="bottom"/>
          </w:tcPr>
          <w:p w14:paraId="3798EBE5" w14:textId="4208BBD8" w:rsidR="00F011E2" w:rsidRPr="00625155" w:rsidRDefault="00F011E2" w:rsidP="00A16BD6">
            <w:pPr>
              <w:pStyle w:val="SummaryMeasureTitlewithTheme"/>
              <w:rPr>
                <w:color w:val="auto"/>
              </w:rPr>
            </w:pPr>
            <w:r w:rsidRPr="00625155">
              <w:rPr>
                <w:color w:val="auto"/>
              </w:rPr>
              <w:t>Infrastructure Investment Program – additional projects(</w:t>
            </w:r>
            <w:r w:rsidR="0011539C">
              <w:rPr>
                <w:color w:val="auto"/>
              </w:rPr>
              <w:t>v</w:t>
            </w:r>
            <w:r w:rsidRPr="00625155">
              <w:rPr>
                <w:color w:val="auto"/>
              </w:rPr>
              <w:t>)</w:t>
            </w:r>
          </w:p>
        </w:tc>
        <w:tc>
          <w:tcPr>
            <w:tcW w:w="851" w:type="dxa"/>
            <w:vAlign w:val="bottom"/>
          </w:tcPr>
          <w:p w14:paraId="009E8457" w14:textId="7BA69070" w:rsidR="00F011E2" w:rsidRPr="00625155" w:rsidRDefault="00660645" w:rsidP="00A16BD6">
            <w:pPr>
              <w:pStyle w:val="Summarytabletextrightaligned"/>
              <w:rPr>
                <w:szCs w:val="16"/>
              </w:rPr>
            </w:pPr>
            <w:r>
              <w:rPr>
                <w:szCs w:val="16"/>
              </w:rPr>
              <w:noBreakHyphen/>
            </w:r>
          </w:p>
        </w:tc>
        <w:tc>
          <w:tcPr>
            <w:tcW w:w="851" w:type="dxa"/>
            <w:shd w:val="clear" w:color="auto" w:fill="F2F9FC"/>
            <w:vAlign w:val="bottom"/>
          </w:tcPr>
          <w:p w14:paraId="5C47B068" w14:textId="77777777" w:rsidR="00F011E2" w:rsidRPr="00625155" w:rsidRDefault="00F011E2" w:rsidP="00A16BD6">
            <w:pPr>
              <w:pStyle w:val="Summarytabletextrightaligned"/>
              <w:rPr>
                <w:szCs w:val="16"/>
              </w:rPr>
            </w:pPr>
            <w:r w:rsidRPr="00625155">
              <w:rPr>
                <w:szCs w:val="16"/>
              </w:rPr>
              <w:t>21.2</w:t>
            </w:r>
          </w:p>
        </w:tc>
        <w:tc>
          <w:tcPr>
            <w:tcW w:w="851" w:type="dxa"/>
            <w:vAlign w:val="bottom"/>
          </w:tcPr>
          <w:p w14:paraId="45476577" w14:textId="77777777" w:rsidR="00F011E2" w:rsidRPr="00625155" w:rsidRDefault="00F011E2" w:rsidP="00A16BD6">
            <w:pPr>
              <w:pStyle w:val="Summarytabletextrightaligned"/>
              <w:rPr>
                <w:szCs w:val="16"/>
              </w:rPr>
            </w:pPr>
            <w:r w:rsidRPr="00625155">
              <w:rPr>
                <w:szCs w:val="16"/>
              </w:rPr>
              <w:t>17.5</w:t>
            </w:r>
          </w:p>
        </w:tc>
        <w:tc>
          <w:tcPr>
            <w:tcW w:w="851" w:type="dxa"/>
            <w:vAlign w:val="bottom"/>
          </w:tcPr>
          <w:p w14:paraId="5F0C69CF" w14:textId="77777777" w:rsidR="00F011E2" w:rsidRPr="00625155" w:rsidRDefault="00F011E2" w:rsidP="00A16BD6">
            <w:pPr>
              <w:pStyle w:val="Summarytabletextrightaligned"/>
              <w:rPr>
                <w:szCs w:val="16"/>
              </w:rPr>
            </w:pPr>
            <w:r w:rsidRPr="00625155">
              <w:rPr>
                <w:szCs w:val="16"/>
              </w:rPr>
              <w:t>17.5</w:t>
            </w:r>
          </w:p>
        </w:tc>
        <w:tc>
          <w:tcPr>
            <w:tcW w:w="851" w:type="dxa"/>
            <w:vAlign w:val="bottom"/>
          </w:tcPr>
          <w:p w14:paraId="7A441365" w14:textId="5F79EC8E" w:rsidR="00F011E2" w:rsidRPr="00625155" w:rsidRDefault="00660645" w:rsidP="00A16BD6">
            <w:pPr>
              <w:pStyle w:val="Summarytabletextrightaligned"/>
              <w:rPr>
                <w:szCs w:val="16"/>
              </w:rPr>
            </w:pPr>
            <w:r>
              <w:rPr>
                <w:szCs w:val="16"/>
              </w:rPr>
              <w:noBreakHyphen/>
            </w:r>
          </w:p>
        </w:tc>
      </w:tr>
      <w:tr w:rsidR="00F011E2" w:rsidRPr="00625155" w14:paraId="549EFBB8" w14:textId="77777777" w:rsidTr="00A16BD6">
        <w:tc>
          <w:tcPr>
            <w:tcW w:w="3470" w:type="dxa"/>
            <w:shd w:val="clear" w:color="auto" w:fill="auto"/>
            <w:vAlign w:val="bottom"/>
          </w:tcPr>
          <w:p w14:paraId="100FE664" w14:textId="022CE2F3" w:rsidR="00F011E2" w:rsidRPr="00625155" w:rsidRDefault="00F011E2" w:rsidP="00A16BD6">
            <w:pPr>
              <w:pStyle w:val="SummaryMeasureTitlewithTheme"/>
              <w:rPr>
                <w:color w:val="auto"/>
              </w:rPr>
            </w:pPr>
            <w:r w:rsidRPr="00625155">
              <w:rPr>
                <w:color w:val="auto"/>
              </w:rPr>
              <w:t>Marinus Link(</w:t>
            </w:r>
            <w:r w:rsidR="0011539C">
              <w:rPr>
                <w:color w:val="auto"/>
              </w:rPr>
              <w:t>s</w:t>
            </w:r>
            <w:r w:rsidRPr="00625155">
              <w:rPr>
                <w:color w:val="auto"/>
              </w:rPr>
              <w:t>)</w:t>
            </w:r>
          </w:p>
        </w:tc>
        <w:tc>
          <w:tcPr>
            <w:tcW w:w="851" w:type="dxa"/>
            <w:vAlign w:val="bottom"/>
          </w:tcPr>
          <w:p w14:paraId="4D06393C" w14:textId="184DAE85" w:rsidR="00F011E2" w:rsidRPr="00625155" w:rsidRDefault="00660645" w:rsidP="00A16BD6">
            <w:pPr>
              <w:pStyle w:val="Summarytabletextrightaligned"/>
              <w:rPr>
                <w:szCs w:val="16"/>
              </w:rPr>
            </w:pPr>
            <w:r>
              <w:rPr>
                <w:szCs w:val="16"/>
              </w:rPr>
              <w:noBreakHyphen/>
            </w:r>
          </w:p>
        </w:tc>
        <w:tc>
          <w:tcPr>
            <w:tcW w:w="851" w:type="dxa"/>
            <w:shd w:val="clear" w:color="auto" w:fill="F2F9FC"/>
            <w:vAlign w:val="bottom"/>
          </w:tcPr>
          <w:p w14:paraId="02CE8167" w14:textId="0E177BA8" w:rsidR="00F011E2" w:rsidRPr="00625155" w:rsidRDefault="00660645" w:rsidP="00A16BD6">
            <w:pPr>
              <w:pStyle w:val="Summarytabletextrightaligned"/>
              <w:rPr>
                <w:szCs w:val="16"/>
              </w:rPr>
            </w:pPr>
            <w:r>
              <w:rPr>
                <w:szCs w:val="16"/>
              </w:rPr>
              <w:noBreakHyphen/>
            </w:r>
          </w:p>
        </w:tc>
        <w:tc>
          <w:tcPr>
            <w:tcW w:w="851" w:type="dxa"/>
            <w:vAlign w:val="bottom"/>
          </w:tcPr>
          <w:p w14:paraId="4746EE49" w14:textId="4084155E" w:rsidR="00F011E2" w:rsidRPr="00625155" w:rsidRDefault="00660645" w:rsidP="00A16BD6">
            <w:pPr>
              <w:pStyle w:val="Summarytabletextrightaligned"/>
              <w:rPr>
                <w:szCs w:val="16"/>
              </w:rPr>
            </w:pPr>
            <w:r>
              <w:rPr>
                <w:szCs w:val="16"/>
              </w:rPr>
              <w:noBreakHyphen/>
            </w:r>
          </w:p>
        </w:tc>
        <w:tc>
          <w:tcPr>
            <w:tcW w:w="851" w:type="dxa"/>
            <w:vAlign w:val="bottom"/>
          </w:tcPr>
          <w:p w14:paraId="07304443" w14:textId="48A2977B" w:rsidR="00F011E2" w:rsidRPr="00625155" w:rsidRDefault="00660645" w:rsidP="00A16BD6">
            <w:pPr>
              <w:pStyle w:val="Summarytabletextrightaligned"/>
              <w:rPr>
                <w:szCs w:val="16"/>
              </w:rPr>
            </w:pPr>
            <w:r>
              <w:rPr>
                <w:szCs w:val="16"/>
              </w:rPr>
              <w:noBreakHyphen/>
            </w:r>
          </w:p>
        </w:tc>
        <w:tc>
          <w:tcPr>
            <w:tcW w:w="851" w:type="dxa"/>
            <w:vAlign w:val="bottom"/>
          </w:tcPr>
          <w:p w14:paraId="61B76B5F" w14:textId="5393E5E3" w:rsidR="00F011E2" w:rsidRPr="00625155" w:rsidRDefault="00660645" w:rsidP="00A16BD6">
            <w:pPr>
              <w:pStyle w:val="Summarytabletextrightaligned"/>
              <w:rPr>
                <w:szCs w:val="16"/>
              </w:rPr>
            </w:pPr>
            <w:r>
              <w:rPr>
                <w:szCs w:val="16"/>
              </w:rPr>
              <w:noBreakHyphen/>
            </w:r>
          </w:p>
        </w:tc>
      </w:tr>
      <w:tr w:rsidR="00F011E2" w:rsidRPr="00625155" w14:paraId="69272CFD" w14:textId="77777777" w:rsidTr="00A16BD6">
        <w:tc>
          <w:tcPr>
            <w:tcW w:w="3470" w:type="dxa"/>
            <w:shd w:val="clear" w:color="auto" w:fill="auto"/>
            <w:vAlign w:val="bottom"/>
          </w:tcPr>
          <w:p w14:paraId="722BA45F" w14:textId="3E6381E6" w:rsidR="00F011E2" w:rsidRPr="00625155" w:rsidRDefault="00F011E2" w:rsidP="00A16BD6">
            <w:pPr>
              <w:pStyle w:val="SummaryMeasureTitlewithTheme"/>
              <w:rPr>
                <w:color w:val="auto"/>
              </w:rPr>
            </w:pPr>
            <w:r w:rsidRPr="00625155">
              <w:rPr>
                <w:color w:val="auto"/>
              </w:rPr>
              <w:t>National Water Grid Fund – project funding(</w:t>
            </w:r>
            <w:r w:rsidR="0011539C">
              <w:rPr>
                <w:color w:val="auto"/>
              </w:rPr>
              <w:t>w</w:t>
            </w:r>
            <w:r w:rsidRPr="00625155">
              <w:rPr>
                <w:color w:val="auto"/>
              </w:rPr>
              <w:t>)</w:t>
            </w:r>
          </w:p>
        </w:tc>
        <w:tc>
          <w:tcPr>
            <w:tcW w:w="851" w:type="dxa"/>
            <w:vAlign w:val="bottom"/>
          </w:tcPr>
          <w:p w14:paraId="0F4DCB3F" w14:textId="1AB5EFD6" w:rsidR="00F011E2" w:rsidRPr="00625155" w:rsidRDefault="00660645" w:rsidP="00A16BD6">
            <w:pPr>
              <w:pStyle w:val="Summarytabletextrightaligned"/>
              <w:rPr>
                <w:szCs w:val="16"/>
              </w:rPr>
            </w:pPr>
            <w:r>
              <w:rPr>
                <w:szCs w:val="16"/>
              </w:rPr>
              <w:noBreakHyphen/>
            </w:r>
          </w:p>
        </w:tc>
        <w:tc>
          <w:tcPr>
            <w:tcW w:w="851" w:type="dxa"/>
            <w:shd w:val="clear" w:color="auto" w:fill="F2F9FC"/>
            <w:vAlign w:val="bottom"/>
          </w:tcPr>
          <w:p w14:paraId="367AF7BE" w14:textId="77777777" w:rsidR="00F011E2" w:rsidRPr="00625155" w:rsidRDefault="00F011E2" w:rsidP="00A16BD6">
            <w:pPr>
              <w:pStyle w:val="Summarytabletextrightaligned"/>
              <w:rPr>
                <w:szCs w:val="16"/>
              </w:rPr>
            </w:pPr>
            <w:r w:rsidRPr="00625155">
              <w:rPr>
                <w:szCs w:val="16"/>
              </w:rPr>
              <w:t>23.0</w:t>
            </w:r>
          </w:p>
        </w:tc>
        <w:tc>
          <w:tcPr>
            <w:tcW w:w="851" w:type="dxa"/>
            <w:vAlign w:val="bottom"/>
          </w:tcPr>
          <w:p w14:paraId="267F1548" w14:textId="3EE1BFFA" w:rsidR="00F011E2" w:rsidRPr="00625155" w:rsidRDefault="00660645" w:rsidP="00A16BD6">
            <w:pPr>
              <w:pStyle w:val="Summarytabletextrightaligned"/>
              <w:rPr>
                <w:szCs w:val="16"/>
              </w:rPr>
            </w:pPr>
            <w:r>
              <w:rPr>
                <w:szCs w:val="16"/>
              </w:rPr>
              <w:noBreakHyphen/>
            </w:r>
          </w:p>
        </w:tc>
        <w:tc>
          <w:tcPr>
            <w:tcW w:w="851" w:type="dxa"/>
            <w:vAlign w:val="bottom"/>
          </w:tcPr>
          <w:p w14:paraId="74603C27" w14:textId="7D197CE0" w:rsidR="00F011E2" w:rsidRPr="00625155" w:rsidRDefault="00660645" w:rsidP="00A16BD6">
            <w:pPr>
              <w:pStyle w:val="Summarytabletextrightaligned"/>
              <w:rPr>
                <w:szCs w:val="16"/>
              </w:rPr>
            </w:pPr>
            <w:r>
              <w:rPr>
                <w:szCs w:val="16"/>
              </w:rPr>
              <w:noBreakHyphen/>
            </w:r>
          </w:p>
        </w:tc>
        <w:tc>
          <w:tcPr>
            <w:tcW w:w="851" w:type="dxa"/>
            <w:vAlign w:val="bottom"/>
          </w:tcPr>
          <w:p w14:paraId="2AF08B92" w14:textId="71DD0B9D" w:rsidR="00F011E2" w:rsidRPr="00625155" w:rsidRDefault="00660645" w:rsidP="00A16BD6">
            <w:pPr>
              <w:pStyle w:val="Summarytabletextrightaligned"/>
              <w:rPr>
                <w:szCs w:val="16"/>
              </w:rPr>
            </w:pPr>
            <w:r>
              <w:rPr>
                <w:szCs w:val="16"/>
              </w:rPr>
              <w:noBreakHyphen/>
            </w:r>
          </w:p>
        </w:tc>
      </w:tr>
      <w:tr w:rsidR="00F011E2" w:rsidRPr="00625155" w14:paraId="1FFC2D17" w14:textId="77777777" w:rsidTr="00A16BD6">
        <w:tc>
          <w:tcPr>
            <w:tcW w:w="3470" w:type="dxa"/>
            <w:shd w:val="clear" w:color="auto" w:fill="auto"/>
            <w:vAlign w:val="bottom"/>
          </w:tcPr>
          <w:p w14:paraId="1EF5D4A8" w14:textId="1D28501B" w:rsidR="00F011E2" w:rsidRPr="00625155" w:rsidRDefault="00F011E2" w:rsidP="00A16BD6">
            <w:pPr>
              <w:pStyle w:val="SummaryMeasureTitlewithTheme"/>
              <w:rPr>
                <w:color w:val="auto"/>
              </w:rPr>
            </w:pPr>
            <w:r w:rsidRPr="00625155">
              <w:rPr>
                <w:color w:val="auto"/>
              </w:rPr>
              <w:t>Tarraleah Hydro Power Plan</w:t>
            </w:r>
            <w:r w:rsidR="004F79EE">
              <w:rPr>
                <w:color w:val="auto"/>
              </w:rPr>
              <w:t>t</w:t>
            </w:r>
            <w:r w:rsidRPr="00625155">
              <w:rPr>
                <w:color w:val="auto"/>
              </w:rPr>
              <w:t>(</w:t>
            </w:r>
            <w:r w:rsidR="0011539C">
              <w:rPr>
                <w:color w:val="auto"/>
              </w:rPr>
              <w:t>t</w:t>
            </w:r>
            <w:r w:rsidRPr="00625155">
              <w:rPr>
                <w:color w:val="auto"/>
              </w:rPr>
              <w:t>)</w:t>
            </w:r>
          </w:p>
        </w:tc>
        <w:tc>
          <w:tcPr>
            <w:tcW w:w="851" w:type="dxa"/>
            <w:tcBorders>
              <w:bottom w:val="single" w:sz="4" w:space="0" w:color="auto"/>
            </w:tcBorders>
            <w:vAlign w:val="bottom"/>
          </w:tcPr>
          <w:p w14:paraId="57EBF657" w14:textId="2E9ED4AB"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shd w:val="clear" w:color="auto" w:fill="F2F9FC"/>
            <w:vAlign w:val="bottom"/>
          </w:tcPr>
          <w:p w14:paraId="1256421F" w14:textId="32CDEC6B"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123362ED" w14:textId="3A33FF49"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5866D265" w14:textId="50BA60A3"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7BA264A6" w14:textId="1DB4BA9A" w:rsidR="00F011E2" w:rsidRPr="00625155" w:rsidRDefault="00660645" w:rsidP="00A16BD6">
            <w:pPr>
              <w:pStyle w:val="Summarytabletextrightaligned"/>
              <w:rPr>
                <w:szCs w:val="16"/>
              </w:rPr>
            </w:pPr>
            <w:r>
              <w:rPr>
                <w:szCs w:val="16"/>
              </w:rPr>
              <w:noBreakHyphen/>
            </w:r>
          </w:p>
        </w:tc>
      </w:tr>
      <w:tr w:rsidR="00F011E2" w:rsidRPr="00625155" w14:paraId="59C4BAAE" w14:textId="77777777" w:rsidTr="00A16BD6">
        <w:tc>
          <w:tcPr>
            <w:tcW w:w="3470" w:type="dxa"/>
            <w:shd w:val="clear" w:color="auto" w:fill="auto"/>
            <w:vAlign w:val="bottom"/>
          </w:tcPr>
          <w:p w14:paraId="285A9DB4" w14:textId="77777777" w:rsidR="00F011E2" w:rsidRPr="00625155" w:rsidRDefault="00F011E2" w:rsidP="00A16BD6">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3760CDC5" w14:textId="77777777" w:rsidR="00F011E2" w:rsidRPr="00625155" w:rsidRDefault="00F011E2" w:rsidP="00A16BD6">
            <w:pPr>
              <w:pStyle w:val="Summarytabletextrightalignedbold"/>
              <w:rPr>
                <w:bCs/>
                <w:szCs w:val="16"/>
              </w:rPr>
            </w:pPr>
            <w:r w:rsidRPr="00625155">
              <w:rPr>
                <w:bCs/>
                <w:szCs w:val="16"/>
              </w:rPr>
              <w:t>2.8</w:t>
            </w:r>
          </w:p>
        </w:tc>
        <w:tc>
          <w:tcPr>
            <w:tcW w:w="851" w:type="dxa"/>
            <w:tcBorders>
              <w:top w:val="single" w:sz="4" w:space="0" w:color="auto"/>
              <w:bottom w:val="single" w:sz="4" w:space="0" w:color="auto"/>
            </w:tcBorders>
            <w:shd w:val="clear" w:color="auto" w:fill="F2F9FC"/>
            <w:vAlign w:val="bottom"/>
          </w:tcPr>
          <w:p w14:paraId="17C2CE11" w14:textId="77777777" w:rsidR="00F011E2" w:rsidRPr="00625155" w:rsidRDefault="00F011E2" w:rsidP="00A16BD6">
            <w:pPr>
              <w:pStyle w:val="Summarytabletextrightalignedbold"/>
              <w:rPr>
                <w:bCs/>
                <w:szCs w:val="16"/>
              </w:rPr>
            </w:pPr>
            <w:r w:rsidRPr="00625155">
              <w:rPr>
                <w:bCs/>
                <w:szCs w:val="16"/>
              </w:rPr>
              <w:t>578.3</w:t>
            </w:r>
          </w:p>
        </w:tc>
        <w:tc>
          <w:tcPr>
            <w:tcW w:w="851" w:type="dxa"/>
            <w:tcBorders>
              <w:top w:val="single" w:sz="4" w:space="0" w:color="auto"/>
              <w:bottom w:val="single" w:sz="4" w:space="0" w:color="auto"/>
            </w:tcBorders>
            <w:vAlign w:val="bottom"/>
          </w:tcPr>
          <w:p w14:paraId="2768314D" w14:textId="77777777" w:rsidR="00F011E2" w:rsidRPr="00625155" w:rsidRDefault="00F011E2" w:rsidP="00A16BD6">
            <w:pPr>
              <w:pStyle w:val="Summarytabletextrightalignedbold"/>
              <w:rPr>
                <w:bCs/>
                <w:szCs w:val="16"/>
              </w:rPr>
            </w:pPr>
            <w:r w:rsidRPr="00625155">
              <w:rPr>
                <w:bCs/>
                <w:szCs w:val="16"/>
              </w:rPr>
              <w:t>17.6</w:t>
            </w:r>
          </w:p>
        </w:tc>
        <w:tc>
          <w:tcPr>
            <w:tcW w:w="851" w:type="dxa"/>
            <w:tcBorders>
              <w:top w:val="single" w:sz="4" w:space="0" w:color="auto"/>
              <w:bottom w:val="single" w:sz="4" w:space="0" w:color="auto"/>
            </w:tcBorders>
            <w:vAlign w:val="bottom"/>
          </w:tcPr>
          <w:p w14:paraId="6338299E" w14:textId="77777777" w:rsidR="00F011E2" w:rsidRPr="00625155" w:rsidRDefault="00F011E2" w:rsidP="00A16BD6">
            <w:pPr>
              <w:pStyle w:val="Summarytabletextrightalignedbold"/>
              <w:rPr>
                <w:bCs/>
                <w:szCs w:val="16"/>
              </w:rPr>
            </w:pPr>
            <w:r w:rsidRPr="00625155">
              <w:rPr>
                <w:bCs/>
                <w:szCs w:val="16"/>
              </w:rPr>
              <w:t>17.8</w:t>
            </w:r>
          </w:p>
        </w:tc>
        <w:tc>
          <w:tcPr>
            <w:tcW w:w="851" w:type="dxa"/>
            <w:tcBorders>
              <w:top w:val="single" w:sz="4" w:space="0" w:color="auto"/>
              <w:bottom w:val="single" w:sz="4" w:space="0" w:color="auto"/>
            </w:tcBorders>
            <w:vAlign w:val="bottom"/>
          </w:tcPr>
          <w:p w14:paraId="7CA179A5" w14:textId="77777777" w:rsidR="00F011E2" w:rsidRPr="00625155" w:rsidRDefault="00F011E2" w:rsidP="00A16BD6">
            <w:pPr>
              <w:pStyle w:val="Summarytabletextrightalignedbold"/>
              <w:rPr>
                <w:bCs/>
                <w:szCs w:val="16"/>
              </w:rPr>
            </w:pPr>
            <w:r w:rsidRPr="00625155">
              <w:rPr>
                <w:bCs/>
                <w:szCs w:val="16"/>
              </w:rPr>
              <w:t>0.8</w:t>
            </w:r>
          </w:p>
        </w:tc>
      </w:tr>
      <w:tr w:rsidR="00F011E2" w:rsidRPr="00625155" w14:paraId="0B249CB4" w14:textId="77777777" w:rsidTr="00A16BD6">
        <w:tc>
          <w:tcPr>
            <w:tcW w:w="3470" w:type="dxa"/>
            <w:shd w:val="clear" w:color="auto" w:fill="auto"/>
            <w:vAlign w:val="bottom"/>
          </w:tcPr>
          <w:p w14:paraId="6B3A9C45" w14:textId="65345801" w:rsidR="00F011E2" w:rsidRPr="00625155" w:rsidRDefault="00F011E2" w:rsidP="00A16BD6">
            <w:pPr>
              <w:pStyle w:val="SummaryPortfolioTitle-BP2"/>
            </w:pPr>
            <w:r w:rsidRPr="00625155">
              <w:t>VETERANS</w:t>
            </w:r>
            <w:r w:rsidR="00660645">
              <w:t>’</w:t>
            </w:r>
            <w:r w:rsidRPr="00625155">
              <w:t xml:space="preserve"> AFFAIRS</w:t>
            </w:r>
          </w:p>
        </w:tc>
        <w:tc>
          <w:tcPr>
            <w:tcW w:w="851" w:type="dxa"/>
            <w:tcBorders>
              <w:top w:val="single" w:sz="4" w:space="0" w:color="auto"/>
            </w:tcBorders>
            <w:vAlign w:val="bottom"/>
          </w:tcPr>
          <w:p w14:paraId="4289F4F5" w14:textId="77777777" w:rsidR="00F011E2" w:rsidRPr="00625155" w:rsidRDefault="00F011E2" w:rsidP="00A16BD6">
            <w:pPr>
              <w:pStyle w:val="MeasureTableTextRightAlignedBefore6ptAfter1pt"/>
              <w:rPr>
                <w:b/>
                <w:bCs/>
                <w:color w:val="auto"/>
              </w:rPr>
            </w:pPr>
          </w:p>
        </w:tc>
        <w:tc>
          <w:tcPr>
            <w:tcW w:w="851" w:type="dxa"/>
            <w:tcBorders>
              <w:top w:val="single" w:sz="4" w:space="0" w:color="auto"/>
            </w:tcBorders>
            <w:shd w:val="clear" w:color="auto" w:fill="F2F9FC"/>
            <w:vAlign w:val="bottom"/>
          </w:tcPr>
          <w:p w14:paraId="41873871" w14:textId="77777777" w:rsidR="00F011E2" w:rsidRPr="00625155" w:rsidRDefault="00F011E2" w:rsidP="00A16BD6">
            <w:pPr>
              <w:pStyle w:val="MeasureTableTextRightAlignedBefore6ptAfter1pt"/>
              <w:rPr>
                <w:b/>
                <w:bCs/>
                <w:color w:val="auto"/>
              </w:rPr>
            </w:pPr>
          </w:p>
        </w:tc>
        <w:tc>
          <w:tcPr>
            <w:tcW w:w="851" w:type="dxa"/>
            <w:tcBorders>
              <w:top w:val="single" w:sz="4" w:space="0" w:color="auto"/>
            </w:tcBorders>
            <w:vAlign w:val="bottom"/>
          </w:tcPr>
          <w:p w14:paraId="7B8D0DEE" w14:textId="77777777" w:rsidR="00F011E2" w:rsidRPr="00625155" w:rsidRDefault="00F011E2" w:rsidP="00A16BD6">
            <w:pPr>
              <w:pStyle w:val="MeasureTableTextRightAlignedBefore6ptAfter1pt"/>
              <w:rPr>
                <w:b/>
                <w:bCs/>
                <w:color w:val="auto"/>
              </w:rPr>
            </w:pPr>
          </w:p>
        </w:tc>
        <w:tc>
          <w:tcPr>
            <w:tcW w:w="851" w:type="dxa"/>
            <w:tcBorders>
              <w:top w:val="single" w:sz="4" w:space="0" w:color="auto"/>
            </w:tcBorders>
            <w:vAlign w:val="bottom"/>
          </w:tcPr>
          <w:p w14:paraId="6D5C5D38" w14:textId="77777777" w:rsidR="00F011E2" w:rsidRPr="00625155" w:rsidRDefault="00F011E2" w:rsidP="00A16BD6">
            <w:pPr>
              <w:pStyle w:val="MeasureTableTextRightAlignedBefore6ptAfter1pt"/>
              <w:rPr>
                <w:b/>
                <w:bCs/>
                <w:color w:val="auto"/>
              </w:rPr>
            </w:pPr>
          </w:p>
        </w:tc>
        <w:tc>
          <w:tcPr>
            <w:tcW w:w="851" w:type="dxa"/>
            <w:tcBorders>
              <w:top w:val="single" w:sz="4" w:space="0" w:color="auto"/>
            </w:tcBorders>
            <w:vAlign w:val="bottom"/>
          </w:tcPr>
          <w:p w14:paraId="0B710DA1" w14:textId="77777777" w:rsidR="00F011E2" w:rsidRPr="00625155" w:rsidRDefault="00F011E2" w:rsidP="00A16BD6">
            <w:pPr>
              <w:pStyle w:val="MeasureTableTextRightAlignedBefore6ptAfter1pt"/>
              <w:rPr>
                <w:b/>
                <w:bCs/>
                <w:color w:val="auto"/>
              </w:rPr>
            </w:pPr>
          </w:p>
        </w:tc>
      </w:tr>
      <w:tr w:rsidR="00F011E2" w:rsidRPr="00625155" w14:paraId="28CBD099" w14:textId="77777777" w:rsidTr="00A16BD6">
        <w:tc>
          <w:tcPr>
            <w:tcW w:w="3470" w:type="dxa"/>
            <w:shd w:val="clear" w:color="auto" w:fill="auto"/>
            <w:vAlign w:val="bottom"/>
          </w:tcPr>
          <w:p w14:paraId="169C563F" w14:textId="208B2CCE" w:rsidR="00F011E2" w:rsidRPr="00625155" w:rsidRDefault="00F011E2" w:rsidP="00A16BD6">
            <w:pPr>
              <w:pStyle w:val="SummaryAgencyTitle-BP2"/>
              <w:rPr>
                <w:iCs/>
              </w:rPr>
            </w:pPr>
            <w:r w:rsidRPr="00625155">
              <w:rPr>
                <w:iCs/>
              </w:rPr>
              <w:t>Department of Veterans</w:t>
            </w:r>
            <w:r w:rsidR="00660645">
              <w:rPr>
                <w:iCs/>
              </w:rPr>
              <w:t>’</w:t>
            </w:r>
            <w:r w:rsidRPr="00625155">
              <w:rPr>
                <w:iCs/>
              </w:rPr>
              <w:t xml:space="preserve"> Affairs</w:t>
            </w:r>
          </w:p>
        </w:tc>
        <w:tc>
          <w:tcPr>
            <w:tcW w:w="851" w:type="dxa"/>
            <w:vAlign w:val="bottom"/>
          </w:tcPr>
          <w:p w14:paraId="06A572DA" w14:textId="77777777" w:rsidR="00F011E2" w:rsidRPr="00625155" w:rsidRDefault="00F011E2" w:rsidP="00A16BD6">
            <w:pPr>
              <w:pStyle w:val="SummaryAgencyTitle-BP2"/>
              <w:rPr>
                <w:iCs/>
              </w:rPr>
            </w:pPr>
          </w:p>
        </w:tc>
        <w:tc>
          <w:tcPr>
            <w:tcW w:w="851" w:type="dxa"/>
            <w:shd w:val="clear" w:color="auto" w:fill="F2F9FC"/>
            <w:vAlign w:val="bottom"/>
          </w:tcPr>
          <w:p w14:paraId="1433BF02" w14:textId="77777777" w:rsidR="00F011E2" w:rsidRPr="00625155" w:rsidRDefault="00F011E2" w:rsidP="00A16BD6">
            <w:pPr>
              <w:pStyle w:val="SummaryAgencyTitle-BP2"/>
              <w:rPr>
                <w:iCs/>
              </w:rPr>
            </w:pPr>
          </w:p>
        </w:tc>
        <w:tc>
          <w:tcPr>
            <w:tcW w:w="851" w:type="dxa"/>
            <w:vAlign w:val="bottom"/>
          </w:tcPr>
          <w:p w14:paraId="203370D7" w14:textId="77777777" w:rsidR="00F011E2" w:rsidRPr="00625155" w:rsidRDefault="00F011E2" w:rsidP="00A16BD6">
            <w:pPr>
              <w:pStyle w:val="SummaryAgencyTitle-BP2"/>
              <w:rPr>
                <w:iCs/>
              </w:rPr>
            </w:pPr>
          </w:p>
        </w:tc>
        <w:tc>
          <w:tcPr>
            <w:tcW w:w="851" w:type="dxa"/>
            <w:vAlign w:val="bottom"/>
          </w:tcPr>
          <w:p w14:paraId="707CBC06" w14:textId="77777777" w:rsidR="00F011E2" w:rsidRPr="00625155" w:rsidRDefault="00F011E2" w:rsidP="00A16BD6">
            <w:pPr>
              <w:pStyle w:val="SummaryAgencyTitle-BP2"/>
              <w:rPr>
                <w:iCs/>
              </w:rPr>
            </w:pPr>
          </w:p>
        </w:tc>
        <w:tc>
          <w:tcPr>
            <w:tcW w:w="851" w:type="dxa"/>
            <w:vAlign w:val="bottom"/>
          </w:tcPr>
          <w:p w14:paraId="7C461CCD" w14:textId="77777777" w:rsidR="00F011E2" w:rsidRPr="00625155" w:rsidRDefault="00F011E2" w:rsidP="00A16BD6">
            <w:pPr>
              <w:pStyle w:val="SummaryAgencyTitle-BP2"/>
              <w:rPr>
                <w:iCs/>
              </w:rPr>
            </w:pPr>
          </w:p>
        </w:tc>
      </w:tr>
      <w:tr w:rsidR="00F011E2" w:rsidRPr="00625155" w14:paraId="01F9C575" w14:textId="77777777" w:rsidTr="00A16BD6">
        <w:tc>
          <w:tcPr>
            <w:tcW w:w="3470" w:type="dxa"/>
            <w:shd w:val="clear" w:color="auto" w:fill="auto"/>
            <w:vAlign w:val="bottom"/>
          </w:tcPr>
          <w:p w14:paraId="2E0E3541" w14:textId="4F56B974" w:rsidR="00F011E2" w:rsidRPr="00625155" w:rsidRDefault="00F011E2" w:rsidP="00A16BD6">
            <w:pPr>
              <w:pStyle w:val="SummaryMeasureTitlewithTheme"/>
              <w:rPr>
                <w:color w:val="auto"/>
              </w:rPr>
            </w:pPr>
            <w:r w:rsidRPr="00625155">
              <w:rPr>
                <w:color w:val="auto"/>
              </w:rPr>
              <w:t>COVID</w:t>
            </w:r>
            <w:r w:rsidR="00660645">
              <w:rPr>
                <w:color w:val="auto"/>
              </w:rPr>
              <w:noBreakHyphen/>
            </w:r>
            <w:r w:rsidRPr="00625155">
              <w:rPr>
                <w:color w:val="auto"/>
              </w:rPr>
              <w:t>19 Response Package – treatments(b)(</w:t>
            </w:r>
            <w:r w:rsidR="0011539C">
              <w:rPr>
                <w:color w:val="auto"/>
              </w:rPr>
              <w:t>p</w:t>
            </w:r>
            <w:r w:rsidRPr="00625155">
              <w:rPr>
                <w:color w:val="auto"/>
              </w:rPr>
              <w:t>)</w:t>
            </w:r>
          </w:p>
        </w:tc>
        <w:tc>
          <w:tcPr>
            <w:tcW w:w="851" w:type="dxa"/>
            <w:vAlign w:val="bottom"/>
          </w:tcPr>
          <w:p w14:paraId="721DD6E0" w14:textId="77777777" w:rsidR="00F011E2" w:rsidRPr="00625155" w:rsidRDefault="00F011E2" w:rsidP="00A16BD6">
            <w:pPr>
              <w:pStyle w:val="Summarytabletextrightaligned"/>
              <w:rPr>
                <w:szCs w:val="16"/>
              </w:rPr>
            </w:pPr>
            <w:r w:rsidRPr="00625155">
              <w:rPr>
                <w:szCs w:val="16"/>
              </w:rPr>
              <w:t>6.3</w:t>
            </w:r>
          </w:p>
        </w:tc>
        <w:tc>
          <w:tcPr>
            <w:tcW w:w="851" w:type="dxa"/>
            <w:shd w:val="clear" w:color="auto" w:fill="F2F9FC"/>
            <w:vAlign w:val="bottom"/>
          </w:tcPr>
          <w:p w14:paraId="7DC94E86" w14:textId="77777777" w:rsidR="00F011E2" w:rsidRPr="00625155" w:rsidRDefault="00F011E2" w:rsidP="00A16BD6">
            <w:pPr>
              <w:pStyle w:val="Summarytabletextrightaligned"/>
              <w:rPr>
                <w:szCs w:val="16"/>
              </w:rPr>
            </w:pPr>
            <w:r w:rsidRPr="00625155">
              <w:rPr>
                <w:szCs w:val="16"/>
              </w:rPr>
              <w:t>33.1</w:t>
            </w:r>
          </w:p>
        </w:tc>
        <w:tc>
          <w:tcPr>
            <w:tcW w:w="851" w:type="dxa"/>
            <w:vAlign w:val="bottom"/>
          </w:tcPr>
          <w:p w14:paraId="2ED67453" w14:textId="4CA74751" w:rsidR="00F011E2" w:rsidRPr="00625155" w:rsidRDefault="00660645" w:rsidP="00A16BD6">
            <w:pPr>
              <w:pStyle w:val="Summarytabletextrightaligned"/>
              <w:rPr>
                <w:szCs w:val="16"/>
              </w:rPr>
            </w:pPr>
            <w:r>
              <w:rPr>
                <w:szCs w:val="16"/>
              </w:rPr>
              <w:noBreakHyphen/>
            </w:r>
          </w:p>
        </w:tc>
        <w:tc>
          <w:tcPr>
            <w:tcW w:w="851" w:type="dxa"/>
            <w:vAlign w:val="bottom"/>
          </w:tcPr>
          <w:p w14:paraId="7439618D" w14:textId="52FE8D68" w:rsidR="00F011E2" w:rsidRPr="00625155" w:rsidRDefault="00660645" w:rsidP="00A16BD6">
            <w:pPr>
              <w:pStyle w:val="Summarytabletextrightaligned"/>
              <w:rPr>
                <w:szCs w:val="16"/>
              </w:rPr>
            </w:pPr>
            <w:r>
              <w:rPr>
                <w:szCs w:val="16"/>
              </w:rPr>
              <w:noBreakHyphen/>
            </w:r>
          </w:p>
        </w:tc>
        <w:tc>
          <w:tcPr>
            <w:tcW w:w="851" w:type="dxa"/>
            <w:vAlign w:val="bottom"/>
          </w:tcPr>
          <w:p w14:paraId="5860506A" w14:textId="777B7258" w:rsidR="00F011E2" w:rsidRPr="00625155" w:rsidRDefault="00660645" w:rsidP="00A16BD6">
            <w:pPr>
              <w:pStyle w:val="Summarytabletextrightaligned"/>
              <w:rPr>
                <w:szCs w:val="16"/>
              </w:rPr>
            </w:pPr>
            <w:r>
              <w:rPr>
                <w:szCs w:val="16"/>
              </w:rPr>
              <w:noBreakHyphen/>
            </w:r>
          </w:p>
        </w:tc>
      </w:tr>
      <w:tr w:rsidR="00F011E2" w:rsidRPr="00625155" w14:paraId="5CCD3CB7" w14:textId="77777777" w:rsidTr="00A16BD6">
        <w:tc>
          <w:tcPr>
            <w:tcW w:w="3470" w:type="dxa"/>
            <w:shd w:val="clear" w:color="auto" w:fill="auto"/>
            <w:vAlign w:val="bottom"/>
          </w:tcPr>
          <w:p w14:paraId="6618CFE6" w14:textId="5660AD02" w:rsidR="00F011E2" w:rsidRPr="00625155" w:rsidRDefault="00F011E2" w:rsidP="00A16BD6">
            <w:pPr>
              <w:pStyle w:val="SummaryMeasureTitlewithTheme"/>
              <w:rPr>
                <w:color w:val="auto"/>
              </w:rPr>
            </w:pPr>
            <w:r w:rsidRPr="00625155">
              <w:rPr>
                <w:color w:val="auto"/>
              </w:rPr>
              <w:t xml:space="preserve">DVA – </w:t>
            </w:r>
            <w:r w:rsidR="00621E46">
              <w:rPr>
                <w:color w:val="auto"/>
              </w:rPr>
              <w:t>a</w:t>
            </w:r>
            <w:r w:rsidRPr="00625155">
              <w:rPr>
                <w:color w:val="auto"/>
              </w:rPr>
              <w:t>dditional resources for claims processing(</w:t>
            </w:r>
            <w:r w:rsidR="0011539C">
              <w:rPr>
                <w:color w:val="auto"/>
              </w:rPr>
              <w:t>cc</w:t>
            </w:r>
            <w:r w:rsidRPr="00625155">
              <w:rPr>
                <w:color w:val="auto"/>
              </w:rPr>
              <w:t>)</w:t>
            </w:r>
          </w:p>
        </w:tc>
        <w:tc>
          <w:tcPr>
            <w:tcW w:w="851" w:type="dxa"/>
            <w:vAlign w:val="bottom"/>
          </w:tcPr>
          <w:p w14:paraId="60ECA5D0" w14:textId="5834D713" w:rsidR="00F011E2" w:rsidRPr="00625155" w:rsidRDefault="00660645" w:rsidP="00A16BD6">
            <w:pPr>
              <w:pStyle w:val="Summarytabletextrightaligned"/>
              <w:rPr>
                <w:szCs w:val="16"/>
              </w:rPr>
            </w:pPr>
            <w:r>
              <w:rPr>
                <w:szCs w:val="16"/>
              </w:rPr>
              <w:noBreakHyphen/>
            </w:r>
          </w:p>
        </w:tc>
        <w:tc>
          <w:tcPr>
            <w:tcW w:w="851" w:type="dxa"/>
            <w:shd w:val="clear" w:color="auto" w:fill="F2F9FC"/>
            <w:vAlign w:val="bottom"/>
          </w:tcPr>
          <w:p w14:paraId="71A205AF" w14:textId="733E4FA6" w:rsidR="00F011E2" w:rsidRPr="00625155" w:rsidRDefault="00660645" w:rsidP="00A16BD6">
            <w:pPr>
              <w:pStyle w:val="Summarytabletextrightaligned"/>
              <w:rPr>
                <w:szCs w:val="16"/>
              </w:rPr>
            </w:pPr>
            <w:r>
              <w:rPr>
                <w:szCs w:val="16"/>
              </w:rPr>
              <w:noBreakHyphen/>
            </w:r>
          </w:p>
        </w:tc>
        <w:tc>
          <w:tcPr>
            <w:tcW w:w="851" w:type="dxa"/>
            <w:vAlign w:val="bottom"/>
          </w:tcPr>
          <w:p w14:paraId="6FC104B4" w14:textId="00961FB1" w:rsidR="00F011E2" w:rsidRPr="00625155" w:rsidRDefault="00660645" w:rsidP="00A16BD6">
            <w:pPr>
              <w:pStyle w:val="Summarytabletextrightaligned"/>
              <w:rPr>
                <w:szCs w:val="16"/>
              </w:rPr>
            </w:pPr>
            <w:r>
              <w:rPr>
                <w:szCs w:val="16"/>
              </w:rPr>
              <w:noBreakHyphen/>
            </w:r>
          </w:p>
        </w:tc>
        <w:tc>
          <w:tcPr>
            <w:tcW w:w="851" w:type="dxa"/>
            <w:vAlign w:val="bottom"/>
          </w:tcPr>
          <w:p w14:paraId="5ADE7097" w14:textId="33A2327F" w:rsidR="00F011E2" w:rsidRPr="00625155" w:rsidRDefault="00660645" w:rsidP="00A16BD6">
            <w:pPr>
              <w:pStyle w:val="Summarytabletextrightaligned"/>
              <w:rPr>
                <w:szCs w:val="16"/>
              </w:rPr>
            </w:pPr>
            <w:r>
              <w:rPr>
                <w:szCs w:val="16"/>
              </w:rPr>
              <w:noBreakHyphen/>
            </w:r>
          </w:p>
        </w:tc>
        <w:tc>
          <w:tcPr>
            <w:tcW w:w="851" w:type="dxa"/>
            <w:vAlign w:val="bottom"/>
          </w:tcPr>
          <w:p w14:paraId="22922CCB" w14:textId="4843B97F" w:rsidR="00F011E2" w:rsidRPr="00625155" w:rsidRDefault="00660645" w:rsidP="00A16BD6">
            <w:pPr>
              <w:pStyle w:val="Summarytabletextrightaligned"/>
              <w:rPr>
                <w:szCs w:val="16"/>
              </w:rPr>
            </w:pPr>
            <w:r>
              <w:rPr>
                <w:szCs w:val="16"/>
              </w:rPr>
              <w:noBreakHyphen/>
            </w:r>
          </w:p>
        </w:tc>
      </w:tr>
      <w:tr w:rsidR="00F011E2" w:rsidRPr="00625155" w14:paraId="1008F0B6" w14:textId="77777777" w:rsidTr="00A16BD6">
        <w:tc>
          <w:tcPr>
            <w:tcW w:w="3470" w:type="dxa"/>
            <w:shd w:val="clear" w:color="auto" w:fill="auto"/>
            <w:vAlign w:val="bottom"/>
          </w:tcPr>
          <w:p w14:paraId="489F1192" w14:textId="03088B65" w:rsidR="00F011E2" w:rsidRPr="00625155" w:rsidRDefault="00F011E2" w:rsidP="00A16BD6">
            <w:pPr>
              <w:pStyle w:val="SummaryMeasureTitlewithTheme"/>
              <w:rPr>
                <w:color w:val="auto"/>
              </w:rPr>
            </w:pPr>
            <w:r w:rsidRPr="00625155">
              <w:rPr>
                <w:color w:val="auto"/>
              </w:rPr>
              <w:t xml:space="preserve">Pharmaceutical Benefits Scheme – </w:t>
            </w:r>
            <w:r w:rsidR="00C475CB">
              <w:rPr>
                <w:color w:val="auto"/>
              </w:rPr>
              <w:t>n</w:t>
            </w:r>
            <w:r w:rsidRPr="00625155">
              <w:rPr>
                <w:color w:val="auto"/>
              </w:rPr>
              <w:t>ew</w:t>
            </w:r>
            <w:r w:rsidR="00BF569A" w:rsidRPr="00625155">
              <w:rPr>
                <w:color w:val="auto"/>
              </w:rPr>
              <w:t> </w:t>
            </w:r>
            <w:r w:rsidRPr="00625155">
              <w:rPr>
                <w:color w:val="auto"/>
              </w:rPr>
              <w:t xml:space="preserve">and </w:t>
            </w:r>
            <w:r w:rsidR="00C475CB">
              <w:rPr>
                <w:color w:val="auto"/>
              </w:rPr>
              <w:t>a</w:t>
            </w:r>
            <w:r w:rsidRPr="00625155">
              <w:rPr>
                <w:color w:val="auto"/>
              </w:rPr>
              <w:t xml:space="preserve">mended </w:t>
            </w:r>
            <w:r w:rsidR="00C475CB">
              <w:rPr>
                <w:color w:val="auto"/>
              </w:rPr>
              <w:t>l</w:t>
            </w:r>
            <w:r w:rsidRPr="00625155">
              <w:rPr>
                <w:color w:val="auto"/>
              </w:rPr>
              <w:t>istings(</w:t>
            </w:r>
            <w:r w:rsidR="0011539C">
              <w:rPr>
                <w:color w:val="auto"/>
              </w:rPr>
              <w:t>r</w:t>
            </w:r>
            <w:r w:rsidRPr="00625155">
              <w:rPr>
                <w:color w:val="auto"/>
              </w:rPr>
              <w:t xml:space="preserve">) </w:t>
            </w:r>
          </w:p>
        </w:tc>
        <w:tc>
          <w:tcPr>
            <w:tcW w:w="851" w:type="dxa"/>
            <w:tcBorders>
              <w:bottom w:val="single" w:sz="4" w:space="0" w:color="auto"/>
            </w:tcBorders>
            <w:vAlign w:val="bottom"/>
          </w:tcPr>
          <w:p w14:paraId="1971E6C2" w14:textId="75D43C25"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shd w:val="clear" w:color="auto" w:fill="F2F9FC"/>
            <w:vAlign w:val="bottom"/>
          </w:tcPr>
          <w:p w14:paraId="41AE565A" w14:textId="25F80EC8"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5833852C" w14:textId="35E824DB"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4B88D7F4" w14:textId="54801721" w:rsidR="00F011E2" w:rsidRPr="00625155" w:rsidRDefault="00660645" w:rsidP="00A16BD6">
            <w:pPr>
              <w:pStyle w:val="Summarytabletextrightaligned"/>
              <w:rPr>
                <w:szCs w:val="16"/>
              </w:rPr>
            </w:pPr>
            <w:r>
              <w:rPr>
                <w:szCs w:val="16"/>
              </w:rPr>
              <w:noBreakHyphen/>
            </w:r>
          </w:p>
        </w:tc>
        <w:tc>
          <w:tcPr>
            <w:tcW w:w="851" w:type="dxa"/>
            <w:tcBorders>
              <w:bottom w:val="single" w:sz="4" w:space="0" w:color="auto"/>
            </w:tcBorders>
            <w:vAlign w:val="bottom"/>
          </w:tcPr>
          <w:p w14:paraId="5BD185DA" w14:textId="2A40A2EF" w:rsidR="00F011E2" w:rsidRPr="00625155" w:rsidRDefault="00660645" w:rsidP="00A16BD6">
            <w:pPr>
              <w:pStyle w:val="Summarytabletextrightaligned"/>
              <w:rPr>
                <w:szCs w:val="16"/>
              </w:rPr>
            </w:pPr>
            <w:r>
              <w:rPr>
                <w:szCs w:val="16"/>
              </w:rPr>
              <w:noBreakHyphen/>
            </w:r>
          </w:p>
        </w:tc>
      </w:tr>
      <w:tr w:rsidR="00F011E2" w:rsidRPr="00625155" w14:paraId="2A4965A9" w14:textId="77777777" w:rsidTr="00A16BD6">
        <w:tc>
          <w:tcPr>
            <w:tcW w:w="3470" w:type="dxa"/>
            <w:tcBorders>
              <w:bottom w:val="single" w:sz="4" w:space="0" w:color="auto"/>
            </w:tcBorders>
            <w:shd w:val="clear" w:color="auto" w:fill="auto"/>
            <w:vAlign w:val="bottom"/>
          </w:tcPr>
          <w:p w14:paraId="42073AE7" w14:textId="77777777" w:rsidR="00F011E2" w:rsidRPr="00625155" w:rsidRDefault="00F011E2" w:rsidP="00A16BD6">
            <w:pPr>
              <w:pStyle w:val="Summarytabletextleftalignedbold"/>
              <w:rPr>
                <w:color w:val="auto"/>
              </w:rPr>
            </w:pPr>
            <w:r w:rsidRPr="00625155">
              <w:rPr>
                <w:color w:val="auto"/>
              </w:rPr>
              <w:t>Portfolio total</w:t>
            </w:r>
          </w:p>
        </w:tc>
        <w:tc>
          <w:tcPr>
            <w:tcW w:w="851" w:type="dxa"/>
            <w:tcBorders>
              <w:top w:val="single" w:sz="4" w:space="0" w:color="auto"/>
              <w:bottom w:val="single" w:sz="4" w:space="0" w:color="auto"/>
            </w:tcBorders>
            <w:vAlign w:val="bottom"/>
          </w:tcPr>
          <w:p w14:paraId="2A6B8005" w14:textId="77777777" w:rsidR="00F011E2" w:rsidRPr="00625155" w:rsidRDefault="00F011E2" w:rsidP="00A16BD6">
            <w:pPr>
              <w:pStyle w:val="Summarytabletextrightalignedbold"/>
              <w:rPr>
                <w:bCs/>
                <w:szCs w:val="16"/>
              </w:rPr>
            </w:pPr>
            <w:r w:rsidRPr="00625155">
              <w:rPr>
                <w:bCs/>
                <w:szCs w:val="16"/>
              </w:rPr>
              <w:t>6.3</w:t>
            </w:r>
          </w:p>
        </w:tc>
        <w:tc>
          <w:tcPr>
            <w:tcW w:w="851" w:type="dxa"/>
            <w:tcBorders>
              <w:top w:val="single" w:sz="4" w:space="0" w:color="auto"/>
              <w:bottom w:val="single" w:sz="4" w:space="0" w:color="auto"/>
            </w:tcBorders>
            <w:shd w:val="clear" w:color="auto" w:fill="F2F9FC"/>
            <w:vAlign w:val="bottom"/>
          </w:tcPr>
          <w:p w14:paraId="791AF9F5" w14:textId="77777777" w:rsidR="00F011E2" w:rsidRPr="00625155" w:rsidRDefault="00F011E2" w:rsidP="00A16BD6">
            <w:pPr>
              <w:pStyle w:val="Summarytabletextrightalignedbold"/>
              <w:rPr>
                <w:bCs/>
                <w:szCs w:val="16"/>
              </w:rPr>
            </w:pPr>
            <w:r w:rsidRPr="00625155">
              <w:rPr>
                <w:bCs/>
                <w:szCs w:val="16"/>
              </w:rPr>
              <w:t>33.1</w:t>
            </w:r>
          </w:p>
        </w:tc>
        <w:tc>
          <w:tcPr>
            <w:tcW w:w="851" w:type="dxa"/>
            <w:tcBorders>
              <w:top w:val="single" w:sz="4" w:space="0" w:color="auto"/>
              <w:bottom w:val="single" w:sz="4" w:space="0" w:color="auto"/>
            </w:tcBorders>
            <w:vAlign w:val="bottom"/>
          </w:tcPr>
          <w:p w14:paraId="1AF42A69" w14:textId="772162A9" w:rsidR="00F011E2" w:rsidRPr="00625155" w:rsidRDefault="00660645" w:rsidP="00A16BD6">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240BC21B" w14:textId="7311CDD9" w:rsidR="00F011E2" w:rsidRPr="00625155" w:rsidRDefault="00660645" w:rsidP="00A16BD6">
            <w:pPr>
              <w:pStyle w:val="Summarytabletextrightalignedbold"/>
              <w:rPr>
                <w:bCs/>
                <w:szCs w:val="16"/>
              </w:rPr>
            </w:pPr>
            <w:r>
              <w:rPr>
                <w:bCs/>
                <w:szCs w:val="16"/>
              </w:rPr>
              <w:noBreakHyphen/>
            </w:r>
          </w:p>
        </w:tc>
        <w:tc>
          <w:tcPr>
            <w:tcW w:w="851" w:type="dxa"/>
            <w:tcBorders>
              <w:top w:val="single" w:sz="4" w:space="0" w:color="auto"/>
              <w:bottom w:val="single" w:sz="4" w:space="0" w:color="auto"/>
            </w:tcBorders>
            <w:vAlign w:val="bottom"/>
          </w:tcPr>
          <w:p w14:paraId="722255FB" w14:textId="2C3E15E1" w:rsidR="00F011E2" w:rsidRPr="00625155" w:rsidRDefault="00660645" w:rsidP="00A16BD6">
            <w:pPr>
              <w:pStyle w:val="Summarytabletextrightalignedbold"/>
              <w:rPr>
                <w:bCs/>
                <w:szCs w:val="16"/>
              </w:rPr>
            </w:pPr>
            <w:r>
              <w:rPr>
                <w:bCs/>
                <w:szCs w:val="16"/>
              </w:rPr>
              <w:noBreakHyphen/>
            </w:r>
          </w:p>
        </w:tc>
      </w:tr>
      <w:tr w:rsidR="00F011E2" w:rsidRPr="00625155" w14:paraId="455ACFEE" w14:textId="77777777" w:rsidTr="00A16BD6">
        <w:tc>
          <w:tcPr>
            <w:tcW w:w="3470" w:type="dxa"/>
            <w:tcBorders>
              <w:bottom w:val="single" w:sz="4" w:space="0" w:color="auto"/>
            </w:tcBorders>
            <w:shd w:val="clear" w:color="auto" w:fill="auto"/>
            <w:vAlign w:val="bottom"/>
          </w:tcPr>
          <w:p w14:paraId="5CCDD863" w14:textId="77777777" w:rsidR="00F011E2" w:rsidRPr="00625155" w:rsidRDefault="00F011E2" w:rsidP="00A16BD6">
            <w:pPr>
              <w:pStyle w:val="Summarytabletextleftalignedbold"/>
              <w:rPr>
                <w:color w:val="auto"/>
              </w:rPr>
            </w:pPr>
            <w:r w:rsidRPr="00625155">
              <w:rPr>
                <w:color w:val="auto"/>
              </w:rPr>
              <w:t>Total impact of payment measures(c)</w:t>
            </w:r>
          </w:p>
        </w:tc>
        <w:tc>
          <w:tcPr>
            <w:tcW w:w="851" w:type="dxa"/>
            <w:tcBorders>
              <w:top w:val="single" w:sz="4" w:space="0" w:color="auto"/>
              <w:bottom w:val="single" w:sz="4" w:space="0" w:color="auto"/>
            </w:tcBorders>
            <w:vAlign w:val="bottom"/>
          </w:tcPr>
          <w:p w14:paraId="5FF33F8E" w14:textId="77777777" w:rsidR="00F011E2" w:rsidRPr="00625155" w:rsidRDefault="00F011E2" w:rsidP="00A16BD6">
            <w:pPr>
              <w:pStyle w:val="Summarytabletextrightalignedbold"/>
              <w:rPr>
                <w:bCs/>
                <w:szCs w:val="16"/>
              </w:rPr>
            </w:pPr>
            <w:r w:rsidRPr="00625155">
              <w:rPr>
                <w:bCs/>
                <w:szCs w:val="16"/>
              </w:rPr>
              <w:t>166.5</w:t>
            </w:r>
          </w:p>
        </w:tc>
        <w:tc>
          <w:tcPr>
            <w:tcW w:w="851" w:type="dxa"/>
            <w:tcBorders>
              <w:top w:val="single" w:sz="4" w:space="0" w:color="auto"/>
              <w:bottom w:val="single" w:sz="4" w:space="0" w:color="auto"/>
            </w:tcBorders>
            <w:shd w:val="clear" w:color="auto" w:fill="F2F9FC"/>
            <w:vAlign w:val="bottom"/>
          </w:tcPr>
          <w:p w14:paraId="11DA1284" w14:textId="77777777" w:rsidR="00F011E2" w:rsidRPr="00625155" w:rsidRDefault="00F011E2" w:rsidP="00A16BD6">
            <w:pPr>
              <w:pStyle w:val="Summarytabletextrightalignedbold"/>
              <w:rPr>
                <w:bCs/>
                <w:szCs w:val="16"/>
              </w:rPr>
            </w:pPr>
            <w:r w:rsidRPr="00625155">
              <w:rPr>
                <w:bCs/>
                <w:szCs w:val="16"/>
              </w:rPr>
              <w:t>1,357.7</w:t>
            </w:r>
          </w:p>
        </w:tc>
        <w:tc>
          <w:tcPr>
            <w:tcW w:w="851" w:type="dxa"/>
            <w:tcBorders>
              <w:top w:val="single" w:sz="4" w:space="0" w:color="auto"/>
              <w:bottom w:val="single" w:sz="4" w:space="0" w:color="auto"/>
            </w:tcBorders>
            <w:vAlign w:val="bottom"/>
          </w:tcPr>
          <w:p w14:paraId="760502F4" w14:textId="1DF3760F" w:rsidR="00F011E2" w:rsidRPr="00625155" w:rsidRDefault="00660645" w:rsidP="00A16BD6">
            <w:pPr>
              <w:pStyle w:val="Summarytabletextrightalignedbold"/>
              <w:rPr>
                <w:bCs/>
                <w:szCs w:val="16"/>
              </w:rPr>
            </w:pPr>
            <w:r>
              <w:rPr>
                <w:bCs/>
                <w:szCs w:val="16"/>
              </w:rPr>
              <w:noBreakHyphen/>
            </w:r>
            <w:r w:rsidR="00F011E2" w:rsidRPr="00625155">
              <w:rPr>
                <w:bCs/>
                <w:szCs w:val="16"/>
              </w:rPr>
              <w:t>58.7</w:t>
            </w:r>
          </w:p>
        </w:tc>
        <w:tc>
          <w:tcPr>
            <w:tcW w:w="851" w:type="dxa"/>
            <w:tcBorders>
              <w:top w:val="single" w:sz="4" w:space="0" w:color="auto"/>
              <w:bottom w:val="single" w:sz="4" w:space="0" w:color="auto"/>
            </w:tcBorders>
            <w:vAlign w:val="bottom"/>
          </w:tcPr>
          <w:p w14:paraId="394F42E7" w14:textId="7417C289" w:rsidR="00F011E2" w:rsidRPr="00625155" w:rsidRDefault="00660645" w:rsidP="00A16BD6">
            <w:pPr>
              <w:pStyle w:val="Summarytabletextrightalignedbold"/>
              <w:rPr>
                <w:bCs/>
                <w:szCs w:val="16"/>
              </w:rPr>
            </w:pPr>
            <w:r>
              <w:rPr>
                <w:bCs/>
                <w:szCs w:val="16"/>
              </w:rPr>
              <w:noBreakHyphen/>
            </w:r>
            <w:r w:rsidR="00F011E2" w:rsidRPr="00625155">
              <w:rPr>
                <w:bCs/>
                <w:szCs w:val="16"/>
              </w:rPr>
              <w:t>88.0</w:t>
            </w:r>
          </w:p>
        </w:tc>
        <w:tc>
          <w:tcPr>
            <w:tcW w:w="851" w:type="dxa"/>
            <w:tcBorders>
              <w:top w:val="single" w:sz="4" w:space="0" w:color="auto"/>
              <w:bottom w:val="single" w:sz="4" w:space="0" w:color="auto"/>
            </w:tcBorders>
            <w:vAlign w:val="bottom"/>
          </w:tcPr>
          <w:p w14:paraId="30C65FED" w14:textId="5B494D72" w:rsidR="00F011E2" w:rsidRPr="00625155" w:rsidRDefault="00660645" w:rsidP="00A16BD6">
            <w:pPr>
              <w:pStyle w:val="Summarytabletextrightalignedbold"/>
              <w:rPr>
                <w:bCs/>
                <w:szCs w:val="16"/>
              </w:rPr>
            </w:pPr>
            <w:r>
              <w:rPr>
                <w:bCs/>
                <w:szCs w:val="16"/>
              </w:rPr>
              <w:noBreakHyphen/>
            </w:r>
            <w:r w:rsidR="00F011E2" w:rsidRPr="00625155">
              <w:rPr>
                <w:bCs/>
                <w:szCs w:val="16"/>
              </w:rPr>
              <w:t>112.1</w:t>
            </w:r>
          </w:p>
        </w:tc>
      </w:tr>
    </w:tbl>
    <w:p w14:paraId="23C10C97" w14:textId="77777777" w:rsidR="00E70D23" w:rsidRPr="00625155" w:rsidRDefault="00E70D23" w:rsidP="00E70D23">
      <w:pPr>
        <w:pStyle w:val="ChartandTableFootnote"/>
        <w:tabs>
          <w:tab w:val="clear" w:pos="709"/>
        </w:tabs>
        <w:ind w:left="284" w:hanging="284"/>
        <w:rPr>
          <w:color w:val="auto"/>
        </w:rPr>
      </w:pPr>
      <w:r w:rsidRPr="00625155">
        <w:rPr>
          <w:color w:val="auto"/>
        </w:rPr>
        <w:t>*</w:t>
      </w:r>
      <w:r w:rsidRPr="00625155">
        <w:rPr>
          <w:color w:val="auto"/>
        </w:rPr>
        <w:tab/>
        <w:t>The nature of the measure is such that a reliable estimate cannot be provided.</w:t>
      </w:r>
    </w:p>
    <w:p w14:paraId="400CB966" w14:textId="77777777" w:rsidR="00E70D23" w:rsidRPr="00625155" w:rsidRDefault="00E70D23" w:rsidP="00E70D23">
      <w:pPr>
        <w:pStyle w:val="ChartandTableFootnote"/>
        <w:tabs>
          <w:tab w:val="clear" w:pos="709"/>
        </w:tabs>
        <w:ind w:left="284" w:hanging="284"/>
        <w:rPr>
          <w:color w:val="auto"/>
        </w:rPr>
      </w:pPr>
      <w:r w:rsidRPr="00625155">
        <w:rPr>
          <w:color w:val="auto"/>
        </w:rPr>
        <w:t>..</w:t>
      </w:r>
      <w:r w:rsidRPr="00625155">
        <w:rPr>
          <w:color w:val="auto"/>
        </w:rPr>
        <w:tab/>
        <w:t>Not zero, but rounded to zero.</w:t>
      </w:r>
    </w:p>
    <w:p w14:paraId="433165E8" w14:textId="27DEC8DC" w:rsidR="00E70D23" w:rsidRPr="00625155" w:rsidRDefault="00660645" w:rsidP="00E70D23">
      <w:pPr>
        <w:pStyle w:val="ChartandTableFootnote"/>
        <w:tabs>
          <w:tab w:val="clear" w:pos="709"/>
        </w:tabs>
        <w:ind w:left="284" w:hanging="284"/>
        <w:rPr>
          <w:color w:val="auto"/>
        </w:rPr>
      </w:pPr>
      <w:r>
        <w:rPr>
          <w:color w:val="auto"/>
        </w:rPr>
        <w:noBreakHyphen/>
      </w:r>
      <w:r w:rsidR="00E70D23" w:rsidRPr="00625155">
        <w:rPr>
          <w:color w:val="auto"/>
        </w:rPr>
        <w:tab/>
        <w:t>Nil.</w:t>
      </w:r>
    </w:p>
    <w:p w14:paraId="2E76CD8A" w14:textId="77777777" w:rsidR="00F011E2" w:rsidRPr="0086616F" w:rsidRDefault="00F011E2" w:rsidP="0086616F">
      <w:pPr>
        <w:pStyle w:val="ChartandTableFootnoteAlpha"/>
        <w:tabs>
          <w:tab w:val="clear" w:pos="284"/>
        </w:tabs>
        <w:rPr>
          <w:rFonts w:eastAsia="Book Antiqua"/>
        </w:rPr>
      </w:pPr>
      <w:r w:rsidRPr="0086616F">
        <w:rPr>
          <w:rFonts w:eastAsia="Book Antiqua"/>
        </w:rPr>
        <w:t>(a)</w:t>
      </w:r>
      <w:r w:rsidRPr="0086616F">
        <w:rPr>
          <w:rFonts w:eastAsia="Book Antiqua"/>
          <w:color w:val="auto"/>
        </w:rPr>
        <w:tab/>
        <w:t>A minus sign before an estimate indicates a reduction in payments, no sign before an estimate indicates increased payments.</w:t>
      </w:r>
    </w:p>
    <w:p w14:paraId="1EB7F270" w14:textId="77777777" w:rsidR="00F011E2" w:rsidRPr="0086616F" w:rsidRDefault="00F011E2" w:rsidP="0086616F">
      <w:pPr>
        <w:pStyle w:val="ChartandTableFootnoteAlpha"/>
        <w:tabs>
          <w:tab w:val="clear" w:pos="284"/>
        </w:tabs>
        <w:rPr>
          <w:rFonts w:eastAsia="Book Antiqua"/>
        </w:rPr>
      </w:pPr>
      <w:r w:rsidRPr="0086616F">
        <w:rPr>
          <w:rFonts w:eastAsia="Book Antiqua"/>
        </w:rPr>
        <w:t>(b)</w:t>
      </w:r>
      <w:r w:rsidRPr="0086616F">
        <w:rPr>
          <w:rFonts w:eastAsia="Book Antiqua"/>
          <w:color w:val="auto"/>
        </w:rPr>
        <w:tab/>
        <w:t>These measures can also be found in the receipt measures summary table.</w:t>
      </w:r>
    </w:p>
    <w:p w14:paraId="11DC7B39" w14:textId="77777777" w:rsidR="00F011E2" w:rsidRPr="0086616F" w:rsidRDefault="00F011E2" w:rsidP="0086616F">
      <w:pPr>
        <w:pStyle w:val="ChartandTableFootnoteAlpha"/>
        <w:tabs>
          <w:tab w:val="clear" w:pos="284"/>
        </w:tabs>
        <w:rPr>
          <w:rFonts w:eastAsia="Book Antiqua"/>
        </w:rPr>
      </w:pPr>
      <w:r w:rsidRPr="0086616F">
        <w:rPr>
          <w:rFonts w:eastAsia="Book Antiqua"/>
        </w:rPr>
        <w:t>(c)</w:t>
      </w:r>
      <w:r w:rsidRPr="0086616F">
        <w:rPr>
          <w:rFonts w:eastAsia="Book Antiqua"/>
          <w:color w:val="auto"/>
        </w:rPr>
        <w:tab/>
        <w:t>Measures may not add due to rounding.</w:t>
      </w:r>
    </w:p>
    <w:p w14:paraId="732B03AC" w14:textId="65779B88" w:rsidR="00F011E2" w:rsidRPr="0086616F" w:rsidRDefault="00F011E2" w:rsidP="0086616F">
      <w:pPr>
        <w:pStyle w:val="ChartandTableFootnoteAlpha"/>
        <w:tabs>
          <w:tab w:val="clear" w:pos="284"/>
        </w:tabs>
        <w:rPr>
          <w:rFonts w:eastAsia="Book Antiqua"/>
        </w:rPr>
      </w:pPr>
      <w:r w:rsidRPr="0086616F">
        <w:rPr>
          <w:rFonts w:eastAsia="Book Antiqua"/>
        </w:rPr>
        <w:t>(g)</w:t>
      </w:r>
      <w:r w:rsidRPr="0086616F">
        <w:rPr>
          <w:rFonts w:eastAsia="Book Antiqua"/>
        </w:rPr>
        <w:tab/>
      </w:r>
      <w:r w:rsidR="00411AF0" w:rsidRPr="00AE26B0">
        <w:rPr>
          <w:rFonts w:eastAsia="Book Antiqua"/>
        </w:rPr>
        <w:t>This measure</w:t>
      </w:r>
      <w:r w:rsidR="00411AF0">
        <w:rPr>
          <w:rFonts w:eastAsia="Book Antiqua"/>
        </w:rPr>
        <w:t xml:space="preserve"> </w:t>
      </w:r>
      <w:r w:rsidR="00411AF0" w:rsidRPr="00595396">
        <w:rPr>
          <w:rFonts w:eastAsia="Book Antiqua"/>
        </w:rPr>
        <w:t>commits funding of $112.9 million over 6 years from 2021</w:t>
      </w:r>
      <w:r w:rsidR="00660645">
        <w:rPr>
          <w:rFonts w:eastAsia="Book Antiqua"/>
        </w:rPr>
        <w:noBreakHyphen/>
      </w:r>
      <w:r w:rsidR="00411AF0" w:rsidRPr="00595396">
        <w:rPr>
          <w:rFonts w:eastAsia="Book Antiqua"/>
        </w:rPr>
        <w:t xml:space="preserve">22. This measure was included as a </w:t>
      </w:r>
      <w:r w:rsidR="00660645">
        <w:rPr>
          <w:rFonts w:eastAsia="Book Antiqua"/>
        </w:rPr>
        <w:t>‘</w:t>
      </w:r>
      <w:r w:rsidR="00411AF0" w:rsidRPr="00595396">
        <w:rPr>
          <w:rFonts w:eastAsia="Book Antiqua"/>
        </w:rPr>
        <w:t>decision taken but not yet announced</w:t>
      </w:r>
      <w:r w:rsidR="00660645">
        <w:rPr>
          <w:rFonts w:eastAsia="Book Antiqua"/>
        </w:rPr>
        <w:t>’</w:t>
      </w:r>
      <w:r w:rsidR="00411AF0" w:rsidRPr="00595396">
        <w:rPr>
          <w:rFonts w:eastAsia="Book Antiqua"/>
        </w:rPr>
        <w:t xml:space="preserve"> in the 2021</w:t>
      </w:r>
      <w:r w:rsidR="00660645">
        <w:rPr>
          <w:rFonts w:eastAsia="Book Antiqua"/>
        </w:rPr>
        <w:noBreakHyphen/>
      </w:r>
      <w:r w:rsidR="00411AF0" w:rsidRPr="00595396">
        <w:rPr>
          <w:rFonts w:eastAsia="Book Antiqua"/>
        </w:rPr>
        <w:t>22 MYEFO.</w:t>
      </w:r>
      <w:r w:rsidR="00411AF0">
        <w:rPr>
          <w:rFonts w:eastAsia="Book Antiqua"/>
        </w:rPr>
        <w:t xml:space="preserve"> </w:t>
      </w:r>
    </w:p>
    <w:p w14:paraId="7FECFFAA" w14:textId="23C6C922" w:rsidR="00411AF0" w:rsidRDefault="00F011E2" w:rsidP="0086616F">
      <w:pPr>
        <w:pStyle w:val="ChartandTableFootnoteAlpha"/>
        <w:tabs>
          <w:tab w:val="clear" w:pos="284"/>
        </w:tabs>
        <w:rPr>
          <w:rFonts w:eastAsia="Book Antiqua"/>
        </w:rPr>
      </w:pPr>
      <w:r w:rsidRPr="0086616F">
        <w:rPr>
          <w:rFonts w:eastAsia="Book Antiqua"/>
        </w:rPr>
        <w:t>(h)</w:t>
      </w:r>
      <w:r w:rsidRPr="0086616F">
        <w:rPr>
          <w:rFonts w:eastAsia="Book Antiqua"/>
          <w:color w:val="auto"/>
        </w:rPr>
        <w:tab/>
      </w:r>
      <w:r w:rsidR="00411AF0" w:rsidRPr="00595396">
        <w:rPr>
          <w:rFonts w:eastAsia="Book Antiqua"/>
        </w:rPr>
        <w:t>This measure commits funding of $49.3 million for one year in 2023</w:t>
      </w:r>
      <w:r w:rsidR="00660645">
        <w:rPr>
          <w:rFonts w:eastAsia="Book Antiqua"/>
        </w:rPr>
        <w:noBreakHyphen/>
      </w:r>
      <w:r w:rsidR="00411AF0" w:rsidRPr="00595396">
        <w:rPr>
          <w:rFonts w:eastAsia="Book Antiqua"/>
        </w:rPr>
        <w:t>24 for the operations of the Royal Commission</w:t>
      </w:r>
      <w:r w:rsidR="00A73767">
        <w:rPr>
          <w:rFonts w:eastAsia="Book Antiqua"/>
        </w:rPr>
        <w:t xml:space="preserve">, </w:t>
      </w:r>
      <w:r w:rsidR="00A73767" w:rsidRPr="00A73767">
        <w:rPr>
          <w:rFonts w:eastAsia="Book Antiqua"/>
        </w:rPr>
        <w:t>which has been extended to 17 June 2024</w:t>
      </w:r>
      <w:r w:rsidR="00C901F4">
        <w:rPr>
          <w:rFonts w:eastAsia="Book Antiqua"/>
        </w:rPr>
        <w:t xml:space="preserve">. </w:t>
      </w:r>
    </w:p>
    <w:p w14:paraId="22F40DD4" w14:textId="2BE640D9" w:rsidR="00F011E2" w:rsidRPr="0086616F" w:rsidRDefault="00F011E2" w:rsidP="0086616F">
      <w:pPr>
        <w:pStyle w:val="ChartandTableFootnoteAlpha"/>
        <w:tabs>
          <w:tab w:val="clear" w:pos="284"/>
        </w:tabs>
        <w:rPr>
          <w:rFonts w:eastAsia="Book Antiqua"/>
        </w:rPr>
      </w:pPr>
      <w:r w:rsidRPr="0086616F">
        <w:rPr>
          <w:rFonts w:eastAsia="Book Antiqua"/>
        </w:rPr>
        <w:t>(</w:t>
      </w:r>
      <w:proofErr w:type="spellStart"/>
      <w:r w:rsidRPr="0086616F">
        <w:rPr>
          <w:rFonts w:eastAsia="Book Antiqua"/>
        </w:rPr>
        <w:t>i</w:t>
      </w:r>
      <w:proofErr w:type="spellEnd"/>
      <w:r w:rsidRPr="0086616F">
        <w:rPr>
          <w:rFonts w:eastAsia="Book Antiqua"/>
        </w:rPr>
        <w:t>)</w:t>
      </w:r>
      <w:r w:rsidRPr="0086616F">
        <w:rPr>
          <w:rFonts w:eastAsia="Book Antiqua"/>
          <w:color w:val="auto"/>
        </w:rPr>
        <w:tab/>
      </w:r>
      <w:r w:rsidR="00411AF0" w:rsidRPr="00595396">
        <w:rPr>
          <w:rFonts w:eastAsia="Book Antiqua"/>
        </w:rPr>
        <w:t>This measure commits funding of $100.5 mil</w:t>
      </w:r>
      <w:r w:rsidR="00411AF0">
        <w:rPr>
          <w:rFonts w:eastAsia="Book Antiqua"/>
        </w:rPr>
        <w:t>lion in 2021</w:t>
      </w:r>
      <w:r w:rsidR="00660645">
        <w:rPr>
          <w:rFonts w:eastAsia="Book Antiqua"/>
        </w:rPr>
        <w:noBreakHyphen/>
      </w:r>
      <w:r w:rsidR="00411AF0">
        <w:rPr>
          <w:rFonts w:eastAsia="Book Antiqua"/>
        </w:rPr>
        <w:t xml:space="preserve">22 for additional </w:t>
      </w:r>
      <w:r w:rsidR="00411AF0" w:rsidRPr="00595396">
        <w:rPr>
          <w:rFonts w:eastAsia="Book Antiqua"/>
        </w:rPr>
        <w:t>military assistance to Ukraine, including defensive equipment, rations, medical supplies, Bushmaster Protected Mobility Vehicles and anti</w:t>
      </w:r>
      <w:r w:rsidR="00660645">
        <w:rPr>
          <w:rFonts w:eastAsia="Book Antiqua"/>
        </w:rPr>
        <w:noBreakHyphen/>
      </w:r>
      <w:r w:rsidR="00411AF0" w:rsidRPr="00595396">
        <w:rPr>
          <w:rFonts w:eastAsia="Book Antiqua"/>
        </w:rPr>
        <w:t>armour weapons and ammunition, to be met from within the existing resources of the Department of Defence.</w:t>
      </w:r>
    </w:p>
    <w:p w14:paraId="07C3341E" w14:textId="38EEF300" w:rsidR="00F011E2" w:rsidRPr="0086616F" w:rsidRDefault="00F011E2" w:rsidP="0086616F">
      <w:pPr>
        <w:pStyle w:val="ChartandTableFootnoteAlpha"/>
        <w:tabs>
          <w:tab w:val="clear" w:pos="284"/>
        </w:tabs>
        <w:rPr>
          <w:rFonts w:eastAsia="Book Antiqua"/>
        </w:rPr>
      </w:pPr>
      <w:r w:rsidRPr="0086616F">
        <w:rPr>
          <w:rFonts w:eastAsia="Book Antiqua"/>
        </w:rPr>
        <w:t>(j)</w:t>
      </w:r>
      <w:r w:rsidRPr="0086616F">
        <w:rPr>
          <w:rFonts w:eastAsia="Book Antiqua"/>
          <w:color w:val="auto"/>
        </w:rPr>
        <w:tab/>
      </w:r>
      <w:r w:rsidR="00411AF0" w:rsidRPr="00AE26B0">
        <w:rPr>
          <w:rFonts w:eastAsia="Book Antiqua"/>
        </w:rPr>
        <w:t>This measure</w:t>
      </w:r>
      <w:r w:rsidR="00411AF0">
        <w:rPr>
          <w:rFonts w:eastAsia="Book Antiqua"/>
        </w:rPr>
        <w:t xml:space="preserve"> </w:t>
      </w:r>
      <w:r w:rsidR="00411AF0" w:rsidRPr="00595396">
        <w:rPr>
          <w:rFonts w:eastAsia="Book Antiqua"/>
        </w:rPr>
        <w:t xml:space="preserve">commits funding of $124.4 million </w:t>
      </w:r>
      <w:r w:rsidR="00411E51">
        <w:rPr>
          <w:rFonts w:eastAsia="Book Antiqua"/>
        </w:rPr>
        <w:t>over</w:t>
      </w:r>
      <w:r w:rsidR="00411E51" w:rsidRPr="00595396">
        <w:rPr>
          <w:rFonts w:eastAsia="Book Antiqua"/>
        </w:rPr>
        <w:t xml:space="preserve"> </w:t>
      </w:r>
      <w:r w:rsidR="00411AF0" w:rsidRPr="00595396">
        <w:rPr>
          <w:rFonts w:eastAsia="Book Antiqua"/>
        </w:rPr>
        <w:t>3 years from 2021</w:t>
      </w:r>
      <w:r w:rsidR="00660645">
        <w:rPr>
          <w:rFonts w:eastAsia="Book Antiqua"/>
        </w:rPr>
        <w:noBreakHyphen/>
      </w:r>
      <w:r w:rsidR="00411AF0" w:rsidRPr="00595396">
        <w:rPr>
          <w:rFonts w:eastAsia="Book Antiqua"/>
        </w:rPr>
        <w:t xml:space="preserve">22. The cost of this measure will be met from within the existing resources of the Department of Defence. </w:t>
      </w:r>
      <w:r w:rsidR="00411E51">
        <w:rPr>
          <w:rFonts w:eastAsia="Book Antiqua"/>
        </w:rPr>
        <w:t>This</w:t>
      </w:r>
      <w:r w:rsidR="00411AF0" w:rsidRPr="00595396">
        <w:rPr>
          <w:rFonts w:eastAsia="Book Antiqua"/>
        </w:rPr>
        <w:t xml:space="preserve"> measure was included as a </w:t>
      </w:r>
      <w:r w:rsidR="00660645">
        <w:rPr>
          <w:rFonts w:eastAsia="Book Antiqua"/>
        </w:rPr>
        <w:t>‘</w:t>
      </w:r>
      <w:r w:rsidR="00411AF0" w:rsidRPr="00595396">
        <w:rPr>
          <w:rFonts w:eastAsia="Book Antiqua"/>
        </w:rPr>
        <w:t>decision taken but not yet announced</w:t>
      </w:r>
      <w:r w:rsidR="00660645">
        <w:rPr>
          <w:rFonts w:eastAsia="Book Antiqua"/>
        </w:rPr>
        <w:t>’</w:t>
      </w:r>
      <w:r w:rsidR="00411AF0" w:rsidRPr="00595396">
        <w:rPr>
          <w:rFonts w:eastAsia="Book Antiqua"/>
        </w:rPr>
        <w:t xml:space="preserve"> in the 2022</w:t>
      </w:r>
      <w:r w:rsidR="00660645">
        <w:rPr>
          <w:rFonts w:eastAsia="Book Antiqua"/>
        </w:rPr>
        <w:noBreakHyphen/>
      </w:r>
      <w:r w:rsidR="00411AF0" w:rsidRPr="00595396">
        <w:rPr>
          <w:rFonts w:eastAsia="Book Antiqua"/>
        </w:rPr>
        <w:t>23 Budget.</w:t>
      </w:r>
    </w:p>
    <w:p w14:paraId="6A3336A8" w14:textId="38A04437" w:rsidR="00411AF0" w:rsidRDefault="00F011E2" w:rsidP="0086616F">
      <w:pPr>
        <w:pStyle w:val="ChartandTableFootnoteAlpha"/>
        <w:tabs>
          <w:tab w:val="clear" w:pos="284"/>
        </w:tabs>
        <w:rPr>
          <w:rFonts w:eastAsia="Book Antiqua"/>
        </w:rPr>
      </w:pPr>
      <w:r w:rsidRPr="0086616F">
        <w:rPr>
          <w:rFonts w:eastAsia="Book Antiqua"/>
        </w:rPr>
        <w:t>(k)</w:t>
      </w:r>
      <w:r w:rsidRPr="0086616F">
        <w:rPr>
          <w:rFonts w:eastAsia="Book Antiqua"/>
          <w:color w:val="auto"/>
        </w:rPr>
        <w:tab/>
      </w:r>
      <w:r w:rsidR="00A73767" w:rsidRPr="00A73767">
        <w:rPr>
          <w:rFonts w:eastAsia="Book Antiqua"/>
        </w:rPr>
        <w:t>This measure commits funding to provide one</w:t>
      </w:r>
      <w:r w:rsidR="00660645">
        <w:rPr>
          <w:rFonts w:eastAsia="Book Antiqua"/>
        </w:rPr>
        <w:noBreakHyphen/>
      </w:r>
      <w:r w:rsidR="00A73767" w:rsidRPr="00A73767">
        <w:rPr>
          <w:rFonts w:eastAsia="Book Antiqua"/>
        </w:rPr>
        <w:t>off payments to recipients of Defence Force Retirement and Death Benef</w:t>
      </w:r>
      <w:r w:rsidR="00B5029F">
        <w:rPr>
          <w:rFonts w:eastAsia="Book Antiqua"/>
        </w:rPr>
        <w:t xml:space="preserve">its </w:t>
      </w:r>
      <w:r w:rsidR="007C2D45">
        <w:rPr>
          <w:rFonts w:eastAsia="Book Antiqua"/>
        </w:rPr>
        <w:t xml:space="preserve">pensions </w:t>
      </w:r>
      <w:r w:rsidR="00B5029F">
        <w:rPr>
          <w:rFonts w:eastAsia="Book Antiqua"/>
        </w:rPr>
        <w:t>who have been over</w:t>
      </w:r>
      <w:r w:rsidR="00660645">
        <w:rPr>
          <w:rFonts w:eastAsia="Book Antiqua"/>
        </w:rPr>
        <w:noBreakHyphen/>
      </w:r>
      <w:r w:rsidR="00A73767" w:rsidRPr="00A73767">
        <w:rPr>
          <w:rFonts w:eastAsia="Book Antiqua"/>
        </w:rPr>
        <w:t>paid as a result of the incorrect application of indexa</w:t>
      </w:r>
      <w:r w:rsidR="00B5029F">
        <w:rPr>
          <w:rFonts w:eastAsia="Book Antiqua"/>
        </w:rPr>
        <w:t>tion to their</w:t>
      </w:r>
      <w:r w:rsidR="00D64230">
        <w:rPr>
          <w:rFonts w:eastAsia="Book Antiqua"/>
        </w:rPr>
        <w:t xml:space="preserve"> pension</w:t>
      </w:r>
      <w:r w:rsidR="001F6379">
        <w:rPr>
          <w:rFonts w:eastAsia="Book Antiqua"/>
        </w:rPr>
        <w:t>s</w:t>
      </w:r>
      <w:r w:rsidR="00A73767" w:rsidRPr="00A73767">
        <w:rPr>
          <w:rFonts w:eastAsia="Book Antiqua"/>
        </w:rPr>
        <w:t>. The cost of this measure will be met from within the existing resources of the Department of Defence.</w:t>
      </w:r>
    </w:p>
    <w:p w14:paraId="0042E8FB" w14:textId="14F323DD" w:rsidR="00F011E2" w:rsidRPr="0086616F" w:rsidRDefault="00F011E2" w:rsidP="0086616F">
      <w:pPr>
        <w:pStyle w:val="ChartandTableFootnoteAlpha"/>
        <w:tabs>
          <w:tab w:val="clear" w:pos="284"/>
        </w:tabs>
        <w:rPr>
          <w:rFonts w:eastAsia="Book Antiqua"/>
        </w:rPr>
      </w:pPr>
      <w:r w:rsidRPr="0086616F">
        <w:rPr>
          <w:rFonts w:eastAsia="Book Antiqua"/>
        </w:rPr>
        <w:t>(l)</w:t>
      </w:r>
      <w:r w:rsidRPr="0086616F">
        <w:rPr>
          <w:rFonts w:eastAsia="Book Antiqua"/>
          <w:color w:val="auto"/>
        </w:rPr>
        <w:tab/>
      </w:r>
      <w:r w:rsidR="00A73767" w:rsidRPr="00A73767">
        <w:rPr>
          <w:rFonts w:eastAsia="Book Antiqua"/>
        </w:rPr>
        <w:t>This measure commits funding of $5.0 million in 2021</w:t>
      </w:r>
      <w:r w:rsidR="00660645">
        <w:rPr>
          <w:rFonts w:eastAsia="Book Antiqua"/>
        </w:rPr>
        <w:noBreakHyphen/>
      </w:r>
      <w:r w:rsidR="00A73767" w:rsidRPr="00A73767">
        <w:rPr>
          <w:rFonts w:eastAsia="Book Antiqua"/>
        </w:rPr>
        <w:t>22 to the Victorian College of the Arts to develop a virtual production pilot program. The cost of this measure will be met from within the existing resources of the Department of Education, Skills and Employment.</w:t>
      </w:r>
    </w:p>
    <w:p w14:paraId="21F09A29" w14:textId="36862249" w:rsidR="00F011E2" w:rsidRPr="0086616F" w:rsidRDefault="00F011E2" w:rsidP="0086616F">
      <w:pPr>
        <w:pStyle w:val="ChartandTableFootnoteAlpha"/>
        <w:tabs>
          <w:tab w:val="clear" w:pos="284"/>
        </w:tabs>
        <w:rPr>
          <w:rFonts w:eastAsia="Book Antiqua"/>
        </w:rPr>
      </w:pPr>
      <w:r w:rsidRPr="0086616F">
        <w:rPr>
          <w:rFonts w:eastAsia="Book Antiqua"/>
        </w:rPr>
        <w:t>(m)</w:t>
      </w:r>
      <w:r w:rsidRPr="0086616F">
        <w:rPr>
          <w:rFonts w:eastAsia="Book Antiqua"/>
          <w:color w:val="auto"/>
        </w:rPr>
        <w:tab/>
      </w:r>
      <w:r w:rsidR="00411AF0" w:rsidRPr="00595396">
        <w:rPr>
          <w:rFonts w:eastAsia="Book Antiqua"/>
        </w:rPr>
        <w:t>This measure will provide savings of $269.9 million over 5 years from 2021</w:t>
      </w:r>
      <w:r w:rsidR="00660645">
        <w:rPr>
          <w:rFonts w:eastAsia="Book Antiqua"/>
        </w:rPr>
        <w:noBreakHyphen/>
      </w:r>
      <w:r w:rsidR="00411AF0" w:rsidRPr="00595396">
        <w:rPr>
          <w:rFonts w:eastAsia="Book Antiqua"/>
        </w:rPr>
        <w:t>22 and $10.0 million ongoing from 2026</w:t>
      </w:r>
      <w:r w:rsidR="00660645">
        <w:rPr>
          <w:rFonts w:eastAsia="Book Antiqua"/>
        </w:rPr>
        <w:noBreakHyphen/>
      </w:r>
      <w:r w:rsidR="00411AF0" w:rsidRPr="00595396">
        <w:rPr>
          <w:rFonts w:eastAsia="Book Antiqua"/>
        </w:rPr>
        <w:t>27 by not proceeding with contingency measures to support the implementation of Workforce Australia</w:t>
      </w:r>
      <w:r w:rsidR="004F79EE">
        <w:rPr>
          <w:rFonts w:eastAsia="Book Antiqua"/>
        </w:rPr>
        <w:t>,</w:t>
      </w:r>
      <w:r w:rsidR="00411AF0" w:rsidRPr="00595396">
        <w:rPr>
          <w:rFonts w:eastAsia="Book Antiqua"/>
        </w:rPr>
        <w:t xml:space="preserve"> which are no longer required as the </w:t>
      </w:r>
      <w:r w:rsidR="00411AF0" w:rsidRPr="00E87DE3">
        <w:rPr>
          <w:rFonts w:eastAsia="Book Antiqua"/>
          <w:i/>
        </w:rPr>
        <w:t>Social Security Legislation Amendment (Streamlines Participation Requirements and Other Measures) Bill 2022</w:t>
      </w:r>
      <w:r w:rsidR="00411AF0" w:rsidRPr="00595396">
        <w:rPr>
          <w:rFonts w:eastAsia="Book Antiqua"/>
        </w:rPr>
        <w:t> received Royal Assent on 1 April 2022.</w:t>
      </w:r>
    </w:p>
    <w:p w14:paraId="2656DA7C" w14:textId="620E21E2" w:rsidR="00F011E2" w:rsidRPr="0086616F" w:rsidRDefault="00F011E2" w:rsidP="0086616F">
      <w:pPr>
        <w:pStyle w:val="ChartandTableFootnoteAlpha"/>
        <w:tabs>
          <w:tab w:val="clear" w:pos="284"/>
        </w:tabs>
        <w:rPr>
          <w:rFonts w:eastAsia="Book Antiqua"/>
        </w:rPr>
      </w:pPr>
      <w:r w:rsidRPr="0086616F">
        <w:rPr>
          <w:rFonts w:eastAsia="Book Antiqua"/>
        </w:rPr>
        <w:t>(n)</w:t>
      </w:r>
      <w:r w:rsidRPr="0086616F">
        <w:rPr>
          <w:rFonts w:eastAsia="Book Antiqua"/>
          <w:color w:val="auto"/>
        </w:rPr>
        <w:tab/>
      </w:r>
      <w:r w:rsidR="00411AF0" w:rsidRPr="00595396">
        <w:rPr>
          <w:rFonts w:eastAsia="Book Antiqua"/>
        </w:rPr>
        <w:t>This measure extends the Facilitated Commercial Flights Program and the Hardship Program for 3</w:t>
      </w:r>
      <w:r w:rsidR="00200A78">
        <w:rPr>
          <w:rFonts w:eastAsia="Book Antiqua"/>
        </w:rPr>
        <w:t> </w:t>
      </w:r>
      <w:r w:rsidR="00411AF0" w:rsidRPr="00595396">
        <w:rPr>
          <w:rFonts w:eastAsia="Book Antiqua"/>
        </w:rPr>
        <w:t xml:space="preserve">months to 30 June 2022. The cost of this measure will be met from within existing </w:t>
      </w:r>
      <w:r w:rsidR="00D6093E">
        <w:rPr>
          <w:rFonts w:eastAsia="Book Antiqua"/>
        </w:rPr>
        <w:t>p</w:t>
      </w:r>
      <w:r w:rsidR="00411AF0" w:rsidRPr="00595396">
        <w:rPr>
          <w:rFonts w:eastAsia="Book Antiqua"/>
        </w:rPr>
        <w:t>rogram funding.</w:t>
      </w:r>
    </w:p>
    <w:p w14:paraId="6D0882C3" w14:textId="2E3FB971" w:rsidR="00F011E2" w:rsidRPr="006F1610" w:rsidRDefault="00F011E2" w:rsidP="0086616F">
      <w:pPr>
        <w:pStyle w:val="ChartandTableFootnoteAlpha"/>
        <w:tabs>
          <w:tab w:val="clear" w:pos="284"/>
        </w:tabs>
        <w:rPr>
          <w:rFonts w:eastAsia="Book Antiqua"/>
        </w:rPr>
      </w:pPr>
      <w:r w:rsidRPr="0086616F">
        <w:rPr>
          <w:rFonts w:eastAsia="Book Antiqua"/>
        </w:rPr>
        <w:t>(o)</w:t>
      </w:r>
      <w:r w:rsidRPr="0086616F">
        <w:rPr>
          <w:rFonts w:eastAsia="Book Antiqua"/>
          <w:color w:val="auto"/>
        </w:rPr>
        <w:tab/>
      </w:r>
      <w:r w:rsidR="00411AF0" w:rsidRPr="00390377">
        <w:rPr>
          <w:rFonts w:eastAsia="Book Antiqua"/>
        </w:rPr>
        <w:t>This measure commits funding of $11.4 million over 4 years from 2022</w:t>
      </w:r>
      <w:r w:rsidR="00660645">
        <w:rPr>
          <w:rFonts w:eastAsia="Book Antiqua"/>
        </w:rPr>
        <w:noBreakHyphen/>
      </w:r>
      <w:r w:rsidR="00411AF0" w:rsidRPr="00390377">
        <w:rPr>
          <w:rFonts w:eastAsia="Book Antiqua"/>
        </w:rPr>
        <w:t>23 to undertake remediation work.</w:t>
      </w:r>
    </w:p>
    <w:p w14:paraId="7A8D6A1F" w14:textId="288142D9" w:rsidR="00F011E2" w:rsidRPr="006F1610" w:rsidRDefault="00F011E2" w:rsidP="0086616F">
      <w:pPr>
        <w:pStyle w:val="ChartandTableFootnoteAlpha"/>
        <w:tabs>
          <w:tab w:val="clear" w:pos="284"/>
        </w:tabs>
        <w:rPr>
          <w:rFonts w:eastAsia="Book Antiqua"/>
        </w:rPr>
      </w:pPr>
      <w:r w:rsidRPr="006F1610">
        <w:rPr>
          <w:rFonts w:eastAsia="Book Antiqua"/>
        </w:rPr>
        <w:t>(p)</w:t>
      </w:r>
      <w:r w:rsidRPr="006F1610">
        <w:rPr>
          <w:rFonts w:eastAsia="Book Antiqua"/>
          <w:color w:val="auto"/>
        </w:rPr>
        <w:tab/>
      </w:r>
      <w:r w:rsidR="00A73767" w:rsidRPr="00A73767">
        <w:rPr>
          <w:rFonts w:eastAsia="Book Antiqua"/>
        </w:rPr>
        <w:t>This measure changes the number of COVID</w:t>
      </w:r>
      <w:r w:rsidR="00660645">
        <w:rPr>
          <w:rFonts w:eastAsia="Book Antiqua"/>
        </w:rPr>
        <w:noBreakHyphen/>
      </w:r>
      <w:r w:rsidR="00A73767" w:rsidRPr="00A73767">
        <w:rPr>
          <w:rFonts w:eastAsia="Book Antiqua"/>
        </w:rPr>
        <w:t>19 treatment courses the Government will purchase under existing advance purchase agreements that were funded in the 2022</w:t>
      </w:r>
      <w:r w:rsidR="00660645">
        <w:rPr>
          <w:rFonts w:eastAsia="Book Antiqua"/>
        </w:rPr>
        <w:noBreakHyphen/>
      </w:r>
      <w:r w:rsidR="00A73767" w:rsidRPr="00A73767">
        <w:rPr>
          <w:rFonts w:eastAsia="Book Antiqua"/>
        </w:rPr>
        <w:t>23 Budget. These changes offset the cost of listing one of the treatments on the Pharmaceutical Benefits Scheme (PBS) and provide additional funding of around $550.0 million in the program estimates for purchasing future COVID</w:t>
      </w:r>
      <w:r w:rsidR="00660645">
        <w:rPr>
          <w:rFonts w:eastAsia="Book Antiqua"/>
        </w:rPr>
        <w:noBreakHyphen/>
      </w:r>
      <w:r w:rsidR="00A73767" w:rsidRPr="00A73767">
        <w:rPr>
          <w:rFonts w:eastAsia="Book Antiqua"/>
        </w:rPr>
        <w:t xml:space="preserve">19 treatments. </w:t>
      </w:r>
      <w:r w:rsidR="00B5029F">
        <w:rPr>
          <w:rFonts w:eastAsia="Book Antiqua"/>
        </w:rPr>
        <w:t xml:space="preserve">As the </w:t>
      </w:r>
      <w:r w:rsidR="00A73767" w:rsidRPr="00A73767">
        <w:rPr>
          <w:rFonts w:eastAsia="Book Antiqua"/>
        </w:rPr>
        <w:t>Commonwealth</w:t>
      </w:r>
      <w:r w:rsidR="00B5029F">
        <w:rPr>
          <w:rFonts w:eastAsia="Book Antiqua"/>
        </w:rPr>
        <w:t xml:space="preserve"> will purchase the treatments and</w:t>
      </w:r>
      <w:r w:rsidR="00A73767" w:rsidRPr="00A73767">
        <w:rPr>
          <w:rFonts w:eastAsia="Book Antiqua"/>
        </w:rPr>
        <w:t xml:space="preserve"> is the responsible party for </w:t>
      </w:r>
      <w:r w:rsidR="00B5029F">
        <w:rPr>
          <w:rFonts w:eastAsia="Book Antiqua"/>
        </w:rPr>
        <w:t>PBS listing purposes</w:t>
      </w:r>
      <w:r w:rsidR="00A73767" w:rsidRPr="00A73767">
        <w:rPr>
          <w:rFonts w:eastAsia="Book Antiqua"/>
        </w:rPr>
        <w:t xml:space="preserve"> for the period 1 May 2022 to 30 June 2023</w:t>
      </w:r>
      <w:r w:rsidR="00B5029F">
        <w:rPr>
          <w:rFonts w:eastAsia="Book Antiqua"/>
        </w:rPr>
        <w:t xml:space="preserve">, </w:t>
      </w:r>
      <w:r w:rsidR="00F53488">
        <w:rPr>
          <w:rFonts w:eastAsia="Book Antiqua"/>
        </w:rPr>
        <w:t>this measure also has</w:t>
      </w:r>
      <w:r w:rsidR="00A73767" w:rsidRPr="00A73767">
        <w:rPr>
          <w:rFonts w:eastAsia="Book Antiqua"/>
        </w:rPr>
        <w:t xml:space="preserve"> a positive impact </w:t>
      </w:r>
      <w:r w:rsidR="00764FAC">
        <w:rPr>
          <w:rFonts w:eastAsia="Book Antiqua"/>
        </w:rPr>
        <w:t xml:space="preserve">on receipts </w:t>
      </w:r>
      <w:r w:rsidR="00A73767" w:rsidRPr="00A73767">
        <w:rPr>
          <w:rFonts w:eastAsia="Book Antiqua"/>
        </w:rPr>
        <w:t>of $1.1</w:t>
      </w:r>
      <w:r w:rsidR="00F53488">
        <w:rPr>
          <w:rFonts w:eastAsia="Book Antiqua"/>
        </w:rPr>
        <w:t> </w:t>
      </w:r>
      <w:r w:rsidR="00A73767" w:rsidRPr="00A73767">
        <w:rPr>
          <w:rFonts w:eastAsia="Book Antiqua"/>
        </w:rPr>
        <w:t>billion.</w:t>
      </w:r>
    </w:p>
    <w:p w14:paraId="1E2D2E0F" w14:textId="2D0F2FB7" w:rsidR="00F011E2" w:rsidRPr="006F1610" w:rsidRDefault="00F011E2" w:rsidP="0086616F">
      <w:pPr>
        <w:pStyle w:val="ChartandTableFootnoteAlpha"/>
        <w:tabs>
          <w:tab w:val="clear" w:pos="284"/>
        </w:tabs>
        <w:rPr>
          <w:rFonts w:eastAsia="Book Antiqua"/>
        </w:rPr>
      </w:pPr>
      <w:r w:rsidRPr="006F1610">
        <w:rPr>
          <w:rFonts w:eastAsia="Book Antiqua"/>
        </w:rPr>
        <w:t>(q)</w:t>
      </w:r>
      <w:r w:rsidRPr="006F1610">
        <w:rPr>
          <w:rFonts w:eastAsia="Book Antiqua"/>
          <w:color w:val="auto"/>
        </w:rPr>
        <w:tab/>
      </w:r>
      <w:r w:rsidR="00411AF0" w:rsidRPr="0047339C">
        <w:rPr>
          <w:rFonts w:eastAsia="Book Antiqua"/>
        </w:rPr>
        <w:t>This measure commits additional funding of $8.0 million for 2 years from 2022</w:t>
      </w:r>
      <w:r w:rsidR="00660645">
        <w:rPr>
          <w:rFonts w:eastAsia="Book Antiqua"/>
        </w:rPr>
        <w:noBreakHyphen/>
      </w:r>
      <w:r w:rsidR="00411AF0" w:rsidRPr="0047339C">
        <w:rPr>
          <w:rFonts w:eastAsia="Book Antiqua"/>
        </w:rPr>
        <w:t>23 to be met from within the existing resources of the Department of Health.</w:t>
      </w:r>
    </w:p>
    <w:p w14:paraId="464CC699" w14:textId="5E039380" w:rsidR="00F011E2" w:rsidRPr="006F1610" w:rsidRDefault="00F011E2" w:rsidP="0086616F">
      <w:pPr>
        <w:pStyle w:val="ChartandTableFootnoteAlpha"/>
        <w:tabs>
          <w:tab w:val="clear" w:pos="284"/>
        </w:tabs>
        <w:rPr>
          <w:rFonts w:eastAsia="Book Antiqua"/>
        </w:rPr>
      </w:pPr>
      <w:r w:rsidRPr="006F1610">
        <w:rPr>
          <w:rFonts w:eastAsia="Book Antiqua"/>
        </w:rPr>
        <w:t>(r)</w:t>
      </w:r>
      <w:r w:rsidRPr="006F1610">
        <w:rPr>
          <w:rFonts w:eastAsia="Book Antiqua"/>
          <w:color w:val="auto"/>
        </w:rPr>
        <w:tab/>
      </w:r>
      <w:r w:rsidR="00411AF0" w:rsidRPr="0047339C">
        <w:rPr>
          <w:rFonts w:eastAsia="Book Antiqua"/>
        </w:rPr>
        <w:t>This measure commits funding of $69.5 million over 5 years from 2021</w:t>
      </w:r>
      <w:r w:rsidR="00660645">
        <w:rPr>
          <w:rFonts w:eastAsia="Book Antiqua"/>
        </w:rPr>
        <w:noBreakHyphen/>
      </w:r>
      <w:r w:rsidR="00411AF0" w:rsidRPr="0047339C">
        <w:rPr>
          <w:rFonts w:eastAsia="Book Antiqua"/>
        </w:rPr>
        <w:t>22 and $21.3 million per year ongoing. Partial costs will be met from the efficiencies created from the 2021</w:t>
      </w:r>
      <w:r w:rsidR="00660645">
        <w:rPr>
          <w:rFonts w:eastAsia="Book Antiqua"/>
        </w:rPr>
        <w:noBreakHyphen/>
      </w:r>
      <w:r w:rsidR="00411AF0" w:rsidRPr="0047339C">
        <w:rPr>
          <w:rFonts w:eastAsia="Book Antiqua"/>
        </w:rPr>
        <w:t xml:space="preserve">22 MYEFO measure </w:t>
      </w:r>
      <w:r w:rsidR="00411AF0" w:rsidRPr="00E87DE3">
        <w:rPr>
          <w:rFonts w:eastAsia="Book Antiqua"/>
          <w:i/>
        </w:rPr>
        <w:t>Improving Access to Medicines</w:t>
      </w:r>
      <w:r w:rsidR="00C901F4">
        <w:rPr>
          <w:rFonts w:eastAsia="Book Antiqua"/>
          <w:i/>
        </w:rPr>
        <w:t xml:space="preserve"> – </w:t>
      </w:r>
      <w:r w:rsidR="00411AF0" w:rsidRPr="00E87DE3">
        <w:rPr>
          <w:rFonts w:eastAsia="Book Antiqua"/>
          <w:i/>
        </w:rPr>
        <w:t>new strategic agreements with</w:t>
      </w:r>
      <w:r w:rsidR="00411AF0" w:rsidRPr="0047339C">
        <w:rPr>
          <w:rFonts w:eastAsia="Book Antiqua"/>
        </w:rPr>
        <w:t xml:space="preserve"> </w:t>
      </w:r>
      <w:r w:rsidR="00411AF0" w:rsidRPr="0047339C">
        <w:rPr>
          <w:rFonts w:eastAsia="Book Antiqua"/>
          <w:i/>
        </w:rPr>
        <w:t>Medicines Australia and the Generic and Biosimilar Medicines Association</w:t>
      </w:r>
      <w:r w:rsidR="00411AF0" w:rsidRPr="0047339C">
        <w:rPr>
          <w:rFonts w:eastAsia="Book Antiqua"/>
        </w:rPr>
        <w:t xml:space="preserve">. The revenue from rebates negotiated as part of purchase agreements is included in the estimates but not in the measure to protect commercial </w:t>
      </w:r>
      <w:r w:rsidR="004F79EE">
        <w:rPr>
          <w:rFonts w:eastAsia="Book Antiqua"/>
        </w:rPr>
        <w:t>sensitivities</w:t>
      </w:r>
      <w:r w:rsidR="00411AF0" w:rsidRPr="0047339C">
        <w:rPr>
          <w:rFonts w:eastAsia="Book Antiqua"/>
        </w:rPr>
        <w:t>.</w:t>
      </w:r>
    </w:p>
    <w:p w14:paraId="0A6BAA8F" w14:textId="35A3AB36" w:rsidR="00F011E2" w:rsidRPr="006F1610" w:rsidRDefault="00F011E2" w:rsidP="0086616F">
      <w:pPr>
        <w:pStyle w:val="ChartandTableFootnoteAlpha"/>
        <w:tabs>
          <w:tab w:val="clear" w:pos="284"/>
        </w:tabs>
        <w:rPr>
          <w:rFonts w:eastAsia="Book Antiqua"/>
        </w:rPr>
      </w:pPr>
      <w:r w:rsidRPr="006F1610">
        <w:rPr>
          <w:rFonts w:eastAsia="Book Antiqua"/>
        </w:rPr>
        <w:t>(s)</w:t>
      </w:r>
      <w:r w:rsidRPr="006F1610">
        <w:rPr>
          <w:rFonts w:eastAsia="Book Antiqua"/>
          <w:color w:val="auto"/>
        </w:rPr>
        <w:tab/>
      </w:r>
      <w:r w:rsidR="00411AF0" w:rsidRPr="00D6453D">
        <w:rPr>
          <w:rFonts w:eastAsia="Book Antiqua"/>
        </w:rPr>
        <w:t>This measure commits funding of $88.1 million over 4 years from 2021</w:t>
      </w:r>
      <w:r w:rsidR="00660645">
        <w:rPr>
          <w:rFonts w:eastAsia="Book Antiqua"/>
        </w:rPr>
        <w:noBreakHyphen/>
      </w:r>
      <w:r w:rsidR="00411AF0" w:rsidRPr="00D6453D">
        <w:rPr>
          <w:rFonts w:eastAsia="Book Antiqua"/>
        </w:rPr>
        <w:t xml:space="preserve">22. This measure was included as a </w:t>
      </w:r>
      <w:r w:rsidR="00660645">
        <w:rPr>
          <w:rFonts w:eastAsia="Book Antiqua"/>
        </w:rPr>
        <w:t>‘</w:t>
      </w:r>
      <w:r w:rsidR="00411AF0" w:rsidRPr="00D6453D">
        <w:rPr>
          <w:rFonts w:eastAsia="Book Antiqua"/>
        </w:rPr>
        <w:t>decision taken but not yet announced</w:t>
      </w:r>
      <w:r w:rsidR="00660645">
        <w:rPr>
          <w:rFonts w:eastAsia="Book Antiqua"/>
        </w:rPr>
        <w:t>’</w:t>
      </w:r>
      <w:r w:rsidR="00411AF0" w:rsidRPr="00D6453D">
        <w:rPr>
          <w:rFonts w:eastAsia="Book Antiqua"/>
        </w:rPr>
        <w:t xml:space="preserve"> in the 2021</w:t>
      </w:r>
      <w:r w:rsidR="00660645">
        <w:rPr>
          <w:rFonts w:eastAsia="Book Antiqua"/>
        </w:rPr>
        <w:noBreakHyphen/>
      </w:r>
      <w:r w:rsidR="00411AF0" w:rsidRPr="00D6453D">
        <w:rPr>
          <w:rFonts w:eastAsia="Book Antiqua"/>
        </w:rPr>
        <w:t>22 MYEFO and the 2022</w:t>
      </w:r>
      <w:r w:rsidR="00660645">
        <w:rPr>
          <w:rFonts w:eastAsia="Book Antiqua"/>
        </w:rPr>
        <w:noBreakHyphen/>
      </w:r>
      <w:r w:rsidR="00411AF0" w:rsidRPr="00D6453D">
        <w:rPr>
          <w:rFonts w:eastAsia="Book Antiqua"/>
        </w:rPr>
        <w:t>23 Budget.</w:t>
      </w:r>
      <w:r w:rsidR="004F79EE">
        <w:rPr>
          <w:rFonts w:eastAsia="Book Antiqua"/>
        </w:rPr>
        <w:t xml:space="preserve"> </w:t>
      </w:r>
      <w:r w:rsidR="004F79EE" w:rsidRPr="00B54858">
        <w:t>Funding is provided to the Treasury as payments to states and territories</w:t>
      </w:r>
      <w:r w:rsidR="004F79EE">
        <w:t>.</w:t>
      </w:r>
    </w:p>
    <w:p w14:paraId="5F7AF4A8" w14:textId="7263F9E2" w:rsidR="00F011E2" w:rsidRPr="006F1610" w:rsidRDefault="00F011E2" w:rsidP="0086616F">
      <w:pPr>
        <w:pStyle w:val="ChartandTableFootnoteAlpha"/>
        <w:tabs>
          <w:tab w:val="clear" w:pos="284"/>
        </w:tabs>
        <w:rPr>
          <w:rFonts w:eastAsia="Book Antiqua"/>
        </w:rPr>
      </w:pPr>
      <w:r w:rsidRPr="006F1610">
        <w:rPr>
          <w:rFonts w:eastAsia="Book Antiqua"/>
        </w:rPr>
        <w:t>(t)</w:t>
      </w:r>
      <w:r w:rsidRPr="006F1610">
        <w:rPr>
          <w:rFonts w:eastAsia="Book Antiqua"/>
          <w:color w:val="auto"/>
        </w:rPr>
        <w:tab/>
      </w:r>
      <w:r w:rsidR="00411AF0" w:rsidRPr="00D6453D">
        <w:rPr>
          <w:rFonts w:eastAsia="Book Antiqua"/>
        </w:rPr>
        <w:t>This measure commits funding of $65.0 million over 4 years from 2021</w:t>
      </w:r>
      <w:r w:rsidR="00660645">
        <w:rPr>
          <w:rFonts w:eastAsia="Book Antiqua"/>
        </w:rPr>
        <w:noBreakHyphen/>
      </w:r>
      <w:r w:rsidR="00411AF0" w:rsidRPr="00D6453D">
        <w:rPr>
          <w:rFonts w:eastAsia="Book Antiqua"/>
        </w:rPr>
        <w:t xml:space="preserve">22. Funding for this measure was included as a </w:t>
      </w:r>
      <w:r w:rsidR="00660645">
        <w:rPr>
          <w:rFonts w:eastAsia="Book Antiqua"/>
        </w:rPr>
        <w:t>‘</w:t>
      </w:r>
      <w:r w:rsidR="00411AF0" w:rsidRPr="00D6453D">
        <w:rPr>
          <w:rFonts w:eastAsia="Book Antiqua"/>
        </w:rPr>
        <w:t>decision taken but not yet announced</w:t>
      </w:r>
      <w:r w:rsidR="00660645">
        <w:rPr>
          <w:rFonts w:eastAsia="Book Antiqua"/>
        </w:rPr>
        <w:t>’</w:t>
      </w:r>
      <w:r w:rsidR="00411AF0" w:rsidRPr="00D6453D">
        <w:rPr>
          <w:rFonts w:eastAsia="Book Antiqua"/>
        </w:rPr>
        <w:t xml:space="preserve"> in the 2021</w:t>
      </w:r>
      <w:r w:rsidR="00660645">
        <w:rPr>
          <w:rFonts w:eastAsia="Book Antiqua"/>
        </w:rPr>
        <w:noBreakHyphen/>
      </w:r>
      <w:r w:rsidR="00411AF0" w:rsidRPr="00D6453D">
        <w:rPr>
          <w:rFonts w:eastAsia="Book Antiqua"/>
        </w:rPr>
        <w:t>22 MYEFO.</w:t>
      </w:r>
      <w:r w:rsidR="004F79EE">
        <w:rPr>
          <w:rFonts w:eastAsia="Book Antiqua"/>
        </w:rPr>
        <w:t xml:space="preserve"> </w:t>
      </w:r>
      <w:r w:rsidR="004F79EE" w:rsidRPr="00B54858">
        <w:t>Funding is provided to the Treasury as payments to states and territories</w:t>
      </w:r>
      <w:r w:rsidR="004F79EE">
        <w:t>.</w:t>
      </w:r>
    </w:p>
    <w:p w14:paraId="0B08C087" w14:textId="0D2157CA" w:rsidR="00F011E2" w:rsidRPr="006F1610" w:rsidRDefault="00F011E2" w:rsidP="0086616F">
      <w:pPr>
        <w:pStyle w:val="ChartandTableFootnoteAlpha"/>
        <w:tabs>
          <w:tab w:val="clear" w:pos="284"/>
        </w:tabs>
        <w:rPr>
          <w:rFonts w:eastAsia="Book Antiqua"/>
        </w:rPr>
      </w:pPr>
      <w:r w:rsidRPr="006F1610">
        <w:rPr>
          <w:rFonts w:eastAsia="Book Antiqua"/>
        </w:rPr>
        <w:t>(u)</w:t>
      </w:r>
      <w:r w:rsidRPr="006F1610">
        <w:rPr>
          <w:rFonts w:eastAsia="Book Antiqua"/>
          <w:color w:val="auto"/>
        </w:rPr>
        <w:tab/>
      </w:r>
      <w:r w:rsidR="00411AF0" w:rsidRPr="00D6453D">
        <w:rPr>
          <w:rFonts w:eastAsia="Book Antiqua"/>
        </w:rPr>
        <w:t>This measure commits funding of $116.6 million in 2022</w:t>
      </w:r>
      <w:r w:rsidR="00660645">
        <w:rPr>
          <w:rFonts w:eastAsia="Book Antiqua"/>
        </w:rPr>
        <w:noBreakHyphen/>
      </w:r>
      <w:r w:rsidR="00411AF0" w:rsidRPr="00D6453D">
        <w:rPr>
          <w:rFonts w:eastAsia="Book Antiqua"/>
        </w:rPr>
        <w:t>23 for additional projects, including $15.0 million for Frankston Basketball Stadium redevelopment, $15.0 million for Macedon Ranges Sports Precinct Stage 2 redevelopment, $6.1 million for Pioneer River (</w:t>
      </w:r>
      <w:proofErr w:type="spellStart"/>
      <w:r w:rsidR="00411AF0" w:rsidRPr="00D6453D">
        <w:rPr>
          <w:rFonts w:eastAsia="Book Antiqua"/>
        </w:rPr>
        <w:t>Fursden</w:t>
      </w:r>
      <w:proofErr w:type="spellEnd"/>
      <w:r w:rsidR="00411AF0" w:rsidRPr="00D6453D">
        <w:rPr>
          <w:rFonts w:eastAsia="Book Antiqua"/>
        </w:rPr>
        <w:t xml:space="preserve"> Creek) Levee, $5.0 million for Boronia Hawks Football Netball Club new pavilion, $5.0 million for Neerim South Aged Care Facility upgrades, $5.0 million for Scheyville Veterans Wellbeing Centre upgrades, $4.5 million for </w:t>
      </w:r>
      <w:proofErr w:type="spellStart"/>
      <w:r w:rsidR="00411AF0" w:rsidRPr="00D6453D">
        <w:rPr>
          <w:rFonts w:eastAsia="Book Antiqua"/>
        </w:rPr>
        <w:t>Sebastapol</w:t>
      </w:r>
      <w:proofErr w:type="spellEnd"/>
      <w:r w:rsidR="00411AF0" w:rsidRPr="00D6453D">
        <w:rPr>
          <w:rFonts w:eastAsia="Book Antiqua"/>
        </w:rPr>
        <w:t xml:space="preserve"> Community Facilities upgrades, $4.2 million for Giant Steps facility upgrades (additional funding), $4.0 million for Mount Waverley Reserve redevelopment, $4.0 million for Wynnum Wolves Carmichael Park upgrades, $3.</w:t>
      </w:r>
      <w:r w:rsidR="004160E7" w:rsidRPr="00D6453D">
        <w:rPr>
          <w:rFonts w:eastAsia="Book Antiqua"/>
        </w:rPr>
        <w:t>6</w:t>
      </w:r>
      <w:r w:rsidR="004160E7">
        <w:rPr>
          <w:rFonts w:eastAsia="Book Antiqua"/>
        </w:rPr>
        <w:t> </w:t>
      </w:r>
      <w:r w:rsidR="00411AF0" w:rsidRPr="00D6453D">
        <w:rPr>
          <w:rFonts w:eastAsia="Book Antiqua"/>
        </w:rPr>
        <w:t xml:space="preserve">million for Kensington Gardens Clubrooms, $3.6 million for Lakes Entrance </w:t>
      </w:r>
      <w:proofErr w:type="spellStart"/>
      <w:r w:rsidR="00411AF0" w:rsidRPr="00D6453D">
        <w:rPr>
          <w:rFonts w:eastAsia="Book Antiqua"/>
        </w:rPr>
        <w:t>Krauatungalung</w:t>
      </w:r>
      <w:proofErr w:type="spellEnd"/>
      <w:r w:rsidR="00411AF0" w:rsidRPr="00D6453D">
        <w:rPr>
          <w:rFonts w:eastAsia="Book Antiqua"/>
        </w:rPr>
        <w:t xml:space="preserve"> Walk, $3.5 million for Moreton Bay Central Sports Complex upgrades, $3.0 million for Marino Community Hall upgrades and $3.0 million for Max McMahon Oval upgrades.</w:t>
      </w:r>
    </w:p>
    <w:p w14:paraId="69CEB94E" w14:textId="1F884BEE" w:rsidR="00F011E2" w:rsidRPr="006F1610" w:rsidRDefault="00F011E2" w:rsidP="0086616F">
      <w:pPr>
        <w:pStyle w:val="ChartandTableFootnoteAlpha"/>
        <w:tabs>
          <w:tab w:val="clear" w:pos="284"/>
        </w:tabs>
        <w:rPr>
          <w:rFonts w:eastAsia="Book Antiqua"/>
        </w:rPr>
      </w:pPr>
      <w:r w:rsidRPr="006F1610">
        <w:rPr>
          <w:rFonts w:eastAsia="Book Antiqua"/>
        </w:rPr>
        <w:t>(v)</w:t>
      </w:r>
      <w:r w:rsidRPr="006F1610">
        <w:rPr>
          <w:rFonts w:eastAsia="Book Antiqua"/>
          <w:color w:val="auto"/>
        </w:rPr>
        <w:tab/>
      </w:r>
      <w:r w:rsidR="00A73767" w:rsidRPr="00A73767">
        <w:rPr>
          <w:rFonts w:eastAsia="Book Antiqua"/>
        </w:rPr>
        <w:t>This measure commits funding of $56.2 million over 3 years from 2022</w:t>
      </w:r>
      <w:r w:rsidR="00660645">
        <w:rPr>
          <w:rFonts w:eastAsia="Book Antiqua"/>
        </w:rPr>
        <w:noBreakHyphen/>
      </w:r>
      <w:r w:rsidR="00A73767" w:rsidRPr="00A73767">
        <w:rPr>
          <w:rFonts w:eastAsia="Book Antiqua"/>
        </w:rPr>
        <w:t>23, including $21.2 million in 2022</w:t>
      </w:r>
      <w:r w:rsidR="00660645">
        <w:rPr>
          <w:rFonts w:eastAsia="Book Antiqua"/>
        </w:rPr>
        <w:noBreakHyphen/>
      </w:r>
      <w:r w:rsidR="00A73767" w:rsidRPr="00A73767">
        <w:rPr>
          <w:rFonts w:eastAsia="Book Antiqua"/>
        </w:rPr>
        <w:t xml:space="preserve">23 for </w:t>
      </w:r>
      <w:r w:rsidR="009D5287">
        <w:rPr>
          <w:rFonts w:eastAsia="Book Antiqua"/>
        </w:rPr>
        <w:t>6</w:t>
      </w:r>
      <w:r w:rsidR="00A73767" w:rsidRPr="00A73767">
        <w:rPr>
          <w:rFonts w:eastAsia="Book Antiqua"/>
        </w:rPr>
        <w:t xml:space="preserve"> priority road projects in Queensland ($11.1 million for the</w:t>
      </w:r>
      <w:r w:rsidR="006E3809">
        <w:rPr>
          <w:rFonts w:eastAsia="Book Antiqua"/>
        </w:rPr>
        <w:t xml:space="preserve"> Burke Development Road Project,</w:t>
      </w:r>
      <w:r w:rsidR="00A73767" w:rsidRPr="00A73767">
        <w:rPr>
          <w:rFonts w:eastAsia="Book Antiqua"/>
        </w:rPr>
        <w:t xml:space="preserve"> $7.9 million for the Gregory Downs to Camooweal R</w:t>
      </w:r>
      <w:r w:rsidR="006E3809">
        <w:rPr>
          <w:rFonts w:eastAsia="Book Antiqua"/>
        </w:rPr>
        <w:t>oad Project,</w:t>
      </w:r>
      <w:r w:rsidR="00A73767" w:rsidRPr="00A73767">
        <w:rPr>
          <w:rFonts w:eastAsia="Book Antiqua"/>
        </w:rPr>
        <w:t xml:space="preserve"> $1.2 million for the Gran</w:t>
      </w:r>
      <w:r w:rsidR="006E3809">
        <w:rPr>
          <w:rFonts w:eastAsia="Book Antiqua"/>
        </w:rPr>
        <w:t>ada Road Seal Extension Project,</w:t>
      </w:r>
      <w:r w:rsidR="00A73767" w:rsidRPr="00A73767">
        <w:rPr>
          <w:rFonts w:eastAsia="Book Antiqua"/>
        </w:rPr>
        <w:t xml:space="preserve"> $0.5 million for the Kerb and Channel to Town Streets Pr</w:t>
      </w:r>
      <w:r w:rsidR="006E3809">
        <w:rPr>
          <w:rFonts w:eastAsia="Book Antiqua"/>
        </w:rPr>
        <w:t>oject,</w:t>
      </w:r>
      <w:r w:rsidR="00A73767" w:rsidRPr="00A73767">
        <w:rPr>
          <w:rFonts w:eastAsia="Book Antiqua"/>
        </w:rPr>
        <w:t xml:space="preserve">  $0.4 million for the </w:t>
      </w:r>
      <w:proofErr w:type="spellStart"/>
      <w:r w:rsidR="006E3809">
        <w:rPr>
          <w:rFonts w:eastAsia="Book Antiqua"/>
        </w:rPr>
        <w:t>Coalbrook</w:t>
      </w:r>
      <w:proofErr w:type="spellEnd"/>
      <w:r w:rsidR="006E3809">
        <w:rPr>
          <w:rFonts w:eastAsia="Book Antiqua"/>
        </w:rPr>
        <w:t xml:space="preserve"> Road Culverts Project,</w:t>
      </w:r>
      <w:r w:rsidR="00A73767" w:rsidRPr="00A73767">
        <w:rPr>
          <w:rFonts w:eastAsia="Book Antiqua"/>
        </w:rPr>
        <w:t xml:space="preserve"> and $0.1 million for the Adavale Black Road Project), and $35.0 million over </w:t>
      </w:r>
      <w:r w:rsidR="000D3E55">
        <w:rPr>
          <w:rFonts w:eastAsia="Book Antiqua"/>
        </w:rPr>
        <w:t>2</w:t>
      </w:r>
      <w:r w:rsidR="00A73767" w:rsidRPr="00A73767">
        <w:rPr>
          <w:rFonts w:eastAsia="Book Antiqua"/>
        </w:rPr>
        <w:t xml:space="preserve"> years from 2023</w:t>
      </w:r>
      <w:r w:rsidR="00660645">
        <w:rPr>
          <w:rFonts w:eastAsia="Book Antiqua"/>
        </w:rPr>
        <w:noBreakHyphen/>
      </w:r>
      <w:r w:rsidR="00A73767" w:rsidRPr="00A73767">
        <w:rPr>
          <w:rFonts w:eastAsia="Book Antiqua"/>
        </w:rPr>
        <w:t>24 for the Nicholson Road</w:t>
      </w:r>
      <w:r w:rsidR="00660645">
        <w:rPr>
          <w:rFonts w:eastAsia="Book Antiqua"/>
        </w:rPr>
        <w:noBreakHyphen/>
      </w:r>
      <w:r w:rsidR="00A73767" w:rsidRPr="00A73767">
        <w:rPr>
          <w:rFonts w:eastAsia="Book Antiqua"/>
        </w:rPr>
        <w:t>Garden Street Grade Separation Project in Western Australia.</w:t>
      </w:r>
      <w:r w:rsidR="004F79EE">
        <w:rPr>
          <w:rFonts w:eastAsia="Book Antiqua"/>
        </w:rPr>
        <w:t xml:space="preserve"> </w:t>
      </w:r>
      <w:r w:rsidR="004F79EE" w:rsidRPr="00B54858">
        <w:t>Funding is provided to the Treasury as payments to states and territories</w:t>
      </w:r>
      <w:r w:rsidR="004F79EE">
        <w:t>.</w:t>
      </w:r>
    </w:p>
    <w:p w14:paraId="3AA7E35E" w14:textId="0303318F" w:rsidR="00F011E2" w:rsidRPr="006F1610" w:rsidRDefault="00F011E2" w:rsidP="0086616F">
      <w:pPr>
        <w:pStyle w:val="ChartandTableFootnoteAlpha"/>
        <w:tabs>
          <w:tab w:val="clear" w:pos="284"/>
        </w:tabs>
        <w:rPr>
          <w:rFonts w:eastAsia="Book Antiqua"/>
        </w:rPr>
      </w:pPr>
      <w:r w:rsidRPr="006F1610">
        <w:rPr>
          <w:rFonts w:eastAsia="Book Antiqua"/>
        </w:rPr>
        <w:t>(w)</w:t>
      </w:r>
      <w:r w:rsidRPr="006F1610">
        <w:rPr>
          <w:rFonts w:eastAsia="Book Antiqua"/>
          <w:color w:val="auto"/>
        </w:rPr>
        <w:tab/>
      </w:r>
      <w:r w:rsidR="00A73767" w:rsidRPr="00A73767">
        <w:rPr>
          <w:rFonts w:eastAsia="Book Antiqua"/>
        </w:rPr>
        <w:t xml:space="preserve">This measure commits funding of $23.0 million </w:t>
      </w:r>
      <w:r w:rsidR="006C5949">
        <w:rPr>
          <w:rFonts w:eastAsia="Book Antiqua"/>
        </w:rPr>
        <w:t>in</w:t>
      </w:r>
      <w:r w:rsidR="00A73767" w:rsidRPr="00A73767">
        <w:rPr>
          <w:rFonts w:eastAsia="Book Antiqua"/>
        </w:rPr>
        <w:t xml:space="preserve"> 2022</w:t>
      </w:r>
      <w:r w:rsidR="00660645">
        <w:rPr>
          <w:rFonts w:eastAsia="Book Antiqua"/>
        </w:rPr>
        <w:noBreakHyphen/>
      </w:r>
      <w:r w:rsidR="00A73767" w:rsidRPr="00A73767">
        <w:rPr>
          <w:rFonts w:eastAsia="Book Antiqua"/>
        </w:rPr>
        <w:t>23 to the National Water Grid Fund for the Nyngan to Cobar Pipeline</w:t>
      </w:r>
      <w:r w:rsidR="00C901F4">
        <w:rPr>
          <w:rFonts w:eastAsia="Book Antiqua"/>
        </w:rPr>
        <w:t xml:space="preserve"> – </w:t>
      </w:r>
      <w:r w:rsidR="00A73767" w:rsidRPr="00A73767">
        <w:rPr>
          <w:rFonts w:eastAsia="Book Antiqua"/>
        </w:rPr>
        <w:t>Stage 1 Pump Station Replacement Project in New South Wales.</w:t>
      </w:r>
      <w:r w:rsidR="004F79EE">
        <w:rPr>
          <w:rFonts w:eastAsia="Book Antiqua"/>
        </w:rPr>
        <w:t xml:space="preserve"> </w:t>
      </w:r>
      <w:r w:rsidR="004F79EE" w:rsidRPr="00B54858">
        <w:t>Funding is provided to the Treasury as payments to states and territories</w:t>
      </w:r>
      <w:r w:rsidR="004F79EE">
        <w:t>.</w:t>
      </w:r>
    </w:p>
    <w:p w14:paraId="55CA548E" w14:textId="4D2653A5" w:rsidR="00F011E2" w:rsidRPr="006F1610" w:rsidRDefault="00F011E2" w:rsidP="0086616F">
      <w:pPr>
        <w:pStyle w:val="ChartandTableFootnoteAlpha"/>
        <w:tabs>
          <w:tab w:val="clear" w:pos="284"/>
        </w:tabs>
        <w:rPr>
          <w:rFonts w:eastAsia="Book Antiqua"/>
        </w:rPr>
      </w:pPr>
      <w:r w:rsidRPr="006F1610">
        <w:rPr>
          <w:rFonts w:eastAsia="Book Antiqua"/>
        </w:rPr>
        <w:t>(x)</w:t>
      </w:r>
      <w:r w:rsidRPr="006F1610">
        <w:rPr>
          <w:rFonts w:eastAsia="Book Antiqua"/>
          <w:color w:val="auto"/>
        </w:rPr>
        <w:tab/>
      </w:r>
      <w:r w:rsidR="00411AF0" w:rsidRPr="00D6453D">
        <w:rPr>
          <w:rFonts w:eastAsia="Book Antiqua"/>
        </w:rPr>
        <w:t>This measure commits funding of $26.0 million over 3 years from 2022</w:t>
      </w:r>
      <w:r w:rsidR="00660645">
        <w:rPr>
          <w:rFonts w:eastAsia="Book Antiqua"/>
        </w:rPr>
        <w:noBreakHyphen/>
      </w:r>
      <w:r w:rsidR="00411AF0" w:rsidRPr="00D6453D">
        <w:rPr>
          <w:rFonts w:eastAsia="Book Antiqua"/>
        </w:rPr>
        <w:t>23 for Driver Reviver Site Upgrades and grants to support projects across Australia that aim to reduce road trauma, to support road safety research and the development of new road safety technologies.</w:t>
      </w:r>
    </w:p>
    <w:p w14:paraId="56261555" w14:textId="013CDA62" w:rsidR="00603809" w:rsidRPr="00F03213" w:rsidRDefault="00F011E2" w:rsidP="0086616F">
      <w:pPr>
        <w:pStyle w:val="ChartandTableFootnoteAlpha"/>
        <w:tabs>
          <w:tab w:val="clear" w:pos="284"/>
        </w:tabs>
        <w:rPr>
          <w:rFonts w:eastAsia="Book Antiqua"/>
        </w:rPr>
      </w:pPr>
      <w:r w:rsidRPr="006F1610">
        <w:rPr>
          <w:rFonts w:eastAsia="Book Antiqua"/>
        </w:rPr>
        <w:t>(y)</w:t>
      </w:r>
      <w:r w:rsidRPr="006F1610">
        <w:rPr>
          <w:rFonts w:eastAsia="Book Antiqua"/>
          <w:color w:val="auto"/>
        </w:rPr>
        <w:tab/>
      </w:r>
      <w:r w:rsidR="00411AF0" w:rsidRPr="00D6453D">
        <w:rPr>
          <w:rFonts w:eastAsia="Book Antiqua"/>
        </w:rPr>
        <w:t>The Government is providing disaster support for the recovery of communities impacted by the Tasmanian storms and floods in October to December 2021.</w:t>
      </w:r>
      <w:r w:rsidR="00603809" w:rsidRPr="006F1610">
        <w:rPr>
          <w:rFonts w:eastAsia="Book Antiqua"/>
          <w:color w:val="auto"/>
        </w:rPr>
        <w:t xml:space="preserve"> </w:t>
      </w:r>
    </w:p>
    <w:p w14:paraId="4E1AA965" w14:textId="0424ECF0" w:rsidR="00F011E2" w:rsidRPr="006F1610" w:rsidRDefault="00F011E2" w:rsidP="0086616F">
      <w:pPr>
        <w:pStyle w:val="ChartandTableFootnoteAlpha"/>
        <w:tabs>
          <w:tab w:val="clear" w:pos="284"/>
        </w:tabs>
        <w:rPr>
          <w:rFonts w:eastAsia="Book Antiqua"/>
        </w:rPr>
      </w:pPr>
      <w:r w:rsidRPr="006F1610">
        <w:rPr>
          <w:rFonts w:eastAsia="Book Antiqua"/>
        </w:rPr>
        <w:t>(</w:t>
      </w:r>
      <w:r w:rsidR="00603809" w:rsidRPr="00625155">
        <w:rPr>
          <w:rFonts w:eastAsia="Book Antiqua"/>
          <w:color w:val="auto"/>
        </w:rPr>
        <w:t>z</w:t>
      </w:r>
      <w:r w:rsidRPr="006F1610">
        <w:rPr>
          <w:rFonts w:eastAsia="Book Antiqua"/>
        </w:rPr>
        <w:t>)</w:t>
      </w:r>
      <w:r w:rsidRPr="006F1610">
        <w:rPr>
          <w:rFonts w:eastAsia="Book Antiqua"/>
          <w:color w:val="auto"/>
        </w:rPr>
        <w:tab/>
      </w:r>
      <w:r w:rsidR="00A73767" w:rsidRPr="00A73767">
        <w:rPr>
          <w:rFonts w:eastAsia="Book Antiqua"/>
        </w:rPr>
        <w:t>This measure commits funding of $</w:t>
      </w:r>
      <w:r w:rsidR="007C2D45">
        <w:rPr>
          <w:rFonts w:eastAsia="Book Antiqua"/>
        </w:rPr>
        <w:t>550.3</w:t>
      </w:r>
      <w:r w:rsidR="007C2D45" w:rsidRPr="00A73767">
        <w:rPr>
          <w:rFonts w:eastAsia="Book Antiqua"/>
        </w:rPr>
        <w:t xml:space="preserve"> </w:t>
      </w:r>
      <w:r w:rsidR="00A73767" w:rsidRPr="00A73767">
        <w:rPr>
          <w:rFonts w:eastAsia="Book Antiqua"/>
        </w:rPr>
        <w:t xml:space="preserve">million over </w:t>
      </w:r>
      <w:r w:rsidR="002E7591">
        <w:rPr>
          <w:rFonts w:eastAsia="Book Antiqua"/>
        </w:rPr>
        <w:t>2</w:t>
      </w:r>
      <w:r w:rsidR="00A73767" w:rsidRPr="00A73767">
        <w:rPr>
          <w:rFonts w:eastAsia="Book Antiqua"/>
        </w:rPr>
        <w:t xml:space="preserve"> years from 2021</w:t>
      </w:r>
      <w:r w:rsidR="00660645">
        <w:rPr>
          <w:rFonts w:eastAsia="Book Antiqua"/>
        </w:rPr>
        <w:noBreakHyphen/>
      </w:r>
      <w:r w:rsidR="00A73767" w:rsidRPr="00A73767">
        <w:rPr>
          <w:rFonts w:eastAsia="Book Antiqua"/>
        </w:rPr>
        <w:t>22 for additional support for the recovery from the February</w:t>
      </w:r>
      <w:r w:rsidR="00660645">
        <w:rPr>
          <w:rFonts w:eastAsia="Book Antiqua"/>
        </w:rPr>
        <w:noBreakHyphen/>
      </w:r>
      <w:r w:rsidR="00A73767" w:rsidRPr="00A73767">
        <w:rPr>
          <w:rFonts w:eastAsia="Book Antiqua"/>
        </w:rPr>
        <w:t xml:space="preserve">March 2022 floods in </w:t>
      </w:r>
      <w:r w:rsidR="000D3E55">
        <w:rPr>
          <w:rFonts w:eastAsia="Book Antiqua"/>
        </w:rPr>
        <w:t>parts of</w:t>
      </w:r>
      <w:r w:rsidR="00A73767" w:rsidRPr="00A73767">
        <w:rPr>
          <w:rFonts w:eastAsia="Book Antiqua"/>
        </w:rPr>
        <w:t xml:space="preserve"> New South Wales and Queensland. </w:t>
      </w:r>
      <w:r w:rsidR="004F79EE">
        <w:rPr>
          <w:rFonts w:eastAsia="Book Antiqua"/>
        </w:rPr>
        <w:t>$13.5 million in</w:t>
      </w:r>
      <w:r w:rsidR="00A73767" w:rsidRPr="00A73767">
        <w:rPr>
          <w:rFonts w:eastAsia="Book Antiqua"/>
        </w:rPr>
        <w:t xml:space="preserve"> funding for this measure was included as a </w:t>
      </w:r>
      <w:r w:rsidR="00660645">
        <w:rPr>
          <w:rFonts w:eastAsia="Book Antiqua"/>
        </w:rPr>
        <w:t>‘</w:t>
      </w:r>
      <w:r w:rsidR="00A73767" w:rsidRPr="00A73767">
        <w:rPr>
          <w:rFonts w:eastAsia="Book Antiqua"/>
        </w:rPr>
        <w:t>decision taken but not yet announced</w:t>
      </w:r>
      <w:r w:rsidR="00660645">
        <w:rPr>
          <w:rFonts w:eastAsia="Book Antiqua"/>
        </w:rPr>
        <w:t>’</w:t>
      </w:r>
      <w:r w:rsidR="00A73767" w:rsidRPr="00A73767">
        <w:rPr>
          <w:rFonts w:eastAsia="Book Antiqua"/>
        </w:rPr>
        <w:t xml:space="preserve"> in the 2022</w:t>
      </w:r>
      <w:r w:rsidR="00660645">
        <w:rPr>
          <w:rFonts w:eastAsia="Book Antiqua"/>
        </w:rPr>
        <w:noBreakHyphen/>
      </w:r>
      <w:r w:rsidR="00A73767" w:rsidRPr="00A73767">
        <w:rPr>
          <w:rFonts w:eastAsia="Book Antiqua"/>
        </w:rPr>
        <w:t>23 Budget.</w:t>
      </w:r>
      <w:r w:rsidR="004F79EE">
        <w:rPr>
          <w:rFonts w:eastAsia="Book Antiqua"/>
        </w:rPr>
        <w:t xml:space="preserve"> </w:t>
      </w:r>
      <w:r w:rsidR="004F79EE" w:rsidRPr="00B54858">
        <w:t>Funding is provided to the Treasury as payments to states and territories</w:t>
      </w:r>
      <w:r w:rsidR="004F79EE">
        <w:t>.</w:t>
      </w:r>
    </w:p>
    <w:p w14:paraId="6FE1716A" w14:textId="1C25A91F" w:rsidR="00F011E2" w:rsidRDefault="00F011E2" w:rsidP="0086616F">
      <w:pPr>
        <w:pStyle w:val="ChartandTableFootnoteAlpha"/>
        <w:tabs>
          <w:tab w:val="clear" w:pos="284"/>
        </w:tabs>
        <w:rPr>
          <w:rFonts w:eastAsia="Book Antiqua"/>
        </w:rPr>
      </w:pPr>
      <w:r w:rsidRPr="006F1610">
        <w:rPr>
          <w:rFonts w:eastAsia="Book Antiqua"/>
        </w:rPr>
        <w:t>(</w:t>
      </w:r>
      <w:r w:rsidR="00603809" w:rsidRPr="00625155">
        <w:rPr>
          <w:rFonts w:eastAsia="Book Antiqua"/>
          <w:color w:val="auto"/>
        </w:rPr>
        <w:t>aa</w:t>
      </w:r>
      <w:r w:rsidRPr="006F1610">
        <w:rPr>
          <w:rFonts w:eastAsia="Book Antiqua"/>
        </w:rPr>
        <w:t>)</w:t>
      </w:r>
      <w:r w:rsidR="00A73767" w:rsidRPr="00A73767">
        <w:rPr>
          <w:rFonts w:eastAsia="Book Antiqua"/>
        </w:rPr>
        <w:t xml:space="preserve">This measure commits funding </w:t>
      </w:r>
      <w:r w:rsidR="000D3E55">
        <w:rPr>
          <w:rFonts w:eastAsia="Book Antiqua"/>
        </w:rPr>
        <w:t>for one year from 2022</w:t>
      </w:r>
      <w:r w:rsidR="00660645">
        <w:rPr>
          <w:rFonts w:eastAsia="Book Antiqua"/>
        </w:rPr>
        <w:noBreakHyphen/>
      </w:r>
      <w:r w:rsidR="000D3E55">
        <w:rPr>
          <w:rFonts w:eastAsia="Book Antiqua"/>
        </w:rPr>
        <w:t xml:space="preserve">23 </w:t>
      </w:r>
      <w:r w:rsidR="00A73767" w:rsidRPr="00A73767">
        <w:rPr>
          <w:rFonts w:eastAsia="Book Antiqua"/>
        </w:rPr>
        <w:t xml:space="preserve">to negotiate maintenance costs for the Centre for National Resilience </w:t>
      </w:r>
      <w:r w:rsidR="000D3E55">
        <w:rPr>
          <w:rFonts w:eastAsia="Book Antiqua"/>
        </w:rPr>
        <w:t xml:space="preserve">at </w:t>
      </w:r>
      <w:r w:rsidR="000D3E55" w:rsidRPr="00A73767">
        <w:rPr>
          <w:rFonts w:eastAsia="Book Antiqua"/>
        </w:rPr>
        <w:t>Howard Springs</w:t>
      </w:r>
      <w:r w:rsidR="00A73767" w:rsidRPr="00A73767">
        <w:rPr>
          <w:rFonts w:eastAsia="Book Antiqua"/>
        </w:rPr>
        <w:t xml:space="preserve"> to be met from within the resources of the existing Bilateral Agreement with the Northern Territory.</w:t>
      </w:r>
      <w:r w:rsidR="004F79EE">
        <w:rPr>
          <w:rFonts w:eastAsia="Book Antiqua"/>
        </w:rPr>
        <w:t xml:space="preserve"> </w:t>
      </w:r>
      <w:r w:rsidR="004F79EE" w:rsidRPr="00B54858">
        <w:t>Funding is provided to the Treasury as payments to states and territories</w:t>
      </w:r>
      <w:r w:rsidR="004F79EE">
        <w:t>.</w:t>
      </w:r>
    </w:p>
    <w:p w14:paraId="2DB925DB" w14:textId="0626DBEF" w:rsidR="006114D3" w:rsidRDefault="006114D3" w:rsidP="006F1610">
      <w:pPr>
        <w:pStyle w:val="ChartandTableFootnoteAlpha"/>
        <w:tabs>
          <w:tab w:val="clear" w:pos="284"/>
        </w:tabs>
        <w:rPr>
          <w:rFonts w:eastAsia="Book Antiqua"/>
        </w:rPr>
      </w:pPr>
      <w:r>
        <w:rPr>
          <w:rFonts w:eastAsia="Book Antiqua"/>
        </w:rPr>
        <w:t>(</w:t>
      </w:r>
      <w:r w:rsidRPr="000456FE">
        <w:rPr>
          <w:rFonts w:eastAsia="Book Antiqua"/>
        </w:rPr>
        <w:t>bb</w:t>
      </w:r>
      <w:r w:rsidRPr="002D7A29">
        <w:rPr>
          <w:rFonts w:eastAsia="Book Antiqua"/>
        </w:rPr>
        <w:t>)</w:t>
      </w:r>
      <w:r w:rsidR="00411AF0" w:rsidRPr="00D6453D">
        <w:rPr>
          <w:rFonts w:eastAsia="Book Antiqua"/>
        </w:rPr>
        <w:t>This measure commits funding of $0.7 million over 2 years from 2024</w:t>
      </w:r>
      <w:r w:rsidR="00660645">
        <w:rPr>
          <w:rFonts w:eastAsia="Book Antiqua"/>
        </w:rPr>
        <w:noBreakHyphen/>
      </w:r>
      <w:r w:rsidR="00411AF0" w:rsidRPr="00D6453D">
        <w:rPr>
          <w:rFonts w:eastAsia="Book Antiqua"/>
        </w:rPr>
        <w:t>25 to increase the underlying property price caps for the Home Guarantee Scheme including First Home Guarantee, Family Home Guarantee and Regional Home Guarantee with effect from 1 July 2022.</w:t>
      </w:r>
    </w:p>
    <w:p w14:paraId="16CD656F" w14:textId="183C45C0" w:rsidR="006114D3" w:rsidRPr="006F1610" w:rsidRDefault="006114D3" w:rsidP="006F1610">
      <w:pPr>
        <w:pStyle w:val="ChartandTableFootnoteAlpha"/>
        <w:tabs>
          <w:tab w:val="clear" w:pos="284"/>
        </w:tabs>
        <w:rPr>
          <w:rFonts w:eastAsia="Book Antiqua"/>
        </w:rPr>
      </w:pPr>
      <w:r w:rsidRPr="000456FE">
        <w:rPr>
          <w:rFonts w:eastAsia="Book Antiqua"/>
        </w:rPr>
        <w:t>(cc</w:t>
      </w:r>
      <w:r w:rsidRPr="0085183A">
        <w:rPr>
          <w:rFonts w:eastAsia="Book Antiqua"/>
        </w:rPr>
        <w:t>)</w:t>
      </w:r>
      <w:r w:rsidR="00411AF0" w:rsidRPr="00D6453D">
        <w:rPr>
          <w:rFonts w:eastAsia="Book Antiqua"/>
        </w:rPr>
        <w:t>This measure commits additional funding of $73.</w:t>
      </w:r>
      <w:r w:rsidR="00DC70CF">
        <w:rPr>
          <w:rFonts w:eastAsia="Book Antiqua"/>
        </w:rPr>
        <w:t>3</w:t>
      </w:r>
      <w:r w:rsidR="00411AF0" w:rsidRPr="00D6453D">
        <w:rPr>
          <w:rFonts w:eastAsia="Book Antiqua"/>
        </w:rPr>
        <w:t xml:space="preserve"> million over 4 years. This measure was included in the contingency reserve in the 2022</w:t>
      </w:r>
      <w:r w:rsidR="00660645">
        <w:rPr>
          <w:rFonts w:eastAsia="Book Antiqua"/>
        </w:rPr>
        <w:noBreakHyphen/>
      </w:r>
      <w:r w:rsidR="00411AF0" w:rsidRPr="00D6453D">
        <w:rPr>
          <w:rFonts w:eastAsia="Book Antiqua"/>
        </w:rPr>
        <w:t>23 Budget.</w:t>
      </w:r>
    </w:p>
    <w:p w14:paraId="45587F3F" w14:textId="1B6AB4AA" w:rsidR="00076460" w:rsidRPr="00625155" w:rsidRDefault="006B5C22" w:rsidP="006F1610">
      <w:pPr>
        <w:pStyle w:val="TableHeadingcontinued"/>
      </w:pPr>
      <w:r w:rsidRPr="00625155" w:rsidDel="006B5C22">
        <w:t xml:space="preserve"> </w:t>
      </w:r>
    </w:p>
    <w:p w14:paraId="3CB6835E" w14:textId="44FD73AE" w:rsidR="00076460" w:rsidRPr="00625155" w:rsidRDefault="00076460" w:rsidP="00702304">
      <w:pPr>
        <w:sectPr w:rsidR="00076460" w:rsidRPr="00625155" w:rsidSect="00AD498C">
          <w:headerReference w:type="even" r:id="rId60"/>
          <w:headerReference w:type="default" r:id="rId61"/>
          <w:footerReference w:type="even" r:id="rId62"/>
          <w:footerReference w:type="default" r:id="rId63"/>
          <w:headerReference w:type="first" r:id="rId64"/>
          <w:footerReference w:type="first" r:id="rId65"/>
          <w:pgSz w:w="11906" w:h="16838" w:code="9"/>
          <w:pgMar w:top="2835" w:right="2098" w:bottom="2466" w:left="2098" w:header="1814" w:footer="1814" w:gutter="0"/>
          <w:cols w:space="708"/>
          <w:docGrid w:linePitch="360"/>
        </w:sectPr>
      </w:pPr>
    </w:p>
    <w:p w14:paraId="32E0682B" w14:textId="3C84DC89" w:rsidR="00076460" w:rsidRPr="00625155" w:rsidRDefault="00076460" w:rsidP="00E449DC">
      <w:pPr>
        <w:pStyle w:val="Heading1"/>
      </w:pPr>
      <w:bookmarkStart w:id="71" w:name="_Toc100752520"/>
      <w:bookmarkStart w:id="72" w:name="_Toc101281547"/>
      <w:r w:rsidRPr="00625155">
        <w:rPr>
          <w:rFonts w:cs="Arial"/>
        </w:rPr>
        <w:t>Appendix C: Statement of Risks</w:t>
      </w:r>
      <w:bookmarkEnd w:id="71"/>
      <w:bookmarkEnd w:id="72"/>
    </w:p>
    <w:p w14:paraId="51DD003D" w14:textId="3498FDF0" w:rsidR="00D445BF" w:rsidRPr="00651AEB" w:rsidRDefault="0064577B" w:rsidP="00C56E38">
      <w:pPr>
        <w:pStyle w:val="Heading2"/>
      </w:pPr>
      <w:bookmarkStart w:id="73" w:name="_Toc101281548"/>
      <w:r>
        <w:t>Overview</w:t>
      </w:r>
      <w:bookmarkEnd w:id="73"/>
    </w:p>
    <w:p w14:paraId="73831FE8" w14:textId="25A13F3D" w:rsidR="009239DA" w:rsidRDefault="00D445BF" w:rsidP="009239DA">
      <w:r>
        <w:t xml:space="preserve">Full details and explanations of fiscal risks, contingent liabilities and assets, and Government loans are provided in the </w:t>
      </w:r>
      <w:r w:rsidRPr="009239DA">
        <w:rPr>
          <w:i/>
        </w:rPr>
        <w:t>2022</w:t>
      </w:r>
      <w:r w:rsidR="00660645">
        <w:rPr>
          <w:i/>
        </w:rPr>
        <w:noBreakHyphen/>
      </w:r>
      <w:r w:rsidRPr="009239DA">
        <w:rPr>
          <w:i/>
        </w:rPr>
        <w:t>23 Budget Statement</w:t>
      </w:r>
      <w:r w:rsidRPr="00B167E7">
        <w:rPr>
          <w:i/>
        </w:rPr>
        <w:t xml:space="preserve"> 8: </w:t>
      </w:r>
      <w:r w:rsidRPr="009239DA">
        <w:rPr>
          <w:i/>
        </w:rPr>
        <w:t>Statement</w:t>
      </w:r>
      <w:r w:rsidRPr="00F312E8">
        <w:rPr>
          <w:i/>
        </w:rPr>
        <w:t xml:space="preserve"> of Risks</w:t>
      </w:r>
      <w:r>
        <w:t xml:space="preserve">. </w:t>
      </w:r>
      <w:r w:rsidR="009239DA" w:rsidRPr="00686B48">
        <w:t>That</w:t>
      </w:r>
      <w:r w:rsidR="009239DA">
        <w:t xml:space="preserve"> Statement includes all risks that meet a materiality threshold</w:t>
      </w:r>
      <w:r w:rsidR="00C901F4">
        <w:t xml:space="preserve"> – </w:t>
      </w:r>
      <w:r w:rsidR="009239DA">
        <w:t xml:space="preserve">a possible impact on the forward estimates greater than $20 million in any one year, or $50 million over the forward estimates period. </w:t>
      </w:r>
    </w:p>
    <w:p w14:paraId="086C06AA" w14:textId="4CEA1989" w:rsidR="009239DA" w:rsidRDefault="009239DA" w:rsidP="009239DA">
      <w:r>
        <w:t>Consistent with the Charter, the 2022 PEFO updates (where necessary) only those fiscal risks, contingent liabilities and assets, and Government loans that have arisen or materially changed since the 2022</w:t>
      </w:r>
      <w:r w:rsidR="00660645">
        <w:noBreakHyphen/>
      </w:r>
      <w:r>
        <w:t xml:space="preserve">23 Budget, and other risks that may have an effect on the fiscal outlook. </w:t>
      </w:r>
    </w:p>
    <w:p w14:paraId="33485324" w14:textId="64A14DDD" w:rsidR="009239DA" w:rsidRDefault="009239DA" w:rsidP="009239DA">
      <w:r w:rsidRPr="00115C92">
        <w:t xml:space="preserve">There is </w:t>
      </w:r>
      <w:r w:rsidR="007E19CD">
        <w:t>one</w:t>
      </w:r>
      <w:r w:rsidRPr="00115C92">
        <w:t xml:space="preserve"> specific fiscal risk</w:t>
      </w:r>
      <w:r>
        <w:t xml:space="preserve">, </w:t>
      </w:r>
      <w:r w:rsidR="00011D53">
        <w:t>one</w:t>
      </w:r>
      <w:r>
        <w:t xml:space="preserve"> significant but remote contingenc</w:t>
      </w:r>
      <w:r w:rsidR="0073637F">
        <w:t>y</w:t>
      </w:r>
      <w:r>
        <w:t xml:space="preserve">, and </w:t>
      </w:r>
      <w:r w:rsidR="007F7917">
        <w:t>three</w:t>
      </w:r>
      <w:r>
        <w:t xml:space="preserve"> contingent liabilities</w:t>
      </w:r>
      <w:r w:rsidRPr="00115C92">
        <w:t xml:space="preserve"> that have been updated following the 2022</w:t>
      </w:r>
      <w:r w:rsidR="00660645">
        <w:noBreakHyphen/>
      </w:r>
      <w:r w:rsidRPr="00115C92">
        <w:t>23 Budget. The updated risk</w:t>
      </w:r>
      <w:r>
        <w:t xml:space="preserve"> items </w:t>
      </w:r>
      <w:r w:rsidRPr="00115C92">
        <w:t xml:space="preserve">are </w:t>
      </w:r>
      <w:r>
        <w:t xml:space="preserve">included in the </w:t>
      </w:r>
      <w:r w:rsidRPr="00115C92">
        <w:t xml:space="preserve">relevant section below. </w:t>
      </w:r>
      <w:r>
        <w:t xml:space="preserve">All other risk and loan items included in the </w:t>
      </w:r>
      <w:r w:rsidRPr="00F00DC6">
        <w:rPr>
          <w:i/>
          <w:iCs/>
        </w:rPr>
        <w:t>2022</w:t>
      </w:r>
      <w:r w:rsidR="00660645">
        <w:rPr>
          <w:i/>
          <w:iCs/>
        </w:rPr>
        <w:noBreakHyphen/>
      </w:r>
      <w:r w:rsidRPr="00F00DC6">
        <w:rPr>
          <w:i/>
          <w:iCs/>
        </w:rPr>
        <w:t>23 Budget Statement 8: Statement</w:t>
      </w:r>
      <w:r w:rsidRPr="00F312E8">
        <w:rPr>
          <w:i/>
        </w:rPr>
        <w:t xml:space="preserve"> of Risks</w:t>
      </w:r>
      <w:r>
        <w:t xml:space="preserve"> </w:t>
      </w:r>
      <w:r w:rsidRPr="00115C92">
        <w:t>still accurately reflect the risk to the fiscal outlook.</w:t>
      </w:r>
    </w:p>
    <w:p w14:paraId="1DFEE979" w14:textId="79229548" w:rsidR="00D445BF" w:rsidRDefault="00D445BF" w:rsidP="001C592B">
      <w:pPr>
        <w:pStyle w:val="Heading3"/>
      </w:pPr>
      <w:bookmarkStart w:id="74" w:name="_Toc101281549"/>
      <w:r w:rsidRPr="00651AEB">
        <w:t xml:space="preserve">Fiscal </w:t>
      </w:r>
      <w:r w:rsidR="00380E5A">
        <w:t>r</w:t>
      </w:r>
      <w:r w:rsidRPr="00651AEB">
        <w:t>isks</w:t>
      </w:r>
      <w:bookmarkEnd w:id="74"/>
    </w:p>
    <w:p w14:paraId="1DBB3906" w14:textId="77777777" w:rsidR="00E826CE" w:rsidRDefault="00D445BF" w:rsidP="00E826CE">
      <w:r>
        <w:t xml:space="preserve">Fiscal risks comprise general developments or specific events that may affect the fiscal outlook. Some developments or events raise the possibility of a fiscal impact. In other cases, the likelihood of a fiscal impact may be reasonably certain, but will not be included in the forward estimates because the timing or magnitude is not known. </w:t>
      </w:r>
    </w:p>
    <w:p w14:paraId="32876CB4" w14:textId="598BE4DD" w:rsidR="00E826CE" w:rsidRDefault="00E826CE" w:rsidP="00E826CE">
      <w:r>
        <w:t>The receipt and payment estimates and projections published in the 2022 PEFO are based on a range of economic and other parameters, consistent with the 2022</w:t>
      </w:r>
      <w:r w:rsidR="00660645">
        <w:noBreakHyphen/>
      </w:r>
      <w:r>
        <w:t xml:space="preserve">23 Budget. If the economic outlook were to differ significantly from that presented in the PEFO, the receipt and payment estimates and projections would also change. </w:t>
      </w:r>
    </w:p>
    <w:p w14:paraId="106200D9" w14:textId="77777777" w:rsidR="00E826CE" w:rsidRDefault="00E826CE" w:rsidP="00E826CE">
      <w:r>
        <w:t xml:space="preserve">The economic and fiscal estimates and projections are based on the best professional judgment of the Treasury and the Department of Finance, reflecting all known information at the time of the issue of the election writs. To the extent that unanticipated changes in economic conditions occur, their impact will flow through to government payment and receipt forecasts. </w:t>
      </w:r>
    </w:p>
    <w:p w14:paraId="1AC734F0" w14:textId="77777777" w:rsidR="00E826CE" w:rsidRDefault="00E826CE" w:rsidP="00E826CE">
      <w:r>
        <w:t xml:space="preserve">Payment outcomes can also differ from forecasts for a number of reasons. </w:t>
      </w:r>
    </w:p>
    <w:p w14:paraId="6746A630" w14:textId="6FB88BF7" w:rsidR="00E826CE" w:rsidRDefault="00E826CE" w:rsidP="00E826CE">
      <w:r>
        <w:t>Demand</w:t>
      </w:r>
      <w:r w:rsidR="00660645">
        <w:noBreakHyphen/>
      </w:r>
      <w:r>
        <w:t>driven programs, such as payments to individuals for social welfare, form a large proportion of government expenditure. Forecasts of payments associated with demand</w:t>
      </w:r>
      <w:r w:rsidR="00660645">
        <w:noBreakHyphen/>
      </w:r>
      <w:r>
        <w:t>driven government programs, such as payments related to Child Care programs, health spending through Medicare and the Pharmaceutical Benefits Scheme, or the National Disability Insurance Scheme, vary depending on the number of expected participants or beneficiaries</w:t>
      </w:r>
      <w:r w:rsidR="007B3F76">
        <w:t>,</w:t>
      </w:r>
      <w:r>
        <w:t xml:space="preserve"> the nature and extent of their participation and underlying cost drivers. </w:t>
      </w:r>
      <w:r w:rsidRPr="00706FE5">
        <w:t xml:space="preserve">The costs relating to the provision of humanitarian support programs </w:t>
      </w:r>
      <w:r w:rsidRPr="00686B48">
        <w:t>are demand driven (for a capped number of migrants).</w:t>
      </w:r>
      <w:r w:rsidRPr="00706FE5">
        <w:t xml:space="preserve"> The cumulative impact of </w:t>
      </w:r>
      <w:r>
        <w:t xml:space="preserve">events such as </w:t>
      </w:r>
      <w:r w:rsidRPr="00706FE5">
        <w:t>the war in Ukraine and the humanitarian situation in Afghanistan, as well as the easing of restrictions in response to the COVID</w:t>
      </w:r>
      <w:r w:rsidR="00660645">
        <w:noBreakHyphen/>
      </w:r>
      <w:r w:rsidRPr="00706FE5">
        <w:t xml:space="preserve">19 pandemic, </w:t>
      </w:r>
      <w:r>
        <w:t>may</w:t>
      </w:r>
      <w:r w:rsidRPr="00706FE5">
        <w:t xml:space="preserve"> result in a different pattern of demand across the forward estimates to that previously forecast</w:t>
      </w:r>
      <w:r w:rsidR="00C901F4">
        <w:t xml:space="preserve">. </w:t>
      </w:r>
    </w:p>
    <w:p w14:paraId="1C6278D3" w14:textId="77777777" w:rsidR="00E826CE" w:rsidRDefault="00E826CE" w:rsidP="00E826CE">
      <w:r>
        <w:t>Forecasts of payments for a number of other government programs also depend on forecasts of economic conditions. For example, lower than forecast unemployment levels would mean that expenditure for related social services payments, including allowances, would be lower.</w:t>
      </w:r>
    </w:p>
    <w:p w14:paraId="08C1F406" w14:textId="323164ED" w:rsidR="00E826CE" w:rsidRDefault="00E826CE" w:rsidP="00E826CE">
      <w:r>
        <w:t>There are also fiscal risks stemming from Government responses to Royal Commissions. For instance, the Royal Commission into Defence and Veteran Suicide</w:t>
      </w:r>
      <w:r w:rsidR="002D0678">
        <w:t>,</w:t>
      </w:r>
      <w:r>
        <w:t xml:space="preserve"> and the Royal Commission into Violence, Abuse, Neglect and Exploitation of People with Disability may result in the Government providing additional funding to address resulting recommendations. There are also some recommendations of existing Royal Commission reports such as the Royal Commission into Aged Care Quality and Safety which the Government has committed to addressing, but for which responses are not yet fully developed, and which may result in additional expenditure. </w:t>
      </w:r>
    </w:p>
    <w:p w14:paraId="13BB3498" w14:textId="14631BCC" w:rsidR="00E826CE" w:rsidRDefault="00E826CE" w:rsidP="00E826CE">
      <w:r>
        <w:t xml:space="preserve">One </w:t>
      </w:r>
      <w:r w:rsidR="00721DCE">
        <w:t>f</w:t>
      </w:r>
      <w:r>
        <w:t xml:space="preserve">iscal </w:t>
      </w:r>
      <w:r w:rsidR="00721DCE">
        <w:t>r</w:t>
      </w:r>
      <w:r>
        <w:t>isk in the Foreign Affairs and Trade portfolio has been updated since the 2022</w:t>
      </w:r>
      <w:r w:rsidR="00660645">
        <w:noBreakHyphen/>
      </w:r>
      <w:r>
        <w:t xml:space="preserve">23 Budget: </w:t>
      </w:r>
    </w:p>
    <w:p w14:paraId="0757409E" w14:textId="3BA3883A" w:rsidR="00D445BF" w:rsidRPr="00B2701E" w:rsidRDefault="00D445BF" w:rsidP="005B5C15">
      <w:pPr>
        <w:pStyle w:val="Heading4"/>
        <w:rPr>
          <w:b w:val="0"/>
        </w:rPr>
      </w:pPr>
      <w:r w:rsidRPr="00B2701E">
        <w:t>Fiscal Risk</w:t>
      </w:r>
      <w:r w:rsidR="00C901F4">
        <w:rPr>
          <w:b w:val="0"/>
        </w:rPr>
        <w:t xml:space="preserve"> – </w:t>
      </w:r>
      <w:r w:rsidRPr="00B2701E">
        <w:rPr>
          <w:b w:val="0"/>
        </w:rPr>
        <w:t xml:space="preserve">Export Finance Australia – National Interest Account (NIA) </w:t>
      </w:r>
    </w:p>
    <w:p w14:paraId="469D25B6" w14:textId="3ADDCD60" w:rsidR="00927507" w:rsidRDefault="00927507" w:rsidP="00927507">
      <w:r>
        <w:t xml:space="preserve">There are </w:t>
      </w:r>
      <w:r w:rsidR="00D57564">
        <w:t>four</w:t>
      </w:r>
      <w:r>
        <w:t xml:space="preserve"> financing facilities under the NIA and, since the 2022</w:t>
      </w:r>
      <w:r w:rsidR="00660645">
        <w:noBreakHyphen/>
      </w:r>
      <w:r>
        <w:t>23 Budget, there has been changes to one of the financing facilities as detailed below.</w:t>
      </w:r>
    </w:p>
    <w:p w14:paraId="15BC82CC" w14:textId="4EF57AA6" w:rsidR="00927507" w:rsidRDefault="00927507" w:rsidP="00927507">
      <w:r>
        <w:t>The Critical Minerals Facility (the Facility) was established on 28 September 2021 to provide finance to critical minerals projects in Australia where private sector finance is unavailable or insufficient. The Facility has a maximum aggregate exposure of $2.0</w:t>
      </w:r>
      <w:r w:rsidR="00F92005">
        <w:t> </w:t>
      </w:r>
      <w:r>
        <w:t>billion. On 2 February 2022, the Australian Government announced two loans under the Facility with a total maximum value of approximately $239 million. In the 2022</w:t>
      </w:r>
      <w:r w:rsidR="00660645">
        <w:noBreakHyphen/>
      </w:r>
      <w:r>
        <w:t xml:space="preserve">23 Budget measure </w:t>
      </w:r>
      <w:r w:rsidRPr="00D93CDA">
        <w:rPr>
          <w:i/>
        </w:rPr>
        <w:t>Critical Minerals Facility</w:t>
      </w:r>
      <w:r w:rsidR="00C901F4">
        <w:rPr>
          <w:i/>
        </w:rPr>
        <w:t xml:space="preserve"> – </w:t>
      </w:r>
      <w:r w:rsidRPr="00D93CDA">
        <w:rPr>
          <w:i/>
        </w:rPr>
        <w:t>projects</w:t>
      </w:r>
      <w:r>
        <w:rPr>
          <w:i/>
        </w:rPr>
        <w:t>,</w:t>
      </w:r>
      <w:r>
        <w:t xml:space="preserve"> the Government announced that it was in negotiations for an additional loan. On</w:t>
      </w:r>
      <w:r w:rsidRPr="00F312E8">
        <w:t xml:space="preserve"> 4 April 2022, the Government announced </w:t>
      </w:r>
      <w:r>
        <w:t>this</w:t>
      </w:r>
      <w:r w:rsidRPr="00F312E8">
        <w:t xml:space="preserve"> additional loan </w:t>
      </w:r>
      <w:r>
        <w:t>of</w:t>
      </w:r>
      <w:r w:rsidRPr="00F312E8">
        <w:t xml:space="preserve"> $1.25 billion to Iluka Resources to support the establishment of Australia</w:t>
      </w:r>
      <w:r w:rsidR="00660645">
        <w:t>’</w:t>
      </w:r>
      <w:r w:rsidRPr="00F312E8">
        <w:t>s first integrated rare earths refinery in Western Australia.</w:t>
      </w:r>
      <w:r>
        <w:t xml:space="preserve"> The financial implications for these loans are not for publication and the fiscal impacts of the loan to Iluka is not reflected in the budget estimates to protect commercial sensitivities. These impacts will be reflected in future economic updates. </w:t>
      </w:r>
      <w:r w:rsidRPr="000B0B28">
        <w:t xml:space="preserve">As </w:t>
      </w:r>
      <w:r>
        <w:t>at</w:t>
      </w:r>
      <w:r w:rsidRPr="000B0B28">
        <w:t xml:space="preserve"> 11</w:t>
      </w:r>
      <w:r w:rsidR="00F92005">
        <w:t> </w:t>
      </w:r>
      <w:r w:rsidRPr="000B0B28">
        <w:t>April</w:t>
      </w:r>
      <w:r w:rsidR="00F92005">
        <w:t> </w:t>
      </w:r>
      <w:r w:rsidRPr="000B0B28">
        <w:t>2022, no funds have been drawn down from the Facility.</w:t>
      </w:r>
    </w:p>
    <w:p w14:paraId="4A3F99D1" w14:textId="77777777" w:rsidR="00D445BF" w:rsidRDefault="00D445BF" w:rsidP="005B5C15">
      <w:pPr>
        <w:pStyle w:val="Heading4"/>
      </w:pPr>
      <w:r w:rsidRPr="003D7ACA">
        <w:t xml:space="preserve">Unlegislated measures </w:t>
      </w:r>
    </w:p>
    <w:p w14:paraId="0DACFAA1" w14:textId="738ADC06" w:rsidR="004D0D5A" w:rsidRPr="00CF0FF1" w:rsidRDefault="00D445BF" w:rsidP="004D0D5A">
      <w:pPr>
        <w:rPr>
          <w:rFonts w:cstheme="minorHAnsi"/>
        </w:rPr>
      </w:pPr>
      <w:r w:rsidRPr="00CF0FF1">
        <w:rPr>
          <w:rFonts w:cstheme="minorHAnsi"/>
        </w:rPr>
        <w:t>In line with normal practice</w:t>
      </w:r>
      <w:r w:rsidR="004D0D5A">
        <w:rPr>
          <w:rFonts w:cstheme="minorHAnsi"/>
        </w:rPr>
        <w:t xml:space="preserve"> and</w:t>
      </w:r>
      <w:r w:rsidRPr="00CF0FF1">
        <w:rPr>
          <w:rFonts w:cstheme="minorHAnsi"/>
        </w:rPr>
        <w:t>, as was the case at the 20</w:t>
      </w:r>
      <w:r>
        <w:rPr>
          <w:rFonts w:cstheme="minorHAnsi"/>
        </w:rPr>
        <w:t>22</w:t>
      </w:r>
      <w:r w:rsidR="00660645">
        <w:rPr>
          <w:rFonts w:cstheme="minorHAnsi"/>
        </w:rPr>
        <w:noBreakHyphen/>
      </w:r>
      <w:r w:rsidRPr="00CF0FF1">
        <w:rPr>
          <w:rFonts w:cstheme="minorHAnsi"/>
        </w:rPr>
        <w:t>2</w:t>
      </w:r>
      <w:r>
        <w:rPr>
          <w:rFonts w:cstheme="minorHAnsi"/>
        </w:rPr>
        <w:t>3</w:t>
      </w:r>
      <w:r w:rsidRPr="00CF0FF1">
        <w:rPr>
          <w:rFonts w:cstheme="minorHAnsi"/>
        </w:rPr>
        <w:t xml:space="preserve"> Budget, </w:t>
      </w:r>
      <w:r w:rsidR="004D0D5A" w:rsidRPr="00CF0FF1">
        <w:rPr>
          <w:rFonts w:cstheme="minorHAnsi"/>
        </w:rPr>
        <w:t>the forward estimates in the PEFO</w:t>
      </w:r>
      <w:r w:rsidR="004D0D5A">
        <w:rPr>
          <w:rFonts w:cstheme="minorHAnsi"/>
        </w:rPr>
        <w:t xml:space="preserve"> reflect</w:t>
      </w:r>
      <w:r w:rsidRPr="00CF0FF1">
        <w:rPr>
          <w:rFonts w:cstheme="minorHAnsi"/>
        </w:rPr>
        <w:t xml:space="preserve"> the impact of all policy decisions, including those that remain unlegislated. The estimated net impact of all unlegislated policy decisions</w:t>
      </w:r>
      <w:r w:rsidR="004D0D5A" w:rsidRPr="00CF0FF1">
        <w:rPr>
          <w:rFonts w:cstheme="minorHAnsi"/>
        </w:rPr>
        <w:t xml:space="preserve"> over the </w:t>
      </w:r>
      <w:r w:rsidR="00D57564">
        <w:rPr>
          <w:rFonts w:cstheme="minorHAnsi"/>
        </w:rPr>
        <w:t>four</w:t>
      </w:r>
      <w:r w:rsidR="004D0D5A" w:rsidRPr="00CF0FF1">
        <w:rPr>
          <w:rFonts w:cstheme="minorHAnsi"/>
        </w:rPr>
        <w:t xml:space="preserve"> years to 202</w:t>
      </w:r>
      <w:r w:rsidR="004D0D5A">
        <w:rPr>
          <w:rFonts w:cstheme="minorHAnsi"/>
        </w:rPr>
        <w:t>5</w:t>
      </w:r>
      <w:r w:rsidR="00660645">
        <w:rPr>
          <w:rFonts w:cstheme="minorHAnsi"/>
        </w:rPr>
        <w:noBreakHyphen/>
      </w:r>
      <w:r w:rsidR="004D0D5A" w:rsidRPr="00CF0FF1">
        <w:rPr>
          <w:rFonts w:cstheme="minorHAnsi"/>
        </w:rPr>
        <w:t>2</w:t>
      </w:r>
      <w:r w:rsidR="004D0D5A">
        <w:rPr>
          <w:rFonts w:cstheme="minorHAnsi"/>
        </w:rPr>
        <w:t>6</w:t>
      </w:r>
      <w:r w:rsidRPr="00CF0FF1">
        <w:rPr>
          <w:rFonts w:cstheme="minorHAnsi"/>
        </w:rPr>
        <w:t xml:space="preserve">, announced prior to the PEFO and after taking account of parameter changes since the original announcement, is </w:t>
      </w:r>
      <w:r w:rsidR="004D0D5A">
        <w:rPr>
          <w:rFonts w:cstheme="minorHAnsi"/>
        </w:rPr>
        <w:t>a</w:t>
      </w:r>
      <w:r w:rsidRPr="00CF0FF1">
        <w:rPr>
          <w:rFonts w:cstheme="minorHAnsi"/>
        </w:rPr>
        <w:t xml:space="preserve"> </w:t>
      </w:r>
      <w:r w:rsidRPr="007B288C">
        <w:rPr>
          <w:rFonts w:cstheme="minorHAnsi"/>
        </w:rPr>
        <w:t>negative $54.3 billion in</w:t>
      </w:r>
      <w:r w:rsidRPr="00CF0FF1">
        <w:rPr>
          <w:rFonts w:cstheme="minorHAnsi"/>
        </w:rPr>
        <w:t xml:space="preserve"> underlying cash terms. </w:t>
      </w:r>
      <w:r w:rsidR="004D0D5A" w:rsidRPr="00CF0FF1">
        <w:rPr>
          <w:rFonts w:cstheme="minorHAnsi"/>
        </w:rPr>
        <w:t>This comprises</w:t>
      </w:r>
      <w:r w:rsidR="004D0D5A">
        <w:rPr>
          <w:rFonts w:cstheme="minorHAnsi"/>
        </w:rPr>
        <w:t>:</w:t>
      </w:r>
    </w:p>
    <w:p w14:paraId="4017AB95" w14:textId="767F415F" w:rsidR="004D0D5A" w:rsidRPr="00B167E7" w:rsidRDefault="004D0D5A" w:rsidP="004D0D5A">
      <w:pPr>
        <w:pStyle w:val="Bullet"/>
        <w:tabs>
          <w:tab w:val="clear" w:pos="283"/>
          <w:tab w:val="left" w:pos="284"/>
        </w:tabs>
        <w:ind w:left="284" w:hanging="284"/>
        <w:rPr>
          <w:rFonts w:eastAsiaTheme="minorHAnsi" w:cstheme="minorHAnsi"/>
          <w:lang w:eastAsia="en-US"/>
        </w:rPr>
      </w:pPr>
      <w:r w:rsidRPr="00B167E7">
        <w:rPr>
          <w:rFonts w:eastAsiaTheme="minorHAnsi" w:cstheme="minorHAnsi"/>
          <w:lang w:eastAsia="en-US"/>
        </w:rPr>
        <w:t>policy decisions made prior to the 2022</w:t>
      </w:r>
      <w:r w:rsidR="00660645">
        <w:rPr>
          <w:rFonts w:eastAsiaTheme="minorHAnsi" w:cstheme="minorHAnsi"/>
          <w:lang w:eastAsia="en-US"/>
        </w:rPr>
        <w:noBreakHyphen/>
      </w:r>
      <w:r w:rsidRPr="00B167E7">
        <w:rPr>
          <w:rFonts w:eastAsiaTheme="minorHAnsi" w:cstheme="minorHAnsi"/>
          <w:lang w:eastAsia="en-US"/>
        </w:rPr>
        <w:t xml:space="preserve">23 Budget that require legislation to be implemented, which have a net negative impact on the underlying cash balance of around $19.7 billion over the </w:t>
      </w:r>
      <w:r w:rsidR="00D57564">
        <w:rPr>
          <w:rFonts w:eastAsiaTheme="minorHAnsi" w:cstheme="minorHAnsi"/>
          <w:lang w:eastAsia="en-US"/>
        </w:rPr>
        <w:t>four</w:t>
      </w:r>
      <w:r w:rsidRPr="00B167E7">
        <w:rPr>
          <w:rFonts w:eastAsiaTheme="minorHAnsi" w:cstheme="minorHAnsi"/>
          <w:lang w:eastAsia="en-US"/>
        </w:rPr>
        <w:t xml:space="preserve"> years to 2025</w:t>
      </w:r>
      <w:r w:rsidR="00660645">
        <w:rPr>
          <w:rFonts w:eastAsiaTheme="minorHAnsi" w:cstheme="minorHAnsi"/>
          <w:lang w:eastAsia="en-US"/>
        </w:rPr>
        <w:noBreakHyphen/>
      </w:r>
      <w:r w:rsidRPr="00B167E7">
        <w:rPr>
          <w:rFonts w:eastAsiaTheme="minorHAnsi" w:cstheme="minorHAnsi"/>
          <w:lang w:eastAsia="en-US"/>
        </w:rPr>
        <w:t>26</w:t>
      </w:r>
    </w:p>
    <w:p w14:paraId="671E5CB3" w14:textId="45C75320" w:rsidR="004D0D5A" w:rsidRPr="00B167E7" w:rsidRDefault="004D0D5A" w:rsidP="004D0D5A">
      <w:pPr>
        <w:pStyle w:val="Bullet"/>
        <w:tabs>
          <w:tab w:val="clear" w:pos="283"/>
          <w:tab w:val="left" w:pos="284"/>
        </w:tabs>
        <w:ind w:left="284" w:hanging="284"/>
        <w:rPr>
          <w:rFonts w:eastAsiaTheme="minorHAnsi" w:cstheme="minorHAnsi"/>
          <w:lang w:eastAsia="en-US"/>
        </w:rPr>
      </w:pPr>
      <w:r w:rsidRPr="00B167E7">
        <w:rPr>
          <w:rFonts w:eastAsiaTheme="minorHAnsi" w:cstheme="minorHAnsi"/>
          <w:lang w:eastAsia="en-US"/>
        </w:rPr>
        <w:t>new policy decisions announced in the 2022</w:t>
      </w:r>
      <w:r w:rsidR="00660645">
        <w:rPr>
          <w:rFonts w:eastAsiaTheme="minorHAnsi" w:cstheme="minorHAnsi"/>
          <w:lang w:eastAsia="en-US"/>
        </w:rPr>
        <w:noBreakHyphen/>
      </w:r>
      <w:r w:rsidRPr="00B167E7">
        <w:rPr>
          <w:rFonts w:eastAsiaTheme="minorHAnsi" w:cstheme="minorHAnsi"/>
          <w:lang w:eastAsia="en-US"/>
        </w:rPr>
        <w:t xml:space="preserve">23 Budget that require legislation to be implemented, which have a net negative impact on the underlying cash balance of around $34.6 billion over the </w:t>
      </w:r>
      <w:r w:rsidR="00D57564">
        <w:rPr>
          <w:rFonts w:eastAsiaTheme="minorHAnsi" w:cstheme="minorHAnsi"/>
          <w:lang w:eastAsia="en-US"/>
        </w:rPr>
        <w:t>four</w:t>
      </w:r>
      <w:r w:rsidRPr="00B167E7">
        <w:rPr>
          <w:rFonts w:eastAsiaTheme="minorHAnsi" w:cstheme="minorHAnsi"/>
          <w:lang w:eastAsia="en-US"/>
        </w:rPr>
        <w:t xml:space="preserve"> years to 2025</w:t>
      </w:r>
      <w:r w:rsidR="00660645">
        <w:rPr>
          <w:rFonts w:eastAsiaTheme="minorHAnsi" w:cstheme="minorHAnsi"/>
          <w:lang w:eastAsia="en-US"/>
        </w:rPr>
        <w:noBreakHyphen/>
      </w:r>
      <w:r w:rsidRPr="00B167E7">
        <w:rPr>
          <w:rFonts w:eastAsiaTheme="minorHAnsi" w:cstheme="minorHAnsi"/>
          <w:lang w:eastAsia="en-US"/>
        </w:rPr>
        <w:t>26. This includes policy decisions with an estimated net negative impact of $19.0 billion that require annual appropriation bills but do not require any other enabling legislation to be implemented.</w:t>
      </w:r>
    </w:p>
    <w:p w14:paraId="12D73C9C" w14:textId="77777777" w:rsidR="004D0D5A" w:rsidRPr="00CF0FF1" w:rsidRDefault="004D0D5A" w:rsidP="004D0D5A">
      <w:pPr>
        <w:rPr>
          <w:rFonts w:cstheme="minorHAnsi"/>
        </w:rPr>
      </w:pPr>
      <w:r w:rsidRPr="00CF0FF1">
        <w:rPr>
          <w:rFonts w:cstheme="minorHAnsi"/>
        </w:rPr>
        <w:t>Consistent with normal practice, the estimates in the PEFO assume that unlegislated policy decisions will be legislated and take effect</w:t>
      </w:r>
      <w:r>
        <w:rPr>
          <w:rFonts w:cstheme="minorHAnsi"/>
        </w:rPr>
        <w:t xml:space="preserve"> from the next possible commencement date.</w:t>
      </w:r>
      <w:r w:rsidRPr="00CF0FF1">
        <w:rPr>
          <w:rFonts w:cstheme="minorHAnsi"/>
        </w:rPr>
        <w:t xml:space="preserve"> Where legislation is not passed </w:t>
      </w:r>
      <w:r>
        <w:rPr>
          <w:rFonts w:cstheme="minorHAnsi"/>
        </w:rPr>
        <w:t>by the scheduled commencement date</w:t>
      </w:r>
      <w:r w:rsidRPr="00CF0FF1">
        <w:rPr>
          <w:rFonts w:cstheme="minorHAnsi"/>
        </w:rPr>
        <w:t>, is passed with amendments to the original decision, or is rejected, there is a risk of a variation to the fiscal position outlined in the PEFO.</w:t>
      </w:r>
    </w:p>
    <w:p w14:paraId="663CF0A1" w14:textId="1802808B" w:rsidR="004D0D5A" w:rsidRPr="00CF0FF1" w:rsidRDefault="004D0D5A" w:rsidP="004D0D5A">
      <w:pPr>
        <w:rPr>
          <w:rFonts w:cstheme="minorHAnsi"/>
        </w:rPr>
      </w:pPr>
      <w:r w:rsidRPr="00327C81">
        <w:rPr>
          <w:rFonts w:cstheme="minorHAnsi"/>
        </w:rPr>
        <w:t xml:space="preserve">There are a number of tax measures included in the </w:t>
      </w:r>
      <w:r>
        <w:rPr>
          <w:rFonts w:cstheme="minorHAnsi"/>
        </w:rPr>
        <w:t>2022</w:t>
      </w:r>
      <w:r w:rsidR="00660645">
        <w:rPr>
          <w:rFonts w:cstheme="minorHAnsi"/>
        </w:rPr>
        <w:noBreakHyphen/>
      </w:r>
      <w:r>
        <w:rPr>
          <w:rFonts w:cstheme="minorHAnsi"/>
        </w:rPr>
        <w:t>23</w:t>
      </w:r>
      <w:r w:rsidRPr="00327C81">
        <w:rPr>
          <w:rFonts w:cstheme="minorHAnsi"/>
        </w:rPr>
        <w:t xml:space="preserve"> Budget that take effect on or before 1</w:t>
      </w:r>
      <w:r>
        <w:rPr>
          <w:rFonts w:cstheme="minorHAnsi"/>
        </w:rPr>
        <w:t> </w:t>
      </w:r>
      <w:r w:rsidRPr="00327C81">
        <w:rPr>
          <w:rFonts w:cstheme="minorHAnsi"/>
        </w:rPr>
        <w:t>July 20</w:t>
      </w:r>
      <w:r>
        <w:rPr>
          <w:rFonts w:cstheme="minorHAnsi"/>
        </w:rPr>
        <w:t>22</w:t>
      </w:r>
      <w:r w:rsidRPr="00327C81">
        <w:rPr>
          <w:rFonts w:cstheme="minorHAnsi"/>
        </w:rPr>
        <w:t xml:space="preserve">. Many of these measures can be legislated at a later time within </w:t>
      </w:r>
      <w:r>
        <w:rPr>
          <w:rFonts w:cstheme="minorHAnsi"/>
        </w:rPr>
        <w:t>2022</w:t>
      </w:r>
      <w:r w:rsidR="00660645">
        <w:rPr>
          <w:rFonts w:cstheme="minorHAnsi"/>
        </w:rPr>
        <w:noBreakHyphen/>
      </w:r>
      <w:r>
        <w:rPr>
          <w:rFonts w:cstheme="minorHAnsi"/>
        </w:rPr>
        <w:t>23</w:t>
      </w:r>
      <w:r w:rsidRPr="00327C81">
        <w:rPr>
          <w:rFonts w:cstheme="minorHAnsi"/>
        </w:rPr>
        <w:t xml:space="preserve"> without materially affecting the estimates.</w:t>
      </w:r>
    </w:p>
    <w:p w14:paraId="03F988DE" w14:textId="68B56B8B" w:rsidR="00D445BF" w:rsidRDefault="00337155" w:rsidP="00E06ACF">
      <w:pPr>
        <w:pStyle w:val="Heading2"/>
      </w:pPr>
      <w:bookmarkStart w:id="75" w:name="_Toc101281550"/>
      <w:r>
        <w:t>Contingent liabilities and assets</w:t>
      </w:r>
      <w:bookmarkEnd w:id="75"/>
    </w:p>
    <w:p w14:paraId="70F44579" w14:textId="77777777" w:rsidR="000D39EB" w:rsidRDefault="000D39EB" w:rsidP="000D39EB">
      <w:r>
        <w:t xml:space="preserve">There are a range of factors that may influence the actual budget outcome in future years, including matters that are not included in the fiscal forecasts because of uncertainty about their timing, magnitude or likelihood, and the realisation of contingent liabilities or assets. </w:t>
      </w:r>
    </w:p>
    <w:p w14:paraId="661A22F9" w14:textId="2752F9EB" w:rsidR="000D39EB" w:rsidRDefault="000D39EB" w:rsidP="000D39EB">
      <w:r>
        <w:t>As outlined in the 2022</w:t>
      </w:r>
      <w:r w:rsidR="00660645">
        <w:noBreakHyphen/>
      </w:r>
      <w:r>
        <w:t xml:space="preserve">23 Budget, a large number of the contingent liabilities reflect indemnities, including those relating to the Department of Defence, the Future Fund Management Agency and Future Fund Board of Guardians, and the Reserve Bank of Australia. </w:t>
      </w:r>
    </w:p>
    <w:p w14:paraId="13BC9994" w14:textId="77777777" w:rsidR="000D39EB" w:rsidRDefault="000D39EB" w:rsidP="000D39EB">
      <w:r>
        <w:t xml:space="preserve">The fiscal position is also subject to a number of guarantees issued by the Australian Government, such as those relating to guarantee schemes for the banking and financial sector, payments by the Export Finance and Insurance Corporation and the superannuation liabilities of the Commonwealth Bank prior to its sale to the private sector. </w:t>
      </w:r>
    </w:p>
    <w:p w14:paraId="455C848D" w14:textId="63EC947F" w:rsidR="000D39EB" w:rsidRDefault="000D39EB" w:rsidP="000D39EB">
      <w:r>
        <w:t>Other significant contingent liabilities relate to uncalled capital subscriptions and credit facilities to international financial institutions</w:t>
      </w:r>
      <w:r w:rsidR="006C709D">
        <w:t>,</w:t>
      </w:r>
      <w:r>
        <w:t xml:space="preserve"> and legal cases concerning the Australian Government.</w:t>
      </w:r>
    </w:p>
    <w:p w14:paraId="0956017F" w14:textId="03E0FBC3" w:rsidR="000D39EB" w:rsidRDefault="000D39EB" w:rsidP="000D39EB">
      <w:r w:rsidRPr="00B2701E">
        <w:t>There have been</w:t>
      </w:r>
      <w:r>
        <w:t xml:space="preserve"> </w:t>
      </w:r>
      <w:r w:rsidR="00D57564">
        <w:t>four</w:t>
      </w:r>
      <w:r>
        <w:t xml:space="preserve"> material updates </w:t>
      </w:r>
      <w:r w:rsidRPr="00B2701E">
        <w:t>to contingent liabilities and assets</w:t>
      </w:r>
      <w:r>
        <w:t xml:space="preserve"> following the 2022</w:t>
      </w:r>
      <w:r w:rsidR="00660645">
        <w:noBreakHyphen/>
      </w:r>
      <w:r>
        <w:t>23 Budget</w:t>
      </w:r>
      <w:r w:rsidR="00C901F4">
        <w:t xml:space="preserve"> – </w:t>
      </w:r>
      <w:r>
        <w:t xml:space="preserve">one update to a Contingent Liability in the Health portfolio, one update to a Contingent Liability in the </w:t>
      </w:r>
      <w:r w:rsidRPr="00B2701E">
        <w:t>Industry, Science, Energy and Resources</w:t>
      </w:r>
      <w:r>
        <w:t xml:space="preserve"> portfolio, </w:t>
      </w:r>
      <w:r w:rsidR="008E0260">
        <w:t>one</w:t>
      </w:r>
      <w:r>
        <w:t xml:space="preserve"> update to </w:t>
      </w:r>
      <w:r w:rsidR="008E0260">
        <w:t xml:space="preserve">a </w:t>
      </w:r>
      <w:r>
        <w:t>significant but remote contingenc</w:t>
      </w:r>
      <w:r w:rsidR="008E0260">
        <w:t>y</w:t>
      </w:r>
      <w:r>
        <w:t xml:space="preserve"> in the Infrastructure, Transport, Regional Development and Communications portfolio and one update to a Contingent Liability in the Prime Minister and Cabinet portfolio:</w:t>
      </w:r>
      <w:r w:rsidRPr="00B2701E">
        <w:t xml:space="preserve"> </w:t>
      </w:r>
    </w:p>
    <w:p w14:paraId="43842AAC" w14:textId="22CDB9A8" w:rsidR="000D39EB" w:rsidRDefault="000D39EB" w:rsidP="005B5C15">
      <w:pPr>
        <w:pStyle w:val="Heading4"/>
      </w:pPr>
      <w:r w:rsidRPr="003A4E37">
        <w:t>Contingent liability</w:t>
      </w:r>
      <w:r w:rsidR="00C901F4">
        <w:t xml:space="preserve"> – </w:t>
      </w:r>
      <w:r>
        <w:t>un</w:t>
      </w:r>
      <w:r w:rsidRPr="003A4E37">
        <w:t>quantifiable</w:t>
      </w:r>
      <w:r>
        <w:t xml:space="preserve"> – Major Sporting Events</w:t>
      </w:r>
    </w:p>
    <w:p w14:paraId="4065D18A" w14:textId="42B80C1F" w:rsidR="000D39EB" w:rsidRDefault="000D39EB" w:rsidP="000D39EB">
      <w:pPr>
        <w:rPr>
          <w:b/>
        </w:rPr>
      </w:pPr>
      <w:r w:rsidRPr="005B471A">
        <w:t xml:space="preserve">The </w:t>
      </w:r>
      <w:r>
        <w:t>Australian Government</w:t>
      </w:r>
      <w:r w:rsidRPr="005B471A">
        <w:t xml:space="preserve"> provided a commitment to support the hosting of the Commonwealth</w:t>
      </w:r>
      <w:r>
        <w:t> </w:t>
      </w:r>
      <w:r w:rsidRPr="005B471A">
        <w:t>Games 2026 in Victoria,</w:t>
      </w:r>
      <w:r>
        <w:t xml:space="preserve"> including the provision of government services,</w:t>
      </w:r>
      <w:r w:rsidRPr="005B471A">
        <w:t xml:space="preserve"> should Commonwealth Games Australia and the Victorian Government</w:t>
      </w:r>
      <w:r w:rsidR="00660645">
        <w:t>’</w:t>
      </w:r>
      <w:r w:rsidRPr="005B471A">
        <w:t>s bid be successful</w:t>
      </w:r>
      <w:r>
        <w:t>. On 12 April 2022, Victoria was selected to host the Commonwealth Games 2026, with regional hubs and athletes</w:t>
      </w:r>
      <w:r w:rsidR="00660645">
        <w:t>’</w:t>
      </w:r>
      <w:r>
        <w:t xml:space="preserve"> villages to be established in Geelong, Bendigo, Ballarat and Gippsland. The detail and cost of any Australian Government support is yet to be determined.</w:t>
      </w:r>
    </w:p>
    <w:p w14:paraId="1D2478CC" w14:textId="09DE2327" w:rsidR="000D39EB" w:rsidRPr="003A4E37" w:rsidRDefault="000D39EB" w:rsidP="005B5C15">
      <w:pPr>
        <w:pStyle w:val="Heading4"/>
        <w:rPr>
          <w:b w:val="0"/>
        </w:rPr>
      </w:pPr>
      <w:r w:rsidRPr="003A4E37">
        <w:t>Contingent liability</w:t>
      </w:r>
      <w:r w:rsidR="00C901F4">
        <w:t xml:space="preserve"> – </w:t>
      </w:r>
      <w:r w:rsidRPr="003A4E37">
        <w:t>quantifiable</w:t>
      </w:r>
      <w:r w:rsidR="00C901F4">
        <w:t xml:space="preserve"> – </w:t>
      </w:r>
      <w:r w:rsidRPr="003A4E37">
        <w:t xml:space="preserve">Underwriting of Transmission Projects </w:t>
      </w:r>
    </w:p>
    <w:p w14:paraId="1B3ADF89" w14:textId="77777777" w:rsidR="000D39EB" w:rsidRDefault="000D39EB" w:rsidP="000D39EB">
      <w:r>
        <w:t xml:space="preserve">The Australian Government is working with the New South Wales (NSW) and Victorian Governments to provide early works underwriting support to the </w:t>
      </w:r>
      <w:proofErr w:type="spellStart"/>
      <w:r>
        <w:t>HumeLink</w:t>
      </w:r>
      <w:proofErr w:type="spellEnd"/>
      <w:r>
        <w:t xml:space="preserve"> and the Victoria to NSW Interconnector West (VNI West) projects. </w:t>
      </w:r>
    </w:p>
    <w:p w14:paraId="3C9E51CD" w14:textId="77777777" w:rsidR="000D39EB" w:rsidRDefault="000D39EB" w:rsidP="000D39EB">
      <w:r>
        <w:t xml:space="preserve">The Australian Government and NSW Government have committed to underwrite early works for </w:t>
      </w:r>
      <w:proofErr w:type="spellStart"/>
      <w:r>
        <w:t>HumeLink</w:t>
      </w:r>
      <w:proofErr w:type="spellEnd"/>
      <w:r>
        <w:t xml:space="preserve"> (up to a total of $65.7 million). </w:t>
      </w:r>
    </w:p>
    <w:p w14:paraId="20B506CF" w14:textId="2B86E06E" w:rsidR="000D39EB" w:rsidRPr="000B0B28" w:rsidRDefault="000D39EB" w:rsidP="000D39EB">
      <w:pPr>
        <w:rPr>
          <w:iCs/>
        </w:rPr>
      </w:pPr>
      <w:r w:rsidRPr="000B0B28">
        <w:rPr>
          <w:iCs/>
        </w:rPr>
        <w:t xml:space="preserve">The Australian Government is underwriting TransGrid to deliver </w:t>
      </w:r>
      <w:r>
        <w:rPr>
          <w:iCs/>
        </w:rPr>
        <w:t>early works for VNI</w:t>
      </w:r>
      <w:r w:rsidR="00A738A8">
        <w:rPr>
          <w:iCs/>
        </w:rPr>
        <w:t> </w:t>
      </w:r>
      <w:r>
        <w:rPr>
          <w:iCs/>
        </w:rPr>
        <w:t>West in New </w:t>
      </w:r>
      <w:r w:rsidRPr="000B0B28">
        <w:rPr>
          <w:iCs/>
        </w:rPr>
        <w:t xml:space="preserve">South Wales (with a preferred route known as </w:t>
      </w:r>
      <w:proofErr w:type="spellStart"/>
      <w:r w:rsidRPr="000B0B28">
        <w:rPr>
          <w:iCs/>
        </w:rPr>
        <w:t>KerangLink</w:t>
      </w:r>
      <w:proofErr w:type="spellEnd"/>
      <w:r w:rsidRPr="000B0B28">
        <w:rPr>
          <w:iCs/>
        </w:rPr>
        <w:t>). The potential costs payable by the Australian Government for VNI West will be capped at $75.</w:t>
      </w:r>
      <w:r w:rsidR="004160E7" w:rsidRPr="000B0B28">
        <w:rPr>
          <w:iCs/>
        </w:rPr>
        <w:t>8</w:t>
      </w:r>
      <w:r w:rsidR="004160E7">
        <w:rPr>
          <w:iCs/>
        </w:rPr>
        <w:t> </w:t>
      </w:r>
      <w:r w:rsidRPr="000B0B28">
        <w:rPr>
          <w:iCs/>
        </w:rPr>
        <w:t>million.</w:t>
      </w:r>
    </w:p>
    <w:p w14:paraId="5BD2E4CD" w14:textId="3805772A" w:rsidR="000D39EB" w:rsidRDefault="000D39EB" w:rsidP="000D39EB">
      <w:r>
        <w:t xml:space="preserve">The Australian Government will provide up to $181.5 million in underwriting support under an agreement secured with the NSW transmission provider TransGrid to enable transmission lines being built from south of Coleambally to Wagga Wagga as part of Project </w:t>
      </w:r>
      <w:proofErr w:type="spellStart"/>
      <w:r>
        <w:t>EnergyConnect</w:t>
      </w:r>
      <w:proofErr w:type="spellEnd"/>
      <w:r>
        <w:t xml:space="preserve">, to be constructed at a larger capacity, which would reduce the future construction cost of the VNI West project. </w:t>
      </w:r>
    </w:p>
    <w:p w14:paraId="44A06FC1" w14:textId="77777777" w:rsidR="000D39EB" w:rsidRDefault="000D39EB" w:rsidP="000D39EB">
      <w:r>
        <w:t>Conditions for the underwritings to be called upon are likely to relate to the projects not achieving regulatory and approval requirements, but are also dependent on the final underwriting arrangements negotiated.</w:t>
      </w:r>
    </w:p>
    <w:p w14:paraId="59EC0C70" w14:textId="1DEDB17A" w:rsidR="000D39EB" w:rsidRPr="004A1BFD" w:rsidRDefault="000D39EB" w:rsidP="005B5C15">
      <w:pPr>
        <w:pStyle w:val="Heading4"/>
        <w:rPr>
          <w:b w:val="0"/>
        </w:rPr>
      </w:pPr>
      <w:r w:rsidRPr="004A1BFD">
        <w:t>Significant but remote continge</w:t>
      </w:r>
      <w:r>
        <w:t>ncy</w:t>
      </w:r>
      <w:r w:rsidR="00C901F4">
        <w:t xml:space="preserve"> – </w:t>
      </w:r>
      <w:r w:rsidRPr="004A1BFD">
        <w:t>WSA Co Limited</w:t>
      </w:r>
      <w:r w:rsidR="00C901F4">
        <w:t xml:space="preserve"> – </w:t>
      </w:r>
      <w:r w:rsidRPr="004A1BFD">
        <w:t>Sydney Metro</w:t>
      </w:r>
      <w:r w:rsidR="00660645">
        <w:noBreakHyphen/>
      </w:r>
      <w:r w:rsidRPr="004A1BFD">
        <w:t xml:space="preserve">Western Sydney Airport Indemnity </w:t>
      </w:r>
    </w:p>
    <w:p w14:paraId="4FA60FE9" w14:textId="65E4AEFA" w:rsidR="000D39EB" w:rsidRDefault="000D39EB" w:rsidP="000D39EB">
      <w:r>
        <w:t>The Australian Government has provided an indemnity to cover liabilities that may be incurred by WSA Co Limited related to the integration of the Sydney Metro</w:t>
      </w:r>
      <w:r w:rsidR="00660645">
        <w:noBreakHyphen/>
      </w:r>
      <w:r>
        <w:t>Western Sydney Airport project (delivered by the New South Wales Government) with the Western Sydney International (Nancy</w:t>
      </w:r>
      <w:r w:rsidR="00660645">
        <w:noBreakHyphen/>
      </w:r>
      <w:r>
        <w:t>Bird Walton) Airport, to the extent such liabilities are established in the Airport</w:t>
      </w:r>
      <w:r w:rsidR="00660645">
        <w:noBreakHyphen/>
      </w:r>
      <w:r>
        <w:t>Rail Integration Deed.</w:t>
      </w:r>
    </w:p>
    <w:p w14:paraId="2DB25B48" w14:textId="491AFC9A" w:rsidR="000D39EB" w:rsidRPr="00F973FB" w:rsidRDefault="000D39EB" w:rsidP="005B5C15">
      <w:pPr>
        <w:pStyle w:val="Heading4"/>
        <w:rPr>
          <w:b w:val="0"/>
        </w:rPr>
      </w:pPr>
      <w:r w:rsidRPr="00F973FB">
        <w:t>Contingent liabilit</w:t>
      </w:r>
      <w:r w:rsidR="000A614D">
        <w:t>y</w:t>
      </w:r>
      <w:r w:rsidRPr="00F973FB">
        <w:t xml:space="preserve"> – unquantifiable – Disaster Recovery</w:t>
      </w:r>
    </w:p>
    <w:p w14:paraId="2E649985" w14:textId="3F83D30D" w:rsidR="000D39EB" w:rsidRPr="00542FD2" w:rsidRDefault="000D39EB" w:rsidP="000D39EB">
      <w:pPr>
        <w:spacing w:after="220"/>
      </w:pPr>
      <w:r w:rsidRPr="00FE0536">
        <w:t xml:space="preserve">The Australian Government provides funding to states and territories (states) through the </w:t>
      </w:r>
      <w:r w:rsidRPr="00542FD2">
        <w:t>jointly funded Commonwealth</w:t>
      </w:r>
      <w:r w:rsidR="00660645">
        <w:noBreakHyphen/>
      </w:r>
      <w:r w:rsidRPr="00542FD2">
        <w:t>State Disaster Recovery Funding Arrangements (DRFA) to assist with natural disaster relief and recovery costs. States may claim DRFA funding if a natural disaster occurs and states</w:t>
      </w:r>
      <w:r w:rsidR="00660645">
        <w:t>’</w:t>
      </w:r>
      <w:r w:rsidRPr="00542FD2">
        <w:t xml:space="preserve"> relief and recovery expenditure for that event meets the </w:t>
      </w:r>
      <w:r>
        <w:t>thresholds</w:t>
      </w:r>
      <w:r w:rsidRPr="00542FD2">
        <w:t xml:space="preserve"> set out in the arrangements.</w:t>
      </w:r>
      <w:r>
        <w:t xml:space="preserve"> </w:t>
      </w:r>
    </w:p>
    <w:p w14:paraId="64625E47" w14:textId="3E857ED5" w:rsidR="000D39EB" w:rsidRPr="00F973FB" w:rsidRDefault="000D39EB" w:rsidP="000D39EB">
      <w:pPr>
        <w:rPr>
          <w:iCs/>
          <w:color w:val="000000" w:themeColor="text1"/>
        </w:rPr>
      </w:pPr>
      <w:r w:rsidRPr="00F973FB">
        <w:rPr>
          <w:color w:val="000000" w:themeColor="text1"/>
        </w:rPr>
        <w:t xml:space="preserve">Since </w:t>
      </w:r>
      <w:r>
        <w:rPr>
          <w:color w:val="000000" w:themeColor="text1"/>
        </w:rPr>
        <w:t xml:space="preserve">the </w:t>
      </w:r>
      <w:r w:rsidRPr="00F973FB">
        <w:rPr>
          <w:color w:val="000000" w:themeColor="text1"/>
        </w:rPr>
        <w:t>2022</w:t>
      </w:r>
      <w:r w:rsidR="00660645">
        <w:rPr>
          <w:color w:val="000000" w:themeColor="text1"/>
        </w:rPr>
        <w:noBreakHyphen/>
      </w:r>
      <w:r w:rsidRPr="00F973FB">
        <w:rPr>
          <w:color w:val="000000" w:themeColor="text1"/>
        </w:rPr>
        <w:t>23 Budget, the</w:t>
      </w:r>
      <w:r w:rsidR="000A614D">
        <w:rPr>
          <w:color w:val="000000" w:themeColor="text1"/>
        </w:rPr>
        <w:t xml:space="preserve"> Australian</w:t>
      </w:r>
      <w:r w:rsidRPr="00F973FB">
        <w:rPr>
          <w:color w:val="000000" w:themeColor="text1"/>
        </w:rPr>
        <w:t xml:space="preserve"> Government has agreed to support the NSW Government Regional Roads and Transport Recovery Package, to be funded under Category B or D of DRFA</w:t>
      </w:r>
      <w:r>
        <w:rPr>
          <w:color w:val="000000" w:themeColor="text1"/>
        </w:rPr>
        <w:t>,</w:t>
      </w:r>
      <w:r w:rsidRPr="00F973FB">
        <w:rPr>
          <w:color w:val="000000" w:themeColor="text1"/>
        </w:rPr>
        <w:t xml:space="preserve"> w</w:t>
      </w:r>
      <w:r>
        <w:rPr>
          <w:color w:val="000000" w:themeColor="text1"/>
        </w:rPr>
        <w:t>h</w:t>
      </w:r>
      <w:r w:rsidRPr="00F973FB">
        <w:rPr>
          <w:color w:val="000000" w:themeColor="text1"/>
        </w:rPr>
        <w:t>ere applicable</w:t>
      </w:r>
      <w:r w:rsidR="00C901F4">
        <w:rPr>
          <w:color w:val="000000" w:themeColor="text1"/>
        </w:rPr>
        <w:t xml:space="preserve">. </w:t>
      </w:r>
      <w:r w:rsidRPr="00F973FB">
        <w:rPr>
          <w:color w:val="000000" w:themeColor="text1"/>
        </w:rPr>
        <w:t xml:space="preserve">At this stage, the package is unquantifiable, with costs and timing of the </w:t>
      </w:r>
      <w:r>
        <w:rPr>
          <w:color w:val="000000" w:themeColor="text1"/>
        </w:rPr>
        <w:t>Australian Government</w:t>
      </w:r>
      <w:r w:rsidR="00660645">
        <w:rPr>
          <w:color w:val="000000" w:themeColor="text1"/>
        </w:rPr>
        <w:t>’</w:t>
      </w:r>
      <w:r w:rsidRPr="00F973FB">
        <w:rPr>
          <w:color w:val="000000" w:themeColor="text1"/>
        </w:rPr>
        <w:t xml:space="preserve">s contribution dependent upon </w:t>
      </w:r>
      <w:r>
        <w:rPr>
          <w:color w:val="000000" w:themeColor="text1"/>
        </w:rPr>
        <w:t xml:space="preserve">an </w:t>
      </w:r>
      <w:r w:rsidRPr="00F973FB">
        <w:rPr>
          <w:color w:val="000000" w:themeColor="text1"/>
        </w:rPr>
        <w:t>assessment of the flood impacted roads infrastructure being undertaken.</w:t>
      </w:r>
      <w:r w:rsidRPr="00F973FB">
        <w:rPr>
          <w:iCs/>
          <w:color w:val="000000" w:themeColor="text1"/>
        </w:rPr>
        <w:t xml:space="preserve"> </w:t>
      </w:r>
      <w:r>
        <w:rPr>
          <w:iCs/>
          <w:color w:val="000000" w:themeColor="text1"/>
        </w:rPr>
        <w:t xml:space="preserve">The </w:t>
      </w:r>
      <w:r w:rsidR="00DE012B">
        <w:rPr>
          <w:iCs/>
          <w:color w:val="000000" w:themeColor="text1"/>
        </w:rPr>
        <w:t xml:space="preserve">Australian </w:t>
      </w:r>
      <w:r>
        <w:rPr>
          <w:iCs/>
          <w:color w:val="000000" w:themeColor="text1"/>
        </w:rPr>
        <w:t>Government</w:t>
      </w:r>
      <w:r w:rsidRPr="00F973FB">
        <w:rPr>
          <w:iCs/>
          <w:color w:val="000000" w:themeColor="text1"/>
        </w:rPr>
        <w:t xml:space="preserve"> is also contributing funding under </w:t>
      </w:r>
      <w:r>
        <w:rPr>
          <w:iCs/>
          <w:color w:val="000000" w:themeColor="text1"/>
        </w:rPr>
        <w:t xml:space="preserve">a NSW Government </w:t>
      </w:r>
      <w:r w:rsidRPr="00F973FB">
        <w:rPr>
          <w:iCs/>
          <w:color w:val="000000" w:themeColor="text1"/>
        </w:rPr>
        <w:t>Community Infrastructure Recovery Package for the repair or replacement of community owned assets under DRFA</w:t>
      </w:r>
      <w:r>
        <w:rPr>
          <w:iCs/>
          <w:color w:val="000000" w:themeColor="text1"/>
        </w:rPr>
        <w:t>,</w:t>
      </w:r>
      <w:r w:rsidRPr="00F973FB">
        <w:rPr>
          <w:iCs/>
          <w:color w:val="000000" w:themeColor="text1"/>
        </w:rPr>
        <w:t xml:space="preserve"> where applicable</w:t>
      </w:r>
      <w:r>
        <w:rPr>
          <w:iCs/>
          <w:color w:val="000000" w:themeColor="text1"/>
        </w:rPr>
        <w:t>,</w:t>
      </w:r>
      <w:r w:rsidRPr="00F973FB">
        <w:rPr>
          <w:iCs/>
          <w:color w:val="000000" w:themeColor="text1"/>
        </w:rPr>
        <w:t xml:space="preserve"> with the costs yet to be quantified.</w:t>
      </w:r>
    </w:p>
    <w:p w14:paraId="2CC7B744" w14:textId="43E6BB3B" w:rsidR="000D39EB" w:rsidRDefault="000D39EB" w:rsidP="000D39EB">
      <w:r>
        <w:t xml:space="preserve">There are no other changes to the </w:t>
      </w:r>
      <w:r w:rsidRPr="00D93CDA">
        <w:t>Disaster Recovery</w:t>
      </w:r>
      <w:r>
        <w:t xml:space="preserve"> risks as reported in the 2022</w:t>
      </w:r>
      <w:r w:rsidR="00660645">
        <w:noBreakHyphen/>
      </w:r>
      <w:r>
        <w:t>23</w:t>
      </w:r>
      <w:r w:rsidR="00F92005">
        <w:t> </w:t>
      </w:r>
      <w:r>
        <w:t>Budget.</w:t>
      </w:r>
    </w:p>
    <w:p w14:paraId="04CE6DA5" w14:textId="559C945E" w:rsidR="000D39EB" w:rsidRPr="00C926FC" w:rsidRDefault="000D39EB" w:rsidP="00B167E7">
      <w:pPr>
        <w:pStyle w:val="Heading2"/>
      </w:pPr>
      <w:bookmarkStart w:id="76" w:name="_Toc101281551"/>
      <w:r w:rsidRPr="00C926FC">
        <w:t>G</w:t>
      </w:r>
      <w:r>
        <w:t>overnment</w:t>
      </w:r>
      <w:r w:rsidRPr="00C926FC">
        <w:t xml:space="preserve"> </w:t>
      </w:r>
      <w:r w:rsidR="00380E5A">
        <w:t>l</w:t>
      </w:r>
      <w:r>
        <w:t>oans</w:t>
      </w:r>
      <w:bookmarkEnd w:id="76"/>
      <w:r w:rsidRPr="00C926FC">
        <w:t xml:space="preserve"> </w:t>
      </w:r>
    </w:p>
    <w:p w14:paraId="7E51006B" w14:textId="6C1AB707" w:rsidR="000D39EB" w:rsidRPr="00651AEB" w:rsidRDefault="000D39EB" w:rsidP="000D39EB">
      <w:pPr>
        <w:rPr>
          <w:b/>
        </w:rPr>
      </w:pPr>
      <w:r w:rsidRPr="004A1BFD">
        <w:t>Consistent with the 2022</w:t>
      </w:r>
      <w:r w:rsidR="00660645">
        <w:noBreakHyphen/>
      </w:r>
      <w:r w:rsidRPr="004A1BFD">
        <w:t xml:space="preserve">23 Budget, the </w:t>
      </w:r>
      <w:r>
        <w:t>B</w:t>
      </w:r>
      <w:r w:rsidRPr="004A1BFD">
        <w:t>udget estimates include a number of loans, which all contain some element of credit risk that they will not be repaid in full, although in most cases this risk is small.</w:t>
      </w:r>
      <w:r w:rsidRPr="001922A9">
        <w:t xml:space="preserve"> </w:t>
      </w:r>
      <w:r w:rsidRPr="004A1BFD">
        <w:t>There have been no material updates to Government loans as disclosed in 2022</w:t>
      </w:r>
      <w:r w:rsidR="00660645">
        <w:noBreakHyphen/>
      </w:r>
      <w:r w:rsidRPr="004A1BFD">
        <w:t>23 Budget Statement 8.</w:t>
      </w:r>
      <w:r>
        <w:t xml:space="preserve"> In relation to the NBN </w:t>
      </w:r>
      <w:r w:rsidR="0014744C">
        <w:t>Co L</w:t>
      </w:r>
      <w:r>
        <w:t>oan, the NBN repaid a further $1.0 billion on 14 April 2022.</w:t>
      </w:r>
    </w:p>
    <w:p w14:paraId="4C52D505" w14:textId="1364D61D" w:rsidR="00755F34" w:rsidRPr="00625155" w:rsidRDefault="00755F34" w:rsidP="00702304"/>
    <w:sectPr w:rsidR="00755F34" w:rsidRPr="00625155" w:rsidSect="00943388">
      <w:headerReference w:type="even" r:id="rId66"/>
      <w:headerReference w:type="default" r:id="rId67"/>
      <w:footerReference w:type="even" r:id="rId68"/>
      <w:footerReference w:type="default" r:id="rId69"/>
      <w:headerReference w:type="first" r:id="rId70"/>
      <w:footerReference w:type="first" r:id="rId71"/>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0405" w14:textId="77777777" w:rsidR="004C7A48" w:rsidRDefault="004C7A48" w:rsidP="00E40261">
      <w:pPr>
        <w:spacing w:after="0" w:line="240" w:lineRule="auto"/>
      </w:pPr>
      <w:r>
        <w:separator/>
      </w:r>
    </w:p>
  </w:endnote>
  <w:endnote w:type="continuationSeparator" w:id="0">
    <w:p w14:paraId="6588FB40" w14:textId="77777777" w:rsidR="004C7A48" w:rsidRDefault="004C7A48" w:rsidP="00E40261">
      <w:pPr>
        <w:spacing w:after="0" w:line="240" w:lineRule="auto"/>
      </w:pPr>
      <w:r>
        <w:continuationSeparator/>
      </w:r>
    </w:p>
  </w:endnote>
  <w:endnote w:type="continuationNotice" w:id="1">
    <w:p w14:paraId="6B00C8AA" w14:textId="77777777" w:rsidR="004C7A48" w:rsidRDefault="004C7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ork Sans">
    <w:altName w:val="Times New Roman"/>
    <w:charset w:val="00"/>
    <w:family w:val="auto"/>
    <w:pitch w:val="variable"/>
    <w:sig w:usb0="A00000FF" w:usb1="5000E07B" w:usb2="00000000" w:usb3="00000000" w:csb0="00000193"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ork Sans Light">
    <w:altName w:val="Times New Roman"/>
    <w:charset w:val="00"/>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4EA3" w14:textId="0865F7C5" w:rsidR="00817E80" w:rsidRPr="00666094" w:rsidRDefault="00817E80" w:rsidP="008F2E2E">
    <w:pPr>
      <w:pStyle w:val="FooterEven"/>
    </w:pPr>
    <w:r>
      <w:fldChar w:fldCharType="begin"/>
    </w:r>
    <w:r>
      <w:instrText xml:space="preserve"> KEYWORDS  \* MERGEFORMAT </w:instrText>
    </w:r>
    <w:r>
      <w:fldChar w:fldCharType="end"/>
    </w:r>
    <w:r w:rsidRPr="00B3705D">
      <w:rPr>
        <w:b/>
      </w:rPr>
      <w:t xml:space="preserve">Page </w:t>
    </w:r>
    <w:r>
      <w:rPr>
        <w:b/>
        <w:bCs/>
      </w:rPr>
      <w:fldChar w:fldCharType="begin"/>
    </w:r>
    <w:r>
      <w:rPr>
        <w:b/>
        <w:bCs/>
      </w:rPr>
      <w:instrText xml:space="preserve"> PAGE  \* roman  \* MERGEFORMAT </w:instrText>
    </w:r>
    <w:r>
      <w:rPr>
        <w:b/>
        <w:bCs/>
      </w:rPr>
      <w:fldChar w:fldCharType="separate"/>
    </w:r>
    <w:r w:rsidR="00607701">
      <w:rPr>
        <w:b/>
        <w:bCs/>
        <w:noProof/>
      </w:rPr>
      <w:t>iv</w:t>
    </w:r>
    <w:r>
      <w:rPr>
        <w:b/>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06BF" w14:textId="271775DB" w:rsidR="00817E80" w:rsidRPr="00943A6D" w:rsidRDefault="00817E80" w:rsidP="0017653B">
    <w:pPr>
      <w:pStyle w:val="FooterOdd"/>
      <w:rPr>
        <w:b/>
      </w:rPr>
    </w:pPr>
    <w:r w:rsidRPr="00943A6D">
      <w:rPr>
        <w:b/>
      </w:rPr>
      <w:fldChar w:fldCharType="begin"/>
    </w:r>
    <w:r w:rsidRPr="00943A6D">
      <w:rPr>
        <w:b/>
      </w:rPr>
      <w:instrText xml:space="preserve"> KEYWORDS  \* MERGEFORMAT </w:instrText>
    </w:r>
    <w:r w:rsidRPr="00943A6D">
      <w:rPr>
        <w:b/>
      </w:rPr>
      <w:fldChar w:fldCharType="end"/>
    </w:r>
    <w:r w:rsidRPr="00943A6D">
      <w:rPr>
        <w:b/>
      </w:rPr>
      <w:t xml:space="preserve">Page </w:t>
    </w:r>
    <w:r w:rsidRPr="00943A6D">
      <w:rPr>
        <w:b/>
      </w:rPr>
      <w:fldChar w:fldCharType="begin"/>
    </w:r>
    <w:r w:rsidRPr="00943A6D">
      <w:rPr>
        <w:b/>
      </w:rPr>
      <w:instrText xml:space="preserve"> PAGE  \* roman  \* MERGEFORMAT </w:instrText>
    </w:r>
    <w:r w:rsidRPr="00943A6D">
      <w:rPr>
        <w:b/>
      </w:rPr>
      <w:fldChar w:fldCharType="separate"/>
    </w:r>
    <w:r w:rsidR="00607701">
      <w:rPr>
        <w:b/>
        <w:noProof/>
      </w:rPr>
      <w:t>ix</w:t>
    </w:r>
    <w:r w:rsidRPr="00943A6D">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9FC4" w14:textId="2B2A880E" w:rsidR="00817E80" w:rsidRDefault="00817E80"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4</w:t>
    </w:r>
    <w:r w:rsidRPr="00B3705D">
      <w:rPr>
        <w:b/>
        <w:bCs/>
      </w:rPr>
      <w:fldChar w:fldCharType="end"/>
    </w:r>
    <w:r w:rsidRPr="00B3705D">
      <w:t xml:space="preserve">  |  </w:t>
    </w:r>
    <w:r w:rsidR="00BD1AB0">
      <w:fldChar w:fldCharType="begin"/>
    </w:r>
    <w:r w:rsidR="00BD1AB0">
      <w:instrText>STYLEREF  "Heading 2"  \* MERGEFORMAT</w:instrText>
    </w:r>
    <w:r w:rsidR="00BD1AB0">
      <w:fldChar w:fldCharType="separate"/>
    </w:r>
    <w:r w:rsidR="001123A5">
      <w:rPr>
        <w:noProof/>
      </w:rPr>
      <w:t>Economic outlook</w:t>
    </w:r>
    <w:r w:rsidR="00BD1AB0">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1F9A" w14:textId="65550172" w:rsidR="00817E80" w:rsidRDefault="00BD1AB0" w:rsidP="002A6A16">
    <w:pPr>
      <w:pStyle w:val="FooterOdd"/>
    </w:pPr>
    <w:r>
      <w:fldChar w:fldCharType="begin"/>
    </w:r>
    <w:r>
      <w:instrText>STYLEREF  "Heading 2"  \* MERGEFORMAT</w:instrText>
    </w:r>
    <w:r>
      <w:fldChar w:fldCharType="separate"/>
    </w:r>
    <w:r w:rsidR="001123A5">
      <w:rPr>
        <w:noProof/>
      </w:rPr>
      <w:t>Economic outlook</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607701">
      <w:rPr>
        <w:b/>
        <w:bCs/>
        <w:noProof/>
      </w:rPr>
      <w:t>3</w:t>
    </w:r>
    <w:r w:rsidR="00817E80" w:rsidRPr="00B3705D">
      <w:rPr>
        <w:b/>
        <w:b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EB66" w14:textId="36A6877F" w:rsidR="00817E80" w:rsidRDefault="00BD1AB0" w:rsidP="00360947">
    <w:pPr>
      <w:pStyle w:val="FooterOdd"/>
    </w:pPr>
    <w:r>
      <w:fldChar w:fldCharType="begin"/>
    </w:r>
    <w:r>
      <w:instrText>STYLEREF  "Heading 2"  \* MERGEFORMAT</w:instrText>
    </w:r>
    <w:r>
      <w:fldChar w:fldCharType="separate"/>
    </w:r>
    <w:r w:rsidR="001123A5">
      <w:rPr>
        <w:noProof/>
      </w:rPr>
      <w:t>Overview</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290E22">
      <w:rPr>
        <w:b/>
        <w:bCs/>
        <w:noProof/>
      </w:rPr>
      <w:t>1</w:t>
    </w:r>
    <w:r w:rsidR="00817E80" w:rsidRPr="00B3705D">
      <w:rPr>
        <w:b/>
        <w:bCs/>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07B8" w14:textId="43339487" w:rsidR="00817E80" w:rsidRDefault="005A6973" w:rsidP="0034104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4</w:t>
    </w:r>
    <w:r w:rsidRPr="00B3705D">
      <w:rPr>
        <w:b/>
        <w:bCs/>
      </w:rPr>
      <w:fldChar w:fldCharType="end"/>
    </w:r>
    <w:r w:rsidRPr="00B3705D">
      <w:t xml:space="preserve">  |  </w:t>
    </w:r>
    <w:r w:rsidR="00BD1AB0">
      <w:fldChar w:fldCharType="begin"/>
    </w:r>
    <w:r w:rsidR="00BD1AB0">
      <w:instrText>STYLEREF  "Heading 2"  \* MERGEFORMAT</w:instrText>
    </w:r>
    <w:r w:rsidR="00BD1AB0">
      <w:fldChar w:fldCharType="separate"/>
    </w:r>
    <w:r w:rsidR="001123A5">
      <w:rPr>
        <w:noProof/>
      </w:rPr>
      <w:t>Economic outlook</w:t>
    </w:r>
    <w:r w:rsidR="00BD1AB0">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05F6" w14:textId="3EA0E1F6" w:rsidR="00817E80" w:rsidRDefault="00817E80"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8</w:t>
    </w:r>
    <w:r w:rsidRPr="00B3705D">
      <w:rPr>
        <w:b/>
        <w:bCs/>
      </w:rPr>
      <w:fldChar w:fldCharType="end"/>
    </w:r>
    <w:r w:rsidRPr="00B3705D">
      <w:t xml:space="preserve">  |  </w:t>
    </w:r>
    <w:r w:rsidR="00BD1AB0">
      <w:fldChar w:fldCharType="begin"/>
    </w:r>
    <w:r w:rsidR="00BD1AB0">
      <w:instrText>STYLEREF  "Heading 2"  \* MERGEFORMAT</w:instrText>
    </w:r>
    <w:r w:rsidR="00BD1AB0">
      <w:fldChar w:fldCharType="separate"/>
    </w:r>
    <w:r w:rsidR="001123A5">
      <w:rPr>
        <w:noProof/>
      </w:rPr>
      <w:t>Fiscal outlook</w:t>
    </w:r>
    <w:r w:rsidR="00BD1AB0">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3978" w14:textId="2F1DA288" w:rsidR="00817E80" w:rsidRDefault="00BD1AB0" w:rsidP="002A6A16">
    <w:pPr>
      <w:pStyle w:val="FooterOdd"/>
    </w:pPr>
    <w:r>
      <w:fldChar w:fldCharType="begin"/>
    </w:r>
    <w:r>
      <w:instrText>STYLEREF  "Heading 2"  \* MERGEFORMAT</w:instrText>
    </w:r>
    <w:r>
      <w:fldChar w:fldCharType="separate"/>
    </w:r>
    <w:r w:rsidR="001123A5">
      <w:rPr>
        <w:noProof/>
      </w:rPr>
      <w:t>Fiscal outlook</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607701">
      <w:rPr>
        <w:b/>
        <w:bCs/>
        <w:noProof/>
      </w:rPr>
      <w:t>7</w:t>
    </w:r>
    <w:r w:rsidR="00817E80" w:rsidRPr="00B3705D">
      <w:rPr>
        <w:b/>
        <w:bCs/>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4271" w14:textId="7C156FCB" w:rsidR="00817E80" w:rsidRDefault="00817E80" w:rsidP="00F45221">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290E22" w:rsidRPr="00290E22">
      <w:rPr>
        <w:b/>
        <w:bCs/>
        <w:noProof/>
      </w:rPr>
      <w:t>6</w:t>
    </w:r>
    <w:r w:rsidRPr="00B3705D">
      <w:rPr>
        <w:b/>
        <w:bCs/>
      </w:rPr>
      <w:fldChar w:fldCharType="end"/>
    </w:r>
    <w:r w:rsidRPr="00B3705D">
      <w:t xml:space="preserve">  |  </w:t>
    </w:r>
    <w:r w:rsidR="00BD1AB0">
      <w:fldChar w:fldCharType="begin"/>
    </w:r>
    <w:r w:rsidR="00BD1AB0">
      <w:instrText>STYLEREF  "Heading 2"  \* MERGEFORMAT</w:instrText>
    </w:r>
    <w:r w:rsidR="00BD1AB0">
      <w:fldChar w:fldCharType="separate"/>
    </w:r>
    <w:r w:rsidR="001123A5">
      <w:rPr>
        <w:noProof/>
      </w:rPr>
      <w:t>Fiscal outlook</w:t>
    </w:r>
    <w:r w:rsidR="00BD1AB0">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91DE" w14:textId="2E7C8ACD" w:rsidR="00817E80" w:rsidRDefault="00817E80"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20</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A: Financial Statements</w:t>
    </w:r>
    <w:r w:rsidR="00BD1AB0">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0487" w14:textId="55216253" w:rsidR="00817E80" w:rsidRDefault="00BD1AB0" w:rsidP="002A6A16">
    <w:pPr>
      <w:pStyle w:val="FooterOdd"/>
    </w:pPr>
    <w:r>
      <w:fldChar w:fldCharType="begin"/>
    </w:r>
    <w:r>
      <w:instrText>STYLEREF  "Heading 1"  \* MERGEFORMAT</w:instrText>
    </w:r>
    <w:r>
      <w:fldChar w:fldCharType="separate"/>
    </w:r>
    <w:r w:rsidR="001123A5">
      <w:rPr>
        <w:noProof/>
      </w:rPr>
      <w:t>Appendix A: Financial Statements</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607701">
      <w:rPr>
        <w:b/>
        <w:bCs/>
        <w:noProof/>
      </w:rPr>
      <w:t>19</w:t>
    </w:r>
    <w:r w:rsidR="00817E80" w:rsidRPr="00B3705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A708" w14:textId="1595DF6C" w:rsidR="00817E80" w:rsidRPr="00666094" w:rsidRDefault="00817E80" w:rsidP="008F2E2E">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sidR="00607701">
      <w:rPr>
        <w:b/>
        <w:bCs/>
        <w:noProof/>
      </w:rPr>
      <w:t>iii</w:t>
    </w:r>
    <w:r>
      <w:rPr>
        <w:b/>
        <w:bC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0EB1" w14:textId="1DF78F88" w:rsidR="00817E80" w:rsidRDefault="00817E80" w:rsidP="00943388">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18</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A: Financial Statements</w:t>
    </w:r>
    <w:r w:rsidR="00BD1AB0">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8258" w14:textId="40B80D66" w:rsidR="00817E80" w:rsidRDefault="005A6973" w:rsidP="0034104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26</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B: Policy decisions since the 2022-23 Budget</w:t>
    </w:r>
    <w:r w:rsidR="00BD1AB0">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0461" w14:textId="2A1D91EE" w:rsidR="00817E80" w:rsidRDefault="00817E80"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9</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B: Policy decisions since the 2022-23 Budget</w:t>
    </w:r>
    <w:r w:rsidR="00BD1AB0">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462C" w14:textId="41B9DDFC" w:rsidR="00817E80" w:rsidRDefault="00BD1AB0" w:rsidP="002A6A16">
    <w:pPr>
      <w:pStyle w:val="FooterOdd"/>
    </w:pPr>
    <w:r>
      <w:fldChar w:fldCharType="begin"/>
    </w:r>
    <w:r>
      <w:instrText>STYLEREF  "Heading 1"  \* MERGEFORMAT</w:instrText>
    </w:r>
    <w:r>
      <w:fldChar w:fldCharType="separate"/>
    </w:r>
    <w:r w:rsidR="001123A5">
      <w:rPr>
        <w:noProof/>
      </w:rPr>
      <w:t>Appendix B: Policy decisions since the 2022-23 Budget</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607701">
      <w:rPr>
        <w:b/>
        <w:bCs/>
        <w:noProof/>
      </w:rPr>
      <w:t>9</w:t>
    </w:r>
    <w:r w:rsidR="00817E80" w:rsidRPr="00B3705D">
      <w:rPr>
        <w:b/>
        <w:bC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1333" w14:textId="1FACB21E" w:rsidR="00817E80" w:rsidRDefault="00817E80" w:rsidP="00943388">
    <w:pPr>
      <w:pStyle w:val="FooterEven"/>
    </w:pPr>
    <w:r w:rsidRPr="00DD14C0">
      <w:rPr>
        <w:noProof/>
        <w:sz w:val="32"/>
        <w:szCs w:val="32"/>
      </w:rPr>
      <mc:AlternateContent>
        <mc:Choice Requires="wps">
          <w:drawing>
            <wp:anchor distT="0" distB="0" distL="0" distR="0" simplePos="0" relativeHeight="251658245" behindDoc="0" locked="1" layoutInCell="0" allowOverlap="1" wp14:anchorId="024B940A" wp14:editId="287B0319">
              <wp:simplePos x="0" y="0"/>
              <wp:positionH relativeFrom="page">
                <wp:posOffset>1323975</wp:posOffset>
              </wp:positionH>
              <wp:positionV relativeFrom="page">
                <wp:posOffset>9906000</wp:posOffset>
              </wp:positionV>
              <wp:extent cx="4910455" cy="695325"/>
              <wp:effectExtent l="0" t="0" r="4445" b="9525"/>
              <wp:wrapSquare wrapText="bothSides"/>
              <wp:docPr id="55"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3F3A1" w14:textId="16EA6954"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3AF60B3B"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B940A" id="_x0000_t202" coordsize="21600,21600" o:spt="202" path="m,l,21600r21600,l21600,xe">
              <v:stroke joinstyle="miter"/>
              <v:path gradientshapeok="t" o:connecttype="rect"/>
            </v:shapetype>
            <v:shape id="_x0000_s1031" type="#_x0000_t202" alt="Portrait Classification Footer" style="position:absolute;margin-left:104.25pt;margin-top:780pt;width:386.65pt;height:54.7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" o:allowincell="f" filled="f" stroked="f">
              <v:textbox inset="0,0,0,0">
                <w:txbxContent>
                  <w:p w14:paraId="0493F3A1" w14:textId="16EA6954"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3AF60B3B"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24</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B: Policy decisions since the 2022-23 Budget</w:t>
    </w:r>
    <w:r w:rsidR="00BD1AB0">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BCF5" w14:textId="6664DBEC" w:rsidR="00817E80" w:rsidRDefault="00817E80"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9</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C: Statement of Risks</w:t>
    </w:r>
    <w:r w:rsidR="00BD1AB0">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62CB" w14:textId="238454D6" w:rsidR="00817E80" w:rsidRDefault="00BD1AB0" w:rsidP="002A6A16">
    <w:pPr>
      <w:pStyle w:val="FooterOdd"/>
    </w:pPr>
    <w:r>
      <w:fldChar w:fldCharType="begin"/>
    </w:r>
    <w:r>
      <w:instrText>STYLEREF  "Heading 1"  \* MERGEFORMAT</w:instrText>
    </w:r>
    <w:r>
      <w:fldChar w:fldCharType="separate"/>
    </w:r>
    <w:r w:rsidR="001123A5">
      <w:rPr>
        <w:noProof/>
      </w:rPr>
      <w:t>Appendix C: Statement of Risks</w:t>
    </w:r>
    <w:r>
      <w:rPr>
        <w:noProof/>
      </w:rPr>
      <w:fldChar w:fldCharType="end"/>
    </w:r>
    <w:r w:rsidR="00817E80" w:rsidRPr="00B3705D">
      <w:t xml:space="preserve">  |  </w:t>
    </w:r>
    <w:r w:rsidR="00817E80" w:rsidRPr="00B3705D">
      <w:rPr>
        <w:b/>
        <w:bCs/>
      </w:rPr>
      <w:t xml:space="preserve">Page </w:t>
    </w:r>
    <w:r w:rsidR="00817E80" w:rsidRPr="00B3705D">
      <w:rPr>
        <w:b/>
        <w:bCs/>
      </w:rPr>
      <w:fldChar w:fldCharType="begin"/>
    </w:r>
    <w:r w:rsidR="00817E80" w:rsidRPr="00B3705D">
      <w:rPr>
        <w:b/>
        <w:bCs/>
      </w:rPr>
      <w:instrText xml:space="preserve"> PAGE  \* Arabic  \* MERGEFORMAT </w:instrText>
    </w:r>
    <w:r w:rsidR="00817E80" w:rsidRPr="00B3705D">
      <w:rPr>
        <w:b/>
        <w:bCs/>
      </w:rPr>
      <w:fldChar w:fldCharType="separate"/>
    </w:r>
    <w:r w:rsidR="00607701">
      <w:rPr>
        <w:b/>
        <w:bCs/>
        <w:noProof/>
      </w:rPr>
      <w:t>9</w:t>
    </w:r>
    <w:r w:rsidR="00817E80" w:rsidRPr="00B3705D">
      <w:rPr>
        <w:b/>
        <w:bC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EACD" w14:textId="343DA8A6" w:rsidR="00817E80" w:rsidRDefault="00817E80" w:rsidP="00E17FD0">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sidR="00607701">
      <w:rPr>
        <w:b/>
        <w:noProof/>
      </w:rPr>
      <w:t>9</w:t>
    </w:r>
    <w:r w:rsidRPr="00B3705D">
      <w:rPr>
        <w:b/>
        <w:bCs/>
      </w:rPr>
      <w:fldChar w:fldCharType="end"/>
    </w:r>
    <w:r w:rsidRPr="00B3705D">
      <w:t xml:space="preserve">  |  </w:t>
    </w:r>
    <w:r w:rsidR="00BD1AB0">
      <w:fldChar w:fldCharType="begin"/>
    </w:r>
    <w:r w:rsidR="00BD1AB0">
      <w:instrText>STYLEREF  "Heading 1"  \* MERGEFORMAT</w:instrText>
    </w:r>
    <w:r w:rsidR="00BD1AB0">
      <w:fldChar w:fldCharType="separate"/>
    </w:r>
    <w:r w:rsidR="001123A5">
      <w:rPr>
        <w:noProof/>
      </w:rPr>
      <w:t>Appendix C: Statement of Risks</w:t>
    </w:r>
    <w:r w:rsidR="00BD1AB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6E89" w14:textId="689B00C4" w:rsidR="00817E80" w:rsidRDefault="00817E80">
    <w:pPr>
      <w:pStyle w:val="Footer"/>
    </w:pPr>
    <w:r>
      <w:fldChar w:fldCharType="begin"/>
    </w:r>
    <w:r>
      <w:instrText xml:space="preserve"> KEYWORDS  \* MERGEFORMAT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FEEC" w14:textId="5242C1FD" w:rsidR="00817E80" w:rsidRPr="00666094" w:rsidRDefault="00817E80" w:rsidP="00CD7429">
    <w:pPr>
      <w:pStyle w:val="Footer"/>
    </w:pPr>
    <w:r>
      <w:fldChar w:fldCharType="begin"/>
    </w:r>
    <w:r>
      <w:instrText xml:space="preserve"> KEYWORDS  \* MERGEFORMAT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FE9A" w14:textId="668C53BA" w:rsidR="00817E80" w:rsidRPr="00666094" w:rsidRDefault="00817E80" w:rsidP="008F2E2E">
    <w:pPr>
      <w:pStyle w:val="FooterOdd"/>
    </w:pPr>
    <w:r>
      <w:fldChar w:fldCharType="begin"/>
    </w:r>
    <w:r>
      <w:instrText xml:space="preserve"> KEYWORDS  \* MERGEFORMAT </w:instrText>
    </w:r>
    <w:r>
      <w:fldChar w:fldCharType="end"/>
    </w:r>
    <w:r w:rsidRPr="00B3705D">
      <w:rPr>
        <w:b/>
        <w:bCs/>
      </w:rPr>
      <w:t xml:space="preserve">Page </w:t>
    </w:r>
    <w:r>
      <w:rPr>
        <w:b/>
        <w:bCs/>
      </w:rPr>
      <w:fldChar w:fldCharType="begin"/>
    </w:r>
    <w:r>
      <w:rPr>
        <w:b/>
        <w:bCs/>
      </w:rPr>
      <w:instrText xml:space="preserve"> PAGE  \* roman  \* MERGEFORMAT </w:instrText>
    </w:r>
    <w:r>
      <w:rPr>
        <w:b/>
        <w:bCs/>
      </w:rPr>
      <w:fldChar w:fldCharType="separate"/>
    </w:r>
    <w:r w:rsidR="00607701">
      <w:rPr>
        <w:b/>
        <w:bCs/>
        <w:noProof/>
      </w:rPr>
      <w:t>v</w:t>
    </w:r>
    <w:r>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A803" w14:textId="10C61751" w:rsidR="00817E80" w:rsidRPr="00070F83" w:rsidRDefault="00817E80" w:rsidP="006B2016">
    <w:pPr>
      <w:pStyle w:val="FooterOdd"/>
      <w:rPr>
        <w:b/>
      </w:rPr>
    </w:pPr>
    <w:r w:rsidRPr="00070F83">
      <w:rPr>
        <w:b/>
      </w:rPr>
      <w:fldChar w:fldCharType="begin"/>
    </w:r>
    <w:r w:rsidRPr="00070F83">
      <w:rPr>
        <w:b/>
      </w:rPr>
      <w:instrText xml:space="preserve"> KEYWORDS  \* MERGEFORMAT </w:instrText>
    </w:r>
    <w:r w:rsidRPr="00070F83">
      <w:rPr>
        <w:b/>
      </w:rPr>
      <w:fldChar w:fldCharType="end"/>
    </w:r>
    <w:r w:rsidRPr="00070F83">
      <w:rPr>
        <w:b/>
      </w:rPr>
      <w:t xml:space="preserve">Page </w:t>
    </w:r>
    <w:r w:rsidRPr="00070F83">
      <w:rPr>
        <w:b/>
      </w:rPr>
      <w:fldChar w:fldCharType="begin"/>
    </w:r>
    <w:r w:rsidRPr="00070F83">
      <w:rPr>
        <w:b/>
      </w:rPr>
      <w:instrText xml:space="preserve"> PAGE  \* roman  \* MERGEFORMAT </w:instrText>
    </w:r>
    <w:r w:rsidRPr="00070F83">
      <w:rPr>
        <w:b/>
      </w:rPr>
      <w:fldChar w:fldCharType="separate"/>
    </w:r>
    <w:r w:rsidR="00607701">
      <w:rPr>
        <w:b/>
        <w:noProof/>
      </w:rPr>
      <w:t>vi</w:t>
    </w:r>
    <w:r w:rsidRPr="00070F83">
      <w:rP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CE07" w14:textId="383128EF" w:rsidR="00817E80" w:rsidRPr="00943A6D" w:rsidRDefault="00817E80" w:rsidP="00943A6D">
    <w:pPr>
      <w:pStyle w:val="FooterEven"/>
      <w:rPr>
        <w:b/>
      </w:rPr>
    </w:pPr>
    <w:r w:rsidRPr="00943A6D">
      <w:rPr>
        <w:b/>
        <w:bCs/>
      </w:rPr>
      <w:fldChar w:fldCharType="begin"/>
    </w:r>
    <w:r w:rsidRPr="00943A6D">
      <w:rPr>
        <w:b/>
        <w:bCs/>
      </w:rPr>
      <w:instrText xml:space="preserve"> KEYWORDS  \* MERGEFORMAT </w:instrText>
    </w:r>
    <w:r w:rsidRPr="00943A6D">
      <w:rPr>
        <w:b/>
        <w:bCs/>
      </w:rPr>
      <w:fldChar w:fldCharType="end"/>
    </w:r>
    <w:r w:rsidRPr="00943A6D">
      <w:rPr>
        <w:b/>
        <w:bCs/>
      </w:rPr>
      <w:t xml:space="preserve">Page </w:t>
    </w:r>
    <w:r w:rsidRPr="00943A6D">
      <w:rPr>
        <w:b/>
        <w:bCs/>
      </w:rPr>
      <w:fldChar w:fldCharType="begin"/>
    </w:r>
    <w:r w:rsidRPr="00943A6D">
      <w:rPr>
        <w:b/>
        <w:bCs/>
      </w:rPr>
      <w:instrText xml:space="preserve"> PAGE  \* roman  \* MERGEFORMAT </w:instrText>
    </w:r>
    <w:r w:rsidRPr="00943A6D">
      <w:rPr>
        <w:b/>
        <w:bCs/>
      </w:rPr>
      <w:fldChar w:fldCharType="separate"/>
    </w:r>
    <w:r w:rsidR="00607701">
      <w:rPr>
        <w:b/>
        <w:bCs/>
        <w:noProof/>
      </w:rPr>
      <w:t>viii</w:t>
    </w:r>
    <w:r w:rsidRPr="00943A6D">
      <w:rP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93BB" w14:textId="5E5CA4B5" w:rsidR="00817E80" w:rsidRDefault="00817E80" w:rsidP="00360947">
    <w:pPr>
      <w:pStyle w:val="FooterEven"/>
    </w:pPr>
    <w:r w:rsidRPr="0017653B">
      <w:rPr>
        <w:b/>
        <w:noProof/>
        <w:sz w:val="32"/>
        <w:szCs w:val="32"/>
      </w:rPr>
      <mc:AlternateContent>
        <mc:Choice Requires="wps">
          <w:drawing>
            <wp:anchor distT="0" distB="0" distL="0" distR="0" simplePos="0" relativeHeight="251658243" behindDoc="0" locked="1" layoutInCell="0" allowOverlap="1" wp14:anchorId="0A51A3F2" wp14:editId="790B35F4">
              <wp:simplePos x="0" y="0"/>
              <wp:positionH relativeFrom="page">
                <wp:posOffset>1323975</wp:posOffset>
              </wp:positionH>
              <wp:positionV relativeFrom="page">
                <wp:posOffset>9906000</wp:posOffset>
              </wp:positionV>
              <wp:extent cx="4910455" cy="695325"/>
              <wp:effectExtent l="0" t="0" r="4445" b="9525"/>
              <wp:wrapSquare wrapText="bothSides"/>
              <wp:docPr id="54"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0C938" w14:textId="31931520"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0CF44941"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1A3F2" id="_x0000_t202" coordsize="21600,21600" o:spt="202" path="m,l,21600r21600,l21600,xe">
              <v:stroke joinstyle="miter"/>
              <v:path gradientshapeok="t" o:connecttype="rect"/>
            </v:shapetype>
            <v:shape id="Text Box 44" o:spid="_x0000_s1028" type="#_x0000_t202" alt="Portrait Classification Footer" style="position:absolute;margin-left:104.25pt;margin-top:780pt;width:386.65pt;height:54.7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" o:allowincell="f" filled="f" stroked="f">
              <v:textbox inset="0,0,0,0">
                <w:txbxContent>
                  <w:p w14:paraId="66C0C938" w14:textId="31931520"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0CF44941"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BD1AB0">
      <w:fldChar w:fldCharType="begin"/>
    </w:r>
    <w:r w:rsidR="00BD1AB0">
      <w:instrText>SUBJECT   \* MERGEFORMAT</w:instrText>
    </w:r>
    <w:r w:rsidR="00BD1AB0">
      <w:fldChar w:fldCharType="separate"/>
    </w:r>
    <w:r w:rsidR="001123A5">
      <w:t>Budget</w:t>
    </w:r>
    <w:r w:rsidR="00BD1AB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AE73" w14:textId="3FC8EDE2" w:rsidR="00817E80" w:rsidRDefault="00817E80" w:rsidP="002A6A16">
    <w:pPr>
      <w:pStyle w:val="FooterOdd"/>
    </w:pPr>
    <w:r w:rsidRPr="00DD14C0">
      <w:rPr>
        <w:noProof/>
        <w:sz w:val="32"/>
        <w:szCs w:val="32"/>
      </w:rPr>
      <mc:AlternateContent>
        <mc:Choice Requires="wps">
          <w:drawing>
            <wp:anchor distT="0" distB="0" distL="0" distR="0" simplePos="0" relativeHeight="251658242" behindDoc="0" locked="1" layoutInCell="0" allowOverlap="1" wp14:anchorId="7E417218" wp14:editId="2FC2EE04">
              <wp:simplePos x="0" y="0"/>
              <wp:positionH relativeFrom="page">
                <wp:posOffset>1323975</wp:posOffset>
              </wp:positionH>
              <wp:positionV relativeFrom="page">
                <wp:posOffset>9906000</wp:posOffset>
              </wp:positionV>
              <wp:extent cx="4910455" cy="695325"/>
              <wp:effectExtent l="0" t="0" r="4445" b="9525"/>
              <wp:wrapSquare wrapText="bothSides"/>
              <wp:docPr id="52" name="Text Box 44" descr="Portrait Classification 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9709D" w14:textId="6065B224"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48822F38"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17218" id="_x0000_t202" coordsize="21600,21600" o:spt="202" path="m,l,21600r21600,l21600,xe">
              <v:stroke joinstyle="miter"/>
              <v:path gradientshapeok="t" o:connecttype="rect"/>
            </v:shapetype>
            <v:shape id="_x0000_s1029" type="#_x0000_t202" alt="Portrait Classification Footer" style="position:absolute;left:0;text-align:left;margin-left:104.25pt;margin-top:780pt;width:386.65pt;height:54.7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" o:allowincell="f" filled="f" stroked="f">
              <v:textbox inset="0,0,0,0">
                <w:txbxContent>
                  <w:p w14:paraId="7B99709D" w14:textId="6065B224" w:rsidR="00817E80" w:rsidRDefault="00BD1AB0">
                    <w:pPr>
                      <w:pStyle w:val="FileProperties"/>
                      <w:tabs>
                        <w:tab w:val="right" w:pos="7711"/>
                      </w:tabs>
                    </w:pPr>
                    <w:r>
                      <w:fldChar w:fldCharType="begin"/>
                    </w:r>
                    <w:r>
                      <w:instrText>FILENAME  \* MERGEFORMAT</w:instrText>
                    </w:r>
                    <w:r>
                      <w:fldChar w:fldCharType="separate"/>
                    </w:r>
                    <w:r w:rsidR="001123A5">
                      <w:rPr>
                        <w:noProof/>
                      </w:rPr>
                      <w:t>PEFO 2022.docx</w:t>
                    </w:r>
                    <w:r>
                      <w:rPr>
                        <w:noProof/>
                      </w:rPr>
                      <w:fldChar w:fldCharType="end"/>
                    </w:r>
                    <w:r w:rsidR="00817E80">
                      <w:tab/>
                      <w:t xml:space="preserve">Printed:  </w:t>
                    </w:r>
                    <w:r w:rsidR="00817E80">
                      <w:fldChar w:fldCharType="begin"/>
                    </w:r>
                    <w:r w:rsidR="00817E80">
                      <w:instrText xml:space="preserve"> PRINTDATE \@ "d/MM/yy HH:mm:ss" \* MERGEFORMAT </w:instrText>
                    </w:r>
                    <w:r w:rsidR="00817E80">
                      <w:fldChar w:fldCharType="separate"/>
                    </w:r>
                    <w:r w:rsidR="001123A5">
                      <w:rPr>
                        <w:noProof/>
                      </w:rPr>
                      <w:t>20/04/22 10:47:00</w:t>
                    </w:r>
                    <w:r w:rsidR="00817E80">
                      <w:rPr>
                        <w:noProof/>
                      </w:rPr>
                      <w:fldChar w:fldCharType="end"/>
                    </w:r>
                  </w:p>
                  <w:p w14:paraId="48822F38"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r w:rsidR="00BD1AB0">
      <w:fldChar w:fldCharType="begin"/>
    </w:r>
    <w:r w:rsidR="00BD1AB0">
      <w:instrText>SUBJECT   \* MERGEFORMAT</w:instrText>
    </w:r>
    <w:r w:rsidR="00BD1AB0">
      <w:fldChar w:fldCharType="separate"/>
    </w:r>
    <w:r w:rsidR="001123A5">
      <w:t>Budget</w:t>
    </w:r>
    <w:r w:rsidR="00BD1AB0">
      <w:fldChar w:fldCharType="end"/>
    </w:r>
    <w:r w:rsidRPr="00B3705D">
      <w:t xml:space="preserve">  |  </w:t>
    </w:r>
    <w:r w:rsidRPr="00B3705D">
      <w:rPr>
        <w:b/>
        <w:bCs/>
      </w:rPr>
      <w:t xml:space="preserve">Page </w:t>
    </w:r>
    <w:r w:rsidRPr="00B3705D">
      <w:rPr>
        <w:b/>
        <w:bCs/>
      </w:rPr>
      <w:fldChar w:fldCharType="begin"/>
    </w:r>
    <w:r w:rsidRPr="00B3705D">
      <w:rPr>
        <w:b/>
        <w:bCs/>
      </w:rPr>
      <w:instrText xml:space="preserve"> PAGE  \* Arabic  \* MERGEFORMAT </w:instrText>
    </w:r>
    <w:r w:rsidRPr="00B3705D">
      <w:rPr>
        <w:b/>
        <w:bCs/>
      </w:rPr>
      <w:fldChar w:fldCharType="separate"/>
    </w:r>
    <w:r>
      <w:rPr>
        <w:b/>
        <w:bCs/>
      </w:rPr>
      <w:t>1</w:t>
    </w:r>
    <w:r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5842E" w14:textId="77777777" w:rsidR="004C7A48" w:rsidRDefault="004C7A48" w:rsidP="00E40261">
      <w:pPr>
        <w:spacing w:after="0" w:line="240" w:lineRule="auto"/>
      </w:pPr>
      <w:r>
        <w:separator/>
      </w:r>
    </w:p>
  </w:footnote>
  <w:footnote w:type="continuationSeparator" w:id="0">
    <w:p w14:paraId="5B98692A" w14:textId="77777777" w:rsidR="004C7A48" w:rsidRDefault="004C7A48" w:rsidP="00E40261">
      <w:pPr>
        <w:spacing w:after="0" w:line="240" w:lineRule="auto"/>
      </w:pPr>
      <w:r>
        <w:continuationSeparator/>
      </w:r>
    </w:p>
  </w:footnote>
  <w:footnote w:type="continuationNotice" w:id="1">
    <w:p w14:paraId="0FD4F135" w14:textId="77777777" w:rsidR="004C7A48" w:rsidRDefault="004C7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40C632EB" w14:textId="77777777" w:rsidTr="002A6A16">
      <w:trPr>
        <w:trHeight w:hRule="exact" w:val="340"/>
      </w:trPr>
      <w:tc>
        <w:tcPr>
          <w:tcW w:w="7797" w:type="dxa"/>
        </w:tcPr>
        <w:p w14:paraId="15643807" w14:textId="1F59C913" w:rsidR="00817E80" w:rsidRDefault="00BD1AB0" w:rsidP="008F55F8">
          <w:pPr>
            <w:pStyle w:val="HeaderEven"/>
            <w:ind w:left="-113"/>
          </w:pPr>
          <w:r>
            <w:fldChar w:fldCharType="begin"/>
          </w:r>
          <w:r>
            <w:instrText>TITLE   \* MERGEFORMAT</w:instrText>
          </w:r>
          <w:r>
            <w:fldChar w:fldCharType="separate"/>
          </w:r>
          <w:r w:rsidR="001123A5">
            <w:t>Pre-election Economic and Fiscal Outlook 2022</w:t>
          </w:r>
          <w:r>
            <w:fldChar w:fldCharType="end"/>
          </w:r>
        </w:p>
      </w:tc>
    </w:tr>
  </w:tbl>
  <w:p w14:paraId="11F69737" w14:textId="49AA47DD" w:rsidR="00817E80" w:rsidRDefault="00817E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72CA" w14:textId="3854A2EA" w:rsidR="00817E80" w:rsidRPr="000635BE" w:rsidRDefault="00817E80" w:rsidP="00CB2C88">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33F9B273" w14:textId="77777777" w:rsidTr="00E449DC">
      <w:trPr>
        <w:trHeight w:hRule="exact" w:val="340"/>
      </w:trPr>
      <w:tc>
        <w:tcPr>
          <w:tcW w:w="7797" w:type="dxa"/>
        </w:tcPr>
        <w:p w14:paraId="0FB87F56" w14:textId="2876D36B" w:rsidR="00817E80" w:rsidRDefault="00BD1AB0" w:rsidP="0034104B">
          <w:pPr>
            <w:pStyle w:val="HeaderEven"/>
          </w:pPr>
          <w:r>
            <w:fldChar w:fldCharType="begin"/>
          </w:r>
          <w:r>
            <w:instrText>TITLE   \* MERGEFORMAT</w:instrText>
          </w:r>
          <w:r>
            <w:fldChar w:fldCharType="separate"/>
          </w:r>
          <w:r w:rsidR="001123A5">
            <w:t>Pre-election Economic and Fiscal Outlook 2022</w:t>
          </w:r>
          <w:r>
            <w:fldChar w:fldCharType="end"/>
          </w:r>
        </w:p>
      </w:tc>
    </w:tr>
  </w:tbl>
  <w:p w14:paraId="0D3FC610" w14:textId="77777777" w:rsidR="00817E80" w:rsidRPr="00AA5439" w:rsidRDefault="00817E80" w:rsidP="00CB2C88">
    <w:pPr>
      <w:pStyle w:val="Header"/>
      <w:rPr>
        <w:sz w:val="2"/>
        <w:szCs w:val="2"/>
      </w:rPr>
    </w:pPr>
  </w:p>
  <w:p w14:paraId="60E34231" w14:textId="461D8BC3" w:rsidR="00817E80" w:rsidRPr="00CB2C88" w:rsidRDefault="00817E80" w:rsidP="00CB2C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948C" w14:textId="2802AF0E" w:rsidR="00817E80" w:rsidRPr="00AA5439" w:rsidRDefault="00817E80"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41EFEE7E" w14:textId="77777777" w:rsidTr="002A6A16">
      <w:trPr>
        <w:trHeight w:hRule="exact" w:val="340"/>
      </w:trPr>
      <w:tc>
        <w:tcPr>
          <w:tcW w:w="7797" w:type="dxa"/>
        </w:tcPr>
        <w:p w14:paraId="19AAA105" w14:textId="7F054390" w:rsidR="00817E80" w:rsidRDefault="00BD1AB0" w:rsidP="008F55F8">
          <w:pPr>
            <w:pStyle w:val="HeaderEven"/>
            <w:ind w:left="-113"/>
          </w:pPr>
          <w:r>
            <w:fldChar w:fldCharType="begin"/>
          </w:r>
          <w:r>
            <w:instrText>TITLE   \* MERGEFORMAT</w:instrText>
          </w:r>
          <w:r>
            <w:fldChar w:fldCharType="separate"/>
          </w:r>
          <w:r w:rsidR="001123A5">
            <w:t>Pre-election Economic and Fiscal Outlook 2022</w:t>
          </w:r>
          <w:r>
            <w:fldChar w:fldCharType="end"/>
          </w:r>
        </w:p>
      </w:tc>
    </w:tr>
  </w:tbl>
  <w:p w14:paraId="2C9D4206" w14:textId="77777777" w:rsidR="00817E80" w:rsidRPr="00AA5439" w:rsidRDefault="00817E80" w:rsidP="00AA5439">
    <w:pPr>
      <w:pStyle w:val="HeaderEven"/>
      <w:rPr>
        <w:sz w:val="2"/>
        <w:szCs w:val="4"/>
      </w:rPr>
    </w:pPr>
  </w:p>
  <w:p w14:paraId="27FAA963" w14:textId="77777777" w:rsidR="00817E80" w:rsidRPr="007703C7" w:rsidRDefault="00817E80" w:rsidP="007703C7">
    <w:pPr>
      <w:pStyle w:val="Heade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7813" w14:textId="6C67EE23" w:rsidR="00817E80" w:rsidRPr="000635BE" w:rsidRDefault="00817E80"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20836BDD" w14:textId="77777777" w:rsidTr="002A6A16">
      <w:trPr>
        <w:trHeight w:hRule="exact" w:val="340"/>
      </w:trPr>
      <w:tc>
        <w:tcPr>
          <w:tcW w:w="7797" w:type="dxa"/>
        </w:tcPr>
        <w:p w14:paraId="315838AF" w14:textId="30051DF2"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6CCDD267" w14:textId="77777777" w:rsidR="00817E80" w:rsidRPr="00AA5439" w:rsidRDefault="00817E80" w:rsidP="00AA5439">
    <w:pPr>
      <w:pStyle w:val="Heade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3509" w14:textId="36DD584E" w:rsidR="00817E80" w:rsidRPr="000635BE" w:rsidRDefault="00817E80" w:rsidP="009B4CC8">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338F541B" w14:textId="77777777" w:rsidTr="002A6A16">
      <w:trPr>
        <w:trHeight w:hRule="exact" w:val="340"/>
      </w:trPr>
      <w:tc>
        <w:tcPr>
          <w:tcW w:w="7797" w:type="dxa"/>
        </w:tcPr>
        <w:p w14:paraId="3FDA44D4" w14:textId="4CE75168" w:rsidR="00817E80" w:rsidRDefault="00BD1AB0" w:rsidP="008F55F8">
          <w:pPr>
            <w:pStyle w:val="HeaderEven"/>
            <w:ind w:left="-113"/>
          </w:pPr>
          <w:r>
            <w:fldChar w:fldCharType="begin"/>
          </w:r>
          <w:r>
            <w:instrText>TITLE   \* MERGEFORMAT</w:instrText>
          </w:r>
          <w:r>
            <w:fldChar w:fldCharType="separate"/>
          </w:r>
          <w:r w:rsidR="001123A5">
            <w:t>Pre-election Economic and Fiscal Outlook 2022</w:t>
          </w:r>
          <w:r>
            <w:fldChar w:fldCharType="end"/>
          </w:r>
        </w:p>
      </w:tc>
    </w:tr>
  </w:tbl>
  <w:p w14:paraId="2015DBDD" w14:textId="77777777" w:rsidR="00817E80" w:rsidRPr="00AA5439" w:rsidRDefault="00817E80" w:rsidP="009B4CC8">
    <w:pPr>
      <w:pStyle w:val="Header"/>
      <w:rPr>
        <w:sz w:val="2"/>
        <w:szCs w:val="2"/>
      </w:rPr>
    </w:pPr>
  </w:p>
  <w:p w14:paraId="0ADC9803" w14:textId="41544B87" w:rsidR="00817E80" w:rsidRPr="009B4CC8" w:rsidRDefault="00817E80" w:rsidP="009B4C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D77F" w14:textId="65DA057B" w:rsidR="00817E80" w:rsidRPr="00AA5439" w:rsidRDefault="00817E80"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3EB46BC5" w14:textId="77777777" w:rsidTr="002A6A16">
      <w:trPr>
        <w:trHeight w:hRule="exact" w:val="340"/>
      </w:trPr>
      <w:tc>
        <w:tcPr>
          <w:tcW w:w="7797" w:type="dxa"/>
        </w:tcPr>
        <w:p w14:paraId="7A94EF7C" w14:textId="710E89F7" w:rsidR="00817E80" w:rsidRDefault="00BD1AB0" w:rsidP="008F55F8">
          <w:pPr>
            <w:pStyle w:val="HeaderEven"/>
            <w:ind w:left="-113"/>
          </w:pPr>
          <w:r>
            <w:fldChar w:fldCharType="begin"/>
          </w:r>
          <w:r>
            <w:instrText>TITLE   \* MERGEFORMAT</w:instrText>
          </w:r>
          <w:r>
            <w:fldChar w:fldCharType="separate"/>
          </w:r>
          <w:r w:rsidR="001123A5">
            <w:t>Pre-election Economic and Fiscal Outlook 2022</w:t>
          </w:r>
          <w:r>
            <w:fldChar w:fldCharType="end"/>
          </w:r>
        </w:p>
      </w:tc>
    </w:tr>
  </w:tbl>
  <w:p w14:paraId="2A974AFF" w14:textId="77777777" w:rsidR="00817E80" w:rsidRPr="00AA5439" w:rsidRDefault="00817E80" w:rsidP="00AA5439">
    <w:pPr>
      <w:pStyle w:val="HeaderEven"/>
      <w:rPr>
        <w:sz w:val="2"/>
        <w:szCs w:val="4"/>
      </w:rPr>
    </w:pPr>
  </w:p>
  <w:p w14:paraId="0924D7BB" w14:textId="77777777" w:rsidR="00817E80" w:rsidRPr="007703C7" w:rsidRDefault="00817E80" w:rsidP="007703C7">
    <w:pPr>
      <w:pStyle w:val="Header"/>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5B2" w14:textId="73C71A2C" w:rsidR="00817E80" w:rsidRPr="000635BE" w:rsidRDefault="00817E80"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33010392" w14:textId="77777777" w:rsidTr="002A6A16">
      <w:trPr>
        <w:trHeight w:hRule="exact" w:val="340"/>
      </w:trPr>
      <w:tc>
        <w:tcPr>
          <w:tcW w:w="7797" w:type="dxa"/>
        </w:tcPr>
        <w:p w14:paraId="5A776F98" w14:textId="1E6AD570"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48F2BA5A" w14:textId="77777777" w:rsidR="00817E80" w:rsidRPr="00AA5439" w:rsidRDefault="00817E80" w:rsidP="00AA5439">
    <w:pPr>
      <w:pStyle w:val="Header"/>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8696" w14:textId="463CFC1D" w:rsidR="00817E80" w:rsidRDefault="00817E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36C5" w14:textId="733189F2" w:rsidR="00817E80" w:rsidRPr="00AA5439" w:rsidRDefault="00817E80"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5A8907DC" w14:textId="77777777" w:rsidTr="002A6A16">
      <w:trPr>
        <w:trHeight w:hRule="exact" w:val="340"/>
      </w:trPr>
      <w:tc>
        <w:tcPr>
          <w:tcW w:w="7797" w:type="dxa"/>
        </w:tcPr>
        <w:p w14:paraId="5B07EFD8" w14:textId="4DCE68E5" w:rsidR="00817E80" w:rsidRDefault="00817E80" w:rsidP="008F55F8">
          <w:pPr>
            <w:pStyle w:val="HeaderEven"/>
            <w:ind w:left="-113"/>
          </w:pPr>
          <w:r>
            <w:t xml:space="preserve"> </w:t>
          </w:r>
          <w:r w:rsidR="00BD1AB0">
            <w:fldChar w:fldCharType="begin"/>
          </w:r>
          <w:r w:rsidR="00BD1AB0">
            <w:instrText>TITLE   \* MERGEFORMAT</w:instrText>
          </w:r>
          <w:r w:rsidR="00BD1AB0">
            <w:fldChar w:fldCharType="separate"/>
          </w:r>
          <w:r w:rsidR="001123A5">
            <w:t>Pre-election Economic and Fiscal Outlook 2022</w:t>
          </w:r>
          <w:r w:rsidR="00BD1AB0">
            <w:fldChar w:fldCharType="end"/>
          </w:r>
        </w:p>
      </w:tc>
    </w:tr>
  </w:tbl>
  <w:p w14:paraId="55FF6D52" w14:textId="77777777" w:rsidR="00817E80" w:rsidRPr="00AA5439" w:rsidRDefault="00817E80" w:rsidP="00AA5439">
    <w:pPr>
      <w:pStyle w:val="HeaderEven"/>
      <w:rPr>
        <w:sz w:val="2"/>
        <w:szCs w:val="4"/>
      </w:rPr>
    </w:pPr>
  </w:p>
  <w:p w14:paraId="4311B9EE" w14:textId="77777777" w:rsidR="00817E80" w:rsidRPr="007703C7" w:rsidRDefault="00817E80" w:rsidP="007703C7">
    <w:pPr>
      <w:pStyle w:val="Header"/>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A038" w14:textId="16DFDBFA" w:rsidR="00817E80" w:rsidRPr="000635BE" w:rsidRDefault="00817E80"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12B5CBDC" w14:textId="77777777" w:rsidTr="002A6A16">
      <w:trPr>
        <w:trHeight w:hRule="exact" w:val="340"/>
      </w:trPr>
      <w:tc>
        <w:tcPr>
          <w:tcW w:w="7797" w:type="dxa"/>
        </w:tcPr>
        <w:p w14:paraId="0EDB6B73" w14:textId="0EE89A62"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635A696C" w14:textId="77777777" w:rsidR="00817E80" w:rsidRPr="00AA5439" w:rsidRDefault="00817E80" w:rsidP="00AA5439">
    <w:pPr>
      <w:pStyle w:val="Header"/>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8A33" w14:textId="77777777" w:rsidR="00817E80" w:rsidRDefault="00817E80">
    <w:pPr>
      <w:pStyle w:val="Header"/>
    </w:pPr>
    <w:r>
      <w:rPr>
        <w:noProof/>
      </w:rPr>
      <mc:AlternateContent>
        <mc:Choice Requires="wps">
          <w:drawing>
            <wp:anchor distT="0" distB="0" distL="0" distR="0" simplePos="0" relativeHeight="251658244" behindDoc="0" locked="1" layoutInCell="0" allowOverlap="1" wp14:anchorId="29BE23F1" wp14:editId="7E75A518">
              <wp:simplePos x="0" y="0"/>
              <wp:positionH relativeFrom="page">
                <wp:posOffset>1321435</wp:posOffset>
              </wp:positionH>
              <wp:positionV relativeFrom="page">
                <wp:posOffset>360045</wp:posOffset>
              </wp:positionV>
              <wp:extent cx="4910455" cy="615315"/>
              <wp:effectExtent l="0" t="0" r="0" b="0"/>
              <wp:wrapSquare wrapText="bothSides"/>
              <wp:docPr id="51"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9EE2"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23F1" id="_x0000_t202" coordsize="21600,21600" o:spt="202" path="m,l,21600r21600,l21600,xe">
              <v:stroke joinstyle="miter"/>
              <v:path gradientshapeok="t" o:connecttype="rect"/>
            </v:shapetype>
            <v:shape id="_x0000_s1030" type="#_x0000_t202" alt="Portrait Classification Header" style="position:absolute;margin-left:104.05pt;margin-top:28.35pt;width:386.65pt;height:48.4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" o:allowincell="f" filled="f" stroked="f">
              <v:textbox inset="0,0,0,0">
                <w:txbxContent>
                  <w:p w14:paraId="64E99EE2"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2B12F270" w14:textId="77777777" w:rsidTr="002A6A16">
      <w:trPr>
        <w:trHeight w:hRule="exact" w:val="340"/>
      </w:trPr>
      <w:tc>
        <w:tcPr>
          <w:tcW w:w="7797" w:type="dxa"/>
        </w:tcPr>
        <w:p w14:paraId="71BAEC95" w14:textId="21974C6C"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5EF651E8" w14:textId="5F9B2A4C" w:rsidR="00817E80" w:rsidRDefault="00817E8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724E" w14:textId="69FBE20A" w:rsidR="00817E80" w:rsidRPr="00AA5439" w:rsidRDefault="00817E80"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3E09A5FF" w14:textId="77777777" w:rsidTr="002A6A16">
      <w:trPr>
        <w:trHeight w:hRule="exact" w:val="340"/>
      </w:trPr>
      <w:tc>
        <w:tcPr>
          <w:tcW w:w="7797" w:type="dxa"/>
        </w:tcPr>
        <w:p w14:paraId="7679E9C2" w14:textId="2E7F6A3B" w:rsidR="00817E80" w:rsidRDefault="00817E80" w:rsidP="008F55F8">
          <w:pPr>
            <w:pStyle w:val="HeaderEven"/>
            <w:ind w:left="-113"/>
          </w:pPr>
          <w:r>
            <w:t xml:space="preserve"> </w:t>
          </w:r>
          <w:r w:rsidR="00BD1AB0">
            <w:fldChar w:fldCharType="begin"/>
          </w:r>
          <w:r w:rsidR="00BD1AB0">
            <w:instrText>TITLE   \* MERGEFORMAT</w:instrText>
          </w:r>
          <w:r w:rsidR="00BD1AB0">
            <w:fldChar w:fldCharType="separate"/>
          </w:r>
          <w:r w:rsidR="001123A5">
            <w:t>Pre-election Economic and Fiscal Outlook 2022</w:t>
          </w:r>
          <w:r w:rsidR="00BD1AB0">
            <w:fldChar w:fldCharType="end"/>
          </w:r>
        </w:p>
      </w:tc>
    </w:tr>
  </w:tbl>
  <w:p w14:paraId="1331FE7B" w14:textId="77777777" w:rsidR="00817E80" w:rsidRPr="00AA5439" w:rsidRDefault="00817E80" w:rsidP="00AA5439">
    <w:pPr>
      <w:pStyle w:val="HeaderEven"/>
      <w:rPr>
        <w:sz w:val="2"/>
        <w:szCs w:val="4"/>
      </w:rPr>
    </w:pPr>
  </w:p>
  <w:p w14:paraId="7FFC7C29" w14:textId="77777777" w:rsidR="00817E80" w:rsidRPr="007703C7" w:rsidRDefault="00817E80" w:rsidP="007703C7">
    <w:pPr>
      <w:pStyle w:val="Header"/>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0AF3" w14:textId="2B03323D" w:rsidR="00817E80" w:rsidRPr="000635BE" w:rsidRDefault="00817E80"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74F4E094" w14:textId="77777777" w:rsidTr="002A6A16">
      <w:trPr>
        <w:trHeight w:hRule="exact" w:val="340"/>
      </w:trPr>
      <w:tc>
        <w:tcPr>
          <w:tcW w:w="7797" w:type="dxa"/>
        </w:tcPr>
        <w:p w14:paraId="3DE0D269" w14:textId="52CD1EA3"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7158972E" w14:textId="77777777" w:rsidR="00817E80" w:rsidRPr="00AA5439" w:rsidRDefault="00817E80" w:rsidP="00AA5439">
    <w:pPr>
      <w:pStyle w:val="Header"/>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CFBD" w14:textId="54FEDF6C" w:rsidR="00817E80" w:rsidRDefault="00817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021D" w14:textId="231AB580" w:rsidR="00817E80" w:rsidRDefault="00817E80" w:rsidP="00CD74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32CE" w14:textId="7EFBE69A" w:rsidR="00817E80" w:rsidRPr="00AA5439" w:rsidRDefault="00817E80" w:rsidP="00AA5439">
    <w:pPr>
      <w:pStyle w:val="HeaderEven"/>
      <w:rPr>
        <w:sz w:val="2"/>
        <w:szCs w:val="2"/>
      </w:rPr>
    </w:pPr>
    <w:r w:rsidRPr="0017653B">
      <w:rPr>
        <w:noProof/>
        <w:sz w:val="2"/>
        <w:szCs w:val="2"/>
      </w:rPr>
      <mc:AlternateContent>
        <mc:Choice Requires="wps">
          <w:drawing>
            <wp:anchor distT="0" distB="0" distL="0" distR="0" simplePos="0" relativeHeight="251658241" behindDoc="0" locked="1" layoutInCell="0" allowOverlap="1" wp14:anchorId="20CAAB5E" wp14:editId="1A1CEDB9">
              <wp:simplePos x="0" y="0"/>
              <wp:positionH relativeFrom="page">
                <wp:posOffset>1321435</wp:posOffset>
              </wp:positionH>
              <wp:positionV relativeFrom="page">
                <wp:posOffset>360045</wp:posOffset>
              </wp:positionV>
              <wp:extent cx="4910455" cy="615315"/>
              <wp:effectExtent l="0" t="0" r="0" b="0"/>
              <wp:wrapSquare wrapText="bothSides"/>
              <wp:docPr id="37"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6BC9"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AAB5E" id="_x0000_t202" coordsize="21600,21600" o:spt="202" path="m,l,21600r21600,l21600,xe">
              <v:stroke joinstyle="miter"/>
              <v:path gradientshapeok="t" o:connecttype="rect"/>
            </v:shapetype>
            <v:shape id="Text Box 45" o:spid="_x0000_s1026" type="#_x0000_t202" alt="Portrait Classification Header" style="position:absolute;margin-left:104.05pt;margin-top:28.35pt;width:386.65pt;height:48.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" o:allowincell="f" filled="f" stroked="f">
              <v:textbox inset="0,0,0,0">
                <w:txbxContent>
                  <w:p w14:paraId="306B6BC9"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0CE92E9F" w14:textId="77777777" w:rsidTr="002A6A16">
      <w:trPr>
        <w:trHeight w:hRule="exact" w:val="340"/>
      </w:trPr>
      <w:tc>
        <w:tcPr>
          <w:tcW w:w="7797" w:type="dxa"/>
        </w:tcPr>
        <w:p w14:paraId="1735FAF4" w14:textId="743C4BEE" w:rsidR="00817E80" w:rsidRDefault="00817E80" w:rsidP="008F55F8">
          <w:pPr>
            <w:pStyle w:val="HeaderEven"/>
            <w:ind w:left="-113"/>
          </w:pPr>
          <w:r>
            <w:t xml:space="preserve"> </w:t>
          </w:r>
          <w:r w:rsidR="00BD1AB0">
            <w:fldChar w:fldCharType="begin"/>
          </w:r>
          <w:r w:rsidR="00BD1AB0">
            <w:instrText>TITLE   \* MERGEFORMAT</w:instrText>
          </w:r>
          <w:r w:rsidR="00BD1AB0">
            <w:fldChar w:fldCharType="separate"/>
          </w:r>
          <w:r w:rsidR="001123A5">
            <w:t>Pre-election Economic and Fiscal Outlook 2022</w:t>
          </w:r>
          <w:r w:rsidR="00BD1AB0">
            <w:fldChar w:fldCharType="end"/>
          </w:r>
        </w:p>
      </w:tc>
    </w:tr>
  </w:tbl>
  <w:p w14:paraId="68AE4447" w14:textId="77777777" w:rsidR="00817E80" w:rsidRPr="00AA5439" w:rsidRDefault="00817E80" w:rsidP="00AA5439">
    <w:pPr>
      <w:pStyle w:val="HeaderEven"/>
      <w:rPr>
        <w:sz w:val="2"/>
        <w:szCs w:val="4"/>
      </w:rPr>
    </w:pPr>
  </w:p>
  <w:p w14:paraId="007E52AE" w14:textId="77777777" w:rsidR="00817E80" w:rsidRPr="007703C7" w:rsidRDefault="00817E80"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88DB" w14:textId="7064D486" w:rsidR="00817E80" w:rsidRPr="000635BE" w:rsidRDefault="00817E80" w:rsidP="000635BE">
    <w:pPr>
      <w:pStyle w:val="HeaderOdd"/>
      <w:rPr>
        <w:sz w:val="2"/>
        <w:szCs w:val="4"/>
      </w:rPr>
    </w:pPr>
    <w:r w:rsidRPr="0017653B">
      <w:rPr>
        <w:noProof/>
        <w:sz w:val="2"/>
        <w:szCs w:val="4"/>
      </w:rPr>
      <mc:AlternateContent>
        <mc:Choice Requires="wps">
          <w:drawing>
            <wp:anchor distT="0" distB="0" distL="0" distR="0" simplePos="0" relativeHeight="251658240" behindDoc="0" locked="1" layoutInCell="0" allowOverlap="1" wp14:anchorId="6739FF08" wp14:editId="36F9B48B">
              <wp:simplePos x="0" y="0"/>
              <wp:positionH relativeFrom="page">
                <wp:posOffset>1321435</wp:posOffset>
              </wp:positionH>
              <wp:positionV relativeFrom="page">
                <wp:posOffset>360045</wp:posOffset>
              </wp:positionV>
              <wp:extent cx="4910455" cy="615315"/>
              <wp:effectExtent l="0" t="0" r="0" b="0"/>
              <wp:wrapSquare wrapText="bothSides"/>
              <wp:docPr id="35" name="Text Box 4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2D42F" w14:textId="77777777" w:rsidR="00817E80" w:rsidRDefault="00817E80">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9FF08" id="_x0000_t202" coordsize="21600,21600" o:spt="202" path="m,l,21600r21600,l21600,xe">
              <v:stroke joinstyle="miter"/>
              <v:path gradientshapeok="t" o:connecttype="rect"/>
            </v:shapetype>
            <v:shape id="_x0000_s1027" type="#_x0000_t202" alt="Portrait Classification Header" style="position:absolute;left:0;text-align:left;margin-left:104.05pt;margin-top:28.35pt;width:386.65pt;height:48.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" o:allowincell="f" filled="f" stroked="f">
              <v:textbox inset="0,0,0,0">
                <w:txbxContent>
                  <w:p w14:paraId="0E52D42F" w14:textId="77777777" w:rsidR="00817E80" w:rsidRDefault="00817E80">
                    <w:pPr>
                      <w:pStyle w:val="Classification"/>
                    </w:pPr>
                    <w:r>
                      <w:t xml:space="preserve">Protected: </w:t>
                    </w:r>
                    <w:r>
                      <w:br/>
                      <w:t>Sensitive: Cabinet</w:t>
                    </w:r>
                  </w:p>
                </w:txbxContent>
              </v:textbox>
              <w10:wrap type="square" anchorx="page" anchory="page"/>
              <w10:anchorlock/>
            </v:shape>
          </w:pict>
        </mc:Fallback>
      </mc:AlternateConten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6F5F3FD4" w14:textId="77777777" w:rsidTr="002A6A16">
      <w:trPr>
        <w:trHeight w:hRule="exact" w:val="340"/>
      </w:trPr>
      <w:tc>
        <w:tcPr>
          <w:tcW w:w="7797" w:type="dxa"/>
        </w:tcPr>
        <w:p w14:paraId="1E66F8B0" w14:textId="6EEE85B6"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34209FF0" w14:textId="77777777" w:rsidR="00817E80" w:rsidRPr="00AA5439" w:rsidRDefault="00817E80" w:rsidP="00AA5439">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6902" w14:textId="45263691" w:rsidR="00817E80" w:rsidRDefault="00817E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C566" w14:textId="42871E3E" w:rsidR="00817E80" w:rsidRPr="00AA5439" w:rsidRDefault="00817E80"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1DD27063" w14:textId="77777777" w:rsidTr="002A6A16">
      <w:trPr>
        <w:trHeight w:hRule="exact" w:val="340"/>
      </w:trPr>
      <w:tc>
        <w:tcPr>
          <w:tcW w:w="7797" w:type="dxa"/>
        </w:tcPr>
        <w:p w14:paraId="2E62C2A8" w14:textId="0EA7C4D4" w:rsidR="00817E80" w:rsidRDefault="00BD1AB0" w:rsidP="008F55F8">
          <w:pPr>
            <w:pStyle w:val="HeaderEven"/>
            <w:ind w:left="-113"/>
          </w:pPr>
          <w:r>
            <w:fldChar w:fldCharType="begin"/>
          </w:r>
          <w:r>
            <w:instrText>TITLE   \* MERGEFORMAT</w:instrText>
          </w:r>
          <w:r>
            <w:fldChar w:fldCharType="separate"/>
          </w:r>
          <w:r w:rsidR="001123A5">
            <w:t>Pre-election Economic and Fiscal Outlook 2022</w:t>
          </w:r>
          <w:r>
            <w:fldChar w:fldCharType="end"/>
          </w:r>
        </w:p>
      </w:tc>
    </w:tr>
  </w:tbl>
  <w:p w14:paraId="2D2E5923" w14:textId="77777777" w:rsidR="00817E80" w:rsidRPr="00AA5439" w:rsidRDefault="00817E80" w:rsidP="00AA5439">
    <w:pPr>
      <w:pStyle w:val="HeaderEven"/>
      <w:rPr>
        <w:sz w:val="2"/>
        <w:szCs w:val="4"/>
      </w:rPr>
    </w:pPr>
  </w:p>
  <w:p w14:paraId="661E5F04" w14:textId="77777777" w:rsidR="00817E80" w:rsidRPr="007703C7" w:rsidRDefault="00817E80" w:rsidP="007703C7">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02893" w14:textId="2D42AA6A" w:rsidR="00817E80" w:rsidRPr="000635BE" w:rsidRDefault="00817E80"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817E80" w14:paraId="001CAC32" w14:textId="77777777" w:rsidTr="002A6A16">
      <w:trPr>
        <w:trHeight w:hRule="exact" w:val="340"/>
      </w:trPr>
      <w:tc>
        <w:tcPr>
          <w:tcW w:w="7797" w:type="dxa"/>
        </w:tcPr>
        <w:p w14:paraId="0E91880A" w14:textId="2BC6A37E" w:rsidR="00817E80" w:rsidRDefault="00BD1AB0" w:rsidP="000635BE">
          <w:pPr>
            <w:pStyle w:val="HeaderOdd"/>
          </w:pPr>
          <w:r>
            <w:fldChar w:fldCharType="begin"/>
          </w:r>
          <w:r>
            <w:instrText>TITLE   \* MERGEFORMAT</w:instrText>
          </w:r>
          <w:r>
            <w:fldChar w:fldCharType="separate"/>
          </w:r>
          <w:r w:rsidR="001123A5">
            <w:t>Pre-election Economic and Fiscal Outlook 2022</w:t>
          </w:r>
          <w:r>
            <w:fldChar w:fldCharType="end"/>
          </w:r>
        </w:p>
      </w:tc>
    </w:tr>
  </w:tbl>
  <w:p w14:paraId="6706B55B" w14:textId="77777777" w:rsidR="00817E80" w:rsidRPr="00AA5439" w:rsidRDefault="00817E80" w:rsidP="00AA5439">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1405" w14:textId="0AB7A8CF" w:rsidR="00817E80" w:rsidRDefault="00817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909"/>
    <w:multiLevelType w:val="multilevel"/>
    <w:tmpl w:val="6E6A6112"/>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360"/>
        </w:tabs>
        <w:ind w:left="284" w:hanging="284"/>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D741F44"/>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3" w15:restartNumberingAfterBreak="0">
    <w:nsid w:val="22F30E0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4" w15:restartNumberingAfterBreak="0">
    <w:nsid w:val="3B2E19AC"/>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5" w15:restartNumberingAfterBreak="0">
    <w:nsid w:val="40581F68"/>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7" w15:restartNumberingAfterBreak="0">
    <w:nsid w:val="4B3579CC"/>
    <w:multiLevelType w:val="multilevel"/>
    <w:tmpl w:val="3A924E16"/>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6F169D"/>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9" w15:restartNumberingAfterBreak="0">
    <w:nsid w:val="61EB4F0C"/>
    <w:multiLevelType w:val="hybridMultilevel"/>
    <w:tmpl w:val="81147CAA"/>
    <w:lvl w:ilvl="0" w:tplc="5276C7DC">
      <w:start w:val="1"/>
      <w:numFmt w:val="bullet"/>
      <w:pStyle w:val="PrelimsDash"/>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422B92"/>
    <w:multiLevelType w:val="hybridMultilevel"/>
    <w:tmpl w:val="86281DAA"/>
    <w:lvl w:ilvl="0" w:tplc="D09A57A0">
      <w:start w:val="1"/>
      <w:numFmt w:val="lowerLetter"/>
      <w:lvlRestart w:val="0"/>
      <w:lvlText w:val="(%1)"/>
      <w:lvlJc w:val="left"/>
      <w:pPr>
        <w:tabs>
          <w:tab w:val="num" w:pos="284"/>
        </w:tabs>
        <w:ind w:left="284" w:hanging="284"/>
      </w:pPr>
      <w:rPr>
        <w:rFonts w:ascii="Arial" w:hAnsi="Arial" w:cs="Arial" w:hint="default"/>
        <w:b w:val="0"/>
        <w:i w:val="0"/>
        <w:color w:val="00000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DC55B1"/>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num w:numId="1">
    <w:abstractNumId w:val="6"/>
  </w:num>
  <w:num w:numId="2">
    <w:abstractNumId w:val="1"/>
  </w:num>
  <w:num w:numId="3">
    <w:abstractNumId w:val="0"/>
  </w:num>
  <w:num w:numId="4">
    <w:abstractNumId w:val="9"/>
  </w:num>
  <w:num w:numId="5">
    <w:abstractNumId w:val="4"/>
    <w:lvlOverride w:ilvl="0">
      <w:startOverride w:val="1"/>
    </w:lvlOverride>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7"/>
  </w:num>
  <w:num w:numId="9">
    <w:abstractNumId w:val="4"/>
    <w:lvlOverride w:ilvl="0">
      <w:startOverride w:val="1"/>
    </w:lvlOverride>
  </w:num>
  <w:num w:numId="10">
    <w:abstractNumId w:val="5"/>
  </w:num>
  <w:num w:numId="11">
    <w:abstractNumId w:val="11"/>
  </w:num>
  <w:num w:numId="12">
    <w:abstractNumId w:val="3"/>
  </w:num>
  <w:num w:numId="13">
    <w:abstractNumId w:val="8"/>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ocumentProtection w:edit="comments" w:enforcement="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77B49"/>
    <w:rsid w:val="00000E6F"/>
    <w:rsid w:val="0000265C"/>
    <w:rsid w:val="00003054"/>
    <w:rsid w:val="000041BD"/>
    <w:rsid w:val="000049C4"/>
    <w:rsid w:val="0000513C"/>
    <w:rsid w:val="000054FF"/>
    <w:rsid w:val="00005C96"/>
    <w:rsid w:val="00006087"/>
    <w:rsid w:val="00006303"/>
    <w:rsid w:val="00006433"/>
    <w:rsid w:val="00007A81"/>
    <w:rsid w:val="000110E2"/>
    <w:rsid w:val="00011D53"/>
    <w:rsid w:val="00011DBB"/>
    <w:rsid w:val="0001281B"/>
    <w:rsid w:val="00012C75"/>
    <w:rsid w:val="00012F92"/>
    <w:rsid w:val="000132C7"/>
    <w:rsid w:val="00013567"/>
    <w:rsid w:val="00013EA8"/>
    <w:rsid w:val="00016399"/>
    <w:rsid w:val="0001729E"/>
    <w:rsid w:val="00017424"/>
    <w:rsid w:val="0001749C"/>
    <w:rsid w:val="00017704"/>
    <w:rsid w:val="00020E96"/>
    <w:rsid w:val="00021CAE"/>
    <w:rsid w:val="00021F77"/>
    <w:rsid w:val="0002208E"/>
    <w:rsid w:val="0002243F"/>
    <w:rsid w:val="000229D5"/>
    <w:rsid w:val="000234EE"/>
    <w:rsid w:val="00023737"/>
    <w:rsid w:val="0002555F"/>
    <w:rsid w:val="000269E7"/>
    <w:rsid w:val="000302CF"/>
    <w:rsid w:val="00030D25"/>
    <w:rsid w:val="00031B74"/>
    <w:rsid w:val="00032F52"/>
    <w:rsid w:val="000333DD"/>
    <w:rsid w:val="00033446"/>
    <w:rsid w:val="0003451E"/>
    <w:rsid w:val="000350B9"/>
    <w:rsid w:val="0003567A"/>
    <w:rsid w:val="000356DA"/>
    <w:rsid w:val="00035B73"/>
    <w:rsid w:val="00035D8D"/>
    <w:rsid w:val="00036D62"/>
    <w:rsid w:val="00036FC8"/>
    <w:rsid w:val="0003774F"/>
    <w:rsid w:val="000377A6"/>
    <w:rsid w:val="0003797A"/>
    <w:rsid w:val="00037C5B"/>
    <w:rsid w:val="00040D55"/>
    <w:rsid w:val="00041262"/>
    <w:rsid w:val="000416AD"/>
    <w:rsid w:val="00041B85"/>
    <w:rsid w:val="000423C5"/>
    <w:rsid w:val="00042444"/>
    <w:rsid w:val="00042463"/>
    <w:rsid w:val="00042961"/>
    <w:rsid w:val="00043CC5"/>
    <w:rsid w:val="0004422C"/>
    <w:rsid w:val="00044F2E"/>
    <w:rsid w:val="000456FE"/>
    <w:rsid w:val="00045E6F"/>
    <w:rsid w:val="00046603"/>
    <w:rsid w:val="00046D3C"/>
    <w:rsid w:val="000471CC"/>
    <w:rsid w:val="00047C37"/>
    <w:rsid w:val="000501C6"/>
    <w:rsid w:val="00050251"/>
    <w:rsid w:val="00050613"/>
    <w:rsid w:val="000513D1"/>
    <w:rsid w:val="000518FF"/>
    <w:rsid w:val="0005286B"/>
    <w:rsid w:val="0005314D"/>
    <w:rsid w:val="00053D7F"/>
    <w:rsid w:val="00053EAF"/>
    <w:rsid w:val="00055800"/>
    <w:rsid w:val="00055B54"/>
    <w:rsid w:val="00055B67"/>
    <w:rsid w:val="00055D69"/>
    <w:rsid w:val="00055E31"/>
    <w:rsid w:val="00057761"/>
    <w:rsid w:val="00060060"/>
    <w:rsid w:val="0006013E"/>
    <w:rsid w:val="00060891"/>
    <w:rsid w:val="00060ADF"/>
    <w:rsid w:val="000614F1"/>
    <w:rsid w:val="000622DA"/>
    <w:rsid w:val="00062928"/>
    <w:rsid w:val="000635BE"/>
    <w:rsid w:val="00063930"/>
    <w:rsid w:val="00063A42"/>
    <w:rsid w:val="00063BC9"/>
    <w:rsid w:val="00063C23"/>
    <w:rsid w:val="00063EA0"/>
    <w:rsid w:val="000641F7"/>
    <w:rsid w:val="000641F9"/>
    <w:rsid w:val="00064343"/>
    <w:rsid w:val="0006509A"/>
    <w:rsid w:val="00065E06"/>
    <w:rsid w:val="0006618C"/>
    <w:rsid w:val="00066EBB"/>
    <w:rsid w:val="000672E2"/>
    <w:rsid w:val="00067575"/>
    <w:rsid w:val="00070CE7"/>
    <w:rsid w:val="00070F83"/>
    <w:rsid w:val="00071B96"/>
    <w:rsid w:val="00073265"/>
    <w:rsid w:val="000734E1"/>
    <w:rsid w:val="00073B4C"/>
    <w:rsid w:val="00074499"/>
    <w:rsid w:val="00074506"/>
    <w:rsid w:val="00074CF5"/>
    <w:rsid w:val="00074EFE"/>
    <w:rsid w:val="000750D7"/>
    <w:rsid w:val="000752CB"/>
    <w:rsid w:val="00075433"/>
    <w:rsid w:val="00075831"/>
    <w:rsid w:val="00075D07"/>
    <w:rsid w:val="00075EB4"/>
    <w:rsid w:val="00076460"/>
    <w:rsid w:val="00076C57"/>
    <w:rsid w:val="000774D3"/>
    <w:rsid w:val="0007786D"/>
    <w:rsid w:val="00080F20"/>
    <w:rsid w:val="0008111E"/>
    <w:rsid w:val="000814E6"/>
    <w:rsid w:val="000825CA"/>
    <w:rsid w:val="00082FFD"/>
    <w:rsid w:val="000832C1"/>
    <w:rsid w:val="0008340F"/>
    <w:rsid w:val="000842BB"/>
    <w:rsid w:val="00084721"/>
    <w:rsid w:val="00084E47"/>
    <w:rsid w:val="00085AD7"/>
    <w:rsid w:val="00086294"/>
    <w:rsid w:val="000869B6"/>
    <w:rsid w:val="00086CF5"/>
    <w:rsid w:val="00086ECC"/>
    <w:rsid w:val="00087383"/>
    <w:rsid w:val="00087701"/>
    <w:rsid w:val="00087B69"/>
    <w:rsid w:val="000903DD"/>
    <w:rsid w:val="000909E5"/>
    <w:rsid w:val="00090BCC"/>
    <w:rsid w:val="000911B1"/>
    <w:rsid w:val="0009170C"/>
    <w:rsid w:val="00091787"/>
    <w:rsid w:val="000918DB"/>
    <w:rsid w:val="000919A6"/>
    <w:rsid w:val="00092237"/>
    <w:rsid w:val="00092CE3"/>
    <w:rsid w:val="00093304"/>
    <w:rsid w:val="000959FA"/>
    <w:rsid w:val="00095B80"/>
    <w:rsid w:val="0009644C"/>
    <w:rsid w:val="00096507"/>
    <w:rsid w:val="000967D9"/>
    <w:rsid w:val="00096A15"/>
    <w:rsid w:val="00096FDD"/>
    <w:rsid w:val="00097820"/>
    <w:rsid w:val="00097AB5"/>
    <w:rsid w:val="000A05C9"/>
    <w:rsid w:val="000A091F"/>
    <w:rsid w:val="000A0DCB"/>
    <w:rsid w:val="000A0E53"/>
    <w:rsid w:val="000A161C"/>
    <w:rsid w:val="000A1886"/>
    <w:rsid w:val="000A21F8"/>
    <w:rsid w:val="000A2D32"/>
    <w:rsid w:val="000A2E34"/>
    <w:rsid w:val="000A3FC2"/>
    <w:rsid w:val="000A3FEA"/>
    <w:rsid w:val="000A4A86"/>
    <w:rsid w:val="000A4A8D"/>
    <w:rsid w:val="000A4CE9"/>
    <w:rsid w:val="000A5640"/>
    <w:rsid w:val="000A5728"/>
    <w:rsid w:val="000A5775"/>
    <w:rsid w:val="000A614D"/>
    <w:rsid w:val="000A6BBA"/>
    <w:rsid w:val="000B00DE"/>
    <w:rsid w:val="000B0ECC"/>
    <w:rsid w:val="000B13E7"/>
    <w:rsid w:val="000B14BC"/>
    <w:rsid w:val="000B15E2"/>
    <w:rsid w:val="000B1B5F"/>
    <w:rsid w:val="000B2D72"/>
    <w:rsid w:val="000B3034"/>
    <w:rsid w:val="000B398B"/>
    <w:rsid w:val="000B4470"/>
    <w:rsid w:val="000B467A"/>
    <w:rsid w:val="000B4766"/>
    <w:rsid w:val="000B4ACE"/>
    <w:rsid w:val="000B5CDC"/>
    <w:rsid w:val="000B66EB"/>
    <w:rsid w:val="000B671C"/>
    <w:rsid w:val="000B6CFC"/>
    <w:rsid w:val="000C03CE"/>
    <w:rsid w:val="000C06FB"/>
    <w:rsid w:val="000C13D8"/>
    <w:rsid w:val="000C1D2C"/>
    <w:rsid w:val="000C1E92"/>
    <w:rsid w:val="000C267C"/>
    <w:rsid w:val="000C2B5F"/>
    <w:rsid w:val="000C2CD3"/>
    <w:rsid w:val="000C2DD7"/>
    <w:rsid w:val="000C4175"/>
    <w:rsid w:val="000C4882"/>
    <w:rsid w:val="000C4D5F"/>
    <w:rsid w:val="000C4FE0"/>
    <w:rsid w:val="000C51DE"/>
    <w:rsid w:val="000C5302"/>
    <w:rsid w:val="000C5740"/>
    <w:rsid w:val="000C5A3C"/>
    <w:rsid w:val="000C6026"/>
    <w:rsid w:val="000C60D5"/>
    <w:rsid w:val="000C747B"/>
    <w:rsid w:val="000C75B1"/>
    <w:rsid w:val="000D004F"/>
    <w:rsid w:val="000D0222"/>
    <w:rsid w:val="000D05FB"/>
    <w:rsid w:val="000D0778"/>
    <w:rsid w:val="000D0893"/>
    <w:rsid w:val="000D25C8"/>
    <w:rsid w:val="000D2D8E"/>
    <w:rsid w:val="000D343F"/>
    <w:rsid w:val="000D39EB"/>
    <w:rsid w:val="000D3E55"/>
    <w:rsid w:val="000D5250"/>
    <w:rsid w:val="000D5CF2"/>
    <w:rsid w:val="000D7051"/>
    <w:rsid w:val="000D70AC"/>
    <w:rsid w:val="000D75E7"/>
    <w:rsid w:val="000D7604"/>
    <w:rsid w:val="000E013A"/>
    <w:rsid w:val="000E0D68"/>
    <w:rsid w:val="000E105B"/>
    <w:rsid w:val="000E149B"/>
    <w:rsid w:val="000E14A0"/>
    <w:rsid w:val="000E1521"/>
    <w:rsid w:val="000E1D55"/>
    <w:rsid w:val="000E1DC0"/>
    <w:rsid w:val="000E2490"/>
    <w:rsid w:val="000E2B55"/>
    <w:rsid w:val="000E3C47"/>
    <w:rsid w:val="000E52C7"/>
    <w:rsid w:val="000E5956"/>
    <w:rsid w:val="000E59A3"/>
    <w:rsid w:val="000E70CA"/>
    <w:rsid w:val="000E7FC7"/>
    <w:rsid w:val="000F061A"/>
    <w:rsid w:val="000F08E0"/>
    <w:rsid w:val="000F0974"/>
    <w:rsid w:val="000F0CB5"/>
    <w:rsid w:val="000F0D3A"/>
    <w:rsid w:val="000F1CFC"/>
    <w:rsid w:val="000F274F"/>
    <w:rsid w:val="000F33E3"/>
    <w:rsid w:val="000F46A5"/>
    <w:rsid w:val="000F587D"/>
    <w:rsid w:val="000F59E6"/>
    <w:rsid w:val="000F7080"/>
    <w:rsid w:val="001003C9"/>
    <w:rsid w:val="0010053A"/>
    <w:rsid w:val="001010BB"/>
    <w:rsid w:val="00101FB2"/>
    <w:rsid w:val="0010221A"/>
    <w:rsid w:val="0010224C"/>
    <w:rsid w:val="00102F21"/>
    <w:rsid w:val="00103689"/>
    <w:rsid w:val="00103ACA"/>
    <w:rsid w:val="00103F65"/>
    <w:rsid w:val="00104B75"/>
    <w:rsid w:val="00104C31"/>
    <w:rsid w:val="00105A7E"/>
    <w:rsid w:val="00105DBB"/>
    <w:rsid w:val="00105F50"/>
    <w:rsid w:val="00106BF8"/>
    <w:rsid w:val="00107248"/>
    <w:rsid w:val="001079FB"/>
    <w:rsid w:val="00107A65"/>
    <w:rsid w:val="00110BF0"/>
    <w:rsid w:val="00111288"/>
    <w:rsid w:val="0011175D"/>
    <w:rsid w:val="001119ED"/>
    <w:rsid w:val="00111DAA"/>
    <w:rsid w:val="001123A5"/>
    <w:rsid w:val="001139D7"/>
    <w:rsid w:val="001144A7"/>
    <w:rsid w:val="0011539C"/>
    <w:rsid w:val="00115629"/>
    <w:rsid w:val="00115737"/>
    <w:rsid w:val="0011596D"/>
    <w:rsid w:val="00116BDF"/>
    <w:rsid w:val="00116DBE"/>
    <w:rsid w:val="00117A97"/>
    <w:rsid w:val="00117BF4"/>
    <w:rsid w:val="001206C3"/>
    <w:rsid w:val="00120C89"/>
    <w:rsid w:val="0012181C"/>
    <w:rsid w:val="00123E03"/>
    <w:rsid w:val="0012407E"/>
    <w:rsid w:val="0012452C"/>
    <w:rsid w:val="00124F7C"/>
    <w:rsid w:val="00124FB9"/>
    <w:rsid w:val="00125DA5"/>
    <w:rsid w:val="001262F2"/>
    <w:rsid w:val="001268B7"/>
    <w:rsid w:val="001273F2"/>
    <w:rsid w:val="00127FB9"/>
    <w:rsid w:val="00130DB9"/>
    <w:rsid w:val="00130ECF"/>
    <w:rsid w:val="00131031"/>
    <w:rsid w:val="001321D1"/>
    <w:rsid w:val="00132DFC"/>
    <w:rsid w:val="0013313C"/>
    <w:rsid w:val="00133515"/>
    <w:rsid w:val="00133D46"/>
    <w:rsid w:val="001361CB"/>
    <w:rsid w:val="001364D9"/>
    <w:rsid w:val="00136817"/>
    <w:rsid w:val="00136A72"/>
    <w:rsid w:val="00136F03"/>
    <w:rsid w:val="00137059"/>
    <w:rsid w:val="001377AC"/>
    <w:rsid w:val="00140244"/>
    <w:rsid w:val="00140F64"/>
    <w:rsid w:val="00142254"/>
    <w:rsid w:val="00142837"/>
    <w:rsid w:val="00142B07"/>
    <w:rsid w:val="00143447"/>
    <w:rsid w:val="00143612"/>
    <w:rsid w:val="001445AB"/>
    <w:rsid w:val="00144B38"/>
    <w:rsid w:val="00144DEF"/>
    <w:rsid w:val="001450D6"/>
    <w:rsid w:val="001451FA"/>
    <w:rsid w:val="00145D5D"/>
    <w:rsid w:val="00145F8D"/>
    <w:rsid w:val="00146156"/>
    <w:rsid w:val="0014656C"/>
    <w:rsid w:val="00146981"/>
    <w:rsid w:val="0014744C"/>
    <w:rsid w:val="00147A45"/>
    <w:rsid w:val="00147C2B"/>
    <w:rsid w:val="00150AD4"/>
    <w:rsid w:val="00150F18"/>
    <w:rsid w:val="001518AC"/>
    <w:rsid w:val="0015192A"/>
    <w:rsid w:val="00151D04"/>
    <w:rsid w:val="00152815"/>
    <w:rsid w:val="00152ADF"/>
    <w:rsid w:val="00152F98"/>
    <w:rsid w:val="00153B95"/>
    <w:rsid w:val="00153E9F"/>
    <w:rsid w:val="001541BF"/>
    <w:rsid w:val="00154C69"/>
    <w:rsid w:val="0015502F"/>
    <w:rsid w:val="0015526C"/>
    <w:rsid w:val="00155749"/>
    <w:rsid w:val="001565E0"/>
    <w:rsid w:val="001567A3"/>
    <w:rsid w:val="0015695C"/>
    <w:rsid w:val="00156F83"/>
    <w:rsid w:val="0015742C"/>
    <w:rsid w:val="00157572"/>
    <w:rsid w:val="00157B1A"/>
    <w:rsid w:val="00157B8A"/>
    <w:rsid w:val="00157D50"/>
    <w:rsid w:val="00162E5C"/>
    <w:rsid w:val="00164148"/>
    <w:rsid w:val="00164522"/>
    <w:rsid w:val="00164C3B"/>
    <w:rsid w:val="00164ECF"/>
    <w:rsid w:val="00165484"/>
    <w:rsid w:val="00165B54"/>
    <w:rsid w:val="0016708F"/>
    <w:rsid w:val="00167932"/>
    <w:rsid w:val="00167AF1"/>
    <w:rsid w:val="001706B8"/>
    <w:rsid w:val="00171542"/>
    <w:rsid w:val="00171ACA"/>
    <w:rsid w:val="001724A6"/>
    <w:rsid w:val="001724D0"/>
    <w:rsid w:val="0017288D"/>
    <w:rsid w:val="00172CFE"/>
    <w:rsid w:val="0017346F"/>
    <w:rsid w:val="001736DD"/>
    <w:rsid w:val="001747B7"/>
    <w:rsid w:val="00174A0A"/>
    <w:rsid w:val="00175C22"/>
    <w:rsid w:val="0017653B"/>
    <w:rsid w:val="001774FD"/>
    <w:rsid w:val="001777B1"/>
    <w:rsid w:val="00177A16"/>
    <w:rsid w:val="00180E26"/>
    <w:rsid w:val="00182836"/>
    <w:rsid w:val="001828F5"/>
    <w:rsid w:val="00183214"/>
    <w:rsid w:val="001833F7"/>
    <w:rsid w:val="001846BE"/>
    <w:rsid w:val="00184A78"/>
    <w:rsid w:val="00184C4B"/>
    <w:rsid w:val="00184E18"/>
    <w:rsid w:val="0018534F"/>
    <w:rsid w:val="001857BC"/>
    <w:rsid w:val="00186E06"/>
    <w:rsid w:val="00187055"/>
    <w:rsid w:val="00190564"/>
    <w:rsid w:val="0019115B"/>
    <w:rsid w:val="00192566"/>
    <w:rsid w:val="00192567"/>
    <w:rsid w:val="001927D8"/>
    <w:rsid w:val="001929A0"/>
    <w:rsid w:val="00192D35"/>
    <w:rsid w:val="00192EAC"/>
    <w:rsid w:val="0019327A"/>
    <w:rsid w:val="00193437"/>
    <w:rsid w:val="001949C4"/>
    <w:rsid w:val="001949D2"/>
    <w:rsid w:val="0019523F"/>
    <w:rsid w:val="0019577D"/>
    <w:rsid w:val="00195E55"/>
    <w:rsid w:val="001962E3"/>
    <w:rsid w:val="001964D5"/>
    <w:rsid w:val="001964DB"/>
    <w:rsid w:val="00196AA9"/>
    <w:rsid w:val="001970E6"/>
    <w:rsid w:val="0019749A"/>
    <w:rsid w:val="001974E2"/>
    <w:rsid w:val="001A11DC"/>
    <w:rsid w:val="001A11F2"/>
    <w:rsid w:val="001A19D4"/>
    <w:rsid w:val="001A2289"/>
    <w:rsid w:val="001A270C"/>
    <w:rsid w:val="001A4057"/>
    <w:rsid w:val="001A4DDA"/>
    <w:rsid w:val="001A5352"/>
    <w:rsid w:val="001A55C7"/>
    <w:rsid w:val="001A5928"/>
    <w:rsid w:val="001A6B5A"/>
    <w:rsid w:val="001A6D8D"/>
    <w:rsid w:val="001A72FB"/>
    <w:rsid w:val="001A75C7"/>
    <w:rsid w:val="001A77AC"/>
    <w:rsid w:val="001A785A"/>
    <w:rsid w:val="001A7E56"/>
    <w:rsid w:val="001B1F2D"/>
    <w:rsid w:val="001B1F8F"/>
    <w:rsid w:val="001B2145"/>
    <w:rsid w:val="001B23C9"/>
    <w:rsid w:val="001B2670"/>
    <w:rsid w:val="001B2776"/>
    <w:rsid w:val="001B385F"/>
    <w:rsid w:val="001B3E02"/>
    <w:rsid w:val="001B4999"/>
    <w:rsid w:val="001B5007"/>
    <w:rsid w:val="001B557E"/>
    <w:rsid w:val="001B55F3"/>
    <w:rsid w:val="001B571F"/>
    <w:rsid w:val="001B5917"/>
    <w:rsid w:val="001B5984"/>
    <w:rsid w:val="001B5A34"/>
    <w:rsid w:val="001B5BA0"/>
    <w:rsid w:val="001B5C3B"/>
    <w:rsid w:val="001B67DE"/>
    <w:rsid w:val="001B696E"/>
    <w:rsid w:val="001B6C84"/>
    <w:rsid w:val="001B71C8"/>
    <w:rsid w:val="001B72E5"/>
    <w:rsid w:val="001B73D1"/>
    <w:rsid w:val="001B749A"/>
    <w:rsid w:val="001B779D"/>
    <w:rsid w:val="001B7B9D"/>
    <w:rsid w:val="001B7F7B"/>
    <w:rsid w:val="001C0464"/>
    <w:rsid w:val="001C1254"/>
    <w:rsid w:val="001C180A"/>
    <w:rsid w:val="001C25DC"/>
    <w:rsid w:val="001C29BA"/>
    <w:rsid w:val="001C29DE"/>
    <w:rsid w:val="001C3E00"/>
    <w:rsid w:val="001C4199"/>
    <w:rsid w:val="001C42F8"/>
    <w:rsid w:val="001C54D8"/>
    <w:rsid w:val="001C592B"/>
    <w:rsid w:val="001C596F"/>
    <w:rsid w:val="001C5F59"/>
    <w:rsid w:val="001C64AE"/>
    <w:rsid w:val="001C6AC6"/>
    <w:rsid w:val="001C6EEB"/>
    <w:rsid w:val="001C7261"/>
    <w:rsid w:val="001C7263"/>
    <w:rsid w:val="001C72E5"/>
    <w:rsid w:val="001C742D"/>
    <w:rsid w:val="001C76F8"/>
    <w:rsid w:val="001C7DFA"/>
    <w:rsid w:val="001D068A"/>
    <w:rsid w:val="001D131A"/>
    <w:rsid w:val="001D1D3B"/>
    <w:rsid w:val="001D1E00"/>
    <w:rsid w:val="001D2A5D"/>
    <w:rsid w:val="001D2D87"/>
    <w:rsid w:val="001D32A9"/>
    <w:rsid w:val="001D33D6"/>
    <w:rsid w:val="001D4B65"/>
    <w:rsid w:val="001D5089"/>
    <w:rsid w:val="001D5490"/>
    <w:rsid w:val="001D69FE"/>
    <w:rsid w:val="001D750A"/>
    <w:rsid w:val="001D7721"/>
    <w:rsid w:val="001E0F4F"/>
    <w:rsid w:val="001E1F41"/>
    <w:rsid w:val="001E21A6"/>
    <w:rsid w:val="001E21A9"/>
    <w:rsid w:val="001E2481"/>
    <w:rsid w:val="001E3291"/>
    <w:rsid w:val="001E3370"/>
    <w:rsid w:val="001E38A9"/>
    <w:rsid w:val="001E4C0D"/>
    <w:rsid w:val="001E4D3D"/>
    <w:rsid w:val="001E4E25"/>
    <w:rsid w:val="001E605C"/>
    <w:rsid w:val="001E7035"/>
    <w:rsid w:val="001E7521"/>
    <w:rsid w:val="001E7556"/>
    <w:rsid w:val="001F049F"/>
    <w:rsid w:val="001F08E1"/>
    <w:rsid w:val="001F08E5"/>
    <w:rsid w:val="001F10A6"/>
    <w:rsid w:val="001F1E29"/>
    <w:rsid w:val="001F1FB6"/>
    <w:rsid w:val="001F21EF"/>
    <w:rsid w:val="001F235C"/>
    <w:rsid w:val="001F2553"/>
    <w:rsid w:val="001F2D90"/>
    <w:rsid w:val="001F39C5"/>
    <w:rsid w:val="001F5761"/>
    <w:rsid w:val="001F6379"/>
    <w:rsid w:val="001F6852"/>
    <w:rsid w:val="001F6A02"/>
    <w:rsid w:val="001F6BC8"/>
    <w:rsid w:val="001F7120"/>
    <w:rsid w:val="002005E5"/>
    <w:rsid w:val="002006A2"/>
    <w:rsid w:val="00200A78"/>
    <w:rsid w:val="00200CE5"/>
    <w:rsid w:val="00201236"/>
    <w:rsid w:val="0020203C"/>
    <w:rsid w:val="0020293B"/>
    <w:rsid w:val="0020293C"/>
    <w:rsid w:val="002032F1"/>
    <w:rsid w:val="002038EF"/>
    <w:rsid w:val="00203AE1"/>
    <w:rsid w:val="00204657"/>
    <w:rsid w:val="00204765"/>
    <w:rsid w:val="00204BBD"/>
    <w:rsid w:val="002052D1"/>
    <w:rsid w:val="0020586E"/>
    <w:rsid w:val="00205DA9"/>
    <w:rsid w:val="00206241"/>
    <w:rsid w:val="00206585"/>
    <w:rsid w:val="00206734"/>
    <w:rsid w:val="00207C90"/>
    <w:rsid w:val="00210686"/>
    <w:rsid w:val="00211834"/>
    <w:rsid w:val="00212CFC"/>
    <w:rsid w:val="002138BE"/>
    <w:rsid w:val="0021435B"/>
    <w:rsid w:val="00215042"/>
    <w:rsid w:val="00215545"/>
    <w:rsid w:val="00215A2A"/>
    <w:rsid w:val="00215E5D"/>
    <w:rsid w:val="00216414"/>
    <w:rsid w:val="002167A1"/>
    <w:rsid w:val="00216BAD"/>
    <w:rsid w:val="0021702B"/>
    <w:rsid w:val="0021754E"/>
    <w:rsid w:val="00217CD3"/>
    <w:rsid w:val="0022129E"/>
    <w:rsid w:val="0022184A"/>
    <w:rsid w:val="00222CED"/>
    <w:rsid w:val="00224E2A"/>
    <w:rsid w:val="00225DA3"/>
    <w:rsid w:val="00226198"/>
    <w:rsid w:val="002262EF"/>
    <w:rsid w:val="0022692B"/>
    <w:rsid w:val="00227161"/>
    <w:rsid w:val="00230853"/>
    <w:rsid w:val="002315CC"/>
    <w:rsid w:val="002325E7"/>
    <w:rsid w:val="0023266D"/>
    <w:rsid w:val="00233E5E"/>
    <w:rsid w:val="00234185"/>
    <w:rsid w:val="00234848"/>
    <w:rsid w:val="00234B3D"/>
    <w:rsid w:val="00236405"/>
    <w:rsid w:val="002369B0"/>
    <w:rsid w:val="002369CE"/>
    <w:rsid w:val="00236A30"/>
    <w:rsid w:val="00236A3D"/>
    <w:rsid w:val="002373B9"/>
    <w:rsid w:val="00237746"/>
    <w:rsid w:val="002377D7"/>
    <w:rsid w:val="00237F04"/>
    <w:rsid w:val="00237F23"/>
    <w:rsid w:val="002400B2"/>
    <w:rsid w:val="00240C62"/>
    <w:rsid w:val="00241C38"/>
    <w:rsid w:val="00241FF1"/>
    <w:rsid w:val="00242081"/>
    <w:rsid w:val="002430A4"/>
    <w:rsid w:val="00243270"/>
    <w:rsid w:val="00243802"/>
    <w:rsid w:val="00244331"/>
    <w:rsid w:val="002454AF"/>
    <w:rsid w:val="002458ED"/>
    <w:rsid w:val="002465A8"/>
    <w:rsid w:val="00246E32"/>
    <w:rsid w:val="00247ECA"/>
    <w:rsid w:val="00247F65"/>
    <w:rsid w:val="002503AD"/>
    <w:rsid w:val="00250E3A"/>
    <w:rsid w:val="00251A52"/>
    <w:rsid w:val="0025372A"/>
    <w:rsid w:val="002537C1"/>
    <w:rsid w:val="002538E0"/>
    <w:rsid w:val="00253C3C"/>
    <w:rsid w:val="0025409A"/>
    <w:rsid w:val="002540F8"/>
    <w:rsid w:val="002545D0"/>
    <w:rsid w:val="00254CBD"/>
    <w:rsid w:val="00254F75"/>
    <w:rsid w:val="00255BAA"/>
    <w:rsid w:val="00255C23"/>
    <w:rsid w:val="0025644E"/>
    <w:rsid w:val="00256920"/>
    <w:rsid w:val="00257C70"/>
    <w:rsid w:val="00260070"/>
    <w:rsid w:val="00260D64"/>
    <w:rsid w:val="00260DEF"/>
    <w:rsid w:val="00260FBB"/>
    <w:rsid w:val="0026100C"/>
    <w:rsid w:val="002619FF"/>
    <w:rsid w:val="00261E38"/>
    <w:rsid w:val="00261E85"/>
    <w:rsid w:val="0026294E"/>
    <w:rsid w:val="00262DE4"/>
    <w:rsid w:val="00262F27"/>
    <w:rsid w:val="00263950"/>
    <w:rsid w:val="002640B1"/>
    <w:rsid w:val="00264341"/>
    <w:rsid w:val="002646F3"/>
    <w:rsid w:val="002649E5"/>
    <w:rsid w:val="002651C8"/>
    <w:rsid w:val="00265777"/>
    <w:rsid w:val="002658F9"/>
    <w:rsid w:val="002666CE"/>
    <w:rsid w:val="00266812"/>
    <w:rsid w:val="00266987"/>
    <w:rsid w:val="00266A6C"/>
    <w:rsid w:val="0026710F"/>
    <w:rsid w:val="00267200"/>
    <w:rsid w:val="0026764A"/>
    <w:rsid w:val="002707DC"/>
    <w:rsid w:val="00270DA9"/>
    <w:rsid w:val="00270F0C"/>
    <w:rsid w:val="00271C26"/>
    <w:rsid w:val="00272753"/>
    <w:rsid w:val="0027340F"/>
    <w:rsid w:val="00273C2A"/>
    <w:rsid w:val="00274524"/>
    <w:rsid w:val="00274703"/>
    <w:rsid w:val="00275125"/>
    <w:rsid w:val="00276791"/>
    <w:rsid w:val="00276B43"/>
    <w:rsid w:val="00276FC4"/>
    <w:rsid w:val="0027778F"/>
    <w:rsid w:val="002779FC"/>
    <w:rsid w:val="002806D0"/>
    <w:rsid w:val="002808FD"/>
    <w:rsid w:val="002813CD"/>
    <w:rsid w:val="002814D8"/>
    <w:rsid w:val="00281716"/>
    <w:rsid w:val="00281FF9"/>
    <w:rsid w:val="00282CB8"/>
    <w:rsid w:val="00282D5E"/>
    <w:rsid w:val="00282FC7"/>
    <w:rsid w:val="002832C8"/>
    <w:rsid w:val="00284529"/>
    <w:rsid w:val="00284726"/>
    <w:rsid w:val="00284FB1"/>
    <w:rsid w:val="002854DA"/>
    <w:rsid w:val="002856F3"/>
    <w:rsid w:val="00285E87"/>
    <w:rsid w:val="00287002"/>
    <w:rsid w:val="002870D6"/>
    <w:rsid w:val="002901C0"/>
    <w:rsid w:val="00290644"/>
    <w:rsid w:val="00290CEB"/>
    <w:rsid w:val="00290D0C"/>
    <w:rsid w:val="00290DCC"/>
    <w:rsid w:val="00290E22"/>
    <w:rsid w:val="00290E62"/>
    <w:rsid w:val="00291C92"/>
    <w:rsid w:val="00291D3E"/>
    <w:rsid w:val="0029286B"/>
    <w:rsid w:val="00292CC6"/>
    <w:rsid w:val="00292FD4"/>
    <w:rsid w:val="002936E4"/>
    <w:rsid w:val="00293DEF"/>
    <w:rsid w:val="002957AC"/>
    <w:rsid w:val="00295827"/>
    <w:rsid w:val="00296AF4"/>
    <w:rsid w:val="00297B24"/>
    <w:rsid w:val="002A07F5"/>
    <w:rsid w:val="002A0EF2"/>
    <w:rsid w:val="002A10C9"/>
    <w:rsid w:val="002A2555"/>
    <w:rsid w:val="002A271C"/>
    <w:rsid w:val="002A2870"/>
    <w:rsid w:val="002A2C0D"/>
    <w:rsid w:val="002A3386"/>
    <w:rsid w:val="002A38D8"/>
    <w:rsid w:val="002A398C"/>
    <w:rsid w:val="002A4197"/>
    <w:rsid w:val="002A4DBB"/>
    <w:rsid w:val="002A5062"/>
    <w:rsid w:val="002A5476"/>
    <w:rsid w:val="002A5D1A"/>
    <w:rsid w:val="002A5F98"/>
    <w:rsid w:val="002A66E3"/>
    <w:rsid w:val="002A6A16"/>
    <w:rsid w:val="002A6CAB"/>
    <w:rsid w:val="002A6F12"/>
    <w:rsid w:val="002B05CA"/>
    <w:rsid w:val="002B1829"/>
    <w:rsid w:val="002B1E6A"/>
    <w:rsid w:val="002B242F"/>
    <w:rsid w:val="002B28A5"/>
    <w:rsid w:val="002B3910"/>
    <w:rsid w:val="002B464A"/>
    <w:rsid w:val="002B4C9A"/>
    <w:rsid w:val="002B4CC9"/>
    <w:rsid w:val="002B5CF7"/>
    <w:rsid w:val="002B601B"/>
    <w:rsid w:val="002B6106"/>
    <w:rsid w:val="002B641D"/>
    <w:rsid w:val="002B7056"/>
    <w:rsid w:val="002B70F3"/>
    <w:rsid w:val="002B711B"/>
    <w:rsid w:val="002B7901"/>
    <w:rsid w:val="002C0146"/>
    <w:rsid w:val="002C05E2"/>
    <w:rsid w:val="002C06C1"/>
    <w:rsid w:val="002C110C"/>
    <w:rsid w:val="002C1B05"/>
    <w:rsid w:val="002C1D0A"/>
    <w:rsid w:val="002C2FA7"/>
    <w:rsid w:val="002C308F"/>
    <w:rsid w:val="002C347D"/>
    <w:rsid w:val="002C35C2"/>
    <w:rsid w:val="002C3A8C"/>
    <w:rsid w:val="002C3C4C"/>
    <w:rsid w:val="002C3DEB"/>
    <w:rsid w:val="002C43CA"/>
    <w:rsid w:val="002C4829"/>
    <w:rsid w:val="002C4B8E"/>
    <w:rsid w:val="002C5A47"/>
    <w:rsid w:val="002C5B30"/>
    <w:rsid w:val="002C60F9"/>
    <w:rsid w:val="002D0678"/>
    <w:rsid w:val="002D0F87"/>
    <w:rsid w:val="002D1076"/>
    <w:rsid w:val="002D17BF"/>
    <w:rsid w:val="002D1C19"/>
    <w:rsid w:val="002D1C6C"/>
    <w:rsid w:val="002D1D1A"/>
    <w:rsid w:val="002D2CC5"/>
    <w:rsid w:val="002D4817"/>
    <w:rsid w:val="002D4A45"/>
    <w:rsid w:val="002D4C4C"/>
    <w:rsid w:val="002D51BD"/>
    <w:rsid w:val="002D579B"/>
    <w:rsid w:val="002D5898"/>
    <w:rsid w:val="002D5E38"/>
    <w:rsid w:val="002D60F9"/>
    <w:rsid w:val="002D68FB"/>
    <w:rsid w:val="002D7436"/>
    <w:rsid w:val="002E0789"/>
    <w:rsid w:val="002E1395"/>
    <w:rsid w:val="002E21CE"/>
    <w:rsid w:val="002E240C"/>
    <w:rsid w:val="002E3708"/>
    <w:rsid w:val="002E40F8"/>
    <w:rsid w:val="002E4284"/>
    <w:rsid w:val="002E4EDD"/>
    <w:rsid w:val="002E4FB0"/>
    <w:rsid w:val="002E52F0"/>
    <w:rsid w:val="002E618D"/>
    <w:rsid w:val="002E638A"/>
    <w:rsid w:val="002E652A"/>
    <w:rsid w:val="002E65EE"/>
    <w:rsid w:val="002E7591"/>
    <w:rsid w:val="002E7B71"/>
    <w:rsid w:val="002F09E6"/>
    <w:rsid w:val="002F0EE0"/>
    <w:rsid w:val="002F1492"/>
    <w:rsid w:val="002F156F"/>
    <w:rsid w:val="002F24CC"/>
    <w:rsid w:val="002F25E8"/>
    <w:rsid w:val="002F3984"/>
    <w:rsid w:val="002F54F5"/>
    <w:rsid w:val="002F59A3"/>
    <w:rsid w:val="002F5D45"/>
    <w:rsid w:val="002F7E48"/>
    <w:rsid w:val="00300AE2"/>
    <w:rsid w:val="0030127A"/>
    <w:rsid w:val="003019CD"/>
    <w:rsid w:val="003023CE"/>
    <w:rsid w:val="0030286D"/>
    <w:rsid w:val="00302E6B"/>
    <w:rsid w:val="0030440F"/>
    <w:rsid w:val="003048F7"/>
    <w:rsid w:val="0030619A"/>
    <w:rsid w:val="003064A0"/>
    <w:rsid w:val="00306909"/>
    <w:rsid w:val="00310205"/>
    <w:rsid w:val="00310D3D"/>
    <w:rsid w:val="0031132A"/>
    <w:rsid w:val="003114E3"/>
    <w:rsid w:val="003119AD"/>
    <w:rsid w:val="00313391"/>
    <w:rsid w:val="00314103"/>
    <w:rsid w:val="00314564"/>
    <w:rsid w:val="00315331"/>
    <w:rsid w:val="003158BD"/>
    <w:rsid w:val="00317040"/>
    <w:rsid w:val="00317382"/>
    <w:rsid w:val="00317C2E"/>
    <w:rsid w:val="00322585"/>
    <w:rsid w:val="00322A03"/>
    <w:rsid w:val="00322D8F"/>
    <w:rsid w:val="00325D7B"/>
    <w:rsid w:val="00326074"/>
    <w:rsid w:val="003277E9"/>
    <w:rsid w:val="00327F21"/>
    <w:rsid w:val="003303B0"/>
    <w:rsid w:val="003311B0"/>
    <w:rsid w:val="00331470"/>
    <w:rsid w:val="00331C1B"/>
    <w:rsid w:val="00332747"/>
    <w:rsid w:val="00332EE8"/>
    <w:rsid w:val="0033327A"/>
    <w:rsid w:val="00333433"/>
    <w:rsid w:val="003336AE"/>
    <w:rsid w:val="00333A3D"/>
    <w:rsid w:val="00333EA8"/>
    <w:rsid w:val="00334114"/>
    <w:rsid w:val="003342E9"/>
    <w:rsid w:val="0033433A"/>
    <w:rsid w:val="00334C26"/>
    <w:rsid w:val="003359C2"/>
    <w:rsid w:val="00335F8E"/>
    <w:rsid w:val="00335FA0"/>
    <w:rsid w:val="00336AA5"/>
    <w:rsid w:val="00336B62"/>
    <w:rsid w:val="00337155"/>
    <w:rsid w:val="00337F7D"/>
    <w:rsid w:val="00340076"/>
    <w:rsid w:val="0034104B"/>
    <w:rsid w:val="00341420"/>
    <w:rsid w:val="00341538"/>
    <w:rsid w:val="0034157C"/>
    <w:rsid w:val="00341EE0"/>
    <w:rsid w:val="003421CD"/>
    <w:rsid w:val="003422A8"/>
    <w:rsid w:val="00342465"/>
    <w:rsid w:val="0034252F"/>
    <w:rsid w:val="0034416F"/>
    <w:rsid w:val="00344293"/>
    <w:rsid w:val="0034480C"/>
    <w:rsid w:val="00344823"/>
    <w:rsid w:val="003451F5"/>
    <w:rsid w:val="0034545B"/>
    <w:rsid w:val="00345495"/>
    <w:rsid w:val="003457D1"/>
    <w:rsid w:val="00346429"/>
    <w:rsid w:val="00347031"/>
    <w:rsid w:val="00347463"/>
    <w:rsid w:val="003478ED"/>
    <w:rsid w:val="00350055"/>
    <w:rsid w:val="003506C0"/>
    <w:rsid w:val="00352812"/>
    <w:rsid w:val="00352FC1"/>
    <w:rsid w:val="00353454"/>
    <w:rsid w:val="00353D33"/>
    <w:rsid w:val="00353EB2"/>
    <w:rsid w:val="003540CE"/>
    <w:rsid w:val="003545C8"/>
    <w:rsid w:val="0035480A"/>
    <w:rsid w:val="003549E0"/>
    <w:rsid w:val="0035514D"/>
    <w:rsid w:val="003552DB"/>
    <w:rsid w:val="00355473"/>
    <w:rsid w:val="003561E4"/>
    <w:rsid w:val="003573EF"/>
    <w:rsid w:val="00360097"/>
    <w:rsid w:val="00360140"/>
    <w:rsid w:val="00360181"/>
    <w:rsid w:val="00360947"/>
    <w:rsid w:val="00361010"/>
    <w:rsid w:val="003625CC"/>
    <w:rsid w:val="003627EC"/>
    <w:rsid w:val="00364088"/>
    <w:rsid w:val="0036448C"/>
    <w:rsid w:val="003646A4"/>
    <w:rsid w:val="00364899"/>
    <w:rsid w:val="00364FD2"/>
    <w:rsid w:val="003657B9"/>
    <w:rsid w:val="00366379"/>
    <w:rsid w:val="003676BA"/>
    <w:rsid w:val="00367F85"/>
    <w:rsid w:val="003709AF"/>
    <w:rsid w:val="00370AF3"/>
    <w:rsid w:val="00371253"/>
    <w:rsid w:val="003720E8"/>
    <w:rsid w:val="003726EB"/>
    <w:rsid w:val="0037291B"/>
    <w:rsid w:val="00372EFC"/>
    <w:rsid w:val="0037302B"/>
    <w:rsid w:val="00374150"/>
    <w:rsid w:val="00375A32"/>
    <w:rsid w:val="00375ED3"/>
    <w:rsid w:val="00376941"/>
    <w:rsid w:val="00376CB8"/>
    <w:rsid w:val="00377C7E"/>
    <w:rsid w:val="003805F3"/>
    <w:rsid w:val="00380D62"/>
    <w:rsid w:val="00380E5A"/>
    <w:rsid w:val="00381280"/>
    <w:rsid w:val="00381483"/>
    <w:rsid w:val="00381D29"/>
    <w:rsid w:val="00382DA0"/>
    <w:rsid w:val="00382E3D"/>
    <w:rsid w:val="003836C4"/>
    <w:rsid w:val="00383A6E"/>
    <w:rsid w:val="00384215"/>
    <w:rsid w:val="003842AB"/>
    <w:rsid w:val="00384BEE"/>
    <w:rsid w:val="003857E9"/>
    <w:rsid w:val="00385D52"/>
    <w:rsid w:val="0038601B"/>
    <w:rsid w:val="003866E0"/>
    <w:rsid w:val="00386A9A"/>
    <w:rsid w:val="00387865"/>
    <w:rsid w:val="003878AB"/>
    <w:rsid w:val="00391371"/>
    <w:rsid w:val="0039191F"/>
    <w:rsid w:val="00392285"/>
    <w:rsid w:val="00392874"/>
    <w:rsid w:val="00392914"/>
    <w:rsid w:val="0039398D"/>
    <w:rsid w:val="00393BD3"/>
    <w:rsid w:val="003946DE"/>
    <w:rsid w:val="00394F19"/>
    <w:rsid w:val="00395197"/>
    <w:rsid w:val="0039722B"/>
    <w:rsid w:val="003975C9"/>
    <w:rsid w:val="003976CE"/>
    <w:rsid w:val="00397A59"/>
    <w:rsid w:val="003A0B53"/>
    <w:rsid w:val="003A1EA3"/>
    <w:rsid w:val="003A1EBA"/>
    <w:rsid w:val="003A2995"/>
    <w:rsid w:val="003A2C09"/>
    <w:rsid w:val="003A2EDD"/>
    <w:rsid w:val="003A2FE5"/>
    <w:rsid w:val="003A324C"/>
    <w:rsid w:val="003A3332"/>
    <w:rsid w:val="003A3648"/>
    <w:rsid w:val="003A3AC2"/>
    <w:rsid w:val="003A48EA"/>
    <w:rsid w:val="003A4900"/>
    <w:rsid w:val="003A4A36"/>
    <w:rsid w:val="003A5652"/>
    <w:rsid w:val="003A56F7"/>
    <w:rsid w:val="003A5D9C"/>
    <w:rsid w:val="003A5E40"/>
    <w:rsid w:val="003A74C2"/>
    <w:rsid w:val="003A76F0"/>
    <w:rsid w:val="003A77B5"/>
    <w:rsid w:val="003A7F04"/>
    <w:rsid w:val="003B0DD4"/>
    <w:rsid w:val="003B1003"/>
    <w:rsid w:val="003B1090"/>
    <w:rsid w:val="003B144B"/>
    <w:rsid w:val="003B1F34"/>
    <w:rsid w:val="003B22DD"/>
    <w:rsid w:val="003B3511"/>
    <w:rsid w:val="003B376C"/>
    <w:rsid w:val="003B3EEB"/>
    <w:rsid w:val="003B4DC8"/>
    <w:rsid w:val="003B5431"/>
    <w:rsid w:val="003B595B"/>
    <w:rsid w:val="003B6058"/>
    <w:rsid w:val="003B65C2"/>
    <w:rsid w:val="003B6B28"/>
    <w:rsid w:val="003B6D3E"/>
    <w:rsid w:val="003B6D5D"/>
    <w:rsid w:val="003B7254"/>
    <w:rsid w:val="003B7715"/>
    <w:rsid w:val="003B7927"/>
    <w:rsid w:val="003C0196"/>
    <w:rsid w:val="003C0395"/>
    <w:rsid w:val="003C163E"/>
    <w:rsid w:val="003C1BCE"/>
    <w:rsid w:val="003C1EC5"/>
    <w:rsid w:val="003C1FC8"/>
    <w:rsid w:val="003C227B"/>
    <w:rsid w:val="003C37A0"/>
    <w:rsid w:val="003C49A3"/>
    <w:rsid w:val="003C4ABB"/>
    <w:rsid w:val="003C51BC"/>
    <w:rsid w:val="003C51D6"/>
    <w:rsid w:val="003C5A6E"/>
    <w:rsid w:val="003C5D8B"/>
    <w:rsid w:val="003C6FBB"/>
    <w:rsid w:val="003C7826"/>
    <w:rsid w:val="003D03AD"/>
    <w:rsid w:val="003D1A80"/>
    <w:rsid w:val="003D1E7B"/>
    <w:rsid w:val="003D2430"/>
    <w:rsid w:val="003D2DE3"/>
    <w:rsid w:val="003D3AD1"/>
    <w:rsid w:val="003D45F2"/>
    <w:rsid w:val="003D4D58"/>
    <w:rsid w:val="003D4D83"/>
    <w:rsid w:val="003D61ED"/>
    <w:rsid w:val="003D6778"/>
    <w:rsid w:val="003D690D"/>
    <w:rsid w:val="003D79D0"/>
    <w:rsid w:val="003D7DA6"/>
    <w:rsid w:val="003D7F7E"/>
    <w:rsid w:val="003E08D1"/>
    <w:rsid w:val="003E1D8D"/>
    <w:rsid w:val="003E40DC"/>
    <w:rsid w:val="003E41C4"/>
    <w:rsid w:val="003E4BF3"/>
    <w:rsid w:val="003E4FFE"/>
    <w:rsid w:val="003E574A"/>
    <w:rsid w:val="003E5A10"/>
    <w:rsid w:val="003E7042"/>
    <w:rsid w:val="003E7517"/>
    <w:rsid w:val="003F0508"/>
    <w:rsid w:val="003F109E"/>
    <w:rsid w:val="003F1BF7"/>
    <w:rsid w:val="003F20EF"/>
    <w:rsid w:val="003F23B7"/>
    <w:rsid w:val="003F252A"/>
    <w:rsid w:val="003F26A7"/>
    <w:rsid w:val="003F2732"/>
    <w:rsid w:val="003F30B9"/>
    <w:rsid w:val="003F3571"/>
    <w:rsid w:val="003F3BAD"/>
    <w:rsid w:val="003F4542"/>
    <w:rsid w:val="003F5666"/>
    <w:rsid w:val="003F569C"/>
    <w:rsid w:val="003F585A"/>
    <w:rsid w:val="003F5F03"/>
    <w:rsid w:val="003F6348"/>
    <w:rsid w:val="003F697C"/>
    <w:rsid w:val="00400385"/>
    <w:rsid w:val="0040155C"/>
    <w:rsid w:val="00402BCD"/>
    <w:rsid w:val="00402FCC"/>
    <w:rsid w:val="00403CD3"/>
    <w:rsid w:val="00404A7C"/>
    <w:rsid w:val="0040542A"/>
    <w:rsid w:val="004057BA"/>
    <w:rsid w:val="00405BB5"/>
    <w:rsid w:val="00405DFC"/>
    <w:rsid w:val="004066E8"/>
    <w:rsid w:val="00406935"/>
    <w:rsid w:val="00407608"/>
    <w:rsid w:val="00407774"/>
    <w:rsid w:val="0040787E"/>
    <w:rsid w:val="00410F96"/>
    <w:rsid w:val="00411AF0"/>
    <w:rsid w:val="00411E51"/>
    <w:rsid w:val="00412749"/>
    <w:rsid w:val="0041345F"/>
    <w:rsid w:val="00413600"/>
    <w:rsid w:val="004137CE"/>
    <w:rsid w:val="00413AA4"/>
    <w:rsid w:val="004147BE"/>
    <w:rsid w:val="004154F0"/>
    <w:rsid w:val="00415603"/>
    <w:rsid w:val="00415876"/>
    <w:rsid w:val="004160DE"/>
    <w:rsid w:val="004160E7"/>
    <w:rsid w:val="0041741C"/>
    <w:rsid w:val="00417593"/>
    <w:rsid w:val="0042035C"/>
    <w:rsid w:val="004203E4"/>
    <w:rsid w:val="0042059C"/>
    <w:rsid w:val="00420933"/>
    <w:rsid w:val="00420DC9"/>
    <w:rsid w:val="00420EFF"/>
    <w:rsid w:val="004211DB"/>
    <w:rsid w:val="004212BB"/>
    <w:rsid w:val="00421AC1"/>
    <w:rsid w:val="00423100"/>
    <w:rsid w:val="004233DE"/>
    <w:rsid w:val="00424097"/>
    <w:rsid w:val="00424761"/>
    <w:rsid w:val="00424913"/>
    <w:rsid w:val="00424915"/>
    <w:rsid w:val="00425A0F"/>
    <w:rsid w:val="00426AE6"/>
    <w:rsid w:val="00426B51"/>
    <w:rsid w:val="00426F3B"/>
    <w:rsid w:val="0043196A"/>
    <w:rsid w:val="0043238E"/>
    <w:rsid w:val="00432CE8"/>
    <w:rsid w:val="00433AFE"/>
    <w:rsid w:val="00433CD0"/>
    <w:rsid w:val="0043469B"/>
    <w:rsid w:val="00435FF9"/>
    <w:rsid w:val="00437B4A"/>
    <w:rsid w:val="00440438"/>
    <w:rsid w:val="0044052E"/>
    <w:rsid w:val="00441244"/>
    <w:rsid w:val="00441FC6"/>
    <w:rsid w:val="004435BC"/>
    <w:rsid w:val="004442A3"/>
    <w:rsid w:val="00444A9E"/>
    <w:rsid w:val="00444F1B"/>
    <w:rsid w:val="00445A26"/>
    <w:rsid w:val="00446358"/>
    <w:rsid w:val="00446BE1"/>
    <w:rsid w:val="00446D82"/>
    <w:rsid w:val="00446E13"/>
    <w:rsid w:val="004471FD"/>
    <w:rsid w:val="004472A6"/>
    <w:rsid w:val="00447E2C"/>
    <w:rsid w:val="00450227"/>
    <w:rsid w:val="00450691"/>
    <w:rsid w:val="004515AB"/>
    <w:rsid w:val="00452079"/>
    <w:rsid w:val="0045261F"/>
    <w:rsid w:val="00452A6C"/>
    <w:rsid w:val="00453127"/>
    <w:rsid w:val="00453F00"/>
    <w:rsid w:val="00453FBC"/>
    <w:rsid w:val="00454345"/>
    <w:rsid w:val="004545D3"/>
    <w:rsid w:val="00454A55"/>
    <w:rsid w:val="00454C47"/>
    <w:rsid w:val="00455AA5"/>
    <w:rsid w:val="00456AA6"/>
    <w:rsid w:val="00456C4A"/>
    <w:rsid w:val="00457009"/>
    <w:rsid w:val="0045706D"/>
    <w:rsid w:val="004576A0"/>
    <w:rsid w:val="00457904"/>
    <w:rsid w:val="00457B2E"/>
    <w:rsid w:val="004605BA"/>
    <w:rsid w:val="0046108F"/>
    <w:rsid w:val="00461639"/>
    <w:rsid w:val="0046209B"/>
    <w:rsid w:val="0046214D"/>
    <w:rsid w:val="00462511"/>
    <w:rsid w:val="00462551"/>
    <w:rsid w:val="004631B7"/>
    <w:rsid w:val="00463BB8"/>
    <w:rsid w:val="00463D84"/>
    <w:rsid w:val="0046463E"/>
    <w:rsid w:val="0046465B"/>
    <w:rsid w:val="00466398"/>
    <w:rsid w:val="0046677B"/>
    <w:rsid w:val="00466F87"/>
    <w:rsid w:val="004670F4"/>
    <w:rsid w:val="00467AAC"/>
    <w:rsid w:val="00467BBC"/>
    <w:rsid w:val="00470B99"/>
    <w:rsid w:val="00470D56"/>
    <w:rsid w:val="004710E6"/>
    <w:rsid w:val="004729CA"/>
    <w:rsid w:val="00472E72"/>
    <w:rsid w:val="0047371A"/>
    <w:rsid w:val="0047414E"/>
    <w:rsid w:val="004749B6"/>
    <w:rsid w:val="00474E20"/>
    <w:rsid w:val="004759FC"/>
    <w:rsid w:val="00475AFC"/>
    <w:rsid w:val="00475B58"/>
    <w:rsid w:val="00475DFF"/>
    <w:rsid w:val="0047619E"/>
    <w:rsid w:val="00476404"/>
    <w:rsid w:val="00476707"/>
    <w:rsid w:val="00476B3E"/>
    <w:rsid w:val="004804C6"/>
    <w:rsid w:val="0048052A"/>
    <w:rsid w:val="00480FFA"/>
    <w:rsid w:val="00481608"/>
    <w:rsid w:val="00481B99"/>
    <w:rsid w:val="00482303"/>
    <w:rsid w:val="00482487"/>
    <w:rsid w:val="004825B4"/>
    <w:rsid w:val="004831FC"/>
    <w:rsid w:val="004832FC"/>
    <w:rsid w:val="00483E07"/>
    <w:rsid w:val="00483EC3"/>
    <w:rsid w:val="0048563A"/>
    <w:rsid w:val="00485C5E"/>
    <w:rsid w:val="00486066"/>
    <w:rsid w:val="00487502"/>
    <w:rsid w:val="004904D5"/>
    <w:rsid w:val="0049074F"/>
    <w:rsid w:val="004912A2"/>
    <w:rsid w:val="004919B2"/>
    <w:rsid w:val="00491F58"/>
    <w:rsid w:val="0049201C"/>
    <w:rsid w:val="00492E7A"/>
    <w:rsid w:val="0049308C"/>
    <w:rsid w:val="00493D21"/>
    <w:rsid w:val="0049410A"/>
    <w:rsid w:val="00495BD8"/>
    <w:rsid w:val="00495C9F"/>
    <w:rsid w:val="00495D68"/>
    <w:rsid w:val="00495EEF"/>
    <w:rsid w:val="0049635E"/>
    <w:rsid w:val="00497F04"/>
    <w:rsid w:val="004A07FC"/>
    <w:rsid w:val="004A095C"/>
    <w:rsid w:val="004A23EC"/>
    <w:rsid w:val="004A41D2"/>
    <w:rsid w:val="004A4684"/>
    <w:rsid w:val="004A4C27"/>
    <w:rsid w:val="004A4E15"/>
    <w:rsid w:val="004A5668"/>
    <w:rsid w:val="004A59F3"/>
    <w:rsid w:val="004A5A70"/>
    <w:rsid w:val="004A5DEE"/>
    <w:rsid w:val="004A607C"/>
    <w:rsid w:val="004A65BC"/>
    <w:rsid w:val="004B01B4"/>
    <w:rsid w:val="004B0625"/>
    <w:rsid w:val="004B0E46"/>
    <w:rsid w:val="004B26F3"/>
    <w:rsid w:val="004B341D"/>
    <w:rsid w:val="004B3900"/>
    <w:rsid w:val="004B5266"/>
    <w:rsid w:val="004B570A"/>
    <w:rsid w:val="004B6823"/>
    <w:rsid w:val="004B6FAD"/>
    <w:rsid w:val="004B7036"/>
    <w:rsid w:val="004B71B0"/>
    <w:rsid w:val="004B76E0"/>
    <w:rsid w:val="004B7B3F"/>
    <w:rsid w:val="004C05BE"/>
    <w:rsid w:val="004C1953"/>
    <w:rsid w:val="004C2121"/>
    <w:rsid w:val="004C2623"/>
    <w:rsid w:val="004C2716"/>
    <w:rsid w:val="004C281E"/>
    <w:rsid w:val="004C296C"/>
    <w:rsid w:val="004C328C"/>
    <w:rsid w:val="004C3D24"/>
    <w:rsid w:val="004C4510"/>
    <w:rsid w:val="004C49C7"/>
    <w:rsid w:val="004C4B56"/>
    <w:rsid w:val="004C4DDE"/>
    <w:rsid w:val="004C514C"/>
    <w:rsid w:val="004C5297"/>
    <w:rsid w:val="004C56DC"/>
    <w:rsid w:val="004C5726"/>
    <w:rsid w:val="004C5A3A"/>
    <w:rsid w:val="004C609F"/>
    <w:rsid w:val="004C65F6"/>
    <w:rsid w:val="004C6620"/>
    <w:rsid w:val="004C6D43"/>
    <w:rsid w:val="004C6EAF"/>
    <w:rsid w:val="004C74E1"/>
    <w:rsid w:val="004C7A48"/>
    <w:rsid w:val="004D009C"/>
    <w:rsid w:val="004D0393"/>
    <w:rsid w:val="004D09E1"/>
    <w:rsid w:val="004D0D5A"/>
    <w:rsid w:val="004D0E9E"/>
    <w:rsid w:val="004D29E2"/>
    <w:rsid w:val="004D31F1"/>
    <w:rsid w:val="004D3373"/>
    <w:rsid w:val="004D385E"/>
    <w:rsid w:val="004D4274"/>
    <w:rsid w:val="004D4509"/>
    <w:rsid w:val="004D4570"/>
    <w:rsid w:val="004D4CED"/>
    <w:rsid w:val="004D4F5C"/>
    <w:rsid w:val="004D54E2"/>
    <w:rsid w:val="004D6157"/>
    <w:rsid w:val="004D7225"/>
    <w:rsid w:val="004D7FA7"/>
    <w:rsid w:val="004E09B6"/>
    <w:rsid w:val="004E15F9"/>
    <w:rsid w:val="004E1A16"/>
    <w:rsid w:val="004E1C6A"/>
    <w:rsid w:val="004E2CC8"/>
    <w:rsid w:val="004E3E05"/>
    <w:rsid w:val="004E43ED"/>
    <w:rsid w:val="004E45F0"/>
    <w:rsid w:val="004E55B4"/>
    <w:rsid w:val="004E5BF5"/>
    <w:rsid w:val="004E5D28"/>
    <w:rsid w:val="004E7029"/>
    <w:rsid w:val="004F0072"/>
    <w:rsid w:val="004F04DC"/>
    <w:rsid w:val="004F195E"/>
    <w:rsid w:val="004F2237"/>
    <w:rsid w:val="004F2985"/>
    <w:rsid w:val="004F326B"/>
    <w:rsid w:val="004F32A3"/>
    <w:rsid w:val="004F3B28"/>
    <w:rsid w:val="004F3FD9"/>
    <w:rsid w:val="004F4103"/>
    <w:rsid w:val="004F488E"/>
    <w:rsid w:val="004F5539"/>
    <w:rsid w:val="004F5895"/>
    <w:rsid w:val="004F60DD"/>
    <w:rsid w:val="004F63D6"/>
    <w:rsid w:val="004F6911"/>
    <w:rsid w:val="004F6D92"/>
    <w:rsid w:val="004F6ED1"/>
    <w:rsid w:val="004F799F"/>
    <w:rsid w:val="004F79EE"/>
    <w:rsid w:val="005007EB"/>
    <w:rsid w:val="00502267"/>
    <w:rsid w:val="00502963"/>
    <w:rsid w:val="00503190"/>
    <w:rsid w:val="00503EA3"/>
    <w:rsid w:val="0050460D"/>
    <w:rsid w:val="0050546F"/>
    <w:rsid w:val="0050555D"/>
    <w:rsid w:val="00505695"/>
    <w:rsid w:val="00505BCF"/>
    <w:rsid w:val="005062E3"/>
    <w:rsid w:val="00507104"/>
    <w:rsid w:val="005072BB"/>
    <w:rsid w:val="00507694"/>
    <w:rsid w:val="005100B8"/>
    <w:rsid w:val="00510473"/>
    <w:rsid w:val="00510AC7"/>
    <w:rsid w:val="00510D4E"/>
    <w:rsid w:val="005121C2"/>
    <w:rsid w:val="00512D3F"/>
    <w:rsid w:val="005136DB"/>
    <w:rsid w:val="00513731"/>
    <w:rsid w:val="00513DB1"/>
    <w:rsid w:val="00513EF2"/>
    <w:rsid w:val="005144A7"/>
    <w:rsid w:val="00514845"/>
    <w:rsid w:val="005148D4"/>
    <w:rsid w:val="005151D9"/>
    <w:rsid w:val="005153D8"/>
    <w:rsid w:val="00515572"/>
    <w:rsid w:val="00516006"/>
    <w:rsid w:val="0051655B"/>
    <w:rsid w:val="00517589"/>
    <w:rsid w:val="00517EB1"/>
    <w:rsid w:val="00520166"/>
    <w:rsid w:val="005207AC"/>
    <w:rsid w:val="0052083F"/>
    <w:rsid w:val="005210DC"/>
    <w:rsid w:val="00521D91"/>
    <w:rsid w:val="00521FDF"/>
    <w:rsid w:val="00522908"/>
    <w:rsid w:val="00522B25"/>
    <w:rsid w:val="00523095"/>
    <w:rsid w:val="005230AB"/>
    <w:rsid w:val="00523548"/>
    <w:rsid w:val="00523B9B"/>
    <w:rsid w:val="005244E6"/>
    <w:rsid w:val="00525509"/>
    <w:rsid w:val="005255EA"/>
    <w:rsid w:val="00525DDC"/>
    <w:rsid w:val="0052634C"/>
    <w:rsid w:val="005267C5"/>
    <w:rsid w:val="00530033"/>
    <w:rsid w:val="00530C4A"/>
    <w:rsid w:val="00531408"/>
    <w:rsid w:val="00531571"/>
    <w:rsid w:val="005319CC"/>
    <w:rsid w:val="00532226"/>
    <w:rsid w:val="00532268"/>
    <w:rsid w:val="005324DB"/>
    <w:rsid w:val="00532572"/>
    <w:rsid w:val="005325A7"/>
    <w:rsid w:val="00532611"/>
    <w:rsid w:val="00532978"/>
    <w:rsid w:val="00533286"/>
    <w:rsid w:val="005338F3"/>
    <w:rsid w:val="00533D1C"/>
    <w:rsid w:val="00533D95"/>
    <w:rsid w:val="00535262"/>
    <w:rsid w:val="00536432"/>
    <w:rsid w:val="005369DE"/>
    <w:rsid w:val="00537038"/>
    <w:rsid w:val="00537434"/>
    <w:rsid w:val="00537F00"/>
    <w:rsid w:val="00541C3C"/>
    <w:rsid w:val="00541F5A"/>
    <w:rsid w:val="00542782"/>
    <w:rsid w:val="00542C86"/>
    <w:rsid w:val="00543BB4"/>
    <w:rsid w:val="00543E97"/>
    <w:rsid w:val="00546B39"/>
    <w:rsid w:val="00546C4E"/>
    <w:rsid w:val="00547DC0"/>
    <w:rsid w:val="005500D7"/>
    <w:rsid w:val="005509B6"/>
    <w:rsid w:val="005516CA"/>
    <w:rsid w:val="00551A09"/>
    <w:rsid w:val="00552575"/>
    <w:rsid w:val="005526A8"/>
    <w:rsid w:val="00552B2D"/>
    <w:rsid w:val="005546E4"/>
    <w:rsid w:val="0055492F"/>
    <w:rsid w:val="0055535A"/>
    <w:rsid w:val="00555631"/>
    <w:rsid w:val="0055666F"/>
    <w:rsid w:val="00556F29"/>
    <w:rsid w:val="00557C24"/>
    <w:rsid w:val="005606E8"/>
    <w:rsid w:val="00560BBE"/>
    <w:rsid w:val="005613A3"/>
    <w:rsid w:val="00562547"/>
    <w:rsid w:val="00563D21"/>
    <w:rsid w:val="00563DCF"/>
    <w:rsid w:val="00564FDC"/>
    <w:rsid w:val="005653BA"/>
    <w:rsid w:val="0056541B"/>
    <w:rsid w:val="00566FC3"/>
    <w:rsid w:val="00567B59"/>
    <w:rsid w:val="00567BF1"/>
    <w:rsid w:val="005704B5"/>
    <w:rsid w:val="00570A25"/>
    <w:rsid w:val="0057121D"/>
    <w:rsid w:val="0057283F"/>
    <w:rsid w:val="005729C8"/>
    <w:rsid w:val="00573883"/>
    <w:rsid w:val="005749C4"/>
    <w:rsid w:val="00574D21"/>
    <w:rsid w:val="0057570C"/>
    <w:rsid w:val="00576315"/>
    <w:rsid w:val="00576B71"/>
    <w:rsid w:val="00577B49"/>
    <w:rsid w:val="005801C3"/>
    <w:rsid w:val="005807AE"/>
    <w:rsid w:val="00581755"/>
    <w:rsid w:val="005818DD"/>
    <w:rsid w:val="00581ACD"/>
    <w:rsid w:val="005821C9"/>
    <w:rsid w:val="005823C5"/>
    <w:rsid w:val="00582948"/>
    <w:rsid w:val="005833D6"/>
    <w:rsid w:val="005855CF"/>
    <w:rsid w:val="00587E13"/>
    <w:rsid w:val="00590C9D"/>
    <w:rsid w:val="005914A7"/>
    <w:rsid w:val="00592809"/>
    <w:rsid w:val="0059327A"/>
    <w:rsid w:val="0059381B"/>
    <w:rsid w:val="00593844"/>
    <w:rsid w:val="0059509B"/>
    <w:rsid w:val="00595139"/>
    <w:rsid w:val="00595878"/>
    <w:rsid w:val="005958F8"/>
    <w:rsid w:val="00595CE3"/>
    <w:rsid w:val="00595E43"/>
    <w:rsid w:val="005960A8"/>
    <w:rsid w:val="0059665F"/>
    <w:rsid w:val="00596DBD"/>
    <w:rsid w:val="00596FF9"/>
    <w:rsid w:val="00597407"/>
    <w:rsid w:val="005A05D9"/>
    <w:rsid w:val="005A05EF"/>
    <w:rsid w:val="005A0837"/>
    <w:rsid w:val="005A0AB0"/>
    <w:rsid w:val="005A16D7"/>
    <w:rsid w:val="005A1A66"/>
    <w:rsid w:val="005A1BB1"/>
    <w:rsid w:val="005A2772"/>
    <w:rsid w:val="005A2E80"/>
    <w:rsid w:val="005A309A"/>
    <w:rsid w:val="005A318A"/>
    <w:rsid w:val="005A36CE"/>
    <w:rsid w:val="005A3A19"/>
    <w:rsid w:val="005A3BB9"/>
    <w:rsid w:val="005A3FA6"/>
    <w:rsid w:val="005A43A4"/>
    <w:rsid w:val="005A47ED"/>
    <w:rsid w:val="005A5B78"/>
    <w:rsid w:val="005A5C16"/>
    <w:rsid w:val="005A6757"/>
    <w:rsid w:val="005A6973"/>
    <w:rsid w:val="005A6B3F"/>
    <w:rsid w:val="005A7F56"/>
    <w:rsid w:val="005A7FAC"/>
    <w:rsid w:val="005B1A78"/>
    <w:rsid w:val="005B1D2F"/>
    <w:rsid w:val="005B2E9F"/>
    <w:rsid w:val="005B2FDF"/>
    <w:rsid w:val="005B3010"/>
    <w:rsid w:val="005B37BE"/>
    <w:rsid w:val="005B39D7"/>
    <w:rsid w:val="005B3A74"/>
    <w:rsid w:val="005B43D9"/>
    <w:rsid w:val="005B4C38"/>
    <w:rsid w:val="005B4E25"/>
    <w:rsid w:val="005B584B"/>
    <w:rsid w:val="005B5C15"/>
    <w:rsid w:val="005B64F5"/>
    <w:rsid w:val="005B6ED6"/>
    <w:rsid w:val="005B7ACD"/>
    <w:rsid w:val="005C0ACE"/>
    <w:rsid w:val="005C0D4E"/>
    <w:rsid w:val="005C1813"/>
    <w:rsid w:val="005C1850"/>
    <w:rsid w:val="005C20DC"/>
    <w:rsid w:val="005C2945"/>
    <w:rsid w:val="005C2AE7"/>
    <w:rsid w:val="005C2CB3"/>
    <w:rsid w:val="005C3C4C"/>
    <w:rsid w:val="005C41E0"/>
    <w:rsid w:val="005C454B"/>
    <w:rsid w:val="005C4584"/>
    <w:rsid w:val="005C4900"/>
    <w:rsid w:val="005C49E0"/>
    <w:rsid w:val="005C4D35"/>
    <w:rsid w:val="005C4E79"/>
    <w:rsid w:val="005C5588"/>
    <w:rsid w:val="005C5593"/>
    <w:rsid w:val="005C639A"/>
    <w:rsid w:val="005C65CE"/>
    <w:rsid w:val="005C6B1A"/>
    <w:rsid w:val="005C7259"/>
    <w:rsid w:val="005C7773"/>
    <w:rsid w:val="005D063B"/>
    <w:rsid w:val="005D0BF7"/>
    <w:rsid w:val="005D0FBB"/>
    <w:rsid w:val="005D1D58"/>
    <w:rsid w:val="005D215A"/>
    <w:rsid w:val="005D22BA"/>
    <w:rsid w:val="005D23CB"/>
    <w:rsid w:val="005D2748"/>
    <w:rsid w:val="005D2864"/>
    <w:rsid w:val="005D2B95"/>
    <w:rsid w:val="005D309A"/>
    <w:rsid w:val="005D3EC7"/>
    <w:rsid w:val="005D46B2"/>
    <w:rsid w:val="005D4B38"/>
    <w:rsid w:val="005D4C95"/>
    <w:rsid w:val="005D4D67"/>
    <w:rsid w:val="005D513A"/>
    <w:rsid w:val="005D5729"/>
    <w:rsid w:val="005D5BB3"/>
    <w:rsid w:val="005D62DB"/>
    <w:rsid w:val="005D6BF5"/>
    <w:rsid w:val="005D7748"/>
    <w:rsid w:val="005D7CAE"/>
    <w:rsid w:val="005E08DE"/>
    <w:rsid w:val="005E0977"/>
    <w:rsid w:val="005E25A3"/>
    <w:rsid w:val="005E266F"/>
    <w:rsid w:val="005E2B85"/>
    <w:rsid w:val="005E3249"/>
    <w:rsid w:val="005E32B4"/>
    <w:rsid w:val="005E3D1E"/>
    <w:rsid w:val="005E3E52"/>
    <w:rsid w:val="005E421F"/>
    <w:rsid w:val="005E4328"/>
    <w:rsid w:val="005E4AFF"/>
    <w:rsid w:val="005E4CE3"/>
    <w:rsid w:val="005E4CF6"/>
    <w:rsid w:val="005E50A5"/>
    <w:rsid w:val="005E560F"/>
    <w:rsid w:val="005E7099"/>
    <w:rsid w:val="005E792C"/>
    <w:rsid w:val="005F1177"/>
    <w:rsid w:val="005F1AB7"/>
    <w:rsid w:val="005F298A"/>
    <w:rsid w:val="005F2DDF"/>
    <w:rsid w:val="005F4381"/>
    <w:rsid w:val="005F444B"/>
    <w:rsid w:val="005F4978"/>
    <w:rsid w:val="005F4B72"/>
    <w:rsid w:val="005F4C18"/>
    <w:rsid w:val="005F4E3A"/>
    <w:rsid w:val="005F5951"/>
    <w:rsid w:val="005F604D"/>
    <w:rsid w:val="005F714A"/>
    <w:rsid w:val="006004E9"/>
    <w:rsid w:val="00601017"/>
    <w:rsid w:val="006012D9"/>
    <w:rsid w:val="00601313"/>
    <w:rsid w:val="006013AD"/>
    <w:rsid w:val="00601F51"/>
    <w:rsid w:val="006022BB"/>
    <w:rsid w:val="00602491"/>
    <w:rsid w:val="00602740"/>
    <w:rsid w:val="00602978"/>
    <w:rsid w:val="00602D7A"/>
    <w:rsid w:val="0060305C"/>
    <w:rsid w:val="00603809"/>
    <w:rsid w:val="00603EC0"/>
    <w:rsid w:val="006048C8"/>
    <w:rsid w:val="00604C35"/>
    <w:rsid w:val="00604E38"/>
    <w:rsid w:val="006057AF"/>
    <w:rsid w:val="00605999"/>
    <w:rsid w:val="00605D07"/>
    <w:rsid w:val="00606B0B"/>
    <w:rsid w:val="00606C08"/>
    <w:rsid w:val="00606FC2"/>
    <w:rsid w:val="00607701"/>
    <w:rsid w:val="00610902"/>
    <w:rsid w:val="00610D6B"/>
    <w:rsid w:val="006114D3"/>
    <w:rsid w:val="006123A4"/>
    <w:rsid w:val="006125D5"/>
    <w:rsid w:val="00612D97"/>
    <w:rsid w:val="00612DC0"/>
    <w:rsid w:val="00612E9B"/>
    <w:rsid w:val="00613436"/>
    <w:rsid w:val="0061386F"/>
    <w:rsid w:val="00613C45"/>
    <w:rsid w:val="00614118"/>
    <w:rsid w:val="006141D4"/>
    <w:rsid w:val="00614554"/>
    <w:rsid w:val="0061459C"/>
    <w:rsid w:val="006155E8"/>
    <w:rsid w:val="006156EE"/>
    <w:rsid w:val="006161A6"/>
    <w:rsid w:val="00616375"/>
    <w:rsid w:val="006165CD"/>
    <w:rsid w:val="0061694B"/>
    <w:rsid w:val="00617439"/>
    <w:rsid w:val="0061755E"/>
    <w:rsid w:val="00617F75"/>
    <w:rsid w:val="00620708"/>
    <w:rsid w:val="00620A9A"/>
    <w:rsid w:val="00621E46"/>
    <w:rsid w:val="00622CDB"/>
    <w:rsid w:val="00623D3C"/>
    <w:rsid w:val="006241B8"/>
    <w:rsid w:val="006243CD"/>
    <w:rsid w:val="006249EA"/>
    <w:rsid w:val="00625100"/>
    <w:rsid w:val="00625155"/>
    <w:rsid w:val="0062520C"/>
    <w:rsid w:val="00625CCA"/>
    <w:rsid w:val="00626B71"/>
    <w:rsid w:val="0063192A"/>
    <w:rsid w:val="006324F5"/>
    <w:rsid w:val="00632941"/>
    <w:rsid w:val="00633D9E"/>
    <w:rsid w:val="006347C1"/>
    <w:rsid w:val="00634BAE"/>
    <w:rsid w:val="00634C5F"/>
    <w:rsid w:val="006352CA"/>
    <w:rsid w:val="00635C0B"/>
    <w:rsid w:val="00635E02"/>
    <w:rsid w:val="00636430"/>
    <w:rsid w:val="00636B42"/>
    <w:rsid w:val="00637B71"/>
    <w:rsid w:val="00640779"/>
    <w:rsid w:val="00641B08"/>
    <w:rsid w:val="00642B84"/>
    <w:rsid w:val="00643061"/>
    <w:rsid w:val="0064318E"/>
    <w:rsid w:val="00643223"/>
    <w:rsid w:val="00643660"/>
    <w:rsid w:val="006438B6"/>
    <w:rsid w:val="00643AAB"/>
    <w:rsid w:val="006447B9"/>
    <w:rsid w:val="0064555F"/>
    <w:rsid w:val="00645659"/>
    <w:rsid w:val="0064577B"/>
    <w:rsid w:val="0064619A"/>
    <w:rsid w:val="006461F8"/>
    <w:rsid w:val="0064623C"/>
    <w:rsid w:val="0064642A"/>
    <w:rsid w:val="00646753"/>
    <w:rsid w:val="006468AB"/>
    <w:rsid w:val="00646F2F"/>
    <w:rsid w:val="006473D1"/>
    <w:rsid w:val="00647F94"/>
    <w:rsid w:val="00650763"/>
    <w:rsid w:val="00650997"/>
    <w:rsid w:val="00650B86"/>
    <w:rsid w:val="00652359"/>
    <w:rsid w:val="00652BA4"/>
    <w:rsid w:val="00652FEA"/>
    <w:rsid w:val="00653DCA"/>
    <w:rsid w:val="00654B75"/>
    <w:rsid w:val="00655B6F"/>
    <w:rsid w:val="00655B80"/>
    <w:rsid w:val="00656603"/>
    <w:rsid w:val="0065736C"/>
    <w:rsid w:val="00660645"/>
    <w:rsid w:val="00660964"/>
    <w:rsid w:val="00661637"/>
    <w:rsid w:val="006619C7"/>
    <w:rsid w:val="00661F1B"/>
    <w:rsid w:val="00662212"/>
    <w:rsid w:val="006623C9"/>
    <w:rsid w:val="006625D3"/>
    <w:rsid w:val="00662993"/>
    <w:rsid w:val="0066323B"/>
    <w:rsid w:val="00663CD7"/>
    <w:rsid w:val="00663F06"/>
    <w:rsid w:val="00664F1B"/>
    <w:rsid w:val="006661C8"/>
    <w:rsid w:val="00666DB9"/>
    <w:rsid w:val="00666DD8"/>
    <w:rsid w:val="0066730F"/>
    <w:rsid w:val="0066766C"/>
    <w:rsid w:val="00670175"/>
    <w:rsid w:val="0067107F"/>
    <w:rsid w:val="006713F3"/>
    <w:rsid w:val="00671428"/>
    <w:rsid w:val="00671809"/>
    <w:rsid w:val="00671A8F"/>
    <w:rsid w:val="0067285D"/>
    <w:rsid w:val="00672AAE"/>
    <w:rsid w:val="00672B32"/>
    <w:rsid w:val="00672CDF"/>
    <w:rsid w:val="00673364"/>
    <w:rsid w:val="00673D2D"/>
    <w:rsid w:val="00673D58"/>
    <w:rsid w:val="006741E7"/>
    <w:rsid w:val="00674449"/>
    <w:rsid w:val="006746A1"/>
    <w:rsid w:val="00674D95"/>
    <w:rsid w:val="00675CFC"/>
    <w:rsid w:val="00675D57"/>
    <w:rsid w:val="00676477"/>
    <w:rsid w:val="0067796C"/>
    <w:rsid w:val="00677EBB"/>
    <w:rsid w:val="00677F0D"/>
    <w:rsid w:val="00680FAF"/>
    <w:rsid w:val="006817A8"/>
    <w:rsid w:val="00681885"/>
    <w:rsid w:val="00682AE8"/>
    <w:rsid w:val="00682D05"/>
    <w:rsid w:val="00682E0F"/>
    <w:rsid w:val="00682E2E"/>
    <w:rsid w:val="00683B1A"/>
    <w:rsid w:val="00684605"/>
    <w:rsid w:val="00685D80"/>
    <w:rsid w:val="00686070"/>
    <w:rsid w:val="00686635"/>
    <w:rsid w:val="00686899"/>
    <w:rsid w:val="006875E9"/>
    <w:rsid w:val="00687647"/>
    <w:rsid w:val="00687929"/>
    <w:rsid w:val="00690BC1"/>
    <w:rsid w:val="00691989"/>
    <w:rsid w:val="00692A08"/>
    <w:rsid w:val="00693078"/>
    <w:rsid w:val="006933C0"/>
    <w:rsid w:val="006934E2"/>
    <w:rsid w:val="006939E6"/>
    <w:rsid w:val="006943A0"/>
    <w:rsid w:val="00695345"/>
    <w:rsid w:val="006957F1"/>
    <w:rsid w:val="00696532"/>
    <w:rsid w:val="006965F1"/>
    <w:rsid w:val="00696A6D"/>
    <w:rsid w:val="00697A7E"/>
    <w:rsid w:val="006A01D1"/>
    <w:rsid w:val="006A0624"/>
    <w:rsid w:val="006A1811"/>
    <w:rsid w:val="006A182C"/>
    <w:rsid w:val="006A1E0C"/>
    <w:rsid w:val="006A210D"/>
    <w:rsid w:val="006A2585"/>
    <w:rsid w:val="006A4655"/>
    <w:rsid w:val="006A4910"/>
    <w:rsid w:val="006A542A"/>
    <w:rsid w:val="006A59FA"/>
    <w:rsid w:val="006A5FA5"/>
    <w:rsid w:val="006A6011"/>
    <w:rsid w:val="006A69C4"/>
    <w:rsid w:val="006B0B2F"/>
    <w:rsid w:val="006B0CC5"/>
    <w:rsid w:val="006B1613"/>
    <w:rsid w:val="006B1BCD"/>
    <w:rsid w:val="006B1EB4"/>
    <w:rsid w:val="006B2016"/>
    <w:rsid w:val="006B2851"/>
    <w:rsid w:val="006B2EBF"/>
    <w:rsid w:val="006B3018"/>
    <w:rsid w:val="006B32BE"/>
    <w:rsid w:val="006B47DE"/>
    <w:rsid w:val="006B481F"/>
    <w:rsid w:val="006B4ED0"/>
    <w:rsid w:val="006B5C22"/>
    <w:rsid w:val="006B5D47"/>
    <w:rsid w:val="006B5E03"/>
    <w:rsid w:val="006B5F1E"/>
    <w:rsid w:val="006B60DC"/>
    <w:rsid w:val="006B6345"/>
    <w:rsid w:val="006B67CA"/>
    <w:rsid w:val="006B6E27"/>
    <w:rsid w:val="006B7841"/>
    <w:rsid w:val="006B7CAA"/>
    <w:rsid w:val="006B7DFF"/>
    <w:rsid w:val="006C0AD8"/>
    <w:rsid w:val="006C0F1C"/>
    <w:rsid w:val="006C0F91"/>
    <w:rsid w:val="006C0FA0"/>
    <w:rsid w:val="006C1353"/>
    <w:rsid w:val="006C1923"/>
    <w:rsid w:val="006C22EB"/>
    <w:rsid w:val="006C37AA"/>
    <w:rsid w:val="006C3E1F"/>
    <w:rsid w:val="006C4A90"/>
    <w:rsid w:val="006C50B2"/>
    <w:rsid w:val="006C55F0"/>
    <w:rsid w:val="006C5949"/>
    <w:rsid w:val="006C5E0A"/>
    <w:rsid w:val="006C6876"/>
    <w:rsid w:val="006C6951"/>
    <w:rsid w:val="006C6C27"/>
    <w:rsid w:val="006C709D"/>
    <w:rsid w:val="006D01C8"/>
    <w:rsid w:val="006D1742"/>
    <w:rsid w:val="006D18CF"/>
    <w:rsid w:val="006D1F0A"/>
    <w:rsid w:val="006D279E"/>
    <w:rsid w:val="006D37F1"/>
    <w:rsid w:val="006D387E"/>
    <w:rsid w:val="006D3A89"/>
    <w:rsid w:val="006D3ABB"/>
    <w:rsid w:val="006D4AB0"/>
    <w:rsid w:val="006D5565"/>
    <w:rsid w:val="006D5843"/>
    <w:rsid w:val="006D66ED"/>
    <w:rsid w:val="006D6CA3"/>
    <w:rsid w:val="006D7D0A"/>
    <w:rsid w:val="006E07AE"/>
    <w:rsid w:val="006E22F8"/>
    <w:rsid w:val="006E2FF1"/>
    <w:rsid w:val="006E3757"/>
    <w:rsid w:val="006E3809"/>
    <w:rsid w:val="006E3C58"/>
    <w:rsid w:val="006E438E"/>
    <w:rsid w:val="006E5A0B"/>
    <w:rsid w:val="006E65A6"/>
    <w:rsid w:val="006E68E9"/>
    <w:rsid w:val="006E69C8"/>
    <w:rsid w:val="006E7F46"/>
    <w:rsid w:val="006F1610"/>
    <w:rsid w:val="006F191B"/>
    <w:rsid w:val="006F1E03"/>
    <w:rsid w:val="006F1F53"/>
    <w:rsid w:val="006F256A"/>
    <w:rsid w:val="006F25C7"/>
    <w:rsid w:val="006F2AF3"/>
    <w:rsid w:val="006F2CD5"/>
    <w:rsid w:val="006F2ECA"/>
    <w:rsid w:val="006F2F74"/>
    <w:rsid w:val="006F303A"/>
    <w:rsid w:val="006F35DA"/>
    <w:rsid w:val="006F54BE"/>
    <w:rsid w:val="006F6629"/>
    <w:rsid w:val="006F6792"/>
    <w:rsid w:val="006F6B2A"/>
    <w:rsid w:val="006F6D9E"/>
    <w:rsid w:val="006F6EBA"/>
    <w:rsid w:val="006F799B"/>
    <w:rsid w:val="006F7F82"/>
    <w:rsid w:val="00700189"/>
    <w:rsid w:val="0070046B"/>
    <w:rsid w:val="007016BC"/>
    <w:rsid w:val="007019AB"/>
    <w:rsid w:val="00701AF5"/>
    <w:rsid w:val="00701B7A"/>
    <w:rsid w:val="00702304"/>
    <w:rsid w:val="007027D6"/>
    <w:rsid w:val="00702A06"/>
    <w:rsid w:val="007034CA"/>
    <w:rsid w:val="00704155"/>
    <w:rsid w:val="00704182"/>
    <w:rsid w:val="00704A00"/>
    <w:rsid w:val="00704FBD"/>
    <w:rsid w:val="00705999"/>
    <w:rsid w:val="007059FC"/>
    <w:rsid w:val="00706494"/>
    <w:rsid w:val="00706BA2"/>
    <w:rsid w:val="00707B7C"/>
    <w:rsid w:val="00707DEA"/>
    <w:rsid w:val="00710190"/>
    <w:rsid w:val="007103A9"/>
    <w:rsid w:val="00710522"/>
    <w:rsid w:val="00710694"/>
    <w:rsid w:val="007114EA"/>
    <w:rsid w:val="0071176A"/>
    <w:rsid w:val="00711CE6"/>
    <w:rsid w:val="007126CE"/>
    <w:rsid w:val="00713675"/>
    <w:rsid w:val="00713D9C"/>
    <w:rsid w:val="00713E44"/>
    <w:rsid w:val="007143B9"/>
    <w:rsid w:val="00714962"/>
    <w:rsid w:val="00715690"/>
    <w:rsid w:val="007156DF"/>
    <w:rsid w:val="007157BE"/>
    <w:rsid w:val="00715A54"/>
    <w:rsid w:val="00715AA8"/>
    <w:rsid w:val="00715CF4"/>
    <w:rsid w:val="00716F90"/>
    <w:rsid w:val="00720689"/>
    <w:rsid w:val="00721331"/>
    <w:rsid w:val="00721337"/>
    <w:rsid w:val="00721DCE"/>
    <w:rsid w:val="00721FB8"/>
    <w:rsid w:val="00722360"/>
    <w:rsid w:val="00722AAE"/>
    <w:rsid w:val="00722FB9"/>
    <w:rsid w:val="007231CD"/>
    <w:rsid w:val="0072379A"/>
    <w:rsid w:val="00723E8F"/>
    <w:rsid w:val="007241DE"/>
    <w:rsid w:val="0072449F"/>
    <w:rsid w:val="00724C1B"/>
    <w:rsid w:val="00724DFC"/>
    <w:rsid w:val="00725F8F"/>
    <w:rsid w:val="00726234"/>
    <w:rsid w:val="00726239"/>
    <w:rsid w:val="007276A6"/>
    <w:rsid w:val="00731308"/>
    <w:rsid w:val="00731483"/>
    <w:rsid w:val="00733010"/>
    <w:rsid w:val="00733475"/>
    <w:rsid w:val="00733527"/>
    <w:rsid w:val="00733DEB"/>
    <w:rsid w:val="007344A1"/>
    <w:rsid w:val="00734774"/>
    <w:rsid w:val="00734A30"/>
    <w:rsid w:val="00735BA1"/>
    <w:rsid w:val="00735DBA"/>
    <w:rsid w:val="0073637F"/>
    <w:rsid w:val="0073685E"/>
    <w:rsid w:val="00737F4A"/>
    <w:rsid w:val="00740014"/>
    <w:rsid w:val="00740386"/>
    <w:rsid w:val="00740659"/>
    <w:rsid w:val="00741700"/>
    <w:rsid w:val="00742C39"/>
    <w:rsid w:val="00743267"/>
    <w:rsid w:val="00743FAF"/>
    <w:rsid w:val="0074471C"/>
    <w:rsid w:val="007447FD"/>
    <w:rsid w:val="00745B32"/>
    <w:rsid w:val="007462FB"/>
    <w:rsid w:val="00746559"/>
    <w:rsid w:val="007469C5"/>
    <w:rsid w:val="00746B8C"/>
    <w:rsid w:val="007478AB"/>
    <w:rsid w:val="007500B7"/>
    <w:rsid w:val="00750E47"/>
    <w:rsid w:val="00751464"/>
    <w:rsid w:val="00751CCE"/>
    <w:rsid w:val="00752A14"/>
    <w:rsid w:val="00752BA9"/>
    <w:rsid w:val="00753BDA"/>
    <w:rsid w:val="0075419C"/>
    <w:rsid w:val="007544D6"/>
    <w:rsid w:val="00754CF2"/>
    <w:rsid w:val="007551E5"/>
    <w:rsid w:val="007556B1"/>
    <w:rsid w:val="00755746"/>
    <w:rsid w:val="00755937"/>
    <w:rsid w:val="00755F34"/>
    <w:rsid w:val="00757082"/>
    <w:rsid w:val="00757780"/>
    <w:rsid w:val="00757BD4"/>
    <w:rsid w:val="00760630"/>
    <w:rsid w:val="00760F8B"/>
    <w:rsid w:val="0076189A"/>
    <w:rsid w:val="00761EAC"/>
    <w:rsid w:val="00762620"/>
    <w:rsid w:val="00763716"/>
    <w:rsid w:val="00764AFC"/>
    <w:rsid w:val="00764D71"/>
    <w:rsid w:val="00764E38"/>
    <w:rsid w:val="00764F49"/>
    <w:rsid w:val="00764FAC"/>
    <w:rsid w:val="0076563C"/>
    <w:rsid w:val="00765B93"/>
    <w:rsid w:val="0076675C"/>
    <w:rsid w:val="00766ABF"/>
    <w:rsid w:val="007672FE"/>
    <w:rsid w:val="00767C4B"/>
    <w:rsid w:val="00767DA3"/>
    <w:rsid w:val="00767F26"/>
    <w:rsid w:val="007703C7"/>
    <w:rsid w:val="00770428"/>
    <w:rsid w:val="00770BC5"/>
    <w:rsid w:val="00770C83"/>
    <w:rsid w:val="0077145F"/>
    <w:rsid w:val="00771FF1"/>
    <w:rsid w:val="007721C1"/>
    <w:rsid w:val="007727FC"/>
    <w:rsid w:val="0077300F"/>
    <w:rsid w:val="00773264"/>
    <w:rsid w:val="007733A1"/>
    <w:rsid w:val="007740FC"/>
    <w:rsid w:val="00774663"/>
    <w:rsid w:val="00775E00"/>
    <w:rsid w:val="00776871"/>
    <w:rsid w:val="00776945"/>
    <w:rsid w:val="00776C7F"/>
    <w:rsid w:val="00776CF0"/>
    <w:rsid w:val="00776D7F"/>
    <w:rsid w:val="007770C5"/>
    <w:rsid w:val="0078016F"/>
    <w:rsid w:val="00780E90"/>
    <w:rsid w:val="00781098"/>
    <w:rsid w:val="0078152A"/>
    <w:rsid w:val="0078176B"/>
    <w:rsid w:val="00781B47"/>
    <w:rsid w:val="00782E2D"/>
    <w:rsid w:val="00782EB3"/>
    <w:rsid w:val="007839EA"/>
    <w:rsid w:val="00784C4D"/>
    <w:rsid w:val="00784F12"/>
    <w:rsid w:val="00785043"/>
    <w:rsid w:val="0078569B"/>
    <w:rsid w:val="00785E66"/>
    <w:rsid w:val="00786B91"/>
    <w:rsid w:val="00787489"/>
    <w:rsid w:val="00787983"/>
    <w:rsid w:val="00791275"/>
    <w:rsid w:val="00791D3C"/>
    <w:rsid w:val="00792EDC"/>
    <w:rsid w:val="00792F0C"/>
    <w:rsid w:val="00793DE6"/>
    <w:rsid w:val="0079410F"/>
    <w:rsid w:val="00794169"/>
    <w:rsid w:val="00794EB3"/>
    <w:rsid w:val="00795366"/>
    <w:rsid w:val="00795632"/>
    <w:rsid w:val="00795962"/>
    <w:rsid w:val="00795A45"/>
    <w:rsid w:val="00795D4D"/>
    <w:rsid w:val="00796116"/>
    <w:rsid w:val="00796345"/>
    <w:rsid w:val="007969D3"/>
    <w:rsid w:val="00796E90"/>
    <w:rsid w:val="007972D0"/>
    <w:rsid w:val="00797877"/>
    <w:rsid w:val="00797A55"/>
    <w:rsid w:val="00797C34"/>
    <w:rsid w:val="007A0641"/>
    <w:rsid w:val="007A1329"/>
    <w:rsid w:val="007A157D"/>
    <w:rsid w:val="007A1686"/>
    <w:rsid w:val="007A1E9B"/>
    <w:rsid w:val="007A32D9"/>
    <w:rsid w:val="007A35F8"/>
    <w:rsid w:val="007A3975"/>
    <w:rsid w:val="007A3991"/>
    <w:rsid w:val="007A4A41"/>
    <w:rsid w:val="007A4AC5"/>
    <w:rsid w:val="007A5B21"/>
    <w:rsid w:val="007A5C81"/>
    <w:rsid w:val="007A6243"/>
    <w:rsid w:val="007A628A"/>
    <w:rsid w:val="007A6CA5"/>
    <w:rsid w:val="007A7060"/>
    <w:rsid w:val="007A7098"/>
    <w:rsid w:val="007A737B"/>
    <w:rsid w:val="007A7454"/>
    <w:rsid w:val="007A7E93"/>
    <w:rsid w:val="007B1BF5"/>
    <w:rsid w:val="007B2FC7"/>
    <w:rsid w:val="007B3DA2"/>
    <w:rsid w:val="007B3F76"/>
    <w:rsid w:val="007B5A3F"/>
    <w:rsid w:val="007B5E4F"/>
    <w:rsid w:val="007B5FB2"/>
    <w:rsid w:val="007B601B"/>
    <w:rsid w:val="007B6CA7"/>
    <w:rsid w:val="007B6D59"/>
    <w:rsid w:val="007B6DF4"/>
    <w:rsid w:val="007B7045"/>
    <w:rsid w:val="007B725F"/>
    <w:rsid w:val="007B73F3"/>
    <w:rsid w:val="007B765D"/>
    <w:rsid w:val="007B7A61"/>
    <w:rsid w:val="007C0CCD"/>
    <w:rsid w:val="007C11A3"/>
    <w:rsid w:val="007C172D"/>
    <w:rsid w:val="007C183A"/>
    <w:rsid w:val="007C1923"/>
    <w:rsid w:val="007C210D"/>
    <w:rsid w:val="007C2D45"/>
    <w:rsid w:val="007C3D05"/>
    <w:rsid w:val="007C4A6C"/>
    <w:rsid w:val="007C569D"/>
    <w:rsid w:val="007C595C"/>
    <w:rsid w:val="007C5A23"/>
    <w:rsid w:val="007C66E9"/>
    <w:rsid w:val="007D04FD"/>
    <w:rsid w:val="007D0C7B"/>
    <w:rsid w:val="007D1161"/>
    <w:rsid w:val="007D1456"/>
    <w:rsid w:val="007D17EA"/>
    <w:rsid w:val="007D2999"/>
    <w:rsid w:val="007D29E6"/>
    <w:rsid w:val="007D2C61"/>
    <w:rsid w:val="007D2ECA"/>
    <w:rsid w:val="007D2F52"/>
    <w:rsid w:val="007D3229"/>
    <w:rsid w:val="007D3E31"/>
    <w:rsid w:val="007D469B"/>
    <w:rsid w:val="007D6ADC"/>
    <w:rsid w:val="007D6B6F"/>
    <w:rsid w:val="007D7272"/>
    <w:rsid w:val="007D793D"/>
    <w:rsid w:val="007D7E3A"/>
    <w:rsid w:val="007E0361"/>
    <w:rsid w:val="007E19CD"/>
    <w:rsid w:val="007E19E7"/>
    <w:rsid w:val="007E1FC4"/>
    <w:rsid w:val="007E260A"/>
    <w:rsid w:val="007E290E"/>
    <w:rsid w:val="007E2C08"/>
    <w:rsid w:val="007E35A0"/>
    <w:rsid w:val="007E3CA2"/>
    <w:rsid w:val="007E46F5"/>
    <w:rsid w:val="007E4C5A"/>
    <w:rsid w:val="007E5031"/>
    <w:rsid w:val="007E507B"/>
    <w:rsid w:val="007E53EA"/>
    <w:rsid w:val="007E5B9E"/>
    <w:rsid w:val="007E5F67"/>
    <w:rsid w:val="007E6ABE"/>
    <w:rsid w:val="007E6B8D"/>
    <w:rsid w:val="007E758F"/>
    <w:rsid w:val="007E76FE"/>
    <w:rsid w:val="007E7795"/>
    <w:rsid w:val="007E7877"/>
    <w:rsid w:val="007E7997"/>
    <w:rsid w:val="007F05B4"/>
    <w:rsid w:val="007F06E6"/>
    <w:rsid w:val="007F1C9A"/>
    <w:rsid w:val="007F1E28"/>
    <w:rsid w:val="007F2ABE"/>
    <w:rsid w:val="007F2C2B"/>
    <w:rsid w:val="007F336F"/>
    <w:rsid w:val="007F3406"/>
    <w:rsid w:val="007F44B4"/>
    <w:rsid w:val="007F5873"/>
    <w:rsid w:val="007F5A20"/>
    <w:rsid w:val="007F6094"/>
    <w:rsid w:val="007F64FD"/>
    <w:rsid w:val="007F6778"/>
    <w:rsid w:val="007F757A"/>
    <w:rsid w:val="007F75E5"/>
    <w:rsid w:val="007F7917"/>
    <w:rsid w:val="007F7DAB"/>
    <w:rsid w:val="008006EB"/>
    <w:rsid w:val="008023C5"/>
    <w:rsid w:val="008023D0"/>
    <w:rsid w:val="008025A2"/>
    <w:rsid w:val="00802DDB"/>
    <w:rsid w:val="0080338F"/>
    <w:rsid w:val="00803C31"/>
    <w:rsid w:val="008049CC"/>
    <w:rsid w:val="008049D6"/>
    <w:rsid w:val="00804B22"/>
    <w:rsid w:val="008050EA"/>
    <w:rsid w:val="0080510F"/>
    <w:rsid w:val="0080512A"/>
    <w:rsid w:val="00805393"/>
    <w:rsid w:val="00806AF4"/>
    <w:rsid w:val="00806FE4"/>
    <w:rsid w:val="0081024F"/>
    <w:rsid w:val="00811018"/>
    <w:rsid w:val="008127AF"/>
    <w:rsid w:val="00812C7E"/>
    <w:rsid w:val="00813C36"/>
    <w:rsid w:val="0081410F"/>
    <w:rsid w:val="008141F0"/>
    <w:rsid w:val="00814257"/>
    <w:rsid w:val="00815836"/>
    <w:rsid w:val="0081632E"/>
    <w:rsid w:val="00816422"/>
    <w:rsid w:val="008165AF"/>
    <w:rsid w:val="0081690D"/>
    <w:rsid w:val="00816D23"/>
    <w:rsid w:val="00817606"/>
    <w:rsid w:val="008176F4"/>
    <w:rsid w:val="008179EE"/>
    <w:rsid w:val="00817E80"/>
    <w:rsid w:val="00817F0A"/>
    <w:rsid w:val="00817FAD"/>
    <w:rsid w:val="00820009"/>
    <w:rsid w:val="00820CFE"/>
    <w:rsid w:val="00821812"/>
    <w:rsid w:val="00822072"/>
    <w:rsid w:val="00822140"/>
    <w:rsid w:val="00823FB3"/>
    <w:rsid w:val="00824864"/>
    <w:rsid w:val="00824C00"/>
    <w:rsid w:val="00824E07"/>
    <w:rsid w:val="0082534B"/>
    <w:rsid w:val="008253FB"/>
    <w:rsid w:val="00825626"/>
    <w:rsid w:val="00825BB8"/>
    <w:rsid w:val="00825FBC"/>
    <w:rsid w:val="008267C8"/>
    <w:rsid w:val="008268A3"/>
    <w:rsid w:val="008278B5"/>
    <w:rsid w:val="008304D6"/>
    <w:rsid w:val="00830A11"/>
    <w:rsid w:val="00830D6A"/>
    <w:rsid w:val="008315A0"/>
    <w:rsid w:val="00831C2F"/>
    <w:rsid w:val="00831FF9"/>
    <w:rsid w:val="008327C4"/>
    <w:rsid w:val="00832808"/>
    <w:rsid w:val="00832E8A"/>
    <w:rsid w:val="008333F9"/>
    <w:rsid w:val="008342A3"/>
    <w:rsid w:val="008347DF"/>
    <w:rsid w:val="00836605"/>
    <w:rsid w:val="00836E49"/>
    <w:rsid w:val="00837966"/>
    <w:rsid w:val="00837D54"/>
    <w:rsid w:val="008405C8"/>
    <w:rsid w:val="008409DE"/>
    <w:rsid w:val="00840B27"/>
    <w:rsid w:val="00840E8D"/>
    <w:rsid w:val="008411AB"/>
    <w:rsid w:val="008419E9"/>
    <w:rsid w:val="00841A32"/>
    <w:rsid w:val="00841E23"/>
    <w:rsid w:val="0084206E"/>
    <w:rsid w:val="008421C1"/>
    <w:rsid w:val="0084229B"/>
    <w:rsid w:val="00843012"/>
    <w:rsid w:val="008435B8"/>
    <w:rsid w:val="00843C74"/>
    <w:rsid w:val="00843E6B"/>
    <w:rsid w:val="0084563A"/>
    <w:rsid w:val="008464AF"/>
    <w:rsid w:val="008467BC"/>
    <w:rsid w:val="0084749A"/>
    <w:rsid w:val="0085019A"/>
    <w:rsid w:val="00850344"/>
    <w:rsid w:val="008507EA"/>
    <w:rsid w:val="00850BBD"/>
    <w:rsid w:val="00850EA7"/>
    <w:rsid w:val="008514E1"/>
    <w:rsid w:val="0085183A"/>
    <w:rsid w:val="00852101"/>
    <w:rsid w:val="008526DA"/>
    <w:rsid w:val="00852E4A"/>
    <w:rsid w:val="00853E0B"/>
    <w:rsid w:val="0085465E"/>
    <w:rsid w:val="00854F6F"/>
    <w:rsid w:val="0085698D"/>
    <w:rsid w:val="00856B8C"/>
    <w:rsid w:val="00857271"/>
    <w:rsid w:val="0086028F"/>
    <w:rsid w:val="00860790"/>
    <w:rsid w:val="00860A74"/>
    <w:rsid w:val="0086128A"/>
    <w:rsid w:val="0086179C"/>
    <w:rsid w:val="0086224B"/>
    <w:rsid w:val="00863619"/>
    <w:rsid w:val="00863713"/>
    <w:rsid w:val="00863763"/>
    <w:rsid w:val="00864025"/>
    <w:rsid w:val="00864047"/>
    <w:rsid w:val="008644C1"/>
    <w:rsid w:val="008647FC"/>
    <w:rsid w:val="00865141"/>
    <w:rsid w:val="008652F8"/>
    <w:rsid w:val="00865FF2"/>
    <w:rsid w:val="0086616F"/>
    <w:rsid w:val="0086730E"/>
    <w:rsid w:val="00867948"/>
    <w:rsid w:val="00872443"/>
    <w:rsid w:val="00873114"/>
    <w:rsid w:val="0087340F"/>
    <w:rsid w:val="008738F3"/>
    <w:rsid w:val="00874AE7"/>
    <w:rsid w:val="00874D15"/>
    <w:rsid w:val="00875ADD"/>
    <w:rsid w:val="00875B4D"/>
    <w:rsid w:val="00875DB8"/>
    <w:rsid w:val="00876188"/>
    <w:rsid w:val="0087661F"/>
    <w:rsid w:val="0087743B"/>
    <w:rsid w:val="00877EF9"/>
    <w:rsid w:val="0088051C"/>
    <w:rsid w:val="00880687"/>
    <w:rsid w:val="008813F4"/>
    <w:rsid w:val="00881D59"/>
    <w:rsid w:val="0088203F"/>
    <w:rsid w:val="00882EB5"/>
    <w:rsid w:val="008844AB"/>
    <w:rsid w:val="00885132"/>
    <w:rsid w:val="0088528F"/>
    <w:rsid w:val="008855E3"/>
    <w:rsid w:val="00885620"/>
    <w:rsid w:val="008870F0"/>
    <w:rsid w:val="008908B3"/>
    <w:rsid w:val="00890949"/>
    <w:rsid w:val="00890AEA"/>
    <w:rsid w:val="00890B52"/>
    <w:rsid w:val="00890BAE"/>
    <w:rsid w:val="00890FDF"/>
    <w:rsid w:val="008914A3"/>
    <w:rsid w:val="00892F5F"/>
    <w:rsid w:val="008937FC"/>
    <w:rsid w:val="00893B68"/>
    <w:rsid w:val="00893DD7"/>
    <w:rsid w:val="00894DC7"/>
    <w:rsid w:val="00895864"/>
    <w:rsid w:val="00895AB7"/>
    <w:rsid w:val="00896769"/>
    <w:rsid w:val="00896975"/>
    <w:rsid w:val="0089726C"/>
    <w:rsid w:val="00897EA0"/>
    <w:rsid w:val="008A1030"/>
    <w:rsid w:val="008A11C1"/>
    <w:rsid w:val="008A2C8E"/>
    <w:rsid w:val="008A398F"/>
    <w:rsid w:val="008A4350"/>
    <w:rsid w:val="008A449A"/>
    <w:rsid w:val="008A469B"/>
    <w:rsid w:val="008A4851"/>
    <w:rsid w:val="008A4F65"/>
    <w:rsid w:val="008A5CE9"/>
    <w:rsid w:val="008A5FC0"/>
    <w:rsid w:val="008A600C"/>
    <w:rsid w:val="008A63F7"/>
    <w:rsid w:val="008A6ED1"/>
    <w:rsid w:val="008A7705"/>
    <w:rsid w:val="008A7771"/>
    <w:rsid w:val="008B2AF9"/>
    <w:rsid w:val="008B395C"/>
    <w:rsid w:val="008B4480"/>
    <w:rsid w:val="008B55C4"/>
    <w:rsid w:val="008B5A6F"/>
    <w:rsid w:val="008B622F"/>
    <w:rsid w:val="008B6AD4"/>
    <w:rsid w:val="008B70AE"/>
    <w:rsid w:val="008B7FD5"/>
    <w:rsid w:val="008C07F7"/>
    <w:rsid w:val="008C0DFE"/>
    <w:rsid w:val="008C11EE"/>
    <w:rsid w:val="008C15FE"/>
    <w:rsid w:val="008C1813"/>
    <w:rsid w:val="008C18CB"/>
    <w:rsid w:val="008C19C9"/>
    <w:rsid w:val="008C3769"/>
    <w:rsid w:val="008C453F"/>
    <w:rsid w:val="008C488B"/>
    <w:rsid w:val="008C5F36"/>
    <w:rsid w:val="008C636A"/>
    <w:rsid w:val="008C641D"/>
    <w:rsid w:val="008C665D"/>
    <w:rsid w:val="008C7463"/>
    <w:rsid w:val="008D078C"/>
    <w:rsid w:val="008D22FE"/>
    <w:rsid w:val="008D239A"/>
    <w:rsid w:val="008D2684"/>
    <w:rsid w:val="008D3AF9"/>
    <w:rsid w:val="008D3E30"/>
    <w:rsid w:val="008D3F7C"/>
    <w:rsid w:val="008D3FA1"/>
    <w:rsid w:val="008D45DE"/>
    <w:rsid w:val="008D594C"/>
    <w:rsid w:val="008D5BEE"/>
    <w:rsid w:val="008D6A1B"/>
    <w:rsid w:val="008D6C1C"/>
    <w:rsid w:val="008D71E5"/>
    <w:rsid w:val="008D73CE"/>
    <w:rsid w:val="008D7519"/>
    <w:rsid w:val="008E0260"/>
    <w:rsid w:val="008E0483"/>
    <w:rsid w:val="008E0C0D"/>
    <w:rsid w:val="008E0C5C"/>
    <w:rsid w:val="008E0D48"/>
    <w:rsid w:val="008E1FD2"/>
    <w:rsid w:val="008E21F0"/>
    <w:rsid w:val="008E2853"/>
    <w:rsid w:val="008E2D22"/>
    <w:rsid w:val="008E3595"/>
    <w:rsid w:val="008E3985"/>
    <w:rsid w:val="008E491E"/>
    <w:rsid w:val="008E5F60"/>
    <w:rsid w:val="008E683B"/>
    <w:rsid w:val="008E6B0A"/>
    <w:rsid w:val="008E6B44"/>
    <w:rsid w:val="008E6C56"/>
    <w:rsid w:val="008E7016"/>
    <w:rsid w:val="008E7225"/>
    <w:rsid w:val="008E75C0"/>
    <w:rsid w:val="008E77F0"/>
    <w:rsid w:val="008F0921"/>
    <w:rsid w:val="008F0D3C"/>
    <w:rsid w:val="008F0FCD"/>
    <w:rsid w:val="008F1537"/>
    <w:rsid w:val="008F15FC"/>
    <w:rsid w:val="008F1CE2"/>
    <w:rsid w:val="008F25E6"/>
    <w:rsid w:val="008F2E2E"/>
    <w:rsid w:val="008F39B7"/>
    <w:rsid w:val="008F44CB"/>
    <w:rsid w:val="008F5435"/>
    <w:rsid w:val="008F55F8"/>
    <w:rsid w:val="008F5789"/>
    <w:rsid w:val="008F58B2"/>
    <w:rsid w:val="008F6144"/>
    <w:rsid w:val="008F64C4"/>
    <w:rsid w:val="008F6B73"/>
    <w:rsid w:val="008F721A"/>
    <w:rsid w:val="008F777E"/>
    <w:rsid w:val="008F7E82"/>
    <w:rsid w:val="00900306"/>
    <w:rsid w:val="009011A1"/>
    <w:rsid w:val="00902313"/>
    <w:rsid w:val="00902D01"/>
    <w:rsid w:val="00902E1C"/>
    <w:rsid w:val="00904A60"/>
    <w:rsid w:val="009058BC"/>
    <w:rsid w:val="00905ECE"/>
    <w:rsid w:val="00906348"/>
    <w:rsid w:val="00906A4F"/>
    <w:rsid w:val="00906CBC"/>
    <w:rsid w:val="00906F0B"/>
    <w:rsid w:val="0090713C"/>
    <w:rsid w:val="0090781F"/>
    <w:rsid w:val="0091170E"/>
    <w:rsid w:val="00911BF3"/>
    <w:rsid w:val="00912524"/>
    <w:rsid w:val="009128C3"/>
    <w:rsid w:val="009129E8"/>
    <w:rsid w:val="009132EE"/>
    <w:rsid w:val="00913656"/>
    <w:rsid w:val="00913B57"/>
    <w:rsid w:val="00913EC8"/>
    <w:rsid w:val="00914647"/>
    <w:rsid w:val="00914CA8"/>
    <w:rsid w:val="00915421"/>
    <w:rsid w:val="00915FDC"/>
    <w:rsid w:val="0091671D"/>
    <w:rsid w:val="009174A5"/>
    <w:rsid w:val="009203BB"/>
    <w:rsid w:val="0092087A"/>
    <w:rsid w:val="009211D8"/>
    <w:rsid w:val="009216B4"/>
    <w:rsid w:val="009219B3"/>
    <w:rsid w:val="0092336D"/>
    <w:rsid w:val="0092399F"/>
    <w:rsid w:val="009239DA"/>
    <w:rsid w:val="00923CA9"/>
    <w:rsid w:val="00923D3E"/>
    <w:rsid w:val="009241AB"/>
    <w:rsid w:val="0092426F"/>
    <w:rsid w:val="00924BB9"/>
    <w:rsid w:val="00924BEE"/>
    <w:rsid w:val="00924FBE"/>
    <w:rsid w:val="00925AD3"/>
    <w:rsid w:val="00925B4D"/>
    <w:rsid w:val="00925D0E"/>
    <w:rsid w:val="00925FBB"/>
    <w:rsid w:val="009260F4"/>
    <w:rsid w:val="009265E0"/>
    <w:rsid w:val="00926E0E"/>
    <w:rsid w:val="009270F4"/>
    <w:rsid w:val="00927507"/>
    <w:rsid w:val="009277D2"/>
    <w:rsid w:val="00927BF0"/>
    <w:rsid w:val="00927E7C"/>
    <w:rsid w:val="00930CD9"/>
    <w:rsid w:val="009312EF"/>
    <w:rsid w:val="0093159C"/>
    <w:rsid w:val="00932F7A"/>
    <w:rsid w:val="0093363A"/>
    <w:rsid w:val="0093374F"/>
    <w:rsid w:val="00934355"/>
    <w:rsid w:val="00934471"/>
    <w:rsid w:val="00934515"/>
    <w:rsid w:val="00934AD0"/>
    <w:rsid w:val="00934B18"/>
    <w:rsid w:val="00935112"/>
    <w:rsid w:val="0093552C"/>
    <w:rsid w:val="00936479"/>
    <w:rsid w:val="00936B42"/>
    <w:rsid w:val="009371CA"/>
    <w:rsid w:val="009374FA"/>
    <w:rsid w:val="00937D54"/>
    <w:rsid w:val="00940552"/>
    <w:rsid w:val="009411C0"/>
    <w:rsid w:val="00942CAF"/>
    <w:rsid w:val="00943388"/>
    <w:rsid w:val="00943A6D"/>
    <w:rsid w:val="00943C8B"/>
    <w:rsid w:val="00943D20"/>
    <w:rsid w:val="00944420"/>
    <w:rsid w:val="00944531"/>
    <w:rsid w:val="00946F60"/>
    <w:rsid w:val="00950A8F"/>
    <w:rsid w:val="00950FDE"/>
    <w:rsid w:val="009513B9"/>
    <w:rsid w:val="009514AA"/>
    <w:rsid w:val="00952685"/>
    <w:rsid w:val="00952796"/>
    <w:rsid w:val="00953894"/>
    <w:rsid w:val="00953DFD"/>
    <w:rsid w:val="00954630"/>
    <w:rsid w:val="0095511C"/>
    <w:rsid w:val="00955E93"/>
    <w:rsid w:val="00956170"/>
    <w:rsid w:val="009562C9"/>
    <w:rsid w:val="009569A9"/>
    <w:rsid w:val="0095786A"/>
    <w:rsid w:val="0095786D"/>
    <w:rsid w:val="0096057C"/>
    <w:rsid w:val="009611DA"/>
    <w:rsid w:val="00961875"/>
    <w:rsid w:val="00961DD4"/>
    <w:rsid w:val="009622C2"/>
    <w:rsid w:val="009628AF"/>
    <w:rsid w:val="0096296D"/>
    <w:rsid w:val="00962A54"/>
    <w:rsid w:val="00963579"/>
    <w:rsid w:val="0096389F"/>
    <w:rsid w:val="00964F32"/>
    <w:rsid w:val="0096589E"/>
    <w:rsid w:val="009664EB"/>
    <w:rsid w:val="009675A4"/>
    <w:rsid w:val="00967818"/>
    <w:rsid w:val="00967D2E"/>
    <w:rsid w:val="00967F5F"/>
    <w:rsid w:val="00970DF2"/>
    <w:rsid w:val="00971513"/>
    <w:rsid w:val="0097217B"/>
    <w:rsid w:val="009722A6"/>
    <w:rsid w:val="0097241C"/>
    <w:rsid w:val="00972A32"/>
    <w:rsid w:val="00972C83"/>
    <w:rsid w:val="009730EE"/>
    <w:rsid w:val="009738D8"/>
    <w:rsid w:val="00974B19"/>
    <w:rsid w:val="00975D6D"/>
    <w:rsid w:val="00975ED6"/>
    <w:rsid w:val="00975FB4"/>
    <w:rsid w:val="0097633B"/>
    <w:rsid w:val="0097689A"/>
    <w:rsid w:val="00980049"/>
    <w:rsid w:val="009804F5"/>
    <w:rsid w:val="00980A11"/>
    <w:rsid w:val="0098154A"/>
    <w:rsid w:val="009822FE"/>
    <w:rsid w:val="0098242C"/>
    <w:rsid w:val="00982986"/>
    <w:rsid w:val="009831A6"/>
    <w:rsid w:val="00983311"/>
    <w:rsid w:val="00983CA7"/>
    <w:rsid w:val="00983E5D"/>
    <w:rsid w:val="00985262"/>
    <w:rsid w:val="00985322"/>
    <w:rsid w:val="009855EA"/>
    <w:rsid w:val="00985BCB"/>
    <w:rsid w:val="00986558"/>
    <w:rsid w:val="00986908"/>
    <w:rsid w:val="009874D4"/>
    <w:rsid w:val="00987759"/>
    <w:rsid w:val="0099025F"/>
    <w:rsid w:val="009905C0"/>
    <w:rsid w:val="00990BF2"/>
    <w:rsid w:val="00990F1A"/>
    <w:rsid w:val="00991C45"/>
    <w:rsid w:val="009922EC"/>
    <w:rsid w:val="00993B0C"/>
    <w:rsid w:val="009943F1"/>
    <w:rsid w:val="0099488E"/>
    <w:rsid w:val="00994E57"/>
    <w:rsid w:val="00996198"/>
    <w:rsid w:val="00996531"/>
    <w:rsid w:val="00996E48"/>
    <w:rsid w:val="00996E8D"/>
    <w:rsid w:val="0099776D"/>
    <w:rsid w:val="00997EB4"/>
    <w:rsid w:val="009A07E3"/>
    <w:rsid w:val="009A0BAD"/>
    <w:rsid w:val="009A0DDF"/>
    <w:rsid w:val="009A1160"/>
    <w:rsid w:val="009A11E7"/>
    <w:rsid w:val="009A1BF5"/>
    <w:rsid w:val="009A2997"/>
    <w:rsid w:val="009A425F"/>
    <w:rsid w:val="009A44BC"/>
    <w:rsid w:val="009A553C"/>
    <w:rsid w:val="009A5F63"/>
    <w:rsid w:val="009A65DF"/>
    <w:rsid w:val="009A6976"/>
    <w:rsid w:val="009A6D93"/>
    <w:rsid w:val="009A72B1"/>
    <w:rsid w:val="009A7A00"/>
    <w:rsid w:val="009B1A40"/>
    <w:rsid w:val="009B1D7E"/>
    <w:rsid w:val="009B24DE"/>
    <w:rsid w:val="009B2B42"/>
    <w:rsid w:val="009B2D70"/>
    <w:rsid w:val="009B30B9"/>
    <w:rsid w:val="009B33D9"/>
    <w:rsid w:val="009B4C8B"/>
    <w:rsid w:val="009B4CC8"/>
    <w:rsid w:val="009B5A19"/>
    <w:rsid w:val="009B72E8"/>
    <w:rsid w:val="009B7720"/>
    <w:rsid w:val="009B7951"/>
    <w:rsid w:val="009C0C3A"/>
    <w:rsid w:val="009C2592"/>
    <w:rsid w:val="009C27A5"/>
    <w:rsid w:val="009C37E9"/>
    <w:rsid w:val="009C3F0A"/>
    <w:rsid w:val="009C41D1"/>
    <w:rsid w:val="009C4601"/>
    <w:rsid w:val="009C4879"/>
    <w:rsid w:val="009C4905"/>
    <w:rsid w:val="009C5229"/>
    <w:rsid w:val="009C5E70"/>
    <w:rsid w:val="009C5F96"/>
    <w:rsid w:val="009C649A"/>
    <w:rsid w:val="009C686E"/>
    <w:rsid w:val="009C6DCE"/>
    <w:rsid w:val="009C7388"/>
    <w:rsid w:val="009C7849"/>
    <w:rsid w:val="009D04CD"/>
    <w:rsid w:val="009D0517"/>
    <w:rsid w:val="009D106F"/>
    <w:rsid w:val="009D18CA"/>
    <w:rsid w:val="009D29C5"/>
    <w:rsid w:val="009D332D"/>
    <w:rsid w:val="009D3DF8"/>
    <w:rsid w:val="009D4162"/>
    <w:rsid w:val="009D4437"/>
    <w:rsid w:val="009D4703"/>
    <w:rsid w:val="009D4777"/>
    <w:rsid w:val="009D4BCF"/>
    <w:rsid w:val="009D4CB6"/>
    <w:rsid w:val="009D4D52"/>
    <w:rsid w:val="009D50E1"/>
    <w:rsid w:val="009D5287"/>
    <w:rsid w:val="009D58AE"/>
    <w:rsid w:val="009D5BCB"/>
    <w:rsid w:val="009D5F7C"/>
    <w:rsid w:val="009D61E7"/>
    <w:rsid w:val="009D6C60"/>
    <w:rsid w:val="009D6E15"/>
    <w:rsid w:val="009D711D"/>
    <w:rsid w:val="009D743E"/>
    <w:rsid w:val="009D7662"/>
    <w:rsid w:val="009D7A36"/>
    <w:rsid w:val="009E0D83"/>
    <w:rsid w:val="009E1D1E"/>
    <w:rsid w:val="009E2B62"/>
    <w:rsid w:val="009E3E11"/>
    <w:rsid w:val="009E4130"/>
    <w:rsid w:val="009E44C8"/>
    <w:rsid w:val="009E48A7"/>
    <w:rsid w:val="009E68D4"/>
    <w:rsid w:val="009E766A"/>
    <w:rsid w:val="009E7AE4"/>
    <w:rsid w:val="009F0126"/>
    <w:rsid w:val="009F0C5D"/>
    <w:rsid w:val="009F2ED5"/>
    <w:rsid w:val="009F3147"/>
    <w:rsid w:val="009F38F1"/>
    <w:rsid w:val="009F53F8"/>
    <w:rsid w:val="009F559B"/>
    <w:rsid w:val="009F55CC"/>
    <w:rsid w:val="009F56E8"/>
    <w:rsid w:val="009F5936"/>
    <w:rsid w:val="009F68B9"/>
    <w:rsid w:val="009F6AFA"/>
    <w:rsid w:val="009F738D"/>
    <w:rsid w:val="009F7852"/>
    <w:rsid w:val="009F7A46"/>
    <w:rsid w:val="009F7F94"/>
    <w:rsid w:val="00A00352"/>
    <w:rsid w:val="00A0077A"/>
    <w:rsid w:val="00A00CEC"/>
    <w:rsid w:val="00A00F58"/>
    <w:rsid w:val="00A015B8"/>
    <w:rsid w:val="00A01694"/>
    <w:rsid w:val="00A01BE3"/>
    <w:rsid w:val="00A020FF"/>
    <w:rsid w:val="00A0279F"/>
    <w:rsid w:val="00A027FB"/>
    <w:rsid w:val="00A029A2"/>
    <w:rsid w:val="00A02A60"/>
    <w:rsid w:val="00A03A8C"/>
    <w:rsid w:val="00A03B24"/>
    <w:rsid w:val="00A03DB9"/>
    <w:rsid w:val="00A04035"/>
    <w:rsid w:val="00A041FA"/>
    <w:rsid w:val="00A04446"/>
    <w:rsid w:val="00A04A18"/>
    <w:rsid w:val="00A04A25"/>
    <w:rsid w:val="00A0636F"/>
    <w:rsid w:val="00A06C85"/>
    <w:rsid w:val="00A077D7"/>
    <w:rsid w:val="00A107DF"/>
    <w:rsid w:val="00A110DF"/>
    <w:rsid w:val="00A11F31"/>
    <w:rsid w:val="00A120B3"/>
    <w:rsid w:val="00A127FD"/>
    <w:rsid w:val="00A13746"/>
    <w:rsid w:val="00A142CB"/>
    <w:rsid w:val="00A14FA1"/>
    <w:rsid w:val="00A15BDB"/>
    <w:rsid w:val="00A167BE"/>
    <w:rsid w:val="00A16BD6"/>
    <w:rsid w:val="00A17199"/>
    <w:rsid w:val="00A174BD"/>
    <w:rsid w:val="00A22363"/>
    <w:rsid w:val="00A235F8"/>
    <w:rsid w:val="00A23F86"/>
    <w:rsid w:val="00A244A1"/>
    <w:rsid w:val="00A24A11"/>
    <w:rsid w:val="00A25E62"/>
    <w:rsid w:val="00A26075"/>
    <w:rsid w:val="00A263BC"/>
    <w:rsid w:val="00A268AC"/>
    <w:rsid w:val="00A27729"/>
    <w:rsid w:val="00A27933"/>
    <w:rsid w:val="00A27B2D"/>
    <w:rsid w:val="00A3038A"/>
    <w:rsid w:val="00A30673"/>
    <w:rsid w:val="00A31075"/>
    <w:rsid w:val="00A31A43"/>
    <w:rsid w:val="00A3200A"/>
    <w:rsid w:val="00A3213B"/>
    <w:rsid w:val="00A32728"/>
    <w:rsid w:val="00A32989"/>
    <w:rsid w:val="00A32D9C"/>
    <w:rsid w:val="00A3391A"/>
    <w:rsid w:val="00A34D09"/>
    <w:rsid w:val="00A36880"/>
    <w:rsid w:val="00A36AEB"/>
    <w:rsid w:val="00A371A7"/>
    <w:rsid w:val="00A408FF"/>
    <w:rsid w:val="00A40FCD"/>
    <w:rsid w:val="00A4110F"/>
    <w:rsid w:val="00A41872"/>
    <w:rsid w:val="00A41F3C"/>
    <w:rsid w:val="00A420D5"/>
    <w:rsid w:val="00A42517"/>
    <w:rsid w:val="00A42AC9"/>
    <w:rsid w:val="00A43C80"/>
    <w:rsid w:val="00A44822"/>
    <w:rsid w:val="00A44B01"/>
    <w:rsid w:val="00A4570F"/>
    <w:rsid w:val="00A45DD7"/>
    <w:rsid w:val="00A4627C"/>
    <w:rsid w:val="00A46295"/>
    <w:rsid w:val="00A46D33"/>
    <w:rsid w:val="00A474AB"/>
    <w:rsid w:val="00A47B06"/>
    <w:rsid w:val="00A549B8"/>
    <w:rsid w:val="00A553F7"/>
    <w:rsid w:val="00A559C5"/>
    <w:rsid w:val="00A5622F"/>
    <w:rsid w:val="00A566F7"/>
    <w:rsid w:val="00A5674F"/>
    <w:rsid w:val="00A57CC5"/>
    <w:rsid w:val="00A620B4"/>
    <w:rsid w:val="00A62C13"/>
    <w:rsid w:val="00A62D7B"/>
    <w:rsid w:val="00A65251"/>
    <w:rsid w:val="00A65C7A"/>
    <w:rsid w:val="00A662B2"/>
    <w:rsid w:val="00A6694D"/>
    <w:rsid w:val="00A669B3"/>
    <w:rsid w:val="00A67C8A"/>
    <w:rsid w:val="00A705CB"/>
    <w:rsid w:val="00A7090D"/>
    <w:rsid w:val="00A70A8C"/>
    <w:rsid w:val="00A7143C"/>
    <w:rsid w:val="00A717C2"/>
    <w:rsid w:val="00A723BD"/>
    <w:rsid w:val="00A723EA"/>
    <w:rsid w:val="00A7259A"/>
    <w:rsid w:val="00A72F24"/>
    <w:rsid w:val="00A73147"/>
    <w:rsid w:val="00A73705"/>
    <w:rsid w:val="00A73767"/>
    <w:rsid w:val="00A738A8"/>
    <w:rsid w:val="00A73DC2"/>
    <w:rsid w:val="00A745F5"/>
    <w:rsid w:val="00A7476F"/>
    <w:rsid w:val="00A74A88"/>
    <w:rsid w:val="00A74E00"/>
    <w:rsid w:val="00A76758"/>
    <w:rsid w:val="00A76787"/>
    <w:rsid w:val="00A7693E"/>
    <w:rsid w:val="00A77CA8"/>
    <w:rsid w:val="00A77FDF"/>
    <w:rsid w:val="00A80EB9"/>
    <w:rsid w:val="00A82063"/>
    <w:rsid w:val="00A82AF9"/>
    <w:rsid w:val="00A82D03"/>
    <w:rsid w:val="00A83449"/>
    <w:rsid w:val="00A8360B"/>
    <w:rsid w:val="00A838D5"/>
    <w:rsid w:val="00A83BD9"/>
    <w:rsid w:val="00A84191"/>
    <w:rsid w:val="00A844DC"/>
    <w:rsid w:val="00A84530"/>
    <w:rsid w:val="00A84B27"/>
    <w:rsid w:val="00A8556D"/>
    <w:rsid w:val="00A85904"/>
    <w:rsid w:val="00A87CA3"/>
    <w:rsid w:val="00A90CA4"/>
    <w:rsid w:val="00A90FD0"/>
    <w:rsid w:val="00A92CFF"/>
    <w:rsid w:val="00A92F53"/>
    <w:rsid w:val="00A93A09"/>
    <w:rsid w:val="00A9451B"/>
    <w:rsid w:val="00A94E08"/>
    <w:rsid w:val="00A94F4E"/>
    <w:rsid w:val="00A967BA"/>
    <w:rsid w:val="00A977B6"/>
    <w:rsid w:val="00AA0026"/>
    <w:rsid w:val="00AA1B02"/>
    <w:rsid w:val="00AA2AA6"/>
    <w:rsid w:val="00AA38C2"/>
    <w:rsid w:val="00AA3950"/>
    <w:rsid w:val="00AA5348"/>
    <w:rsid w:val="00AA5439"/>
    <w:rsid w:val="00AA5C39"/>
    <w:rsid w:val="00AA5FA1"/>
    <w:rsid w:val="00AA6835"/>
    <w:rsid w:val="00AA6FBA"/>
    <w:rsid w:val="00AA7268"/>
    <w:rsid w:val="00AA7317"/>
    <w:rsid w:val="00AA741F"/>
    <w:rsid w:val="00AA7604"/>
    <w:rsid w:val="00AA780A"/>
    <w:rsid w:val="00AA7CD7"/>
    <w:rsid w:val="00AB0378"/>
    <w:rsid w:val="00AB0B19"/>
    <w:rsid w:val="00AB0EF5"/>
    <w:rsid w:val="00AB1368"/>
    <w:rsid w:val="00AB139A"/>
    <w:rsid w:val="00AB164F"/>
    <w:rsid w:val="00AB17D1"/>
    <w:rsid w:val="00AB31EB"/>
    <w:rsid w:val="00AB320A"/>
    <w:rsid w:val="00AB34B3"/>
    <w:rsid w:val="00AB359A"/>
    <w:rsid w:val="00AB3922"/>
    <w:rsid w:val="00AB49AD"/>
    <w:rsid w:val="00AB4B79"/>
    <w:rsid w:val="00AB4D15"/>
    <w:rsid w:val="00AB568D"/>
    <w:rsid w:val="00AB56C9"/>
    <w:rsid w:val="00AB5835"/>
    <w:rsid w:val="00AB5980"/>
    <w:rsid w:val="00AB5C9C"/>
    <w:rsid w:val="00AB63E5"/>
    <w:rsid w:val="00AB7F23"/>
    <w:rsid w:val="00AC000E"/>
    <w:rsid w:val="00AC15DE"/>
    <w:rsid w:val="00AC18A2"/>
    <w:rsid w:val="00AC1946"/>
    <w:rsid w:val="00AC2264"/>
    <w:rsid w:val="00AC28A6"/>
    <w:rsid w:val="00AC37BB"/>
    <w:rsid w:val="00AC3CAC"/>
    <w:rsid w:val="00AC3D5B"/>
    <w:rsid w:val="00AC3FD2"/>
    <w:rsid w:val="00AC4A72"/>
    <w:rsid w:val="00AC4DC6"/>
    <w:rsid w:val="00AC4F0A"/>
    <w:rsid w:val="00AC5262"/>
    <w:rsid w:val="00AC5874"/>
    <w:rsid w:val="00AC6228"/>
    <w:rsid w:val="00AC6B10"/>
    <w:rsid w:val="00AC6D7A"/>
    <w:rsid w:val="00AC7E3D"/>
    <w:rsid w:val="00AD1E54"/>
    <w:rsid w:val="00AD1EA4"/>
    <w:rsid w:val="00AD330F"/>
    <w:rsid w:val="00AD376D"/>
    <w:rsid w:val="00AD382E"/>
    <w:rsid w:val="00AD470B"/>
    <w:rsid w:val="00AD498C"/>
    <w:rsid w:val="00AD60B0"/>
    <w:rsid w:val="00AD6274"/>
    <w:rsid w:val="00AD68DA"/>
    <w:rsid w:val="00AD6FE1"/>
    <w:rsid w:val="00AD72F1"/>
    <w:rsid w:val="00AD73DB"/>
    <w:rsid w:val="00AD74EC"/>
    <w:rsid w:val="00AD79B5"/>
    <w:rsid w:val="00AD7ACF"/>
    <w:rsid w:val="00AD7BC4"/>
    <w:rsid w:val="00AD7C53"/>
    <w:rsid w:val="00AD7EC8"/>
    <w:rsid w:val="00AE0A79"/>
    <w:rsid w:val="00AE0B27"/>
    <w:rsid w:val="00AE0B91"/>
    <w:rsid w:val="00AE0EEB"/>
    <w:rsid w:val="00AE0F8B"/>
    <w:rsid w:val="00AE19E9"/>
    <w:rsid w:val="00AE2B92"/>
    <w:rsid w:val="00AE310B"/>
    <w:rsid w:val="00AE3428"/>
    <w:rsid w:val="00AE3639"/>
    <w:rsid w:val="00AE56B2"/>
    <w:rsid w:val="00AE5827"/>
    <w:rsid w:val="00AE5BC5"/>
    <w:rsid w:val="00AE6325"/>
    <w:rsid w:val="00AE6851"/>
    <w:rsid w:val="00AE73C3"/>
    <w:rsid w:val="00AE7E17"/>
    <w:rsid w:val="00AF0267"/>
    <w:rsid w:val="00AF05B9"/>
    <w:rsid w:val="00AF075D"/>
    <w:rsid w:val="00AF10D9"/>
    <w:rsid w:val="00AF1166"/>
    <w:rsid w:val="00AF1EEF"/>
    <w:rsid w:val="00AF208E"/>
    <w:rsid w:val="00AF20A2"/>
    <w:rsid w:val="00AF2141"/>
    <w:rsid w:val="00AF3830"/>
    <w:rsid w:val="00AF4588"/>
    <w:rsid w:val="00AF49FE"/>
    <w:rsid w:val="00AF599F"/>
    <w:rsid w:val="00AF64F3"/>
    <w:rsid w:val="00AF6AC6"/>
    <w:rsid w:val="00AF6B56"/>
    <w:rsid w:val="00AF6CB5"/>
    <w:rsid w:val="00AF6D21"/>
    <w:rsid w:val="00AF7A95"/>
    <w:rsid w:val="00B0120D"/>
    <w:rsid w:val="00B02A21"/>
    <w:rsid w:val="00B034D4"/>
    <w:rsid w:val="00B04317"/>
    <w:rsid w:val="00B058DD"/>
    <w:rsid w:val="00B05B78"/>
    <w:rsid w:val="00B05F7F"/>
    <w:rsid w:val="00B06FC4"/>
    <w:rsid w:val="00B07427"/>
    <w:rsid w:val="00B10582"/>
    <w:rsid w:val="00B10977"/>
    <w:rsid w:val="00B10994"/>
    <w:rsid w:val="00B111D1"/>
    <w:rsid w:val="00B113A8"/>
    <w:rsid w:val="00B11FA0"/>
    <w:rsid w:val="00B12F19"/>
    <w:rsid w:val="00B13237"/>
    <w:rsid w:val="00B14315"/>
    <w:rsid w:val="00B146C6"/>
    <w:rsid w:val="00B14A48"/>
    <w:rsid w:val="00B14E0E"/>
    <w:rsid w:val="00B14E21"/>
    <w:rsid w:val="00B167E7"/>
    <w:rsid w:val="00B17210"/>
    <w:rsid w:val="00B17242"/>
    <w:rsid w:val="00B17464"/>
    <w:rsid w:val="00B2016E"/>
    <w:rsid w:val="00B20778"/>
    <w:rsid w:val="00B209DC"/>
    <w:rsid w:val="00B2109F"/>
    <w:rsid w:val="00B21222"/>
    <w:rsid w:val="00B216B5"/>
    <w:rsid w:val="00B22A75"/>
    <w:rsid w:val="00B2500E"/>
    <w:rsid w:val="00B2599F"/>
    <w:rsid w:val="00B25CCA"/>
    <w:rsid w:val="00B2699F"/>
    <w:rsid w:val="00B30C79"/>
    <w:rsid w:val="00B30D60"/>
    <w:rsid w:val="00B31CC3"/>
    <w:rsid w:val="00B3299D"/>
    <w:rsid w:val="00B334CC"/>
    <w:rsid w:val="00B34320"/>
    <w:rsid w:val="00B36410"/>
    <w:rsid w:val="00B366BB"/>
    <w:rsid w:val="00B368BF"/>
    <w:rsid w:val="00B3756E"/>
    <w:rsid w:val="00B37799"/>
    <w:rsid w:val="00B378BC"/>
    <w:rsid w:val="00B402C4"/>
    <w:rsid w:val="00B41B9C"/>
    <w:rsid w:val="00B41EC9"/>
    <w:rsid w:val="00B42425"/>
    <w:rsid w:val="00B42454"/>
    <w:rsid w:val="00B4246C"/>
    <w:rsid w:val="00B4257E"/>
    <w:rsid w:val="00B42589"/>
    <w:rsid w:val="00B4347E"/>
    <w:rsid w:val="00B43788"/>
    <w:rsid w:val="00B441B1"/>
    <w:rsid w:val="00B44CE4"/>
    <w:rsid w:val="00B45023"/>
    <w:rsid w:val="00B4552A"/>
    <w:rsid w:val="00B45CC6"/>
    <w:rsid w:val="00B46C32"/>
    <w:rsid w:val="00B46E79"/>
    <w:rsid w:val="00B46E97"/>
    <w:rsid w:val="00B470AE"/>
    <w:rsid w:val="00B47164"/>
    <w:rsid w:val="00B4716C"/>
    <w:rsid w:val="00B47E06"/>
    <w:rsid w:val="00B5029F"/>
    <w:rsid w:val="00B508FE"/>
    <w:rsid w:val="00B50FD8"/>
    <w:rsid w:val="00B51377"/>
    <w:rsid w:val="00B51939"/>
    <w:rsid w:val="00B520AF"/>
    <w:rsid w:val="00B52A50"/>
    <w:rsid w:val="00B535BE"/>
    <w:rsid w:val="00B54540"/>
    <w:rsid w:val="00B545E3"/>
    <w:rsid w:val="00B545EC"/>
    <w:rsid w:val="00B54787"/>
    <w:rsid w:val="00B54A60"/>
    <w:rsid w:val="00B55789"/>
    <w:rsid w:val="00B56EBD"/>
    <w:rsid w:val="00B57D6C"/>
    <w:rsid w:val="00B602ED"/>
    <w:rsid w:val="00B60ADE"/>
    <w:rsid w:val="00B60E60"/>
    <w:rsid w:val="00B6121B"/>
    <w:rsid w:val="00B6308E"/>
    <w:rsid w:val="00B6429F"/>
    <w:rsid w:val="00B642CF"/>
    <w:rsid w:val="00B643F3"/>
    <w:rsid w:val="00B6485A"/>
    <w:rsid w:val="00B6549E"/>
    <w:rsid w:val="00B65755"/>
    <w:rsid w:val="00B65825"/>
    <w:rsid w:val="00B661ED"/>
    <w:rsid w:val="00B66F61"/>
    <w:rsid w:val="00B671AA"/>
    <w:rsid w:val="00B6774C"/>
    <w:rsid w:val="00B70045"/>
    <w:rsid w:val="00B705BE"/>
    <w:rsid w:val="00B709D3"/>
    <w:rsid w:val="00B713FE"/>
    <w:rsid w:val="00B72B17"/>
    <w:rsid w:val="00B72FEE"/>
    <w:rsid w:val="00B73D74"/>
    <w:rsid w:val="00B73E2D"/>
    <w:rsid w:val="00B7416C"/>
    <w:rsid w:val="00B742E3"/>
    <w:rsid w:val="00B7462E"/>
    <w:rsid w:val="00B75613"/>
    <w:rsid w:val="00B76B4C"/>
    <w:rsid w:val="00B77301"/>
    <w:rsid w:val="00B77358"/>
    <w:rsid w:val="00B776EB"/>
    <w:rsid w:val="00B777C7"/>
    <w:rsid w:val="00B779D6"/>
    <w:rsid w:val="00B80565"/>
    <w:rsid w:val="00B8063F"/>
    <w:rsid w:val="00B808B8"/>
    <w:rsid w:val="00B81995"/>
    <w:rsid w:val="00B826DD"/>
    <w:rsid w:val="00B829D8"/>
    <w:rsid w:val="00B82A59"/>
    <w:rsid w:val="00B82C0C"/>
    <w:rsid w:val="00B83603"/>
    <w:rsid w:val="00B8385F"/>
    <w:rsid w:val="00B84876"/>
    <w:rsid w:val="00B8489A"/>
    <w:rsid w:val="00B84F2B"/>
    <w:rsid w:val="00B85477"/>
    <w:rsid w:val="00B85820"/>
    <w:rsid w:val="00B871B2"/>
    <w:rsid w:val="00B87870"/>
    <w:rsid w:val="00B879FA"/>
    <w:rsid w:val="00B911E8"/>
    <w:rsid w:val="00B9123C"/>
    <w:rsid w:val="00B913BF"/>
    <w:rsid w:val="00B91407"/>
    <w:rsid w:val="00B91AED"/>
    <w:rsid w:val="00B91BF1"/>
    <w:rsid w:val="00B92030"/>
    <w:rsid w:val="00B92541"/>
    <w:rsid w:val="00B92D22"/>
    <w:rsid w:val="00B9350E"/>
    <w:rsid w:val="00B941BB"/>
    <w:rsid w:val="00B94AD0"/>
    <w:rsid w:val="00B94E99"/>
    <w:rsid w:val="00B94FBE"/>
    <w:rsid w:val="00B9578B"/>
    <w:rsid w:val="00B95C99"/>
    <w:rsid w:val="00B96E8D"/>
    <w:rsid w:val="00B96F2C"/>
    <w:rsid w:val="00B974CD"/>
    <w:rsid w:val="00B9777F"/>
    <w:rsid w:val="00B97EB5"/>
    <w:rsid w:val="00BA0366"/>
    <w:rsid w:val="00BA0F54"/>
    <w:rsid w:val="00BA1163"/>
    <w:rsid w:val="00BA2185"/>
    <w:rsid w:val="00BA24ED"/>
    <w:rsid w:val="00BA25D9"/>
    <w:rsid w:val="00BA2A60"/>
    <w:rsid w:val="00BA2AEF"/>
    <w:rsid w:val="00BA3596"/>
    <w:rsid w:val="00BA3709"/>
    <w:rsid w:val="00BA3E6E"/>
    <w:rsid w:val="00BA3F74"/>
    <w:rsid w:val="00BA3FF0"/>
    <w:rsid w:val="00BA5E92"/>
    <w:rsid w:val="00BA6E20"/>
    <w:rsid w:val="00BA7CD1"/>
    <w:rsid w:val="00BB0674"/>
    <w:rsid w:val="00BB06E7"/>
    <w:rsid w:val="00BB08DB"/>
    <w:rsid w:val="00BB0EEE"/>
    <w:rsid w:val="00BB116E"/>
    <w:rsid w:val="00BB1493"/>
    <w:rsid w:val="00BB1C03"/>
    <w:rsid w:val="00BB207D"/>
    <w:rsid w:val="00BB3374"/>
    <w:rsid w:val="00BB3391"/>
    <w:rsid w:val="00BB3D22"/>
    <w:rsid w:val="00BB40D7"/>
    <w:rsid w:val="00BB5069"/>
    <w:rsid w:val="00BB5DD4"/>
    <w:rsid w:val="00BB607A"/>
    <w:rsid w:val="00BB679B"/>
    <w:rsid w:val="00BB79B6"/>
    <w:rsid w:val="00BB7C2A"/>
    <w:rsid w:val="00BB7F79"/>
    <w:rsid w:val="00BC0058"/>
    <w:rsid w:val="00BC00EF"/>
    <w:rsid w:val="00BC0639"/>
    <w:rsid w:val="00BC0E87"/>
    <w:rsid w:val="00BC1149"/>
    <w:rsid w:val="00BC1C4E"/>
    <w:rsid w:val="00BC1E00"/>
    <w:rsid w:val="00BC28BD"/>
    <w:rsid w:val="00BC2D84"/>
    <w:rsid w:val="00BC3265"/>
    <w:rsid w:val="00BC3B70"/>
    <w:rsid w:val="00BC40EF"/>
    <w:rsid w:val="00BC4A4B"/>
    <w:rsid w:val="00BC4A84"/>
    <w:rsid w:val="00BC6484"/>
    <w:rsid w:val="00BC66B1"/>
    <w:rsid w:val="00BC6A6A"/>
    <w:rsid w:val="00BC6D30"/>
    <w:rsid w:val="00BC709F"/>
    <w:rsid w:val="00BC79B0"/>
    <w:rsid w:val="00BC7AFD"/>
    <w:rsid w:val="00BC7C5B"/>
    <w:rsid w:val="00BD07F7"/>
    <w:rsid w:val="00BD14D8"/>
    <w:rsid w:val="00BD1AB0"/>
    <w:rsid w:val="00BD28C5"/>
    <w:rsid w:val="00BD338D"/>
    <w:rsid w:val="00BD3406"/>
    <w:rsid w:val="00BD40EE"/>
    <w:rsid w:val="00BD4143"/>
    <w:rsid w:val="00BD437A"/>
    <w:rsid w:val="00BD51DF"/>
    <w:rsid w:val="00BD591C"/>
    <w:rsid w:val="00BD5E86"/>
    <w:rsid w:val="00BD6016"/>
    <w:rsid w:val="00BD62B5"/>
    <w:rsid w:val="00BD71A5"/>
    <w:rsid w:val="00BD7DEB"/>
    <w:rsid w:val="00BE0030"/>
    <w:rsid w:val="00BE0ED9"/>
    <w:rsid w:val="00BE1270"/>
    <w:rsid w:val="00BE15B4"/>
    <w:rsid w:val="00BE17C9"/>
    <w:rsid w:val="00BE1924"/>
    <w:rsid w:val="00BE1B1E"/>
    <w:rsid w:val="00BE23A1"/>
    <w:rsid w:val="00BE3230"/>
    <w:rsid w:val="00BE3A66"/>
    <w:rsid w:val="00BE44C7"/>
    <w:rsid w:val="00BE47E0"/>
    <w:rsid w:val="00BE49B4"/>
    <w:rsid w:val="00BE4DB1"/>
    <w:rsid w:val="00BE630A"/>
    <w:rsid w:val="00BE6B31"/>
    <w:rsid w:val="00BF03FC"/>
    <w:rsid w:val="00BF0B83"/>
    <w:rsid w:val="00BF1D07"/>
    <w:rsid w:val="00BF1DBB"/>
    <w:rsid w:val="00BF2500"/>
    <w:rsid w:val="00BF2FBD"/>
    <w:rsid w:val="00BF3CF2"/>
    <w:rsid w:val="00BF569A"/>
    <w:rsid w:val="00BF5CD0"/>
    <w:rsid w:val="00BF5E75"/>
    <w:rsid w:val="00BF6C57"/>
    <w:rsid w:val="00BF6E3E"/>
    <w:rsid w:val="00BF6F9B"/>
    <w:rsid w:val="00BF7258"/>
    <w:rsid w:val="00BF77B2"/>
    <w:rsid w:val="00C00603"/>
    <w:rsid w:val="00C00674"/>
    <w:rsid w:val="00C00CB0"/>
    <w:rsid w:val="00C0166D"/>
    <w:rsid w:val="00C016E8"/>
    <w:rsid w:val="00C02224"/>
    <w:rsid w:val="00C02A15"/>
    <w:rsid w:val="00C030C7"/>
    <w:rsid w:val="00C04238"/>
    <w:rsid w:val="00C04ECC"/>
    <w:rsid w:val="00C05685"/>
    <w:rsid w:val="00C056F5"/>
    <w:rsid w:val="00C05708"/>
    <w:rsid w:val="00C05D68"/>
    <w:rsid w:val="00C060D7"/>
    <w:rsid w:val="00C075D3"/>
    <w:rsid w:val="00C10E33"/>
    <w:rsid w:val="00C10E41"/>
    <w:rsid w:val="00C1144C"/>
    <w:rsid w:val="00C122F4"/>
    <w:rsid w:val="00C132D9"/>
    <w:rsid w:val="00C13446"/>
    <w:rsid w:val="00C13E72"/>
    <w:rsid w:val="00C1429E"/>
    <w:rsid w:val="00C14B84"/>
    <w:rsid w:val="00C14D76"/>
    <w:rsid w:val="00C14FAC"/>
    <w:rsid w:val="00C16C05"/>
    <w:rsid w:val="00C16E6A"/>
    <w:rsid w:val="00C16FCF"/>
    <w:rsid w:val="00C174E0"/>
    <w:rsid w:val="00C177FA"/>
    <w:rsid w:val="00C17CED"/>
    <w:rsid w:val="00C2128B"/>
    <w:rsid w:val="00C213BE"/>
    <w:rsid w:val="00C21A47"/>
    <w:rsid w:val="00C21E5F"/>
    <w:rsid w:val="00C2269F"/>
    <w:rsid w:val="00C22BE2"/>
    <w:rsid w:val="00C22DDD"/>
    <w:rsid w:val="00C234CC"/>
    <w:rsid w:val="00C2456F"/>
    <w:rsid w:val="00C2507D"/>
    <w:rsid w:val="00C26EEC"/>
    <w:rsid w:val="00C27BA1"/>
    <w:rsid w:val="00C27E84"/>
    <w:rsid w:val="00C30F75"/>
    <w:rsid w:val="00C3123A"/>
    <w:rsid w:val="00C31C15"/>
    <w:rsid w:val="00C3276F"/>
    <w:rsid w:val="00C33129"/>
    <w:rsid w:val="00C33491"/>
    <w:rsid w:val="00C33B9D"/>
    <w:rsid w:val="00C33E22"/>
    <w:rsid w:val="00C3584A"/>
    <w:rsid w:val="00C35E20"/>
    <w:rsid w:val="00C35E79"/>
    <w:rsid w:val="00C360B4"/>
    <w:rsid w:val="00C36B6F"/>
    <w:rsid w:val="00C37586"/>
    <w:rsid w:val="00C3795D"/>
    <w:rsid w:val="00C4007C"/>
    <w:rsid w:val="00C400CF"/>
    <w:rsid w:val="00C41E30"/>
    <w:rsid w:val="00C424D2"/>
    <w:rsid w:val="00C4293F"/>
    <w:rsid w:val="00C429A4"/>
    <w:rsid w:val="00C42B3D"/>
    <w:rsid w:val="00C42CC4"/>
    <w:rsid w:val="00C437DD"/>
    <w:rsid w:val="00C43C5A"/>
    <w:rsid w:val="00C44195"/>
    <w:rsid w:val="00C44CE0"/>
    <w:rsid w:val="00C461BE"/>
    <w:rsid w:val="00C46467"/>
    <w:rsid w:val="00C46588"/>
    <w:rsid w:val="00C46612"/>
    <w:rsid w:val="00C46674"/>
    <w:rsid w:val="00C46996"/>
    <w:rsid w:val="00C46A64"/>
    <w:rsid w:val="00C475CB"/>
    <w:rsid w:val="00C475D4"/>
    <w:rsid w:val="00C476BD"/>
    <w:rsid w:val="00C50824"/>
    <w:rsid w:val="00C5085C"/>
    <w:rsid w:val="00C508BD"/>
    <w:rsid w:val="00C50AEB"/>
    <w:rsid w:val="00C514F7"/>
    <w:rsid w:val="00C51BAE"/>
    <w:rsid w:val="00C53151"/>
    <w:rsid w:val="00C539E5"/>
    <w:rsid w:val="00C5410A"/>
    <w:rsid w:val="00C54829"/>
    <w:rsid w:val="00C549AC"/>
    <w:rsid w:val="00C54F03"/>
    <w:rsid w:val="00C5519E"/>
    <w:rsid w:val="00C552E3"/>
    <w:rsid w:val="00C55533"/>
    <w:rsid w:val="00C555FC"/>
    <w:rsid w:val="00C556B5"/>
    <w:rsid w:val="00C56321"/>
    <w:rsid w:val="00C56652"/>
    <w:rsid w:val="00C56C42"/>
    <w:rsid w:val="00C56E38"/>
    <w:rsid w:val="00C601D0"/>
    <w:rsid w:val="00C61183"/>
    <w:rsid w:val="00C6131A"/>
    <w:rsid w:val="00C61540"/>
    <w:rsid w:val="00C6257C"/>
    <w:rsid w:val="00C63179"/>
    <w:rsid w:val="00C63665"/>
    <w:rsid w:val="00C63B42"/>
    <w:rsid w:val="00C64CC1"/>
    <w:rsid w:val="00C64CE0"/>
    <w:rsid w:val="00C66292"/>
    <w:rsid w:val="00C66CA7"/>
    <w:rsid w:val="00C675B2"/>
    <w:rsid w:val="00C678F3"/>
    <w:rsid w:val="00C70256"/>
    <w:rsid w:val="00C7079C"/>
    <w:rsid w:val="00C707D3"/>
    <w:rsid w:val="00C70E40"/>
    <w:rsid w:val="00C710C9"/>
    <w:rsid w:val="00C715B4"/>
    <w:rsid w:val="00C71A98"/>
    <w:rsid w:val="00C71DFB"/>
    <w:rsid w:val="00C728AD"/>
    <w:rsid w:val="00C72BEC"/>
    <w:rsid w:val="00C72D03"/>
    <w:rsid w:val="00C734F3"/>
    <w:rsid w:val="00C749B8"/>
    <w:rsid w:val="00C75845"/>
    <w:rsid w:val="00C75AD4"/>
    <w:rsid w:val="00C75EDD"/>
    <w:rsid w:val="00C75F00"/>
    <w:rsid w:val="00C75FC9"/>
    <w:rsid w:val="00C76691"/>
    <w:rsid w:val="00C76DC6"/>
    <w:rsid w:val="00C7713D"/>
    <w:rsid w:val="00C7740A"/>
    <w:rsid w:val="00C77CC3"/>
    <w:rsid w:val="00C80523"/>
    <w:rsid w:val="00C815CE"/>
    <w:rsid w:val="00C81D71"/>
    <w:rsid w:val="00C81F76"/>
    <w:rsid w:val="00C8245D"/>
    <w:rsid w:val="00C8264F"/>
    <w:rsid w:val="00C83C21"/>
    <w:rsid w:val="00C8456C"/>
    <w:rsid w:val="00C85039"/>
    <w:rsid w:val="00C856D0"/>
    <w:rsid w:val="00C85B34"/>
    <w:rsid w:val="00C86572"/>
    <w:rsid w:val="00C86E4A"/>
    <w:rsid w:val="00C901F4"/>
    <w:rsid w:val="00C906E1"/>
    <w:rsid w:val="00C91052"/>
    <w:rsid w:val="00C91273"/>
    <w:rsid w:val="00C91C12"/>
    <w:rsid w:val="00C92303"/>
    <w:rsid w:val="00C92918"/>
    <w:rsid w:val="00C92EAC"/>
    <w:rsid w:val="00C93398"/>
    <w:rsid w:val="00C934A9"/>
    <w:rsid w:val="00C9502A"/>
    <w:rsid w:val="00C967EF"/>
    <w:rsid w:val="00C96806"/>
    <w:rsid w:val="00C96962"/>
    <w:rsid w:val="00C969A8"/>
    <w:rsid w:val="00C96CC7"/>
    <w:rsid w:val="00C97321"/>
    <w:rsid w:val="00C97452"/>
    <w:rsid w:val="00C97596"/>
    <w:rsid w:val="00CA09BF"/>
    <w:rsid w:val="00CA0D5D"/>
    <w:rsid w:val="00CA0F2D"/>
    <w:rsid w:val="00CA1583"/>
    <w:rsid w:val="00CA1BD1"/>
    <w:rsid w:val="00CA1CD4"/>
    <w:rsid w:val="00CA1EB4"/>
    <w:rsid w:val="00CA1F83"/>
    <w:rsid w:val="00CA215D"/>
    <w:rsid w:val="00CA2607"/>
    <w:rsid w:val="00CA348A"/>
    <w:rsid w:val="00CA4457"/>
    <w:rsid w:val="00CA45E6"/>
    <w:rsid w:val="00CA4C4E"/>
    <w:rsid w:val="00CA53AA"/>
    <w:rsid w:val="00CA5B9A"/>
    <w:rsid w:val="00CA5E77"/>
    <w:rsid w:val="00CA61F7"/>
    <w:rsid w:val="00CA67DA"/>
    <w:rsid w:val="00CA69FC"/>
    <w:rsid w:val="00CA7102"/>
    <w:rsid w:val="00CA72D7"/>
    <w:rsid w:val="00CA7449"/>
    <w:rsid w:val="00CA7664"/>
    <w:rsid w:val="00CA769F"/>
    <w:rsid w:val="00CB04B7"/>
    <w:rsid w:val="00CB0738"/>
    <w:rsid w:val="00CB09DE"/>
    <w:rsid w:val="00CB0D29"/>
    <w:rsid w:val="00CB0E22"/>
    <w:rsid w:val="00CB1066"/>
    <w:rsid w:val="00CB10DA"/>
    <w:rsid w:val="00CB137E"/>
    <w:rsid w:val="00CB1385"/>
    <w:rsid w:val="00CB16F3"/>
    <w:rsid w:val="00CB1823"/>
    <w:rsid w:val="00CB2C88"/>
    <w:rsid w:val="00CB2F26"/>
    <w:rsid w:val="00CB3356"/>
    <w:rsid w:val="00CB3736"/>
    <w:rsid w:val="00CB4CBA"/>
    <w:rsid w:val="00CB65DE"/>
    <w:rsid w:val="00CB6E6A"/>
    <w:rsid w:val="00CC067B"/>
    <w:rsid w:val="00CC14F4"/>
    <w:rsid w:val="00CC1D60"/>
    <w:rsid w:val="00CC2399"/>
    <w:rsid w:val="00CC28D5"/>
    <w:rsid w:val="00CC3104"/>
    <w:rsid w:val="00CC4388"/>
    <w:rsid w:val="00CC4D8B"/>
    <w:rsid w:val="00CC562F"/>
    <w:rsid w:val="00CC6004"/>
    <w:rsid w:val="00CC70D5"/>
    <w:rsid w:val="00CD0E30"/>
    <w:rsid w:val="00CD168A"/>
    <w:rsid w:val="00CD24E1"/>
    <w:rsid w:val="00CD25D0"/>
    <w:rsid w:val="00CD28DD"/>
    <w:rsid w:val="00CD3B9B"/>
    <w:rsid w:val="00CD4497"/>
    <w:rsid w:val="00CD46A2"/>
    <w:rsid w:val="00CD471D"/>
    <w:rsid w:val="00CD4E10"/>
    <w:rsid w:val="00CD4F89"/>
    <w:rsid w:val="00CD5CE1"/>
    <w:rsid w:val="00CD5D3A"/>
    <w:rsid w:val="00CD64FE"/>
    <w:rsid w:val="00CD6B39"/>
    <w:rsid w:val="00CD7429"/>
    <w:rsid w:val="00CD79CA"/>
    <w:rsid w:val="00CE1C46"/>
    <w:rsid w:val="00CE2181"/>
    <w:rsid w:val="00CE3055"/>
    <w:rsid w:val="00CE3B96"/>
    <w:rsid w:val="00CE3C11"/>
    <w:rsid w:val="00CE3C28"/>
    <w:rsid w:val="00CE47BF"/>
    <w:rsid w:val="00CE4973"/>
    <w:rsid w:val="00CE4ECD"/>
    <w:rsid w:val="00CE5168"/>
    <w:rsid w:val="00CE562C"/>
    <w:rsid w:val="00CE587A"/>
    <w:rsid w:val="00CE750D"/>
    <w:rsid w:val="00CE7A4C"/>
    <w:rsid w:val="00CE7FF8"/>
    <w:rsid w:val="00CF0615"/>
    <w:rsid w:val="00CF07C5"/>
    <w:rsid w:val="00CF1538"/>
    <w:rsid w:val="00CF15E5"/>
    <w:rsid w:val="00CF1A8A"/>
    <w:rsid w:val="00CF2C2F"/>
    <w:rsid w:val="00CF2F6F"/>
    <w:rsid w:val="00CF3374"/>
    <w:rsid w:val="00CF35FC"/>
    <w:rsid w:val="00CF39EF"/>
    <w:rsid w:val="00CF3BC6"/>
    <w:rsid w:val="00CF3D03"/>
    <w:rsid w:val="00CF3E89"/>
    <w:rsid w:val="00CF4D1E"/>
    <w:rsid w:val="00CF5A2B"/>
    <w:rsid w:val="00CF634B"/>
    <w:rsid w:val="00CF77DB"/>
    <w:rsid w:val="00CF7875"/>
    <w:rsid w:val="00CF7DE1"/>
    <w:rsid w:val="00D00841"/>
    <w:rsid w:val="00D0099E"/>
    <w:rsid w:val="00D0173C"/>
    <w:rsid w:val="00D01DCE"/>
    <w:rsid w:val="00D01E3B"/>
    <w:rsid w:val="00D01E9E"/>
    <w:rsid w:val="00D02CCF"/>
    <w:rsid w:val="00D02EA6"/>
    <w:rsid w:val="00D0351D"/>
    <w:rsid w:val="00D0367E"/>
    <w:rsid w:val="00D03E89"/>
    <w:rsid w:val="00D03FB8"/>
    <w:rsid w:val="00D04D0E"/>
    <w:rsid w:val="00D05ABF"/>
    <w:rsid w:val="00D05E30"/>
    <w:rsid w:val="00D063E9"/>
    <w:rsid w:val="00D06615"/>
    <w:rsid w:val="00D067BC"/>
    <w:rsid w:val="00D06D9F"/>
    <w:rsid w:val="00D0711D"/>
    <w:rsid w:val="00D101C2"/>
    <w:rsid w:val="00D10AD0"/>
    <w:rsid w:val="00D116D1"/>
    <w:rsid w:val="00D117B0"/>
    <w:rsid w:val="00D11E8C"/>
    <w:rsid w:val="00D1211C"/>
    <w:rsid w:val="00D124BE"/>
    <w:rsid w:val="00D12511"/>
    <w:rsid w:val="00D130CF"/>
    <w:rsid w:val="00D14014"/>
    <w:rsid w:val="00D14A09"/>
    <w:rsid w:val="00D15595"/>
    <w:rsid w:val="00D15C0E"/>
    <w:rsid w:val="00D165AD"/>
    <w:rsid w:val="00D1685E"/>
    <w:rsid w:val="00D177A8"/>
    <w:rsid w:val="00D17DF0"/>
    <w:rsid w:val="00D17EFD"/>
    <w:rsid w:val="00D203D7"/>
    <w:rsid w:val="00D20EE2"/>
    <w:rsid w:val="00D2232C"/>
    <w:rsid w:val="00D22701"/>
    <w:rsid w:val="00D22D0F"/>
    <w:rsid w:val="00D22F0E"/>
    <w:rsid w:val="00D23084"/>
    <w:rsid w:val="00D23625"/>
    <w:rsid w:val="00D2393C"/>
    <w:rsid w:val="00D23A58"/>
    <w:rsid w:val="00D23C41"/>
    <w:rsid w:val="00D24410"/>
    <w:rsid w:val="00D246D0"/>
    <w:rsid w:val="00D24740"/>
    <w:rsid w:val="00D24E57"/>
    <w:rsid w:val="00D25B58"/>
    <w:rsid w:val="00D264E3"/>
    <w:rsid w:val="00D27078"/>
    <w:rsid w:val="00D3007D"/>
    <w:rsid w:val="00D30C3F"/>
    <w:rsid w:val="00D31D8B"/>
    <w:rsid w:val="00D31E23"/>
    <w:rsid w:val="00D32934"/>
    <w:rsid w:val="00D34BA7"/>
    <w:rsid w:val="00D34BED"/>
    <w:rsid w:val="00D34C1F"/>
    <w:rsid w:val="00D366B0"/>
    <w:rsid w:val="00D374C2"/>
    <w:rsid w:val="00D378A9"/>
    <w:rsid w:val="00D40DDC"/>
    <w:rsid w:val="00D41085"/>
    <w:rsid w:val="00D41D89"/>
    <w:rsid w:val="00D4254C"/>
    <w:rsid w:val="00D42F02"/>
    <w:rsid w:val="00D43707"/>
    <w:rsid w:val="00D43F09"/>
    <w:rsid w:val="00D43F50"/>
    <w:rsid w:val="00D445BF"/>
    <w:rsid w:val="00D44D5B"/>
    <w:rsid w:val="00D45196"/>
    <w:rsid w:val="00D457F2"/>
    <w:rsid w:val="00D4592F"/>
    <w:rsid w:val="00D45F86"/>
    <w:rsid w:val="00D469C0"/>
    <w:rsid w:val="00D46BA9"/>
    <w:rsid w:val="00D4715E"/>
    <w:rsid w:val="00D47351"/>
    <w:rsid w:val="00D47D5F"/>
    <w:rsid w:val="00D47EB3"/>
    <w:rsid w:val="00D50154"/>
    <w:rsid w:val="00D50E09"/>
    <w:rsid w:val="00D51B98"/>
    <w:rsid w:val="00D53029"/>
    <w:rsid w:val="00D533E6"/>
    <w:rsid w:val="00D537A7"/>
    <w:rsid w:val="00D54105"/>
    <w:rsid w:val="00D54744"/>
    <w:rsid w:val="00D552B6"/>
    <w:rsid w:val="00D56F50"/>
    <w:rsid w:val="00D57564"/>
    <w:rsid w:val="00D60557"/>
    <w:rsid w:val="00D6093E"/>
    <w:rsid w:val="00D6170B"/>
    <w:rsid w:val="00D62249"/>
    <w:rsid w:val="00D62858"/>
    <w:rsid w:val="00D63778"/>
    <w:rsid w:val="00D64230"/>
    <w:rsid w:val="00D64B13"/>
    <w:rsid w:val="00D64F37"/>
    <w:rsid w:val="00D6573D"/>
    <w:rsid w:val="00D65BE1"/>
    <w:rsid w:val="00D65C62"/>
    <w:rsid w:val="00D676A6"/>
    <w:rsid w:val="00D700B4"/>
    <w:rsid w:val="00D707D9"/>
    <w:rsid w:val="00D70DCF"/>
    <w:rsid w:val="00D70EF4"/>
    <w:rsid w:val="00D71690"/>
    <w:rsid w:val="00D7177A"/>
    <w:rsid w:val="00D71EFC"/>
    <w:rsid w:val="00D72FCA"/>
    <w:rsid w:val="00D734BC"/>
    <w:rsid w:val="00D75D52"/>
    <w:rsid w:val="00D75DEE"/>
    <w:rsid w:val="00D7608B"/>
    <w:rsid w:val="00D76FCB"/>
    <w:rsid w:val="00D77078"/>
    <w:rsid w:val="00D77DC9"/>
    <w:rsid w:val="00D8078A"/>
    <w:rsid w:val="00D8193E"/>
    <w:rsid w:val="00D82B0F"/>
    <w:rsid w:val="00D82DCE"/>
    <w:rsid w:val="00D83E40"/>
    <w:rsid w:val="00D84231"/>
    <w:rsid w:val="00D84421"/>
    <w:rsid w:val="00D84704"/>
    <w:rsid w:val="00D84BB9"/>
    <w:rsid w:val="00D84C72"/>
    <w:rsid w:val="00D858E6"/>
    <w:rsid w:val="00D859DC"/>
    <w:rsid w:val="00D85B91"/>
    <w:rsid w:val="00D85CD3"/>
    <w:rsid w:val="00D85E0A"/>
    <w:rsid w:val="00D863B2"/>
    <w:rsid w:val="00D868B9"/>
    <w:rsid w:val="00D86A83"/>
    <w:rsid w:val="00D90722"/>
    <w:rsid w:val="00D90B6C"/>
    <w:rsid w:val="00D91317"/>
    <w:rsid w:val="00D91825"/>
    <w:rsid w:val="00D91A13"/>
    <w:rsid w:val="00D91DBF"/>
    <w:rsid w:val="00D92B42"/>
    <w:rsid w:val="00D930B3"/>
    <w:rsid w:val="00D93381"/>
    <w:rsid w:val="00D94148"/>
    <w:rsid w:val="00D9446A"/>
    <w:rsid w:val="00D94BDE"/>
    <w:rsid w:val="00D94CD5"/>
    <w:rsid w:val="00D95F45"/>
    <w:rsid w:val="00D965EE"/>
    <w:rsid w:val="00D967F2"/>
    <w:rsid w:val="00D96833"/>
    <w:rsid w:val="00D96930"/>
    <w:rsid w:val="00D96999"/>
    <w:rsid w:val="00D96A59"/>
    <w:rsid w:val="00D96FF9"/>
    <w:rsid w:val="00D97925"/>
    <w:rsid w:val="00D97ABF"/>
    <w:rsid w:val="00DA0084"/>
    <w:rsid w:val="00DA033C"/>
    <w:rsid w:val="00DA077A"/>
    <w:rsid w:val="00DA0A29"/>
    <w:rsid w:val="00DA0F36"/>
    <w:rsid w:val="00DA1358"/>
    <w:rsid w:val="00DA17EA"/>
    <w:rsid w:val="00DA1A4E"/>
    <w:rsid w:val="00DA1C7C"/>
    <w:rsid w:val="00DA2719"/>
    <w:rsid w:val="00DA2EBC"/>
    <w:rsid w:val="00DA30FA"/>
    <w:rsid w:val="00DA34C6"/>
    <w:rsid w:val="00DA35FF"/>
    <w:rsid w:val="00DA37CE"/>
    <w:rsid w:val="00DA3FDE"/>
    <w:rsid w:val="00DA42A3"/>
    <w:rsid w:val="00DA4466"/>
    <w:rsid w:val="00DA498A"/>
    <w:rsid w:val="00DA550C"/>
    <w:rsid w:val="00DA5801"/>
    <w:rsid w:val="00DA58C6"/>
    <w:rsid w:val="00DA5F4A"/>
    <w:rsid w:val="00DA6362"/>
    <w:rsid w:val="00DA6A9D"/>
    <w:rsid w:val="00DA6DD5"/>
    <w:rsid w:val="00DA72F5"/>
    <w:rsid w:val="00DA772C"/>
    <w:rsid w:val="00DA79D2"/>
    <w:rsid w:val="00DB06CE"/>
    <w:rsid w:val="00DB0E95"/>
    <w:rsid w:val="00DB1366"/>
    <w:rsid w:val="00DB15D6"/>
    <w:rsid w:val="00DB1ED1"/>
    <w:rsid w:val="00DB2393"/>
    <w:rsid w:val="00DB248C"/>
    <w:rsid w:val="00DB344D"/>
    <w:rsid w:val="00DB34F9"/>
    <w:rsid w:val="00DB3B37"/>
    <w:rsid w:val="00DB3D4D"/>
    <w:rsid w:val="00DB4875"/>
    <w:rsid w:val="00DB4DC9"/>
    <w:rsid w:val="00DB5154"/>
    <w:rsid w:val="00DB6B81"/>
    <w:rsid w:val="00DB6D6D"/>
    <w:rsid w:val="00DB6F6F"/>
    <w:rsid w:val="00DB7B16"/>
    <w:rsid w:val="00DC0023"/>
    <w:rsid w:val="00DC03ED"/>
    <w:rsid w:val="00DC1653"/>
    <w:rsid w:val="00DC3891"/>
    <w:rsid w:val="00DC467F"/>
    <w:rsid w:val="00DC47B4"/>
    <w:rsid w:val="00DC483B"/>
    <w:rsid w:val="00DC52C3"/>
    <w:rsid w:val="00DC5606"/>
    <w:rsid w:val="00DC596C"/>
    <w:rsid w:val="00DC5EB0"/>
    <w:rsid w:val="00DC6C8A"/>
    <w:rsid w:val="00DC6FCD"/>
    <w:rsid w:val="00DC70CF"/>
    <w:rsid w:val="00DC735A"/>
    <w:rsid w:val="00DC7A8C"/>
    <w:rsid w:val="00DC7F51"/>
    <w:rsid w:val="00DD0254"/>
    <w:rsid w:val="00DD04DF"/>
    <w:rsid w:val="00DD0780"/>
    <w:rsid w:val="00DD0F5B"/>
    <w:rsid w:val="00DD116F"/>
    <w:rsid w:val="00DD1174"/>
    <w:rsid w:val="00DD21FB"/>
    <w:rsid w:val="00DD284C"/>
    <w:rsid w:val="00DD33CA"/>
    <w:rsid w:val="00DD3627"/>
    <w:rsid w:val="00DD4062"/>
    <w:rsid w:val="00DD41AF"/>
    <w:rsid w:val="00DD5AEE"/>
    <w:rsid w:val="00DD5F2B"/>
    <w:rsid w:val="00DD7890"/>
    <w:rsid w:val="00DD7FEC"/>
    <w:rsid w:val="00DE012B"/>
    <w:rsid w:val="00DE05A6"/>
    <w:rsid w:val="00DE0823"/>
    <w:rsid w:val="00DE09C4"/>
    <w:rsid w:val="00DE0B48"/>
    <w:rsid w:val="00DE0E4B"/>
    <w:rsid w:val="00DE1532"/>
    <w:rsid w:val="00DE171B"/>
    <w:rsid w:val="00DE18C6"/>
    <w:rsid w:val="00DE3292"/>
    <w:rsid w:val="00DE34F0"/>
    <w:rsid w:val="00DE351E"/>
    <w:rsid w:val="00DE3ECA"/>
    <w:rsid w:val="00DE47F4"/>
    <w:rsid w:val="00DE4DF4"/>
    <w:rsid w:val="00DE5584"/>
    <w:rsid w:val="00DE58D7"/>
    <w:rsid w:val="00DE5EC3"/>
    <w:rsid w:val="00DE6456"/>
    <w:rsid w:val="00DE66BE"/>
    <w:rsid w:val="00DE6E77"/>
    <w:rsid w:val="00DE71D2"/>
    <w:rsid w:val="00DE7213"/>
    <w:rsid w:val="00DF060E"/>
    <w:rsid w:val="00DF0705"/>
    <w:rsid w:val="00DF0A0F"/>
    <w:rsid w:val="00DF0B9F"/>
    <w:rsid w:val="00DF0C76"/>
    <w:rsid w:val="00DF1172"/>
    <w:rsid w:val="00DF1822"/>
    <w:rsid w:val="00DF1DBB"/>
    <w:rsid w:val="00DF2D18"/>
    <w:rsid w:val="00DF31FB"/>
    <w:rsid w:val="00DF3DAA"/>
    <w:rsid w:val="00DF4D5A"/>
    <w:rsid w:val="00DF4F72"/>
    <w:rsid w:val="00DF4FA2"/>
    <w:rsid w:val="00DF51B7"/>
    <w:rsid w:val="00DF5F9C"/>
    <w:rsid w:val="00DF660D"/>
    <w:rsid w:val="00DF6A54"/>
    <w:rsid w:val="00DF6DCD"/>
    <w:rsid w:val="00DF6E3E"/>
    <w:rsid w:val="00DF725D"/>
    <w:rsid w:val="00DF7736"/>
    <w:rsid w:val="00DF777E"/>
    <w:rsid w:val="00DF79F8"/>
    <w:rsid w:val="00E00D72"/>
    <w:rsid w:val="00E013EA"/>
    <w:rsid w:val="00E01DE4"/>
    <w:rsid w:val="00E0236D"/>
    <w:rsid w:val="00E02681"/>
    <w:rsid w:val="00E03A31"/>
    <w:rsid w:val="00E03C3C"/>
    <w:rsid w:val="00E0450E"/>
    <w:rsid w:val="00E045AF"/>
    <w:rsid w:val="00E054FF"/>
    <w:rsid w:val="00E05736"/>
    <w:rsid w:val="00E05BBC"/>
    <w:rsid w:val="00E06726"/>
    <w:rsid w:val="00E06ACF"/>
    <w:rsid w:val="00E07047"/>
    <w:rsid w:val="00E0746D"/>
    <w:rsid w:val="00E074C4"/>
    <w:rsid w:val="00E07500"/>
    <w:rsid w:val="00E07C08"/>
    <w:rsid w:val="00E07CDB"/>
    <w:rsid w:val="00E10F61"/>
    <w:rsid w:val="00E11321"/>
    <w:rsid w:val="00E11DCC"/>
    <w:rsid w:val="00E11FAE"/>
    <w:rsid w:val="00E12815"/>
    <w:rsid w:val="00E16294"/>
    <w:rsid w:val="00E16721"/>
    <w:rsid w:val="00E176A9"/>
    <w:rsid w:val="00E17735"/>
    <w:rsid w:val="00E178F8"/>
    <w:rsid w:val="00E17E74"/>
    <w:rsid w:val="00E17FD0"/>
    <w:rsid w:val="00E2003E"/>
    <w:rsid w:val="00E20B42"/>
    <w:rsid w:val="00E220F2"/>
    <w:rsid w:val="00E22FB6"/>
    <w:rsid w:val="00E2324A"/>
    <w:rsid w:val="00E233AC"/>
    <w:rsid w:val="00E23753"/>
    <w:rsid w:val="00E23A2A"/>
    <w:rsid w:val="00E23BC6"/>
    <w:rsid w:val="00E23C83"/>
    <w:rsid w:val="00E23E40"/>
    <w:rsid w:val="00E241F6"/>
    <w:rsid w:val="00E24506"/>
    <w:rsid w:val="00E2547C"/>
    <w:rsid w:val="00E2668B"/>
    <w:rsid w:val="00E26CE4"/>
    <w:rsid w:val="00E30C5D"/>
    <w:rsid w:val="00E30D12"/>
    <w:rsid w:val="00E30E28"/>
    <w:rsid w:val="00E30E6E"/>
    <w:rsid w:val="00E318EF"/>
    <w:rsid w:val="00E31B2E"/>
    <w:rsid w:val="00E326B6"/>
    <w:rsid w:val="00E32E18"/>
    <w:rsid w:val="00E33255"/>
    <w:rsid w:val="00E336F4"/>
    <w:rsid w:val="00E33CAA"/>
    <w:rsid w:val="00E34055"/>
    <w:rsid w:val="00E3432C"/>
    <w:rsid w:val="00E34AB2"/>
    <w:rsid w:val="00E34B6B"/>
    <w:rsid w:val="00E350F8"/>
    <w:rsid w:val="00E3536F"/>
    <w:rsid w:val="00E35AF8"/>
    <w:rsid w:val="00E35D6A"/>
    <w:rsid w:val="00E35E14"/>
    <w:rsid w:val="00E35F00"/>
    <w:rsid w:val="00E36B80"/>
    <w:rsid w:val="00E36C92"/>
    <w:rsid w:val="00E370BA"/>
    <w:rsid w:val="00E375F4"/>
    <w:rsid w:val="00E37E6D"/>
    <w:rsid w:val="00E37FE2"/>
    <w:rsid w:val="00E40261"/>
    <w:rsid w:val="00E40834"/>
    <w:rsid w:val="00E40A82"/>
    <w:rsid w:val="00E42035"/>
    <w:rsid w:val="00E427F7"/>
    <w:rsid w:val="00E42ED5"/>
    <w:rsid w:val="00E434F9"/>
    <w:rsid w:val="00E43511"/>
    <w:rsid w:val="00E44273"/>
    <w:rsid w:val="00E4443D"/>
    <w:rsid w:val="00E4487A"/>
    <w:rsid w:val="00E449DC"/>
    <w:rsid w:val="00E45568"/>
    <w:rsid w:val="00E458DE"/>
    <w:rsid w:val="00E45CF5"/>
    <w:rsid w:val="00E45D76"/>
    <w:rsid w:val="00E45EDC"/>
    <w:rsid w:val="00E4685E"/>
    <w:rsid w:val="00E46C3B"/>
    <w:rsid w:val="00E46F30"/>
    <w:rsid w:val="00E46FBF"/>
    <w:rsid w:val="00E51290"/>
    <w:rsid w:val="00E514D7"/>
    <w:rsid w:val="00E51BC3"/>
    <w:rsid w:val="00E522A3"/>
    <w:rsid w:val="00E52A6A"/>
    <w:rsid w:val="00E52D4B"/>
    <w:rsid w:val="00E53DF5"/>
    <w:rsid w:val="00E53FDD"/>
    <w:rsid w:val="00E547F7"/>
    <w:rsid w:val="00E554F8"/>
    <w:rsid w:val="00E55A01"/>
    <w:rsid w:val="00E55CA9"/>
    <w:rsid w:val="00E5604F"/>
    <w:rsid w:val="00E565F3"/>
    <w:rsid w:val="00E56802"/>
    <w:rsid w:val="00E56E37"/>
    <w:rsid w:val="00E57AA2"/>
    <w:rsid w:val="00E57DC7"/>
    <w:rsid w:val="00E600AC"/>
    <w:rsid w:val="00E60182"/>
    <w:rsid w:val="00E60244"/>
    <w:rsid w:val="00E60527"/>
    <w:rsid w:val="00E60C58"/>
    <w:rsid w:val="00E60C81"/>
    <w:rsid w:val="00E61DF6"/>
    <w:rsid w:val="00E62038"/>
    <w:rsid w:val="00E621D2"/>
    <w:rsid w:val="00E62A50"/>
    <w:rsid w:val="00E62C1E"/>
    <w:rsid w:val="00E62CE6"/>
    <w:rsid w:val="00E62DC8"/>
    <w:rsid w:val="00E645BA"/>
    <w:rsid w:val="00E64DB4"/>
    <w:rsid w:val="00E6599B"/>
    <w:rsid w:val="00E65E02"/>
    <w:rsid w:val="00E6647C"/>
    <w:rsid w:val="00E66787"/>
    <w:rsid w:val="00E66821"/>
    <w:rsid w:val="00E669DB"/>
    <w:rsid w:val="00E6735C"/>
    <w:rsid w:val="00E67428"/>
    <w:rsid w:val="00E67950"/>
    <w:rsid w:val="00E706F9"/>
    <w:rsid w:val="00E707DF"/>
    <w:rsid w:val="00E70907"/>
    <w:rsid w:val="00E70A5D"/>
    <w:rsid w:val="00E70D23"/>
    <w:rsid w:val="00E70E5A"/>
    <w:rsid w:val="00E72972"/>
    <w:rsid w:val="00E72C25"/>
    <w:rsid w:val="00E731B7"/>
    <w:rsid w:val="00E73614"/>
    <w:rsid w:val="00E737C0"/>
    <w:rsid w:val="00E7380F"/>
    <w:rsid w:val="00E753BD"/>
    <w:rsid w:val="00E75ACB"/>
    <w:rsid w:val="00E75D4F"/>
    <w:rsid w:val="00E76094"/>
    <w:rsid w:val="00E7640D"/>
    <w:rsid w:val="00E769A2"/>
    <w:rsid w:val="00E80210"/>
    <w:rsid w:val="00E80603"/>
    <w:rsid w:val="00E817BE"/>
    <w:rsid w:val="00E818A0"/>
    <w:rsid w:val="00E81DBF"/>
    <w:rsid w:val="00E826CE"/>
    <w:rsid w:val="00E82708"/>
    <w:rsid w:val="00E827FF"/>
    <w:rsid w:val="00E8300E"/>
    <w:rsid w:val="00E83F8F"/>
    <w:rsid w:val="00E8408C"/>
    <w:rsid w:val="00E8422D"/>
    <w:rsid w:val="00E84A21"/>
    <w:rsid w:val="00E87A0F"/>
    <w:rsid w:val="00E91693"/>
    <w:rsid w:val="00E916D7"/>
    <w:rsid w:val="00E92099"/>
    <w:rsid w:val="00E94B36"/>
    <w:rsid w:val="00E94C4F"/>
    <w:rsid w:val="00E94DD5"/>
    <w:rsid w:val="00E96627"/>
    <w:rsid w:val="00E969AC"/>
    <w:rsid w:val="00E9734D"/>
    <w:rsid w:val="00E97682"/>
    <w:rsid w:val="00E97853"/>
    <w:rsid w:val="00E97CA5"/>
    <w:rsid w:val="00EA0454"/>
    <w:rsid w:val="00EA1904"/>
    <w:rsid w:val="00EA191D"/>
    <w:rsid w:val="00EA2B91"/>
    <w:rsid w:val="00EA3269"/>
    <w:rsid w:val="00EA3712"/>
    <w:rsid w:val="00EA52E4"/>
    <w:rsid w:val="00EA5A02"/>
    <w:rsid w:val="00EA5EA0"/>
    <w:rsid w:val="00EA60A7"/>
    <w:rsid w:val="00EA61EB"/>
    <w:rsid w:val="00EA760B"/>
    <w:rsid w:val="00EB12AC"/>
    <w:rsid w:val="00EB13E0"/>
    <w:rsid w:val="00EB182B"/>
    <w:rsid w:val="00EB241C"/>
    <w:rsid w:val="00EB4155"/>
    <w:rsid w:val="00EB4D3D"/>
    <w:rsid w:val="00EB56EC"/>
    <w:rsid w:val="00EB5A68"/>
    <w:rsid w:val="00EB5C99"/>
    <w:rsid w:val="00EB5E45"/>
    <w:rsid w:val="00EB6131"/>
    <w:rsid w:val="00EB6EC6"/>
    <w:rsid w:val="00EB756F"/>
    <w:rsid w:val="00EB7A97"/>
    <w:rsid w:val="00EC0321"/>
    <w:rsid w:val="00EC06C9"/>
    <w:rsid w:val="00EC0932"/>
    <w:rsid w:val="00EC1DB0"/>
    <w:rsid w:val="00EC20B5"/>
    <w:rsid w:val="00EC20CE"/>
    <w:rsid w:val="00EC2834"/>
    <w:rsid w:val="00EC2B1C"/>
    <w:rsid w:val="00EC4207"/>
    <w:rsid w:val="00EC5060"/>
    <w:rsid w:val="00EC6873"/>
    <w:rsid w:val="00EC6B8C"/>
    <w:rsid w:val="00EC6FDF"/>
    <w:rsid w:val="00EC7C6B"/>
    <w:rsid w:val="00ED0BC8"/>
    <w:rsid w:val="00ED0D3A"/>
    <w:rsid w:val="00ED0EDC"/>
    <w:rsid w:val="00ED102E"/>
    <w:rsid w:val="00ED115B"/>
    <w:rsid w:val="00ED1C20"/>
    <w:rsid w:val="00ED2745"/>
    <w:rsid w:val="00ED46AF"/>
    <w:rsid w:val="00ED47A4"/>
    <w:rsid w:val="00ED48E9"/>
    <w:rsid w:val="00ED5119"/>
    <w:rsid w:val="00ED57A9"/>
    <w:rsid w:val="00ED5EFF"/>
    <w:rsid w:val="00ED64BC"/>
    <w:rsid w:val="00ED6945"/>
    <w:rsid w:val="00EE0B24"/>
    <w:rsid w:val="00EE210A"/>
    <w:rsid w:val="00EE2600"/>
    <w:rsid w:val="00EE28D4"/>
    <w:rsid w:val="00EE2955"/>
    <w:rsid w:val="00EE2D3B"/>
    <w:rsid w:val="00EE3533"/>
    <w:rsid w:val="00EE3564"/>
    <w:rsid w:val="00EE3B8B"/>
    <w:rsid w:val="00EE3C0B"/>
    <w:rsid w:val="00EE4BEE"/>
    <w:rsid w:val="00EE4F71"/>
    <w:rsid w:val="00EE6009"/>
    <w:rsid w:val="00EE6BD8"/>
    <w:rsid w:val="00EE736F"/>
    <w:rsid w:val="00EE7493"/>
    <w:rsid w:val="00EE78F9"/>
    <w:rsid w:val="00EF03F1"/>
    <w:rsid w:val="00EF1538"/>
    <w:rsid w:val="00EF2056"/>
    <w:rsid w:val="00EF3029"/>
    <w:rsid w:val="00EF4606"/>
    <w:rsid w:val="00EF4C8A"/>
    <w:rsid w:val="00EF501A"/>
    <w:rsid w:val="00EF50F1"/>
    <w:rsid w:val="00EF58DC"/>
    <w:rsid w:val="00EF591B"/>
    <w:rsid w:val="00EF5A7E"/>
    <w:rsid w:val="00EF6B9B"/>
    <w:rsid w:val="00EF762A"/>
    <w:rsid w:val="00EF789B"/>
    <w:rsid w:val="00EF7C9D"/>
    <w:rsid w:val="00F011E2"/>
    <w:rsid w:val="00F01336"/>
    <w:rsid w:val="00F01A9B"/>
    <w:rsid w:val="00F01B09"/>
    <w:rsid w:val="00F01BF9"/>
    <w:rsid w:val="00F0283B"/>
    <w:rsid w:val="00F03213"/>
    <w:rsid w:val="00F038F3"/>
    <w:rsid w:val="00F03B50"/>
    <w:rsid w:val="00F03C37"/>
    <w:rsid w:val="00F03D4B"/>
    <w:rsid w:val="00F03FA1"/>
    <w:rsid w:val="00F0431F"/>
    <w:rsid w:val="00F04B49"/>
    <w:rsid w:val="00F04CF2"/>
    <w:rsid w:val="00F068E5"/>
    <w:rsid w:val="00F06AF5"/>
    <w:rsid w:val="00F06CDF"/>
    <w:rsid w:val="00F076C5"/>
    <w:rsid w:val="00F077BB"/>
    <w:rsid w:val="00F077CD"/>
    <w:rsid w:val="00F119E3"/>
    <w:rsid w:val="00F1221C"/>
    <w:rsid w:val="00F128B7"/>
    <w:rsid w:val="00F12A47"/>
    <w:rsid w:val="00F1316A"/>
    <w:rsid w:val="00F13F98"/>
    <w:rsid w:val="00F14156"/>
    <w:rsid w:val="00F143F0"/>
    <w:rsid w:val="00F15552"/>
    <w:rsid w:val="00F15EDD"/>
    <w:rsid w:val="00F170C7"/>
    <w:rsid w:val="00F175FE"/>
    <w:rsid w:val="00F17D2D"/>
    <w:rsid w:val="00F17F33"/>
    <w:rsid w:val="00F200E8"/>
    <w:rsid w:val="00F20A58"/>
    <w:rsid w:val="00F20B5B"/>
    <w:rsid w:val="00F212B1"/>
    <w:rsid w:val="00F212D2"/>
    <w:rsid w:val="00F222C8"/>
    <w:rsid w:val="00F23769"/>
    <w:rsid w:val="00F23ECE"/>
    <w:rsid w:val="00F247A6"/>
    <w:rsid w:val="00F25D78"/>
    <w:rsid w:val="00F2734B"/>
    <w:rsid w:val="00F27492"/>
    <w:rsid w:val="00F3096D"/>
    <w:rsid w:val="00F30B0D"/>
    <w:rsid w:val="00F31D80"/>
    <w:rsid w:val="00F32484"/>
    <w:rsid w:val="00F32B2C"/>
    <w:rsid w:val="00F33833"/>
    <w:rsid w:val="00F339CC"/>
    <w:rsid w:val="00F3429F"/>
    <w:rsid w:val="00F35409"/>
    <w:rsid w:val="00F3571C"/>
    <w:rsid w:val="00F35DF8"/>
    <w:rsid w:val="00F35E9E"/>
    <w:rsid w:val="00F360A6"/>
    <w:rsid w:val="00F362DE"/>
    <w:rsid w:val="00F369BE"/>
    <w:rsid w:val="00F37172"/>
    <w:rsid w:val="00F37583"/>
    <w:rsid w:val="00F375EA"/>
    <w:rsid w:val="00F406F4"/>
    <w:rsid w:val="00F4125B"/>
    <w:rsid w:val="00F413EE"/>
    <w:rsid w:val="00F42B88"/>
    <w:rsid w:val="00F42E59"/>
    <w:rsid w:val="00F43485"/>
    <w:rsid w:val="00F43822"/>
    <w:rsid w:val="00F438A6"/>
    <w:rsid w:val="00F43E03"/>
    <w:rsid w:val="00F44738"/>
    <w:rsid w:val="00F448B7"/>
    <w:rsid w:val="00F44A68"/>
    <w:rsid w:val="00F44C79"/>
    <w:rsid w:val="00F44D5F"/>
    <w:rsid w:val="00F45221"/>
    <w:rsid w:val="00F46CEB"/>
    <w:rsid w:val="00F46FD0"/>
    <w:rsid w:val="00F474AB"/>
    <w:rsid w:val="00F4784D"/>
    <w:rsid w:val="00F506CA"/>
    <w:rsid w:val="00F509EF"/>
    <w:rsid w:val="00F5188A"/>
    <w:rsid w:val="00F51D3C"/>
    <w:rsid w:val="00F51FF7"/>
    <w:rsid w:val="00F520F1"/>
    <w:rsid w:val="00F5232D"/>
    <w:rsid w:val="00F524D5"/>
    <w:rsid w:val="00F526F2"/>
    <w:rsid w:val="00F52F13"/>
    <w:rsid w:val="00F53488"/>
    <w:rsid w:val="00F53689"/>
    <w:rsid w:val="00F53995"/>
    <w:rsid w:val="00F53D8C"/>
    <w:rsid w:val="00F555FD"/>
    <w:rsid w:val="00F556F6"/>
    <w:rsid w:val="00F55765"/>
    <w:rsid w:val="00F55EBC"/>
    <w:rsid w:val="00F56462"/>
    <w:rsid w:val="00F56B5C"/>
    <w:rsid w:val="00F57FFB"/>
    <w:rsid w:val="00F600F3"/>
    <w:rsid w:val="00F60303"/>
    <w:rsid w:val="00F609C8"/>
    <w:rsid w:val="00F609F6"/>
    <w:rsid w:val="00F60DBE"/>
    <w:rsid w:val="00F60F34"/>
    <w:rsid w:val="00F6128B"/>
    <w:rsid w:val="00F62BC4"/>
    <w:rsid w:val="00F63B03"/>
    <w:rsid w:val="00F64E98"/>
    <w:rsid w:val="00F650A8"/>
    <w:rsid w:val="00F654EE"/>
    <w:rsid w:val="00F65689"/>
    <w:rsid w:val="00F65FA8"/>
    <w:rsid w:val="00F6776B"/>
    <w:rsid w:val="00F679F4"/>
    <w:rsid w:val="00F703B6"/>
    <w:rsid w:val="00F70D14"/>
    <w:rsid w:val="00F7140D"/>
    <w:rsid w:val="00F717E2"/>
    <w:rsid w:val="00F71CAE"/>
    <w:rsid w:val="00F72633"/>
    <w:rsid w:val="00F72774"/>
    <w:rsid w:val="00F72B9E"/>
    <w:rsid w:val="00F72F8B"/>
    <w:rsid w:val="00F735AE"/>
    <w:rsid w:val="00F742AD"/>
    <w:rsid w:val="00F74644"/>
    <w:rsid w:val="00F7482E"/>
    <w:rsid w:val="00F754A8"/>
    <w:rsid w:val="00F75B03"/>
    <w:rsid w:val="00F75E40"/>
    <w:rsid w:val="00F7611B"/>
    <w:rsid w:val="00F763E2"/>
    <w:rsid w:val="00F76963"/>
    <w:rsid w:val="00F76FB1"/>
    <w:rsid w:val="00F77157"/>
    <w:rsid w:val="00F806B7"/>
    <w:rsid w:val="00F80B55"/>
    <w:rsid w:val="00F80C77"/>
    <w:rsid w:val="00F817A0"/>
    <w:rsid w:val="00F822BB"/>
    <w:rsid w:val="00F822CC"/>
    <w:rsid w:val="00F827E1"/>
    <w:rsid w:val="00F8339E"/>
    <w:rsid w:val="00F83924"/>
    <w:rsid w:val="00F84080"/>
    <w:rsid w:val="00F845DE"/>
    <w:rsid w:val="00F84A01"/>
    <w:rsid w:val="00F84CD8"/>
    <w:rsid w:val="00F84F40"/>
    <w:rsid w:val="00F84FAC"/>
    <w:rsid w:val="00F8504B"/>
    <w:rsid w:val="00F851A3"/>
    <w:rsid w:val="00F85A03"/>
    <w:rsid w:val="00F85F02"/>
    <w:rsid w:val="00F8634D"/>
    <w:rsid w:val="00F8637D"/>
    <w:rsid w:val="00F865B5"/>
    <w:rsid w:val="00F86780"/>
    <w:rsid w:val="00F86B33"/>
    <w:rsid w:val="00F9151C"/>
    <w:rsid w:val="00F92005"/>
    <w:rsid w:val="00F921DA"/>
    <w:rsid w:val="00F92330"/>
    <w:rsid w:val="00F94311"/>
    <w:rsid w:val="00F94318"/>
    <w:rsid w:val="00F9469C"/>
    <w:rsid w:val="00F95787"/>
    <w:rsid w:val="00F9671D"/>
    <w:rsid w:val="00F96B36"/>
    <w:rsid w:val="00F97062"/>
    <w:rsid w:val="00FA044A"/>
    <w:rsid w:val="00FA04A9"/>
    <w:rsid w:val="00FA0DFC"/>
    <w:rsid w:val="00FA12F2"/>
    <w:rsid w:val="00FA1CC7"/>
    <w:rsid w:val="00FA1EC6"/>
    <w:rsid w:val="00FA20F3"/>
    <w:rsid w:val="00FA2C89"/>
    <w:rsid w:val="00FA33B3"/>
    <w:rsid w:val="00FA4442"/>
    <w:rsid w:val="00FA4E48"/>
    <w:rsid w:val="00FA5281"/>
    <w:rsid w:val="00FA53BD"/>
    <w:rsid w:val="00FA55D7"/>
    <w:rsid w:val="00FA58E3"/>
    <w:rsid w:val="00FA6DA9"/>
    <w:rsid w:val="00FA78C5"/>
    <w:rsid w:val="00FB0481"/>
    <w:rsid w:val="00FB096D"/>
    <w:rsid w:val="00FB0B5E"/>
    <w:rsid w:val="00FB11E7"/>
    <w:rsid w:val="00FB167D"/>
    <w:rsid w:val="00FB17F3"/>
    <w:rsid w:val="00FB210D"/>
    <w:rsid w:val="00FB2233"/>
    <w:rsid w:val="00FB265A"/>
    <w:rsid w:val="00FB3847"/>
    <w:rsid w:val="00FB3AC7"/>
    <w:rsid w:val="00FB4370"/>
    <w:rsid w:val="00FB45AD"/>
    <w:rsid w:val="00FB4B85"/>
    <w:rsid w:val="00FB4C32"/>
    <w:rsid w:val="00FB4D62"/>
    <w:rsid w:val="00FB58E6"/>
    <w:rsid w:val="00FB61B3"/>
    <w:rsid w:val="00FB6316"/>
    <w:rsid w:val="00FB65F5"/>
    <w:rsid w:val="00FB6C4D"/>
    <w:rsid w:val="00FB7806"/>
    <w:rsid w:val="00FB7841"/>
    <w:rsid w:val="00FB7C44"/>
    <w:rsid w:val="00FC0FD4"/>
    <w:rsid w:val="00FC1AD2"/>
    <w:rsid w:val="00FC1B84"/>
    <w:rsid w:val="00FC1E4E"/>
    <w:rsid w:val="00FC2165"/>
    <w:rsid w:val="00FC31D9"/>
    <w:rsid w:val="00FC42B8"/>
    <w:rsid w:val="00FC495D"/>
    <w:rsid w:val="00FC4C13"/>
    <w:rsid w:val="00FC4D59"/>
    <w:rsid w:val="00FC52FD"/>
    <w:rsid w:val="00FC57F9"/>
    <w:rsid w:val="00FC5C70"/>
    <w:rsid w:val="00FC5D73"/>
    <w:rsid w:val="00FC6584"/>
    <w:rsid w:val="00FC6773"/>
    <w:rsid w:val="00FC6826"/>
    <w:rsid w:val="00FC7118"/>
    <w:rsid w:val="00FC72B3"/>
    <w:rsid w:val="00FC7371"/>
    <w:rsid w:val="00FD0305"/>
    <w:rsid w:val="00FD201E"/>
    <w:rsid w:val="00FD272B"/>
    <w:rsid w:val="00FD36B4"/>
    <w:rsid w:val="00FD40E1"/>
    <w:rsid w:val="00FD44A1"/>
    <w:rsid w:val="00FD5380"/>
    <w:rsid w:val="00FD5E17"/>
    <w:rsid w:val="00FD60EF"/>
    <w:rsid w:val="00FD6277"/>
    <w:rsid w:val="00FD62F2"/>
    <w:rsid w:val="00FD64D2"/>
    <w:rsid w:val="00FD7F33"/>
    <w:rsid w:val="00FE01B2"/>
    <w:rsid w:val="00FE031F"/>
    <w:rsid w:val="00FE0693"/>
    <w:rsid w:val="00FE1695"/>
    <w:rsid w:val="00FE1AC5"/>
    <w:rsid w:val="00FE236A"/>
    <w:rsid w:val="00FE25A4"/>
    <w:rsid w:val="00FE301F"/>
    <w:rsid w:val="00FE33A5"/>
    <w:rsid w:val="00FE3C6C"/>
    <w:rsid w:val="00FE3EF0"/>
    <w:rsid w:val="00FE445B"/>
    <w:rsid w:val="00FE44DB"/>
    <w:rsid w:val="00FE48A3"/>
    <w:rsid w:val="00FE52EA"/>
    <w:rsid w:val="00FE52ED"/>
    <w:rsid w:val="00FE6B1C"/>
    <w:rsid w:val="00FE71B3"/>
    <w:rsid w:val="00FE729E"/>
    <w:rsid w:val="00FF01A1"/>
    <w:rsid w:val="00FF0AB0"/>
    <w:rsid w:val="00FF1AC1"/>
    <w:rsid w:val="00FF2288"/>
    <w:rsid w:val="00FF2E92"/>
    <w:rsid w:val="00FF3759"/>
    <w:rsid w:val="00FF51B2"/>
    <w:rsid w:val="00FF5E2C"/>
    <w:rsid w:val="00FF62C3"/>
    <w:rsid w:val="00FF6851"/>
    <w:rsid w:val="01B33F04"/>
    <w:rsid w:val="036BAD6C"/>
    <w:rsid w:val="05000605"/>
    <w:rsid w:val="0682A6C6"/>
    <w:rsid w:val="0700D507"/>
    <w:rsid w:val="0A898823"/>
    <w:rsid w:val="0A8C1895"/>
    <w:rsid w:val="0F4B7C4A"/>
    <w:rsid w:val="1028B787"/>
    <w:rsid w:val="1035F5AD"/>
    <w:rsid w:val="1226970E"/>
    <w:rsid w:val="1486A508"/>
    <w:rsid w:val="15050EF3"/>
    <w:rsid w:val="1575D633"/>
    <w:rsid w:val="15B8CA4C"/>
    <w:rsid w:val="165F1152"/>
    <w:rsid w:val="16BD065D"/>
    <w:rsid w:val="1B919A06"/>
    <w:rsid w:val="1CD09410"/>
    <w:rsid w:val="1D691A8B"/>
    <w:rsid w:val="1FF5382F"/>
    <w:rsid w:val="2320A3BA"/>
    <w:rsid w:val="281EA36C"/>
    <w:rsid w:val="2C71E18C"/>
    <w:rsid w:val="2CECFB9E"/>
    <w:rsid w:val="2D1821A5"/>
    <w:rsid w:val="2DE05879"/>
    <w:rsid w:val="2E3DAA18"/>
    <w:rsid w:val="2E8CB600"/>
    <w:rsid w:val="2F011964"/>
    <w:rsid w:val="2F43DD04"/>
    <w:rsid w:val="30B1248C"/>
    <w:rsid w:val="320FEDEA"/>
    <w:rsid w:val="32DC0A72"/>
    <w:rsid w:val="338D89CF"/>
    <w:rsid w:val="3390F084"/>
    <w:rsid w:val="34421A68"/>
    <w:rsid w:val="346439E1"/>
    <w:rsid w:val="3608299E"/>
    <w:rsid w:val="37C47395"/>
    <w:rsid w:val="37FFF715"/>
    <w:rsid w:val="38C4E5BC"/>
    <w:rsid w:val="3989ACCA"/>
    <w:rsid w:val="3A8C2791"/>
    <w:rsid w:val="3CDAE743"/>
    <w:rsid w:val="3CDF68BC"/>
    <w:rsid w:val="3D3B2A28"/>
    <w:rsid w:val="3E6C5CD7"/>
    <w:rsid w:val="3E9637B8"/>
    <w:rsid w:val="3E9CC4BA"/>
    <w:rsid w:val="419340A4"/>
    <w:rsid w:val="41D570C6"/>
    <w:rsid w:val="42EE9A2C"/>
    <w:rsid w:val="44712887"/>
    <w:rsid w:val="4602FAF7"/>
    <w:rsid w:val="49BE944F"/>
    <w:rsid w:val="4A17AFDD"/>
    <w:rsid w:val="4C3648F1"/>
    <w:rsid w:val="4D5CC81E"/>
    <w:rsid w:val="53794CB5"/>
    <w:rsid w:val="553E834E"/>
    <w:rsid w:val="5794306F"/>
    <w:rsid w:val="58BFBA42"/>
    <w:rsid w:val="58C1D977"/>
    <w:rsid w:val="5C504E0F"/>
    <w:rsid w:val="5D938432"/>
    <w:rsid w:val="5E6C8972"/>
    <w:rsid w:val="5F6B3599"/>
    <w:rsid w:val="5F6B839B"/>
    <w:rsid w:val="60479105"/>
    <w:rsid w:val="62B07E0C"/>
    <w:rsid w:val="68AE60F3"/>
    <w:rsid w:val="6A8B9064"/>
    <w:rsid w:val="6AAC6FDA"/>
    <w:rsid w:val="6C6179AB"/>
    <w:rsid w:val="6DB9B4DE"/>
    <w:rsid w:val="73D9E62F"/>
    <w:rsid w:val="7870692C"/>
    <w:rsid w:val="78D64D1D"/>
    <w:rsid w:val="79AC9EE7"/>
    <w:rsid w:val="7A013B57"/>
    <w:rsid w:val="7A31F93E"/>
    <w:rsid w:val="7B7724C0"/>
    <w:rsid w:val="7BDDDF42"/>
    <w:rsid w:val="7D93C9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97176"/>
  <w15:chartTrackingRefBased/>
  <w15:docId w15:val="{B71EE46D-1963-4BB3-8027-35BC1322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7D"/>
    <w:pPr>
      <w:spacing w:after="240" w:line="260" w:lineRule="exact"/>
      <w:jc w:val="both"/>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791275"/>
    <w:pPr>
      <w:spacing w:after="240"/>
      <w:jc w:val="center"/>
      <w:outlineLvl w:val="0"/>
    </w:pPr>
    <w:rPr>
      <w:rFonts w:ascii="Arial Bold" w:hAnsi="Arial Bold"/>
      <w:b/>
      <w:kern w:val="34"/>
      <w:sz w:val="36"/>
    </w:rPr>
  </w:style>
  <w:style w:type="paragraph" w:styleId="Heading2">
    <w:name w:val="heading 2"/>
    <w:basedOn w:val="HeadingBase"/>
    <w:next w:val="Normal"/>
    <w:link w:val="Heading2Char"/>
    <w:qFormat/>
    <w:rsid w:val="00791275"/>
    <w:pPr>
      <w:spacing w:before="240" w:after="240"/>
      <w:outlineLvl w:val="1"/>
    </w:pPr>
    <w:rPr>
      <w:rFonts w:ascii="Arial Bold" w:hAnsi="Arial Bold"/>
      <w:b/>
      <w:sz w:val="26"/>
    </w:rPr>
  </w:style>
  <w:style w:type="paragraph" w:styleId="Heading3">
    <w:name w:val="heading 3"/>
    <w:basedOn w:val="HeadingBase"/>
    <w:next w:val="Normal"/>
    <w:link w:val="Heading3Char"/>
    <w:qFormat/>
    <w:rsid w:val="00BB207D"/>
    <w:pPr>
      <w:spacing w:before="120" w:after="120"/>
      <w:outlineLvl w:val="2"/>
    </w:pPr>
    <w:rPr>
      <w:rFonts w:ascii="Arial Bold" w:hAnsi="Arial Bold"/>
      <w:b/>
      <w:sz w:val="22"/>
    </w:rPr>
  </w:style>
  <w:style w:type="paragraph" w:styleId="Heading4">
    <w:name w:val="heading 4"/>
    <w:basedOn w:val="HeadingBase"/>
    <w:next w:val="Normal"/>
    <w:link w:val="Heading4Char"/>
    <w:qFormat/>
    <w:rsid w:val="00BB207D"/>
    <w:pPr>
      <w:spacing w:after="120"/>
      <w:outlineLvl w:val="3"/>
    </w:pPr>
    <w:rPr>
      <w:rFonts w:ascii="Arial Bold" w:hAnsi="Arial Bold"/>
      <w:b/>
      <w:sz w:val="20"/>
    </w:rPr>
  </w:style>
  <w:style w:type="paragraph" w:styleId="Heading5">
    <w:name w:val="heading 5"/>
    <w:basedOn w:val="HeadingBase"/>
    <w:next w:val="Normal"/>
    <w:link w:val="Heading5Char"/>
    <w:qFormat/>
    <w:rsid w:val="001D33D6"/>
    <w:pPr>
      <w:spacing w:after="120"/>
      <w:outlineLvl w:val="4"/>
    </w:pPr>
    <w:rPr>
      <w:bCs/>
      <w:i/>
      <w:iCs/>
      <w:sz w:val="20"/>
      <w:szCs w:val="26"/>
    </w:rPr>
  </w:style>
  <w:style w:type="paragraph" w:styleId="Heading6">
    <w:name w:val="heading 6"/>
    <w:basedOn w:val="HeadingBase"/>
    <w:next w:val="Normal"/>
    <w:link w:val="Heading6Char"/>
    <w:rsid w:val="00BB207D"/>
    <w:pPr>
      <w:spacing w:after="120"/>
      <w:outlineLvl w:val="5"/>
    </w:pPr>
    <w:rPr>
      <w:bCs/>
      <w:sz w:val="20"/>
      <w:szCs w:val="22"/>
    </w:rPr>
  </w:style>
  <w:style w:type="paragraph" w:styleId="Heading7">
    <w:name w:val="heading 7"/>
    <w:basedOn w:val="HeadingBase"/>
    <w:next w:val="Normal"/>
    <w:link w:val="Heading7Char"/>
    <w:rsid w:val="00BB207D"/>
    <w:pPr>
      <w:spacing w:before="120"/>
      <w:outlineLvl w:val="6"/>
    </w:pPr>
    <w:rPr>
      <w:sz w:val="20"/>
      <w:szCs w:val="24"/>
    </w:rPr>
  </w:style>
  <w:style w:type="paragraph" w:styleId="Heading8">
    <w:name w:val="heading 8"/>
    <w:basedOn w:val="HeadingBase"/>
    <w:next w:val="Normal"/>
    <w:link w:val="Heading8Char"/>
    <w:rsid w:val="00BB207D"/>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BB207D"/>
    <w:pPr>
      <w:tabs>
        <w:tab w:val="center" w:pos="4153"/>
        <w:tab w:val="right" w:pos="8306"/>
      </w:tabs>
    </w:pPr>
  </w:style>
  <w:style w:type="character" w:customStyle="1" w:styleId="HeaderChar">
    <w:name w:val="Header Char"/>
    <w:basedOn w:val="DefaultParagraphFont"/>
    <w:link w:val="Header"/>
    <w:rsid w:val="00BB207D"/>
    <w:rPr>
      <w:rFonts w:ascii="Book Antiqua" w:eastAsia="Times New Roman" w:hAnsi="Book Antiqua" w:cs="Times New Roman"/>
      <w:i/>
      <w:sz w:val="20"/>
      <w:szCs w:val="20"/>
      <w:lang w:eastAsia="en-AU"/>
    </w:rPr>
  </w:style>
  <w:style w:type="paragraph" w:styleId="Footer">
    <w:name w:val="footer"/>
    <w:basedOn w:val="FooterBase"/>
    <w:link w:val="FooterChar"/>
    <w:rsid w:val="00BB207D"/>
    <w:pPr>
      <w:tabs>
        <w:tab w:val="center" w:pos="4153"/>
        <w:tab w:val="right" w:pos="8306"/>
      </w:tabs>
    </w:pPr>
  </w:style>
  <w:style w:type="character" w:customStyle="1" w:styleId="FooterChar">
    <w:name w:val="Footer Char"/>
    <w:basedOn w:val="DefaultParagraphFont"/>
    <w:link w:val="Footer"/>
    <w:rsid w:val="00BB207D"/>
    <w:rPr>
      <w:rFonts w:ascii="Arial" w:eastAsia="Times New Roman" w:hAnsi="Arial" w:cs="Times New Roman"/>
      <w:sz w:val="20"/>
      <w:szCs w:val="20"/>
      <w:lang w:eastAsia="en-AU"/>
    </w:rPr>
  </w:style>
  <w:style w:type="paragraph" w:customStyle="1" w:styleId="SecurityClassificationHeader">
    <w:name w:val="Security Classification Header"/>
    <w:link w:val="SecurityClassificationHeaderChar"/>
    <w:rsid w:val="00E40261"/>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E40261"/>
    <w:rPr>
      <w:rFonts w:ascii="Calibri" w:eastAsia="Times New Roman" w:hAnsi="Calibri" w:cs="Calibri"/>
      <w:b/>
      <w:i/>
      <w:caps/>
      <w:sz w:val="24"/>
      <w:szCs w:val="20"/>
      <w:lang w:eastAsia="en-AU"/>
    </w:rPr>
  </w:style>
  <w:style w:type="paragraph" w:customStyle="1" w:styleId="SecurityClassificationFooter">
    <w:name w:val="Security Classification Footer"/>
    <w:link w:val="SecurityClassificationFooterChar"/>
    <w:rsid w:val="00E40261"/>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E40261"/>
    <w:rPr>
      <w:rFonts w:ascii="Calibri" w:eastAsia="Times New Roman" w:hAnsi="Calibri" w:cs="Calibri"/>
      <w:b/>
      <w:i/>
      <w:caps/>
      <w:sz w:val="24"/>
      <w:szCs w:val="20"/>
      <w:lang w:eastAsia="en-AU"/>
    </w:rPr>
  </w:style>
  <w:style w:type="paragraph" w:customStyle="1" w:styleId="DLMSecurityHeader">
    <w:name w:val="DLM Security Header"/>
    <w:link w:val="DLMSecurityHeaderChar"/>
    <w:rsid w:val="00E40261"/>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E40261"/>
    <w:rPr>
      <w:rFonts w:ascii="Calibri" w:eastAsia="Times New Roman" w:hAnsi="Calibri" w:cs="Calibri"/>
      <w:b/>
      <w:i/>
      <w:caps/>
      <w:sz w:val="24"/>
      <w:szCs w:val="20"/>
      <w:lang w:eastAsia="en-AU"/>
    </w:rPr>
  </w:style>
  <w:style w:type="paragraph" w:customStyle="1" w:styleId="DLMSecurityFooter">
    <w:name w:val="DLM Security Footer"/>
    <w:link w:val="DLMSecurityFooterChar"/>
    <w:rsid w:val="00E40261"/>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E40261"/>
    <w:rPr>
      <w:rFonts w:ascii="Calibri" w:eastAsia="Times New Roman" w:hAnsi="Calibri" w:cs="Calibri"/>
      <w:b/>
      <w:i/>
      <w:caps/>
      <w:sz w:val="24"/>
      <w:szCs w:val="20"/>
      <w:lang w:eastAsia="en-AU"/>
    </w:rPr>
  </w:style>
  <w:style w:type="paragraph" w:customStyle="1" w:styleId="Classification">
    <w:name w:val="Classification"/>
    <w:basedOn w:val="HeadingBase"/>
    <w:rsid w:val="0011175D"/>
    <w:pPr>
      <w:jc w:val="center"/>
    </w:pPr>
    <w:rPr>
      <w:rFonts w:ascii="Arial Bold" w:hAnsi="Arial Bold"/>
      <w:b/>
      <w:caps/>
      <w:sz w:val="22"/>
    </w:rPr>
  </w:style>
  <w:style w:type="paragraph" w:customStyle="1" w:styleId="FileProperties">
    <w:name w:val="File Properties"/>
    <w:basedOn w:val="Normal"/>
    <w:rsid w:val="00BB207D"/>
    <w:rPr>
      <w:i/>
    </w:rPr>
  </w:style>
  <w:style w:type="paragraph" w:customStyle="1" w:styleId="AlphaParagraph">
    <w:name w:val="Alpha Paragraph"/>
    <w:basedOn w:val="Normal"/>
    <w:rsid w:val="00BB207D"/>
    <w:pPr>
      <w:numPr>
        <w:numId w:val="1"/>
      </w:numPr>
      <w:tabs>
        <w:tab w:val="clear" w:pos="567"/>
        <w:tab w:val="num" w:pos="360"/>
      </w:tabs>
      <w:ind w:left="0" w:firstLine="0"/>
    </w:pPr>
  </w:style>
  <w:style w:type="paragraph" w:customStyle="1" w:styleId="HeadingBase">
    <w:name w:val="Heading Base"/>
    <w:rsid w:val="00BB207D"/>
    <w:pPr>
      <w:keepNext/>
      <w:spacing w:after="0" w:line="240" w:lineRule="auto"/>
    </w:pPr>
    <w:rPr>
      <w:rFonts w:ascii="Arial" w:eastAsia="Times New Roman" w:hAnsi="Arial" w:cs="Times New Roman"/>
      <w:sz w:val="24"/>
      <w:szCs w:val="20"/>
      <w:lang w:eastAsia="en-AU"/>
    </w:rPr>
  </w:style>
  <w:style w:type="paragraph" w:customStyle="1" w:styleId="AppendixHeading">
    <w:name w:val="Appendix Heading"/>
    <w:basedOn w:val="HeadingBase"/>
    <w:rsid w:val="00BB207D"/>
    <w:pPr>
      <w:spacing w:after="240"/>
      <w:jc w:val="center"/>
      <w:outlineLvl w:val="3"/>
    </w:pPr>
    <w:rPr>
      <w:b/>
      <w:smallCaps/>
      <w:sz w:val="30"/>
    </w:rPr>
  </w:style>
  <w:style w:type="paragraph" w:styleId="BalloonText">
    <w:name w:val="Balloon Text"/>
    <w:basedOn w:val="Normal"/>
    <w:link w:val="BalloonTextChar"/>
    <w:rsid w:val="00BB207D"/>
    <w:rPr>
      <w:rFonts w:ascii="Tahoma" w:hAnsi="Tahoma" w:cs="Tahoma"/>
      <w:sz w:val="16"/>
      <w:szCs w:val="16"/>
    </w:rPr>
  </w:style>
  <w:style w:type="character" w:customStyle="1" w:styleId="BalloonTextChar">
    <w:name w:val="Balloon Text Char"/>
    <w:basedOn w:val="DefaultParagraphFont"/>
    <w:link w:val="BalloonText"/>
    <w:rsid w:val="00BB207D"/>
    <w:rPr>
      <w:rFonts w:ascii="Tahoma" w:eastAsia="Times New Roman" w:hAnsi="Tahoma" w:cs="Tahoma"/>
      <w:sz w:val="16"/>
      <w:szCs w:val="16"/>
      <w:lang w:eastAsia="en-AU"/>
    </w:rPr>
  </w:style>
  <w:style w:type="paragraph" w:customStyle="1" w:styleId="BlockedQuotation">
    <w:name w:val="Blocked Quotation"/>
    <w:basedOn w:val="Normal"/>
    <w:rsid w:val="00BB207D"/>
    <w:pPr>
      <w:ind w:left="567"/>
    </w:pPr>
  </w:style>
  <w:style w:type="paragraph" w:customStyle="1" w:styleId="BoxText">
    <w:name w:val="Box Text"/>
    <w:basedOn w:val="Normal"/>
    <w:qFormat/>
    <w:rsid w:val="00BB207D"/>
    <w:pPr>
      <w:spacing w:before="120" w:after="120" w:line="240" w:lineRule="auto"/>
    </w:pPr>
  </w:style>
  <w:style w:type="paragraph" w:customStyle="1" w:styleId="BoxBullet">
    <w:name w:val="Box Bullet"/>
    <w:basedOn w:val="BoxText"/>
    <w:rsid w:val="00BB207D"/>
    <w:pPr>
      <w:numPr>
        <w:numId w:val="2"/>
      </w:numPr>
    </w:pPr>
  </w:style>
  <w:style w:type="paragraph" w:customStyle="1" w:styleId="BoxHeading">
    <w:name w:val="Box Heading"/>
    <w:basedOn w:val="HeadingBase"/>
    <w:next w:val="BoxText"/>
    <w:rsid w:val="00BB207D"/>
    <w:pPr>
      <w:spacing w:before="120" w:after="120"/>
    </w:pPr>
    <w:rPr>
      <w:b/>
      <w:sz w:val="20"/>
    </w:rPr>
  </w:style>
  <w:style w:type="character" w:customStyle="1" w:styleId="Heading6Char">
    <w:name w:val="Heading 6 Char"/>
    <w:basedOn w:val="DefaultParagraphFont"/>
    <w:link w:val="Heading6"/>
    <w:rsid w:val="00BB207D"/>
    <w:rPr>
      <w:rFonts w:ascii="Arial" w:eastAsia="Times New Roman" w:hAnsi="Arial" w:cs="Times New Roman"/>
      <w:bCs/>
      <w:sz w:val="20"/>
      <w:lang w:eastAsia="en-AU"/>
    </w:rPr>
  </w:style>
  <w:style w:type="paragraph" w:customStyle="1" w:styleId="BoxSubHeading">
    <w:name w:val="Box Sub Heading"/>
    <w:basedOn w:val="Heading6"/>
    <w:rsid w:val="00BB207D"/>
    <w:pPr>
      <w:spacing w:before="120" w:after="40"/>
    </w:pPr>
  </w:style>
  <w:style w:type="paragraph" w:customStyle="1" w:styleId="Bullet">
    <w:name w:val="Bullet"/>
    <w:aliases w:val="Body,Bullet + line,b,b + line,b1,level 1,BodyNum,Bullet Char1,Bullet Char1 Char Char Char Char,b1 Char Char Char,Bullet Char1 Char Char Char Char Char,Bullet Char1 Char Char Char,bulleted"/>
    <w:basedOn w:val="Normal"/>
    <w:link w:val="BulletChar"/>
    <w:qFormat/>
    <w:rsid w:val="00BB207D"/>
    <w:pPr>
      <w:numPr>
        <w:numId w:val="6"/>
      </w:numPr>
    </w:pPr>
  </w:style>
  <w:style w:type="paragraph" w:styleId="Caption">
    <w:name w:val="caption"/>
    <w:basedOn w:val="Normal"/>
    <w:next w:val="Normal"/>
    <w:rsid w:val="00BB207D"/>
    <w:rPr>
      <w:b/>
      <w:bCs/>
    </w:rPr>
  </w:style>
  <w:style w:type="paragraph" w:customStyle="1" w:styleId="ChartandTableFootnote">
    <w:name w:val="Chart and Table Footnote"/>
    <w:basedOn w:val="HeadingBase"/>
    <w:next w:val="Normal"/>
    <w:rsid w:val="000E149B"/>
    <w:pPr>
      <w:keepNext w:val="0"/>
      <w:tabs>
        <w:tab w:val="left" w:pos="709"/>
      </w:tabs>
      <w:ind w:left="709" w:hanging="709"/>
      <w:jc w:val="both"/>
    </w:pPr>
    <w:rPr>
      <w:color w:val="000000"/>
      <w:sz w:val="16"/>
    </w:rPr>
  </w:style>
  <w:style w:type="paragraph" w:customStyle="1" w:styleId="ChartandTableFootnoteAlpha">
    <w:name w:val="Chart and Table Footnote Alpha"/>
    <w:basedOn w:val="HeadingBase"/>
    <w:next w:val="Normal"/>
    <w:link w:val="ChartandTableFootnoteAlphaChar"/>
    <w:qFormat/>
    <w:rsid w:val="00BB207D"/>
    <w:pPr>
      <w:keepNext w:val="0"/>
      <w:tabs>
        <w:tab w:val="num" w:pos="284"/>
      </w:tabs>
      <w:ind w:left="284" w:hanging="284"/>
      <w:jc w:val="both"/>
    </w:pPr>
    <w:rPr>
      <w:color w:val="000000"/>
      <w:sz w:val="16"/>
    </w:rPr>
  </w:style>
  <w:style w:type="paragraph" w:customStyle="1" w:styleId="ChartandTableFootnoteSmall">
    <w:name w:val="Chart and Table Footnote Small"/>
    <w:basedOn w:val="HeadingBase"/>
    <w:next w:val="Normal"/>
    <w:rsid w:val="00BB207D"/>
    <w:pPr>
      <w:keepNext w:val="0"/>
      <w:tabs>
        <w:tab w:val="left" w:pos="284"/>
      </w:tabs>
      <w:jc w:val="both"/>
    </w:pPr>
    <w:rPr>
      <w:color w:val="000000"/>
      <w:sz w:val="15"/>
    </w:rPr>
  </w:style>
  <w:style w:type="paragraph" w:customStyle="1" w:styleId="ChartGraphic">
    <w:name w:val="Chart Graphic"/>
    <w:basedOn w:val="HeadingBase"/>
    <w:rsid w:val="00BB207D"/>
    <w:pPr>
      <w:jc w:val="center"/>
    </w:pPr>
    <w:rPr>
      <w:sz w:val="20"/>
    </w:rPr>
  </w:style>
  <w:style w:type="paragraph" w:customStyle="1" w:styleId="ChartHeading">
    <w:name w:val="Chart Heading"/>
    <w:basedOn w:val="HeadingBase"/>
    <w:next w:val="ChartGraphic"/>
    <w:link w:val="ChartHeadingChar"/>
    <w:qFormat/>
    <w:rsid w:val="00BB207D"/>
    <w:pPr>
      <w:spacing w:before="120" w:after="20"/>
      <w:jc w:val="center"/>
    </w:pPr>
    <w:rPr>
      <w:b/>
      <w:sz w:val="20"/>
    </w:rPr>
  </w:style>
  <w:style w:type="paragraph" w:customStyle="1" w:styleId="ChartMainHeading">
    <w:name w:val="Chart Main Heading"/>
    <w:basedOn w:val="Normal"/>
    <w:next w:val="ChartGraphic"/>
    <w:rsid w:val="00BB207D"/>
    <w:pPr>
      <w:keepNext/>
      <w:spacing w:before="120" w:after="20" w:line="240" w:lineRule="auto"/>
      <w:jc w:val="center"/>
    </w:pPr>
    <w:rPr>
      <w:rFonts w:ascii="Arial Bold" w:hAnsi="Arial Bold"/>
      <w:b/>
    </w:rPr>
  </w:style>
  <w:style w:type="paragraph" w:customStyle="1" w:styleId="ChartSecondHeading">
    <w:name w:val="Chart Second Heading"/>
    <w:basedOn w:val="HeadingBase"/>
    <w:next w:val="ChartGraphic"/>
    <w:rsid w:val="00BB207D"/>
    <w:pPr>
      <w:spacing w:before="60"/>
      <w:jc w:val="center"/>
    </w:pPr>
    <w:rPr>
      <w:sz w:val="20"/>
    </w:rPr>
  </w:style>
  <w:style w:type="character" w:styleId="CommentReference">
    <w:name w:val="annotation reference"/>
    <w:basedOn w:val="DefaultParagraphFont"/>
    <w:uiPriority w:val="99"/>
    <w:rsid w:val="00BB207D"/>
    <w:rPr>
      <w:sz w:val="16"/>
      <w:szCs w:val="16"/>
    </w:rPr>
  </w:style>
  <w:style w:type="paragraph" w:styleId="CommentText">
    <w:name w:val="annotation text"/>
    <w:basedOn w:val="Normal"/>
    <w:link w:val="CommentTextChar"/>
    <w:uiPriority w:val="99"/>
    <w:rsid w:val="00BB207D"/>
  </w:style>
  <w:style w:type="character" w:customStyle="1" w:styleId="CommentTextChar">
    <w:name w:val="Comment Text Char"/>
    <w:basedOn w:val="DefaultParagraphFont"/>
    <w:link w:val="CommentText"/>
    <w:uiPriority w:val="99"/>
    <w:rsid w:val="00BB207D"/>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semiHidden/>
    <w:rsid w:val="00BB207D"/>
    <w:rPr>
      <w:b/>
      <w:bCs/>
    </w:rPr>
  </w:style>
  <w:style w:type="character" w:customStyle="1" w:styleId="CommentSubjectChar">
    <w:name w:val="Comment Subject Char"/>
    <w:basedOn w:val="CommentTextChar"/>
    <w:link w:val="CommentSubject"/>
    <w:semiHidden/>
    <w:rsid w:val="00BB207D"/>
    <w:rPr>
      <w:rFonts w:ascii="Book Antiqua" w:eastAsia="Times New Roman" w:hAnsi="Book Antiqua" w:cs="Times New Roman"/>
      <w:b/>
      <w:bCs/>
      <w:sz w:val="20"/>
      <w:szCs w:val="20"/>
      <w:lang w:eastAsia="en-AU"/>
    </w:rPr>
  </w:style>
  <w:style w:type="paragraph" w:customStyle="1" w:styleId="ContentsHeading">
    <w:name w:val="Contents Heading"/>
    <w:basedOn w:val="HeadingBase"/>
    <w:next w:val="Normal"/>
    <w:rsid w:val="008253FB"/>
    <w:pPr>
      <w:spacing w:after="720"/>
      <w:jc w:val="center"/>
    </w:pPr>
    <w:rPr>
      <w:rFonts w:ascii="Arial Bold" w:hAnsi="Arial Bold"/>
      <w:b/>
      <w:sz w:val="36"/>
    </w:rPr>
  </w:style>
  <w:style w:type="paragraph" w:customStyle="1" w:styleId="ContentsnoToC">
    <w:name w:val="Contents no ToC"/>
    <w:basedOn w:val="ContentsHeading"/>
    <w:rsid w:val="00BB207D"/>
  </w:style>
  <w:style w:type="paragraph" w:customStyle="1" w:styleId="Dash">
    <w:name w:val="Dash"/>
    <w:basedOn w:val="Normal"/>
    <w:qFormat/>
    <w:rsid w:val="00BB207D"/>
    <w:pPr>
      <w:numPr>
        <w:ilvl w:val="1"/>
        <w:numId w:val="6"/>
      </w:numPr>
      <w:tabs>
        <w:tab w:val="left" w:pos="567"/>
      </w:tabs>
    </w:pPr>
  </w:style>
  <w:style w:type="paragraph" w:styleId="DocumentMap">
    <w:name w:val="Document Map"/>
    <w:basedOn w:val="Normal"/>
    <w:link w:val="DocumentMapChar"/>
    <w:semiHidden/>
    <w:rsid w:val="00BB20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BB207D"/>
    <w:rPr>
      <w:rFonts w:ascii="Tahoma" w:eastAsia="Times New Roman" w:hAnsi="Tahoma" w:cs="Tahoma"/>
      <w:sz w:val="20"/>
      <w:szCs w:val="20"/>
      <w:shd w:val="clear" w:color="auto" w:fill="000080"/>
      <w:lang w:eastAsia="en-AU"/>
    </w:rPr>
  </w:style>
  <w:style w:type="paragraph" w:customStyle="1" w:styleId="DoubleDot">
    <w:name w:val="Double Dot"/>
    <w:basedOn w:val="Normal"/>
    <w:qFormat/>
    <w:rsid w:val="00BB207D"/>
    <w:pPr>
      <w:numPr>
        <w:ilvl w:val="2"/>
        <w:numId w:val="6"/>
      </w:numPr>
      <w:tabs>
        <w:tab w:val="clear" w:pos="850"/>
        <w:tab w:val="left" w:pos="851"/>
      </w:tabs>
    </w:pPr>
  </w:style>
  <w:style w:type="character" w:styleId="EndnoteReference">
    <w:name w:val="endnote reference"/>
    <w:basedOn w:val="DefaultParagraphFont"/>
    <w:unhideWhenUsed/>
    <w:rsid w:val="00BB207D"/>
    <w:rPr>
      <w:vertAlign w:val="superscript"/>
    </w:rPr>
  </w:style>
  <w:style w:type="paragraph" w:styleId="EndnoteText">
    <w:name w:val="endnote text"/>
    <w:basedOn w:val="Normal"/>
    <w:link w:val="EndnoteTextChar"/>
    <w:unhideWhenUsed/>
    <w:rsid w:val="00BB207D"/>
  </w:style>
  <w:style w:type="character" w:customStyle="1" w:styleId="EndnoteTextChar">
    <w:name w:val="Endnote Text Char"/>
    <w:basedOn w:val="DefaultParagraphFont"/>
    <w:link w:val="EndnoteText"/>
    <w:rsid w:val="00BB207D"/>
    <w:rPr>
      <w:rFonts w:ascii="Book Antiqua" w:eastAsia="Times New Roman" w:hAnsi="Book Antiqua" w:cs="Times New Roman"/>
      <w:sz w:val="20"/>
      <w:szCs w:val="20"/>
      <w:lang w:eastAsia="en-AU"/>
    </w:rPr>
  </w:style>
  <w:style w:type="paragraph" w:customStyle="1" w:styleId="FigureHeading">
    <w:name w:val="Figure Heading"/>
    <w:basedOn w:val="HeadingBase"/>
    <w:next w:val="ChartGraphic"/>
    <w:rsid w:val="00BB207D"/>
    <w:pPr>
      <w:spacing w:before="120" w:after="20"/>
    </w:pPr>
    <w:rPr>
      <w:b/>
      <w:sz w:val="20"/>
    </w:rPr>
  </w:style>
  <w:style w:type="paragraph" w:customStyle="1" w:styleId="FooterBase">
    <w:name w:val="Footer Base"/>
    <w:rsid w:val="00BB207D"/>
    <w:pPr>
      <w:spacing w:after="0" w:line="240" w:lineRule="auto"/>
      <w:jc w:val="center"/>
    </w:pPr>
    <w:rPr>
      <w:rFonts w:ascii="Arial" w:eastAsia="Times New Roman" w:hAnsi="Arial" w:cs="Times New Roman"/>
      <w:sz w:val="20"/>
      <w:szCs w:val="20"/>
      <w:lang w:eastAsia="en-AU"/>
    </w:rPr>
  </w:style>
  <w:style w:type="paragraph" w:customStyle="1" w:styleId="FooterEven">
    <w:name w:val="Footer Even"/>
    <w:basedOn w:val="Footer"/>
    <w:rsid w:val="0011175D"/>
    <w:pPr>
      <w:pBdr>
        <w:top w:val="single" w:sz="4" w:space="10" w:color="0364C3" w:themeColor="accent1"/>
      </w:pBdr>
      <w:jc w:val="left"/>
    </w:pPr>
    <w:rPr>
      <w:sz w:val="18"/>
    </w:rPr>
  </w:style>
  <w:style w:type="paragraph" w:customStyle="1" w:styleId="FooterOdd">
    <w:name w:val="Footer Odd"/>
    <w:basedOn w:val="Footer"/>
    <w:rsid w:val="0011175D"/>
    <w:pPr>
      <w:pBdr>
        <w:top w:val="single" w:sz="4" w:space="10" w:color="0364C3" w:themeColor="accent1"/>
      </w:pBdr>
      <w:jc w:val="right"/>
    </w:pPr>
    <w:rPr>
      <w:sz w:val="18"/>
    </w:rPr>
  </w:style>
  <w:style w:type="character" w:styleId="FootnoteReference">
    <w:name w:val="footnote reference"/>
    <w:basedOn w:val="DefaultParagraphFont"/>
    <w:rsid w:val="00BB207D"/>
    <w:rPr>
      <w:vertAlign w:val="superscript"/>
    </w:rPr>
  </w:style>
  <w:style w:type="paragraph" w:styleId="FootnoteText">
    <w:name w:val="footnote text"/>
    <w:basedOn w:val="Normal"/>
    <w:link w:val="FootnoteTextChar"/>
    <w:rsid w:val="001D33D6"/>
    <w:pPr>
      <w:tabs>
        <w:tab w:val="left" w:pos="284"/>
      </w:tabs>
      <w:spacing w:after="120" w:line="240" w:lineRule="auto"/>
      <w:ind w:left="284" w:hanging="284"/>
      <w:contextualSpacing/>
    </w:pPr>
    <w:rPr>
      <w:sz w:val="18"/>
    </w:rPr>
  </w:style>
  <w:style w:type="character" w:customStyle="1" w:styleId="FootnoteTextChar">
    <w:name w:val="Footnote Text Char"/>
    <w:basedOn w:val="DefaultParagraphFont"/>
    <w:link w:val="FootnoteText"/>
    <w:rsid w:val="001D33D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BB207D"/>
    <w:rPr>
      <w:rFonts w:ascii="Book Antiqua" w:hAnsi="Book Antiqua"/>
      <w:i/>
      <w:dstrike w:val="0"/>
      <w:color w:val="auto"/>
      <w:sz w:val="20"/>
      <w:vertAlign w:val="baseline"/>
    </w:rPr>
  </w:style>
  <w:style w:type="paragraph" w:customStyle="1" w:styleId="HeaderBase">
    <w:name w:val="Header Base"/>
    <w:rsid w:val="0011175D"/>
    <w:pPr>
      <w:spacing w:after="0" w:line="240" w:lineRule="auto"/>
    </w:pPr>
    <w:rPr>
      <w:rFonts w:ascii="Arial" w:eastAsia="Times New Roman" w:hAnsi="Arial" w:cs="Times New Roman"/>
      <w:sz w:val="18"/>
      <w:szCs w:val="20"/>
      <w:lang w:eastAsia="en-AU"/>
    </w:rPr>
  </w:style>
  <w:style w:type="paragraph" w:customStyle="1" w:styleId="HeaderEven">
    <w:name w:val="Header Even"/>
    <w:basedOn w:val="HeaderBase"/>
    <w:rsid w:val="00BB207D"/>
  </w:style>
  <w:style w:type="paragraph" w:customStyle="1" w:styleId="HeaderOdd">
    <w:name w:val="Header Odd"/>
    <w:basedOn w:val="HeaderBase"/>
    <w:rsid w:val="00BB207D"/>
    <w:pPr>
      <w:jc w:val="right"/>
    </w:pPr>
  </w:style>
  <w:style w:type="character" w:customStyle="1" w:styleId="Heading1Char">
    <w:name w:val="Heading 1 Char"/>
    <w:basedOn w:val="DefaultParagraphFont"/>
    <w:link w:val="Heading1"/>
    <w:rsid w:val="0079127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79127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BB207D"/>
    <w:rPr>
      <w:rFonts w:ascii="Arial Bold" w:eastAsia="Times New Roman" w:hAnsi="Arial Bold" w:cs="Times New Roman"/>
      <w:b/>
      <w:szCs w:val="20"/>
      <w:lang w:eastAsia="en-AU"/>
    </w:rPr>
  </w:style>
  <w:style w:type="paragraph" w:customStyle="1" w:styleId="Heading3noTOC">
    <w:name w:val="Heading 3 no TOC"/>
    <w:basedOn w:val="Heading3"/>
    <w:rsid w:val="00BB207D"/>
    <w:pPr>
      <w:outlineLvl w:val="9"/>
    </w:pPr>
  </w:style>
  <w:style w:type="character" w:customStyle="1" w:styleId="Heading4Char">
    <w:name w:val="Heading 4 Char"/>
    <w:basedOn w:val="DefaultParagraphFont"/>
    <w:link w:val="Heading4"/>
    <w:rsid w:val="00BB207D"/>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1D33D6"/>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BB207D"/>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BB207D"/>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BB207D"/>
    <w:rPr>
      <w:rFonts w:ascii="Times New Roman" w:hAnsi="Times New Roman"/>
      <w:vanish/>
      <w:sz w:val="16"/>
    </w:rPr>
  </w:style>
  <w:style w:type="character" w:styleId="Hyperlink">
    <w:name w:val="Hyperlink"/>
    <w:basedOn w:val="DefaultParagraphFont"/>
    <w:uiPriority w:val="99"/>
    <w:unhideWhenUsed/>
    <w:rsid w:val="00164C3B"/>
    <w:rPr>
      <w:color w:val="auto"/>
      <w:u w:val="single"/>
    </w:rPr>
  </w:style>
  <w:style w:type="paragraph" w:styleId="Index1">
    <w:name w:val="index 1"/>
    <w:basedOn w:val="Normal"/>
    <w:next w:val="Normal"/>
    <w:rsid w:val="00BB207D"/>
    <w:pPr>
      <w:ind w:left="200" w:hanging="200"/>
    </w:pPr>
  </w:style>
  <w:style w:type="paragraph" w:styleId="Index2">
    <w:name w:val="index 2"/>
    <w:basedOn w:val="Normal"/>
    <w:next w:val="Normal"/>
    <w:rsid w:val="00BB207D"/>
    <w:pPr>
      <w:ind w:left="400" w:hanging="200"/>
    </w:pPr>
  </w:style>
  <w:style w:type="paragraph" w:styleId="Index3">
    <w:name w:val="index 3"/>
    <w:basedOn w:val="Normal"/>
    <w:next w:val="Normal"/>
    <w:rsid w:val="00BB207D"/>
    <w:pPr>
      <w:ind w:left="600" w:hanging="200"/>
    </w:pPr>
  </w:style>
  <w:style w:type="paragraph" w:styleId="Index4">
    <w:name w:val="index 4"/>
    <w:basedOn w:val="Normal"/>
    <w:next w:val="Normal"/>
    <w:autoRedefine/>
    <w:semiHidden/>
    <w:rsid w:val="00BB207D"/>
    <w:pPr>
      <w:ind w:left="800" w:hanging="200"/>
    </w:pPr>
  </w:style>
  <w:style w:type="paragraph" w:styleId="Index5">
    <w:name w:val="index 5"/>
    <w:basedOn w:val="Normal"/>
    <w:next w:val="Normal"/>
    <w:autoRedefine/>
    <w:semiHidden/>
    <w:rsid w:val="00BB207D"/>
    <w:pPr>
      <w:ind w:left="1000" w:hanging="200"/>
    </w:pPr>
  </w:style>
  <w:style w:type="paragraph" w:styleId="Index6">
    <w:name w:val="index 6"/>
    <w:basedOn w:val="Normal"/>
    <w:next w:val="Normal"/>
    <w:autoRedefine/>
    <w:semiHidden/>
    <w:rsid w:val="00BB207D"/>
    <w:pPr>
      <w:ind w:left="1200" w:hanging="200"/>
    </w:pPr>
  </w:style>
  <w:style w:type="paragraph" w:styleId="Index7">
    <w:name w:val="index 7"/>
    <w:basedOn w:val="Normal"/>
    <w:next w:val="Normal"/>
    <w:autoRedefine/>
    <w:semiHidden/>
    <w:rsid w:val="00BB207D"/>
    <w:pPr>
      <w:ind w:left="1400" w:hanging="200"/>
    </w:pPr>
  </w:style>
  <w:style w:type="paragraph" w:styleId="Index8">
    <w:name w:val="index 8"/>
    <w:basedOn w:val="Normal"/>
    <w:next w:val="Normal"/>
    <w:autoRedefine/>
    <w:semiHidden/>
    <w:rsid w:val="00BB207D"/>
    <w:pPr>
      <w:ind w:left="1600" w:hanging="200"/>
    </w:pPr>
  </w:style>
  <w:style w:type="paragraph" w:styleId="Index9">
    <w:name w:val="index 9"/>
    <w:basedOn w:val="Normal"/>
    <w:next w:val="Normal"/>
    <w:autoRedefine/>
    <w:semiHidden/>
    <w:rsid w:val="00BB207D"/>
    <w:pPr>
      <w:ind w:left="1800" w:hanging="200"/>
    </w:pPr>
  </w:style>
  <w:style w:type="paragraph" w:styleId="IndexHeading">
    <w:name w:val="index heading"/>
    <w:basedOn w:val="Normal"/>
    <w:next w:val="Index1"/>
    <w:rsid w:val="00BB207D"/>
    <w:rPr>
      <w:rFonts w:ascii="Arial Bold" w:hAnsi="Arial Bold" w:cs="Arial"/>
      <w:b/>
      <w:bCs/>
      <w:color w:val="002B54"/>
    </w:rPr>
  </w:style>
  <w:style w:type="paragraph" w:styleId="MacroText">
    <w:name w:val="macro"/>
    <w:link w:val="MacroTextChar"/>
    <w:unhideWhenUsed/>
    <w:rsid w:val="00BB207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B207D"/>
    <w:rPr>
      <w:rFonts w:ascii="Courier New" w:eastAsia="Times New Roman" w:hAnsi="Courier New" w:cs="Courier New"/>
      <w:sz w:val="20"/>
      <w:szCs w:val="20"/>
      <w:lang w:eastAsia="en-AU"/>
    </w:rPr>
  </w:style>
  <w:style w:type="paragraph" w:styleId="NormalIndent">
    <w:name w:val="Normal Indent"/>
    <w:basedOn w:val="Normal"/>
    <w:rsid w:val="00BB207D"/>
    <w:pPr>
      <w:ind w:left="567"/>
    </w:pPr>
  </w:style>
  <w:style w:type="paragraph" w:customStyle="1" w:styleId="NoteTableHeading">
    <w:name w:val="Note Table Heading"/>
    <w:basedOn w:val="HeadingBase"/>
    <w:next w:val="Normal"/>
    <w:rsid w:val="00BB207D"/>
    <w:pPr>
      <w:spacing w:before="240"/>
    </w:pPr>
    <w:rPr>
      <w:b/>
      <w:sz w:val="20"/>
    </w:rPr>
  </w:style>
  <w:style w:type="paragraph" w:customStyle="1" w:styleId="OverviewParagraph">
    <w:name w:val="Overview Paragraph"/>
    <w:basedOn w:val="Normal"/>
    <w:rsid w:val="00BB207D"/>
    <w:pPr>
      <w:spacing w:before="120" w:after="120" w:line="240" w:lineRule="auto"/>
    </w:pPr>
  </w:style>
  <w:style w:type="character" w:styleId="PageNumber">
    <w:name w:val="page number"/>
    <w:basedOn w:val="DefaultParagraphFont"/>
    <w:rsid w:val="00BB207D"/>
    <w:rPr>
      <w:rFonts w:ascii="Arial" w:hAnsi="Arial" w:cs="Arial"/>
    </w:rPr>
  </w:style>
  <w:style w:type="paragraph" w:customStyle="1" w:styleId="SingleParagraph">
    <w:name w:val="Single Paragraph"/>
    <w:basedOn w:val="Normal"/>
    <w:rsid w:val="00BB207D"/>
    <w:pPr>
      <w:spacing w:after="0"/>
    </w:pPr>
  </w:style>
  <w:style w:type="paragraph" w:customStyle="1" w:styleId="Source">
    <w:name w:val="Source"/>
    <w:basedOn w:val="Normal"/>
    <w:rsid w:val="000E149B"/>
    <w:pPr>
      <w:tabs>
        <w:tab w:val="left" w:pos="709"/>
      </w:tabs>
      <w:spacing w:line="240" w:lineRule="auto"/>
      <w:ind w:left="709" w:hanging="709"/>
    </w:pPr>
    <w:rPr>
      <w:rFonts w:ascii="Arial" w:hAnsi="Arial"/>
      <w:sz w:val="16"/>
    </w:rPr>
  </w:style>
  <w:style w:type="paragraph" w:customStyle="1" w:styleId="SourceBox">
    <w:name w:val="Source Box"/>
    <w:basedOn w:val="Source"/>
    <w:rsid w:val="00BB207D"/>
    <w:pPr>
      <w:spacing w:after="120"/>
    </w:pPr>
  </w:style>
  <w:style w:type="paragraph" w:customStyle="1" w:styleId="TableColumnHeadingBase">
    <w:name w:val="Table Column Heading Base"/>
    <w:basedOn w:val="Normal"/>
    <w:rsid w:val="00BB207D"/>
    <w:pPr>
      <w:spacing w:before="40" w:after="40" w:line="240" w:lineRule="auto"/>
      <w:jc w:val="left"/>
    </w:pPr>
    <w:rPr>
      <w:rFonts w:ascii="Arial Bold" w:hAnsi="Arial Bold"/>
      <w:b/>
      <w:sz w:val="16"/>
    </w:rPr>
  </w:style>
  <w:style w:type="paragraph" w:customStyle="1" w:styleId="TableColumnHeadingCentred">
    <w:name w:val="Table Column Heading Centred"/>
    <w:basedOn w:val="TableColumnHeadingBase"/>
    <w:next w:val="Normal"/>
    <w:rsid w:val="00BB207D"/>
    <w:pPr>
      <w:jc w:val="center"/>
    </w:pPr>
  </w:style>
  <w:style w:type="paragraph" w:customStyle="1" w:styleId="TableColumnHeadingLeft">
    <w:name w:val="Table Column Heading Left"/>
    <w:basedOn w:val="TableColumnHeadingBase"/>
    <w:next w:val="Normal"/>
    <w:rsid w:val="00BB207D"/>
  </w:style>
  <w:style w:type="paragraph" w:customStyle="1" w:styleId="TableColumnHeadingRight">
    <w:name w:val="Table Column Heading Right"/>
    <w:basedOn w:val="TableColumnHeadingBase"/>
    <w:next w:val="Normal"/>
    <w:rsid w:val="00BB207D"/>
    <w:pPr>
      <w:jc w:val="right"/>
    </w:pPr>
  </w:style>
  <w:style w:type="paragraph" w:customStyle="1" w:styleId="TableColumnHeadingS118pt">
    <w:name w:val="Table Column Heading S11 8 pt"/>
    <w:basedOn w:val="TableColumnHeadingBase"/>
    <w:rsid w:val="00BB207D"/>
    <w:pPr>
      <w:spacing w:after="0"/>
    </w:pPr>
    <w:rPr>
      <w:rFonts w:ascii="Arial" w:hAnsi="Arial"/>
    </w:rPr>
  </w:style>
  <w:style w:type="paragraph" w:customStyle="1" w:styleId="TableColumnHeadingS119pt">
    <w:name w:val="Table Column Heading S11 9 pt"/>
    <w:basedOn w:val="TableColumnHeadingBase"/>
    <w:rsid w:val="00BB207D"/>
    <w:pPr>
      <w:spacing w:before="60" w:after="60"/>
    </w:pPr>
    <w:rPr>
      <w:rFonts w:ascii="Arial" w:hAnsi="Arial"/>
      <w:sz w:val="18"/>
    </w:rPr>
  </w:style>
  <w:style w:type="paragraph" w:customStyle="1" w:styleId="TableGraphic">
    <w:name w:val="Table Graphic"/>
    <w:basedOn w:val="Normal"/>
    <w:next w:val="Normal"/>
    <w:rsid w:val="00BB207D"/>
    <w:pPr>
      <w:spacing w:after="0" w:line="240" w:lineRule="auto"/>
      <w:ind w:right="-113"/>
    </w:pPr>
  </w:style>
  <w:style w:type="table" w:styleId="TableGrid">
    <w:name w:val="Table Grid"/>
    <w:basedOn w:val="TableNormal"/>
    <w:rsid w:val="00BB207D"/>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BB207D"/>
    <w:pPr>
      <w:spacing w:before="120" w:after="20"/>
    </w:pPr>
    <w:rPr>
      <w:b/>
      <w:sz w:val="20"/>
    </w:rPr>
  </w:style>
  <w:style w:type="paragraph" w:customStyle="1" w:styleId="TableHeadingcontinued">
    <w:name w:val="Table Heading continued"/>
    <w:basedOn w:val="HeadingBase"/>
    <w:next w:val="TableGraphic"/>
    <w:rsid w:val="00BB207D"/>
    <w:pPr>
      <w:spacing w:before="120" w:after="20"/>
    </w:pPr>
    <w:rPr>
      <w:rFonts w:ascii="Arial Bold" w:hAnsi="Arial Bold"/>
      <w:b/>
      <w:sz w:val="20"/>
    </w:rPr>
  </w:style>
  <w:style w:type="paragraph" w:styleId="TableofAuthorities">
    <w:name w:val="table of authorities"/>
    <w:basedOn w:val="Normal"/>
    <w:next w:val="Normal"/>
    <w:rsid w:val="00BB207D"/>
    <w:pPr>
      <w:ind w:left="200" w:hanging="200"/>
    </w:pPr>
  </w:style>
  <w:style w:type="paragraph" w:styleId="TableofFigures">
    <w:name w:val="table of figures"/>
    <w:basedOn w:val="Normal"/>
    <w:next w:val="Normal"/>
    <w:rsid w:val="00BB207D"/>
  </w:style>
  <w:style w:type="paragraph" w:customStyle="1" w:styleId="TableTextBase">
    <w:name w:val="Table Text Base"/>
    <w:basedOn w:val="Normal"/>
    <w:rsid w:val="00BB207D"/>
    <w:pPr>
      <w:spacing w:before="20" w:after="20" w:line="240" w:lineRule="auto"/>
      <w:jc w:val="left"/>
    </w:pPr>
    <w:rPr>
      <w:rFonts w:ascii="Arial" w:hAnsi="Arial"/>
      <w:sz w:val="16"/>
    </w:rPr>
  </w:style>
  <w:style w:type="paragraph" w:customStyle="1" w:styleId="TableTextCentred">
    <w:name w:val="Table Text Centred"/>
    <w:basedOn w:val="TableTextBase"/>
    <w:rsid w:val="00BB207D"/>
    <w:pPr>
      <w:jc w:val="center"/>
    </w:pPr>
  </w:style>
  <w:style w:type="paragraph" w:customStyle="1" w:styleId="TableTextIndented">
    <w:name w:val="Table Text Indented"/>
    <w:basedOn w:val="TableTextBase"/>
    <w:rsid w:val="00BB207D"/>
    <w:pPr>
      <w:ind w:left="284"/>
    </w:pPr>
  </w:style>
  <w:style w:type="paragraph" w:customStyle="1" w:styleId="TableTextLeft">
    <w:name w:val="Table Text Left"/>
    <w:basedOn w:val="TableTextBase"/>
    <w:rsid w:val="00BB207D"/>
  </w:style>
  <w:style w:type="paragraph" w:customStyle="1" w:styleId="TableTextRight">
    <w:name w:val="Table Text Right"/>
    <w:basedOn w:val="TableTextBase"/>
    <w:rsid w:val="00BB207D"/>
    <w:pPr>
      <w:jc w:val="right"/>
    </w:pPr>
  </w:style>
  <w:style w:type="paragraph" w:styleId="TOAHeading">
    <w:name w:val="toa heading"/>
    <w:basedOn w:val="Normal"/>
    <w:next w:val="Normal"/>
    <w:rsid w:val="00BB207D"/>
    <w:pPr>
      <w:spacing w:before="120"/>
    </w:pPr>
    <w:rPr>
      <w:rFonts w:ascii="Arial" w:hAnsi="Arial" w:cs="Arial"/>
      <w:b/>
      <w:bCs/>
      <w:sz w:val="24"/>
      <w:szCs w:val="24"/>
    </w:rPr>
  </w:style>
  <w:style w:type="paragraph" w:styleId="TOC1">
    <w:name w:val="toc 1"/>
    <w:basedOn w:val="HeaderBase"/>
    <w:next w:val="Normal"/>
    <w:uiPriority w:val="39"/>
    <w:rsid w:val="006C3E1F"/>
    <w:pPr>
      <w:tabs>
        <w:tab w:val="right" w:leader="dot" w:pos="7700"/>
      </w:tabs>
      <w:spacing w:before="240"/>
      <w:ind w:right="851"/>
    </w:pPr>
    <w:rPr>
      <w:rFonts w:ascii="Arial Bold" w:hAnsi="Arial Bold"/>
      <w:b/>
      <w:sz w:val="22"/>
    </w:rPr>
  </w:style>
  <w:style w:type="paragraph" w:styleId="TOC2">
    <w:name w:val="toc 2"/>
    <w:basedOn w:val="HeadingBase"/>
    <w:next w:val="Normal"/>
    <w:uiPriority w:val="39"/>
    <w:rsid w:val="00BB679B"/>
    <w:pPr>
      <w:tabs>
        <w:tab w:val="right" w:leader="dot" w:pos="7700"/>
      </w:tabs>
      <w:spacing w:before="40"/>
      <w:ind w:right="851"/>
    </w:pPr>
    <w:rPr>
      <w:sz w:val="20"/>
    </w:rPr>
  </w:style>
  <w:style w:type="paragraph" w:styleId="TOC3">
    <w:name w:val="toc 3"/>
    <w:basedOn w:val="HeadingBase"/>
    <w:next w:val="Normal"/>
    <w:uiPriority w:val="39"/>
    <w:unhideWhenUsed/>
    <w:rsid w:val="00BB207D"/>
    <w:pPr>
      <w:tabs>
        <w:tab w:val="right" w:leader="dot" w:pos="7700"/>
      </w:tabs>
      <w:spacing w:before="40"/>
      <w:ind w:right="851"/>
    </w:pPr>
    <w:rPr>
      <w:sz w:val="20"/>
    </w:rPr>
  </w:style>
  <w:style w:type="paragraph" w:styleId="TOC4">
    <w:name w:val="toc 4"/>
    <w:basedOn w:val="HeadingBase"/>
    <w:next w:val="Normal"/>
    <w:uiPriority w:val="2"/>
    <w:unhideWhenUsed/>
    <w:rsid w:val="00BB207D"/>
    <w:pPr>
      <w:tabs>
        <w:tab w:val="right" w:leader="dot" w:pos="7700"/>
      </w:tabs>
      <w:spacing w:before="40"/>
      <w:ind w:right="851"/>
    </w:pPr>
    <w:rPr>
      <w:sz w:val="20"/>
    </w:rPr>
  </w:style>
  <w:style w:type="paragraph" w:styleId="TOC5">
    <w:name w:val="toc 5"/>
    <w:basedOn w:val="Normal"/>
    <w:next w:val="Normal"/>
    <w:autoRedefine/>
    <w:uiPriority w:val="2"/>
    <w:semiHidden/>
    <w:rsid w:val="00BB207D"/>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BB207D"/>
    <w:pPr>
      <w:tabs>
        <w:tab w:val="left" w:pos="851"/>
      </w:tabs>
      <w:ind w:left="851" w:hanging="851"/>
    </w:pPr>
    <w:rPr>
      <w:color w:val="000000"/>
    </w:rPr>
  </w:style>
  <w:style w:type="paragraph" w:styleId="TOC7">
    <w:name w:val="toc 7"/>
    <w:basedOn w:val="Normal"/>
    <w:next w:val="Normal"/>
    <w:autoRedefine/>
    <w:uiPriority w:val="2"/>
    <w:semiHidden/>
    <w:rsid w:val="00BB207D"/>
    <w:pPr>
      <w:ind w:left="1200"/>
    </w:pPr>
  </w:style>
  <w:style w:type="paragraph" w:styleId="TOC8">
    <w:name w:val="toc 8"/>
    <w:basedOn w:val="Normal"/>
    <w:next w:val="Normal"/>
    <w:autoRedefine/>
    <w:uiPriority w:val="2"/>
    <w:semiHidden/>
    <w:rsid w:val="00BB207D"/>
    <w:pPr>
      <w:ind w:left="1400"/>
    </w:pPr>
  </w:style>
  <w:style w:type="paragraph" w:styleId="TOC9">
    <w:name w:val="toc 9"/>
    <w:basedOn w:val="Normal"/>
    <w:next w:val="Normal"/>
    <w:autoRedefine/>
    <w:uiPriority w:val="2"/>
    <w:semiHidden/>
    <w:rsid w:val="00BB207D"/>
    <w:pPr>
      <w:ind w:left="1600"/>
    </w:pPr>
  </w:style>
  <w:style w:type="paragraph" w:customStyle="1" w:styleId="TPHeading1">
    <w:name w:val="TP Heading 1"/>
    <w:basedOn w:val="HeadingBase"/>
    <w:semiHidden/>
    <w:rsid w:val="00BB207D"/>
    <w:pPr>
      <w:spacing w:before="60" w:after="60"/>
      <w:ind w:left="1134"/>
    </w:pPr>
    <w:rPr>
      <w:rFonts w:ascii="Arial Bold" w:hAnsi="Arial Bold"/>
      <w:b/>
      <w:caps/>
      <w:spacing w:val="-10"/>
      <w:sz w:val="28"/>
    </w:rPr>
  </w:style>
  <w:style w:type="paragraph" w:customStyle="1" w:styleId="TPHeading2">
    <w:name w:val="TP Heading 2"/>
    <w:basedOn w:val="Normal"/>
    <w:rsid w:val="00164C3B"/>
    <w:pPr>
      <w:keepNext/>
      <w:spacing w:after="0" w:line="240" w:lineRule="auto"/>
      <w:jc w:val="center"/>
    </w:pPr>
    <w:rPr>
      <w:rFonts w:ascii="Work Sans" w:hAnsi="Work Sans"/>
      <w:spacing w:val="-10"/>
      <w:sz w:val="36"/>
      <w:szCs w:val="36"/>
    </w:rPr>
  </w:style>
  <w:style w:type="paragraph" w:customStyle="1" w:styleId="TPHeading3">
    <w:name w:val="TP Heading 3"/>
    <w:basedOn w:val="HeadingBase"/>
    <w:rsid w:val="00BB207D"/>
    <w:pPr>
      <w:ind w:left="1134"/>
    </w:pPr>
    <w:rPr>
      <w:caps/>
      <w:spacing w:val="-10"/>
    </w:rPr>
  </w:style>
  <w:style w:type="paragraph" w:customStyle="1" w:styleId="TPHeading3bold">
    <w:name w:val="TP Heading 3 bold"/>
    <w:basedOn w:val="TPHeading3"/>
    <w:semiHidden/>
    <w:rsid w:val="00BB207D"/>
    <w:rPr>
      <w:rFonts w:cs="Arial"/>
      <w:b/>
      <w:sz w:val="22"/>
      <w:szCs w:val="22"/>
    </w:rPr>
  </w:style>
  <w:style w:type="paragraph" w:customStyle="1" w:styleId="TPHEADING3boldspace">
    <w:name w:val="TP HEADING 3 bold space"/>
    <w:basedOn w:val="TPHeading3bold"/>
    <w:semiHidden/>
    <w:rsid w:val="00BB207D"/>
    <w:pPr>
      <w:spacing w:after="120"/>
    </w:pPr>
  </w:style>
  <w:style w:type="paragraph" w:customStyle="1" w:styleId="TPHEADING3space">
    <w:name w:val="TP HEADING 3 space"/>
    <w:basedOn w:val="TPHeading3"/>
    <w:semiHidden/>
    <w:rsid w:val="00BB207D"/>
    <w:pPr>
      <w:spacing w:before="120" w:after="120"/>
    </w:pPr>
    <w:rPr>
      <w:rFonts w:cs="Arial"/>
      <w:sz w:val="22"/>
      <w:szCs w:val="22"/>
    </w:rPr>
  </w:style>
  <w:style w:type="paragraph" w:customStyle="1" w:styleId="TPHeading4">
    <w:name w:val="TP Heading 4"/>
    <w:basedOn w:val="TPHeading3"/>
    <w:semiHidden/>
    <w:rsid w:val="00BB207D"/>
    <w:rPr>
      <w:sz w:val="20"/>
    </w:rPr>
  </w:style>
  <w:style w:type="paragraph" w:customStyle="1" w:styleId="TPHEADING4space">
    <w:name w:val="TP HEADING 4 space"/>
    <w:basedOn w:val="TPHEADING3space"/>
    <w:semiHidden/>
    <w:rsid w:val="00BB207D"/>
  </w:style>
  <w:style w:type="paragraph" w:customStyle="1" w:styleId="Boxcontinuedover">
    <w:name w:val="Box continued over"/>
    <w:basedOn w:val="BoxText"/>
    <w:qFormat/>
    <w:rsid w:val="0011175D"/>
    <w:pPr>
      <w:spacing w:before="240" w:after="0"/>
      <w:jc w:val="right"/>
    </w:pPr>
    <w:rPr>
      <w:rFonts w:ascii="Arial" w:hAnsi="Arial"/>
      <w:b/>
      <w:bCs/>
      <w:sz w:val="18"/>
      <w:szCs w:val="16"/>
    </w:rPr>
  </w:style>
  <w:style w:type="paragraph" w:customStyle="1" w:styleId="PrelimsAlpha">
    <w:name w:val="Prelims Alpha"/>
    <w:basedOn w:val="Normal"/>
    <w:rsid w:val="00704FBD"/>
    <w:pPr>
      <w:tabs>
        <w:tab w:val="left" w:pos="567"/>
      </w:tabs>
      <w:ind w:left="567" w:hanging="567"/>
    </w:pPr>
    <w:rPr>
      <w:color w:val="000000"/>
      <w:szCs w:val="24"/>
      <w:lang w:eastAsia="en-US"/>
    </w:rPr>
  </w:style>
  <w:style w:type="paragraph" w:customStyle="1" w:styleId="PrelimsDash">
    <w:name w:val="Prelims Dash"/>
    <w:basedOn w:val="Dash"/>
    <w:rsid w:val="00704FBD"/>
    <w:pPr>
      <w:numPr>
        <w:ilvl w:val="0"/>
        <w:numId w:val="4"/>
      </w:numPr>
      <w:tabs>
        <w:tab w:val="clear" w:pos="567"/>
        <w:tab w:val="left" w:pos="992"/>
      </w:tabs>
      <w:ind w:left="992" w:hanging="425"/>
    </w:pPr>
    <w:rPr>
      <w:color w:val="000000"/>
      <w:szCs w:val="24"/>
      <w:lang w:eastAsia="en-US"/>
    </w:rPr>
  </w:style>
  <w:style w:type="character" w:customStyle="1" w:styleId="italic">
    <w:name w:val="italic"/>
    <w:rsid w:val="00704FBD"/>
    <w:rPr>
      <w:i/>
    </w:rPr>
  </w:style>
  <w:style w:type="character" w:customStyle="1" w:styleId="A5">
    <w:name w:val="A5"/>
    <w:uiPriority w:val="99"/>
    <w:rsid w:val="00704FBD"/>
    <w:rPr>
      <w:rFonts w:cs="Swiss 721 BT"/>
      <w:color w:val="000000"/>
      <w:sz w:val="20"/>
      <w:szCs w:val="20"/>
    </w:rPr>
  </w:style>
  <w:style w:type="character" w:customStyle="1" w:styleId="BulletChar">
    <w:name w:val="Bullet Char"/>
    <w:aliases w:val="Body Char,Bullet + line Char,b + line Char,b + line Char Char,b Char,b Char Char,b1 Char,level 1 Char,Bullets Char,L Char,List Paragraph Char,List Paragraph1 Char,List Paragraph11 Char,List Paragraph2 Char,Number Char,Recommendation Char"/>
    <w:link w:val="Bullet"/>
    <w:qFormat/>
    <w:locked/>
    <w:rsid w:val="00704FBD"/>
    <w:rPr>
      <w:rFonts w:ascii="Book Antiqua" w:eastAsia="Times New Roman" w:hAnsi="Book Antiqua" w:cs="Times New Roman"/>
      <w:sz w:val="20"/>
      <w:szCs w:val="20"/>
      <w:lang w:eastAsia="en-AU"/>
    </w:rPr>
  </w:style>
  <w:style w:type="paragraph" w:styleId="TOCHeading">
    <w:name w:val="TOC Heading"/>
    <w:basedOn w:val="Heading1"/>
    <w:next w:val="Normal"/>
    <w:uiPriority w:val="39"/>
    <w:unhideWhenUsed/>
    <w:qFormat/>
    <w:rsid w:val="007D6B6F"/>
    <w:pPr>
      <w:keepLines/>
      <w:spacing w:before="240" w:after="0" w:line="259" w:lineRule="auto"/>
      <w:jc w:val="left"/>
      <w:outlineLvl w:val="9"/>
    </w:pPr>
    <w:rPr>
      <w:rFonts w:asciiTheme="majorHAnsi" w:eastAsiaTheme="majorEastAsia" w:hAnsiTheme="majorHAnsi" w:cstheme="majorBidi"/>
      <w:b w:val="0"/>
      <w:color w:val="024A91" w:themeColor="accent1" w:themeShade="BF"/>
      <w:kern w:val="0"/>
      <w:sz w:val="32"/>
      <w:szCs w:val="32"/>
      <w:lang w:val="en-US" w:eastAsia="en-US"/>
    </w:rPr>
  </w:style>
  <w:style w:type="character" w:customStyle="1" w:styleId="ChartandTableFootnoteAlphaChar">
    <w:name w:val="Chart and Table Footnote Alpha Char"/>
    <w:link w:val="ChartandTableFootnoteAlpha"/>
    <w:locked/>
    <w:rsid w:val="00D40DDC"/>
    <w:rPr>
      <w:rFonts w:ascii="Arial" w:eastAsia="Times New Roman" w:hAnsi="Arial" w:cs="Times New Roman"/>
      <w:color w:val="000000"/>
      <w:sz w:val="16"/>
      <w:szCs w:val="20"/>
      <w:lang w:eastAsia="en-AU"/>
    </w:rPr>
  </w:style>
  <w:style w:type="character" w:customStyle="1" w:styleId="ChartHeadingChar">
    <w:name w:val="Chart Heading Char"/>
    <w:link w:val="ChartHeading"/>
    <w:locked/>
    <w:rsid w:val="00076460"/>
    <w:rPr>
      <w:rFonts w:ascii="Arial" w:eastAsia="Times New Roman" w:hAnsi="Arial" w:cs="Times New Roman"/>
      <w:b/>
      <w:sz w:val="20"/>
      <w:szCs w:val="20"/>
      <w:lang w:eastAsia="en-AU"/>
    </w:rPr>
  </w:style>
  <w:style w:type="paragraph" w:customStyle="1" w:styleId="TableColumnHeading">
    <w:name w:val="Table Column Heading"/>
    <w:basedOn w:val="Normal"/>
    <w:rsid w:val="00076460"/>
    <w:pPr>
      <w:spacing w:before="20" w:after="20" w:line="240" w:lineRule="auto"/>
      <w:jc w:val="left"/>
    </w:pPr>
    <w:rPr>
      <w:rFonts w:ascii="Arial" w:hAnsi="Arial"/>
      <w:b/>
      <w:color w:val="002B54"/>
      <w:sz w:val="16"/>
    </w:rPr>
  </w:style>
  <w:style w:type="paragraph" w:styleId="NormalWeb">
    <w:name w:val="Normal (Web)"/>
    <w:basedOn w:val="Normal"/>
    <w:uiPriority w:val="99"/>
    <w:semiHidden/>
    <w:unhideWhenUsed/>
    <w:rsid w:val="002052D1"/>
    <w:rPr>
      <w:rFonts w:ascii="Times New Roman" w:hAnsi="Times New Roman"/>
      <w:sz w:val="24"/>
      <w:szCs w:val="24"/>
    </w:rPr>
  </w:style>
  <w:style w:type="paragraph" w:styleId="Revision">
    <w:name w:val="Revision"/>
    <w:hidden/>
    <w:uiPriority w:val="99"/>
    <w:semiHidden/>
    <w:rsid w:val="00164C3B"/>
    <w:pPr>
      <w:spacing w:after="0" w:line="240" w:lineRule="auto"/>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164C3B"/>
    <w:rPr>
      <w:color w:val="E61E26" w:themeColor="followedHyperlink"/>
      <w:u w:val="single"/>
    </w:rPr>
  </w:style>
  <w:style w:type="paragraph" w:customStyle="1" w:styleId="SummaryMeasureTitlewithTheme">
    <w:name w:val="Summary Measure Title with Theme"/>
    <w:basedOn w:val="Normal"/>
    <w:rsid w:val="00D46BA9"/>
    <w:pPr>
      <w:tabs>
        <w:tab w:val="left" w:pos="285"/>
      </w:tabs>
      <w:spacing w:before="20" w:after="20" w:line="240" w:lineRule="auto"/>
      <w:ind w:left="340" w:right="57" w:hanging="113"/>
      <w:jc w:val="left"/>
    </w:pPr>
    <w:rPr>
      <w:rFonts w:ascii="Arial" w:hAnsi="Arial"/>
      <w:noProof/>
      <w:color w:val="000000"/>
      <w:sz w:val="16"/>
      <w:szCs w:val="16"/>
    </w:rPr>
  </w:style>
  <w:style w:type="paragraph" w:customStyle="1" w:styleId="Summarytabletextrightaligned">
    <w:name w:val="Summary table text right aligned"/>
    <w:basedOn w:val="Normal"/>
    <w:rsid w:val="00D46BA9"/>
    <w:pPr>
      <w:spacing w:before="20" w:after="20" w:line="240" w:lineRule="auto"/>
      <w:ind w:right="57"/>
      <w:jc w:val="right"/>
    </w:pPr>
    <w:rPr>
      <w:rFonts w:ascii="Arial" w:hAnsi="Arial"/>
      <w:sz w:val="16"/>
    </w:rPr>
  </w:style>
  <w:style w:type="paragraph" w:customStyle="1" w:styleId="Summarytabletextrightalignedbold">
    <w:name w:val="Summary table text right aligned bold"/>
    <w:basedOn w:val="Normal"/>
    <w:rsid w:val="00D46BA9"/>
    <w:pPr>
      <w:spacing w:before="20" w:after="20" w:line="240" w:lineRule="auto"/>
      <w:ind w:right="57"/>
      <w:jc w:val="right"/>
    </w:pPr>
    <w:rPr>
      <w:rFonts w:ascii="Arial" w:hAnsi="Arial"/>
      <w:b/>
      <w:sz w:val="16"/>
    </w:rPr>
  </w:style>
  <w:style w:type="paragraph" w:customStyle="1" w:styleId="Summarytabletextleftalignedbold">
    <w:name w:val="Summary table text left aligned bold"/>
    <w:basedOn w:val="Normal"/>
    <w:rsid w:val="00D46BA9"/>
    <w:pPr>
      <w:tabs>
        <w:tab w:val="left" w:pos="285"/>
      </w:tabs>
      <w:spacing w:before="20" w:after="20" w:line="240" w:lineRule="auto"/>
      <w:jc w:val="left"/>
    </w:pPr>
    <w:rPr>
      <w:rFonts w:ascii="Arial" w:hAnsi="Arial"/>
      <w:b/>
      <w:noProof/>
      <w:color w:val="000000"/>
      <w:sz w:val="16"/>
      <w:szCs w:val="16"/>
    </w:rPr>
  </w:style>
  <w:style w:type="paragraph" w:customStyle="1" w:styleId="SummaryPortfolioTitle-BP2">
    <w:name w:val="Summary Portfolio Title - BP2"/>
    <w:aliases w:val="Theme"/>
    <w:basedOn w:val="Normal"/>
    <w:rsid w:val="00D46BA9"/>
    <w:pPr>
      <w:spacing w:before="120" w:after="20" w:line="240" w:lineRule="auto"/>
      <w:ind w:right="113"/>
      <w:jc w:val="left"/>
    </w:pPr>
    <w:rPr>
      <w:rFonts w:ascii="Arial" w:hAnsi="Arial"/>
      <w:b/>
      <w:caps/>
      <w:sz w:val="16"/>
    </w:rPr>
  </w:style>
  <w:style w:type="paragraph" w:customStyle="1" w:styleId="SummaryAgencyTitle-BP2">
    <w:name w:val="Summary Agency Title - BP2"/>
    <w:aliases w:val="The"/>
    <w:basedOn w:val="Normal"/>
    <w:rsid w:val="00D46BA9"/>
    <w:pPr>
      <w:keepLines/>
      <w:spacing w:before="20" w:after="20" w:line="240" w:lineRule="auto"/>
      <w:ind w:left="113" w:right="113" w:hanging="113"/>
      <w:jc w:val="left"/>
    </w:pPr>
    <w:rPr>
      <w:rFonts w:ascii="Arial" w:hAnsi="Arial" w:cs="Arial"/>
      <w:i/>
      <w:sz w:val="16"/>
      <w:szCs w:val="16"/>
    </w:rPr>
  </w:style>
  <w:style w:type="paragraph" w:customStyle="1" w:styleId="MeasureTableTextRightAlignedBefore6ptAfter1pt">
    <w:name w:val="Measure Table Text Right Aligned + Before:  6 pt After:  1 pt"/>
    <w:basedOn w:val="Normal"/>
    <w:rsid w:val="00D46BA9"/>
    <w:pPr>
      <w:keepNext/>
      <w:spacing w:before="120" w:after="20" w:line="240" w:lineRule="auto"/>
      <w:ind w:right="57"/>
      <w:jc w:val="right"/>
    </w:pPr>
    <w:rPr>
      <w:rFonts w:ascii="Arial" w:hAnsi="Arial"/>
      <w:iCs/>
      <w:noProof/>
      <w:color w:val="000000"/>
      <w:sz w:val="16"/>
      <w:szCs w:val="16"/>
    </w:rPr>
  </w:style>
  <w:style w:type="paragraph" w:styleId="ListParagraph">
    <w:name w:val="List Paragraph"/>
    <w:basedOn w:val="Normal"/>
    <w:uiPriority w:val="34"/>
    <w:qFormat/>
    <w:rsid w:val="00BF5CD0"/>
    <w:pPr>
      <w:ind w:left="720"/>
      <w:contextualSpacing/>
    </w:pPr>
  </w:style>
  <w:style w:type="paragraph" w:customStyle="1" w:styleId="OutlineNumbered1">
    <w:name w:val="Outline Numbered 1"/>
    <w:basedOn w:val="Normal"/>
    <w:link w:val="OutlineNumbered1Char"/>
    <w:rsid w:val="00BF5CD0"/>
    <w:pPr>
      <w:numPr>
        <w:numId w:val="8"/>
      </w:numPr>
    </w:pPr>
    <w:rPr>
      <w:rFonts w:eastAsia="Book Antiqua"/>
      <w:color w:val="000000"/>
    </w:rPr>
  </w:style>
  <w:style w:type="character" w:customStyle="1" w:styleId="OutlineNumbered1Char">
    <w:name w:val="Outline Numbered 1 Char"/>
    <w:basedOn w:val="ChartandTableFootnoteAlphaChar"/>
    <w:link w:val="OutlineNumbered1"/>
    <w:rsid w:val="00BF5CD0"/>
    <w:rPr>
      <w:rFonts w:ascii="Book Antiqua" w:eastAsia="Book Antiqua" w:hAnsi="Book Antiqua" w:cs="Times New Roman"/>
      <w:color w:val="000000"/>
      <w:sz w:val="20"/>
      <w:szCs w:val="20"/>
      <w:lang w:eastAsia="en-AU"/>
    </w:rPr>
  </w:style>
  <w:style w:type="paragraph" w:customStyle="1" w:styleId="OutlineNumbered2">
    <w:name w:val="Outline Numbered 2"/>
    <w:basedOn w:val="Normal"/>
    <w:link w:val="OutlineNumbered2Char"/>
    <w:rsid w:val="00BF5CD0"/>
    <w:pPr>
      <w:numPr>
        <w:ilvl w:val="1"/>
        <w:numId w:val="8"/>
      </w:numPr>
    </w:pPr>
    <w:rPr>
      <w:rFonts w:eastAsia="Book Antiqua"/>
      <w:color w:val="000000"/>
    </w:rPr>
  </w:style>
  <w:style w:type="character" w:customStyle="1" w:styleId="OutlineNumbered2Char">
    <w:name w:val="Outline Numbered 2 Char"/>
    <w:basedOn w:val="ChartandTableFootnoteAlphaChar"/>
    <w:link w:val="OutlineNumbered2"/>
    <w:rsid w:val="00BF5CD0"/>
    <w:rPr>
      <w:rFonts w:ascii="Book Antiqua" w:eastAsia="Book Antiqua" w:hAnsi="Book Antiqua" w:cs="Times New Roman"/>
      <w:color w:val="000000"/>
      <w:sz w:val="20"/>
      <w:szCs w:val="20"/>
      <w:lang w:eastAsia="en-AU"/>
    </w:rPr>
  </w:style>
  <w:style w:type="paragraph" w:customStyle="1" w:styleId="OutlineNumbered3">
    <w:name w:val="Outline Numbered 3"/>
    <w:basedOn w:val="Normal"/>
    <w:link w:val="OutlineNumbered3Char"/>
    <w:rsid w:val="00BF5CD0"/>
    <w:pPr>
      <w:numPr>
        <w:ilvl w:val="2"/>
        <w:numId w:val="8"/>
      </w:numPr>
    </w:pPr>
    <w:rPr>
      <w:rFonts w:eastAsia="Book Antiqua"/>
      <w:color w:val="000000"/>
    </w:rPr>
  </w:style>
  <w:style w:type="character" w:customStyle="1" w:styleId="OutlineNumbered3Char">
    <w:name w:val="Outline Numbered 3 Char"/>
    <w:basedOn w:val="ChartandTableFootnoteAlphaChar"/>
    <w:link w:val="OutlineNumbered3"/>
    <w:rsid w:val="00BF5CD0"/>
    <w:rPr>
      <w:rFonts w:ascii="Book Antiqua" w:eastAsia="Book Antiqua" w:hAnsi="Book Antiqua" w:cs="Times New Roman"/>
      <w:color w:val="000000"/>
      <w:sz w:val="20"/>
      <w:szCs w:val="20"/>
      <w:lang w:eastAsia="en-AU"/>
    </w:rPr>
  </w:style>
  <w:style w:type="character" w:customStyle="1" w:styleId="UnresolvedMention1">
    <w:name w:val="Unresolved Mention1"/>
    <w:basedOn w:val="DefaultParagraphFont"/>
    <w:uiPriority w:val="99"/>
    <w:unhideWhenUsed/>
    <w:rsid w:val="008E2853"/>
    <w:rPr>
      <w:color w:val="605E5C"/>
      <w:shd w:val="clear" w:color="auto" w:fill="E1DFDD"/>
    </w:rPr>
  </w:style>
  <w:style w:type="character" w:customStyle="1" w:styleId="Mention1">
    <w:name w:val="Mention1"/>
    <w:basedOn w:val="DefaultParagraphFont"/>
    <w:uiPriority w:val="99"/>
    <w:unhideWhenUsed/>
    <w:rsid w:val="008E2853"/>
    <w:rPr>
      <w:color w:val="2B579A"/>
      <w:shd w:val="clear" w:color="auto" w:fill="E1DFDD"/>
    </w:rPr>
  </w:style>
  <w:style w:type="character" w:customStyle="1" w:styleId="UnresolvedMention2">
    <w:name w:val="Unresolved Mention2"/>
    <w:basedOn w:val="DefaultParagraphFont"/>
    <w:uiPriority w:val="99"/>
    <w:unhideWhenUsed/>
    <w:rsid w:val="00B57D6C"/>
    <w:rPr>
      <w:color w:val="605E5C"/>
      <w:shd w:val="clear" w:color="auto" w:fill="E1DFDD"/>
    </w:rPr>
  </w:style>
  <w:style w:type="character" w:customStyle="1" w:styleId="Mention2">
    <w:name w:val="Mention2"/>
    <w:basedOn w:val="DefaultParagraphFont"/>
    <w:uiPriority w:val="99"/>
    <w:unhideWhenUsed/>
    <w:rsid w:val="00B57D6C"/>
    <w:rPr>
      <w:color w:val="2B579A"/>
      <w:shd w:val="clear" w:color="auto" w:fill="E1DFDD"/>
    </w:rPr>
  </w:style>
  <w:style w:type="character" w:customStyle="1" w:styleId="UnresolvedMention3">
    <w:name w:val="Unresolved Mention3"/>
    <w:basedOn w:val="DefaultParagraphFont"/>
    <w:uiPriority w:val="99"/>
    <w:unhideWhenUsed/>
    <w:rsid w:val="000041BD"/>
    <w:rPr>
      <w:color w:val="605E5C"/>
      <w:shd w:val="clear" w:color="auto" w:fill="E1DFDD"/>
    </w:rPr>
  </w:style>
  <w:style w:type="character" w:customStyle="1" w:styleId="Mention3">
    <w:name w:val="Mention3"/>
    <w:basedOn w:val="DefaultParagraphFont"/>
    <w:uiPriority w:val="99"/>
    <w:unhideWhenUsed/>
    <w:rsid w:val="000041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597">
      <w:bodyDiv w:val="1"/>
      <w:marLeft w:val="0"/>
      <w:marRight w:val="0"/>
      <w:marTop w:val="0"/>
      <w:marBottom w:val="0"/>
      <w:divBdr>
        <w:top w:val="none" w:sz="0" w:space="0" w:color="auto"/>
        <w:left w:val="none" w:sz="0" w:space="0" w:color="auto"/>
        <w:bottom w:val="none" w:sz="0" w:space="0" w:color="auto"/>
        <w:right w:val="none" w:sz="0" w:space="0" w:color="auto"/>
      </w:divBdr>
    </w:div>
    <w:div w:id="99953771">
      <w:bodyDiv w:val="1"/>
      <w:marLeft w:val="0"/>
      <w:marRight w:val="0"/>
      <w:marTop w:val="0"/>
      <w:marBottom w:val="0"/>
      <w:divBdr>
        <w:top w:val="none" w:sz="0" w:space="0" w:color="auto"/>
        <w:left w:val="none" w:sz="0" w:space="0" w:color="auto"/>
        <w:bottom w:val="none" w:sz="0" w:space="0" w:color="auto"/>
        <w:right w:val="none" w:sz="0" w:space="0" w:color="auto"/>
      </w:divBdr>
    </w:div>
    <w:div w:id="240523489">
      <w:bodyDiv w:val="1"/>
      <w:marLeft w:val="0"/>
      <w:marRight w:val="0"/>
      <w:marTop w:val="0"/>
      <w:marBottom w:val="0"/>
      <w:divBdr>
        <w:top w:val="none" w:sz="0" w:space="0" w:color="auto"/>
        <w:left w:val="none" w:sz="0" w:space="0" w:color="auto"/>
        <w:bottom w:val="none" w:sz="0" w:space="0" w:color="auto"/>
        <w:right w:val="none" w:sz="0" w:space="0" w:color="auto"/>
      </w:divBdr>
    </w:div>
    <w:div w:id="269242048">
      <w:bodyDiv w:val="1"/>
      <w:marLeft w:val="0"/>
      <w:marRight w:val="0"/>
      <w:marTop w:val="0"/>
      <w:marBottom w:val="0"/>
      <w:divBdr>
        <w:top w:val="none" w:sz="0" w:space="0" w:color="auto"/>
        <w:left w:val="none" w:sz="0" w:space="0" w:color="auto"/>
        <w:bottom w:val="none" w:sz="0" w:space="0" w:color="auto"/>
        <w:right w:val="none" w:sz="0" w:space="0" w:color="auto"/>
      </w:divBdr>
    </w:div>
    <w:div w:id="280578843">
      <w:bodyDiv w:val="1"/>
      <w:marLeft w:val="0"/>
      <w:marRight w:val="0"/>
      <w:marTop w:val="0"/>
      <w:marBottom w:val="0"/>
      <w:divBdr>
        <w:top w:val="none" w:sz="0" w:space="0" w:color="auto"/>
        <w:left w:val="none" w:sz="0" w:space="0" w:color="auto"/>
        <w:bottom w:val="none" w:sz="0" w:space="0" w:color="auto"/>
        <w:right w:val="none" w:sz="0" w:space="0" w:color="auto"/>
      </w:divBdr>
    </w:div>
    <w:div w:id="315692938">
      <w:bodyDiv w:val="1"/>
      <w:marLeft w:val="0"/>
      <w:marRight w:val="0"/>
      <w:marTop w:val="0"/>
      <w:marBottom w:val="0"/>
      <w:divBdr>
        <w:top w:val="none" w:sz="0" w:space="0" w:color="auto"/>
        <w:left w:val="none" w:sz="0" w:space="0" w:color="auto"/>
        <w:bottom w:val="none" w:sz="0" w:space="0" w:color="auto"/>
        <w:right w:val="none" w:sz="0" w:space="0" w:color="auto"/>
      </w:divBdr>
    </w:div>
    <w:div w:id="336034339">
      <w:bodyDiv w:val="1"/>
      <w:marLeft w:val="0"/>
      <w:marRight w:val="0"/>
      <w:marTop w:val="0"/>
      <w:marBottom w:val="0"/>
      <w:divBdr>
        <w:top w:val="none" w:sz="0" w:space="0" w:color="auto"/>
        <w:left w:val="none" w:sz="0" w:space="0" w:color="auto"/>
        <w:bottom w:val="none" w:sz="0" w:space="0" w:color="auto"/>
        <w:right w:val="none" w:sz="0" w:space="0" w:color="auto"/>
      </w:divBdr>
    </w:div>
    <w:div w:id="437797399">
      <w:bodyDiv w:val="1"/>
      <w:marLeft w:val="0"/>
      <w:marRight w:val="0"/>
      <w:marTop w:val="0"/>
      <w:marBottom w:val="0"/>
      <w:divBdr>
        <w:top w:val="none" w:sz="0" w:space="0" w:color="auto"/>
        <w:left w:val="none" w:sz="0" w:space="0" w:color="auto"/>
        <w:bottom w:val="none" w:sz="0" w:space="0" w:color="auto"/>
        <w:right w:val="none" w:sz="0" w:space="0" w:color="auto"/>
      </w:divBdr>
    </w:div>
    <w:div w:id="461536476">
      <w:bodyDiv w:val="1"/>
      <w:marLeft w:val="0"/>
      <w:marRight w:val="0"/>
      <w:marTop w:val="0"/>
      <w:marBottom w:val="0"/>
      <w:divBdr>
        <w:top w:val="none" w:sz="0" w:space="0" w:color="auto"/>
        <w:left w:val="none" w:sz="0" w:space="0" w:color="auto"/>
        <w:bottom w:val="none" w:sz="0" w:space="0" w:color="auto"/>
        <w:right w:val="none" w:sz="0" w:space="0" w:color="auto"/>
      </w:divBdr>
    </w:div>
    <w:div w:id="477304657">
      <w:bodyDiv w:val="1"/>
      <w:marLeft w:val="0"/>
      <w:marRight w:val="0"/>
      <w:marTop w:val="0"/>
      <w:marBottom w:val="0"/>
      <w:divBdr>
        <w:top w:val="none" w:sz="0" w:space="0" w:color="auto"/>
        <w:left w:val="none" w:sz="0" w:space="0" w:color="auto"/>
        <w:bottom w:val="none" w:sz="0" w:space="0" w:color="auto"/>
        <w:right w:val="none" w:sz="0" w:space="0" w:color="auto"/>
      </w:divBdr>
    </w:div>
    <w:div w:id="536892010">
      <w:bodyDiv w:val="1"/>
      <w:marLeft w:val="0"/>
      <w:marRight w:val="0"/>
      <w:marTop w:val="0"/>
      <w:marBottom w:val="0"/>
      <w:divBdr>
        <w:top w:val="none" w:sz="0" w:space="0" w:color="auto"/>
        <w:left w:val="none" w:sz="0" w:space="0" w:color="auto"/>
        <w:bottom w:val="none" w:sz="0" w:space="0" w:color="auto"/>
        <w:right w:val="none" w:sz="0" w:space="0" w:color="auto"/>
      </w:divBdr>
    </w:div>
    <w:div w:id="568804104">
      <w:bodyDiv w:val="1"/>
      <w:marLeft w:val="0"/>
      <w:marRight w:val="0"/>
      <w:marTop w:val="0"/>
      <w:marBottom w:val="0"/>
      <w:divBdr>
        <w:top w:val="none" w:sz="0" w:space="0" w:color="auto"/>
        <w:left w:val="none" w:sz="0" w:space="0" w:color="auto"/>
        <w:bottom w:val="none" w:sz="0" w:space="0" w:color="auto"/>
        <w:right w:val="none" w:sz="0" w:space="0" w:color="auto"/>
      </w:divBdr>
    </w:div>
    <w:div w:id="614825638">
      <w:bodyDiv w:val="1"/>
      <w:marLeft w:val="0"/>
      <w:marRight w:val="0"/>
      <w:marTop w:val="0"/>
      <w:marBottom w:val="0"/>
      <w:divBdr>
        <w:top w:val="none" w:sz="0" w:space="0" w:color="auto"/>
        <w:left w:val="none" w:sz="0" w:space="0" w:color="auto"/>
        <w:bottom w:val="none" w:sz="0" w:space="0" w:color="auto"/>
        <w:right w:val="none" w:sz="0" w:space="0" w:color="auto"/>
      </w:divBdr>
    </w:div>
    <w:div w:id="726995242">
      <w:bodyDiv w:val="1"/>
      <w:marLeft w:val="0"/>
      <w:marRight w:val="0"/>
      <w:marTop w:val="0"/>
      <w:marBottom w:val="0"/>
      <w:divBdr>
        <w:top w:val="none" w:sz="0" w:space="0" w:color="auto"/>
        <w:left w:val="none" w:sz="0" w:space="0" w:color="auto"/>
        <w:bottom w:val="none" w:sz="0" w:space="0" w:color="auto"/>
        <w:right w:val="none" w:sz="0" w:space="0" w:color="auto"/>
      </w:divBdr>
    </w:div>
    <w:div w:id="794103061">
      <w:bodyDiv w:val="1"/>
      <w:marLeft w:val="0"/>
      <w:marRight w:val="0"/>
      <w:marTop w:val="0"/>
      <w:marBottom w:val="0"/>
      <w:divBdr>
        <w:top w:val="none" w:sz="0" w:space="0" w:color="auto"/>
        <w:left w:val="none" w:sz="0" w:space="0" w:color="auto"/>
        <w:bottom w:val="none" w:sz="0" w:space="0" w:color="auto"/>
        <w:right w:val="none" w:sz="0" w:space="0" w:color="auto"/>
      </w:divBdr>
    </w:div>
    <w:div w:id="859969282">
      <w:bodyDiv w:val="1"/>
      <w:marLeft w:val="0"/>
      <w:marRight w:val="0"/>
      <w:marTop w:val="0"/>
      <w:marBottom w:val="0"/>
      <w:divBdr>
        <w:top w:val="none" w:sz="0" w:space="0" w:color="auto"/>
        <w:left w:val="none" w:sz="0" w:space="0" w:color="auto"/>
        <w:bottom w:val="none" w:sz="0" w:space="0" w:color="auto"/>
        <w:right w:val="none" w:sz="0" w:space="0" w:color="auto"/>
      </w:divBdr>
    </w:div>
    <w:div w:id="899751859">
      <w:bodyDiv w:val="1"/>
      <w:marLeft w:val="0"/>
      <w:marRight w:val="0"/>
      <w:marTop w:val="0"/>
      <w:marBottom w:val="0"/>
      <w:divBdr>
        <w:top w:val="none" w:sz="0" w:space="0" w:color="auto"/>
        <w:left w:val="none" w:sz="0" w:space="0" w:color="auto"/>
        <w:bottom w:val="none" w:sz="0" w:space="0" w:color="auto"/>
        <w:right w:val="none" w:sz="0" w:space="0" w:color="auto"/>
      </w:divBdr>
    </w:div>
    <w:div w:id="915553302">
      <w:bodyDiv w:val="1"/>
      <w:marLeft w:val="0"/>
      <w:marRight w:val="0"/>
      <w:marTop w:val="0"/>
      <w:marBottom w:val="0"/>
      <w:divBdr>
        <w:top w:val="none" w:sz="0" w:space="0" w:color="auto"/>
        <w:left w:val="none" w:sz="0" w:space="0" w:color="auto"/>
        <w:bottom w:val="none" w:sz="0" w:space="0" w:color="auto"/>
        <w:right w:val="none" w:sz="0" w:space="0" w:color="auto"/>
      </w:divBdr>
    </w:div>
    <w:div w:id="976298960">
      <w:bodyDiv w:val="1"/>
      <w:marLeft w:val="0"/>
      <w:marRight w:val="0"/>
      <w:marTop w:val="0"/>
      <w:marBottom w:val="0"/>
      <w:divBdr>
        <w:top w:val="none" w:sz="0" w:space="0" w:color="auto"/>
        <w:left w:val="none" w:sz="0" w:space="0" w:color="auto"/>
        <w:bottom w:val="none" w:sz="0" w:space="0" w:color="auto"/>
        <w:right w:val="none" w:sz="0" w:space="0" w:color="auto"/>
      </w:divBdr>
    </w:div>
    <w:div w:id="1079987959">
      <w:bodyDiv w:val="1"/>
      <w:marLeft w:val="0"/>
      <w:marRight w:val="0"/>
      <w:marTop w:val="0"/>
      <w:marBottom w:val="0"/>
      <w:divBdr>
        <w:top w:val="none" w:sz="0" w:space="0" w:color="auto"/>
        <w:left w:val="none" w:sz="0" w:space="0" w:color="auto"/>
        <w:bottom w:val="none" w:sz="0" w:space="0" w:color="auto"/>
        <w:right w:val="none" w:sz="0" w:space="0" w:color="auto"/>
      </w:divBdr>
    </w:div>
    <w:div w:id="1153529059">
      <w:bodyDiv w:val="1"/>
      <w:marLeft w:val="0"/>
      <w:marRight w:val="0"/>
      <w:marTop w:val="0"/>
      <w:marBottom w:val="0"/>
      <w:divBdr>
        <w:top w:val="none" w:sz="0" w:space="0" w:color="auto"/>
        <w:left w:val="none" w:sz="0" w:space="0" w:color="auto"/>
        <w:bottom w:val="none" w:sz="0" w:space="0" w:color="auto"/>
        <w:right w:val="none" w:sz="0" w:space="0" w:color="auto"/>
      </w:divBdr>
    </w:div>
    <w:div w:id="1187448314">
      <w:bodyDiv w:val="1"/>
      <w:marLeft w:val="0"/>
      <w:marRight w:val="0"/>
      <w:marTop w:val="0"/>
      <w:marBottom w:val="0"/>
      <w:divBdr>
        <w:top w:val="none" w:sz="0" w:space="0" w:color="auto"/>
        <w:left w:val="none" w:sz="0" w:space="0" w:color="auto"/>
        <w:bottom w:val="none" w:sz="0" w:space="0" w:color="auto"/>
        <w:right w:val="none" w:sz="0" w:space="0" w:color="auto"/>
      </w:divBdr>
    </w:div>
    <w:div w:id="1262950999">
      <w:bodyDiv w:val="1"/>
      <w:marLeft w:val="0"/>
      <w:marRight w:val="0"/>
      <w:marTop w:val="0"/>
      <w:marBottom w:val="0"/>
      <w:divBdr>
        <w:top w:val="none" w:sz="0" w:space="0" w:color="auto"/>
        <w:left w:val="none" w:sz="0" w:space="0" w:color="auto"/>
        <w:bottom w:val="none" w:sz="0" w:space="0" w:color="auto"/>
        <w:right w:val="none" w:sz="0" w:space="0" w:color="auto"/>
      </w:divBdr>
    </w:div>
    <w:div w:id="1268612592">
      <w:bodyDiv w:val="1"/>
      <w:marLeft w:val="0"/>
      <w:marRight w:val="0"/>
      <w:marTop w:val="0"/>
      <w:marBottom w:val="0"/>
      <w:divBdr>
        <w:top w:val="none" w:sz="0" w:space="0" w:color="auto"/>
        <w:left w:val="none" w:sz="0" w:space="0" w:color="auto"/>
        <w:bottom w:val="none" w:sz="0" w:space="0" w:color="auto"/>
        <w:right w:val="none" w:sz="0" w:space="0" w:color="auto"/>
      </w:divBdr>
    </w:div>
    <w:div w:id="1274093250">
      <w:bodyDiv w:val="1"/>
      <w:marLeft w:val="0"/>
      <w:marRight w:val="0"/>
      <w:marTop w:val="0"/>
      <w:marBottom w:val="0"/>
      <w:divBdr>
        <w:top w:val="none" w:sz="0" w:space="0" w:color="auto"/>
        <w:left w:val="none" w:sz="0" w:space="0" w:color="auto"/>
        <w:bottom w:val="none" w:sz="0" w:space="0" w:color="auto"/>
        <w:right w:val="none" w:sz="0" w:space="0" w:color="auto"/>
      </w:divBdr>
    </w:div>
    <w:div w:id="1328363952">
      <w:bodyDiv w:val="1"/>
      <w:marLeft w:val="0"/>
      <w:marRight w:val="0"/>
      <w:marTop w:val="0"/>
      <w:marBottom w:val="0"/>
      <w:divBdr>
        <w:top w:val="none" w:sz="0" w:space="0" w:color="auto"/>
        <w:left w:val="none" w:sz="0" w:space="0" w:color="auto"/>
        <w:bottom w:val="none" w:sz="0" w:space="0" w:color="auto"/>
        <w:right w:val="none" w:sz="0" w:space="0" w:color="auto"/>
      </w:divBdr>
    </w:div>
    <w:div w:id="1333678651">
      <w:bodyDiv w:val="1"/>
      <w:marLeft w:val="0"/>
      <w:marRight w:val="0"/>
      <w:marTop w:val="0"/>
      <w:marBottom w:val="0"/>
      <w:divBdr>
        <w:top w:val="none" w:sz="0" w:space="0" w:color="auto"/>
        <w:left w:val="none" w:sz="0" w:space="0" w:color="auto"/>
        <w:bottom w:val="none" w:sz="0" w:space="0" w:color="auto"/>
        <w:right w:val="none" w:sz="0" w:space="0" w:color="auto"/>
      </w:divBdr>
    </w:div>
    <w:div w:id="1337732141">
      <w:bodyDiv w:val="1"/>
      <w:marLeft w:val="0"/>
      <w:marRight w:val="0"/>
      <w:marTop w:val="0"/>
      <w:marBottom w:val="0"/>
      <w:divBdr>
        <w:top w:val="none" w:sz="0" w:space="0" w:color="auto"/>
        <w:left w:val="none" w:sz="0" w:space="0" w:color="auto"/>
        <w:bottom w:val="none" w:sz="0" w:space="0" w:color="auto"/>
        <w:right w:val="none" w:sz="0" w:space="0" w:color="auto"/>
      </w:divBdr>
    </w:div>
    <w:div w:id="1346785284">
      <w:bodyDiv w:val="1"/>
      <w:marLeft w:val="0"/>
      <w:marRight w:val="0"/>
      <w:marTop w:val="0"/>
      <w:marBottom w:val="0"/>
      <w:divBdr>
        <w:top w:val="none" w:sz="0" w:space="0" w:color="auto"/>
        <w:left w:val="none" w:sz="0" w:space="0" w:color="auto"/>
        <w:bottom w:val="none" w:sz="0" w:space="0" w:color="auto"/>
        <w:right w:val="none" w:sz="0" w:space="0" w:color="auto"/>
      </w:divBdr>
    </w:div>
    <w:div w:id="1365791831">
      <w:bodyDiv w:val="1"/>
      <w:marLeft w:val="0"/>
      <w:marRight w:val="0"/>
      <w:marTop w:val="0"/>
      <w:marBottom w:val="0"/>
      <w:divBdr>
        <w:top w:val="none" w:sz="0" w:space="0" w:color="auto"/>
        <w:left w:val="none" w:sz="0" w:space="0" w:color="auto"/>
        <w:bottom w:val="none" w:sz="0" w:space="0" w:color="auto"/>
        <w:right w:val="none" w:sz="0" w:space="0" w:color="auto"/>
      </w:divBdr>
    </w:div>
    <w:div w:id="1377462221">
      <w:bodyDiv w:val="1"/>
      <w:marLeft w:val="0"/>
      <w:marRight w:val="0"/>
      <w:marTop w:val="0"/>
      <w:marBottom w:val="0"/>
      <w:divBdr>
        <w:top w:val="none" w:sz="0" w:space="0" w:color="auto"/>
        <w:left w:val="none" w:sz="0" w:space="0" w:color="auto"/>
        <w:bottom w:val="none" w:sz="0" w:space="0" w:color="auto"/>
        <w:right w:val="none" w:sz="0" w:space="0" w:color="auto"/>
      </w:divBdr>
    </w:div>
    <w:div w:id="1434670684">
      <w:bodyDiv w:val="1"/>
      <w:marLeft w:val="0"/>
      <w:marRight w:val="0"/>
      <w:marTop w:val="0"/>
      <w:marBottom w:val="0"/>
      <w:divBdr>
        <w:top w:val="none" w:sz="0" w:space="0" w:color="auto"/>
        <w:left w:val="none" w:sz="0" w:space="0" w:color="auto"/>
        <w:bottom w:val="none" w:sz="0" w:space="0" w:color="auto"/>
        <w:right w:val="none" w:sz="0" w:space="0" w:color="auto"/>
      </w:divBdr>
    </w:div>
    <w:div w:id="1448501654">
      <w:bodyDiv w:val="1"/>
      <w:marLeft w:val="0"/>
      <w:marRight w:val="0"/>
      <w:marTop w:val="0"/>
      <w:marBottom w:val="0"/>
      <w:divBdr>
        <w:top w:val="none" w:sz="0" w:space="0" w:color="auto"/>
        <w:left w:val="none" w:sz="0" w:space="0" w:color="auto"/>
        <w:bottom w:val="none" w:sz="0" w:space="0" w:color="auto"/>
        <w:right w:val="none" w:sz="0" w:space="0" w:color="auto"/>
      </w:divBdr>
    </w:div>
    <w:div w:id="1501038975">
      <w:bodyDiv w:val="1"/>
      <w:marLeft w:val="0"/>
      <w:marRight w:val="0"/>
      <w:marTop w:val="0"/>
      <w:marBottom w:val="0"/>
      <w:divBdr>
        <w:top w:val="none" w:sz="0" w:space="0" w:color="auto"/>
        <w:left w:val="none" w:sz="0" w:space="0" w:color="auto"/>
        <w:bottom w:val="none" w:sz="0" w:space="0" w:color="auto"/>
        <w:right w:val="none" w:sz="0" w:space="0" w:color="auto"/>
      </w:divBdr>
    </w:div>
    <w:div w:id="1510558903">
      <w:bodyDiv w:val="1"/>
      <w:marLeft w:val="0"/>
      <w:marRight w:val="0"/>
      <w:marTop w:val="0"/>
      <w:marBottom w:val="0"/>
      <w:divBdr>
        <w:top w:val="none" w:sz="0" w:space="0" w:color="auto"/>
        <w:left w:val="none" w:sz="0" w:space="0" w:color="auto"/>
        <w:bottom w:val="none" w:sz="0" w:space="0" w:color="auto"/>
        <w:right w:val="none" w:sz="0" w:space="0" w:color="auto"/>
      </w:divBdr>
    </w:div>
    <w:div w:id="1557818379">
      <w:bodyDiv w:val="1"/>
      <w:marLeft w:val="0"/>
      <w:marRight w:val="0"/>
      <w:marTop w:val="0"/>
      <w:marBottom w:val="0"/>
      <w:divBdr>
        <w:top w:val="none" w:sz="0" w:space="0" w:color="auto"/>
        <w:left w:val="none" w:sz="0" w:space="0" w:color="auto"/>
        <w:bottom w:val="none" w:sz="0" w:space="0" w:color="auto"/>
        <w:right w:val="none" w:sz="0" w:space="0" w:color="auto"/>
      </w:divBdr>
    </w:div>
    <w:div w:id="1560675771">
      <w:bodyDiv w:val="1"/>
      <w:marLeft w:val="0"/>
      <w:marRight w:val="0"/>
      <w:marTop w:val="0"/>
      <w:marBottom w:val="0"/>
      <w:divBdr>
        <w:top w:val="none" w:sz="0" w:space="0" w:color="auto"/>
        <w:left w:val="none" w:sz="0" w:space="0" w:color="auto"/>
        <w:bottom w:val="none" w:sz="0" w:space="0" w:color="auto"/>
        <w:right w:val="none" w:sz="0" w:space="0" w:color="auto"/>
      </w:divBdr>
    </w:div>
    <w:div w:id="1564176760">
      <w:bodyDiv w:val="1"/>
      <w:marLeft w:val="0"/>
      <w:marRight w:val="0"/>
      <w:marTop w:val="0"/>
      <w:marBottom w:val="0"/>
      <w:divBdr>
        <w:top w:val="none" w:sz="0" w:space="0" w:color="auto"/>
        <w:left w:val="none" w:sz="0" w:space="0" w:color="auto"/>
        <w:bottom w:val="none" w:sz="0" w:space="0" w:color="auto"/>
        <w:right w:val="none" w:sz="0" w:space="0" w:color="auto"/>
      </w:divBdr>
    </w:div>
    <w:div w:id="1632520043">
      <w:bodyDiv w:val="1"/>
      <w:marLeft w:val="0"/>
      <w:marRight w:val="0"/>
      <w:marTop w:val="0"/>
      <w:marBottom w:val="0"/>
      <w:divBdr>
        <w:top w:val="none" w:sz="0" w:space="0" w:color="auto"/>
        <w:left w:val="none" w:sz="0" w:space="0" w:color="auto"/>
        <w:bottom w:val="none" w:sz="0" w:space="0" w:color="auto"/>
        <w:right w:val="none" w:sz="0" w:space="0" w:color="auto"/>
      </w:divBdr>
    </w:div>
    <w:div w:id="1638951967">
      <w:bodyDiv w:val="1"/>
      <w:marLeft w:val="0"/>
      <w:marRight w:val="0"/>
      <w:marTop w:val="0"/>
      <w:marBottom w:val="0"/>
      <w:divBdr>
        <w:top w:val="none" w:sz="0" w:space="0" w:color="auto"/>
        <w:left w:val="none" w:sz="0" w:space="0" w:color="auto"/>
        <w:bottom w:val="none" w:sz="0" w:space="0" w:color="auto"/>
        <w:right w:val="none" w:sz="0" w:space="0" w:color="auto"/>
      </w:divBdr>
    </w:div>
    <w:div w:id="1641881668">
      <w:bodyDiv w:val="1"/>
      <w:marLeft w:val="0"/>
      <w:marRight w:val="0"/>
      <w:marTop w:val="0"/>
      <w:marBottom w:val="0"/>
      <w:divBdr>
        <w:top w:val="none" w:sz="0" w:space="0" w:color="auto"/>
        <w:left w:val="none" w:sz="0" w:space="0" w:color="auto"/>
        <w:bottom w:val="none" w:sz="0" w:space="0" w:color="auto"/>
        <w:right w:val="none" w:sz="0" w:space="0" w:color="auto"/>
      </w:divBdr>
    </w:div>
    <w:div w:id="1713268653">
      <w:bodyDiv w:val="1"/>
      <w:marLeft w:val="0"/>
      <w:marRight w:val="0"/>
      <w:marTop w:val="0"/>
      <w:marBottom w:val="0"/>
      <w:divBdr>
        <w:top w:val="none" w:sz="0" w:space="0" w:color="auto"/>
        <w:left w:val="none" w:sz="0" w:space="0" w:color="auto"/>
        <w:bottom w:val="none" w:sz="0" w:space="0" w:color="auto"/>
        <w:right w:val="none" w:sz="0" w:space="0" w:color="auto"/>
      </w:divBdr>
    </w:div>
    <w:div w:id="1720668462">
      <w:bodyDiv w:val="1"/>
      <w:marLeft w:val="0"/>
      <w:marRight w:val="0"/>
      <w:marTop w:val="0"/>
      <w:marBottom w:val="0"/>
      <w:divBdr>
        <w:top w:val="none" w:sz="0" w:space="0" w:color="auto"/>
        <w:left w:val="none" w:sz="0" w:space="0" w:color="auto"/>
        <w:bottom w:val="none" w:sz="0" w:space="0" w:color="auto"/>
        <w:right w:val="none" w:sz="0" w:space="0" w:color="auto"/>
      </w:divBdr>
    </w:div>
    <w:div w:id="1731073070">
      <w:bodyDiv w:val="1"/>
      <w:marLeft w:val="0"/>
      <w:marRight w:val="0"/>
      <w:marTop w:val="0"/>
      <w:marBottom w:val="0"/>
      <w:divBdr>
        <w:top w:val="none" w:sz="0" w:space="0" w:color="auto"/>
        <w:left w:val="none" w:sz="0" w:space="0" w:color="auto"/>
        <w:bottom w:val="none" w:sz="0" w:space="0" w:color="auto"/>
        <w:right w:val="none" w:sz="0" w:space="0" w:color="auto"/>
      </w:divBdr>
    </w:div>
    <w:div w:id="1731880715">
      <w:bodyDiv w:val="1"/>
      <w:marLeft w:val="0"/>
      <w:marRight w:val="0"/>
      <w:marTop w:val="0"/>
      <w:marBottom w:val="0"/>
      <w:divBdr>
        <w:top w:val="none" w:sz="0" w:space="0" w:color="auto"/>
        <w:left w:val="none" w:sz="0" w:space="0" w:color="auto"/>
        <w:bottom w:val="none" w:sz="0" w:space="0" w:color="auto"/>
        <w:right w:val="none" w:sz="0" w:space="0" w:color="auto"/>
      </w:divBdr>
    </w:div>
    <w:div w:id="1761639289">
      <w:bodyDiv w:val="1"/>
      <w:marLeft w:val="0"/>
      <w:marRight w:val="0"/>
      <w:marTop w:val="0"/>
      <w:marBottom w:val="0"/>
      <w:divBdr>
        <w:top w:val="none" w:sz="0" w:space="0" w:color="auto"/>
        <w:left w:val="none" w:sz="0" w:space="0" w:color="auto"/>
        <w:bottom w:val="none" w:sz="0" w:space="0" w:color="auto"/>
        <w:right w:val="none" w:sz="0" w:space="0" w:color="auto"/>
      </w:divBdr>
    </w:div>
    <w:div w:id="1799563853">
      <w:bodyDiv w:val="1"/>
      <w:marLeft w:val="0"/>
      <w:marRight w:val="0"/>
      <w:marTop w:val="0"/>
      <w:marBottom w:val="0"/>
      <w:divBdr>
        <w:top w:val="none" w:sz="0" w:space="0" w:color="auto"/>
        <w:left w:val="none" w:sz="0" w:space="0" w:color="auto"/>
        <w:bottom w:val="none" w:sz="0" w:space="0" w:color="auto"/>
        <w:right w:val="none" w:sz="0" w:space="0" w:color="auto"/>
      </w:divBdr>
    </w:div>
    <w:div w:id="1835366495">
      <w:bodyDiv w:val="1"/>
      <w:marLeft w:val="0"/>
      <w:marRight w:val="0"/>
      <w:marTop w:val="0"/>
      <w:marBottom w:val="0"/>
      <w:divBdr>
        <w:top w:val="none" w:sz="0" w:space="0" w:color="auto"/>
        <w:left w:val="none" w:sz="0" w:space="0" w:color="auto"/>
        <w:bottom w:val="none" w:sz="0" w:space="0" w:color="auto"/>
        <w:right w:val="none" w:sz="0" w:space="0" w:color="auto"/>
      </w:divBdr>
    </w:div>
    <w:div w:id="1858347380">
      <w:bodyDiv w:val="1"/>
      <w:marLeft w:val="0"/>
      <w:marRight w:val="0"/>
      <w:marTop w:val="0"/>
      <w:marBottom w:val="0"/>
      <w:divBdr>
        <w:top w:val="none" w:sz="0" w:space="0" w:color="auto"/>
        <w:left w:val="none" w:sz="0" w:space="0" w:color="auto"/>
        <w:bottom w:val="none" w:sz="0" w:space="0" w:color="auto"/>
        <w:right w:val="none" w:sz="0" w:space="0" w:color="auto"/>
      </w:divBdr>
    </w:div>
    <w:div w:id="1917468322">
      <w:bodyDiv w:val="1"/>
      <w:marLeft w:val="0"/>
      <w:marRight w:val="0"/>
      <w:marTop w:val="0"/>
      <w:marBottom w:val="0"/>
      <w:divBdr>
        <w:top w:val="none" w:sz="0" w:space="0" w:color="auto"/>
        <w:left w:val="none" w:sz="0" w:space="0" w:color="auto"/>
        <w:bottom w:val="none" w:sz="0" w:space="0" w:color="auto"/>
        <w:right w:val="none" w:sz="0" w:space="0" w:color="auto"/>
      </w:divBdr>
    </w:div>
    <w:div w:id="1934701420">
      <w:bodyDiv w:val="1"/>
      <w:marLeft w:val="0"/>
      <w:marRight w:val="0"/>
      <w:marTop w:val="0"/>
      <w:marBottom w:val="0"/>
      <w:divBdr>
        <w:top w:val="none" w:sz="0" w:space="0" w:color="auto"/>
        <w:left w:val="none" w:sz="0" w:space="0" w:color="auto"/>
        <w:bottom w:val="none" w:sz="0" w:space="0" w:color="auto"/>
        <w:right w:val="none" w:sz="0" w:space="0" w:color="auto"/>
      </w:divBdr>
    </w:div>
    <w:div w:id="2000503885">
      <w:bodyDiv w:val="1"/>
      <w:marLeft w:val="0"/>
      <w:marRight w:val="0"/>
      <w:marTop w:val="0"/>
      <w:marBottom w:val="0"/>
      <w:divBdr>
        <w:top w:val="none" w:sz="0" w:space="0" w:color="auto"/>
        <w:left w:val="none" w:sz="0" w:space="0" w:color="auto"/>
        <w:bottom w:val="none" w:sz="0" w:space="0" w:color="auto"/>
        <w:right w:val="none" w:sz="0" w:space="0" w:color="auto"/>
      </w:divBdr>
    </w:div>
    <w:div w:id="2004890039">
      <w:bodyDiv w:val="1"/>
      <w:marLeft w:val="0"/>
      <w:marRight w:val="0"/>
      <w:marTop w:val="0"/>
      <w:marBottom w:val="0"/>
      <w:divBdr>
        <w:top w:val="none" w:sz="0" w:space="0" w:color="auto"/>
        <w:left w:val="none" w:sz="0" w:space="0" w:color="auto"/>
        <w:bottom w:val="none" w:sz="0" w:space="0" w:color="auto"/>
        <w:right w:val="none" w:sz="0" w:space="0" w:color="auto"/>
      </w:divBdr>
    </w:div>
    <w:div w:id="2026439350">
      <w:bodyDiv w:val="1"/>
      <w:marLeft w:val="0"/>
      <w:marRight w:val="0"/>
      <w:marTop w:val="0"/>
      <w:marBottom w:val="0"/>
      <w:divBdr>
        <w:top w:val="none" w:sz="0" w:space="0" w:color="auto"/>
        <w:left w:val="none" w:sz="0" w:space="0" w:color="auto"/>
        <w:bottom w:val="none" w:sz="0" w:space="0" w:color="auto"/>
        <w:right w:val="none" w:sz="0" w:space="0" w:color="auto"/>
      </w:divBdr>
    </w:div>
    <w:div w:id="2026906783">
      <w:bodyDiv w:val="1"/>
      <w:marLeft w:val="0"/>
      <w:marRight w:val="0"/>
      <w:marTop w:val="0"/>
      <w:marBottom w:val="0"/>
      <w:divBdr>
        <w:top w:val="none" w:sz="0" w:space="0" w:color="auto"/>
        <w:left w:val="none" w:sz="0" w:space="0" w:color="auto"/>
        <w:bottom w:val="none" w:sz="0" w:space="0" w:color="auto"/>
        <w:right w:val="none" w:sz="0" w:space="0" w:color="auto"/>
      </w:divBdr>
    </w:div>
    <w:div w:id="2068338024">
      <w:bodyDiv w:val="1"/>
      <w:marLeft w:val="0"/>
      <w:marRight w:val="0"/>
      <w:marTop w:val="0"/>
      <w:marBottom w:val="0"/>
      <w:divBdr>
        <w:top w:val="none" w:sz="0" w:space="0" w:color="auto"/>
        <w:left w:val="none" w:sz="0" w:space="0" w:color="auto"/>
        <w:bottom w:val="none" w:sz="0" w:space="0" w:color="auto"/>
        <w:right w:val="none" w:sz="0" w:space="0" w:color="auto"/>
      </w:divBdr>
    </w:div>
    <w:div w:id="21135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3.png"/><Relationship Id="rId39" Type="http://schemas.openxmlformats.org/officeDocument/2006/relationships/footer" Target="footer11.xml"/><Relationship Id="rId21" Type="http://schemas.openxmlformats.org/officeDocument/2006/relationships/hyperlink" Target="http://www.finance.gov.au" TargetMode="Externa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1.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footer" Target="footer23.xml"/><Relationship Id="rId68"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footer" Target="footer27.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5.png"/><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12.xml"/><Relationship Id="rId45" Type="http://schemas.openxmlformats.org/officeDocument/2006/relationships/image" Target="media/image7.png"/><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0.xml"/><Relationship Id="rId49" Type="http://schemas.openxmlformats.org/officeDocument/2006/relationships/footer" Target="footer15.xml"/><Relationship Id="rId57" Type="http://schemas.openxmlformats.org/officeDocument/2006/relationships/header" Target="header16.xml"/><Relationship Id="rId61"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yperlink" Target="http://www.pmc.gov.au/government/commonwealthcoatarms" TargetMode="External"/><Relationship Id="rId31" Type="http://schemas.openxmlformats.org/officeDocument/2006/relationships/header" Target="header4.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header" Target="header17.xml"/><Relationship Id="rId65" Type="http://schemas.openxmlformats.org/officeDocument/2006/relationships/footer" Target="footer24.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19.xml"/><Relationship Id="rId69" Type="http://schemas.openxmlformats.org/officeDocument/2006/relationships/footer" Target="footer26.xml"/><Relationship Id="rId8" Type="http://schemas.openxmlformats.org/officeDocument/2006/relationships/webSettings" Target="webSettings.xml"/><Relationship Id="rId51" Type="http://schemas.openxmlformats.org/officeDocument/2006/relationships/header" Target="header13.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reativecommons.org/licenses/by/3.0/au/legalcode" TargetMode="Externa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8.xml"/><Relationship Id="rId46" Type="http://schemas.openxmlformats.org/officeDocument/2006/relationships/image" Target="media/image8.png"/><Relationship Id="rId59" Type="http://schemas.openxmlformats.org/officeDocument/2006/relationships/footer" Target="footer21.xml"/><Relationship Id="rId67" Type="http://schemas.openxmlformats.org/officeDocument/2006/relationships/header" Target="header21.xml"/><Relationship Id="rId20" Type="http://schemas.openxmlformats.org/officeDocument/2006/relationships/hyperlink" Target="http://www.treasury.gov.au"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EFO.dotx" TargetMode="External"/></Relationships>
</file>

<file path=word/theme/theme1.xml><?xml version="1.0" encoding="utf-8"?>
<a:theme xmlns:a="http://schemas.openxmlformats.org/drawingml/2006/main" name="Office Theme">
  <a:themeElements>
    <a:clrScheme name="Budget_UPDATE">
      <a:dk1>
        <a:sysClr val="windowText" lastClr="000000"/>
      </a:dk1>
      <a:lt1>
        <a:sysClr val="window" lastClr="FFFFFF"/>
      </a:lt1>
      <a:dk2>
        <a:srgbClr val="00487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Status xmlns="9115ddca-c623-419f-a3c0-6a1c58c4dac8" xsi:nil="true"/>
    <Notes xmlns="9115ddca-c623-419f-a3c0-6a1c58c4da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18" ma:contentTypeDescription="Create a new document." ma:contentTypeScope="" ma:versionID="0bcec5cdd4fc2bcd38b1ebddd58f9446">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27686311e875074a3b9aff581e27b08e"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10C22-48B6-409D-8797-CE995312BB9D}">
  <ds:schemaRefs>
    <ds:schemaRef ds:uri="http://schemas.microsoft.com/office/2006/documentManagement/types"/>
    <ds:schemaRef ds:uri="244fe85f-b655-4145-9b20-543b75dc1c24"/>
    <ds:schemaRef ds:uri="http://purl.org/dc/elements/1.1/"/>
    <ds:schemaRef ds:uri="9115ddca-c623-419f-a3c0-6a1c58c4dac8"/>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53AA9E-2B4C-498E-BF15-A77AA39CFF88}">
  <ds:schemaRefs>
    <ds:schemaRef ds:uri="http://schemas.microsoft.com/sharepoint/v3/contenttype/forms"/>
  </ds:schemaRefs>
</ds:datastoreItem>
</file>

<file path=customXml/itemProps3.xml><?xml version="1.0" encoding="utf-8"?>
<ds:datastoreItem xmlns:ds="http://schemas.openxmlformats.org/officeDocument/2006/customXml" ds:itemID="{B5A04592-7FE6-43B9-A38C-7F3C89334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95FA7-3240-4BEA-BAC9-A26A6731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PEFO.dotx</Template>
  <TotalTime>88</TotalTime>
  <Pages>3</Pages>
  <Words>12717</Words>
  <Characters>69381</Characters>
  <Application>Microsoft Office Word</Application>
  <DocSecurity>0</DocSecurity>
  <Lines>3964</Lines>
  <Paragraphs>2190</Paragraphs>
  <ScaleCrop>false</ScaleCrop>
  <HeadingPairs>
    <vt:vector size="2" baseType="variant">
      <vt:variant>
        <vt:lpstr>Title</vt:lpstr>
      </vt:variant>
      <vt:variant>
        <vt:i4>1</vt:i4>
      </vt:variant>
    </vt:vector>
  </HeadingPairs>
  <TitlesOfParts>
    <vt:vector size="1" baseType="lpstr">
      <vt:lpstr>Pre-election Economic and Fiscal Outlook 2022</vt:lpstr>
    </vt:vector>
  </TitlesOfParts>
  <Company>Australian Government - The Treasury</Company>
  <LinksUpToDate>false</LinksUpToDate>
  <CharactersWithSpaces>80922</CharactersWithSpaces>
  <SharedDoc>false</SharedDoc>
  <HLinks>
    <vt:vector size="114" baseType="variant">
      <vt:variant>
        <vt:i4>1114173</vt:i4>
      </vt:variant>
      <vt:variant>
        <vt:i4>154</vt:i4>
      </vt:variant>
      <vt:variant>
        <vt:i4>0</vt:i4>
      </vt:variant>
      <vt:variant>
        <vt:i4>5</vt:i4>
      </vt:variant>
      <vt:variant>
        <vt:lpwstr/>
      </vt:variant>
      <vt:variant>
        <vt:lpwstr>_Toc101281551</vt:lpwstr>
      </vt:variant>
      <vt:variant>
        <vt:i4>1114173</vt:i4>
      </vt:variant>
      <vt:variant>
        <vt:i4>148</vt:i4>
      </vt:variant>
      <vt:variant>
        <vt:i4>0</vt:i4>
      </vt:variant>
      <vt:variant>
        <vt:i4>5</vt:i4>
      </vt:variant>
      <vt:variant>
        <vt:lpwstr/>
      </vt:variant>
      <vt:variant>
        <vt:lpwstr>_Toc101281550</vt:lpwstr>
      </vt:variant>
      <vt:variant>
        <vt:i4>1048637</vt:i4>
      </vt:variant>
      <vt:variant>
        <vt:i4>142</vt:i4>
      </vt:variant>
      <vt:variant>
        <vt:i4>0</vt:i4>
      </vt:variant>
      <vt:variant>
        <vt:i4>5</vt:i4>
      </vt:variant>
      <vt:variant>
        <vt:lpwstr/>
      </vt:variant>
      <vt:variant>
        <vt:lpwstr>_Toc101281549</vt:lpwstr>
      </vt:variant>
      <vt:variant>
        <vt:i4>1048637</vt:i4>
      </vt:variant>
      <vt:variant>
        <vt:i4>136</vt:i4>
      </vt:variant>
      <vt:variant>
        <vt:i4>0</vt:i4>
      </vt:variant>
      <vt:variant>
        <vt:i4>5</vt:i4>
      </vt:variant>
      <vt:variant>
        <vt:lpwstr/>
      </vt:variant>
      <vt:variant>
        <vt:lpwstr>_Toc101281548</vt:lpwstr>
      </vt:variant>
      <vt:variant>
        <vt:i4>1048637</vt:i4>
      </vt:variant>
      <vt:variant>
        <vt:i4>130</vt:i4>
      </vt:variant>
      <vt:variant>
        <vt:i4>0</vt:i4>
      </vt:variant>
      <vt:variant>
        <vt:i4>5</vt:i4>
      </vt:variant>
      <vt:variant>
        <vt:lpwstr/>
      </vt:variant>
      <vt:variant>
        <vt:lpwstr>_Toc101281547</vt:lpwstr>
      </vt:variant>
      <vt:variant>
        <vt:i4>1048637</vt:i4>
      </vt:variant>
      <vt:variant>
        <vt:i4>124</vt:i4>
      </vt:variant>
      <vt:variant>
        <vt:i4>0</vt:i4>
      </vt:variant>
      <vt:variant>
        <vt:i4>5</vt:i4>
      </vt:variant>
      <vt:variant>
        <vt:lpwstr/>
      </vt:variant>
      <vt:variant>
        <vt:lpwstr>_Toc101281546</vt:lpwstr>
      </vt:variant>
      <vt:variant>
        <vt:i4>1048637</vt:i4>
      </vt:variant>
      <vt:variant>
        <vt:i4>118</vt:i4>
      </vt:variant>
      <vt:variant>
        <vt:i4>0</vt:i4>
      </vt:variant>
      <vt:variant>
        <vt:i4>5</vt:i4>
      </vt:variant>
      <vt:variant>
        <vt:lpwstr/>
      </vt:variant>
      <vt:variant>
        <vt:lpwstr>_Toc101281545</vt:lpwstr>
      </vt:variant>
      <vt:variant>
        <vt:i4>1048637</vt:i4>
      </vt:variant>
      <vt:variant>
        <vt:i4>112</vt:i4>
      </vt:variant>
      <vt:variant>
        <vt:i4>0</vt:i4>
      </vt:variant>
      <vt:variant>
        <vt:i4>5</vt:i4>
      </vt:variant>
      <vt:variant>
        <vt:lpwstr/>
      </vt:variant>
      <vt:variant>
        <vt:lpwstr>_Toc101281544</vt:lpwstr>
      </vt:variant>
      <vt:variant>
        <vt:i4>1048637</vt:i4>
      </vt:variant>
      <vt:variant>
        <vt:i4>106</vt:i4>
      </vt:variant>
      <vt:variant>
        <vt:i4>0</vt:i4>
      </vt:variant>
      <vt:variant>
        <vt:i4>5</vt:i4>
      </vt:variant>
      <vt:variant>
        <vt:lpwstr/>
      </vt:variant>
      <vt:variant>
        <vt:lpwstr>_Toc101281541</vt:lpwstr>
      </vt:variant>
      <vt:variant>
        <vt:i4>1048637</vt:i4>
      </vt:variant>
      <vt:variant>
        <vt:i4>100</vt:i4>
      </vt:variant>
      <vt:variant>
        <vt:i4>0</vt:i4>
      </vt:variant>
      <vt:variant>
        <vt:i4>5</vt:i4>
      </vt:variant>
      <vt:variant>
        <vt:lpwstr/>
      </vt:variant>
      <vt:variant>
        <vt:lpwstr>_Toc101281540</vt:lpwstr>
      </vt:variant>
      <vt:variant>
        <vt:i4>1507389</vt:i4>
      </vt:variant>
      <vt:variant>
        <vt:i4>94</vt:i4>
      </vt:variant>
      <vt:variant>
        <vt:i4>0</vt:i4>
      </vt:variant>
      <vt:variant>
        <vt:i4>5</vt:i4>
      </vt:variant>
      <vt:variant>
        <vt:lpwstr/>
      </vt:variant>
      <vt:variant>
        <vt:lpwstr>_Toc101281539</vt:lpwstr>
      </vt:variant>
      <vt:variant>
        <vt:i4>1507389</vt:i4>
      </vt:variant>
      <vt:variant>
        <vt:i4>88</vt:i4>
      </vt:variant>
      <vt:variant>
        <vt:i4>0</vt:i4>
      </vt:variant>
      <vt:variant>
        <vt:i4>5</vt:i4>
      </vt:variant>
      <vt:variant>
        <vt:lpwstr/>
      </vt:variant>
      <vt:variant>
        <vt:lpwstr>_Toc101281538</vt:lpwstr>
      </vt:variant>
      <vt:variant>
        <vt:i4>1507389</vt:i4>
      </vt:variant>
      <vt:variant>
        <vt:i4>82</vt:i4>
      </vt:variant>
      <vt:variant>
        <vt:i4>0</vt:i4>
      </vt:variant>
      <vt:variant>
        <vt:i4>5</vt:i4>
      </vt:variant>
      <vt:variant>
        <vt:lpwstr/>
      </vt:variant>
      <vt:variant>
        <vt:lpwstr>_Toc101281537</vt:lpwstr>
      </vt:variant>
      <vt:variant>
        <vt:i4>1507389</vt:i4>
      </vt:variant>
      <vt:variant>
        <vt:i4>76</vt:i4>
      </vt:variant>
      <vt:variant>
        <vt:i4>0</vt:i4>
      </vt:variant>
      <vt:variant>
        <vt:i4>5</vt:i4>
      </vt:variant>
      <vt:variant>
        <vt:lpwstr/>
      </vt:variant>
      <vt:variant>
        <vt:lpwstr>_Toc101281536</vt:lpwstr>
      </vt:variant>
      <vt:variant>
        <vt:i4>1507389</vt:i4>
      </vt:variant>
      <vt:variant>
        <vt:i4>70</vt:i4>
      </vt:variant>
      <vt:variant>
        <vt:i4>0</vt:i4>
      </vt:variant>
      <vt:variant>
        <vt:i4>5</vt:i4>
      </vt:variant>
      <vt:variant>
        <vt:lpwstr/>
      </vt:variant>
      <vt:variant>
        <vt:lpwstr>_Toc101281535</vt:lpwstr>
      </vt:variant>
      <vt:variant>
        <vt:i4>7798817</vt:i4>
      </vt:variant>
      <vt:variant>
        <vt:i4>65</vt:i4>
      </vt:variant>
      <vt:variant>
        <vt:i4>0</vt:i4>
      </vt:variant>
      <vt:variant>
        <vt:i4>5</vt:i4>
      </vt:variant>
      <vt:variant>
        <vt:lpwstr>http://www.finance.gov.au/</vt:lpwstr>
      </vt:variant>
      <vt:variant>
        <vt:lpwstr/>
      </vt:variant>
      <vt:variant>
        <vt:i4>2162751</vt:i4>
      </vt:variant>
      <vt:variant>
        <vt:i4>62</vt:i4>
      </vt:variant>
      <vt:variant>
        <vt:i4>0</vt:i4>
      </vt:variant>
      <vt:variant>
        <vt:i4>5</vt:i4>
      </vt:variant>
      <vt:variant>
        <vt:lpwstr>http://www.treasury.gov.au/</vt:lpwstr>
      </vt:variant>
      <vt:variant>
        <vt:lpwstr/>
      </vt:variant>
      <vt:variant>
        <vt:i4>2031628</vt:i4>
      </vt:variant>
      <vt:variant>
        <vt:i4>59</vt:i4>
      </vt:variant>
      <vt:variant>
        <vt:i4>0</vt:i4>
      </vt:variant>
      <vt:variant>
        <vt:i4>5</vt:i4>
      </vt:variant>
      <vt:variant>
        <vt:lpwstr>http://www.pmc.gov.au/government/commonwealthcoatarms</vt:lpwstr>
      </vt:variant>
      <vt:variant>
        <vt:lpwstr/>
      </vt:variant>
      <vt:variant>
        <vt:i4>2687028</vt:i4>
      </vt:variant>
      <vt:variant>
        <vt:i4>56</vt:i4>
      </vt:variant>
      <vt:variant>
        <vt:i4>0</vt:i4>
      </vt:variant>
      <vt:variant>
        <vt:i4>5</vt:i4>
      </vt:variant>
      <vt:variant>
        <vt:lpwstr>http://creativecommons.org/licenses/by/3.0/au/legalcode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Pre-election Economic and Fiscal Outlook 2022</dc:title>
  <dc:subject>Budget</dc:subject>
  <dc:creator>Australian Government</dc:creator>
  <cp:keywords/>
  <dc:description/>
  <cp:lastModifiedBy>Christine</cp:lastModifiedBy>
  <cp:revision>45</cp:revision>
  <cp:lastPrinted>2022-04-20T00:47:00Z</cp:lastPrinted>
  <dcterms:created xsi:type="dcterms:W3CDTF">2022-04-20T00:56:00Z</dcterms:created>
  <dcterms:modified xsi:type="dcterms:W3CDTF">2022-04-20T01:05:00Z</dcterms:modified>
</cp:coreProperties>
</file>