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45F3A" w14:textId="77777777" w:rsidR="000E0B74" w:rsidRPr="006D0240" w:rsidRDefault="000E0B74" w:rsidP="008E6292"/>
    <w:p w14:paraId="035F2012" w14:textId="08841B5B" w:rsidR="003B4683" w:rsidRPr="006D0240" w:rsidRDefault="003B4683" w:rsidP="008E6292"/>
    <w:p w14:paraId="0F45F8EF" w14:textId="77777777" w:rsidR="000E0B74" w:rsidRPr="006D0240" w:rsidRDefault="000E0B74" w:rsidP="001D4EAA">
      <w:pPr>
        <w:pStyle w:val="Crest"/>
        <w:spacing w:after="1320"/>
        <w:jc w:val="left"/>
      </w:pPr>
      <w:bookmarkStart w:id="0" w:name="_GoBack"/>
      <w:bookmarkEnd w:id="0"/>
    </w:p>
    <w:p w14:paraId="6A0C3D41" w14:textId="561C1A75" w:rsidR="00812BA4" w:rsidRPr="00812BA4" w:rsidRDefault="00077183" w:rsidP="00D346A9">
      <w:pPr>
        <w:pStyle w:val="Title"/>
      </w:pPr>
      <w:r>
        <w:t xml:space="preserve">Corporate </w:t>
      </w:r>
      <w:r w:rsidR="00812BA4">
        <w:t>c</w:t>
      </w:r>
      <w:r>
        <w:t>ontrol</w:t>
      </w:r>
      <w:r w:rsidDel="00077183">
        <w:t xml:space="preserve"> </w:t>
      </w:r>
      <w:r w:rsidR="00812BA4">
        <w:t>transactions in Australia</w:t>
      </w:r>
    </w:p>
    <w:p w14:paraId="5CEDAC6E" w14:textId="789BA3A2" w:rsidR="000E0B74" w:rsidRPr="005C5168" w:rsidRDefault="00812BA4" w:rsidP="001D4EAA">
      <w:pPr>
        <w:pStyle w:val="Subtitle"/>
      </w:pPr>
      <w:r>
        <w:t>Consultation on options to improve s</w:t>
      </w:r>
      <w:r w:rsidR="009D30DF">
        <w:t xml:space="preserve">chemes of </w:t>
      </w:r>
      <w:r w:rsidR="00A6662F">
        <w:t>a</w:t>
      </w:r>
      <w:r w:rsidR="009D30DF">
        <w:t>rrangement</w:t>
      </w:r>
      <w:r w:rsidR="00A6662F">
        <w:t xml:space="preserve">, takeover bids, and the role of the </w:t>
      </w:r>
      <w:r w:rsidR="00A6662F" w:rsidRPr="005C5168">
        <w:t>Takeovers Panel</w:t>
      </w:r>
    </w:p>
    <w:p w14:paraId="10C1D0B0" w14:textId="55C39E25" w:rsidR="000E0B74" w:rsidRDefault="008C1C9B" w:rsidP="000E0B74">
      <w:pPr>
        <w:sectPr w:rsidR="000E0B74" w:rsidSect="00E1136B">
          <w:headerReference w:type="default" r:id="rId14"/>
          <w:pgSz w:w="11906" w:h="16838"/>
          <w:pgMar w:top="1418" w:right="1418" w:bottom="1418" w:left="1418" w:header="709" w:footer="709" w:gutter="0"/>
          <w:pgNumType w:fmt="lowerRoman" w:start="1"/>
          <w:cols w:space="720"/>
        </w:sectPr>
      </w:pPr>
      <w:r w:rsidRPr="005C5168">
        <w:rPr>
          <w:rStyle w:val="ReportDateChar"/>
        </w:rPr>
        <w:t>April</w:t>
      </w:r>
      <w:r w:rsidR="0015049B" w:rsidRPr="005C5168">
        <w:rPr>
          <w:rStyle w:val="ReportDateChar"/>
        </w:rPr>
        <w:t xml:space="preserve"> </w:t>
      </w:r>
      <w:r w:rsidR="009E5BCC" w:rsidRPr="005C5168">
        <w:rPr>
          <w:rStyle w:val="ReportDateChar"/>
        </w:rPr>
        <w:t>2022</w:t>
      </w:r>
    </w:p>
    <w:p w14:paraId="766FA043" w14:textId="6A00A84E" w:rsidR="000E0B74" w:rsidRDefault="000E0B74" w:rsidP="000E0B74">
      <w:pPr>
        <w:spacing w:before="240"/>
      </w:pPr>
      <w:r w:rsidRPr="00661BF0">
        <w:lastRenderedPageBreak/>
        <w:t xml:space="preserve">© Commonwealth of Australia </w:t>
      </w:r>
      <w:r w:rsidRPr="00FE66FC">
        <w:t>20</w:t>
      </w:r>
      <w:r w:rsidR="00EF2FBF" w:rsidRPr="00FE66FC">
        <w:t>2</w:t>
      </w:r>
      <w:r w:rsidR="009E5BCC" w:rsidRPr="00FE66FC">
        <w:t>2</w:t>
      </w:r>
    </w:p>
    <w:p w14:paraId="3364309D" w14:textId="7BD48F01"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rsidR="009D30DF">
        <w:t>.</w:t>
      </w:r>
      <w:r w:rsidRPr="002F1BC2">
        <w:t xml:space="preserve"> 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25A9BDB2" w14:textId="77777777" w:rsidR="000E0B74" w:rsidRDefault="000E0B74" w:rsidP="000E0B74">
      <w:pPr>
        <w:pStyle w:val="ChartGraphic"/>
        <w:jc w:val="left"/>
      </w:pPr>
      <w:r w:rsidRPr="00E56DFB">
        <w:rPr>
          <w:noProof/>
          <w:lang w:eastAsia="zh-CN"/>
        </w:rPr>
        <w:drawing>
          <wp:inline distT="0" distB="0" distL="0" distR="0" wp14:anchorId="2502BF6B" wp14:editId="75763B5E">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BDF1427"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381508BD"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19FD1C25"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1E2D76FC" w14:textId="6CA3F0C2" w:rsidR="000E0B74" w:rsidRPr="00A13A11" w:rsidRDefault="000E0B74" w:rsidP="000E0B74">
      <w:pPr>
        <w:ind w:firstLine="720"/>
      </w:pPr>
      <w:r w:rsidRPr="002F1BC2">
        <w:rPr>
          <w:i/>
        </w:rPr>
        <w:t xml:space="preserve">Source: The </w:t>
      </w:r>
      <w:r w:rsidRPr="002F1BC2">
        <w:rPr>
          <w:i/>
          <w:iCs/>
        </w:rPr>
        <w:t>Australian Government the Treasury</w:t>
      </w:r>
      <w:r w:rsidR="009E5BCC">
        <w:rPr>
          <w:i/>
          <w:iCs/>
        </w:rPr>
        <w:t>.</w:t>
      </w:r>
    </w:p>
    <w:p w14:paraId="513A5639" w14:textId="77777777" w:rsidR="000E0B74" w:rsidRPr="006627B4" w:rsidRDefault="000E0B74" w:rsidP="000E0B74">
      <w:pPr>
        <w:spacing w:before="240"/>
      </w:pPr>
      <w:r w:rsidRPr="00CC63CC">
        <w:rPr>
          <w:b/>
        </w:rPr>
        <w:t>Derivative</w:t>
      </w:r>
      <w:r w:rsidRPr="006627B4">
        <w:t xml:space="preserve"> </w:t>
      </w:r>
      <w:r w:rsidRPr="00CC63CC">
        <w:rPr>
          <w:b/>
        </w:rPr>
        <w:t>material</w:t>
      </w:r>
    </w:p>
    <w:p w14:paraId="460A96C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F475AD6" w14:textId="7AB96AC3" w:rsidR="000E0B74" w:rsidRPr="006627B4" w:rsidRDefault="000E0B74" w:rsidP="000E0B74">
      <w:pPr>
        <w:ind w:firstLine="720"/>
      </w:pPr>
      <w:r w:rsidRPr="002F1BC2">
        <w:rPr>
          <w:i/>
        </w:rPr>
        <w:t>Based on The Australian Government the Treasury data</w:t>
      </w:r>
      <w:r w:rsidR="006946E6">
        <w:rPr>
          <w:i/>
        </w:rPr>
        <w:t>.</w:t>
      </w:r>
      <w:r w:rsidRPr="006627B4">
        <w:t xml:space="preserve"> </w:t>
      </w:r>
    </w:p>
    <w:p w14:paraId="0F7497F7" w14:textId="77777777" w:rsidR="000E0B74" w:rsidRPr="006627B4" w:rsidRDefault="000E0B74" w:rsidP="000E0B74">
      <w:pPr>
        <w:spacing w:before="240"/>
        <w:rPr>
          <w:b/>
        </w:rPr>
      </w:pPr>
      <w:r w:rsidRPr="006627B4">
        <w:rPr>
          <w:b/>
        </w:rPr>
        <w:t>Use of the Coat of Arms</w:t>
      </w:r>
    </w:p>
    <w:p w14:paraId="06F69881" w14:textId="46CA84D5"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9" w:history="1">
        <w:r w:rsidRPr="009E5BCC">
          <w:rPr>
            <w:rStyle w:val="Hyperlink"/>
          </w:rPr>
          <w:t>www.pmc.gov.au/government/commonwealth-coat-arms</w:t>
        </w:r>
      </w:hyperlink>
      <w:r w:rsidRPr="004A7BC2">
        <w:t>).</w:t>
      </w:r>
    </w:p>
    <w:p w14:paraId="3D454210" w14:textId="77777777" w:rsidR="000E0B74" w:rsidRPr="006627B4" w:rsidRDefault="000E0B74" w:rsidP="000E0B74">
      <w:pPr>
        <w:spacing w:before="240"/>
        <w:rPr>
          <w:b/>
        </w:rPr>
      </w:pPr>
      <w:r>
        <w:rPr>
          <w:b/>
        </w:rPr>
        <w:t>Other u</w:t>
      </w:r>
      <w:r w:rsidRPr="006627B4">
        <w:rPr>
          <w:b/>
        </w:rPr>
        <w:t>ses</w:t>
      </w:r>
    </w:p>
    <w:p w14:paraId="2504384E" w14:textId="77777777" w:rsidR="000E0B74" w:rsidRPr="006627B4" w:rsidRDefault="000E0B74" w:rsidP="000E0B74">
      <w:r>
        <w:t>E</w:t>
      </w:r>
      <w:r w:rsidRPr="006627B4">
        <w:t>nquiries regarding this licence and any other use of this document are welcome at:</w:t>
      </w:r>
    </w:p>
    <w:p w14:paraId="2DF0CFAB" w14:textId="7894DDA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ACT </w:t>
      </w:r>
      <w:r>
        <w:t xml:space="preserve"> </w:t>
      </w:r>
      <w:r w:rsidRPr="006627B4">
        <w:t>2600</w:t>
      </w:r>
      <w:r>
        <w:br/>
      </w:r>
      <w:r w:rsidRPr="006627B4">
        <w:t xml:space="preserve">Email: </w:t>
      </w:r>
      <w:hyperlink r:id="rId20" w:history="1">
        <w:r w:rsidR="004A077D" w:rsidRPr="000951A5">
          <w:rPr>
            <w:rStyle w:val="Hyperlink"/>
          </w:rPr>
          <w:t>media@treasury.gov.au</w:t>
        </w:r>
      </w:hyperlink>
      <w:r w:rsidR="004A077D">
        <w:t xml:space="preserve"> </w:t>
      </w:r>
    </w:p>
    <w:p w14:paraId="0A5BA9F7" w14:textId="77777777" w:rsidR="000E0B74" w:rsidRDefault="000E0B74" w:rsidP="000E0B74">
      <w:pPr>
        <w:pStyle w:val="SingleParagraph"/>
        <w:sectPr w:rsidR="000E0B74" w:rsidSect="00475B7B">
          <w:headerReference w:type="even" r:id="rId21"/>
          <w:headerReference w:type="default" r:id="rId22"/>
          <w:footerReference w:type="even" r:id="rId23"/>
          <w:pgSz w:w="11906" w:h="16838" w:code="9"/>
          <w:pgMar w:top="1418" w:right="1418" w:bottom="1418" w:left="1418" w:header="709" w:footer="709" w:gutter="0"/>
          <w:pgNumType w:fmt="lowerRoman"/>
          <w:cols w:space="708"/>
          <w:titlePg/>
          <w:docGrid w:linePitch="360"/>
        </w:sectPr>
      </w:pPr>
    </w:p>
    <w:p w14:paraId="79943035" w14:textId="77777777" w:rsidR="000E0B74" w:rsidRPr="00354FBB" w:rsidRDefault="000E0B74" w:rsidP="00354FBB">
      <w:pPr>
        <w:pStyle w:val="Heading1"/>
      </w:pPr>
      <w:bookmarkStart w:id="1" w:name="_Toc99619833"/>
      <w:r w:rsidRPr="00354FBB">
        <w:lastRenderedPageBreak/>
        <w:t>Contents</w:t>
      </w:r>
      <w:bookmarkEnd w:id="1"/>
    </w:p>
    <w:p w14:paraId="7DD1C940" w14:textId="0DDA44A9" w:rsidR="00F66799"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99619833" w:history="1">
        <w:r w:rsidR="00F66799" w:rsidRPr="00893CBD">
          <w:rPr>
            <w:rStyle w:val="Hyperlink"/>
          </w:rPr>
          <w:t>Contents</w:t>
        </w:r>
        <w:r w:rsidR="00F66799">
          <w:rPr>
            <w:webHidden/>
          </w:rPr>
          <w:tab/>
        </w:r>
        <w:r w:rsidR="00F66799">
          <w:rPr>
            <w:webHidden/>
          </w:rPr>
          <w:fldChar w:fldCharType="begin"/>
        </w:r>
        <w:r w:rsidR="00F66799">
          <w:rPr>
            <w:webHidden/>
          </w:rPr>
          <w:instrText xml:space="preserve"> PAGEREF _Toc99619833 \h </w:instrText>
        </w:r>
        <w:r w:rsidR="00F66799">
          <w:rPr>
            <w:webHidden/>
          </w:rPr>
        </w:r>
        <w:r w:rsidR="00F66799">
          <w:rPr>
            <w:webHidden/>
          </w:rPr>
          <w:fldChar w:fldCharType="separate"/>
        </w:r>
        <w:r w:rsidR="00F66799">
          <w:rPr>
            <w:webHidden/>
          </w:rPr>
          <w:t>iii</w:t>
        </w:r>
        <w:r w:rsidR="00F66799">
          <w:rPr>
            <w:webHidden/>
          </w:rPr>
          <w:fldChar w:fldCharType="end"/>
        </w:r>
      </w:hyperlink>
    </w:p>
    <w:p w14:paraId="74229F39" w14:textId="5F4C320E" w:rsidR="00F66799" w:rsidRDefault="001B3D65">
      <w:pPr>
        <w:pStyle w:val="TOC1"/>
        <w:rPr>
          <w:rFonts w:asciiTheme="minorHAnsi" w:eastAsiaTheme="minorEastAsia" w:hAnsiTheme="minorHAnsi" w:cstheme="minorBidi"/>
          <w:b w:val="0"/>
          <w:color w:val="auto"/>
        </w:rPr>
      </w:pPr>
      <w:hyperlink w:anchor="_Toc99619834" w:history="1">
        <w:r w:rsidR="00F66799" w:rsidRPr="00893CBD">
          <w:rPr>
            <w:rStyle w:val="Hyperlink"/>
          </w:rPr>
          <w:t>Consultation Process</w:t>
        </w:r>
        <w:r w:rsidR="00F66799">
          <w:rPr>
            <w:webHidden/>
          </w:rPr>
          <w:tab/>
        </w:r>
        <w:r w:rsidR="00F66799">
          <w:rPr>
            <w:webHidden/>
          </w:rPr>
          <w:fldChar w:fldCharType="begin"/>
        </w:r>
        <w:r w:rsidR="00F66799">
          <w:rPr>
            <w:webHidden/>
          </w:rPr>
          <w:instrText xml:space="preserve"> PAGEREF _Toc99619834 \h </w:instrText>
        </w:r>
        <w:r w:rsidR="00F66799">
          <w:rPr>
            <w:webHidden/>
          </w:rPr>
        </w:r>
        <w:r w:rsidR="00F66799">
          <w:rPr>
            <w:webHidden/>
          </w:rPr>
          <w:fldChar w:fldCharType="separate"/>
        </w:r>
        <w:r w:rsidR="00F66799">
          <w:rPr>
            <w:webHidden/>
          </w:rPr>
          <w:t>1</w:t>
        </w:r>
        <w:r w:rsidR="00F66799">
          <w:rPr>
            <w:webHidden/>
          </w:rPr>
          <w:fldChar w:fldCharType="end"/>
        </w:r>
      </w:hyperlink>
    </w:p>
    <w:p w14:paraId="6F433B06" w14:textId="58068083" w:rsidR="00F66799" w:rsidRDefault="001B3D65">
      <w:pPr>
        <w:pStyle w:val="TOC2"/>
        <w:rPr>
          <w:rFonts w:asciiTheme="minorHAnsi" w:eastAsiaTheme="minorEastAsia" w:hAnsiTheme="minorHAnsi" w:cstheme="minorBidi"/>
          <w:color w:val="auto"/>
          <w:szCs w:val="22"/>
        </w:rPr>
      </w:pPr>
      <w:hyperlink w:anchor="_Toc99619835" w:history="1">
        <w:r w:rsidR="00F66799" w:rsidRPr="00893CBD">
          <w:rPr>
            <w:rStyle w:val="Hyperlink"/>
          </w:rPr>
          <w:t>Request for feedback and comments</w:t>
        </w:r>
        <w:r w:rsidR="00F66799">
          <w:rPr>
            <w:webHidden/>
          </w:rPr>
          <w:tab/>
        </w:r>
        <w:r w:rsidR="00F66799">
          <w:rPr>
            <w:webHidden/>
          </w:rPr>
          <w:fldChar w:fldCharType="begin"/>
        </w:r>
        <w:r w:rsidR="00F66799">
          <w:rPr>
            <w:webHidden/>
          </w:rPr>
          <w:instrText xml:space="preserve"> PAGEREF _Toc99619835 \h </w:instrText>
        </w:r>
        <w:r w:rsidR="00F66799">
          <w:rPr>
            <w:webHidden/>
          </w:rPr>
        </w:r>
        <w:r w:rsidR="00F66799">
          <w:rPr>
            <w:webHidden/>
          </w:rPr>
          <w:fldChar w:fldCharType="separate"/>
        </w:r>
        <w:r w:rsidR="00F66799">
          <w:rPr>
            <w:webHidden/>
          </w:rPr>
          <w:t>1</w:t>
        </w:r>
        <w:r w:rsidR="00F66799">
          <w:rPr>
            <w:webHidden/>
          </w:rPr>
          <w:fldChar w:fldCharType="end"/>
        </w:r>
      </w:hyperlink>
    </w:p>
    <w:p w14:paraId="013C55FC" w14:textId="7576A1A4" w:rsidR="00F66799" w:rsidRDefault="001B3D65">
      <w:pPr>
        <w:pStyle w:val="TOC1"/>
        <w:rPr>
          <w:rFonts w:asciiTheme="minorHAnsi" w:eastAsiaTheme="minorEastAsia" w:hAnsiTheme="minorHAnsi" w:cstheme="minorBidi"/>
          <w:b w:val="0"/>
          <w:color w:val="auto"/>
        </w:rPr>
      </w:pPr>
      <w:hyperlink w:anchor="_Toc99619836" w:history="1">
        <w:r w:rsidR="00F66799" w:rsidRPr="00893CBD">
          <w:rPr>
            <w:rStyle w:val="Hyperlink"/>
          </w:rPr>
          <w:t>Improving control transactions in Australia</w:t>
        </w:r>
        <w:r w:rsidR="00F66799">
          <w:rPr>
            <w:webHidden/>
          </w:rPr>
          <w:tab/>
        </w:r>
        <w:r w:rsidR="00F66799">
          <w:rPr>
            <w:webHidden/>
          </w:rPr>
          <w:fldChar w:fldCharType="begin"/>
        </w:r>
        <w:r w:rsidR="00F66799">
          <w:rPr>
            <w:webHidden/>
          </w:rPr>
          <w:instrText xml:space="preserve"> PAGEREF _Toc99619836 \h </w:instrText>
        </w:r>
        <w:r w:rsidR="00F66799">
          <w:rPr>
            <w:webHidden/>
          </w:rPr>
        </w:r>
        <w:r w:rsidR="00F66799">
          <w:rPr>
            <w:webHidden/>
          </w:rPr>
          <w:fldChar w:fldCharType="separate"/>
        </w:r>
        <w:r w:rsidR="00F66799">
          <w:rPr>
            <w:webHidden/>
          </w:rPr>
          <w:t>2</w:t>
        </w:r>
        <w:r w:rsidR="00F66799">
          <w:rPr>
            <w:webHidden/>
          </w:rPr>
          <w:fldChar w:fldCharType="end"/>
        </w:r>
      </w:hyperlink>
    </w:p>
    <w:p w14:paraId="02BB6151" w14:textId="77070303" w:rsidR="00F66799" w:rsidRDefault="001B3D65">
      <w:pPr>
        <w:pStyle w:val="TOC2"/>
        <w:rPr>
          <w:rFonts w:asciiTheme="minorHAnsi" w:eastAsiaTheme="minorEastAsia" w:hAnsiTheme="minorHAnsi" w:cstheme="minorBidi"/>
          <w:color w:val="auto"/>
          <w:szCs w:val="22"/>
        </w:rPr>
      </w:pPr>
      <w:hyperlink w:anchor="_Toc99619837" w:history="1">
        <w:r w:rsidR="00F66799" w:rsidRPr="00893CBD">
          <w:rPr>
            <w:rStyle w:val="Hyperlink"/>
          </w:rPr>
          <w:t>Introduction</w:t>
        </w:r>
        <w:r w:rsidR="00F66799">
          <w:rPr>
            <w:webHidden/>
          </w:rPr>
          <w:tab/>
        </w:r>
        <w:r w:rsidR="00F66799">
          <w:rPr>
            <w:webHidden/>
          </w:rPr>
          <w:fldChar w:fldCharType="begin"/>
        </w:r>
        <w:r w:rsidR="00F66799">
          <w:rPr>
            <w:webHidden/>
          </w:rPr>
          <w:instrText xml:space="preserve"> PAGEREF _Toc99619837 \h </w:instrText>
        </w:r>
        <w:r w:rsidR="00F66799">
          <w:rPr>
            <w:webHidden/>
          </w:rPr>
        </w:r>
        <w:r w:rsidR="00F66799">
          <w:rPr>
            <w:webHidden/>
          </w:rPr>
          <w:fldChar w:fldCharType="separate"/>
        </w:r>
        <w:r w:rsidR="00F66799">
          <w:rPr>
            <w:webHidden/>
          </w:rPr>
          <w:t>2</w:t>
        </w:r>
        <w:r w:rsidR="00F66799">
          <w:rPr>
            <w:webHidden/>
          </w:rPr>
          <w:fldChar w:fldCharType="end"/>
        </w:r>
      </w:hyperlink>
    </w:p>
    <w:p w14:paraId="69911FD0" w14:textId="7CED4DAC" w:rsidR="00F66799" w:rsidRDefault="001B3D65">
      <w:pPr>
        <w:pStyle w:val="TOC2"/>
        <w:rPr>
          <w:rFonts w:asciiTheme="minorHAnsi" w:eastAsiaTheme="minorEastAsia" w:hAnsiTheme="minorHAnsi" w:cstheme="minorBidi"/>
          <w:color w:val="auto"/>
          <w:szCs w:val="22"/>
        </w:rPr>
      </w:pPr>
      <w:hyperlink w:anchor="_Toc99619838" w:history="1">
        <w:r w:rsidR="00F66799" w:rsidRPr="00893CBD">
          <w:rPr>
            <w:rStyle w:val="Hyperlink"/>
          </w:rPr>
          <w:t>Consultation Objectives</w:t>
        </w:r>
        <w:r w:rsidR="00F66799">
          <w:rPr>
            <w:webHidden/>
          </w:rPr>
          <w:tab/>
        </w:r>
        <w:r w:rsidR="00F66799">
          <w:rPr>
            <w:webHidden/>
          </w:rPr>
          <w:fldChar w:fldCharType="begin"/>
        </w:r>
        <w:r w:rsidR="00F66799">
          <w:rPr>
            <w:webHidden/>
          </w:rPr>
          <w:instrText xml:space="preserve"> PAGEREF _Toc99619838 \h </w:instrText>
        </w:r>
        <w:r w:rsidR="00F66799">
          <w:rPr>
            <w:webHidden/>
          </w:rPr>
        </w:r>
        <w:r w:rsidR="00F66799">
          <w:rPr>
            <w:webHidden/>
          </w:rPr>
          <w:fldChar w:fldCharType="separate"/>
        </w:r>
        <w:r w:rsidR="00F66799">
          <w:rPr>
            <w:webHidden/>
          </w:rPr>
          <w:t>4</w:t>
        </w:r>
        <w:r w:rsidR="00F66799">
          <w:rPr>
            <w:webHidden/>
          </w:rPr>
          <w:fldChar w:fldCharType="end"/>
        </w:r>
      </w:hyperlink>
    </w:p>
    <w:p w14:paraId="7F7E6D86" w14:textId="2030C177" w:rsidR="00F66799" w:rsidRDefault="001B3D65">
      <w:pPr>
        <w:pStyle w:val="TOC2"/>
        <w:rPr>
          <w:rFonts w:asciiTheme="minorHAnsi" w:eastAsiaTheme="minorEastAsia" w:hAnsiTheme="minorHAnsi" w:cstheme="minorBidi"/>
          <w:color w:val="auto"/>
          <w:szCs w:val="22"/>
        </w:rPr>
      </w:pPr>
      <w:hyperlink w:anchor="_Toc99619839" w:history="1">
        <w:r w:rsidR="00F66799" w:rsidRPr="00893CBD">
          <w:rPr>
            <w:rStyle w:val="Hyperlink"/>
          </w:rPr>
          <w:t>Current Regulatory Framework</w:t>
        </w:r>
        <w:r w:rsidR="00F66799">
          <w:rPr>
            <w:webHidden/>
          </w:rPr>
          <w:tab/>
        </w:r>
        <w:r w:rsidR="00F66799">
          <w:rPr>
            <w:webHidden/>
          </w:rPr>
          <w:fldChar w:fldCharType="begin"/>
        </w:r>
        <w:r w:rsidR="00F66799">
          <w:rPr>
            <w:webHidden/>
          </w:rPr>
          <w:instrText xml:space="preserve"> PAGEREF _Toc99619839 \h </w:instrText>
        </w:r>
        <w:r w:rsidR="00F66799">
          <w:rPr>
            <w:webHidden/>
          </w:rPr>
        </w:r>
        <w:r w:rsidR="00F66799">
          <w:rPr>
            <w:webHidden/>
          </w:rPr>
          <w:fldChar w:fldCharType="separate"/>
        </w:r>
        <w:r w:rsidR="00F66799">
          <w:rPr>
            <w:webHidden/>
          </w:rPr>
          <w:t>4</w:t>
        </w:r>
        <w:r w:rsidR="00F66799">
          <w:rPr>
            <w:webHidden/>
          </w:rPr>
          <w:fldChar w:fldCharType="end"/>
        </w:r>
      </w:hyperlink>
    </w:p>
    <w:p w14:paraId="303CA20B" w14:textId="74B8F0F8" w:rsidR="00F66799" w:rsidRDefault="001B3D65">
      <w:pPr>
        <w:pStyle w:val="TOC3"/>
        <w:rPr>
          <w:rFonts w:asciiTheme="minorHAnsi" w:eastAsiaTheme="minorEastAsia" w:hAnsiTheme="minorHAnsi" w:cstheme="minorBidi"/>
          <w:color w:val="auto"/>
          <w:szCs w:val="22"/>
        </w:rPr>
      </w:pPr>
      <w:hyperlink w:anchor="_Toc99619840" w:history="1">
        <w:r w:rsidR="00F66799" w:rsidRPr="00893CBD">
          <w:rPr>
            <w:rStyle w:val="Hyperlink"/>
          </w:rPr>
          <w:t>Takeovers and the Takeovers Panel</w:t>
        </w:r>
        <w:r w:rsidR="00F66799">
          <w:rPr>
            <w:webHidden/>
          </w:rPr>
          <w:tab/>
        </w:r>
        <w:r w:rsidR="00F66799">
          <w:rPr>
            <w:webHidden/>
          </w:rPr>
          <w:fldChar w:fldCharType="begin"/>
        </w:r>
        <w:r w:rsidR="00F66799">
          <w:rPr>
            <w:webHidden/>
          </w:rPr>
          <w:instrText xml:space="preserve"> PAGEREF _Toc99619840 \h </w:instrText>
        </w:r>
        <w:r w:rsidR="00F66799">
          <w:rPr>
            <w:webHidden/>
          </w:rPr>
        </w:r>
        <w:r w:rsidR="00F66799">
          <w:rPr>
            <w:webHidden/>
          </w:rPr>
          <w:fldChar w:fldCharType="separate"/>
        </w:r>
        <w:r w:rsidR="00F66799">
          <w:rPr>
            <w:webHidden/>
          </w:rPr>
          <w:t>4</w:t>
        </w:r>
        <w:r w:rsidR="00F66799">
          <w:rPr>
            <w:webHidden/>
          </w:rPr>
          <w:fldChar w:fldCharType="end"/>
        </w:r>
      </w:hyperlink>
    </w:p>
    <w:p w14:paraId="21215D49" w14:textId="1941FD8B" w:rsidR="00F66799" w:rsidRDefault="001B3D65">
      <w:pPr>
        <w:pStyle w:val="TOC3"/>
        <w:rPr>
          <w:rFonts w:asciiTheme="minorHAnsi" w:eastAsiaTheme="minorEastAsia" w:hAnsiTheme="minorHAnsi" w:cstheme="minorBidi"/>
          <w:color w:val="auto"/>
          <w:szCs w:val="22"/>
        </w:rPr>
      </w:pPr>
      <w:hyperlink w:anchor="_Toc99619841" w:history="1">
        <w:r w:rsidR="00F66799" w:rsidRPr="00893CBD">
          <w:rPr>
            <w:rStyle w:val="Hyperlink"/>
          </w:rPr>
          <w:t>Schemes of arrangement and the role of the Court</w:t>
        </w:r>
        <w:r w:rsidR="00F66799">
          <w:rPr>
            <w:webHidden/>
          </w:rPr>
          <w:tab/>
        </w:r>
        <w:r w:rsidR="00F66799">
          <w:rPr>
            <w:webHidden/>
          </w:rPr>
          <w:fldChar w:fldCharType="begin"/>
        </w:r>
        <w:r w:rsidR="00F66799">
          <w:rPr>
            <w:webHidden/>
          </w:rPr>
          <w:instrText xml:space="preserve"> PAGEREF _Toc99619841 \h </w:instrText>
        </w:r>
        <w:r w:rsidR="00F66799">
          <w:rPr>
            <w:webHidden/>
          </w:rPr>
        </w:r>
        <w:r w:rsidR="00F66799">
          <w:rPr>
            <w:webHidden/>
          </w:rPr>
          <w:fldChar w:fldCharType="separate"/>
        </w:r>
        <w:r w:rsidR="00F66799">
          <w:rPr>
            <w:webHidden/>
          </w:rPr>
          <w:t>6</w:t>
        </w:r>
        <w:r w:rsidR="00F66799">
          <w:rPr>
            <w:webHidden/>
          </w:rPr>
          <w:fldChar w:fldCharType="end"/>
        </w:r>
      </w:hyperlink>
    </w:p>
    <w:p w14:paraId="18047278" w14:textId="08D41B70" w:rsidR="00F66799" w:rsidRDefault="001B3D65">
      <w:pPr>
        <w:pStyle w:val="TOC2"/>
        <w:rPr>
          <w:rFonts w:asciiTheme="minorHAnsi" w:eastAsiaTheme="minorEastAsia" w:hAnsiTheme="minorHAnsi" w:cstheme="minorBidi"/>
          <w:color w:val="auto"/>
          <w:szCs w:val="22"/>
        </w:rPr>
      </w:pPr>
      <w:hyperlink w:anchor="_Toc99619842" w:history="1">
        <w:r w:rsidR="00F66799" w:rsidRPr="00893CBD">
          <w:rPr>
            <w:rStyle w:val="Hyperlink"/>
          </w:rPr>
          <w:t>Policy Objectives</w:t>
        </w:r>
        <w:r w:rsidR="00F66799">
          <w:rPr>
            <w:webHidden/>
          </w:rPr>
          <w:tab/>
        </w:r>
        <w:r w:rsidR="00F66799">
          <w:rPr>
            <w:webHidden/>
          </w:rPr>
          <w:fldChar w:fldCharType="begin"/>
        </w:r>
        <w:r w:rsidR="00F66799">
          <w:rPr>
            <w:webHidden/>
          </w:rPr>
          <w:instrText xml:space="preserve"> PAGEREF _Toc99619842 \h </w:instrText>
        </w:r>
        <w:r w:rsidR="00F66799">
          <w:rPr>
            <w:webHidden/>
          </w:rPr>
        </w:r>
        <w:r w:rsidR="00F66799">
          <w:rPr>
            <w:webHidden/>
          </w:rPr>
          <w:fldChar w:fldCharType="separate"/>
        </w:r>
        <w:r w:rsidR="00F66799">
          <w:rPr>
            <w:webHidden/>
          </w:rPr>
          <w:t>9</w:t>
        </w:r>
        <w:r w:rsidR="00F66799">
          <w:rPr>
            <w:webHidden/>
          </w:rPr>
          <w:fldChar w:fldCharType="end"/>
        </w:r>
      </w:hyperlink>
    </w:p>
    <w:p w14:paraId="7DA81ADD" w14:textId="0360B9F0" w:rsidR="00F66799" w:rsidRDefault="001B3D65">
      <w:pPr>
        <w:pStyle w:val="TOC3"/>
        <w:rPr>
          <w:rFonts w:asciiTheme="minorHAnsi" w:eastAsiaTheme="minorEastAsia" w:hAnsiTheme="minorHAnsi" w:cstheme="minorBidi"/>
          <w:color w:val="auto"/>
          <w:szCs w:val="22"/>
        </w:rPr>
      </w:pPr>
      <w:hyperlink w:anchor="_Toc99619843" w:history="1">
        <w:r w:rsidR="00F66799" w:rsidRPr="00893CBD">
          <w:rPr>
            <w:rStyle w:val="Hyperlink"/>
          </w:rPr>
          <w:t>Ensuring schemes uphold the Eggleston Principles</w:t>
        </w:r>
        <w:r w:rsidR="00F66799">
          <w:rPr>
            <w:webHidden/>
          </w:rPr>
          <w:tab/>
        </w:r>
        <w:r w:rsidR="00F66799">
          <w:rPr>
            <w:webHidden/>
          </w:rPr>
          <w:fldChar w:fldCharType="begin"/>
        </w:r>
        <w:r w:rsidR="00F66799">
          <w:rPr>
            <w:webHidden/>
          </w:rPr>
          <w:instrText xml:space="preserve"> PAGEREF _Toc99619843 \h </w:instrText>
        </w:r>
        <w:r w:rsidR="00F66799">
          <w:rPr>
            <w:webHidden/>
          </w:rPr>
        </w:r>
        <w:r w:rsidR="00F66799">
          <w:rPr>
            <w:webHidden/>
          </w:rPr>
          <w:fldChar w:fldCharType="separate"/>
        </w:r>
        <w:r w:rsidR="00F66799">
          <w:rPr>
            <w:webHidden/>
          </w:rPr>
          <w:t>9</w:t>
        </w:r>
        <w:r w:rsidR="00F66799">
          <w:rPr>
            <w:webHidden/>
          </w:rPr>
          <w:fldChar w:fldCharType="end"/>
        </w:r>
      </w:hyperlink>
    </w:p>
    <w:p w14:paraId="351B961C" w14:textId="32E9C849" w:rsidR="00F66799" w:rsidRDefault="001B3D65">
      <w:pPr>
        <w:pStyle w:val="TOC3"/>
        <w:rPr>
          <w:rFonts w:asciiTheme="minorHAnsi" w:eastAsiaTheme="minorEastAsia" w:hAnsiTheme="minorHAnsi" w:cstheme="minorBidi"/>
          <w:color w:val="auto"/>
          <w:szCs w:val="22"/>
        </w:rPr>
      </w:pPr>
      <w:hyperlink w:anchor="_Toc99619844" w:history="1">
        <w:r w:rsidR="00F66799" w:rsidRPr="00893CBD">
          <w:rPr>
            <w:rStyle w:val="Hyperlink"/>
          </w:rPr>
          <w:t>Improving efficiency and removing unnecessary costs in takeovers</w:t>
        </w:r>
        <w:r w:rsidR="00F66799">
          <w:rPr>
            <w:webHidden/>
          </w:rPr>
          <w:tab/>
        </w:r>
        <w:r w:rsidR="00F66799">
          <w:rPr>
            <w:webHidden/>
          </w:rPr>
          <w:fldChar w:fldCharType="begin"/>
        </w:r>
        <w:r w:rsidR="00F66799">
          <w:rPr>
            <w:webHidden/>
          </w:rPr>
          <w:instrText xml:space="preserve"> PAGEREF _Toc99619844 \h </w:instrText>
        </w:r>
        <w:r w:rsidR="00F66799">
          <w:rPr>
            <w:webHidden/>
          </w:rPr>
        </w:r>
        <w:r w:rsidR="00F66799">
          <w:rPr>
            <w:webHidden/>
          </w:rPr>
          <w:fldChar w:fldCharType="separate"/>
        </w:r>
        <w:r w:rsidR="00F66799">
          <w:rPr>
            <w:webHidden/>
          </w:rPr>
          <w:t>12</w:t>
        </w:r>
        <w:r w:rsidR="00F66799">
          <w:rPr>
            <w:webHidden/>
          </w:rPr>
          <w:fldChar w:fldCharType="end"/>
        </w:r>
      </w:hyperlink>
    </w:p>
    <w:p w14:paraId="7E5A7387" w14:textId="6C0E207C" w:rsidR="00F66799" w:rsidRDefault="001B3D65">
      <w:pPr>
        <w:pStyle w:val="TOC3"/>
        <w:rPr>
          <w:rFonts w:asciiTheme="minorHAnsi" w:eastAsiaTheme="minorEastAsia" w:hAnsiTheme="minorHAnsi" w:cstheme="minorBidi"/>
          <w:color w:val="auto"/>
          <w:szCs w:val="22"/>
        </w:rPr>
      </w:pPr>
      <w:hyperlink w:anchor="_Toc99619845" w:history="1">
        <w:r w:rsidR="00F66799" w:rsidRPr="00893CBD">
          <w:rPr>
            <w:rStyle w:val="Hyperlink"/>
          </w:rPr>
          <w:t>Ensuring decision-makers have appropriate regulatory powers</w:t>
        </w:r>
        <w:r w:rsidR="00F66799">
          <w:rPr>
            <w:webHidden/>
          </w:rPr>
          <w:tab/>
        </w:r>
        <w:r w:rsidR="00F66799">
          <w:rPr>
            <w:webHidden/>
          </w:rPr>
          <w:fldChar w:fldCharType="begin"/>
        </w:r>
        <w:r w:rsidR="00F66799">
          <w:rPr>
            <w:webHidden/>
          </w:rPr>
          <w:instrText xml:space="preserve"> PAGEREF _Toc99619845 \h </w:instrText>
        </w:r>
        <w:r w:rsidR="00F66799">
          <w:rPr>
            <w:webHidden/>
          </w:rPr>
        </w:r>
        <w:r w:rsidR="00F66799">
          <w:rPr>
            <w:webHidden/>
          </w:rPr>
          <w:fldChar w:fldCharType="separate"/>
        </w:r>
        <w:r w:rsidR="00F66799">
          <w:rPr>
            <w:webHidden/>
          </w:rPr>
          <w:t>14</w:t>
        </w:r>
        <w:r w:rsidR="00F66799">
          <w:rPr>
            <w:webHidden/>
          </w:rPr>
          <w:fldChar w:fldCharType="end"/>
        </w:r>
      </w:hyperlink>
    </w:p>
    <w:p w14:paraId="6F0F0D8F" w14:textId="430930C7" w:rsidR="00F66799" w:rsidRDefault="001B3D65">
      <w:pPr>
        <w:pStyle w:val="TOC2"/>
        <w:rPr>
          <w:rFonts w:asciiTheme="minorHAnsi" w:eastAsiaTheme="minorEastAsia" w:hAnsiTheme="minorHAnsi" w:cstheme="minorBidi"/>
          <w:color w:val="auto"/>
          <w:szCs w:val="22"/>
        </w:rPr>
      </w:pPr>
      <w:hyperlink w:anchor="_Toc99619846" w:history="1">
        <w:r w:rsidR="00F66799" w:rsidRPr="00893CBD">
          <w:rPr>
            <w:rStyle w:val="Hyperlink"/>
          </w:rPr>
          <w:t>Advance Rulings</w:t>
        </w:r>
        <w:r w:rsidR="00F66799">
          <w:rPr>
            <w:webHidden/>
          </w:rPr>
          <w:tab/>
        </w:r>
        <w:r w:rsidR="00F66799">
          <w:rPr>
            <w:webHidden/>
          </w:rPr>
          <w:fldChar w:fldCharType="begin"/>
        </w:r>
        <w:r w:rsidR="00F66799">
          <w:rPr>
            <w:webHidden/>
          </w:rPr>
          <w:instrText xml:space="preserve"> PAGEREF _Toc99619846 \h </w:instrText>
        </w:r>
        <w:r w:rsidR="00F66799">
          <w:rPr>
            <w:webHidden/>
          </w:rPr>
        </w:r>
        <w:r w:rsidR="00F66799">
          <w:rPr>
            <w:webHidden/>
          </w:rPr>
          <w:fldChar w:fldCharType="separate"/>
        </w:r>
        <w:r w:rsidR="00F66799">
          <w:rPr>
            <w:webHidden/>
          </w:rPr>
          <w:t>16</w:t>
        </w:r>
        <w:r w:rsidR="00F66799">
          <w:rPr>
            <w:webHidden/>
          </w:rPr>
          <w:fldChar w:fldCharType="end"/>
        </w:r>
      </w:hyperlink>
    </w:p>
    <w:p w14:paraId="2F88092E" w14:textId="0B41F6D4" w:rsidR="00F66799" w:rsidRDefault="001B3D65">
      <w:pPr>
        <w:pStyle w:val="TOC3"/>
        <w:rPr>
          <w:rFonts w:asciiTheme="minorHAnsi" w:eastAsiaTheme="minorEastAsia" w:hAnsiTheme="minorHAnsi" w:cstheme="minorBidi"/>
          <w:color w:val="auto"/>
          <w:szCs w:val="22"/>
        </w:rPr>
      </w:pPr>
      <w:hyperlink w:anchor="_Toc99619847" w:history="1">
        <w:r w:rsidR="00F66799" w:rsidRPr="00893CBD">
          <w:rPr>
            <w:rStyle w:val="Hyperlink"/>
          </w:rPr>
          <w:t>Current regulatory framework</w:t>
        </w:r>
        <w:r w:rsidR="00F66799">
          <w:rPr>
            <w:webHidden/>
          </w:rPr>
          <w:tab/>
        </w:r>
        <w:r w:rsidR="00F66799">
          <w:rPr>
            <w:webHidden/>
          </w:rPr>
          <w:fldChar w:fldCharType="begin"/>
        </w:r>
        <w:r w:rsidR="00F66799">
          <w:rPr>
            <w:webHidden/>
          </w:rPr>
          <w:instrText xml:space="preserve"> PAGEREF _Toc99619847 \h </w:instrText>
        </w:r>
        <w:r w:rsidR="00F66799">
          <w:rPr>
            <w:webHidden/>
          </w:rPr>
        </w:r>
        <w:r w:rsidR="00F66799">
          <w:rPr>
            <w:webHidden/>
          </w:rPr>
          <w:fldChar w:fldCharType="separate"/>
        </w:r>
        <w:r w:rsidR="00F66799">
          <w:rPr>
            <w:webHidden/>
          </w:rPr>
          <w:t>16</w:t>
        </w:r>
        <w:r w:rsidR="00F66799">
          <w:rPr>
            <w:webHidden/>
          </w:rPr>
          <w:fldChar w:fldCharType="end"/>
        </w:r>
      </w:hyperlink>
    </w:p>
    <w:p w14:paraId="10D508A6" w14:textId="7C932E75" w:rsidR="00F66799" w:rsidRDefault="001B3D65">
      <w:pPr>
        <w:pStyle w:val="TOC3"/>
        <w:rPr>
          <w:rFonts w:asciiTheme="minorHAnsi" w:eastAsiaTheme="minorEastAsia" w:hAnsiTheme="minorHAnsi" w:cstheme="minorBidi"/>
          <w:color w:val="auto"/>
          <w:szCs w:val="22"/>
        </w:rPr>
      </w:pPr>
      <w:hyperlink w:anchor="_Toc99619848" w:history="1">
        <w:r w:rsidR="00F66799" w:rsidRPr="00893CBD">
          <w:rPr>
            <w:rStyle w:val="Hyperlink"/>
          </w:rPr>
          <w:t>Advance rulings models</w:t>
        </w:r>
        <w:r w:rsidR="00F66799">
          <w:rPr>
            <w:webHidden/>
          </w:rPr>
          <w:tab/>
        </w:r>
        <w:r w:rsidR="00F66799">
          <w:rPr>
            <w:webHidden/>
          </w:rPr>
          <w:fldChar w:fldCharType="begin"/>
        </w:r>
        <w:r w:rsidR="00F66799">
          <w:rPr>
            <w:webHidden/>
          </w:rPr>
          <w:instrText xml:space="preserve"> PAGEREF _Toc99619848 \h </w:instrText>
        </w:r>
        <w:r w:rsidR="00F66799">
          <w:rPr>
            <w:webHidden/>
          </w:rPr>
        </w:r>
        <w:r w:rsidR="00F66799">
          <w:rPr>
            <w:webHidden/>
          </w:rPr>
          <w:fldChar w:fldCharType="separate"/>
        </w:r>
        <w:r w:rsidR="00F66799">
          <w:rPr>
            <w:webHidden/>
          </w:rPr>
          <w:t>17</w:t>
        </w:r>
        <w:r w:rsidR="00F66799">
          <w:rPr>
            <w:webHidden/>
          </w:rPr>
          <w:fldChar w:fldCharType="end"/>
        </w:r>
      </w:hyperlink>
    </w:p>
    <w:p w14:paraId="57B98119" w14:textId="7DF17291" w:rsidR="00F66799" w:rsidRDefault="001B3D65">
      <w:pPr>
        <w:pStyle w:val="TOC3"/>
        <w:rPr>
          <w:rFonts w:asciiTheme="minorHAnsi" w:eastAsiaTheme="minorEastAsia" w:hAnsiTheme="minorHAnsi" w:cstheme="minorBidi"/>
          <w:color w:val="auto"/>
          <w:szCs w:val="22"/>
        </w:rPr>
      </w:pPr>
      <w:hyperlink w:anchor="_Toc99619849" w:history="1">
        <w:r w:rsidR="00F66799" w:rsidRPr="00893CBD">
          <w:rPr>
            <w:rStyle w:val="Hyperlink"/>
          </w:rPr>
          <w:t>Options for an advance rulings power</w:t>
        </w:r>
        <w:r w:rsidR="00F66799">
          <w:rPr>
            <w:webHidden/>
          </w:rPr>
          <w:tab/>
        </w:r>
        <w:r w:rsidR="00F66799">
          <w:rPr>
            <w:webHidden/>
          </w:rPr>
          <w:fldChar w:fldCharType="begin"/>
        </w:r>
        <w:r w:rsidR="00F66799">
          <w:rPr>
            <w:webHidden/>
          </w:rPr>
          <w:instrText xml:space="preserve"> PAGEREF _Toc99619849 \h </w:instrText>
        </w:r>
        <w:r w:rsidR="00F66799">
          <w:rPr>
            <w:webHidden/>
          </w:rPr>
        </w:r>
        <w:r w:rsidR="00F66799">
          <w:rPr>
            <w:webHidden/>
          </w:rPr>
          <w:fldChar w:fldCharType="separate"/>
        </w:r>
        <w:r w:rsidR="00F66799">
          <w:rPr>
            <w:webHidden/>
          </w:rPr>
          <w:t>18</w:t>
        </w:r>
        <w:r w:rsidR="00F66799">
          <w:rPr>
            <w:webHidden/>
          </w:rPr>
          <w:fldChar w:fldCharType="end"/>
        </w:r>
      </w:hyperlink>
    </w:p>
    <w:p w14:paraId="029A9026" w14:textId="3C43DCF3" w:rsidR="00F66799" w:rsidRDefault="001B3D65">
      <w:pPr>
        <w:pStyle w:val="TOC2"/>
        <w:rPr>
          <w:rFonts w:asciiTheme="minorHAnsi" w:eastAsiaTheme="minorEastAsia" w:hAnsiTheme="minorHAnsi" w:cstheme="minorBidi"/>
          <w:color w:val="auto"/>
          <w:szCs w:val="22"/>
        </w:rPr>
      </w:pPr>
      <w:hyperlink w:anchor="_Toc99619850" w:history="1">
        <w:r w:rsidR="00F66799" w:rsidRPr="00893CBD">
          <w:rPr>
            <w:rStyle w:val="Hyperlink"/>
          </w:rPr>
          <w:t>Further Policy Options</w:t>
        </w:r>
        <w:r w:rsidR="00F66799">
          <w:rPr>
            <w:webHidden/>
          </w:rPr>
          <w:tab/>
        </w:r>
        <w:r w:rsidR="00F66799">
          <w:rPr>
            <w:webHidden/>
          </w:rPr>
          <w:fldChar w:fldCharType="begin"/>
        </w:r>
        <w:r w:rsidR="00F66799">
          <w:rPr>
            <w:webHidden/>
          </w:rPr>
          <w:instrText xml:space="preserve"> PAGEREF _Toc99619850 \h </w:instrText>
        </w:r>
        <w:r w:rsidR="00F66799">
          <w:rPr>
            <w:webHidden/>
          </w:rPr>
        </w:r>
        <w:r w:rsidR="00F66799">
          <w:rPr>
            <w:webHidden/>
          </w:rPr>
          <w:fldChar w:fldCharType="separate"/>
        </w:r>
        <w:r w:rsidR="00F66799">
          <w:rPr>
            <w:webHidden/>
          </w:rPr>
          <w:t>18</w:t>
        </w:r>
        <w:r w:rsidR="00F66799">
          <w:rPr>
            <w:webHidden/>
          </w:rPr>
          <w:fldChar w:fldCharType="end"/>
        </w:r>
      </w:hyperlink>
    </w:p>
    <w:p w14:paraId="7E98C323" w14:textId="06142BCE" w:rsidR="00F66799" w:rsidRDefault="001B3D65">
      <w:pPr>
        <w:pStyle w:val="TOC2"/>
        <w:rPr>
          <w:rFonts w:asciiTheme="minorHAnsi" w:eastAsiaTheme="minorEastAsia" w:hAnsiTheme="minorHAnsi" w:cstheme="minorBidi"/>
          <w:color w:val="auto"/>
          <w:szCs w:val="22"/>
        </w:rPr>
      </w:pPr>
      <w:hyperlink w:anchor="_Toc99619851" w:history="1">
        <w:r w:rsidR="00F66799" w:rsidRPr="00893CBD">
          <w:rPr>
            <w:rStyle w:val="Hyperlink"/>
          </w:rPr>
          <w:t>Discussion Questions</w:t>
        </w:r>
        <w:r w:rsidR="00F66799">
          <w:rPr>
            <w:webHidden/>
          </w:rPr>
          <w:tab/>
        </w:r>
        <w:r w:rsidR="00F66799">
          <w:rPr>
            <w:webHidden/>
          </w:rPr>
          <w:fldChar w:fldCharType="begin"/>
        </w:r>
        <w:r w:rsidR="00F66799">
          <w:rPr>
            <w:webHidden/>
          </w:rPr>
          <w:instrText xml:space="preserve"> PAGEREF _Toc99619851 \h </w:instrText>
        </w:r>
        <w:r w:rsidR="00F66799">
          <w:rPr>
            <w:webHidden/>
          </w:rPr>
        </w:r>
        <w:r w:rsidR="00F66799">
          <w:rPr>
            <w:webHidden/>
          </w:rPr>
          <w:fldChar w:fldCharType="separate"/>
        </w:r>
        <w:r w:rsidR="00F66799">
          <w:rPr>
            <w:webHidden/>
          </w:rPr>
          <w:t>19</w:t>
        </w:r>
        <w:r w:rsidR="00F66799">
          <w:rPr>
            <w:webHidden/>
          </w:rPr>
          <w:fldChar w:fldCharType="end"/>
        </w:r>
      </w:hyperlink>
    </w:p>
    <w:p w14:paraId="458324E8" w14:textId="6423D9AF" w:rsidR="00F66799" w:rsidRDefault="001B3D65">
      <w:pPr>
        <w:pStyle w:val="TOC3"/>
        <w:rPr>
          <w:rFonts w:asciiTheme="minorHAnsi" w:eastAsiaTheme="minorEastAsia" w:hAnsiTheme="minorHAnsi" w:cstheme="minorBidi"/>
          <w:color w:val="auto"/>
          <w:szCs w:val="22"/>
        </w:rPr>
      </w:pPr>
      <w:hyperlink w:anchor="_Toc99619852" w:history="1">
        <w:r w:rsidR="00F66799" w:rsidRPr="00893CBD">
          <w:rPr>
            <w:rStyle w:val="Hyperlink"/>
          </w:rPr>
          <w:t>Takeovers Rules and the Takeovers Panel</w:t>
        </w:r>
        <w:r w:rsidR="00F66799">
          <w:rPr>
            <w:webHidden/>
          </w:rPr>
          <w:tab/>
        </w:r>
        <w:r w:rsidR="00F66799">
          <w:rPr>
            <w:webHidden/>
          </w:rPr>
          <w:fldChar w:fldCharType="begin"/>
        </w:r>
        <w:r w:rsidR="00F66799">
          <w:rPr>
            <w:webHidden/>
          </w:rPr>
          <w:instrText xml:space="preserve"> PAGEREF _Toc99619852 \h </w:instrText>
        </w:r>
        <w:r w:rsidR="00F66799">
          <w:rPr>
            <w:webHidden/>
          </w:rPr>
        </w:r>
        <w:r w:rsidR="00F66799">
          <w:rPr>
            <w:webHidden/>
          </w:rPr>
          <w:fldChar w:fldCharType="separate"/>
        </w:r>
        <w:r w:rsidR="00F66799">
          <w:rPr>
            <w:webHidden/>
          </w:rPr>
          <w:t>19</w:t>
        </w:r>
        <w:r w:rsidR="00F66799">
          <w:rPr>
            <w:webHidden/>
          </w:rPr>
          <w:fldChar w:fldCharType="end"/>
        </w:r>
      </w:hyperlink>
    </w:p>
    <w:p w14:paraId="532BA72E" w14:textId="532FD065" w:rsidR="00F66799" w:rsidRDefault="001B3D65">
      <w:pPr>
        <w:pStyle w:val="TOC3"/>
        <w:rPr>
          <w:rFonts w:asciiTheme="minorHAnsi" w:eastAsiaTheme="minorEastAsia" w:hAnsiTheme="minorHAnsi" w:cstheme="minorBidi"/>
          <w:color w:val="auto"/>
          <w:szCs w:val="22"/>
        </w:rPr>
      </w:pPr>
      <w:hyperlink w:anchor="_Toc99619853" w:history="1">
        <w:r w:rsidR="00F66799" w:rsidRPr="00893CBD">
          <w:rPr>
            <w:rStyle w:val="Hyperlink"/>
          </w:rPr>
          <w:t>Schemes of Arrangement and the Court</w:t>
        </w:r>
        <w:r w:rsidR="00F66799">
          <w:rPr>
            <w:webHidden/>
          </w:rPr>
          <w:tab/>
        </w:r>
        <w:r w:rsidR="00F66799">
          <w:rPr>
            <w:webHidden/>
          </w:rPr>
          <w:fldChar w:fldCharType="begin"/>
        </w:r>
        <w:r w:rsidR="00F66799">
          <w:rPr>
            <w:webHidden/>
          </w:rPr>
          <w:instrText xml:space="preserve"> PAGEREF _Toc99619853 \h </w:instrText>
        </w:r>
        <w:r w:rsidR="00F66799">
          <w:rPr>
            <w:webHidden/>
          </w:rPr>
        </w:r>
        <w:r w:rsidR="00F66799">
          <w:rPr>
            <w:webHidden/>
          </w:rPr>
          <w:fldChar w:fldCharType="separate"/>
        </w:r>
        <w:r w:rsidR="00F66799">
          <w:rPr>
            <w:webHidden/>
          </w:rPr>
          <w:t>19</w:t>
        </w:r>
        <w:r w:rsidR="00F66799">
          <w:rPr>
            <w:webHidden/>
          </w:rPr>
          <w:fldChar w:fldCharType="end"/>
        </w:r>
      </w:hyperlink>
    </w:p>
    <w:p w14:paraId="4CB973D1" w14:textId="63CB20FD" w:rsidR="00F66799" w:rsidRDefault="001B3D65">
      <w:pPr>
        <w:pStyle w:val="TOC3"/>
        <w:rPr>
          <w:rFonts w:asciiTheme="minorHAnsi" w:eastAsiaTheme="minorEastAsia" w:hAnsiTheme="minorHAnsi" w:cstheme="minorBidi"/>
          <w:color w:val="auto"/>
          <w:szCs w:val="22"/>
        </w:rPr>
      </w:pPr>
      <w:hyperlink w:anchor="_Toc99619854" w:history="1">
        <w:r w:rsidR="00F66799" w:rsidRPr="00893CBD">
          <w:rPr>
            <w:rStyle w:val="Hyperlink"/>
          </w:rPr>
          <w:t>The role of the Takeovers Panel in relation to schemes</w:t>
        </w:r>
        <w:r w:rsidR="00F66799">
          <w:rPr>
            <w:webHidden/>
          </w:rPr>
          <w:tab/>
        </w:r>
        <w:r w:rsidR="00F66799">
          <w:rPr>
            <w:webHidden/>
          </w:rPr>
          <w:fldChar w:fldCharType="begin"/>
        </w:r>
        <w:r w:rsidR="00F66799">
          <w:rPr>
            <w:webHidden/>
          </w:rPr>
          <w:instrText xml:space="preserve"> PAGEREF _Toc99619854 \h </w:instrText>
        </w:r>
        <w:r w:rsidR="00F66799">
          <w:rPr>
            <w:webHidden/>
          </w:rPr>
        </w:r>
        <w:r w:rsidR="00F66799">
          <w:rPr>
            <w:webHidden/>
          </w:rPr>
          <w:fldChar w:fldCharType="separate"/>
        </w:r>
        <w:r w:rsidR="00F66799">
          <w:rPr>
            <w:webHidden/>
          </w:rPr>
          <w:t>19</w:t>
        </w:r>
        <w:r w:rsidR="00F66799">
          <w:rPr>
            <w:webHidden/>
          </w:rPr>
          <w:fldChar w:fldCharType="end"/>
        </w:r>
      </w:hyperlink>
    </w:p>
    <w:p w14:paraId="019CE62E" w14:textId="1EEEF91D" w:rsidR="00F66799" w:rsidRDefault="001B3D65">
      <w:pPr>
        <w:pStyle w:val="TOC3"/>
        <w:rPr>
          <w:rFonts w:asciiTheme="minorHAnsi" w:eastAsiaTheme="minorEastAsia" w:hAnsiTheme="minorHAnsi" w:cstheme="minorBidi"/>
          <w:color w:val="auto"/>
          <w:szCs w:val="22"/>
        </w:rPr>
      </w:pPr>
      <w:hyperlink w:anchor="_Toc99619855" w:history="1">
        <w:r w:rsidR="00F66799" w:rsidRPr="00893CBD">
          <w:rPr>
            <w:rStyle w:val="Hyperlink"/>
          </w:rPr>
          <w:t>Advance rulings</w:t>
        </w:r>
        <w:r w:rsidR="00F66799">
          <w:rPr>
            <w:webHidden/>
          </w:rPr>
          <w:tab/>
        </w:r>
        <w:r w:rsidR="00F66799">
          <w:rPr>
            <w:webHidden/>
          </w:rPr>
          <w:fldChar w:fldCharType="begin"/>
        </w:r>
        <w:r w:rsidR="00F66799">
          <w:rPr>
            <w:webHidden/>
          </w:rPr>
          <w:instrText xml:space="preserve"> PAGEREF _Toc99619855 \h </w:instrText>
        </w:r>
        <w:r w:rsidR="00F66799">
          <w:rPr>
            <w:webHidden/>
          </w:rPr>
        </w:r>
        <w:r w:rsidR="00F66799">
          <w:rPr>
            <w:webHidden/>
          </w:rPr>
          <w:fldChar w:fldCharType="separate"/>
        </w:r>
        <w:r w:rsidR="00F66799">
          <w:rPr>
            <w:webHidden/>
          </w:rPr>
          <w:t>19</w:t>
        </w:r>
        <w:r w:rsidR="00F66799">
          <w:rPr>
            <w:webHidden/>
          </w:rPr>
          <w:fldChar w:fldCharType="end"/>
        </w:r>
      </w:hyperlink>
    </w:p>
    <w:p w14:paraId="7B373099" w14:textId="52EF5D41" w:rsidR="00F66799" w:rsidRDefault="001B3D65">
      <w:pPr>
        <w:pStyle w:val="TOC3"/>
        <w:rPr>
          <w:rFonts w:asciiTheme="minorHAnsi" w:eastAsiaTheme="minorEastAsia" w:hAnsiTheme="minorHAnsi" w:cstheme="minorBidi"/>
          <w:color w:val="auto"/>
          <w:szCs w:val="22"/>
        </w:rPr>
      </w:pPr>
      <w:hyperlink w:anchor="_Toc99619856" w:history="1">
        <w:r w:rsidR="00F66799" w:rsidRPr="00893CBD">
          <w:rPr>
            <w:rStyle w:val="Hyperlink"/>
          </w:rPr>
          <w:t>General</w:t>
        </w:r>
        <w:r w:rsidR="00F66799">
          <w:rPr>
            <w:webHidden/>
          </w:rPr>
          <w:tab/>
        </w:r>
        <w:r w:rsidR="00F66799">
          <w:rPr>
            <w:webHidden/>
          </w:rPr>
          <w:fldChar w:fldCharType="begin"/>
        </w:r>
        <w:r w:rsidR="00F66799">
          <w:rPr>
            <w:webHidden/>
          </w:rPr>
          <w:instrText xml:space="preserve"> PAGEREF _Toc99619856 \h </w:instrText>
        </w:r>
        <w:r w:rsidR="00F66799">
          <w:rPr>
            <w:webHidden/>
          </w:rPr>
        </w:r>
        <w:r w:rsidR="00F66799">
          <w:rPr>
            <w:webHidden/>
          </w:rPr>
          <w:fldChar w:fldCharType="separate"/>
        </w:r>
        <w:r w:rsidR="00F66799">
          <w:rPr>
            <w:webHidden/>
          </w:rPr>
          <w:t>19</w:t>
        </w:r>
        <w:r w:rsidR="00F66799">
          <w:rPr>
            <w:webHidden/>
          </w:rPr>
          <w:fldChar w:fldCharType="end"/>
        </w:r>
      </w:hyperlink>
    </w:p>
    <w:p w14:paraId="7962A5EE" w14:textId="63183B42"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58848269" w14:textId="77777777" w:rsidR="000E0B74" w:rsidRDefault="000E0B74" w:rsidP="00354FBB">
      <w:pPr>
        <w:pStyle w:val="Heading1"/>
      </w:pPr>
      <w:bookmarkStart w:id="2" w:name="_Toc99619834"/>
      <w:bookmarkStart w:id="3" w:name="_Toc432067103"/>
      <w:r>
        <w:lastRenderedPageBreak/>
        <w:t>Consultation Process</w:t>
      </w:r>
      <w:bookmarkEnd w:id="2"/>
    </w:p>
    <w:p w14:paraId="6E8BE629" w14:textId="77777777" w:rsidR="000E0B74" w:rsidRDefault="000E0B74" w:rsidP="000E0B74">
      <w:pPr>
        <w:pStyle w:val="Heading2"/>
      </w:pPr>
      <w:bookmarkStart w:id="4" w:name="_Toc99619835"/>
      <w:r>
        <w:t>Request for feedback and comments</w:t>
      </w:r>
      <w:bookmarkEnd w:id="4"/>
    </w:p>
    <w:p w14:paraId="0809A1F1" w14:textId="396DF4F3" w:rsidR="000E0B74" w:rsidRDefault="000E0B74" w:rsidP="000E0B74"/>
    <w:p w14:paraId="74965584" w14:textId="6F925065" w:rsidR="000E0B74" w:rsidRDefault="000E0B74" w:rsidP="00257AEE">
      <w:pPr>
        <w:pStyle w:val="Heading3noTOC"/>
      </w:pPr>
      <w:r>
        <w:t xml:space="preserve">Closing date for submissions: </w:t>
      </w:r>
      <w:sdt>
        <w:sdtPr>
          <w:rPr>
            <w:rStyle w:val="Heading3Char"/>
          </w:rPr>
          <w:id w:val="1454836312"/>
          <w:placeholder>
            <w:docPart w:val="5D5B9DC266DB401CBF82B75809FA42E5"/>
          </w:placeholder>
          <w:date w:fullDate="2022-06-03T00:00:00Z">
            <w:dateFormat w:val="dd MMMM yyyy"/>
            <w:lid w:val="en-AU"/>
            <w:storeMappedDataAs w:val="dateTime"/>
            <w:calendar w:val="gregorian"/>
          </w:date>
        </w:sdtPr>
        <w:sdtEndPr>
          <w:rPr>
            <w:rStyle w:val="DefaultParagraphFont"/>
            <w:rFonts w:cs="Calibri"/>
          </w:rPr>
        </w:sdtEndPr>
        <w:sdtContent>
          <w:r w:rsidR="005C5168">
            <w:rPr>
              <w:rStyle w:val="Heading3Char"/>
            </w:rPr>
            <w:t>03 June 2022</w:t>
          </w:r>
        </w:sdtContent>
      </w:sdt>
    </w:p>
    <w:tbl>
      <w:tblPr>
        <w:tblStyle w:val="TableGrid"/>
        <w:tblW w:w="0" w:type="auto"/>
        <w:tblLook w:val="04A0" w:firstRow="1" w:lastRow="0" w:firstColumn="1" w:lastColumn="0" w:noHBand="0" w:noVBand="1"/>
      </w:tblPr>
      <w:tblGrid>
        <w:gridCol w:w="1514"/>
        <w:gridCol w:w="7556"/>
      </w:tblGrid>
      <w:tr w:rsidR="000E0B74" w:rsidRPr="00B85F47" w14:paraId="77AC4DC0" w14:textId="77777777" w:rsidTr="00B85F47">
        <w:tc>
          <w:tcPr>
            <w:tcW w:w="1526" w:type="dxa"/>
            <w:shd w:val="clear" w:color="auto" w:fill="auto"/>
          </w:tcPr>
          <w:p w14:paraId="465BA748"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452D5896" w14:textId="3E3E4A8D" w:rsidR="000E0B74" w:rsidRPr="00E477F7" w:rsidRDefault="002E20BC" w:rsidP="00516785">
            <w:pPr>
              <w:rPr>
                <w:sz w:val="22"/>
                <w:szCs w:val="22"/>
              </w:rPr>
            </w:pPr>
            <w:r w:rsidRPr="00E477F7">
              <w:rPr>
                <w:rFonts w:cs="Arial"/>
                <w:sz w:val="22"/>
                <w:szCs w:val="22"/>
              </w:rPr>
              <w:t>takeoversregulation@treasury.gov.au</w:t>
            </w:r>
          </w:p>
        </w:tc>
      </w:tr>
      <w:tr w:rsidR="000E0B74" w:rsidRPr="00B85F47" w14:paraId="59F9C381" w14:textId="77777777" w:rsidTr="00B85F47">
        <w:tc>
          <w:tcPr>
            <w:tcW w:w="1526" w:type="dxa"/>
            <w:shd w:val="clear" w:color="auto" w:fill="auto"/>
          </w:tcPr>
          <w:p w14:paraId="282FC818" w14:textId="77777777" w:rsidR="000E0B74" w:rsidRPr="00B85F47" w:rsidRDefault="000E0B74" w:rsidP="0017089D">
            <w:pPr>
              <w:rPr>
                <w:sz w:val="22"/>
                <w:szCs w:val="22"/>
              </w:rPr>
            </w:pPr>
            <w:r w:rsidRPr="00B85F47">
              <w:rPr>
                <w:sz w:val="22"/>
                <w:szCs w:val="22"/>
              </w:rPr>
              <w:t>Mail</w:t>
            </w:r>
          </w:p>
          <w:p w14:paraId="4C1C189C" w14:textId="77777777" w:rsidR="008D7F38" w:rsidRPr="00B85F47" w:rsidRDefault="008D7F38" w:rsidP="0017089D">
            <w:pPr>
              <w:rPr>
                <w:sz w:val="22"/>
                <w:szCs w:val="22"/>
              </w:rPr>
            </w:pPr>
          </w:p>
          <w:p w14:paraId="6CE8F4FB" w14:textId="77777777" w:rsidR="008D7F38" w:rsidRPr="00B85F47" w:rsidRDefault="008D7F38" w:rsidP="0017089D">
            <w:pPr>
              <w:rPr>
                <w:sz w:val="22"/>
                <w:szCs w:val="22"/>
              </w:rPr>
            </w:pPr>
          </w:p>
        </w:tc>
        <w:tc>
          <w:tcPr>
            <w:tcW w:w="7654" w:type="dxa"/>
            <w:shd w:val="clear" w:color="auto" w:fill="auto"/>
          </w:tcPr>
          <w:p w14:paraId="400B38FF" w14:textId="0B7A8F01" w:rsidR="000E0B74" w:rsidRPr="00BE4DE6" w:rsidRDefault="00E477F7" w:rsidP="0017089D">
            <w:pPr>
              <w:pStyle w:val="SingleParagraph"/>
              <w:rPr>
                <w:rFonts w:cs="Arial"/>
                <w:sz w:val="22"/>
                <w:szCs w:val="22"/>
              </w:rPr>
            </w:pPr>
            <w:r w:rsidRPr="00BE4DE6">
              <w:rPr>
                <w:rFonts w:cs="Arial"/>
                <w:sz w:val="22"/>
                <w:szCs w:val="22"/>
              </w:rPr>
              <w:t>Director</w:t>
            </w:r>
          </w:p>
          <w:p w14:paraId="09965333" w14:textId="0DBC976E" w:rsidR="000E0B74" w:rsidRPr="00D7514E" w:rsidRDefault="00E477F7" w:rsidP="0017089D">
            <w:pPr>
              <w:pStyle w:val="SingleParagraph"/>
              <w:rPr>
                <w:rFonts w:cs="Arial"/>
                <w:sz w:val="22"/>
                <w:szCs w:val="22"/>
              </w:rPr>
            </w:pPr>
            <w:r w:rsidRPr="00D7514E">
              <w:rPr>
                <w:rFonts w:cs="Arial"/>
                <w:sz w:val="22"/>
                <w:szCs w:val="22"/>
              </w:rPr>
              <w:t>Market Conduct Division</w:t>
            </w:r>
          </w:p>
          <w:p w14:paraId="670286B8" w14:textId="77777777" w:rsidR="000E0B74" w:rsidRPr="00D7514E" w:rsidRDefault="000E0B74" w:rsidP="0017089D">
            <w:pPr>
              <w:pStyle w:val="SingleParagraph"/>
              <w:rPr>
                <w:rFonts w:cs="Arial"/>
                <w:sz w:val="22"/>
                <w:szCs w:val="22"/>
              </w:rPr>
            </w:pPr>
            <w:r w:rsidRPr="00D7514E">
              <w:rPr>
                <w:rFonts w:cs="Arial"/>
                <w:sz w:val="22"/>
                <w:szCs w:val="22"/>
              </w:rPr>
              <w:t>The Treasury</w:t>
            </w:r>
          </w:p>
          <w:p w14:paraId="66F72DB6" w14:textId="77777777" w:rsidR="000E0B74" w:rsidRPr="00FD4656" w:rsidRDefault="000E0B74" w:rsidP="0017089D">
            <w:pPr>
              <w:pStyle w:val="SingleParagraph"/>
              <w:rPr>
                <w:rFonts w:cs="Arial"/>
                <w:sz w:val="22"/>
                <w:szCs w:val="22"/>
              </w:rPr>
            </w:pPr>
            <w:r w:rsidRPr="00255E53">
              <w:rPr>
                <w:rFonts w:cs="Arial"/>
                <w:sz w:val="22"/>
                <w:szCs w:val="22"/>
              </w:rPr>
              <w:t>Langton Crescent</w:t>
            </w:r>
          </w:p>
          <w:p w14:paraId="33A19C66" w14:textId="77777777" w:rsidR="000E0B74" w:rsidRPr="00B77209" w:rsidRDefault="000E0B74" w:rsidP="0017089D">
            <w:pPr>
              <w:pStyle w:val="SingleParagraph"/>
              <w:rPr>
                <w:sz w:val="22"/>
                <w:szCs w:val="22"/>
              </w:rPr>
            </w:pPr>
            <w:r w:rsidRPr="00B77209">
              <w:rPr>
                <w:sz w:val="22"/>
                <w:szCs w:val="22"/>
              </w:rPr>
              <w:t>PARKES ACT 2600</w:t>
            </w:r>
          </w:p>
        </w:tc>
      </w:tr>
      <w:tr w:rsidR="000E0B74" w:rsidRPr="00B85F47" w14:paraId="0F208F41" w14:textId="77777777" w:rsidTr="00B85F47">
        <w:tc>
          <w:tcPr>
            <w:tcW w:w="1526" w:type="dxa"/>
            <w:shd w:val="clear" w:color="auto" w:fill="auto"/>
          </w:tcPr>
          <w:p w14:paraId="5DCE0C85"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44C3304B" w14:textId="2AD52A85" w:rsidR="000E0B74" w:rsidRPr="00BE4DE6" w:rsidRDefault="000E0B74" w:rsidP="0017089D">
            <w:pPr>
              <w:rPr>
                <w:sz w:val="22"/>
                <w:szCs w:val="22"/>
              </w:rPr>
            </w:pPr>
            <w:r w:rsidRPr="00BE4DE6">
              <w:rPr>
                <w:rFonts w:cs="Arial"/>
                <w:sz w:val="22"/>
                <w:szCs w:val="22"/>
              </w:rPr>
              <w:t xml:space="preserve">Enquiries can be initially directed to </w:t>
            </w:r>
            <w:r w:rsidR="00E477F7" w:rsidRPr="00BE4DE6">
              <w:rPr>
                <w:rFonts w:cs="Arial"/>
                <w:sz w:val="22"/>
                <w:szCs w:val="22"/>
              </w:rPr>
              <w:t>Ms Rebecca McCallum.</w:t>
            </w:r>
          </w:p>
        </w:tc>
      </w:tr>
      <w:tr w:rsidR="000E0B74" w:rsidRPr="00B85F47" w14:paraId="51F93548" w14:textId="77777777" w:rsidTr="00B85F47">
        <w:tc>
          <w:tcPr>
            <w:tcW w:w="1526" w:type="dxa"/>
            <w:shd w:val="clear" w:color="auto" w:fill="auto"/>
          </w:tcPr>
          <w:p w14:paraId="6F247A91"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657EF13A" w14:textId="514BD161" w:rsidR="000E0B74" w:rsidRPr="003D3888" w:rsidRDefault="000E0B74" w:rsidP="0017089D">
            <w:pPr>
              <w:rPr>
                <w:sz w:val="22"/>
                <w:szCs w:val="22"/>
              </w:rPr>
            </w:pPr>
            <w:r w:rsidRPr="003D3888">
              <w:rPr>
                <w:rFonts w:cs="Arial"/>
                <w:sz w:val="22"/>
                <w:szCs w:val="22"/>
              </w:rPr>
              <w:t xml:space="preserve">02 6263 </w:t>
            </w:r>
            <w:r w:rsidR="00E477F7" w:rsidRPr="003D3888">
              <w:rPr>
                <w:rFonts w:cs="Arial"/>
                <w:sz w:val="22"/>
                <w:szCs w:val="22"/>
              </w:rPr>
              <w:t>2922</w:t>
            </w:r>
          </w:p>
        </w:tc>
      </w:tr>
      <w:bookmarkEnd w:id="3"/>
    </w:tbl>
    <w:p w14:paraId="607DE49E" w14:textId="77777777" w:rsidR="00E10D39" w:rsidRDefault="00E10D39" w:rsidP="0007102C"/>
    <w:p w14:paraId="58B87CF4" w14:textId="77777777" w:rsidR="00A16E03" w:rsidRDefault="00A16E03" w:rsidP="00A16E03">
      <w:r>
        <w:t>The principles outlined in this paper have not received Government approval and are not yet law. As a consequence, this paper is merely a guide as to how the principles might operate.</w:t>
      </w:r>
    </w:p>
    <w:p w14:paraId="389E8AA3" w14:textId="77777777" w:rsidR="008D7F38" w:rsidRPr="008D7F38" w:rsidRDefault="008D7F38" w:rsidP="008D7F38"/>
    <w:p w14:paraId="35395B91" w14:textId="77777777" w:rsidR="00E10D39" w:rsidRDefault="00E10D39">
      <w:pPr>
        <w:spacing w:before="0" w:after="160" w:line="259" w:lineRule="auto"/>
        <w:rPr>
          <w:rFonts w:cs="Arial"/>
          <w:color w:val="004A7F"/>
          <w:kern w:val="32"/>
          <w:sz w:val="48"/>
          <w:szCs w:val="36"/>
        </w:rPr>
      </w:pPr>
      <w:r>
        <w:br w:type="page"/>
      </w:r>
    </w:p>
    <w:p w14:paraId="747AA709" w14:textId="559943E4" w:rsidR="000E0B74" w:rsidRDefault="0015049B" w:rsidP="00354FBB">
      <w:pPr>
        <w:pStyle w:val="Heading1"/>
      </w:pPr>
      <w:bookmarkStart w:id="5" w:name="_Toc99619836"/>
      <w:r>
        <w:lastRenderedPageBreak/>
        <w:t>Improving control transactions in Australia</w:t>
      </w:r>
      <w:bookmarkEnd w:id="5"/>
    </w:p>
    <w:p w14:paraId="2066EA8D" w14:textId="36424309" w:rsidR="000E0B74" w:rsidRDefault="000E0B74" w:rsidP="000E0B74">
      <w:pPr>
        <w:pStyle w:val="Heading2"/>
      </w:pPr>
      <w:bookmarkStart w:id="6" w:name="_Toc306887371"/>
      <w:bookmarkStart w:id="7" w:name="_Toc432064635"/>
      <w:bookmarkStart w:id="8" w:name="_Toc99619837"/>
      <w:r>
        <w:t>Introduction</w:t>
      </w:r>
      <w:bookmarkEnd w:id="6"/>
      <w:bookmarkEnd w:id="7"/>
      <w:bookmarkEnd w:id="8"/>
    </w:p>
    <w:p w14:paraId="748164B0" w14:textId="36F9513E" w:rsidR="00BB51F6" w:rsidRDefault="003A3AEB" w:rsidP="00CD308B">
      <w:pPr>
        <w:pStyle w:val="Bullet"/>
        <w:numPr>
          <w:ilvl w:val="0"/>
          <w:numId w:val="0"/>
        </w:numPr>
      </w:pPr>
      <w:bookmarkStart w:id="9" w:name="_Hlk96072221"/>
      <w:bookmarkStart w:id="10" w:name="_Toc306887372"/>
      <w:bookmarkStart w:id="11" w:name="_Toc432064636"/>
      <w:r>
        <w:t>Corporate control refers to the authority to make decisions with respect to a company. This extends to decisions regarding the members of the board of directors,</w:t>
      </w:r>
      <w:r>
        <w:rPr>
          <w:rStyle w:val="FootnoteReference"/>
        </w:rPr>
        <w:footnoteReference w:id="2"/>
      </w:r>
      <w:r>
        <w:t xml:space="preserve"> the employment and dismissal of managers,</w:t>
      </w:r>
      <w:r>
        <w:rPr>
          <w:rStyle w:val="FootnoteReference"/>
        </w:rPr>
        <w:footnoteReference w:id="3"/>
      </w:r>
      <w:r>
        <w:t xml:space="preserve"> and the control and management of the resources which a company can allocate and use.</w:t>
      </w:r>
      <w:r>
        <w:rPr>
          <w:rStyle w:val="FootnoteReference"/>
        </w:rPr>
        <w:footnoteReference w:id="4"/>
      </w:r>
      <w:r w:rsidR="0029071D">
        <w:t xml:space="preserve"> </w:t>
      </w:r>
    </w:p>
    <w:p w14:paraId="0CADC94E" w14:textId="37CF8A3C" w:rsidR="00CD308B" w:rsidRDefault="00CD308B" w:rsidP="00CD308B">
      <w:pPr>
        <w:pStyle w:val="Bullet"/>
        <w:numPr>
          <w:ilvl w:val="0"/>
          <w:numId w:val="0"/>
        </w:numPr>
      </w:pPr>
      <w:r>
        <w:t xml:space="preserve">In Australia, </w:t>
      </w:r>
      <w:r w:rsidR="00E57F74">
        <w:t>one of</w:t>
      </w:r>
      <w:r>
        <w:t xml:space="preserve"> </w:t>
      </w:r>
      <w:r w:rsidR="006C67A4">
        <w:t xml:space="preserve">two control transaction processes </w:t>
      </w:r>
      <w:r w:rsidR="00FA66F9">
        <w:t>is</w:t>
      </w:r>
      <w:r w:rsidR="006C67A4">
        <w:t xml:space="preserve"> </w:t>
      </w:r>
      <w:r w:rsidR="00810678">
        <w:t xml:space="preserve">typically </w:t>
      </w:r>
      <w:r w:rsidR="006C67A4">
        <w:t xml:space="preserve">used to effect </w:t>
      </w:r>
      <w:r>
        <w:t>a change in corporate control</w:t>
      </w:r>
      <w:r w:rsidR="006C67A4">
        <w:t>.</w:t>
      </w:r>
      <w:r>
        <w:t xml:space="preserve"> The first is a takeover bid, governed by</w:t>
      </w:r>
      <w:r w:rsidRPr="002306C6">
        <w:t xml:space="preserve"> the </w:t>
      </w:r>
      <w:r w:rsidRPr="008849D4">
        <w:rPr>
          <w:b/>
          <w:bCs/>
        </w:rPr>
        <w:t>Takeover Rules</w:t>
      </w:r>
      <w:r w:rsidRPr="002306C6">
        <w:t xml:space="preserve"> in Chapter 6 of the </w:t>
      </w:r>
      <w:r w:rsidRPr="002306C6">
        <w:rPr>
          <w:i/>
          <w:iCs/>
        </w:rPr>
        <w:t>Corporations Act 2001</w:t>
      </w:r>
      <w:r>
        <w:rPr>
          <w:i/>
          <w:iCs/>
        </w:rPr>
        <w:t xml:space="preserve"> </w:t>
      </w:r>
      <w:r>
        <w:t xml:space="preserve">(the </w:t>
      </w:r>
      <w:r w:rsidRPr="0023678F">
        <w:rPr>
          <w:b/>
          <w:bCs/>
        </w:rPr>
        <w:t>Corporations Act</w:t>
      </w:r>
      <w:r>
        <w:t>)</w:t>
      </w:r>
      <w:r w:rsidR="00E557A4">
        <w:t>.</w:t>
      </w:r>
      <w:r w:rsidR="006A5B73">
        <w:rPr>
          <w:rStyle w:val="FootnoteReference"/>
        </w:rPr>
        <w:footnoteReference w:id="5"/>
      </w:r>
      <w:r>
        <w:t xml:space="preserve"> The second is the implementation of a scheme of arrangement, a court-approved regime governed by Chapter 5 of the </w:t>
      </w:r>
      <w:r w:rsidRPr="00E557A4">
        <w:t>Corporations Act</w:t>
      </w:r>
      <w:r>
        <w:rPr>
          <w:i/>
          <w:iCs/>
        </w:rPr>
        <w:t xml:space="preserve"> </w:t>
      </w:r>
      <w:r>
        <w:t xml:space="preserve">(the </w:t>
      </w:r>
      <w:r>
        <w:rPr>
          <w:b/>
          <w:bCs/>
        </w:rPr>
        <w:t>Scheme of Arrangement Rules</w:t>
      </w:r>
      <w:r>
        <w:t xml:space="preserve">). </w:t>
      </w:r>
    </w:p>
    <w:p w14:paraId="47A00070" w14:textId="4FACB454" w:rsidR="00FE3A26" w:rsidRDefault="00FE3A26" w:rsidP="00CD308B">
      <w:pPr>
        <w:pStyle w:val="Bullet"/>
        <w:numPr>
          <w:ilvl w:val="0"/>
          <w:numId w:val="0"/>
        </w:numPr>
      </w:pPr>
      <w:r>
        <w:t xml:space="preserve">Takeover bids are </w:t>
      </w:r>
      <w:r w:rsidR="00630F1D">
        <w:t xml:space="preserve">driven </w:t>
      </w:r>
      <w:r>
        <w:t>by the ‘bidder,’ who determines the offer price, period, and terms and conditions.</w:t>
      </w:r>
      <w:r w:rsidR="004B7A54">
        <w:t xml:space="preserve"> For example, takeover bids can be a market bid for securities quoted on a financial market</w:t>
      </w:r>
      <w:r w:rsidR="00B96074">
        <w:t>,</w:t>
      </w:r>
      <w:r w:rsidR="004B7A54">
        <w:t xml:space="preserve"> or an </w:t>
      </w:r>
      <w:proofErr w:type="gramStart"/>
      <w:r w:rsidR="004B7A54">
        <w:t>off-market</w:t>
      </w:r>
      <w:proofErr w:type="gramEnd"/>
      <w:r w:rsidR="004B7A54">
        <w:t xml:space="preserve"> bid for quoted or unquoted securities;</w:t>
      </w:r>
      <w:r w:rsidR="003A3AEB">
        <w:rPr>
          <w:rStyle w:val="FootnoteReference"/>
        </w:rPr>
        <w:footnoteReference w:id="6"/>
      </w:r>
      <w:r w:rsidR="004B7A54">
        <w:t xml:space="preserve"> and can be conditional on the satisfaction of certain specified conditions</w:t>
      </w:r>
      <w:r w:rsidR="00B96074">
        <w:t>,</w:t>
      </w:r>
      <w:r w:rsidR="00B96074">
        <w:rPr>
          <w:rStyle w:val="FootnoteReference"/>
        </w:rPr>
        <w:footnoteReference w:id="7"/>
      </w:r>
      <w:r w:rsidR="004B7A54">
        <w:t xml:space="preserve"> or be unconditional.</w:t>
      </w:r>
    </w:p>
    <w:p w14:paraId="499D703A" w14:textId="64852667" w:rsidR="00CD308B" w:rsidRDefault="00812BA4" w:rsidP="00CD308B">
      <w:pPr>
        <w:pStyle w:val="Bullet"/>
        <w:numPr>
          <w:ilvl w:val="0"/>
          <w:numId w:val="0"/>
        </w:numPr>
      </w:pPr>
      <w:r>
        <w:t>S</w:t>
      </w:r>
      <w:r w:rsidR="00CD308B">
        <w:t>cheme</w:t>
      </w:r>
      <w:r>
        <w:t>s</w:t>
      </w:r>
      <w:r w:rsidR="00CD308B">
        <w:t xml:space="preserve"> of arrangement</w:t>
      </w:r>
      <w:r w:rsidR="000639C1">
        <w:t xml:space="preserve"> </w:t>
      </w:r>
      <w:r>
        <w:t>are</w:t>
      </w:r>
      <w:r w:rsidR="000639C1">
        <w:t xml:space="preserve"> </w:t>
      </w:r>
      <w:r w:rsidR="00CD308B">
        <w:t xml:space="preserve">largely </w:t>
      </w:r>
      <w:r w:rsidR="00F31BD9">
        <w:t xml:space="preserve">driven </w:t>
      </w:r>
      <w:r w:rsidR="00CD308B">
        <w:t xml:space="preserve">by the target company, </w:t>
      </w:r>
      <w:r w:rsidR="00450321">
        <w:t xml:space="preserve">which </w:t>
      </w:r>
      <w:r w:rsidR="00BE2693">
        <w:t xml:space="preserve">must </w:t>
      </w:r>
      <w:r w:rsidR="00CD308B">
        <w:t>seek the approval of its shareholders and the Court to propose and implement the scheme.</w:t>
      </w:r>
      <w:r w:rsidR="00450321">
        <w:t xml:space="preserve"> The ‘bidder’ is involved as a counterparty to the scheme implementation deed.</w:t>
      </w:r>
      <w:r w:rsidR="00F02A2F">
        <w:t xml:space="preserve"> Ultimately, a scheme requires the consent of the target and bidding companies, the shareholders of the target company, and the Court.</w:t>
      </w:r>
      <w:r w:rsidR="00450321">
        <w:t xml:space="preserve"> To the extent that the bidder has an interest in the target company, </w:t>
      </w:r>
      <w:r w:rsidR="00F02A2F">
        <w:t xml:space="preserve">it is </w:t>
      </w:r>
      <w:r w:rsidR="00450321">
        <w:t xml:space="preserve">not </w:t>
      </w:r>
      <w:r w:rsidR="00F02A2F">
        <w:t xml:space="preserve">entitled </w:t>
      </w:r>
      <w:r w:rsidR="00450321">
        <w:t>to vote.</w:t>
      </w:r>
      <w:r w:rsidR="00CD308B">
        <w:t xml:space="preserve"> </w:t>
      </w:r>
      <w:r w:rsidR="00F51FA9">
        <w:t xml:space="preserve"> </w:t>
      </w:r>
    </w:p>
    <w:p w14:paraId="53F7DE49" w14:textId="4EB09EBA" w:rsidR="00C64006" w:rsidRDefault="00CD308B" w:rsidP="00FE3A26">
      <w:pPr>
        <w:pStyle w:val="Bullet"/>
        <w:numPr>
          <w:ilvl w:val="0"/>
          <w:numId w:val="0"/>
        </w:numPr>
      </w:pPr>
      <w:r>
        <w:t xml:space="preserve">Because the </w:t>
      </w:r>
      <w:r w:rsidR="00120A37">
        <w:t xml:space="preserve">takeover </w:t>
      </w:r>
      <w:r>
        <w:t xml:space="preserve">process does not require the consent and cooperation of the target company, </w:t>
      </w:r>
      <w:r w:rsidR="006D3F1E">
        <w:t xml:space="preserve">a takeover bid </w:t>
      </w:r>
      <w:r w:rsidR="00E933E6" w:rsidRPr="000639C1">
        <w:t>is often used</w:t>
      </w:r>
      <w:r w:rsidR="00E933E6">
        <w:t xml:space="preserve"> </w:t>
      </w:r>
      <w:r w:rsidR="006D3F1E">
        <w:t xml:space="preserve">to acquire target companies in </w:t>
      </w:r>
      <w:r>
        <w:t xml:space="preserve">‘hostile’ </w:t>
      </w:r>
      <w:r w:rsidR="006D3F1E">
        <w:t>circumstances</w:t>
      </w:r>
      <w:r>
        <w:t>.</w:t>
      </w:r>
      <w:r>
        <w:rPr>
          <w:rStyle w:val="FootnoteReference"/>
        </w:rPr>
        <w:footnoteReference w:id="8"/>
      </w:r>
      <w:r>
        <w:t xml:space="preserve"> </w:t>
      </w:r>
    </w:p>
    <w:p w14:paraId="4794A69D" w14:textId="0DBB09E2" w:rsidR="00FE3A26" w:rsidRDefault="000C1CD8" w:rsidP="00FE3A26">
      <w:pPr>
        <w:pStyle w:val="Bullet"/>
        <w:numPr>
          <w:ilvl w:val="0"/>
          <w:numId w:val="0"/>
        </w:numPr>
      </w:pPr>
      <w:r>
        <w:t>On the other hand, a</w:t>
      </w:r>
      <w:r w:rsidR="00FE3A26">
        <w:t xml:space="preserve">s the </w:t>
      </w:r>
      <w:r w:rsidR="006312B6">
        <w:t xml:space="preserve">scheme </w:t>
      </w:r>
      <w:r w:rsidR="00706BCE">
        <w:t xml:space="preserve">of arrangement </w:t>
      </w:r>
      <w:r w:rsidR="00FE3A26">
        <w:t>process requires the consent and cooperation of the target company, schemes are, in general, used for ‘friendly’ acquisitions.</w:t>
      </w:r>
    </w:p>
    <w:p w14:paraId="276222F3" w14:textId="08899C22" w:rsidR="00BD6CD0" w:rsidRPr="004E416C" w:rsidRDefault="0036170A" w:rsidP="002C294E">
      <w:pPr>
        <w:pStyle w:val="Bullet"/>
        <w:numPr>
          <w:ilvl w:val="0"/>
          <w:numId w:val="0"/>
        </w:numPr>
      </w:pPr>
      <w:r>
        <w:t xml:space="preserve">As takeovers </w:t>
      </w:r>
      <w:r w:rsidR="00706BCE">
        <w:t>can be</w:t>
      </w:r>
      <w:r>
        <w:t xml:space="preserve"> hostile, </w:t>
      </w:r>
      <w:r w:rsidR="00E57F74">
        <w:t>with</w:t>
      </w:r>
      <w:r>
        <w:t xml:space="preserve"> the target </w:t>
      </w:r>
      <w:r w:rsidR="00BD6CD0">
        <w:t xml:space="preserve">company </w:t>
      </w:r>
      <w:r w:rsidR="00E57F74">
        <w:t>subject to</w:t>
      </w:r>
      <w:r>
        <w:t xml:space="preserve"> multiple competing takeover</w:t>
      </w:r>
      <w:r w:rsidR="00BD6CD0">
        <w:t xml:space="preserve"> bids</w:t>
      </w:r>
      <w:r>
        <w:t xml:space="preserve">, disputes often arise. </w:t>
      </w:r>
      <w:r w:rsidR="004E416C">
        <w:t xml:space="preserve">Disputes which arise during the takeover period are heard by the Takeovers Panel, which is </w:t>
      </w:r>
      <w:r w:rsidR="004E416C" w:rsidRPr="00346FC8">
        <w:t xml:space="preserve">a peer review </w:t>
      </w:r>
      <w:r w:rsidR="004E416C">
        <w:t xml:space="preserve">dispute resolution </w:t>
      </w:r>
      <w:r w:rsidR="004E416C" w:rsidRPr="00346FC8">
        <w:t>body</w:t>
      </w:r>
      <w:r w:rsidR="004E416C">
        <w:t xml:space="preserve"> composed of </w:t>
      </w:r>
      <w:r w:rsidR="004E416C" w:rsidRPr="00346FC8">
        <w:t xml:space="preserve">members </w:t>
      </w:r>
      <w:r w:rsidR="004E416C">
        <w:t>with expertise in mergers and acquisitions. Its primary power is to make a declaration of ‘unacceptable circumstances’ to protect the rights of persons or groups (especially shareholders of the target company).</w:t>
      </w:r>
      <w:r w:rsidR="00B3087A">
        <w:rPr>
          <w:rStyle w:val="FootnoteReference"/>
        </w:rPr>
        <w:footnoteReference w:id="9"/>
      </w:r>
      <w:r w:rsidR="004E416C">
        <w:t xml:space="preserve"> </w:t>
      </w:r>
      <w:r w:rsidR="004769C3">
        <w:t xml:space="preserve">The </w:t>
      </w:r>
      <w:r w:rsidR="00753148">
        <w:t xml:space="preserve">Takeovers </w:t>
      </w:r>
      <w:r w:rsidR="004769C3">
        <w:t>Panel seeks to decide disputes in a speedy manner</w:t>
      </w:r>
      <w:r w:rsidR="00B3087A">
        <w:t xml:space="preserve"> by</w:t>
      </w:r>
      <w:r w:rsidR="004769C3">
        <w:t xml:space="preserve"> focusing primarily on commercial </w:t>
      </w:r>
      <w:r w:rsidR="004769C3">
        <w:lastRenderedPageBreak/>
        <w:t xml:space="preserve">and policy issues. </w:t>
      </w:r>
      <w:r w:rsidR="004E416C">
        <w:t xml:space="preserve">In making a declaration of unacceptable circumstances, the </w:t>
      </w:r>
      <w:r w:rsidR="00753148">
        <w:t xml:space="preserve">Takeovers </w:t>
      </w:r>
      <w:r w:rsidR="004E416C">
        <w:t xml:space="preserve">Panel must have regard to the purpose of the Takeovers Rules </w:t>
      </w:r>
      <w:r w:rsidR="004769C3">
        <w:t xml:space="preserve">contained </w:t>
      </w:r>
      <w:r w:rsidR="004E416C">
        <w:t xml:space="preserve">in s 602 of the </w:t>
      </w:r>
      <w:r w:rsidR="004E416C" w:rsidRPr="00E557A4">
        <w:t>Corporations Act</w:t>
      </w:r>
      <w:r w:rsidR="004E416C" w:rsidRPr="004E416C">
        <w:t>.</w:t>
      </w:r>
      <w:r w:rsidR="00C81B7E">
        <w:rPr>
          <w:rStyle w:val="FootnoteReference"/>
        </w:rPr>
        <w:footnoteReference w:id="10"/>
      </w:r>
    </w:p>
    <w:p w14:paraId="285D3687" w14:textId="30CEFBF2" w:rsidR="00DE0801" w:rsidRDefault="0036170A" w:rsidP="00824C28">
      <w:pPr>
        <w:pStyle w:val="Bullet"/>
        <w:numPr>
          <w:ilvl w:val="0"/>
          <w:numId w:val="0"/>
        </w:numPr>
      </w:pPr>
      <w:r>
        <w:t>As schemes are typically friendly, disputes</w:t>
      </w:r>
      <w:r w:rsidR="008F1061">
        <w:t xml:space="preserve"> are uncommon</w:t>
      </w:r>
      <w:r>
        <w:t xml:space="preserve"> (other than disputes about the contractual meaning of the scheme implementation deed). </w:t>
      </w:r>
      <w:r w:rsidR="000C1CD8">
        <w:t>T</w:t>
      </w:r>
      <w:r>
        <w:t xml:space="preserve">o the extent </w:t>
      </w:r>
      <w:r w:rsidR="00356F06">
        <w:t xml:space="preserve">that disputes </w:t>
      </w:r>
      <w:r>
        <w:t>arise</w:t>
      </w:r>
      <w:r w:rsidR="00B3087A">
        <w:t>,</w:t>
      </w:r>
      <w:r>
        <w:t xml:space="preserve"> </w:t>
      </w:r>
      <w:r w:rsidR="00356F06">
        <w:t xml:space="preserve">they are </w:t>
      </w:r>
      <w:r w:rsidR="00D32581">
        <w:t xml:space="preserve">typically </w:t>
      </w:r>
      <w:r>
        <w:t xml:space="preserve">resolved by the </w:t>
      </w:r>
      <w:r w:rsidR="00B57EBC">
        <w:t>C</w:t>
      </w:r>
      <w:r>
        <w:t>ourt</w:t>
      </w:r>
      <w:r w:rsidR="000266C7">
        <w:t xml:space="preserve"> as part of the </w:t>
      </w:r>
      <w:r w:rsidR="000C1CD8">
        <w:t xml:space="preserve">court-administered approval </w:t>
      </w:r>
      <w:r w:rsidR="000266C7">
        <w:t>process</w:t>
      </w:r>
      <w:r w:rsidR="00B3087A">
        <w:t xml:space="preserve">. As schemes are already subject to </w:t>
      </w:r>
      <w:r w:rsidR="00DA5D4F">
        <w:t>scrutiny by the Court</w:t>
      </w:r>
      <w:r w:rsidR="00064DCB">
        <w:t xml:space="preserve">, </w:t>
      </w:r>
      <w:r w:rsidR="00EC289A">
        <w:t xml:space="preserve">the </w:t>
      </w:r>
      <w:r w:rsidR="00706BCE">
        <w:t>Takeovers</w:t>
      </w:r>
      <w:r w:rsidR="00EC289A">
        <w:t xml:space="preserve"> Panel is generally reluctant to intervene</w:t>
      </w:r>
      <w:r w:rsidR="000266C7">
        <w:t>.</w:t>
      </w:r>
      <w:r w:rsidR="00EC289A">
        <w:rPr>
          <w:rStyle w:val="FootnoteReference"/>
        </w:rPr>
        <w:footnoteReference w:id="11"/>
      </w:r>
      <w:r w:rsidR="009D3925">
        <w:t xml:space="preserve"> </w:t>
      </w:r>
      <w:r w:rsidR="00114345">
        <w:t>However, t</w:t>
      </w:r>
      <w:r w:rsidR="00EC289A">
        <w:t xml:space="preserve">he </w:t>
      </w:r>
      <w:r w:rsidR="00CD1F3C">
        <w:t xml:space="preserve">Takeovers </w:t>
      </w:r>
      <w:r w:rsidR="00EC289A">
        <w:t>Panel will</w:t>
      </w:r>
      <w:r w:rsidR="005605C8">
        <w:t xml:space="preserve"> conduct proceedings in relation to a scheme in</w:t>
      </w:r>
      <w:r w:rsidR="005537A5">
        <w:t xml:space="preserve"> limited</w:t>
      </w:r>
      <w:r w:rsidR="005605C8">
        <w:t xml:space="preserve"> circumstances.</w:t>
      </w:r>
      <w:r w:rsidR="009D3925">
        <w:t xml:space="preserve"> For example, a bidder may apply for a declaration of unacceptable circumstances where the target</w:t>
      </w:r>
      <w:r w:rsidR="002F3563">
        <w:t xml:space="preserve"> company</w:t>
      </w:r>
      <w:r w:rsidR="009D3925">
        <w:t xml:space="preserve"> </w:t>
      </w:r>
      <w:r w:rsidR="00EC289A">
        <w:t>enters</w:t>
      </w:r>
      <w:r w:rsidR="009D3925">
        <w:t xml:space="preserve"> a scheme of arrangement with a different bidder. </w:t>
      </w:r>
    </w:p>
    <w:p w14:paraId="711EA461" w14:textId="044237C6" w:rsidR="00654694" w:rsidRDefault="00654694" w:rsidP="00824C28">
      <w:pPr>
        <w:pStyle w:val="Bullet"/>
        <w:numPr>
          <w:ilvl w:val="0"/>
          <w:numId w:val="0"/>
        </w:numPr>
      </w:pPr>
      <w:r>
        <w:t>Table 1 below summarises the main features of the takeover bid and scheme of arrangement process</w:t>
      </w:r>
      <w:r w:rsidR="0025677D">
        <w:t>es</w:t>
      </w:r>
      <w:r>
        <w:t xml:space="preserve">. </w:t>
      </w:r>
    </w:p>
    <w:p w14:paraId="3D3A352B" w14:textId="56B8D589" w:rsidR="00DE0801" w:rsidRDefault="00DE0801" w:rsidP="00DE0801">
      <w:pPr>
        <w:pStyle w:val="Caption"/>
      </w:pPr>
      <w:r w:rsidRPr="0075751F">
        <w:t xml:space="preserve">Table </w:t>
      </w:r>
      <w:r w:rsidR="001B3D65">
        <w:fldChar w:fldCharType="begin"/>
      </w:r>
      <w:r w:rsidR="001B3D65">
        <w:instrText xml:space="preserve"> SEQ Table \* ARABIC </w:instrText>
      </w:r>
      <w:r w:rsidR="001B3D65">
        <w:fldChar w:fldCharType="separate"/>
      </w:r>
      <w:r w:rsidR="00907398">
        <w:rPr>
          <w:noProof/>
        </w:rPr>
        <w:t>1</w:t>
      </w:r>
      <w:r w:rsidR="001B3D65">
        <w:rPr>
          <w:noProof/>
        </w:rPr>
        <w:fldChar w:fldCharType="end"/>
      </w:r>
      <w:r w:rsidRPr="006A4529">
        <w:t xml:space="preserve">. </w:t>
      </w:r>
      <w:r>
        <w:t xml:space="preserve">Summary of main features of </w:t>
      </w:r>
      <w:r w:rsidR="00654694">
        <w:t>Takeover Bids and Schemes of Arrangement</w:t>
      </w:r>
    </w:p>
    <w:tbl>
      <w:tblPr>
        <w:tblW w:w="0" w:type="auto"/>
        <w:jc w:val="center"/>
        <w:tblCellMar>
          <w:left w:w="0" w:type="dxa"/>
          <w:right w:w="0" w:type="dxa"/>
        </w:tblCellMar>
        <w:tblLook w:val="0420" w:firstRow="1" w:lastRow="0" w:firstColumn="0" w:lastColumn="0" w:noHBand="0" w:noVBand="1"/>
      </w:tblPr>
      <w:tblGrid>
        <w:gridCol w:w="2127"/>
        <w:gridCol w:w="3467"/>
        <w:gridCol w:w="3468"/>
      </w:tblGrid>
      <w:tr w:rsidR="00FF115D" w:rsidRPr="00DE0801" w14:paraId="69140197" w14:textId="77777777" w:rsidTr="004A494D">
        <w:trPr>
          <w:trHeight w:val="256"/>
          <w:jc w:val="center"/>
        </w:trPr>
        <w:tc>
          <w:tcPr>
            <w:tcW w:w="2127" w:type="dxa"/>
            <w:tcBorders>
              <w:bottom w:val="single" w:sz="6" w:space="0" w:color="2A3649"/>
              <w:right w:val="single" w:sz="4" w:space="0" w:color="002C47" w:themeColor="accent1"/>
            </w:tcBorders>
            <w:shd w:val="clear" w:color="auto" w:fill="auto"/>
            <w:tcMar>
              <w:top w:w="72" w:type="dxa"/>
              <w:left w:w="72" w:type="dxa"/>
              <w:bottom w:w="72" w:type="dxa"/>
              <w:right w:w="72" w:type="dxa"/>
            </w:tcMar>
            <w:vAlign w:val="center"/>
            <w:hideMark/>
          </w:tcPr>
          <w:p w14:paraId="76577188" w14:textId="30CE6613" w:rsidR="00DE0801" w:rsidRPr="005519AD" w:rsidRDefault="00DE0801" w:rsidP="00A66BE7">
            <w:pPr>
              <w:pStyle w:val="Bullet"/>
              <w:numPr>
                <w:ilvl w:val="0"/>
                <w:numId w:val="0"/>
              </w:numPr>
              <w:spacing w:after="0"/>
              <w:ind w:left="284" w:hanging="284"/>
              <w:rPr>
                <w:sz w:val="20"/>
              </w:rPr>
            </w:pPr>
            <w:bookmarkStart w:id="12" w:name="_Hlk98998158"/>
          </w:p>
        </w:tc>
        <w:tc>
          <w:tcPr>
            <w:tcW w:w="3467" w:type="dxa"/>
            <w:tcBorders>
              <w:top w:val="single" w:sz="4" w:space="0" w:color="002C47" w:themeColor="accent1"/>
              <w:left w:val="single" w:sz="4" w:space="0" w:color="002C47" w:themeColor="accent1"/>
              <w:bottom w:val="single" w:sz="6" w:space="0" w:color="2A3649"/>
              <w:right w:val="single" w:sz="8" w:space="0" w:color="D9D9D9"/>
            </w:tcBorders>
            <w:shd w:val="clear" w:color="auto" w:fill="2C384A"/>
            <w:tcMar>
              <w:top w:w="72" w:type="dxa"/>
              <w:left w:w="72" w:type="dxa"/>
              <w:bottom w:w="72" w:type="dxa"/>
              <w:right w:w="72" w:type="dxa"/>
            </w:tcMar>
            <w:vAlign w:val="center"/>
            <w:hideMark/>
          </w:tcPr>
          <w:p w14:paraId="13AB586F" w14:textId="77777777" w:rsidR="00DE0801" w:rsidRPr="005519AD" w:rsidRDefault="00DE0801" w:rsidP="00A66BE7">
            <w:pPr>
              <w:pStyle w:val="Bullet"/>
              <w:numPr>
                <w:ilvl w:val="0"/>
                <w:numId w:val="0"/>
              </w:numPr>
              <w:spacing w:after="0"/>
              <w:jc w:val="center"/>
              <w:rPr>
                <w:sz w:val="20"/>
              </w:rPr>
            </w:pPr>
            <w:r w:rsidRPr="005519AD">
              <w:rPr>
                <w:b/>
                <w:bCs/>
                <w:sz w:val="20"/>
              </w:rPr>
              <w:t>Takeover Bid</w:t>
            </w:r>
          </w:p>
        </w:tc>
        <w:tc>
          <w:tcPr>
            <w:tcW w:w="3468" w:type="dxa"/>
            <w:tcBorders>
              <w:top w:val="single" w:sz="4" w:space="0" w:color="002C47" w:themeColor="accent1"/>
              <w:left w:val="single" w:sz="8" w:space="0" w:color="D9D9D9"/>
              <w:bottom w:val="single" w:sz="6" w:space="0" w:color="2A3649"/>
              <w:right w:val="single" w:sz="6" w:space="0" w:color="2A3649"/>
            </w:tcBorders>
            <w:shd w:val="clear" w:color="auto" w:fill="2C384A"/>
            <w:tcMar>
              <w:top w:w="72" w:type="dxa"/>
              <w:left w:w="72" w:type="dxa"/>
              <w:bottom w:w="72" w:type="dxa"/>
              <w:right w:w="72" w:type="dxa"/>
            </w:tcMar>
            <w:vAlign w:val="center"/>
            <w:hideMark/>
          </w:tcPr>
          <w:p w14:paraId="2F6C4EB3" w14:textId="77777777" w:rsidR="00DE0801" w:rsidRPr="005519AD" w:rsidRDefault="00DE0801" w:rsidP="00A66BE7">
            <w:pPr>
              <w:pStyle w:val="Bullet"/>
              <w:numPr>
                <w:ilvl w:val="0"/>
                <w:numId w:val="0"/>
              </w:numPr>
              <w:spacing w:after="0"/>
              <w:ind w:left="284" w:hanging="284"/>
              <w:jc w:val="center"/>
              <w:rPr>
                <w:sz w:val="20"/>
              </w:rPr>
            </w:pPr>
            <w:r w:rsidRPr="005519AD">
              <w:rPr>
                <w:b/>
                <w:bCs/>
                <w:sz w:val="20"/>
              </w:rPr>
              <w:t>Scheme of Arrangement</w:t>
            </w:r>
          </w:p>
        </w:tc>
      </w:tr>
      <w:tr w:rsidR="00AB2121" w:rsidRPr="00DE0801" w14:paraId="3C9D0680" w14:textId="77777777" w:rsidTr="00A66BE7">
        <w:trPr>
          <w:trHeight w:val="194"/>
          <w:jc w:val="center"/>
        </w:trPr>
        <w:tc>
          <w:tcPr>
            <w:tcW w:w="0" w:type="auto"/>
            <w:gridSpan w:val="3"/>
            <w:tcBorders>
              <w:top w:val="single" w:sz="6" w:space="0" w:color="2A3649"/>
              <w:left w:val="single" w:sz="6" w:space="0" w:color="2A3649"/>
              <w:bottom w:val="single" w:sz="6" w:space="0" w:color="2A3649"/>
              <w:right w:val="single" w:sz="6" w:space="0" w:color="2A3649"/>
            </w:tcBorders>
            <w:shd w:val="clear" w:color="auto" w:fill="E6DAED" w:themeFill="accent6" w:themeFillTint="33"/>
            <w:tcMar>
              <w:top w:w="72" w:type="dxa"/>
              <w:left w:w="72" w:type="dxa"/>
              <w:bottom w:w="72" w:type="dxa"/>
              <w:right w:w="72" w:type="dxa"/>
            </w:tcMar>
            <w:vAlign w:val="center"/>
          </w:tcPr>
          <w:p w14:paraId="57F0669A" w14:textId="5EC56C7C" w:rsidR="00AB2121" w:rsidRPr="005519AD" w:rsidRDefault="00AB2121" w:rsidP="00A66BE7">
            <w:pPr>
              <w:pStyle w:val="Bullet"/>
              <w:numPr>
                <w:ilvl w:val="0"/>
                <w:numId w:val="0"/>
              </w:numPr>
              <w:spacing w:after="0"/>
              <w:ind w:left="284" w:hanging="284"/>
              <w:rPr>
                <w:b/>
                <w:bCs/>
                <w:sz w:val="20"/>
              </w:rPr>
            </w:pPr>
            <w:r>
              <w:rPr>
                <w:b/>
                <w:bCs/>
                <w:sz w:val="20"/>
              </w:rPr>
              <w:t>Features</w:t>
            </w:r>
            <w:r w:rsidR="005772DD">
              <w:rPr>
                <w:b/>
                <w:bCs/>
                <w:sz w:val="20"/>
              </w:rPr>
              <w:t xml:space="preserve"> of structure</w:t>
            </w:r>
          </w:p>
        </w:tc>
      </w:tr>
      <w:tr w:rsidR="004A494D" w:rsidRPr="00DE0801" w14:paraId="20E3AAAB" w14:textId="77777777" w:rsidTr="004A494D">
        <w:trPr>
          <w:trHeight w:val="326"/>
          <w:jc w:val="center"/>
        </w:trPr>
        <w:tc>
          <w:tcPr>
            <w:tcW w:w="2127" w:type="dxa"/>
            <w:tcBorders>
              <w:top w:val="single" w:sz="6" w:space="0" w:color="2A3649"/>
              <w:left w:val="single" w:sz="6" w:space="0" w:color="2A3649"/>
              <w:right w:val="single" w:sz="8" w:space="0" w:color="D9D9D9"/>
            </w:tcBorders>
            <w:shd w:val="clear" w:color="auto" w:fill="F2F2F2"/>
            <w:tcMar>
              <w:top w:w="72" w:type="dxa"/>
              <w:left w:w="72" w:type="dxa"/>
              <w:bottom w:w="72" w:type="dxa"/>
              <w:right w:w="72" w:type="dxa"/>
            </w:tcMar>
            <w:vAlign w:val="center"/>
            <w:hideMark/>
          </w:tcPr>
          <w:p w14:paraId="3F8DF285" w14:textId="77777777" w:rsidR="00DE0801" w:rsidRPr="005519AD" w:rsidRDefault="00DE0801" w:rsidP="00A66BE7">
            <w:pPr>
              <w:pStyle w:val="Bullet"/>
              <w:numPr>
                <w:ilvl w:val="0"/>
                <w:numId w:val="0"/>
              </w:numPr>
              <w:spacing w:after="0"/>
              <w:ind w:left="284" w:hanging="284"/>
              <w:rPr>
                <w:sz w:val="20"/>
              </w:rPr>
            </w:pPr>
            <w:r w:rsidRPr="005519AD">
              <w:rPr>
                <w:b/>
                <w:bCs/>
                <w:sz w:val="20"/>
              </w:rPr>
              <w:t>Controlled by</w:t>
            </w:r>
          </w:p>
        </w:tc>
        <w:tc>
          <w:tcPr>
            <w:tcW w:w="3467" w:type="dxa"/>
            <w:tcBorders>
              <w:top w:val="single" w:sz="6" w:space="0" w:color="2A3649"/>
              <w:left w:val="single" w:sz="8" w:space="0" w:color="D9D9D9"/>
              <w:right w:val="single" w:sz="8" w:space="0" w:color="D9D9D9"/>
            </w:tcBorders>
            <w:shd w:val="clear" w:color="auto" w:fill="F2F2F2"/>
            <w:tcMar>
              <w:top w:w="72" w:type="dxa"/>
              <w:left w:w="72" w:type="dxa"/>
              <w:bottom w:w="72" w:type="dxa"/>
              <w:right w:w="72" w:type="dxa"/>
            </w:tcMar>
            <w:vAlign w:val="center"/>
            <w:hideMark/>
          </w:tcPr>
          <w:p w14:paraId="439DAB0A" w14:textId="77777777" w:rsidR="00DE0801" w:rsidRPr="005519AD" w:rsidRDefault="00DE0801" w:rsidP="00A66BE7">
            <w:pPr>
              <w:pStyle w:val="Bullet"/>
              <w:numPr>
                <w:ilvl w:val="0"/>
                <w:numId w:val="0"/>
              </w:numPr>
              <w:spacing w:after="0"/>
              <w:ind w:left="284" w:hanging="284"/>
              <w:rPr>
                <w:sz w:val="20"/>
              </w:rPr>
            </w:pPr>
            <w:r w:rsidRPr="005519AD">
              <w:rPr>
                <w:sz w:val="20"/>
              </w:rPr>
              <w:t>Bidder</w:t>
            </w:r>
          </w:p>
        </w:tc>
        <w:tc>
          <w:tcPr>
            <w:tcW w:w="3468" w:type="dxa"/>
            <w:tcBorders>
              <w:top w:val="single" w:sz="6" w:space="0" w:color="2A3649"/>
              <w:left w:val="single" w:sz="8" w:space="0" w:color="D9D9D9"/>
              <w:right w:val="single" w:sz="6" w:space="0" w:color="2A3649"/>
            </w:tcBorders>
            <w:shd w:val="clear" w:color="auto" w:fill="F2F2F2"/>
            <w:tcMar>
              <w:top w:w="72" w:type="dxa"/>
              <w:left w:w="72" w:type="dxa"/>
              <w:bottom w:w="72" w:type="dxa"/>
              <w:right w:w="72" w:type="dxa"/>
            </w:tcMar>
            <w:vAlign w:val="center"/>
            <w:hideMark/>
          </w:tcPr>
          <w:p w14:paraId="12B7667E" w14:textId="77777777" w:rsidR="00DE0801" w:rsidRPr="005519AD" w:rsidRDefault="00DE0801" w:rsidP="00A66BE7">
            <w:pPr>
              <w:pStyle w:val="Bullet"/>
              <w:numPr>
                <w:ilvl w:val="0"/>
                <w:numId w:val="0"/>
              </w:numPr>
              <w:spacing w:after="0"/>
              <w:ind w:left="284" w:hanging="284"/>
              <w:rPr>
                <w:sz w:val="20"/>
              </w:rPr>
            </w:pPr>
            <w:r w:rsidRPr="005519AD">
              <w:rPr>
                <w:sz w:val="20"/>
              </w:rPr>
              <w:t>Target</w:t>
            </w:r>
          </w:p>
        </w:tc>
      </w:tr>
      <w:tr w:rsidR="004A494D" w:rsidRPr="00DE0801" w14:paraId="290E9F7B" w14:textId="77777777" w:rsidTr="004A494D">
        <w:trPr>
          <w:trHeight w:val="308"/>
          <w:jc w:val="center"/>
        </w:trPr>
        <w:tc>
          <w:tcPr>
            <w:tcW w:w="2127" w:type="dxa"/>
            <w:tcBorders>
              <w:left w:val="single" w:sz="6" w:space="0" w:color="2A3649"/>
              <w:right w:val="single" w:sz="8" w:space="0" w:color="D9D9D9"/>
            </w:tcBorders>
            <w:shd w:val="clear" w:color="auto" w:fill="DFE0E1"/>
            <w:tcMar>
              <w:top w:w="72" w:type="dxa"/>
              <w:left w:w="72" w:type="dxa"/>
              <w:bottom w:w="72" w:type="dxa"/>
              <w:right w:w="72" w:type="dxa"/>
            </w:tcMar>
            <w:vAlign w:val="center"/>
            <w:hideMark/>
          </w:tcPr>
          <w:p w14:paraId="5917331E" w14:textId="77777777" w:rsidR="00DE0801" w:rsidRPr="005519AD" w:rsidRDefault="00DE0801" w:rsidP="00A66BE7">
            <w:pPr>
              <w:pStyle w:val="Bullet"/>
              <w:numPr>
                <w:ilvl w:val="0"/>
                <w:numId w:val="0"/>
              </w:numPr>
              <w:spacing w:after="0"/>
              <w:rPr>
                <w:sz w:val="20"/>
              </w:rPr>
            </w:pPr>
            <w:r w:rsidRPr="005519AD">
              <w:rPr>
                <w:b/>
                <w:bCs/>
                <w:sz w:val="20"/>
              </w:rPr>
              <w:t>Appropriate for</w:t>
            </w:r>
          </w:p>
        </w:tc>
        <w:tc>
          <w:tcPr>
            <w:tcW w:w="3467" w:type="dxa"/>
            <w:tcBorders>
              <w:left w:val="single" w:sz="8" w:space="0" w:color="D9D9D9"/>
              <w:right w:val="single" w:sz="8" w:space="0" w:color="D9D9D9"/>
            </w:tcBorders>
            <w:shd w:val="clear" w:color="auto" w:fill="DFE0E1"/>
            <w:tcMar>
              <w:top w:w="72" w:type="dxa"/>
              <w:left w:w="72" w:type="dxa"/>
              <w:bottom w:w="72" w:type="dxa"/>
              <w:right w:w="72" w:type="dxa"/>
            </w:tcMar>
            <w:vAlign w:val="center"/>
            <w:hideMark/>
          </w:tcPr>
          <w:p w14:paraId="6A10ED4C" w14:textId="7CF59283" w:rsidR="00DE0801" w:rsidRPr="005519AD" w:rsidRDefault="00DE0801" w:rsidP="00A66BE7">
            <w:pPr>
              <w:pStyle w:val="Bullet"/>
              <w:numPr>
                <w:ilvl w:val="0"/>
                <w:numId w:val="0"/>
              </w:numPr>
              <w:spacing w:after="0"/>
              <w:ind w:left="284" w:hanging="284"/>
              <w:rPr>
                <w:sz w:val="20"/>
              </w:rPr>
            </w:pPr>
            <w:r w:rsidRPr="005519AD">
              <w:rPr>
                <w:sz w:val="20"/>
              </w:rPr>
              <w:t>Hostile &amp; friendly</w:t>
            </w:r>
            <w:r w:rsidR="00AA5832" w:rsidRPr="005519AD">
              <w:rPr>
                <w:sz w:val="20"/>
              </w:rPr>
              <w:t xml:space="preserve"> acquisitions</w:t>
            </w:r>
          </w:p>
        </w:tc>
        <w:tc>
          <w:tcPr>
            <w:tcW w:w="3468" w:type="dxa"/>
            <w:tcBorders>
              <w:left w:val="single" w:sz="8" w:space="0" w:color="D9D9D9"/>
              <w:right w:val="single" w:sz="6" w:space="0" w:color="2A3649"/>
            </w:tcBorders>
            <w:shd w:val="clear" w:color="auto" w:fill="DFE0E1"/>
            <w:tcMar>
              <w:top w:w="72" w:type="dxa"/>
              <w:left w:w="72" w:type="dxa"/>
              <w:bottom w:w="72" w:type="dxa"/>
              <w:right w:w="72" w:type="dxa"/>
            </w:tcMar>
            <w:vAlign w:val="center"/>
            <w:hideMark/>
          </w:tcPr>
          <w:p w14:paraId="266C6FED" w14:textId="03AB1FA3" w:rsidR="00DE0801" w:rsidRPr="005519AD" w:rsidRDefault="00DE0801" w:rsidP="00A66BE7">
            <w:pPr>
              <w:pStyle w:val="Bullet"/>
              <w:numPr>
                <w:ilvl w:val="0"/>
                <w:numId w:val="0"/>
              </w:numPr>
              <w:spacing w:after="0"/>
              <w:ind w:left="284" w:hanging="284"/>
              <w:rPr>
                <w:sz w:val="20"/>
              </w:rPr>
            </w:pPr>
            <w:r w:rsidRPr="005519AD">
              <w:rPr>
                <w:sz w:val="20"/>
              </w:rPr>
              <w:t>Friendly</w:t>
            </w:r>
            <w:r w:rsidR="00AA5832" w:rsidRPr="005519AD">
              <w:rPr>
                <w:sz w:val="20"/>
              </w:rPr>
              <w:t xml:space="preserve"> acquisitions</w:t>
            </w:r>
          </w:p>
        </w:tc>
      </w:tr>
      <w:tr w:rsidR="004A494D" w:rsidRPr="00DE0801" w14:paraId="577A5E02" w14:textId="77777777" w:rsidTr="004A494D">
        <w:trPr>
          <w:trHeight w:val="584"/>
          <w:jc w:val="center"/>
        </w:trPr>
        <w:tc>
          <w:tcPr>
            <w:tcW w:w="2127" w:type="dxa"/>
            <w:tcBorders>
              <w:left w:val="single" w:sz="6" w:space="0" w:color="2A3649"/>
              <w:right w:val="single" w:sz="8" w:space="0" w:color="D9D9D9"/>
            </w:tcBorders>
            <w:shd w:val="clear" w:color="auto" w:fill="F2F2F2"/>
            <w:tcMar>
              <w:top w:w="72" w:type="dxa"/>
              <w:left w:w="72" w:type="dxa"/>
              <w:bottom w:w="72" w:type="dxa"/>
              <w:right w:w="72" w:type="dxa"/>
            </w:tcMar>
            <w:vAlign w:val="center"/>
            <w:hideMark/>
          </w:tcPr>
          <w:p w14:paraId="3108F6FE" w14:textId="3A17B8FB" w:rsidR="00DE0801" w:rsidRPr="005519AD" w:rsidRDefault="00AA5832" w:rsidP="00A66BE7">
            <w:pPr>
              <w:pStyle w:val="Bullet"/>
              <w:numPr>
                <w:ilvl w:val="0"/>
                <w:numId w:val="0"/>
              </w:numPr>
              <w:spacing w:after="0"/>
              <w:rPr>
                <w:sz w:val="20"/>
              </w:rPr>
            </w:pPr>
            <w:r w:rsidRPr="005519AD">
              <w:rPr>
                <w:b/>
                <w:bCs/>
                <w:sz w:val="20"/>
              </w:rPr>
              <w:t>Method of a</w:t>
            </w:r>
            <w:r w:rsidR="00DE0801" w:rsidRPr="005519AD">
              <w:rPr>
                <w:b/>
                <w:bCs/>
                <w:sz w:val="20"/>
              </w:rPr>
              <w:t>pproval</w:t>
            </w:r>
          </w:p>
        </w:tc>
        <w:tc>
          <w:tcPr>
            <w:tcW w:w="3467" w:type="dxa"/>
            <w:tcBorders>
              <w:left w:val="single" w:sz="8" w:space="0" w:color="D9D9D9"/>
              <w:right w:val="single" w:sz="8" w:space="0" w:color="D9D9D9"/>
            </w:tcBorders>
            <w:shd w:val="clear" w:color="auto" w:fill="F2F2F2"/>
            <w:tcMar>
              <w:top w:w="72" w:type="dxa"/>
              <w:left w:w="72" w:type="dxa"/>
              <w:bottom w:w="72" w:type="dxa"/>
              <w:right w:w="72" w:type="dxa"/>
            </w:tcMar>
            <w:vAlign w:val="center"/>
            <w:hideMark/>
          </w:tcPr>
          <w:p w14:paraId="3FF848CA" w14:textId="77777777" w:rsidR="00DE0801" w:rsidRPr="005519AD" w:rsidRDefault="00DE0801" w:rsidP="00A66BE7">
            <w:pPr>
              <w:pStyle w:val="Bullet"/>
              <w:spacing w:after="0"/>
              <w:rPr>
                <w:sz w:val="20"/>
              </w:rPr>
            </w:pPr>
            <w:r w:rsidRPr="005519AD">
              <w:rPr>
                <w:sz w:val="20"/>
              </w:rPr>
              <w:t>Offer accepted by shareholders</w:t>
            </w:r>
          </w:p>
          <w:p w14:paraId="330D310B" w14:textId="1BED2384" w:rsidR="00DE0801" w:rsidRPr="005519AD" w:rsidRDefault="00A66BE7" w:rsidP="00A66BE7">
            <w:pPr>
              <w:pStyle w:val="Bullet"/>
              <w:spacing w:after="0"/>
              <w:rPr>
                <w:sz w:val="20"/>
              </w:rPr>
            </w:pPr>
            <w:r>
              <w:rPr>
                <w:sz w:val="20"/>
              </w:rPr>
              <w:t>O</w:t>
            </w:r>
            <w:r w:rsidRPr="005519AD">
              <w:rPr>
                <w:sz w:val="20"/>
              </w:rPr>
              <w:t>nce 90% of securities owned</w:t>
            </w:r>
            <w:r>
              <w:rPr>
                <w:sz w:val="20"/>
              </w:rPr>
              <w:t>,</w:t>
            </w:r>
            <w:r w:rsidRPr="005519AD">
              <w:rPr>
                <w:sz w:val="20"/>
              </w:rPr>
              <w:t xml:space="preserve"> </w:t>
            </w:r>
            <w:r>
              <w:rPr>
                <w:sz w:val="20"/>
              </w:rPr>
              <w:t>b</w:t>
            </w:r>
            <w:r w:rsidR="00DE0801" w:rsidRPr="005519AD">
              <w:rPr>
                <w:sz w:val="20"/>
              </w:rPr>
              <w:t>idder can exercise compulsory acquisition power</w:t>
            </w:r>
            <w:r w:rsidR="00D7514E" w:rsidRPr="005519AD">
              <w:rPr>
                <w:rStyle w:val="FootnoteReference"/>
              </w:rPr>
              <w:footnoteReference w:id="12"/>
            </w:r>
          </w:p>
        </w:tc>
        <w:tc>
          <w:tcPr>
            <w:tcW w:w="3468" w:type="dxa"/>
            <w:tcBorders>
              <w:left w:val="single" w:sz="8" w:space="0" w:color="D9D9D9"/>
              <w:right w:val="single" w:sz="6" w:space="0" w:color="2A3649"/>
            </w:tcBorders>
            <w:shd w:val="clear" w:color="auto" w:fill="F2F2F2"/>
            <w:tcMar>
              <w:top w:w="72" w:type="dxa"/>
              <w:left w:w="72" w:type="dxa"/>
              <w:bottom w:w="72" w:type="dxa"/>
              <w:right w:w="72" w:type="dxa"/>
            </w:tcMar>
            <w:vAlign w:val="center"/>
            <w:hideMark/>
          </w:tcPr>
          <w:p w14:paraId="5EE40070" w14:textId="623A557A" w:rsidR="00A82AA6" w:rsidRDefault="00A82AA6" w:rsidP="00A82AA6">
            <w:pPr>
              <w:pStyle w:val="Bullet"/>
              <w:numPr>
                <w:ilvl w:val="0"/>
                <w:numId w:val="0"/>
              </w:numPr>
              <w:spacing w:after="0"/>
              <w:rPr>
                <w:sz w:val="20"/>
              </w:rPr>
            </w:pPr>
            <w:r>
              <w:rPr>
                <w:sz w:val="20"/>
              </w:rPr>
              <w:t>Requires both:</w:t>
            </w:r>
          </w:p>
          <w:p w14:paraId="3C983285" w14:textId="458733B9" w:rsidR="00DE0801" w:rsidRPr="005519AD" w:rsidRDefault="00BE4DE6" w:rsidP="00A66BE7">
            <w:pPr>
              <w:pStyle w:val="Bullet"/>
              <w:spacing w:after="0"/>
              <w:rPr>
                <w:sz w:val="20"/>
              </w:rPr>
            </w:pPr>
            <w:r w:rsidRPr="005519AD">
              <w:rPr>
                <w:sz w:val="20"/>
              </w:rPr>
              <w:t>Members’ r</w:t>
            </w:r>
            <w:r w:rsidR="00DE0801" w:rsidRPr="005519AD">
              <w:rPr>
                <w:sz w:val="20"/>
              </w:rPr>
              <w:t>esolution passed by:</w:t>
            </w:r>
            <w:r w:rsidR="00E24D53" w:rsidRPr="005519AD">
              <w:rPr>
                <w:sz w:val="20"/>
              </w:rPr>
              <w:t xml:space="preserve"> (</w:t>
            </w:r>
            <w:proofErr w:type="spellStart"/>
            <w:r w:rsidR="00E24D53" w:rsidRPr="005519AD">
              <w:rPr>
                <w:sz w:val="20"/>
              </w:rPr>
              <w:t>i</w:t>
            </w:r>
            <w:proofErr w:type="spellEnd"/>
            <w:r w:rsidR="00E24D53" w:rsidRPr="005519AD">
              <w:rPr>
                <w:sz w:val="20"/>
              </w:rPr>
              <w:t xml:space="preserve">) </w:t>
            </w:r>
            <w:r w:rsidR="00DE0801" w:rsidRPr="005519AD">
              <w:rPr>
                <w:sz w:val="20"/>
              </w:rPr>
              <w:t>75% of votes cast</w:t>
            </w:r>
            <w:r w:rsidR="00E24D53" w:rsidRPr="005519AD">
              <w:rPr>
                <w:sz w:val="20"/>
              </w:rPr>
              <w:t>; and (</w:t>
            </w:r>
            <w:r w:rsidRPr="005519AD">
              <w:rPr>
                <w:sz w:val="20"/>
              </w:rPr>
              <w:t>ii) m</w:t>
            </w:r>
            <w:r w:rsidR="00DE0801" w:rsidRPr="005519AD">
              <w:rPr>
                <w:sz w:val="20"/>
              </w:rPr>
              <w:t xml:space="preserve">ajority in number </w:t>
            </w:r>
            <w:r w:rsidR="00AA5832" w:rsidRPr="005519AD">
              <w:rPr>
                <w:sz w:val="20"/>
              </w:rPr>
              <w:t xml:space="preserve">present and </w:t>
            </w:r>
            <w:r w:rsidR="00DE0801" w:rsidRPr="005519AD">
              <w:rPr>
                <w:sz w:val="20"/>
              </w:rPr>
              <w:t>voting</w:t>
            </w:r>
            <w:r w:rsidR="00684417">
              <w:rPr>
                <w:sz w:val="20"/>
              </w:rPr>
              <w:t>;</w:t>
            </w:r>
            <w:r w:rsidR="00D7514E" w:rsidRPr="005519AD">
              <w:rPr>
                <w:rStyle w:val="FootnoteReference"/>
              </w:rPr>
              <w:footnoteReference w:id="13"/>
            </w:r>
            <w:r w:rsidR="00684417">
              <w:rPr>
                <w:sz w:val="20"/>
              </w:rPr>
              <w:t xml:space="preserve"> and</w:t>
            </w:r>
          </w:p>
          <w:p w14:paraId="44D26BB2" w14:textId="0FC0F8B7" w:rsidR="00BE4DE6" w:rsidRPr="005519AD" w:rsidRDefault="00BE4DE6" w:rsidP="00A66BE7">
            <w:pPr>
              <w:pStyle w:val="Bullet"/>
              <w:spacing w:after="0"/>
              <w:rPr>
                <w:sz w:val="20"/>
              </w:rPr>
            </w:pPr>
            <w:r w:rsidRPr="005519AD">
              <w:rPr>
                <w:sz w:val="20"/>
              </w:rPr>
              <w:t>Approv</w:t>
            </w:r>
            <w:r w:rsidR="00A82AA6">
              <w:rPr>
                <w:sz w:val="20"/>
              </w:rPr>
              <w:t>al</w:t>
            </w:r>
            <w:r w:rsidRPr="005519AD">
              <w:rPr>
                <w:sz w:val="20"/>
              </w:rPr>
              <w:t xml:space="preserve"> by Court</w:t>
            </w:r>
            <w:r w:rsidR="00D7514E" w:rsidRPr="005519AD">
              <w:rPr>
                <w:rStyle w:val="FootnoteReference"/>
              </w:rPr>
              <w:footnoteReference w:id="14"/>
            </w:r>
          </w:p>
        </w:tc>
      </w:tr>
      <w:tr w:rsidR="00FF115D" w:rsidRPr="00DE0801" w14:paraId="32F286CA" w14:textId="77777777" w:rsidTr="004A494D">
        <w:trPr>
          <w:trHeight w:val="584"/>
          <w:jc w:val="center"/>
        </w:trPr>
        <w:tc>
          <w:tcPr>
            <w:tcW w:w="2127" w:type="dxa"/>
            <w:tcBorders>
              <w:left w:val="single" w:sz="6" w:space="0" w:color="2A3649"/>
              <w:bottom w:val="single" w:sz="4" w:space="0" w:color="002C47" w:themeColor="accent1"/>
              <w:right w:val="single" w:sz="8" w:space="0" w:color="D9D9D9"/>
            </w:tcBorders>
            <w:shd w:val="clear" w:color="auto" w:fill="DFE0E1"/>
            <w:tcMar>
              <w:top w:w="72" w:type="dxa"/>
              <w:left w:w="72" w:type="dxa"/>
              <w:bottom w:w="72" w:type="dxa"/>
              <w:right w:w="72" w:type="dxa"/>
            </w:tcMar>
            <w:vAlign w:val="center"/>
            <w:hideMark/>
          </w:tcPr>
          <w:p w14:paraId="0C756479" w14:textId="7C6DAF8B" w:rsidR="00DE0801" w:rsidRPr="005519AD" w:rsidRDefault="00DE0801" w:rsidP="00A66BE7">
            <w:pPr>
              <w:pStyle w:val="Bullet"/>
              <w:numPr>
                <w:ilvl w:val="0"/>
                <w:numId w:val="0"/>
              </w:numPr>
              <w:spacing w:after="0"/>
              <w:rPr>
                <w:sz w:val="20"/>
              </w:rPr>
            </w:pPr>
            <w:r w:rsidRPr="005519AD">
              <w:rPr>
                <w:b/>
                <w:bCs/>
                <w:sz w:val="20"/>
              </w:rPr>
              <w:t>Dispute</w:t>
            </w:r>
            <w:r w:rsidR="003118D4">
              <w:rPr>
                <w:b/>
                <w:bCs/>
                <w:sz w:val="20"/>
              </w:rPr>
              <w:t xml:space="preserve"> resolution process</w:t>
            </w:r>
          </w:p>
        </w:tc>
        <w:tc>
          <w:tcPr>
            <w:tcW w:w="3467" w:type="dxa"/>
            <w:tcBorders>
              <w:left w:val="single" w:sz="8" w:space="0" w:color="D9D9D9"/>
              <w:bottom w:val="single" w:sz="4" w:space="0" w:color="002C47" w:themeColor="accent1"/>
              <w:right w:val="single" w:sz="8" w:space="0" w:color="D9D9D9"/>
            </w:tcBorders>
            <w:shd w:val="clear" w:color="auto" w:fill="DFE0E1"/>
            <w:tcMar>
              <w:top w:w="72" w:type="dxa"/>
              <w:left w:w="72" w:type="dxa"/>
              <w:bottom w:w="72" w:type="dxa"/>
              <w:right w:w="72" w:type="dxa"/>
            </w:tcMar>
            <w:vAlign w:val="center"/>
            <w:hideMark/>
          </w:tcPr>
          <w:p w14:paraId="0E9C1F19" w14:textId="6F4CB952" w:rsidR="00DE0801" w:rsidRPr="005519AD" w:rsidRDefault="00DE0801" w:rsidP="00A66BE7">
            <w:pPr>
              <w:pStyle w:val="Bullet"/>
              <w:numPr>
                <w:ilvl w:val="0"/>
                <w:numId w:val="0"/>
              </w:numPr>
              <w:spacing w:after="0"/>
              <w:rPr>
                <w:sz w:val="20"/>
              </w:rPr>
            </w:pPr>
            <w:r w:rsidRPr="005519AD">
              <w:rPr>
                <w:sz w:val="20"/>
              </w:rPr>
              <w:t>Takeovers Panel via declaration of unacceptable circumstances</w:t>
            </w:r>
          </w:p>
        </w:tc>
        <w:tc>
          <w:tcPr>
            <w:tcW w:w="3468" w:type="dxa"/>
            <w:tcBorders>
              <w:left w:val="single" w:sz="8" w:space="0" w:color="D9D9D9"/>
              <w:bottom w:val="single" w:sz="4" w:space="0" w:color="002C47" w:themeColor="accent1"/>
              <w:right w:val="single" w:sz="6" w:space="0" w:color="2A3649"/>
            </w:tcBorders>
            <w:shd w:val="clear" w:color="auto" w:fill="DFE0E1"/>
            <w:tcMar>
              <w:top w:w="72" w:type="dxa"/>
              <w:left w:w="72" w:type="dxa"/>
              <w:bottom w:w="72" w:type="dxa"/>
              <w:right w:w="72" w:type="dxa"/>
            </w:tcMar>
            <w:vAlign w:val="center"/>
            <w:hideMark/>
          </w:tcPr>
          <w:p w14:paraId="1661AAD9" w14:textId="77777777" w:rsidR="00DE0801" w:rsidRPr="005519AD" w:rsidRDefault="00DE0801" w:rsidP="00A66BE7">
            <w:pPr>
              <w:pStyle w:val="Bullet"/>
              <w:spacing w:after="0"/>
              <w:rPr>
                <w:sz w:val="20"/>
              </w:rPr>
            </w:pPr>
            <w:r w:rsidRPr="005519AD">
              <w:rPr>
                <w:sz w:val="20"/>
              </w:rPr>
              <w:t>Court (during statutory approval process)</w:t>
            </w:r>
          </w:p>
          <w:p w14:paraId="3BE3F31D" w14:textId="77777777" w:rsidR="00DE0801" w:rsidRPr="005519AD" w:rsidRDefault="00DE0801" w:rsidP="00A66BE7">
            <w:pPr>
              <w:pStyle w:val="Bullet"/>
              <w:spacing w:after="0"/>
              <w:rPr>
                <w:sz w:val="20"/>
              </w:rPr>
            </w:pPr>
            <w:r w:rsidRPr="005519AD">
              <w:rPr>
                <w:sz w:val="20"/>
              </w:rPr>
              <w:t>Takeovers Panel (in limited circumstances)</w:t>
            </w:r>
          </w:p>
        </w:tc>
      </w:tr>
      <w:tr w:rsidR="00FF115D" w:rsidRPr="00DE0801" w14:paraId="268A3FE0" w14:textId="77777777" w:rsidTr="00AD1694">
        <w:trPr>
          <w:trHeight w:val="23"/>
          <w:jc w:val="center"/>
        </w:trPr>
        <w:tc>
          <w:tcPr>
            <w:tcW w:w="0" w:type="auto"/>
            <w:gridSpan w:val="3"/>
            <w:tcBorders>
              <w:top w:val="single" w:sz="4" w:space="0" w:color="002C47" w:themeColor="accent1"/>
              <w:left w:val="single" w:sz="4" w:space="0" w:color="002C47" w:themeColor="accent1"/>
              <w:bottom w:val="single" w:sz="4" w:space="0" w:color="002C47" w:themeColor="accent1"/>
              <w:right w:val="single" w:sz="4" w:space="0" w:color="002C47" w:themeColor="accent1"/>
            </w:tcBorders>
            <w:shd w:val="clear" w:color="auto" w:fill="E6DAED" w:themeFill="accent6" w:themeFillTint="33"/>
            <w:tcMar>
              <w:top w:w="72" w:type="dxa"/>
              <w:left w:w="72" w:type="dxa"/>
              <w:bottom w:w="72" w:type="dxa"/>
              <w:right w:w="72" w:type="dxa"/>
            </w:tcMar>
            <w:vAlign w:val="center"/>
          </w:tcPr>
          <w:p w14:paraId="29471200" w14:textId="08B9DEE6" w:rsidR="00AB2121" w:rsidRPr="00AB2121" w:rsidRDefault="0036598F" w:rsidP="00A66BE7">
            <w:pPr>
              <w:pStyle w:val="Bullet"/>
              <w:numPr>
                <w:ilvl w:val="0"/>
                <w:numId w:val="0"/>
              </w:numPr>
              <w:spacing w:after="0"/>
              <w:ind w:left="283" w:hanging="283"/>
              <w:rPr>
                <w:b/>
                <w:bCs/>
                <w:sz w:val="20"/>
              </w:rPr>
            </w:pPr>
            <w:r>
              <w:rPr>
                <w:b/>
                <w:bCs/>
                <w:sz w:val="20"/>
              </w:rPr>
              <w:t>Key s</w:t>
            </w:r>
            <w:r w:rsidR="00AB2121" w:rsidRPr="00AB2121">
              <w:rPr>
                <w:b/>
                <w:bCs/>
                <w:sz w:val="20"/>
              </w:rPr>
              <w:t>tatistics</w:t>
            </w:r>
            <w:r w:rsidR="00D7562B">
              <w:rPr>
                <w:b/>
                <w:bCs/>
                <w:sz w:val="20"/>
              </w:rPr>
              <w:t xml:space="preserve"> </w:t>
            </w:r>
            <w:r>
              <w:rPr>
                <w:b/>
                <w:bCs/>
                <w:sz w:val="20"/>
              </w:rPr>
              <w:t xml:space="preserve">by structure </w:t>
            </w:r>
            <w:r w:rsidR="00D7562B">
              <w:rPr>
                <w:b/>
                <w:bCs/>
                <w:sz w:val="20"/>
              </w:rPr>
              <w:t>(2021)</w:t>
            </w:r>
            <w:r w:rsidR="00E70CD2">
              <w:rPr>
                <w:rStyle w:val="FootnoteReference"/>
                <w:b/>
                <w:bCs/>
              </w:rPr>
              <w:footnoteReference w:id="15"/>
            </w:r>
          </w:p>
        </w:tc>
      </w:tr>
      <w:tr w:rsidR="00AD1694" w:rsidRPr="00DE0801" w14:paraId="123238A8" w14:textId="77777777" w:rsidTr="00967BE0">
        <w:trPr>
          <w:trHeight w:val="201"/>
          <w:jc w:val="center"/>
        </w:trPr>
        <w:tc>
          <w:tcPr>
            <w:tcW w:w="2127" w:type="dxa"/>
            <w:tcBorders>
              <w:top w:val="single" w:sz="4" w:space="0" w:color="002C47" w:themeColor="accent1"/>
              <w:left w:val="single" w:sz="6" w:space="0" w:color="2A3649"/>
              <w:right w:val="single" w:sz="8" w:space="0" w:color="D9D9D9"/>
            </w:tcBorders>
            <w:shd w:val="clear" w:color="auto" w:fill="F2F2F2"/>
            <w:tcMar>
              <w:top w:w="72" w:type="dxa"/>
              <w:left w:w="72" w:type="dxa"/>
              <w:bottom w:w="72" w:type="dxa"/>
              <w:right w:w="72" w:type="dxa"/>
            </w:tcMar>
            <w:vAlign w:val="center"/>
          </w:tcPr>
          <w:p w14:paraId="4E233F83" w14:textId="7AB1EA20" w:rsidR="00AD1694" w:rsidRPr="00E70CD2" w:rsidRDefault="00BA3C29" w:rsidP="00A66BE7">
            <w:pPr>
              <w:pStyle w:val="Bullet"/>
              <w:numPr>
                <w:ilvl w:val="0"/>
                <w:numId w:val="0"/>
              </w:numPr>
              <w:spacing w:after="0"/>
              <w:rPr>
                <w:b/>
                <w:bCs/>
                <w:sz w:val="20"/>
              </w:rPr>
            </w:pPr>
            <w:r>
              <w:rPr>
                <w:b/>
                <w:bCs/>
                <w:sz w:val="20"/>
              </w:rPr>
              <w:t xml:space="preserve">Number of deals </w:t>
            </w:r>
          </w:p>
        </w:tc>
        <w:tc>
          <w:tcPr>
            <w:tcW w:w="3467" w:type="dxa"/>
            <w:tcBorders>
              <w:top w:val="single" w:sz="4" w:space="0" w:color="002C47" w:themeColor="accent1"/>
              <w:left w:val="single" w:sz="8" w:space="0" w:color="D9D9D9"/>
              <w:right w:val="single" w:sz="8" w:space="0" w:color="D9D9D9"/>
            </w:tcBorders>
            <w:shd w:val="clear" w:color="auto" w:fill="F2F2F2"/>
            <w:tcMar>
              <w:top w:w="72" w:type="dxa"/>
              <w:left w:w="72" w:type="dxa"/>
              <w:bottom w:w="72" w:type="dxa"/>
              <w:right w:w="72" w:type="dxa"/>
            </w:tcMar>
            <w:vAlign w:val="center"/>
          </w:tcPr>
          <w:p w14:paraId="39486B2B" w14:textId="15943E70" w:rsidR="00AD1694" w:rsidRDefault="00FA3728" w:rsidP="004A494D">
            <w:pPr>
              <w:pStyle w:val="Bullet"/>
              <w:numPr>
                <w:ilvl w:val="0"/>
                <w:numId w:val="0"/>
              </w:numPr>
              <w:spacing w:after="0"/>
              <w:ind w:left="283" w:hanging="283"/>
              <w:rPr>
                <w:sz w:val="20"/>
              </w:rPr>
            </w:pPr>
            <w:r>
              <w:rPr>
                <w:sz w:val="20"/>
              </w:rPr>
              <w:t>22</w:t>
            </w:r>
          </w:p>
        </w:tc>
        <w:tc>
          <w:tcPr>
            <w:tcW w:w="3468" w:type="dxa"/>
            <w:tcBorders>
              <w:top w:val="single" w:sz="4" w:space="0" w:color="002C47" w:themeColor="accent1"/>
              <w:left w:val="single" w:sz="8" w:space="0" w:color="D9D9D9"/>
              <w:right w:val="single" w:sz="6" w:space="0" w:color="2A3649"/>
            </w:tcBorders>
            <w:shd w:val="clear" w:color="auto" w:fill="F2F2F2"/>
            <w:tcMar>
              <w:top w:w="72" w:type="dxa"/>
              <w:left w:w="72" w:type="dxa"/>
              <w:bottom w:w="72" w:type="dxa"/>
              <w:right w:w="72" w:type="dxa"/>
            </w:tcMar>
            <w:vAlign w:val="center"/>
          </w:tcPr>
          <w:p w14:paraId="2A441DA6" w14:textId="0D3D51AE" w:rsidR="00AD1694" w:rsidRPr="00D7562B" w:rsidRDefault="00967BE0" w:rsidP="004A494D">
            <w:pPr>
              <w:pStyle w:val="Bullet"/>
              <w:numPr>
                <w:ilvl w:val="0"/>
                <w:numId w:val="0"/>
              </w:numPr>
              <w:spacing w:after="0"/>
              <w:ind w:left="283" w:hanging="283"/>
              <w:rPr>
                <w:sz w:val="20"/>
              </w:rPr>
            </w:pPr>
            <w:r>
              <w:rPr>
                <w:sz w:val="20"/>
              </w:rPr>
              <w:t>34</w:t>
            </w:r>
          </w:p>
        </w:tc>
      </w:tr>
      <w:tr w:rsidR="00FF115D" w:rsidRPr="00DE0801" w14:paraId="3A7A05D8" w14:textId="77777777" w:rsidTr="00967BE0">
        <w:trPr>
          <w:trHeight w:val="386"/>
          <w:jc w:val="center"/>
        </w:trPr>
        <w:tc>
          <w:tcPr>
            <w:tcW w:w="2127" w:type="dxa"/>
            <w:tcBorders>
              <w:left w:val="single" w:sz="6" w:space="0" w:color="2A3649"/>
              <w:right w:val="single" w:sz="8" w:space="0" w:color="D9D9D9"/>
            </w:tcBorders>
            <w:shd w:val="clear" w:color="auto" w:fill="DFE0E1"/>
            <w:tcMar>
              <w:top w:w="72" w:type="dxa"/>
              <w:left w:w="72" w:type="dxa"/>
              <w:bottom w:w="72" w:type="dxa"/>
              <w:right w:w="72" w:type="dxa"/>
            </w:tcMar>
            <w:vAlign w:val="center"/>
          </w:tcPr>
          <w:p w14:paraId="79237686" w14:textId="538D0B5E" w:rsidR="00AB2121" w:rsidRPr="00E70CD2" w:rsidRDefault="005772DD" w:rsidP="00A66BE7">
            <w:pPr>
              <w:pStyle w:val="Bullet"/>
              <w:numPr>
                <w:ilvl w:val="0"/>
                <w:numId w:val="0"/>
              </w:numPr>
              <w:spacing w:after="0"/>
              <w:rPr>
                <w:b/>
                <w:bCs/>
                <w:sz w:val="20"/>
              </w:rPr>
            </w:pPr>
            <w:r w:rsidRPr="00E70CD2">
              <w:rPr>
                <w:b/>
                <w:bCs/>
                <w:sz w:val="20"/>
              </w:rPr>
              <w:t xml:space="preserve">Percentage of </w:t>
            </w:r>
            <w:r w:rsidR="008E3FBA" w:rsidRPr="00E70CD2">
              <w:rPr>
                <w:b/>
                <w:bCs/>
                <w:sz w:val="20"/>
              </w:rPr>
              <w:t>deals</w:t>
            </w:r>
            <w:r w:rsidR="00F221DB">
              <w:rPr>
                <w:b/>
                <w:bCs/>
                <w:sz w:val="20"/>
              </w:rPr>
              <w:t xml:space="preserve"> by structure</w:t>
            </w:r>
            <w:r w:rsidR="004A494D">
              <w:rPr>
                <w:b/>
                <w:bCs/>
                <w:sz w:val="20"/>
              </w:rPr>
              <w:t xml:space="preserve"> (all deals)</w:t>
            </w:r>
          </w:p>
        </w:tc>
        <w:tc>
          <w:tcPr>
            <w:tcW w:w="3467" w:type="dxa"/>
            <w:tcBorders>
              <w:left w:val="single" w:sz="8" w:space="0" w:color="D9D9D9"/>
              <w:right w:val="single" w:sz="8" w:space="0" w:color="D9D9D9"/>
            </w:tcBorders>
            <w:shd w:val="clear" w:color="auto" w:fill="DFE0E1"/>
            <w:tcMar>
              <w:top w:w="72" w:type="dxa"/>
              <w:left w:w="72" w:type="dxa"/>
              <w:bottom w:w="72" w:type="dxa"/>
              <w:right w:w="72" w:type="dxa"/>
            </w:tcMar>
            <w:vAlign w:val="center"/>
          </w:tcPr>
          <w:p w14:paraId="6086EDA3" w14:textId="68C760EF" w:rsidR="00E70CD2" w:rsidRPr="00D7562B" w:rsidRDefault="00D7562B" w:rsidP="004A494D">
            <w:pPr>
              <w:pStyle w:val="Bullet"/>
              <w:numPr>
                <w:ilvl w:val="0"/>
                <w:numId w:val="0"/>
              </w:numPr>
              <w:spacing w:after="0"/>
              <w:ind w:left="283" w:hanging="283"/>
              <w:rPr>
                <w:sz w:val="20"/>
              </w:rPr>
            </w:pPr>
            <w:r>
              <w:rPr>
                <w:sz w:val="20"/>
              </w:rPr>
              <w:t>39</w:t>
            </w:r>
            <w:r w:rsidRPr="00D7562B">
              <w:rPr>
                <w:sz w:val="20"/>
              </w:rPr>
              <w:t>%</w:t>
            </w:r>
          </w:p>
        </w:tc>
        <w:tc>
          <w:tcPr>
            <w:tcW w:w="3468" w:type="dxa"/>
            <w:tcBorders>
              <w:left w:val="single" w:sz="8" w:space="0" w:color="D9D9D9"/>
              <w:right w:val="single" w:sz="6" w:space="0" w:color="2A3649"/>
            </w:tcBorders>
            <w:shd w:val="clear" w:color="auto" w:fill="DFE0E1"/>
            <w:tcMar>
              <w:top w:w="72" w:type="dxa"/>
              <w:left w:w="72" w:type="dxa"/>
              <w:bottom w:w="72" w:type="dxa"/>
              <w:right w:w="72" w:type="dxa"/>
            </w:tcMar>
            <w:vAlign w:val="center"/>
          </w:tcPr>
          <w:p w14:paraId="335762E7" w14:textId="731AD5F8" w:rsidR="00AB2121" w:rsidRPr="00E70CD2" w:rsidRDefault="00D7562B" w:rsidP="004A494D">
            <w:pPr>
              <w:pStyle w:val="Bullet"/>
              <w:numPr>
                <w:ilvl w:val="0"/>
                <w:numId w:val="0"/>
              </w:numPr>
              <w:spacing w:after="0"/>
              <w:ind w:left="283" w:hanging="283"/>
              <w:rPr>
                <w:sz w:val="20"/>
              </w:rPr>
            </w:pPr>
            <w:r w:rsidRPr="00D7562B">
              <w:rPr>
                <w:sz w:val="20"/>
              </w:rPr>
              <w:t>61%</w:t>
            </w:r>
          </w:p>
        </w:tc>
      </w:tr>
      <w:tr w:rsidR="003D356E" w:rsidRPr="00DE0801" w14:paraId="05799ED6" w14:textId="77777777" w:rsidTr="00967BE0">
        <w:trPr>
          <w:trHeight w:val="311"/>
          <w:jc w:val="center"/>
        </w:trPr>
        <w:tc>
          <w:tcPr>
            <w:tcW w:w="2127" w:type="dxa"/>
            <w:tcBorders>
              <w:left w:val="single" w:sz="6" w:space="0" w:color="2A3649"/>
              <w:right w:val="single" w:sz="8" w:space="0" w:color="D9D9D9"/>
            </w:tcBorders>
            <w:shd w:val="clear" w:color="auto" w:fill="F2F2F2"/>
            <w:tcMar>
              <w:top w:w="72" w:type="dxa"/>
              <w:left w:w="72" w:type="dxa"/>
              <w:bottom w:w="72" w:type="dxa"/>
              <w:right w:w="72" w:type="dxa"/>
            </w:tcMar>
            <w:vAlign w:val="center"/>
          </w:tcPr>
          <w:p w14:paraId="01309225" w14:textId="2B3F39CF" w:rsidR="003D356E" w:rsidRPr="00E70CD2" w:rsidRDefault="004A494D" w:rsidP="00A66BE7">
            <w:pPr>
              <w:pStyle w:val="Bullet"/>
              <w:numPr>
                <w:ilvl w:val="0"/>
                <w:numId w:val="0"/>
              </w:numPr>
              <w:spacing w:after="0"/>
              <w:rPr>
                <w:b/>
                <w:bCs/>
                <w:sz w:val="20"/>
              </w:rPr>
            </w:pPr>
            <w:r w:rsidRPr="00E70CD2">
              <w:rPr>
                <w:b/>
                <w:bCs/>
                <w:sz w:val="20"/>
              </w:rPr>
              <w:t>Percentage of deals</w:t>
            </w:r>
            <w:r>
              <w:rPr>
                <w:b/>
                <w:bCs/>
                <w:sz w:val="20"/>
              </w:rPr>
              <w:t xml:space="preserve"> (deal size over $1b)</w:t>
            </w:r>
          </w:p>
        </w:tc>
        <w:tc>
          <w:tcPr>
            <w:tcW w:w="3467" w:type="dxa"/>
            <w:tcBorders>
              <w:left w:val="single" w:sz="8" w:space="0" w:color="D9D9D9"/>
              <w:right w:val="single" w:sz="8" w:space="0" w:color="D9D9D9"/>
            </w:tcBorders>
            <w:shd w:val="clear" w:color="auto" w:fill="F2F2F2"/>
            <w:tcMar>
              <w:top w:w="72" w:type="dxa"/>
              <w:left w:w="72" w:type="dxa"/>
              <w:bottom w:w="72" w:type="dxa"/>
              <w:right w:w="72" w:type="dxa"/>
            </w:tcMar>
            <w:vAlign w:val="center"/>
          </w:tcPr>
          <w:p w14:paraId="3F63483E" w14:textId="47E739E9" w:rsidR="003D356E" w:rsidRPr="00D7562B" w:rsidRDefault="004A494D" w:rsidP="004A494D">
            <w:pPr>
              <w:pStyle w:val="Bullet"/>
              <w:numPr>
                <w:ilvl w:val="0"/>
                <w:numId w:val="0"/>
              </w:numPr>
              <w:spacing w:after="0"/>
              <w:ind w:left="283" w:hanging="283"/>
              <w:rPr>
                <w:sz w:val="20"/>
              </w:rPr>
            </w:pPr>
            <w:r>
              <w:rPr>
                <w:sz w:val="20"/>
              </w:rPr>
              <w:t>14%</w:t>
            </w:r>
          </w:p>
        </w:tc>
        <w:tc>
          <w:tcPr>
            <w:tcW w:w="3468" w:type="dxa"/>
            <w:tcBorders>
              <w:left w:val="single" w:sz="8" w:space="0" w:color="D9D9D9"/>
              <w:right w:val="single" w:sz="6" w:space="0" w:color="2A3649"/>
            </w:tcBorders>
            <w:shd w:val="clear" w:color="auto" w:fill="F2F2F2"/>
            <w:tcMar>
              <w:top w:w="72" w:type="dxa"/>
              <w:left w:w="72" w:type="dxa"/>
              <w:bottom w:w="72" w:type="dxa"/>
              <w:right w:w="72" w:type="dxa"/>
            </w:tcMar>
            <w:vAlign w:val="center"/>
          </w:tcPr>
          <w:p w14:paraId="5ED75235" w14:textId="5346CBBD" w:rsidR="003D356E" w:rsidRPr="00D7562B" w:rsidRDefault="004A494D" w:rsidP="004A494D">
            <w:pPr>
              <w:pStyle w:val="Bullet"/>
              <w:numPr>
                <w:ilvl w:val="0"/>
                <w:numId w:val="0"/>
              </w:numPr>
              <w:spacing w:after="0"/>
              <w:ind w:left="283" w:hanging="283"/>
              <w:rPr>
                <w:sz w:val="20"/>
              </w:rPr>
            </w:pPr>
            <w:r w:rsidRPr="00D7562B">
              <w:rPr>
                <w:sz w:val="20"/>
              </w:rPr>
              <w:t>86%</w:t>
            </w:r>
          </w:p>
        </w:tc>
      </w:tr>
      <w:tr w:rsidR="004A494D" w:rsidRPr="00DE0801" w14:paraId="52F92A3A" w14:textId="77777777" w:rsidTr="00967BE0">
        <w:trPr>
          <w:trHeight w:val="249"/>
          <w:jc w:val="center"/>
        </w:trPr>
        <w:tc>
          <w:tcPr>
            <w:tcW w:w="2127" w:type="dxa"/>
            <w:tcBorders>
              <w:left w:val="single" w:sz="6" w:space="0" w:color="2A3649"/>
              <w:right w:val="single" w:sz="8" w:space="0" w:color="D9D9D9"/>
            </w:tcBorders>
            <w:shd w:val="clear" w:color="auto" w:fill="DFE0E1"/>
            <w:tcMar>
              <w:top w:w="72" w:type="dxa"/>
              <w:left w:w="72" w:type="dxa"/>
              <w:bottom w:w="72" w:type="dxa"/>
              <w:right w:w="72" w:type="dxa"/>
            </w:tcMar>
            <w:vAlign w:val="center"/>
          </w:tcPr>
          <w:p w14:paraId="706FE4DD" w14:textId="18DD79A0" w:rsidR="00D7562B" w:rsidRDefault="001617D7" w:rsidP="00A66BE7">
            <w:pPr>
              <w:pStyle w:val="Bullet"/>
              <w:numPr>
                <w:ilvl w:val="0"/>
                <w:numId w:val="0"/>
              </w:numPr>
              <w:spacing w:after="0"/>
              <w:rPr>
                <w:b/>
                <w:bCs/>
                <w:sz w:val="20"/>
              </w:rPr>
            </w:pPr>
            <w:r>
              <w:rPr>
                <w:b/>
                <w:bCs/>
                <w:sz w:val="20"/>
              </w:rPr>
              <w:t>Average</w:t>
            </w:r>
            <w:r w:rsidR="00E31007">
              <w:rPr>
                <w:b/>
                <w:bCs/>
                <w:sz w:val="20"/>
              </w:rPr>
              <w:t xml:space="preserve"> </w:t>
            </w:r>
            <w:r w:rsidR="00D7562B">
              <w:rPr>
                <w:b/>
                <w:bCs/>
                <w:sz w:val="20"/>
              </w:rPr>
              <w:t>deal size</w:t>
            </w:r>
          </w:p>
        </w:tc>
        <w:tc>
          <w:tcPr>
            <w:tcW w:w="3467" w:type="dxa"/>
            <w:tcBorders>
              <w:left w:val="single" w:sz="8" w:space="0" w:color="D9D9D9"/>
              <w:right w:val="single" w:sz="8" w:space="0" w:color="D9D9D9"/>
            </w:tcBorders>
            <w:shd w:val="clear" w:color="auto" w:fill="DFE0E1"/>
            <w:tcMar>
              <w:top w:w="72" w:type="dxa"/>
              <w:left w:w="72" w:type="dxa"/>
              <w:bottom w:w="72" w:type="dxa"/>
              <w:right w:w="72" w:type="dxa"/>
            </w:tcMar>
            <w:vAlign w:val="center"/>
          </w:tcPr>
          <w:p w14:paraId="0FABE48E" w14:textId="1F6178DD" w:rsidR="00D7562B" w:rsidRDefault="00B74448" w:rsidP="00A66BE7">
            <w:pPr>
              <w:pStyle w:val="Bullet"/>
              <w:numPr>
                <w:ilvl w:val="0"/>
                <w:numId w:val="0"/>
              </w:numPr>
              <w:spacing w:after="0"/>
              <w:rPr>
                <w:sz w:val="20"/>
              </w:rPr>
            </w:pPr>
            <w:r>
              <w:rPr>
                <w:sz w:val="20"/>
              </w:rPr>
              <w:t>$539.3 million</w:t>
            </w:r>
          </w:p>
        </w:tc>
        <w:tc>
          <w:tcPr>
            <w:tcW w:w="3468" w:type="dxa"/>
            <w:tcBorders>
              <w:left w:val="single" w:sz="8" w:space="0" w:color="D9D9D9"/>
              <w:right w:val="single" w:sz="6" w:space="0" w:color="2A3649"/>
            </w:tcBorders>
            <w:shd w:val="clear" w:color="auto" w:fill="DFE0E1"/>
            <w:tcMar>
              <w:top w:w="72" w:type="dxa"/>
              <w:left w:w="72" w:type="dxa"/>
              <w:bottom w:w="72" w:type="dxa"/>
              <w:right w:w="72" w:type="dxa"/>
            </w:tcMar>
            <w:vAlign w:val="center"/>
          </w:tcPr>
          <w:p w14:paraId="506BCF36" w14:textId="5B43A400" w:rsidR="00D7562B" w:rsidRDefault="00B74448" w:rsidP="00A66BE7">
            <w:pPr>
              <w:pStyle w:val="Bullet"/>
              <w:numPr>
                <w:ilvl w:val="0"/>
                <w:numId w:val="0"/>
              </w:numPr>
              <w:spacing w:after="0"/>
              <w:ind w:left="283" w:hanging="283"/>
              <w:rPr>
                <w:sz w:val="20"/>
              </w:rPr>
            </w:pPr>
            <w:r>
              <w:rPr>
                <w:sz w:val="20"/>
              </w:rPr>
              <w:t>$965.0 million</w:t>
            </w:r>
          </w:p>
        </w:tc>
      </w:tr>
      <w:tr w:rsidR="00FF115D" w:rsidRPr="00DE0801" w14:paraId="7F89C79D" w14:textId="77777777" w:rsidTr="00967BE0">
        <w:trPr>
          <w:trHeight w:val="23"/>
          <w:jc w:val="center"/>
        </w:trPr>
        <w:tc>
          <w:tcPr>
            <w:tcW w:w="2127" w:type="dxa"/>
            <w:tcBorders>
              <w:left w:val="single" w:sz="6" w:space="0" w:color="2A3649"/>
              <w:right w:val="single" w:sz="8" w:space="0" w:color="D9D9D9"/>
            </w:tcBorders>
            <w:shd w:val="clear" w:color="auto" w:fill="F2F2F2"/>
            <w:tcMar>
              <w:top w:w="72" w:type="dxa"/>
              <w:left w:w="72" w:type="dxa"/>
              <w:bottom w:w="72" w:type="dxa"/>
              <w:right w:w="72" w:type="dxa"/>
            </w:tcMar>
            <w:vAlign w:val="center"/>
          </w:tcPr>
          <w:p w14:paraId="39FCC42D" w14:textId="08E079EE" w:rsidR="00AB2121" w:rsidRPr="00E70CD2" w:rsidRDefault="00D7562B" w:rsidP="00A66BE7">
            <w:pPr>
              <w:pStyle w:val="Bullet"/>
              <w:numPr>
                <w:ilvl w:val="0"/>
                <w:numId w:val="0"/>
              </w:numPr>
              <w:spacing w:after="0"/>
              <w:rPr>
                <w:b/>
                <w:bCs/>
                <w:sz w:val="20"/>
              </w:rPr>
            </w:pPr>
            <w:r>
              <w:rPr>
                <w:b/>
                <w:bCs/>
                <w:sz w:val="20"/>
              </w:rPr>
              <w:t>Average time taken</w:t>
            </w:r>
          </w:p>
        </w:tc>
        <w:tc>
          <w:tcPr>
            <w:tcW w:w="3467" w:type="dxa"/>
            <w:tcBorders>
              <w:left w:val="single" w:sz="8" w:space="0" w:color="D9D9D9"/>
              <w:right w:val="single" w:sz="8" w:space="0" w:color="D9D9D9"/>
            </w:tcBorders>
            <w:shd w:val="clear" w:color="auto" w:fill="F2F2F2"/>
            <w:tcMar>
              <w:top w:w="72" w:type="dxa"/>
              <w:left w:w="72" w:type="dxa"/>
              <w:bottom w:w="72" w:type="dxa"/>
              <w:right w:w="72" w:type="dxa"/>
            </w:tcMar>
            <w:vAlign w:val="center"/>
          </w:tcPr>
          <w:p w14:paraId="30FEC080" w14:textId="3529AD3B" w:rsidR="00AB2121" w:rsidRPr="00E70CD2" w:rsidRDefault="00D7562B" w:rsidP="00A66BE7">
            <w:pPr>
              <w:pStyle w:val="Bullet"/>
              <w:numPr>
                <w:ilvl w:val="0"/>
                <w:numId w:val="0"/>
              </w:numPr>
              <w:spacing w:after="0"/>
              <w:rPr>
                <w:sz w:val="20"/>
              </w:rPr>
            </w:pPr>
            <w:r>
              <w:rPr>
                <w:sz w:val="20"/>
              </w:rPr>
              <w:t>94 days</w:t>
            </w:r>
          </w:p>
        </w:tc>
        <w:tc>
          <w:tcPr>
            <w:tcW w:w="3468" w:type="dxa"/>
            <w:tcBorders>
              <w:left w:val="single" w:sz="8" w:space="0" w:color="D9D9D9"/>
              <w:right w:val="single" w:sz="6" w:space="0" w:color="2A3649"/>
            </w:tcBorders>
            <w:shd w:val="clear" w:color="auto" w:fill="F2F2F2"/>
            <w:tcMar>
              <w:top w:w="72" w:type="dxa"/>
              <w:left w:w="72" w:type="dxa"/>
              <w:bottom w:w="72" w:type="dxa"/>
              <w:right w:w="72" w:type="dxa"/>
            </w:tcMar>
            <w:vAlign w:val="center"/>
          </w:tcPr>
          <w:p w14:paraId="382BB349" w14:textId="61DC82D5" w:rsidR="00AB2121" w:rsidRPr="00E70CD2" w:rsidRDefault="00D7562B" w:rsidP="00A66BE7">
            <w:pPr>
              <w:pStyle w:val="Bullet"/>
              <w:numPr>
                <w:ilvl w:val="0"/>
                <w:numId w:val="0"/>
              </w:numPr>
              <w:spacing w:after="0"/>
              <w:ind w:left="283" w:hanging="283"/>
              <w:rPr>
                <w:sz w:val="20"/>
              </w:rPr>
            </w:pPr>
            <w:r>
              <w:rPr>
                <w:sz w:val="20"/>
              </w:rPr>
              <w:t>115 days</w:t>
            </w:r>
          </w:p>
        </w:tc>
      </w:tr>
      <w:tr w:rsidR="007E4E6E" w:rsidRPr="00DE0801" w14:paraId="41265BC1" w14:textId="77777777" w:rsidTr="00967BE0">
        <w:trPr>
          <w:trHeight w:val="33"/>
          <w:jc w:val="center"/>
        </w:trPr>
        <w:tc>
          <w:tcPr>
            <w:tcW w:w="2127" w:type="dxa"/>
            <w:tcBorders>
              <w:left w:val="single" w:sz="6" w:space="0" w:color="2A3649"/>
              <w:bottom w:val="single" w:sz="6" w:space="0" w:color="2A3649"/>
              <w:right w:val="single" w:sz="8" w:space="0" w:color="D9D9D9"/>
            </w:tcBorders>
            <w:shd w:val="clear" w:color="auto" w:fill="DFE0E1"/>
            <w:tcMar>
              <w:top w:w="72" w:type="dxa"/>
              <w:left w:w="72" w:type="dxa"/>
              <w:bottom w:w="72" w:type="dxa"/>
              <w:right w:w="72" w:type="dxa"/>
            </w:tcMar>
            <w:vAlign w:val="center"/>
          </w:tcPr>
          <w:p w14:paraId="64BC98BD" w14:textId="0AE18FA1" w:rsidR="00D7562B" w:rsidRDefault="00D7562B" w:rsidP="00A66BE7">
            <w:pPr>
              <w:pStyle w:val="Bullet"/>
              <w:numPr>
                <w:ilvl w:val="0"/>
                <w:numId w:val="0"/>
              </w:numPr>
              <w:spacing w:after="0"/>
              <w:rPr>
                <w:b/>
                <w:bCs/>
                <w:sz w:val="20"/>
              </w:rPr>
            </w:pPr>
            <w:r>
              <w:rPr>
                <w:b/>
                <w:bCs/>
                <w:sz w:val="20"/>
              </w:rPr>
              <w:t>Success rate</w:t>
            </w:r>
          </w:p>
        </w:tc>
        <w:tc>
          <w:tcPr>
            <w:tcW w:w="3467" w:type="dxa"/>
            <w:tcBorders>
              <w:left w:val="single" w:sz="8" w:space="0" w:color="D9D9D9"/>
              <w:bottom w:val="single" w:sz="6" w:space="0" w:color="2A3649"/>
              <w:right w:val="single" w:sz="8" w:space="0" w:color="D9D9D9"/>
            </w:tcBorders>
            <w:shd w:val="clear" w:color="auto" w:fill="DFE0E1"/>
            <w:tcMar>
              <w:top w:w="72" w:type="dxa"/>
              <w:left w:w="72" w:type="dxa"/>
              <w:bottom w:w="72" w:type="dxa"/>
              <w:right w:w="72" w:type="dxa"/>
            </w:tcMar>
            <w:vAlign w:val="center"/>
          </w:tcPr>
          <w:p w14:paraId="323C6B18" w14:textId="4213F581" w:rsidR="00D7562B" w:rsidRDefault="00A579B3" w:rsidP="00A66BE7">
            <w:pPr>
              <w:pStyle w:val="Bullet"/>
              <w:numPr>
                <w:ilvl w:val="0"/>
                <w:numId w:val="0"/>
              </w:numPr>
              <w:spacing w:after="0"/>
              <w:rPr>
                <w:sz w:val="20"/>
              </w:rPr>
            </w:pPr>
            <w:r>
              <w:rPr>
                <w:sz w:val="20"/>
              </w:rPr>
              <w:t>55%</w:t>
            </w:r>
          </w:p>
        </w:tc>
        <w:tc>
          <w:tcPr>
            <w:tcW w:w="3468" w:type="dxa"/>
            <w:tcBorders>
              <w:left w:val="single" w:sz="8" w:space="0" w:color="D9D9D9"/>
              <w:bottom w:val="single" w:sz="6" w:space="0" w:color="2A3649"/>
              <w:right w:val="single" w:sz="6" w:space="0" w:color="2A3649"/>
            </w:tcBorders>
            <w:shd w:val="clear" w:color="auto" w:fill="DFE0E1"/>
            <w:tcMar>
              <w:top w:w="72" w:type="dxa"/>
              <w:left w:w="72" w:type="dxa"/>
              <w:bottom w:w="72" w:type="dxa"/>
              <w:right w:w="72" w:type="dxa"/>
            </w:tcMar>
            <w:vAlign w:val="center"/>
          </w:tcPr>
          <w:p w14:paraId="52E548CA" w14:textId="12699EEE" w:rsidR="00D7562B" w:rsidRDefault="00A579B3" w:rsidP="00A66BE7">
            <w:pPr>
              <w:pStyle w:val="Bullet"/>
              <w:numPr>
                <w:ilvl w:val="0"/>
                <w:numId w:val="0"/>
              </w:numPr>
              <w:spacing w:after="0"/>
              <w:ind w:left="283" w:hanging="283"/>
              <w:rPr>
                <w:sz w:val="20"/>
              </w:rPr>
            </w:pPr>
            <w:r>
              <w:rPr>
                <w:sz w:val="20"/>
              </w:rPr>
              <w:t>90%</w:t>
            </w:r>
          </w:p>
        </w:tc>
      </w:tr>
    </w:tbl>
    <w:p w14:paraId="38CEE036" w14:textId="1328F29F" w:rsidR="00E76C39" w:rsidRDefault="00E76C39" w:rsidP="00E76C39">
      <w:pPr>
        <w:pStyle w:val="Heading2"/>
      </w:pPr>
      <w:bookmarkStart w:id="13" w:name="_Toc99619838"/>
      <w:bookmarkEnd w:id="12"/>
      <w:r>
        <w:lastRenderedPageBreak/>
        <w:t>Consultation Objectives</w:t>
      </w:r>
      <w:bookmarkEnd w:id="13"/>
      <w:r>
        <w:t xml:space="preserve"> </w:t>
      </w:r>
    </w:p>
    <w:p w14:paraId="7012DF56" w14:textId="193D8435" w:rsidR="00706BCE" w:rsidRDefault="00E76C39" w:rsidP="00706BCE">
      <w:bookmarkStart w:id="14" w:name="_Hlk96072751"/>
      <w:r w:rsidRPr="00FE27F6">
        <w:t xml:space="preserve">On 30 April 2021, the Government announced it would consult on </w:t>
      </w:r>
      <w:r>
        <w:t>expanding the role the Takeovers Panel</w:t>
      </w:r>
      <w:r w:rsidR="00453801">
        <w:t xml:space="preserve"> </w:t>
      </w:r>
      <w:r>
        <w:t xml:space="preserve">plays in control transactions, </w:t>
      </w:r>
      <w:r w:rsidRPr="00FE27F6">
        <w:t>includ</w:t>
      </w:r>
      <w:r>
        <w:t xml:space="preserve">ing options for the </w:t>
      </w:r>
      <w:r w:rsidR="00CD1F3C">
        <w:t xml:space="preserve">Takeovers </w:t>
      </w:r>
      <w:r>
        <w:t>Panel to</w:t>
      </w:r>
      <w:r w:rsidRPr="00FE27F6">
        <w:t xml:space="preserve"> consider </w:t>
      </w:r>
      <w:r>
        <w:t>and/or</w:t>
      </w:r>
      <w:r w:rsidRPr="00FE27F6">
        <w:t xml:space="preserve"> approv</w:t>
      </w:r>
      <w:r>
        <w:t>e</w:t>
      </w:r>
      <w:r w:rsidRPr="00FE27F6">
        <w:t xml:space="preserve"> members’ schemes of arrangemen</w:t>
      </w:r>
      <w:r>
        <w:t xml:space="preserve">t and potentially give advance rulings, with an aim of </w:t>
      </w:r>
      <w:r w:rsidRPr="00E17F77">
        <w:t>reduc</w:t>
      </w:r>
      <w:r>
        <w:t>ing</w:t>
      </w:r>
      <w:r w:rsidRPr="00E17F77">
        <w:t xml:space="preserve"> the time and costs of mergers and acquisition</w:t>
      </w:r>
      <w:r>
        <w:t>s</w:t>
      </w:r>
      <w:r w:rsidRPr="00E17F77">
        <w:t>.</w:t>
      </w:r>
      <w:r w:rsidR="00706BCE" w:rsidRPr="00706BCE">
        <w:t xml:space="preserve"> </w:t>
      </w:r>
      <w:r w:rsidR="00706BCE">
        <w:t xml:space="preserve">This consultation seeks feedback on: </w:t>
      </w:r>
    </w:p>
    <w:p w14:paraId="124852BB" w14:textId="3573396C" w:rsidR="00706BCE" w:rsidRDefault="00E76C39" w:rsidP="00EE6547">
      <w:pPr>
        <w:pStyle w:val="Bullet"/>
      </w:pPr>
      <w:r>
        <w:t xml:space="preserve">the operation of takeovers and schemes generally, and whether they are meeting the broader policy objectives in respect of control transactions in Australian law </w:t>
      </w:r>
    </w:p>
    <w:p w14:paraId="00C9573A" w14:textId="5F09424E" w:rsidR="00706BCE" w:rsidRDefault="00E76C39" w:rsidP="00EE6547">
      <w:pPr>
        <w:pStyle w:val="Bullet"/>
      </w:pPr>
      <w:r>
        <w:t xml:space="preserve">the role of the </w:t>
      </w:r>
      <w:r w:rsidR="00851E34">
        <w:t xml:space="preserve">Takeovers </w:t>
      </w:r>
      <w:r>
        <w:t>Panel and ASIC in regulating takeovers generally</w:t>
      </w:r>
    </w:p>
    <w:p w14:paraId="03C9619E" w14:textId="05B90B9D" w:rsidR="00E76C39" w:rsidRDefault="00E76C39" w:rsidP="00EE6547">
      <w:pPr>
        <w:pStyle w:val="Bullet"/>
      </w:pPr>
      <w:r>
        <w:t xml:space="preserve">the role of the Court, the </w:t>
      </w:r>
      <w:r w:rsidR="00CD1F3C">
        <w:t xml:space="preserve">Takeovers </w:t>
      </w:r>
      <w:r>
        <w:t xml:space="preserve">Panel, and ASIC in regulating schemes generally. </w:t>
      </w:r>
    </w:p>
    <w:p w14:paraId="5FB2AC1C" w14:textId="77777777" w:rsidR="00E76C39" w:rsidRDefault="00E76C39" w:rsidP="00E76C39">
      <w:r>
        <w:t>In particular, this paper seeks feedback which will assist the Government in understanding whether:</w:t>
      </w:r>
    </w:p>
    <w:p w14:paraId="5ED36B3C" w14:textId="7957EEC5" w:rsidR="007D724A" w:rsidRDefault="00E76C39" w:rsidP="00E76C39">
      <w:pPr>
        <w:pStyle w:val="Bullet"/>
      </w:pPr>
      <w:r>
        <w:t xml:space="preserve">schemes </w:t>
      </w:r>
      <w:r w:rsidR="00E81D49">
        <w:t xml:space="preserve">used to effect a change in corporate control </w:t>
      </w:r>
      <w:r>
        <w:t xml:space="preserve">should continue to be regulated primarily by the Court, </w:t>
      </w:r>
      <w:r w:rsidR="007D724A">
        <w:t xml:space="preserve">or </w:t>
      </w:r>
      <w:r>
        <w:t xml:space="preserve">should instead be regulated primarily by the </w:t>
      </w:r>
      <w:r w:rsidR="00353D88">
        <w:t xml:space="preserve">Takeovers </w:t>
      </w:r>
      <w:r>
        <w:t>Panel</w:t>
      </w:r>
      <w:r w:rsidR="00183FF6">
        <w:t xml:space="preserve"> (noting that not all schemes of arrangement relate to </w:t>
      </w:r>
      <w:r w:rsidR="006E4A8E">
        <w:t>changes in corporate control</w:t>
      </w:r>
      <w:r w:rsidR="00183FF6">
        <w:t>)</w:t>
      </w:r>
      <w:r>
        <w:t>, or</w:t>
      </w:r>
      <w:r w:rsidR="007D724A">
        <w:t xml:space="preserve"> alternatively</w:t>
      </w:r>
    </w:p>
    <w:p w14:paraId="64819379" w14:textId="03314AAE" w:rsidR="00E76C39" w:rsidRDefault="00904902" w:rsidP="00E76C39">
      <w:pPr>
        <w:pStyle w:val="Bullet"/>
      </w:pPr>
      <w:r>
        <w:t>C</w:t>
      </w:r>
      <w:r w:rsidR="00E76C39">
        <w:t xml:space="preserve">hapter 5 schemes </w:t>
      </w:r>
      <w:r w:rsidR="007D724A">
        <w:t xml:space="preserve">should </w:t>
      </w:r>
      <w:r w:rsidR="00E76C39">
        <w:t xml:space="preserve">continue to be regulated by the Court, </w:t>
      </w:r>
      <w:r w:rsidR="007D724A">
        <w:t xml:space="preserve">and </w:t>
      </w:r>
      <w:r w:rsidR="00E76C39">
        <w:t xml:space="preserve">a new type of scheme should be created under Chapter 6 that is regulated by the </w:t>
      </w:r>
      <w:r w:rsidR="00353D88">
        <w:t xml:space="preserve">Takeovers </w:t>
      </w:r>
      <w:r w:rsidR="00E76C39">
        <w:t>Panel</w:t>
      </w:r>
    </w:p>
    <w:p w14:paraId="5A0378F9" w14:textId="73023C46" w:rsidR="00E76C39" w:rsidRPr="00817F24" w:rsidRDefault="00E76C39" w:rsidP="00E76C39">
      <w:pPr>
        <w:pStyle w:val="Bullet"/>
      </w:pPr>
      <w:r>
        <w:t xml:space="preserve">the </w:t>
      </w:r>
      <w:r w:rsidR="00353D88">
        <w:t>Takeovers</w:t>
      </w:r>
      <w:r>
        <w:t xml:space="preserve"> Panel should be empowered to give advance rulings.</w:t>
      </w:r>
    </w:p>
    <w:p w14:paraId="360C2AAF" w14:textId="2027149B" w:rsidR="00E76C39" w:rsidRDefault="00E76C39" w:rsidP="00E76C39">
      <w:r w:rsidRPr="00FE27F6">
        <w:t xml:space="preserve">Submissions may be provided </w:t>
      </w:r>
      <w:r w:rsidRPr="00337B87">
        <w:t xml:space="preserve">until </w:t>
      </w:r>
      <w:r w:rsidR="00337B87" w:rsidRPr="00337B87">
        <w:t>3</w:t>
      </w:r>
      <w:r w:rsidR="00A2710D" w:rsidRPr="00337B87">
        <w:t xml:space="preserve"> </w:t>
      </w:r>
      <w:r w:rsidR="00337B87" w:rsidRPr="00337B87">
        <w:t>June 2022</w:t>
      </w:r>
      <w:r w:rsidRPr="00337B87">
        <w:t>.</w:t>
      </w:r>
      <w:r w:rsidRPr="00FE27F6">
        <w:t xml:space="preserve"> Discussion questions are included to guide feedback. </w:t>
      </w:r>
      <w:r>
        <w:t>F</w:t>
      </w:r>
      <w:r w:rsidRPr="00FE27F6">
        <w:t xml:space="preserve">urther information and suggestions relevant to the </w:t>
      </w:r>
      <w:r>
        <w:t>role and remit of the Takeovers Panel are welcome</w:t>
      </w:r>
      <w:r w:rsidRPr="00FE27F6">
        <w:t>.</w:t>
      </w:r>
    </w:p>
    <w:p w14:paraId="0BCE459B" w14:textId="20F7ABCD" w:rsidR="00E76C39" w:rsidRDefault="00E76C39" w:rsidP="00E76C39">
      <w:r>
        <w:t xml:space="preserve">On 2 August 2021, the Government released a separate consultation paper, </w:t>
      </w:r>
      <w:r w:rsidRPr="00DC323F">
        <w:rPr>
          <w:i/>
          <w:iCs/>
        </w:rPr>
        <w:t>Helping Companies</w:t>
      </w:r>
      <w:r>
        <w:rPr>
          <w:i/>
          <w:iCs/>
        </w:rPr>
        <w:t xml:space="preserve"> </w:t>
      </w:r>
      <w:r w:rsidRPr="00DC323F">
        <w:rPr>
          <w:i/>
          <w:iCs/>
        </w:rPr>
        <w:t>Restructure by Improving Schemes of Arrangement</w:t>
      </w:r>
      <w:r w:rsidRPr="00A426B0">
        <w:t>,</w:t>
      </w:r>
      <w:r>
        <w:rPr>
          <w:rStyle w:val="FootnoteReference"/>
        </w:rPr>
        <w:footnoteReference w:id="16"/>
      </w:r>
      <w:r>
        <w:t xml:space="preserve"> which relates to the use of creditors’ schemes of arrangement to restructure severely distressed companies.</w:t>
      </w:r>
      <w:r w:rsidR="00337B87">
        <w:t xml:space="preserve"> Any recommended changes to the Scheme of Arrangement Rules arising from this consultation will be considered in the context of the proposed reforms to creditors’ schemes of arrangement. </w:t>
      </w:r>
    </w:p>
    <w:p w14:paraId="52BBE8B8" w14:textId="042A7B3D" w:rsidR="00E76C39" w:rsidRDefault="00E76C39" w:rsidP="00E76C39">
      <w:pPr>
        <w:pStyle w:val="Heading2"/>
      </w:pPr>
      <w:bookmarkStart w:id="15" w:name="_Toc99619839"/>
      <w:bookmarkEnd w:id="14"/>
      <w:r>
        <w:t>Current Regulatory Framework</w:t>
      </w:r>
      <w:bookmarkEnd w:id="15"/>
    </w:p>
    <w:p w14:paraId="26CFE2B0" w14:textId="132B79BF" w:rsidR="00E76C39" w:rsidRDefault="00E76C39" w:rsidP="00E76C39">
      <w:pPr>
        <w:pStyle w:val="Bullet"/>
        <w:numPr>
          <w:ilvl w:val="0"/>
          <w:numId w:val="0"/>
        </w:numPr>
      </w:pPr>
      <w:r>
        <w:t>As explained above, there are two legal regimes for undertaking a</w:t>
      </w:r>
      <w:r w:rsidR="00B367C4">
        <w:t xml:space="preserve"> change in corporate control </w:t>
      </w:r>
      <w:r>
        <w:t>in Australia, being the Takeover Rules</w:t>
      </w:r>
      <w:r w:rsidR="007D724A" w:rsidRPr="007D724A">
        <w:t xml:space="preserve"> </w:t>
      </w:r>
      <w:r w:rsidR="007D724A">
        <w:t>and the Scheme of Arrangement Rules</w:t>
      </w:r>
      <w:r>
        <w:t xml:space="preserve">. </w:t>
      </w:r>
    </w:p>
    <w:p w14:paraId="6CC68655" w14:textId="2E88BE37" w:rsidR="00E76C39" w:rsidRPr="00E76C39" w:rsidRDefault="00E76C39" w:rsidP="00E76C39">
      <w:r w:rsidRPr="007C41DC">
        <w:t>Both regimes cover the following matters: (</w:t>
      </w:r>
      <w:proofErr w:type="spellStart"/>
      <w:r w:rsidR="00AD2E21">
        <w:t>i</w:t>
      </w:r>
      <w:proofErr w:type="spellEnd"/>
      <w:r w:rsidRPr="007C41DC">
        <w:t>) who may assess the proposed t</w:t>
      </w:r>
      <w:r w:rsidR="003433E3">
        <w:t>ransaction</w:t>
      </w:r>
      <w:r w:rsidRPr="007C41DC">
        <w:t>; (</w:t>
      </w:r>
      <w:r w:rsidR="00AD2E21">
        <w:t>ii</w:t>
      </w:r>
      <w:r w:rsidRPr="007C41DC">
        <w:t>) the process to be followed in making that assessment; (</w:t>
      </w:r>
      <w:r w:rsidR="00AD2E21">
        <w:t>iii</w:t>
      </w:r>
      <w:r w:rsidRPr="007C41DC">
        <w:t>) the rules to be applied in making the assessment; (</w:t>
      </w:r>
      <w:r w:rsidR="00AD2E21">
        <w:t>iv</w:t>
      </w:r>
      <w:r w:rsidRPr="007C41DC">
        <w:t>) the consequences of a positive or adverse assessment; and (</w:t>
      </w:r>
      <w:r w:rsidR="00AD2E21">
        <w:t>v</w:t>
      </w:r>
      <w:r w:rsidRPr="007C41DC">
        <w:t>) the review of assessments.</w:t>
      </w:r>
    </w:p>
    <w:p w14:paraId="50C7B738" w14:textId="7AD656B5" w:rsidR="00143364" w:rsidRDefault="00EB102D" w:rsidP="00143364">
      <w:pPr>
        <w:pStyle w:val="Heading3"/>
      </w:pPr>
      <w:bookmarkStart w:id="16" w:name="_Toc99619840"/>
      <w:r>
        <w:t xml:space="preserve">Takeovers and </w:t>
      </w:r>
      <w:r w:rsidR="00E76C39">
        <w:t>t</w:t>
      </w:r>
      <w:r w:rsidR="00E3392D">
        <w:t>he Takeovers Panel</w:t>
      </w:r>
      <w:bookmarkEnd w:id="16"/>
      <w:r w:rsidR="00A6662F">
        <w:t xml:space="preserve"> </w:t>
      </w:r>
    </w:p>
    <w:p w14:paraId="31876A8B" w14:textId="77777777" w:rsidR="00E76C39" w:rsidRPr="00057389" w:rsidRDefault="00E76C39" w:rsidP="00E76C39">
      <w:r w:rsidRPr="00057389">
        <w:t>Under the Takeover Rules, a takeover is defined as a transaction that increases the shareholding of an acquirer to a proportion that is more than 20 per cent of voting interests in the company, but less than 90 per cent.</w:t>
      </w:r>
      <w:r w:rsidRPr="00203CA1">
        <w:rPr>
          <w:rStyle w:val="FootnoteReference"/>
        </w:rPr>
        <w:footnoteReference w:id="17"/>
      </w:r>
      <w:r w:rsidRPr="00057389">
        <w:t xml:space="preserve"> However, this definition currently only applies to public companies with </w:t>
      </w:r>
      <w:r>
        <w:t>more than</w:t>
      </w:r>
      <w:r w:rsidRPr="00057389">
        <w:t xml:space="preserve"> 50 members, listed companies, some listed bodies and listed registered schemes. In contrast the Scheme of Arrangement Rules apply to companies of any size. </w:t>
      </w:r>
    </w:p>
    <w:p w14:paraId="330F277F" w14:textId="7DC5EF79" w:rsidR="00E76C39" w:rsidRDefault="00E76C39" w:rsidP="00E76C39">
      <w:r w:rsidRPr="00790B96">
        <w:t>A takeover bid</w:t>
      </w:r>
      <w:r>
        <w:t xml:space="preserve"> under the Takeover Rules</w:t>
      </w:r>
      <w:r w:rsidRPr="00790B96">
        <w:t xml:space="preserve"> </w:t>
      </w:r>
      <w:r>
        <w:t xml:space="preserve">is an acquirer-driven </w:t>
      </w:r>
      <w:r w:rsidR="00891FD9">
        <w:t xml:space="preserve">process. It </w:t>
      </w:r>
      <w:r w:rsidRPr="00790B96">
        <w:t xml:space="preserve">involves a potential acquirer making an offer to all shareholders of a target company or unitholders of a trust to acquire their </w:t>
      </w:r>
      <w:r w:rsidRPr="00790B96">
        <w:lastRenderedPageBreak/>
        <w:t>shares or units on the same terms.</w:t>
      </w:r>
      <w:r>
        <w:t xml:space="preserve"> A takeover bid can be used for either a friendly or hostile acquisition of a company or trust, but is typically preferred in hostile circumstances. </w:t>
      </w:r>
    </w:p>
    <w:p w14:paraId="4E611346" w14:textId="77777777" w:rsidR="00162ADA" w:rsidRDefault="00E76C39" w:rsidP="00162ADA">
      <w:r>
        <w:t>The Takeover Rules provide a prescriptive timeframe for the preparation and provision of information (in the form of a bidder’s statement and offer documents) to the target company, shareholders and ASIC.</w:t>
      </w:r>
      <w:r>
        <w:rPr>
          <w:rStyle w:val="FootnoteReference"/>
        </w:rPr>
        <w:footnoteReference w:id="18"/>
      </w:r>
      <w:r>
        <w:t xml:space="preserve"> The Takeover Rules also provide specific and general disclosure requirements for these documents.</w:t>
      </w:r>
      <w:r>
        <w:rPr>
          <w:rStyle w:val="FootnoteReference"/>
        </w:rPr>
        <w:footnoteReference w:id="19"/>
      </w:r>
      <w:r>
        <w:t xml:space="preserve"> </w:t>
      </w:r>
    </w:p>
    <w:p w14:paraId="0D262F4D" w14:textId="77777777" w:rsidR="00E76C39" w:rsidRDefault="00E76C39" w:rsidP="00E76C39">
      <w:r>
        <w:t xml:space="preserve">Disputes that arise in the course of a bid are primarily determined by the Takeovers Panel, </w:t>
      </w:r>
      <w:r w:rsidRPr="00B4390D">
        <w:t>whose</w:t>
      </w:r>
      <w:r>
        <w:t xml:space="preserve"> primary power is to make declarations of unacceptable circumstances, having regard broadly </w:t>
      </w:r>
      <w:r w:rsidRPr="00B4390D">
        <w:t>to</w:t>
      </w:r>
      <w:r>
        <w:t xml:space="preserve"> the policy objectives outlined in the Takeover Rules. </w:t>
      </w:r>
    </w:p>
    <w:p w14:paraId="01E0CD08" w14:textId="15F6E7C0" w:rsidR="00A2064C" w:rsidRDefault="00A2064C" w:rsidP="00143364">
      <w:r w:rsidRPr="00D27FB1">
        <w:t>The Takeovers Panel</w:t>
      </w:r>
      <w:r>
        <w:t xml:space="preserve"> was established in its current form in </w:t>
      </w:r>
      <w:r w:rsidRPr="00D27FB1">
        <w:t>2000</w:t>
      </w:r>
      <w:r>
        <w:t xml:space="preserve"> to resolve disputes about takeovers</w:t>
      </w:r>
      <w:r w:rsidRPr="00D27FB1">
        <w:t>.</w:t>
      </w:r>
      <w:r>
        <w:t xml:space="preserve"> It is </w:t>
      </w:r>
      <w:r w:rsidRPr="00346FC8">
        <w:t xml:space="preserve">a </w:t>
      </w:r>
      <w:r w:rsidR="00CB4990" w:rsidRPr="00346FC8">
        <w:t>peer</w:t>
      </w:r>
      <w:r w:rsidR="00CB4990">
        <w:t>-</w:t>
      </w:r>
      <w:r w:rsidRPr="00346FC8">
        <w:t>review body</w:t>
      </w:r>
      <w:r>
        <w:t xml:space="preserve"> composed of appointed </w:t>
      </w:r>
      <w:r w:rsidRPr="00346FC8">
        <w:t>part</w:t>
      </w:r>
      <w:r>
        <w:t>-</w:t>
      </w:r>
      <w:r w:rsidRPr="00346FC8">
        <w:t xml:space="preserve">time members </w:t>
      </w:r>
      <w:r>
        <w:t xml:space="preserve">with expertise in mergers and acquisitions as either </w:t>
      </w:r>
      <w:r w:rsidRPr="0091751C">
        <w:t>investment bankers, lawyers, company directors or other professionals.</w:t>
      </w:r>
      <w:r w:rsidRPr="003B23B2">
        <w:t xml:space="preserve"> </w:t>
      </w:r>
      <w:r>
        <w:t>It has a</w:t>
      </w:r>
      <w:r w:rsidRPr="003B23B2" w:rsidDel="003752EA">
        <w:t xml:space="preserve"> </w:t>
      </w:r>
      <w:r w:rsidRPr="003B23B2">
        <w:t>full</w:t>
      </w:r>
      <w:r>
        <w:t>-</w:t>
      </w:r>
      <w:r w:rsidRPr="003B23B2">
        <w:t>time Executive based in Melbourne</w:t>
      </w:r>
      <w:r w:rsidRPr="00A42FC2">
        <w:t xml:space="preserve"> to assist members of the </w:t>
      </w:r>
      <w:r w:rsidR="00353D88">
        <w:t xml:space="preserve">Takeovers </w:t>
      </w:r>
      <w:r w:rsidRPr="00A42FC2">
        <w:t>Panel and the takeovers community and to draft policy</w:t>
      </w:r>
      <w:r>
        <w:t>.</w:t>
      </w:r>
    </w:p>
    <w:p w14:paraId="64177969" w14:textId="087B29C5" w:rsidR="00A2064C" w:rsidRDefault="00A2064C" w:rsidP="00EE1D46">
      <w:pPr>
        <w:pStyle w:val="Bullet"/>
        <w:numPr>
          <w:ilvl w:val="0"/>
          <w:numId w:val="0"/>
        </w:numPr>
        <w:spacing w:after="160" w:line="259" w:lineRule="auto"/>
      </w:pPr>
      <w:r>
        <w:t xml:space="preserve">Since its inception, the Takeovers Panel has enjoyed a positive reputation for the timeliness of its decision making, </w:t>
      </w:r>
      <w:r w:rsidR="00D83253">
        <w:t xml:space="preserve">its </w:t>
      </w:r>
      <w:r>
        <w:t>ease and relative affordability of access, and the commercially minded, informal, and non-legalistic approach it takes to resolving disputes. The Takeovers Panel Stakeholder Survey 2020 reported 91% of stakeholders were either very satisfied or somewhat satisfied with the Takeovers Panel.</w:t>
      </w:r>
      <w:r>
        <w:rPr>
          <w:rStyle w:val="FootnoteReference"/>
        </w:rPr>
        <w:footnoteReference w:id="20"/>
      </w:r>
      <w:r>
        <w:t xml:space="preserve"> As such, it has grown to play an important role in the regulation of takeovers in Australia and has considered a large number of applications in relation to a wide range of companies. </w:t>
      </w:r>
    </w:p>
    <w:bookmarkEnd w:id="9"/>
    <w:p w14:paraId="47B76749" w14:textId="5A9B4C4F" w:rsidR="00247F3E" w:rsidRDefault="000518C6" w:rsidP="000518C6">
      <w:r>
        <w:t xml:space="preserve">Table </w:t>
      </w:r>
      <w:r w:rsidR="00654694">
        <w:t>2</w:t>
      </w:r>
      <w:r>
        <w:t xml:space="preserve"> below shows that the Takeovers Panel has processed an average of approximately 31 applications </w:t>
      </w:r>
      <w:r w:rsidR="001B0173">
        <w:t>a year</w:t>
      </w:r>
      <w:r>
        <w:t xml:space="preserve"> over the past three years. the </w:t>
      </w:r>
      <w:r w:rsidR="00353D88">
        <w:t xml:space="preserve">Takeovers </w:t>
      </w:r>
      <w:r>
        <w:t xml:space="preserve">Panel </w:t>
      </w:r>
      <w:r w:rsidR="00CB4990">
        <w:t>made undertakings and orders for most of the applications it considered</w:t>
      </w:r>
      <w:r>
        <w:t xml:space="preserve">. The </w:t>
      </w:r>
      <w:r w:rsidR="00353D88">
        <w:t>Takeovers</w:t>
      </w:r>
      <w:r>
        <w:t xml:space="preserve"> Panel decline</w:t>
      </w:r>
      <w:r w:rsidR="001B0173">
        <w:t>d</w:t>
      </w:r>
      <w:r>
        <w:t xml:space="preserve"> to make declarations or order</w:t>
      </w:r>
      <w:r w:rsidR="001B0173">
        <w:t>s</w:t>
      </w:r>
      <w:r>
        <w:t xml:space="preserve"> in only a small number of </w:t>
      </w:r>
      <w:r w:rsidR="00CB4990">
        <w:t xml:space="preserve">the </w:t>
      </w:r>
      <w:r>
        <w:t>cases it consider</w:t>
      </w:r>
      <w:r w:rsidR="001B0173">
        <w:t>ed</w:t>
      </w:r>
      <w:r>
        <w:t xml:space="preserve">. </w:t>
      </w:r>
    </w:p>
    <w:p w14:paraId="52F86A09" w14:textId="70F963F3" w:rsidR="00CF5415" w:rsidRDefault="00A2064C" w:rsidP="00D544B7">
      <w:pPr>
        <w:pStyle w:val="Caption"/>
        <w:spacing w:before="120" w:after="120"/>
      </w:pPr>
      <w:r w:rsidRPr="0075751F">
        <w:t xml:space="preserve">Table </w:t>
      </w:r>
      <w:r w:rsidR="00654694">
        <w:t>2</w:t>
      </w:r>
      <w:r w:rsidRPr="006A4529">
        <w:t xml:space="preserve">. Current </w:t>
      </w:r>
      <w:r w:rsidR="00DC6A46">
        <w:t>r</w:t>
      </w:r>
      <w:r w:rsidRPr="006A4529">
        <w:t xml:space="preserve">esourcing </w:t>
      </w:r>
      <w:r w:rsidR="00DC6A46">
        <w:t xml:space="preserve">of </w:t>
      </w:r>
      <w:r w:rsidRPr="006A4529">
        <w:t xml:space="preserve">and </w:t>
      </w:r>
      <w:r w:rsidR="00DC6A46">
        <w:t>applications to the</w:t>
      </w:r>
      <w:r w:rsidRPr="006A4529">
        <w:t xml:space="preserve"> Takeovers Panel</w:t>
      </w:r>
    </w:p>
    <w:tbl>
      <w:tblPr>
        <w:tblW w:w="9049" w:type="dxa"/>
        <w:jc w:val="center"/>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1565"/>
        <w:gridCol w:w="1871"/>
        <w:gridCol w:w="1871"/>
        <w:gridCol w:w="1871"/>
        <w:gridCol w:w="1871"/>
      </w:tblGrid>
      <w:tr w:rsidR="002A206E" w:rsidRPr="00ED0937" w14:paraId="5734ABA4" w14:textId="77777777" w:rsidTr="00345363">
        <w:trPr>
          <w:cantSplit/>
          <w:trHeight w:val="376"/>
          <w:jc w:val="center"/>
        </w:trPr>
        <w:tc>
          <w:tcPr>
            <w:tcW w:w="1565" w:type="dxa"/>
            <w:vMerge w:val="restart"/>
            <w:tcBorders>
              <w:right w:val="single" w:sz="4" w:space="0" w:color="auto"/>
            </w:tcBorders>
            <w:shd w:val="clear" w:color="auto" w:fill="2C384A"/>
            <w:tcMar>
              <w:top w:w="15" w:type="dxa"/>
              <w:left w:w="57" w:type="dxa"/>
              <w:bottom w:w="0" w:type="dxa"/>
              <w:right w:w="57" w:type="dxa"/>
            </w:tcMar>
            <w:hideMark/>
          </w:tcPr>
          <w:p w14:paraId="4342E769" w14:textId="77777777" w:rsidR="002A206E" w:rsidRPr="00ED0937" w:rsidRDefault="002A206E" w:rsidP="003F7381">
            <w:pPr>
              <w:spacing w:before="0" w:after="0"/>
              <w:rPr>
                <w:sz w:val="20"/>
              </w:rPr>
            </w:pPr>
            <w:r w:rsidRPr="00ED0937">
              <w:rPr>
                <w:b/>
                <w:bCs/>
                <w:sz w:val="20"/>
              </w:rPr>
              <w:t>Year</w:t>
            </w:r>
          </w:p>
        </w:tc>
        <w:tc>
          <w:tcPr>
            <w:tcW w:w="3742" w:type="dxa"/>
            <w:gridSpan w:val="2"/>
            <w:tcBorders>
              <w:top w:val="single" w:sz="4" w:space="0" w:color="002C47" w:themeColor="accent1"/>
              <w:left w:val="single" w:sz="4" w:space="0" w:color="auto"/>
              <w:bottom w:val="single" w:sz="8" w:space="0" w:color="FFFFFF"/>
              <w:right w:val="single" w:sz="4" w:space="0" w:color="auto"/>
            </w:tcBorders>
            <w:shd w:val="clear" w:color="auto" w:fill="2C384A"/>
            <w:tcMar>
              <w:top w:w="15" w:type="dxa"/>
              <w:left w:w="57" w:type="dxa"/>
              <w:bottom w:w="0" w:type="dxa"/>
              <w:right w:w="57" w:type="dxa"/>
            </w:tcMar>
            <w:hideMark/>
          </w:tcPr>
          <w:p w14:paraId="78B48E2B" w14:textId="0F9FC504" w:rsidR="002A206E" w:rsidRPr="00ED0937" w:rsidRDefault="002A206E" w:rsidP="003F7381">
            <w:pPr>
              <w:spacing w:before="0" w:after="0"/>
              <w:rPr>
                <w:sz w:val="20"/>
              </w:rPr>
            </w:pPr>
            <w:r w:rsidRPr="00ED0937">
              <w:rPr>
                <w:b/>
                <w:bCs/>
                <w:sz w:val="20"/>
              </w:rPr>
              <w:t xml:space="preserve">Panel </w:t>
            </w:r>
            <w:r>
              <w:rPr>
                <w:b/>
                <w:bCs/>
                <w:sz w:val="20"/>
              </w:rPr>
              <w:t>r</w:t>
            </w:r>
            <w:r w:rsidRPr="00ED0937">
              <w:rPr>
                <w:b/>
                <w:bCs/>
                <w:sz w:val="20"/>
              </w:rPr>
              <w:t xml:space="preserve">esources and </w:t>
            </w:r>
            <w:r>
              <w:rPr>
                <w:b/>
                <w:bCs/>
                <w:sz w:val="20"/>
              </w:rPr>
              <w:t>s</w:t>
            </w:r>
            <w:r w:rsidRPr="00ED0937">
              <w:rPr>
                <w:b/>
                <w:bCs/>
                <w:sz w:val="20"/>
              </w:rPr>
              <w:t>taffing</w:t>
            </w:r>
          </w:p>
        </w:tc>
        <w:tc>
          <w:tcPr>
            <w:tcW w:w="3742" w:type="dxa"/>
            <w:gridSpan w:val="2"/>
            <w:tcBorders>
              <w:top w:val="single" w:sz="4" w:space="0" w:color="002C47" w:themeColor="accent1"/>
              <w:left w:val="single" w:sz="4" w:space="0" w:color="auto"/>
              <w:bottom w:val="single" w:sz="8" w:space="0" w:color="FFFFFF"/>
            </w:tcBorders>
            <w:shd w:val="clear" w:color="auto" w:fill="2C384A"/>
            <w:tcMar>
              <w:top w:w="15" w:type="dxa"/>
              <w:left w:w="57" w:type="dxa"/>
              <w:bottom w:w="0" w:type="dxa"/>
              <w:right w:w="57" w:type="dxa"/>
            </w:tcMar>
            <w:hideMark/>
          </w:tcPr>
          <w:p w14:paraId="41BEFE75" w14:textId="57D41020" w:rsidR="002A206E" w:rsidRPr="00ED0937" w:rsidRDefault="002A206E" w:rsidP="003F7381">
            <w:pPr>
              <w:spacing w:before="0" w:after="0"/>
              <w:rPr>
                <w:sz w:val="20"/>
              </w:rPr>
            </w:pPr>
            <w:r w:rsidRPr="00ED0937">
              <w:rPr>
                <w:b/>
                <w:bCs/>
                <w:sz w:val="20"/>
              </w:rPr>
              <w:t xml:space="preserve">Panel </w:t>
            </w:r>
            <w:r w:rsidR="00BB70A0">
              <w:rPr>
                <w:b/>
                <w:bCs/>
                <w:sz w:val="20"/>
              </w:rPr>
              <w:t>applications</w:t>
            </w:r>
          </w:p>
        </w:tc>
      </w:tr>
      <w:tr w:rsidR="002A206E" w:rsidRPr="00ED0937" w14:paraId="349E5674" w14:textId="77777777" w:rsidTr="00345363">
        <w:trPr>
          <w:cantSplit/>
          <w:trHeight w:val="399"/>
          <w:jc w:val="center"/>
        </w:trPr>
        <w:tc>
          <w:tcPr>
            <w:tcW w:w="1565" w:type="dxa"/>
            <w:vMerge/>
            <w:tcBorders>
              <w:right w:val="single" w:sz="4" w:space="0" w:color="auto"/>
            </w:tcBorders>
            <w:shd w:val="clear" w:color="auto" w:fill="2C384A"/>
            <w:vAlign w:val="center"/>
            <w:hideMark/>
          </w:tcPr>
          <w:p w14:paraId="1AA983F4" w14:textId="77777777" w:rsidR="002A206E" w:rsidRPr="00ED0937" w:rsidRDefault="002A206E" w:rsidP="00ED0937">
            <w:pPr>
              <w:rPr>
                <w:sz w:val="20"/>
              </w:rPr>
            </w:pPr>
          </w:p>
        </w:tc>
        <w:tc>
          <w:tcPr>
            <w:tcW w:w="1871" w:type="dxa"/>
            <w:tcBorders>
              <w:top w:val="single" w:sz="8" w:space="0" w:color="FFFFFF"/>
              <w:left w:val="single" w:sz="4" w:space="0" w:color="auto"/>
              <w:bottom w:val="single" w:sz="8" w:space="0" w:color="FFFFFF"/>
            </w:tcBorders>
            <w:shd w:val="clear" w:color="auto" w:fill="BEC9D8"/>
            <w:tcMar>
              <w:top w:w="15" w:type="dxa"/>
              <w:left w:w="57" w:type="dxa"/>
              <w:bottom w:w="0" w:type="dxa"/>
              <w:right w:w="57" w:type="dxa"/>
            </w:tcMar>
            <w:hideMark/>
          </w:tcPr>
          <w:p w14:paraId="7437E527" w14:textId="3B32B447" w:rsidR="002A206E" w:rsidRPr="00ED0937" w:rsidRDefault="002A206E" w:rsidP="00011200">
            <w:pPr>
              <w:spacing w:before="0" w:after="0"/>
              <w:rPr>
                <w:b/>
                <w:bCs/>
                <w:sz w:val="20"/>
              </w:rPr>
            </w:pPr>
            <w:r>
              <w:rPr>
                <w:b/>
                <w:sz w:val="20"/>
              </w:rPr>
              <w:t xml:space="preserve">Takeovers </w:t>
            </w:r>
            <w:r w:rsidRPr="00ED0937">
              <w:rPr>
                <w:b/>
                <w:bCs/>
                <w:sz w:val="20"/>
              </w:rPr>
              <w:t>Panel Members</w:t>
            </w:r>
          </w:p>
        </w:tc>
        <w:tc>
          <w:tcPr>
            <w:tcW w:w="1871" w:type="dxa"/>
            <w:tcBorders>
              <w:right w:val="single" w:sz="4" w:space="0" w:color="auto"/>
            </w:tcBorders>
            <w:shd w:val="clear" w:color="auto" w:fill="BEC9D8"/>
            <w:tcMar>
              <w:top w:w="15" w:type="dxa"/>
              <w:left w:w="57" w:type="dxa"/>
              <w:bottom w:w="0" w:type="dxa"/>
              <w:right w:w="57" w:type="dxa"/>
            </w:tcMar>
            <w:hideMark/>
          </w:tcPr>
          <w:p w14:paraId="1F5F0E3E" w14:textId="698F83BF" w:rsidR="002A206E" w:rsidRPr="00ED0937" w:rsidRDefault="002A206E" w:rsidP="00011200">
            <w:pPr>
              <w:spacing w:before="0" w:after="0"/>
              <w:rPr>
                <w:b/>
                <w:bCs/>
                <w:sz w:val="20"/>
              </w:rPr>
            </w:pPr>
            <w:r w:rsidRPr="00ED0937">
              <w:rPr>
                <w:b/>
                <w:bCs/>
                <w:sz w:val="20"/>
              </w:rPr>
              <w:t>Executive Staff (</w:t>
            </w:r>
            <w:r w:rsidR="00345363">
              <w:rPr>
                <w:b/>
                <w:bCs/>
                <w:sz w:val="20"/>
              </w:rPr>
              <w:t>avg staffing level</w:t>
            </w:r>
            <w:r w:rsidRPr="00ED0937">
              <w:rPr>
                <w:b/>
                <w:bCs/>
                <w:sz w:val="20"/>
              </w:rPr>
              <w:t>)</w:t>
            </w:r>
          </w:p>
        </w:tc>
        <w:tc>
          <w:tcPr>
            <w:tcW w:w="1871" w:type="dxa"/>
            <w:tcBorders>
              <w:top w:val="single" w:sz="8" w:space="0" w:color="FFFFFF"/>
              <w:left w:val="single" w:sz="4" w:space="0" w:color="auto"/>
              <w:bottom w:val="single" w:sz="8" w:space="0" w:color="FFFFFF"/>
            </w:tcBorders>
            <w:shd w:val="clear" w:color="auto" w:fill="BEC9D8"/>
            <w:tcMar>
              <w:top w:w="15" w:type="dxa"/>
              <w:left w:w="57" w:type="dxa"/>
              <w:bottom w:w="0" w:type="dxa"/>
              <w:right w:w="57" w:type="dxa"/>
            </w:tcMar>
            <w:hideMark/>
          </w:tcPr>
          <w:p w14:paraId="1CB22AC8" w14:textId="77777777" w:rsidR="002A206E" w:rsidRPr="00ED0937" w:rsidRDefault="002A206E" w:rsidP="00011200">
            <w:pPr>
              <w:spacing w:before="0" w:after="0"/>
              <w:rPr>
                <w:b/>
                <w:bCs/>
                <w:sz w:val="20"/>
              </w:rPr>
            </w:pPr>
            <w:r w:rsidRPr="00ED0937">
              <w:rPr>
                <w:b/>
                <w:bCs/>
                <w:sz w:val="20"/>
              </w:rPr>
              <w:t>Applications processed</w:t>
            </w:r>
          </w:p>
        </w:tc>
        <w:tc>
          <w:tcPr>
            <w:tcW w:w="1871" w:type="dxa"/>
            <w:tcBorders>
              <w:top w:val="single" w:sz="8" w:space="0" w:color="FFFFFF"/>
            </w:tcBorders>
            <w:shd w:val="clear" w:color="auto" w:fill="BEC9D8"/>
            <w:tcMar>
              <w:top w:w="15" w:type="dxa"/>
              <w:left w:w="57" w:type="dxa"/>
              <w:bottom w:w="0" w:type="dxa"/>
              <w:right w:w="57" w:type="dxa"/>
            </w:tcMar>
            <w:hideMark/>
          </w:tcPr>
          <w:p w14:paraId="12C542BF" w14:textId="537E5B74" w:rsidR="002A206E" w:rsidRPr="00ED0937" w:rsidRDefault="002A206E" w:rsidP="00011200">
            <w:pPr>
              <w:spacing w:before="0" w:after="0"/>
              <w:rPr>
                <w:b/>
                <w:bCs/>
                <w:sz w:val="20"/>
              </w:rPr>
            </w:pPr>
            <w:r>
              <w:rPr>
                <w:b/>
                <w:bCs/>
                <w:sz w:val="20"/>
              </w:rPr>
              <w:t xml:space="preserve">Matters concerning schemes </w:t>
            </w:r>
          </w:p>
        </w:tc>
      </w:tr>
      <w:tr w:rsidR="002A206E" w:rsidRPr="00ED0937" w14:paraId="73326870" w14:textId="77777777" w:rsidTr="00345363">
        <w:trPr>
          <w:cantSplit/>
          <w:trHeight w:val="283"/>
          <w:jc w:val="center"/>
        </w:trPr>
        <w:tc>
          <w:tcPr>
            <w:tcW w:w="1565" w:type="dxa"/>
            <w:tcBorders>
              <w:right w:val="single" w:sz="4" w:space="0" w:color="auto"/>
            </w:tcBorders>
            <w:shd w:val="clear" w:color="auto" w:fill="2C384A"/>
            <w:tcMar>
              <w:top w:w="15" w:type="dxa"/>
              <w:left w:w="57" w:type="dxa"/>
              <w:bottom w:w="0" w:type="dxa"/>
              <w:right w:w="57" w:type="dxa"/>
            </w:tcMar>
            <w:vAlign w:val="center"/>
            <w:hideMark/>
          </w:tcPr>
          <w:p w14:paraId="39677B67" w14:textId="11714526" w:rsidR="002A206E" w:rsidRPr="00ED0937" w:rsidRDefault="002A206E" w:rsidP="00011200">
            <w:pPr>
              <w:spacing w:before="0" w:after="0"/>
              <w:rPr>
                <w:sz w:val="20"/>
              </w:rPr>
            </w:pPr>
            <w:r w:rsidRPr="007A31EB">
              <w:rPr>
                <w:b/>
                <w:sz w:val="20"/>
              </w:rPr>
              <w:t>2018-19</w:t>
            </w:r>
            <w:r w:rsidRPr="007A31EB">
              <w:rPr>
                <w:rStyle w:val="FootnoteReference"/>
                <w:b/>
              </w:rPr>
              <w:footnoteReference w:id="21"/>
            </w:r>
          </w:p>
        </w:tc>
        <w:tc>
          <w:tcPr>
            <w:tcW w:w="1871" w:type="dxa"/>
            <w:tcBorders>
              <w:top w:val="single" w:sz="8" w:space="0" w:color="FFFFFF"/>
              <w:left w:val="single" w:sz="4" w:space="0" w:color="auto"/>
              <w:bottom w:val="single" w:sz="8" w:space="0" w:color="FFFFFF"/>
            </w:tcBorders>
            <w:shd w:val="clear" w:color="auto" w:fill="F2F2F2"/>
            <w:tcMar>
              <w:top w:w="15" w:type="dxa"/>
              <w:left w:w="57" w:type="dxa"/>
              <w:bottom w:w="0" w:type="dxa"/>
              <w:right w:w="57" w:type="dxa"/>
            </w:tcMar>
            <w:vAlign w:val="center"/>
            <w:hideMark/>
          </w:tcPr>
          <w:p w14:paraId="51F60166" w14:textId="77777777" w:rsidR="002A206E" w:rsidRPr="00ED0937" w:rsidRDefault="002A206E" w:rsidP="00011200">
            <w:pPr>
              <w:spacing w:before="0" w:after="0"/>
              <w:jc w:val="right"/>
              <w:rPr>
                <w:sz w:val="20"/>
              </w:rPr>
            </w:pPr>
            <w:r w:rsidRPr="00ED0937">
              <w:rPr>
                <w:sz w:val="20"/>
              </w:rPr>
              <w:t>43</w:t>
            </w:r>
          </w:p>
        </w:tc>
        <w:tc>
          <w:tcPr>
            <w:tcW w:w="1871" w:type="dxa"/>
            <w:tcBorders>
              <w:right w:val="single" w:sz="4" w:space="0" w:color="auto"/>
            </w:tcBorders>
            <w:shd w:val="clear" w:color="auto" w:fill="F2F2F2"/>
            <w:tcMar>
              <w:top w:w="15" w:type="dxa"/>
              <w:left w:w="57" w:type="dxa"/>
              <w:bottom w:w="0" w:type="dxa"/>
              <w:right w:w="57" w:type="dxa"/>
            </w:tcMar>
            <w:vAlign w:val="center"/>
            <w:hideMark/>
          </w:tcPr>
          <w:p w14:paraId="65A07DDE" w14:textId="3E72D3F9" w:rsidR="002A206E" w:rsidRPr="00ED0937" w:rsidRDefault="002A206E" w:rsidP="00011200">
            <w:pPr>
              <w:spacing w:before="0" w:after="0"/>
              <w:jc w:val="right"/>
              <w:rPr>
                <w:sz w:val="20"/>
              </w:rPr>
            </w:pPr>
            <w:r>
              <w:rPr>
                <w:sz w:val="20"/>
              </w:rPr>
              <w:t>5.7</w:t>
            </w:r>
          </w:p>
        </w:tc>
        <w:tc>
          <w:tcPr>
            <w:tcW w:w="1871" w:type="dxa"/>
            <w:tcBorders>
              <w:top w:val="single" w:sz="8" w:space="0" w:color="FFFFFF"/>
              <w:left w:val="single" w:sz="4" w:space="0" w:color="auto"/>
              <w:bottom w:val="single" w:sz="8" w:space="0" w:color="FFFFFF"/>
            </w:tcBorders>
            <w:shd w:val="clear" w:color="auto" w:fill="F2F2F2"/>
            <w:tcMar>
              <w:top w:w="15" w:type="dxa"/>
              <w:left w:w="57" w:type="dxa"/>
              <w:bottom w:w="0" w:type="dxa"/>
              <w:right w:w="57" w:type="dxa"/>
            </w:tcMar>
            <w:vAlign w:val="center"/>
            <w:hideMark/>
          </w:tcPr>
          <w:p w14:paraId="5909A95B" w14:textId="77777777" w:rsidR="002A206E" w:rsidRPr="00ED0937" w:rsidRDefault="002A206E" w:rsidP="00011200">
            <w:pPr>
              <w:spacing w:before="0" w:after="0"/>
              <w:jc w:val="right"/>
              <w:rPr>
                <w:sz w:val="20"/>
              </w:rPr>
            </w:pPr>
            <w:r w:rsidRPr="00ED0937">
              <w:rPr>
                <w:sz w:val="20"/>
              </w:rPr>
              <w:t xml:space="preserve">30 </w:t>
            </w:r>
          </w:p>
        </w:tc>
        <w:tc>
          <w:tcPr>
            <w:tcW w:w="1871" w:type="dxa"/>
            <w:shd w:val="clear" w:color="auto" w:fill="F2F2F2"/>
            <w:tcMar>
              <w:top w:w="15" w:type="dxa"/>
              <w:left w:w="57" w:type="dxa"/>
              <w:bottom w:w="0" w:type="dxa"/>
              <w:right w:w="57" w:type="dxa"/>
            </w:tcMar>
            <w:vAlign w:val="center"/>
            <w:hideMark/>
          </w:tcPr>
          <w:p w14:paraId="40BB798A" w14:textId="11ABE13C" w:rsidR="002A206E" w:rsidRPr="00ED0937" w:rsidRDefault="002A206E" w:rsidP="002A206E">
            <w:pPr>
              <w:spacing w:before="0" w:after="0"/>
              <w:jc w:val="right"/>
              <w:rPr>
                <w:sz w:val="20"/>
              </w:rPr>
            </w:pPr>
            <w:r>
              <w:rPr>
                <w:sz w:val="20"/>
              </w:rPr>
              <w:t>0</w:t>
            </w:r>
          </w:p>
        </w:tc>
      </w:tr>
      <w:tr w:rsidR="002A206E" w:rsidRPr="00ED0937" w14:paraId="0C40184E" w14:textId="77777777" w:rsidTr="00345363">
        <w:trPr>
          <w:cantSplit/>
          <w:trHeight w:val="283"/>
          <w:jc w:val="center"/>
        </w:trPr>
        <w:tc>
          <w:tcPr>
            <w:tcW w:w="1565" w:type="dxa"/>
            <w:tcBorders>
              <w:right w:val="single" w:sz="4" w:space="0" w:color="auto"/>
            </w:tcBorders>
            <w:shd w:val="clear" w:color="auto" w:fill="2C384A"/>
            <w:tcMar>
              <w:top w:w="15" w:type="dxa"/>
              <w:left w:w="57" w:type="dxa"/>
              <w:bottom w:w="0" w:type="dxa"/>
              <w:right w:w="57" w:type="dxa"/>
            </w:tcMar>
            <w:vAlign w:val="center"/>
            <w:hideMark/>
          </w:tcPr>
          <w:p w14:paraId="6FDD9190" w14:textId="11FC3AF9" w:rsidR="002A206E" w:rsidRPr="00ED0937" w:rsidRDefault="002A206E" w:rsidP="00011200">
            <w:pPr>
              <w:spacing w:before="0" w:after="0"/>
              <w:rPr>
                <w:sz w:val="20"/>
              </w:rPr>
            </w:pPr>
            <w:r w:rsidRPr="007A31EB">
              <w:rPr>
                <w:b/>
                <w:sz w:val="20"/>
              </w:rPr>
              <w:t>2019-20</w:t>
            </w:r>
            <w:r w:rsidRPr="007A31EB">
              <w:rPr>
                <w:rStyle w:val="FootnoteReference"/>
                <w:b/>
              </w:rPr>
              <w:footnoteReference w:id="22"/>
            </w:r>
          </w:p>
        </w:tc>
        <w:tc>
          <w:tcPr>
            <w:tcW w:w="1871" w:type="dxa"/>
            <w:tcBorders>
              <w:top w:val="single" w:sz="8" w:space="0" w:color="FFFFFF"/>
              <w:left w:val="single" w:sz="4" w:space="0" w:color="auto"/>
              <w:bottom w:val="single" w:sz="8" w:space="0" w:color="FFFFFF"/>
            </w:tcBorders>
            <w:shd w:val="clear" w:color="auto" w:fill="DFE0E1"/>
            <w:tcMar>
              <w:top w:w="15" w:type="dxa"/>
              <w:left w:w="57" w:type="dxa"/>
              <w:bottom w:w="0" w:type="dxa"/>
              <w:right w:w="57" w:type="dxa"/>
            </w:tcMar>
            <w:vAlign w:val="center"/>
            <w:hideMark/>
          </w:tcPr>
          <w:p w14:paraId="22262B57" w14:textId="77777777" w:rsidR="002A206E" w:rsidRPr="00ED0937" w:rsidRDefault="002A206E" w:rsidP="00011200">
            <w:pPr>
              <w:spacing w:before="0" w:after="0"/>
              <w:jc w:val="right"/>
              <w:rPr>
                <w:sz w:val="20"/>
              </w:rPr>
            </w:pPr>
            <w:r w:rsidRPr="00ED0937">
              <w:rPr>
                <w:sz w:val="20"/>
              </w:rPr>
              <w:t>46</w:t>
            </w:r>
          </w:p>
        </w:tc>
        <w:tc>
          <w:tcPr>
            <w:tcW w:w="1871" w:type="dxa"/>
            <w:tcBorders>
              <w:right w:val="single" w:sz="4" w:space="0" w:color="auto"/>
            </w:tcBorders>
            <w:shd w:val="clear" w:color="auto" w:fill="DFE0E1"/>
            <w:tcMar>
              <w:top w:w="15" w:type="dxa"/>
              <w:left w:w="57" w:type="dxa"/>
              <w:bottom w:w="0" w:type="dxa"/>
              <w:right w:w="57" w:type="dxa"/>
            </w:tcMar>
            <w:vAlign w:val="center"/>
            <w:hideMark/>
          </w:tcPr>
          <w:p w14:paraId="2D595CFB" w14:textId="7DE6FFB2" w:rsidR="002A206E" w:rsidRPr="00ED0937" w:rsidRDefault="002A206E" w:rsidP="00011200">
            <w:pPr>
              <w:spacing w:before="0" w:after="0"/>
              <w:jc w:val="right"/>
              <w:rPr>
                <w:sz w:val="20"/>
              </w:rPr>
            </w:pPr>
            <w:r>
              <w:rPr>
                <w:sz w:val="20"/>
              </w:rPr>
              <w:t>5.</w:t>
            </w:r>
            <w:r w:rsidRPr="00ED0937">
              <w:rPr>
                <w:sz w:val="20"/>
              </w:rPr>
              <w:t>7</w:t>
            </w:r>
          </w:p>
        </w:tc>
        <w:tc>
          <w:tcPr>
            <w:tcW w:w="1871" w:type="dxa"/>
            <w:tcBorders>
              <w:top w:val="single" w:sz="8" w:space="0" w:color="FFFFFF"/>
              <w:left w:val="single" w:sz="4" w:space="0" w:color="auto"/>
              <w:bottom w:val="single" w:sz="8" w:space="0" w:color="FFFFFF"/>
            </w:tcBorders>
            <w:shd w:val="clear" w:color="auto" w:fill="DFE0E1"/>
            <w:tcMar>
              <w:top w:w="15" w:type="dxa"/>
              <w:left w:w="57" w:type="dxa"/>
              <w:bottom w:w="0" w:type="dxa"/>
              <w:right w:w="57" w:type="dxa"/>
            </w:tcMar>
            <w:vAlign w:val="center"/>
            <w:hideMark/>
          </w:tcPr>
          <w:p w14:paraId="5850E1BF" w14:textId="77777777" w:rsidR="002A206E" w:rsidRPr="00ED0937" w:rsidRDefault="002A206E" w:rsidP="00011200">
            <w:pPr>
              <w:spacing w:before="0" w:after="0"/>
              <w:jc w:val="right"/>
              <w:rPr>
                <w:sz w:val="20"/>
              </w:rPr>
            </w:pPr>
            <w:r w:rsidRPr="00ED0937">
              <w:rPr>
                <w:sz w:val="20"/>
              </w:rPr>
              <w:t xml:space="preserve">35 </w:t>
            </w:r>
          </w:p>
        </w:tc>
        <w:tc>
          <w:tcPr>
            <w:tcW w:w="1871" w:type="dxa"/>
            <w:shd w:val="clear" w:color="auto" w:fill="DFE0E1"/>
            <w:tcMar>
              <w:top w:w="15" w:type="dxa"/>
              <w:left w:w="57" w:type="dxa"/>
              <w:bottom w:w="0" w:type="dxa"/>
              <w:right w:w="57" w:type="dxa"/>
            </w:tcMar>
            <w:vAlign w:val="center"/>
            <w:hideMark/>
          </w:tcPr>
          <w:p w14:paraId="48C6C353" w14:textId="1199AE2C" w:rsidR="002A206E" w:rsidRPr="00ED0937" w:rsidRDefault="00814607" w:rsidP="002A206E">
            <w:pPr>
              <w:spacing w:before="0" w:after="0"/>
              <w:jc w:val="right"/>
              <w:rPr>
                <w:sz w:val="20"/>
              </w:rPr>
            </w:pPr>
            <w:r>
              <w:rPr>
                <w:sz w:val="20"/>
              </w:rPr>
              <w:t>2</w:t>
            </w:r>
            <w:r>
              <w:rPr>
                <w:rStyle w:val="FootnoteReference"/>
              </w:rPr>
              <w:footnoteReference w:id="23"/>
            </w:r>
          </w:p>
        </w:tc>
      </w:tr>
      <w:tr w:rsidR="002A206E" w:rsidRPr="00ED0937" w14:paraId="34D6998D" w14:textId="77777777" w:rsidTr="00D8711C">
        <w:trPr>
          <w:cantSplit/>
          <w:trHeight w:val="283"/>
          <w:jc w:val="center"/>
        </w:trPr>
        <w:tc>
          <w:tcPr>
            <w:tcW w:w="1565" w:type="dxa"/>
            <w:tcBorders>
              <w:right w:val="single" w:sz="4" w:space="0" w:color="auto"/>
            </w:tcBorders>
            <w:shd w:val="clear" w:color="auto" w:fill="2C384A"/>
            <w:tcMar>
              <w:top w:w="15" w:type="dxa"/>
              <w:left w:w="57" w:type="dxa"/>
              <w:bottom w:w="0" w:type="dxa"/>
              <w:right w:w="57" w:type="dxa"/>
            </w:tcMar>
            <w:vAlign w:val="center"/>
            <w:hideMark/>
          </w:tcPr>
          <w:p w14:paraId="11F110F3" w14:textId="33B3CB2E" w:rsidR="002A206E" w:rsidRPr="00ED0937" w:rsidRDefault="002A206E" w:rsidP="00011200">
            <w:pPr>
              <w:spacing w:before="0" w:after="0"/>
              <w:rPr>
                <w:sz w:val="20"/>
              </w:rPr>
            </w:pPr>
            <w:bookmarkStart w:id="17" w:name="_Hlk99013305"/>
            <w:r w:rsidRPr="007A31EB">
              <w:rPr>
                <w:b/>
                <w:sz w:val="20"/>
              </w:rPr>
              <w:t>2020-21</w:t>
            </w:r>
            <w:r w:rsidRPr="007A31EB">
              <w:rPr>
                <w:rStyle w:val="FootnoteReference"/>
                <w:b/>
              </w:rPr>
              <w:footnoteReference w:id="24"/>
            </w:r>
          </w:p>
        </w:tc>
        <w:tc>
          <w:tcPr>
            <w:tcW w:w="1871" w:type="dxa"/>
            <w:tcBorders>
              <w:top w:val="single" w:sz="8" w:space="0" w:color="FFFFFF"/>
              <w:left w:val="single" w:sz="4" w:space="0" w:color="auto"/>
              <w:bottom w:val="single" w:sz="8" w:space="0" w:color="FFFFFF"/>
            </w:tcBorders>
            <w:shd w:val="clear" w:color="auto" w:fill="F2F2F2"/>
            <w:tcMar>
              <w:top w:w="15" w:type="dxa"/>
              <w:left w:w="57" w:type="dxa"/>
              <w:bottom w:w="0" w:type="dxa"/>
              <w:right w:w="57" w:type="dxa"/>
            </w:tcMar>
            <w:vAlign w:val="center"/>
            <w:hideMark/>
          </w:tcPr>
          <w:p w14:paraId="6823FEFC" w14:textId="77777777" w:rsidR="002A206E" w:rsidRPr="00ED0937" w:rsidRDefault="002A206E" w:rsidP="00011200">
            <w:pPr>
              <w:spacing w:before="0" w:after="0"/>
              <w:jc w:val="right"/>
              <w:rPr>
                <w:sz w:val="20"/>
              </w:rPr>
            </w:pPr>
            <w:r w:rsidRPr="00ED0937">
              <w:rPr>
                <w:sz w:val="20"/>
              </w:rPr>
              <w:t>49</w:t>
            </w:r>
          </w:p>
        </w:tc>
        <w:tc>
          <w:tcPr>
            <w:tcW w:w="1871" w:type="dxa"/>
            <w:tcBorders>
              <w:right w:val="single" w:sz="4" w:space="0" w:color="auto"/>
            </w:tcBorders>
            <w:shd w:val="clear" w:color="auto" w:fill="F2F2F2"/>
            <w:tcMar>
              <w:top w:w="15" w:type="dxa"/>
              <w:left w:w="57" w:type="dxa"/>
              <w:bottom w:w="0" w:type="dxa"/>
              <w:right w:w="57" w:type="dxa"/>
            </w:tcMar>
            <w:vAlign w:val="center"/>
            <w:hideMark/>
          </w:tcPr>
          <w:p w14:paraId="47F9F90A" w14:textId="1D7F8E26" w:rsidR="002A206E" w:rsidRPr="00ED0937" w:rsidRDefault="002A206E" w:rsidP="00011200">
            <w:pPr>
              <w:spacing w:before="0" w:after="0"/>
              <w:jc w:val="right"/>
              <w:rPr>
                <w:sz w:val="20"/>
              </w:rPr>
            </w:pPr>
            <w:r>
              <w:rPr>
                <w:sz w:val="20"/>
              </w:rPr>
              <w:t>6.5</w:t>
            </w:r>
          </w:p>
        </w:tc>
        <w:tc>
          <w:tcPr>
            <w:tcW w:w="1871" w:type="dxa"/>
            <w:tcBorders>
              <w:top w:val="single" w:sz="8" w:space="0" w:color="FFFFFF"/>
              <w:left w:val="single" w:sz="4" w:space="0" w:color="auto"/>
              <w:bottom w:val="single" w:sz="8" w:space="0" w:color="FFFFFF"/>
            </w:tcBorders>
            <w:shd w:val="clear" w:color="auto" w:fill="F2F2F2"/>
            <w:tcMar>
              <w:top w:w="15" w:type="dxa"/>
              <w:left w:w="57" w:type="dxa"/>
              <w:bottom w:w="0" w:type="dxa"/>
              <w:right w:w="57" w:type="dxa"/>
            </w:tcMar>
            <w:vAlign w:val="center"/>
            <w:hideMark/>
          </w:tcPr>
          <w:p w14:paraId="5BD3D943" w14:textId="77777777" w:rsidR="002A206E" w:rsidRPr="00ED0937" w:rsidRDefault="002A206E" w:rsidP="00011200">
            <w:pPr>
              <w:spacing w:before="0" w:after="0"/>
              <w:jc w:val="right"/>
              <w:rPr>
                <w:sz w:val="20"/>
              </w:rPr>
            </w:pPr>
            <w:r w:rsidRPr="00ED0937">
              <w:rPr>
                <w:sz w:val="20"/>
              </w:rPr>
              <w:t>29</w:t>
            </w:r>
          </w:p>
        </w:tc>
        <w:tc>
          <w:tcPr>
            <w:tcW w:w="1871" w:type="dxa"/>
            <w:shd w:val="clear" w:color="auto" w:fill="F2F2F2"/>
            <w:tcMar>
              <w:top w:w="15" w:type="dxa"/>
              <w:left w:w="57" w:type="dxa"/>
              <w:bottom w:w="0" w:type="dxa"/>
              <w:right w:w="57" w:type="dxa"/>
            </w:tcMar>
            <w:vAlign w:val="center"/>
            <w:hideMark/>
          </w:tcPr>
          <w:p w14:paraId="6E6BB39E" w14:textId="39054AC7" w:rsidR="002A206E" w:rsidRPr="00ED0937" w:rsidRDefault="00814607" w:rsidP="00011200">
            <w:pPr>
              <w:spacing w:before="0" w:after="0"/>
              <w:jc w:val="right"/>
              <w:rPr>
                <w:sz w:val="20"/>
              </w:rPr>
            </w:pPr>
            <w:r>
              <w:rPr>
                <w:sz w:val="20"/>
              </w:rPr>
              <w:t>0</w:t>
            </w:r>
          </w:p>
        </w:tc>
      </w:tr>
      <w:tr w:rsidR="00D8711C" w:rsidRPr="00ED0937" w14:paraId="36FAF2B5" w14:textId="77777777" w:rsidTr="00D8711C">
        <w:trPr>
          <w:cantSplit/>
          <w:trHeight w:val="283"/>
          <w:jc w:val="center"/>
        </w:trPr>
        <w:tc>
          <w:tcPr>
            <w:tcW w:w="1565" w:type="dxa"/>
            <w:tcBorders>
              <w:right w:val="single" w:sz="4" w:space="0" w:color="auto"/>
            </w:tcBorders>
            <w:shd w:val="clear" w:color="auto" w:fill="2C384A"/>
            <w:tcMar>
              <w:top w:w="15" w:type="dxa"/>
              <w:left w:w="57" w:type="dxa"/>
              <w:bottom w:w="0" w:type="dxa"/>
              <w:right w:w="57" w:type="dxa"/>
            </w:tcMar>
            <w:vAlign w:val="center"/>
          </w:tcPr>
          <w:p w14:paraId="66638C48" w14:textId="3325A002" w:rsidR="00D8711C" w:rsidRPr="007A31EB" w:rsidRDefault="00D8711C" w:rsidP="00011200">
            <w:pPr>
              <w:spacing w:before="0" w:after="0"/>
              <w:rPr>
                <w:b/>
                <w:sz w:val="20"/>
              </w:rPr>
            </w:pPr>
            <w:r>
              <w:rPr>
                <w:b/>
                <w:sz w:val="20"/>
              </w:rPr>
              <w:t>2021-22</w:t>
            </w:r>
            <w:r>
              <w:rPr>
                <w:rStyle w:val="FootnoteReference"/>
                <w:b/>
              </w:rPr>
              <w:footnoteReference w:id="25"/>
            </w:r>
          </w:p>
        </w:tc>
        <w:tc>
          <w:tcPr>
            <w:tcW w:w="1871" w:type="dxa"/>
            <w:tcBorders>
              <w:top w:val="single" w:sz="8" w:space="0" w:color="FFFFFF"/>
              <w:left w:val="single" w:sz="4" w:space="0" w:color="auto"/>
              <w:bottom w:val="single" w:sz="4" w:space="0" w:color="002C47" w:themeColor="accent1"/>
            </w:tcBorders>
            <w:shd w:val="clear" w:color="auto" w:fill="DFE0E1"/>
            <w:tcMar>
              <w:top w:w="15" w:type="dxa"/>
              <w:left w:w="57" w:type="dxa"/>
              <w:bottom w:w="0" w:type="dxa"/>
              <w:right w:w="57" w:type="dxa"/>
            </w:tcMar>
            <w:vAlign w:val="center"/>
          </w:tcPr>
          <w:p w14:paraId="14099FD8" w14:textId="2D407EF9" w:rsidR="00D8711C" w:rsidRPr="00ED0937" w:rsidRDefault="00D8711C" w:rsidP="00011200">
            <w:pPr>
              <w:spacing w:before="0" w:after="0"/>
              <w:jc w:val="right"/>
              <w:rPr>
                <w:sz w:val="20"/>
              </w:rPr>
            </w:pPr>
            <w:r>
              <w:rPr>
                <w:sz w:val="20"/>
              </w:rPr>
              <w:t>50</w:t>
            </w:r>
          </w:p>
        </w:tc>
        <w:tc>
          <w:tcPr>
            <w:tcW w:w="1871" w:type="dxa"/>
            <w:tcBorders>
              <w:right w:val="single" w:sz="4" w:space="0" w:color="auto"/>
            </w:tcBorders>
            <w:shd w:val="clear" w:color="auto" w:fill="DFE0E1"/>
            <w:tcMar>
              <w:top w:w="15" w:type="dxa"/>
              <w:left w:w="57" w:type="dxa"/>
              <w:bottom w:w="0" w:type="dxa"/>
              <w:right w:w="57" w:type="dxa"/>
            </w:tcMar>
            <w:vAlign w:val="center"/>
          </w:tcPr>
          <w:p w14:paraId="5045D458" w14:textId="7D91F47F" w:rsidR="00D8711C" w:rsidRDefault="00D8711C" w:rsidP="00011200">
            <w:pPr>
              <w:spacing w:before="0" w:after="0"/>
              <w:jc w:val="right"/>
              <w:rPr>
                <w:sz w:val="20"/>
              </w:rPr>
            </w:pPr>
            <w:r>
              <w:rPr>
                <w:sz w:val="20"/>
              </w:rPr>
              <w:t>7.6</w:t>
            </w:r>
          </w:p>
        </w:tc>
        <w:tc>
          <w:tcPr>
            <w:tcW w:w="1871" w:type="dxa"/>
            <w:tcBorders>
              <w:top w:val="single" w:sz="8" w:space="0" w:color="FFFFFF"/>
              <w:left w:val="single" w:sz="4" w:space="0" w:color="auto"/>
              <w:bottom w:val="single" w:sz="4" w:space="0" w:color="002C47" w:themeColor="accent1"/>
            </w:tcBorders>
            <w:shd w:val="clear" w:color="auto" w:fill="DFE0E1"/>
            <w:tcMar>
              <w:top w:w="15" w:type="dxa"/>
              <w:left w:w="57" w:type="dxa"/>
              <w:bottom w:w="0" w:type="dxa"/>
              <w:right w:w="57" w:type="dxa"/>
            </w:tcMar>
            <w:vAlign w:val="center"/>
          </w:tcPr>
          <w:p w14:paraId="21F01A9F" w14:textId="021E362D" w:rsidR="00D8711C" w:rsidRPr="00ED0937" w:rsidRDefault="00D8711C" w:rsidP="00011200">
            <w:pPr>
              <w:spacing w:before="0" w:after="0"/>
              <w:jc w:val="right"/>
              <w:rPr>
                <w:sz w:val="20"/>
              </w:rPr>
            </w:pPr>
            <w:r>
              <w:rPr>
                <w:sz w:val="20"/>
              </w:rPr>
              <w:t>23</w:t>
            </w:r>
          </w:p>
        </w:tc>
        <w:tc>
          <w:tcPr>
            <w:tcW w:w="1871" w:type="dxa"/>
            <w:shd w:val="clear" w:color="auto" w:fill="DFE0E1"/>
            <w:tcMar>
              <w:top w:w="15" w:type="dxa"/>
              <w:left w:w="57" w:type="dxa"/>
              <w:bottom w:w="0" w:type="dxa"/>
              <w:right w:w="57" w:type="dxa"/>
            </w:tcMar>
            <w:vAlign w:val="center"/>
          </w:tcPr>
          <w:p w14:paraId="133A19C2" w14:textId="2A1528EA" w:rsidR="00D8711C" w:rsidRDefault="002B64C8" w:rsidP="00011200">
            <w:pPr>
              <w:spacing w:before="0" w:after="0"/>
              <w:jc w:val="right"/>
              <w:rPr>
                <w:sz w:val="20"/>
              </w:rPr>
            </w:pPr>
            <w:r>
              <w:rPr>
                <w:sz w:val="20"/>
              </w:rPr>
              <w:t>9</w:t>
            </w:r>
          </w:p>
        </w:tc>
      </w:tr>
    </w:tbl>
    <w:bookmarkEnd w:id="17"/>
    <w:p w14:paraId="32089D3C" w14:textId="159E3244" w:rsidR="00345363" w:rsidRDefault="00345363" w:rsidP="00345363">
      <w:pPr>
        <w:pStyle w:val="ChartorTableNote"/>
      </w:pPr>
      <w:r>
        <w:t xml:space="preserve">Full details </w:t>
      </w:r>
      <w:r w:rsidR="00BB70A0">
        <w:t>(</w:t>
      </w:r>
      <w:r>
        <w:t>including</w:t>
      </w:r>
      <w:r w:rsidR="00BB70A0">
        <w:t xml:space="preserve"> whether</w:t>
      </w:r>
      <w:r w:rsidR="00DC6A46">
        <w:t>:</w:t>
      </w:r>
      <w:r w:rsidR="00BB70A0">
        <w:t xml:space="preserve"> proceedings were conducted, declarations of unacceptable circumstances </w:t>
      </w:r>
      <w:r w:rsidR="00DC6A46">
        <w:t xml:space="preserve">were made, </w:t>
      </w:r>
      <w:r w:rsidR="00BB70A0">
        <w:t xml:space="preserve">orders were made, </w:t>
      </w:r>
      <w:r w:rsidR="00176D21">
        <w:t>and/</w:t>
      </w:r>
      <w:r w:rsidR="00DC6A46">
        <w:t xml:space="preserve">or </w:t>
      </w:r>
      <w:r w:rsidR="00BB70A0">
        <w:t>undertakings were accepted)</w:t>
      </w:r>
      <w:r>
        <w:t xml:space="preserve"> are available in Table 3 of </w:t>
      </w:r>
      <w:r w:rsidR="00BB70A0">
        <w:t xml:space="preserve">each of </w:t>
      </w:r>
      <w:r>
        <w:t xml:space="preserve">the </w:t>
      </w:r>
      <w:r w:rsidR="00BB70A0">
        <w:t>Panel’s</w:t>
      </w:r>
      <w:r>
        <w:t xml:space="preserve"> annual report</w:t>
      </w:r>
      <w:r w:rsidR="00BB70A0">
        <w:t>s</w:t>
      </w:r>
      <w:r>
        <w:t>.</w:t>
      </w:r>
    </w:p>
    <w:p w14:paraId="1785CC1F" w14:textId="77777777" w:rsidR="00162ADA" w:rsidRDefault="00162ADA" w:rsidP="00162ADA">
      <w:pPr>
        <w:pStyle w:val="Heading3"/>
      </w:pPr>
      <w:bookmarkStart w:id="18" w:name="_Toc99619841"/>
      <w:r>
        <w:lastRenderedPageBreak/>
        <w:t>Schemes of arrangement and the role of the Court</w:t>
      </w:r>
      <w:bookmarkEnd w:id="18"/>
    </w:p>
    <w:p w14:paraId="5C30C42D" w14:textId="533B26FF" w:rsidR="0047499C" w:rsidRPr="0047499C" w:rsidRDefault="00162ADA" w:rsidP="00162ADA">
      <w:pPr>
        <w:pStyle w:val="Heading4"/>
      </w:pPr>
      <w:bookmarkStart w:id="19" w:name="_Hlk96073549"/>
      <w:bookmarkEnd w:id="10"/>
      <w:bookmarkEnd w:id="11"/>
      <w:r>
        <w:t>C</w:t>
      </w:r>
      <w:r w:rsidR="0009037B" w:rsidRPr="00162ADA">
        <w:t>urrent</w:t>
      </w:r>
      <w:r w:rsidR="0009037B">
        <w:t xml:space="preserve"> jurisdiction</w:t>
      </w:r>
      <w:r w:rsidR="009616AF">
        <w:t>,</w:t>
      </w:r>
      <w:r w:rsidR="0009037B">
        <w:t xml:space="preserve"> s</w:t>
      </w:r>
      <w:r w:rsidR="00404C50">
        <w:t>cope</w:t>
      </w:r>
      <w:r w:rsidR="00324B36">
        <w:t>, and use</w:t>
      </w:r>
      <w:r w:rsidR="00404C50">
        <w:t xml:space="preserve"> </w:t>
      </w:r>
      <w:r w:rsidR="00F565D7">
        <w:t xml:space="preserve">for both </w:t>
      </w:r>
      <w:r w:rsidR="00404C50">
        <w:t>control and non-control transactions</w:t>
      </w:r>
    </w:p>
    <w:p w14:paraId="728CA3EF" w14:textId="32A78234" w:rsidR="0047499C" w:rsidRDefault="002306C6" w:rsidP="009D005E">
      <w:pPr>
        <w:pStyle w:val="Bullet"/>
        <w:numPr>
          <w:ilvl w:val="0"/>
          <w:numId w:val="0"/>
        </w:numPr>
      </w:pPr>
      <w:bookmarkStart w:id="20" w:name="_Hlk96073230"/>
      <w:r w:rsidRPr="002306C6">
        <w:t>Members</w:t>
      </w:r>
      <w:r w:rsidR="0009037B">
        <w:t>’</w:t>
      </w:r>
      <w:r w:rsidRPr="002306C6">
        <w:t xml:space="preserve"> schemes of arrangement are a mechanism for achieving a binding arrangement with shareholders on structural change within a company or a corporate group. They are used to achieve changes in capital structure,</w:t>
      </w:r>
      <w:r w:rsidR="00324B36">
        <w:t xml:space="preserve"> to</w:t>
      </w:r>
      <w:r w:rsidRPr="002306C6">
        <w:t xml:space="preserve"> the rights of members</w:t>
      </w:r>
      <w:r w:rsidR="00DF15BE">
        <w:t>,</w:t>
      </w:r>
      <w:r w:rsidRPr="002306C6">
        <w:t xml:space="preserve"> and/or </w:t>
      </w:r>
      <w:r w:rsidR="00324B36">
        <w:t xml:space="preserve">to </w:t>
      </w:r>
      <w:r w:rsidRPr="002306C6">
        <w:t>the relationship between corporate entities. In particular</w:t>
      </w:r>
      <w:r w:rsidR="00324B36">
        <w:t>,</w:t>
      </w:r>
      <w:r w:rsidRPr="002306C6">
        <w:t xml:space="preserve"> they are often used to </w:t>
      </w:r>
      <w:r w:rsidR="00EE1D46">
        <w:t>e</w:t>
      </w:r>
      <w:r w:rsidRPr="002306C6">
        <w:t>ffect changes of corporate control, in non-hostile circumstances.</w:t>
      </w:r>
    </w:p>
    <w:p w14:paraId="19BF8CE6" w14:textId="7DF67453" w:rsidR="00B71981" w:rsidRPr="000A3FB6" w:rsidRDefault="004119A7" w:rsidP="009D005E">
      <w:pPr>
        <w:pStyle w:val="Bullet"/>
        <w:numPr>
          <w:ilvl w:val="0"/>
          <w:numId w:val="0"/>
        </w:numPr>
        <w:rPr>
          <w:highlight w:val="yellow"/>
        </w:rPr>
      </w:pPr>
      <w:r>
        <w:t>C</w:t>
      </w:r>
      <w:r w:rsidR="00B71981">
        <w:t>reditors</w:t>
      </w:r>
      <w:r w:rsidR="000A3FB6">
        <w:t>’</w:t>
      </w:r>
      <w:r w:rsidR="00B71981">
        <w:t xml:space="preserve"> schemes of arrangement also rely on the </w:t>
      </w:r>
      <w:r w:rsidR="0074497C">
        <w:t>S</w:t>
      </w:r>
      <w:r w:rsidR="00B71981">
        <w:t>cheme</w:t>
      </w:r>
      <w:r w:rsidR="000373FC">
        <w:t>s</w:t>
      </w:r>
      <w:r w:rsidR="00EC79E5">
        <w:t xml:space="preserve"> of </w:t>
      </w:r>
      <w:r w:rsidR="00C62291">
        <w:t>A</w:t>
      </w:r>
      <w:r w:rsidR="00EC79E5">
        <w:t>rrangement</w:t>
      </w:r>
      <w:r w:rsidR="00B71981">
        <w:t xml:space="preserve"> Rules in Chapter 5 but are undertaken for a different purpose and are assessed by the Court in </w:t>
      </w:r>
      <w:r w:rsidR="000373FC">
        <w:t xml:space="preserve">a </w:t>
      </w:r>
      <w:r w:rsidR="00B71981">
        <w:t>different way to members</w:t>
      </w:r>
      <w:r w:rsidR="00907C1E">
        <w:t>’</w:t>
      </w:r>
      <w:r w:rsidR="00B71981">
        <w:t xml:space="preserve"> scheme</w:t>
      </w:r>
      <w:r w:rsidR="00EC79E5">
        <w:t>s of arrangement</w:t>
      </w:r>
      <w:r w:rsidR="00B71981">
        <w:t>. Further, members</w:t>
      </w:r>
      <w:r w:rsidR="00907C1E">
        <w:t>’</w:t>
      </w:r>
      <w:r w:rsidR="00B71981">
        <w:t xml:space="preserve"> schemes</w:t>
      </w:r>
      <w:r w:rsidR="00EC79E5">
        <w:t xml:space="preserve"> of arrangement</w:t>
      </w:r>
      <w:r w:rsidR="00B71981">
        <w:t xml:space="preserve"> can be used for purposes other than </w:t>
      </w:r>
      <w:r w:rsidR="009D43CF">
        <w:t>control transactions</w:t>
      </w:r>
      <w:r w:rsidR="003C074C">
        <w:t>, such as for (for example)</w:t>
      </w:r>
      <w:r w:rsidR="00B71981">
        <w:t xml:space="preserve"> </w:t>
      </w:r>
      <w:r w:rsidR="002A2297" w:rsidRPr="002A2297">
        <w:t>demutualisation</w:t>
      </w:r>
      <w:r w:rsidR="00B71981">
        <w:t>, de-amalgamations</w:t>
      </w:r>
      <w:r w:rsidR="003C074C">
        <w:t xml:space="preserve"> and reorganising </w:t>
      </w:r>
      <w:r w:rsidR="00B71981">
        <w:t>capital structures</w:t>
      </w:r>
      <w:r w:rsidR="00BE1BE0">
        <w:t xml:space="preserve">, </w:t>
      </w:r>
      <w:r w:rsidR="00B71981">
        <w:t xml:space="preserve">or </w:t>
      </w:r>
      <w:r w:rsidR="00BE1BE0">
        <w:t xml:space="preserve">a </w:t>
      </w:r>
      <w:r w:rsidR="00B71981" w:rsidRPr="000A3FB6">
        <w:t>combination</w:t>
      </w:r>
      <w:r w:rsidR="00B71981">
        <w:t xml:space="preserve"> of purposes. </w:t>
      </w:r>
    </w:p>
    <w:p w14:paraId="40E0C6CE" w14:textId="76CA5637" w:rsidR="00B71981" w:rsidRPr="0047499C" w:rsidRDefault="00B71981" w:rsidP="009D005E">
      <w:pPr>
        <w:pStyle w:val="Bullet"/>
        <w:numPr>
          <w:ilvl w:val="0"/>
          <w:numId w:val="0"/>
        </w:numPr>
      </w:pPr>
      <w:r>
        <w:t xml:space="preserve">Any </w:t>
      </w:r>
      <w:r w:rsidR="007027A3">
        <w:t>options to expand</w:t>
      </w:r>
      <w:r w:rsidR="003C074C">
        <w:t xml:space="preserve"> the remit of the Takeovers Panel in respect of schemes of arrangement</w:t>
      </w:r>
      <w:r>
        <w:t xml:space="preserve"> will need to consider the impacts on these other forms and purposes of schemes. </w:t>
      </w:r>
    </w:p>
    <w:bookmarkEnd w:id="20"/>
    <w:p w14:paraId="73AF3EA2" w14:textId="47A974E4" w:rsidR="008361B4" w:rsidRDefault="00404C50" w:rsidP="00162ADA">
      <w:pPr>
        <w:pStyle w:val="Heading4"/>
      </w:pPr>
      <w:r>
        <w:t>Scheme of arrangement process</w:t>
      </w:r>
    </w:p>
    <w:p w14:paraId="0C91ED18" w14:textId="0B2B0CC7" w:rsidR="002F7C57" w:rsidRDefault="004B5CDE" w:rsidP="002F7C57">
      <w:r>
        <w:t>U</w:t>
      </w:r>
      <w:r w:rsidR="003C074C" w:rsidRPr="00FC1846">
        <w:t xml:space="preserve">nder current law all schemes of arrangement, including those used to </w:t>
      </w:r>
      <w:r w:rsidR="00CE7964" w:rsidRPr="00160509">
        <w:t>effect</w:t>
      </w:r>
      <w:r w:rsidR="00CE7964" w:rsidRPr="00FC1846">
        <w:t xml:space="preserve"> </w:t>
      </w:r>
      <w:r w:rsidR="003C074C" w:rsidRPr="00FC1846">
        <w:t xml:space="preserve">a </w:t>
      </w:r>
      <w:r w:rsidR="009D43CF">
        <w:t>change of control</w:t>
      </w:r>
      <w:r w:rsidR="003C074C" w:rsidRPr="00FC1846">
        <w:t xml:space="preserve">, </w:t>
      </w:r>
      <w:r>
        <w:t>are administered and ultimately</w:t>
      </w:r>
      <w:r w:rsidR="003C074C" w:rsidRPr="00FC1846">
        <w:t xml:space="preserve"> approved by the </w:t>
      </w:r>
      <w:r w:rsidR="007D7001">
        <w:t>Court</w:t>
      </w:r>
      <w:r w:rsidR="003C074C" w:rsidRPr="00FC1846">
        <w:t>s.</w:t>
      </w:r>
    </w:p>
    <w:p w14:paraId="4C20506D" w14:textId="52662261" w:rsidR="00F01C71" w:rsidRDefault="002F7C57" w:rsidP="002F7C57">
      <w:r>
        <w:t xml:space="preserve">Before a scheme is proposed, the </w:t>
      </w:r>
      <w:r w:rsidR="003C074C" w:rsidRPr="00611FF6">
        <w:t>target</w:t>
      </w:r>
      <w:r w:rsidR="003C074C">
        <w:t xml:space="preserve"> </w:t>
      </w:r>
      <w:r>
        <w:t xml:space="preserve">company </w:t>
      </w:r>
      <w:r w:rsidR="00611FF6">
        <w:t>prepares</w:t>
      </w:r>
      <w:r>
        <w:t xml:space="preserve"> an explanatory statement</w:t>
      </w:r>
      <w:r w:rsidR="00785ECE">
        <w:t xml:space="preserve"> (known as a scheme booklet)</w:t>
      </w:r>
      <w:r>
        <w:t xml:space="preserve"> that sets out the effect of the proposed scheme</w:t>
      </w:r>
      <w:r w:rsidR="00611FF6">
        <w:t xml:space="preserve">, including any </w:t>
      </w:r>
      <w:r>
        <w:t>information that is material to deci</w:t>
      </w:r>
      <w:r w:rsidR="00F75947">
        <w:t>ding</w:t>
      </w:r>
      <w:r>
        <w:t xml:space="preserve"> whether to agree to the proposed scheme.</w:t>
      </w:r>
      <w:r w:rsidR="00785ECE">
        <w:t xml:space="preserve"> Along with the scheme booklet, the target company </w:t>
      </w:r>
      <w:r w:rsidR="00454F2E">
        <w:t>engages an independent expert to provide a</w:t>
      </w:r>
      <w:r w:rsidR="00F75947">
        <w:t>n opinion on</w:t>
      </w:r>
      <w:r w:rsidR="00454F2E" w:rsidRPr="00454F2E">
        <w:t xml:space="preserve"> whether the proposed scheme is in the best interests of the target company's shareholders</w:t>
      </w:r>
      <w:r w:rsidR="00454F2E">
        <w:t>.</w:t>
      </w:r>
      <w:r w:rsidR="0084518F">
        <w:t xml:space="preserve"> </w:t>
      </w:r>
      <w:r w:rsidR="00F75947">
        <w:t>T</w:t>
      </w:r>
      <w:r w:rsidR="0084518F">
        <w:t xml:space="preserve">he company </w:t>
      </w:r>
      <w:r w:rsidR="000116B6">
        <w:t>must consider</w:t>
      </w:r>
      <w:r w:rsidR="0084518F">
        <w:t xml:space="preserve"> whether they should request any exemptions or modifications from the </w:t>
      </w:r>
      <w:r w:rsidR="00EE6917">
        <w:t>S</w:t>
      </w:r>
      <w:r w:rsidR="00F75947">
        <w:t xml:space="preserve">cheme of </w:t>
      </w:r>
      <w:r w:rsidR="00EE6917">
        <w:t>A</w:t>
      </w:r>
      <w:r w:rsidR="00F75947">
        <w:t xml:space="preserve">rrangement </w:t>
      </w:r>
      <w:r w:rsidR="00EE6917">
        <w:t>R</w:t>
      </w:r>
      <w:r w:rsidR="0084518F">
        <w:t>ules</w:t>
      </w:r>
      <w:r w:rsidR="000116B6">
        <w:t xml:space="preserve">. </w:t>
      </w:r>
    </w:p>
    <w:p w14:paraId="712D706C" w14:textId="2580CBDB" w:rsidR="002F7C57" w:rsidRDefault="002F7C57" w:rsidP="002F7C57">
      <w:r>
        <w:t>In broad terms, once a scheme is proposed the process comprises three stages.</w:t>
      </w:r>
    </w:p>
    <w:p w14:paraId="52FA4666" w14:textId="63A85D7F" w:rsidR="002F7C57" w:rsidRDefault="002F7C57" w:rsidP="002F7C57">
      <w:pPr>
        <w:pStyle w:val="Bullet"/>
        <w:numPr>
          <w:ilvl w:val="0"/>
          <w:numId w:val="0"/>
        </w:numPr>
      </w:pPr>
      <w:r w:rsidRPr="00FC1846">
        <w:t xml:space="preserve">The first stage involves a first </w:t>
      </w:r>
      <w:r w:rsidR="00851E34">
        <w:t>c</w:t>
      </w:r>
      <w:r w:rsidR="00851E34" w:rsidRPr="00FC1846">
        <w:t xml:space="preserve">ourt </w:t>
      </w:r>
      <w:r w:rsidRPr="00FC1846">
        <w:t>hearing</w:t>
      </w:r>
      <w:r w:rsidR="002714BA">
        <w:t>,</w:t>
      </w:r>
      <w:r w:rsidRPr="00FC1846">
        <w:t xml:space="preserve"> at which the Court determines whether to make an order convening a meeting or meetings of the company’s members</w:t>
      </w:r>
      <w:r w:rsidR="00D02A23" w:rsidRPr="00FC1846">
        <w:t xml:space="preserve"> and will make orders for the dispatch of the scheme documentation</w:t>
      </w:r>
      <w:r w:rsidRPr="00FC1846">
        <w:t>. At the first hearing</w:t>
      </w:r>
      <w:r w:rsidR="00B32A1A" w:rsidRPr="00FC1846">
        <w:t>,</w:t>
      </w:r>
      <w:r w:rsidRPr="00FC1846">
        <w:t xml:space="preserve"> the Court reviews disclosures against the ‘material information’ standard, with input from ASIC according to its regulatory priorities. As part of the review of documentation, Courts can impose alterations or conditions of the disclosures before documents are sent to members. ASIC is also able to waive certain disclosure requirements. </w:t>
      </w:r>
      <w:r w:rsidR="00DD20F7">
        <w:t>While</w:t>
      </w:r>
      <w:r w:rsidR="00F9489D">
        <w:t xml:space="preserve"> these waivers are reviewable by the </w:t>
      </w:r>
      <w:r w:rsidR="002A3A0F">
        <w:t>Administrative Appeals Tribunal</w:t>
      </w:r>
      <w:r w:rsidR="00F9489D">
        <w:t xml:space="preserve">, </w:t>
      </w:r>
      <w:r w:rsidR="00DD20F7">
        <w:t>this is rare</w:t>
      </w:r>
      <w:r w:rsidR="00F9489D">
        <w:t xml:space="preserve"> in practice</w:t>
      </w:r>
      <w:r w:rsidR="00DD20F7">
        <w:t>. W</w:t>
      </w:r>
      <w:r w:rsidRPr="00FC1846">
        <w:t>aivers are not reviewable by the Takeovers Panel.</w:t>
      </w:r>
      <w:r w:rsidR="00F9489D">
        <w:t xml:space="preserve"> </w:t>
      </w:r>
    </w:p>
    <w:p w14:paraId="3476B9A5" w14:textId="1D8B63D7" w:rsidR="00CD3B11" w:rsidRDefault="00CD3B11" w:rsidP="00FC1846">
      <w:r>
        <w:t>It is incumbent on the target company to provide the necessary documents to its own shareholders. While not</w:t>
      </w:r>
      <w:r w:rsidR="00AA5FB6">
        <w:t xml:space="preserve"> required by law</w:t>
      </w:r>
      <w:r>
        <w:t xml:space="preserve">, </w:t>
      </w:r>
      <w:r w:rsidR="007D7001">
        <w:t>Court</w:t>
      </w:r>
      <w:r>
        <w:t>s typically require disclosure documents and notice of meetings in line within statutory deadlines – for example, to have sent documents 28 days prior to the meeting for a listed company.</w:t>
      </w:r>
    </w:p>
    <w:p w14:paraId="666B8FFE" w14:textId="4B1157E6" w:rsidR="002F7C57" w:rsidRDefault="00F75947" w:rsidP="002F7C57">
      <w:pPr>
        <w:pStyle w:val="Bullet"/>
        <w:numPr>
          <w:ilvl w:val="0"/>
          <w:numId w:val="0"/>
        </w:numPr>
      </w:pPr>
      <w:r>
        <w:t>I</w:t>
      </w:r>
      <w:r w:rsidR="002F7C57">
        <w:t xml:space="preserve">n requiring the meeting to be called, </w:t>
      </w:r>
      <w:r w:rsidR="007D7001">
        <w:t>Court</w:t>
      </w:r>
      <w:r w:rsidR="002F7C57">
        <w:t xml:space="preserve">s have a wide range of powers to attach conditions to the meeting or to have the meeting proceed in a way best suited to protect member interests. Courts will normally make practical orders designed to increase the awareness of such a meeting, such as requiring the target company to publicise the meeting in newspapers, online or </w:t>
      </w:r>
      <w:r w:rsidR="005625F1">
        <w:t xml:space="preserve">through </w:t>
      </w:r>
      <w:r w:rsidR="002F7C57">
        <w:t xml:space="preserve">other appropriate media depending on the case and shareholders </w:t>
      </w:r>
      <w:r w:rsidR="001D1AD1">
        <w:t>e</w:t>
      </w:r>
      <w:r w:rsidR="002F7C57">
        <w:t>ffected.</w:t>
      </w:r>
    </w:p>
    <w:p w14:paraId="477FF46A" w14:textId="50AFE991" w:rsidR="002F7C57" w:rsidRDefault="002F7C57" w:rsidP="002F7C57">
      <w:pPr>
        <w:pStyle w:val="Bullet"/>
        <w:numPr>
          <w:ilvl w:val="0"/>
          <w:numId w:val="0"/>
        </w:numPr>
      </w:pPr>
      <w:r>
        <w:t xml:space="preserve">If the Court orders that the meeting or meetings be convened, the second stage of the process is the meeting or meetings at which the members vote on the proposed scheme. For a scheme to be </w:t>
      </w:r>
      <w:r>
        <w:lastRenderedPageBreak/>
        <w:t>approved, it must be agreed to by: (</w:t>
      </w:r>
      <w:proofErr w:type="spellStart"/>
      <w:r w:rsidR="00D7514E">
        <w:t>i</w:t>
      </w:r>
      <w:proofErr w:type="spellEnd"/>
      <w:r>
        <w:t>) a majority in number of the members present and voting,</w:t>
      </w:r>
      <w:r w:rsidR="00EE6917">
        <w:rPr>
          <w:rStyle w:val="FootnoteReference"/>
        </w:rPr>
        <w:footnoteReference w:id="26"/>
      </w:r>
      <w:r>
        <w:t xml:space="preserve"> and (</w:t>
      </w:r>
      <w:r w:rsidR="00D7514E">
        <w:t>ii</w:t>
      </w:r>
      <w:r>
        <w:t>) 75% of the votes cast by value.</w:t>
      </w:r>
      <w:r w:rsidR="00C84DB5">
        <w:rPr>
          <w:rStyle w:val="FootnoteReference"/>
        </w:rPr>
        <w:footnoteReference w:id="27"/>
      </w:r>
      <w:r>
        <w:t xml:space="preserve"> </w:t>
      </w:r>
    </w:p>
    <w:p w14:paraId="25576F16" w14:textId="77777777" w:rsidR="00EE6917" w:rsidRDefault="00EE6917" w:rsidP="00EE6917">
      <w:pPr>
        <w:pStyle w:val="Bullet"/>
        <w:numPr>
          <w:ilvl w:val="0"/>
          <w:numId w:val="0"/>
        </w:numPr>
      </w:pPr>
      <w:r>
        <w:t>The Court has the power to make orders facilitating a scheme (including in relation to incidental, consequential and supplemental matters). For example, the Court can make orders concerning the transfer of assets or liabilities.</w:t>
      </w:r>
      <w:r>
        <w:rPr>
          <w:rStyle w:val="FootnoteReference"/>
        </w:rPr>
        <w:footnoteReference w:id="28"/>
      </w:r>
    </w:p>
    <w:p w14:paraId="76D3D6E4" w14:textId="5B4B9644" w:rsidR="002F7C57" w:rsidRDefault="002F7C57" w:rsidP="00631466">
      <w:pPr>
        <w:pStyle w:val="Bullet"/>
        <w:numPr>
          <w:ilvl w:val="0"/>
          <w:numId w:val="0"/>
        </w:numPr>
      </w:pPr>
      <w:r>
        <w:t xml:space="preserve">If the members resolve to approve the scheme, the final stage of the process involves a second </w:t>
      </w:r>
      <w:r w:rsidR="00851E34">
        <w:t xml:space="preserve">court </w:t>
      </w:r>
      <w:r>
        <w:t xml:space="preserve">hearing at which the Court will consider whether to sanction the scheme. </w:t>
      </w:r>
      <w:r w:rsidRPr="00FC1846">
        <w:t>In its determination, the Court considers whether the scheme is fair and reasonable, among other considerations.</w:t>
      </w:r>
      <w:r w:rsidR="0090512D" w:rsidRPr="0090512D">
        <w:t xml:space="preserve"> </w:t>
      </w:r>
      <w:r>
        <w:t>If the scheme is sanctioned by the Court, it will be binding on the members of the company.</w:t>
      </w:r>
    </w:p>
    <w:p w14:paraId="35813B68" w14:textId="55C48D0C" w:rsidR="003C074C" w:rsidRPr="00FC1846" w:rsidRDefault="00FC1846" w:rsidP="003C074C">
      <w:pPr>
        <w:pStyle w:val="Bullet"/>
        <w:numPr>
          <w:ilvl w:val="0"/>
          <w:numId w:val="0"/>
        </w:numPr>
      </w:pPr>
      <w:r w:rsidRPr="00FC1846">
        <w:t>The</w:t>
      </w:r>
      <w:r w:rsidR="003C074C" w:rsidRPr="00FC1846">
        <w:t xml:space="preserve"> </w:t>
      </w:r>
      <w:r w:rsidR="007D7001">
        <w:t>Court</w:t>
      </w:r>
      <w:r w:rsidR="003C074C" w:rsidRPr="00FC1846">
        <w:t xml:space="preserve"> hearings provide a forum for resolving disputes about the conduct of a takeover effected by a scheme of arrangement. </w:t>
      </w:r>
    </w:p>
    <w:p w14:paraId="08D2AFAE" w14:textId="44B9C85A" w:rsidR="00516EDD" w:rsidRDefault="003C074C" w:rsidP="003C074C">
      <w:pPr>
        <w:pStyle w:val="Bullet"/>
        <w:numPr>
          <w:ilvl w:val="0"/>
          <w:numId w:val="0"/>
        </w:numPr>
      </w:pPr>
      <w:r w:rsidRPr="00FC1846">
        <w:t xml:space="preserve">The Takeovers Panel may also consider disputes in respect of schemes of arrangement. In practice, the Takeovers Panel is </w:t>
      </w:r>
      <w:r w:rsidR="005625F1" w:rsidRPr="00FC1846">
        <w:t>mindful</w:t>
      </w:r>
      <w:r w:rsidRPr="00FC1846">
        <w:t xml:space="preserve"> of </w:t>
      </w:r>
      <w:r w:rsidR="005625F1">
        <w:t>interactions</w:t>
      </w:r>
      <w:r w:rsidRPr="00FC1846">
        <w:t xml:space="preserve"> where applications to it overlap, or interact with, schemes of arrangement which are being supervised by the </w:t>
      </w:r>
      <w:r w:rsidR="007D7001">
        <w:t>Court</w:t>
      </w:r>
      <w:r w:rsidRPr="00FC1846">
        <w:t>s. The Takeovers Panel tend not to conduct proceedings directly concerning schemes of arrangement where the issue has already been taken up by the Court.</w:t>
      </w:r>
      <w:r w:rsidRPr="00EE6917">
        <w:rPr>
          <w:rStyle w:val="FootnoteReference"/>
        </w:rPr>
        <w:t xml:space="preserve"> </w:t>
      </w:r>
      <w:r w:rsidR="00EE6917">
        <w:rPr>
          <w:rStyle w:val="FootnoteReference"/>
        </w:rPr>
        <w:footnoteReference w:id="29"/>
      </w:r>
      <w:r w:rsidR="00EE6917">
        <w:t xml:space="preserve"> </w:t>
      </w:r>
      <w:r w:rsidRPr="00FC1846">
        <w:t xml:space="preserve"> </w:t>
      </w:r>
    </w:p>
    <w:p w14:paraId="562E20C4" w14:textId="739C50BB" w:rsidR="008957FA" w:rsidRPr="00FC1846" w:rsidRDefault="003C074C" w:rsidP="003C074C">
      <w:pPr>
        <w:pStyle w:val="Bullet"/>
        <w:numPr>
          <w:ilvl w:val="0"/>
          <w:numId w:val="0"/>
        </w:numPr>
      </w:pPr>
      <w:r w:rsidRPr="00FC1846">
        <w:t xml:space="preserve">However, the </w:t>
      </w:r>
      <w:r w:rsidR="00353D88">
        <w:t>Takeovers</w:t>
      </w:r>
      <w:r w:rsidRPr="00FC1846">
        <w:t xml:space="preserve"> Panel may consider </w:t>
      </w:r>
      <w:r w:rsidR="00516EDD">
        <w:t>an application</w:t>
      </w:r>
      <w:r w:rsidR="00E32EFC">
        <w:t xml:space="preserve"> when the </w:t>
      </w:r>
      <w:r w:rsidRPr="00FC1846">
        <w:t xml:space="preserve">application </w:t>
      </w:r>
      <w:r w:rsidR="00E32EFC">
        <w:t xml:space="preserve">raises issues </w:t>
      </w:r>
      <w:r w:rsidR="006769FF">
        <w:t>which</w:t>
      </w:r>
      <w:r w:rsidR="008957FA">
        <w:t xml:space="preserve"> </w:t>
      </w:r>
      <w:r w:rsidR="00E32EFC">
        <w:t xml:space="preserve">would not </w:t>
      </w:r>
      <w:r w:rsidRPr="00FC1846">
        <w:t xml:space="preserve">be </w:t>
      </w:r>
      <w:r w:rsidR="00E32EFC">
        <w:t>considered</w:t>
      </w:r>
      <w:r w:rsidRPr="00FC1846">
        <w:t xml:space="preserve"> by the Court. </w:t>
      </w:r>
    </w:p>
    <w:p w14:paraId="4E20C0FB" w14:textId="3B81DC7B" w:rsidR="0002407B" w:rsidRPr="007C41DC" w:rsidRDefault="003C074C" w:rsidP="007C41DC">
      <w:pPr>
        <w:pStyle w:val="Bullet"/>
        <w:numPr>
          <w:ilvl w:val="0"/>
          <w:numId w:val="0"/>
        </w:numPr>
      </w:pPr>
      <w:r w:rsidRPr="00FC1846">
        <w:t xml:space="preserve">There have been cases where disputes in respect of the same takeover have been determined </w:t>
      </w:r>
      <w:r w:rsidR="00882996">
        <w:t>by</w:t>
      </w:r>
      <w:r w:rsidR="00882996" w:rsidRPr="00FC1846">
        <w:t xml:space="preserve"> </w:t>
      </w:r>
      <w:r w:rsidRPr="006E15C6">
        <w:t>both</w:t>
      </w:r>
      <w:r w:rsidRPr="00FC1846">
        <w:rPr>
          <w:i/>
        </w:rPr>
        <w:t xml:space="preserve"> </w:t>
      </w:r>
      <w:r w:rsidRPr="00FC1846">
        <w:t xml:space="preserve">the </w:t>
      </w:r>
      <w:r w:rsidR="007D7001">
        <w:t>Court</w:t>
      </w:r>
      <w:r w:rsidRPr="00FC1846">
        <w:t>s and the Takeovers Panel.</w:t>
      </w:r>
      <w:bookmarkStart w:id="21" w:name="_Hlk96073821"/>
      <w:bookmarkEnd w:id="19"/>
    </w:p>
    <w:p w14:paraId="25B5CAE3" w14:textId="37D5C34A" w:rsidR="00404C50" w:rsidRDefault="00404C50" w:rsidP="00162ADA">
      <w:pPr>
        <w:pStyle w:val="Heading4"/>
      </w:pPr>
      <w:r>
        <w:t>Criteria followed to determine the approval of schemes</w:t>
      </w:r>
    </w:p>
    <w:p w14:paraId="1E4CEF9A" w14:textId="123E8088" w:rsidR="00392FC4" w:rsidRDefault="00E0092A" w:rsidP="00404C50">
      <w:r>
        <w:t xml:space="preserve">The </w:t>
      </w:r>
      <w:r w:rsidR="007F4D01">
        <w:t>C</w:t>
      </w:r>
      <w:r>
        <w:t xml:space="preserve">ourt and ASIC apply </w:t>
      </w:r>
      <w:r w:rsidR="00392FC4">
        <w:t>various</w:t>
      </w:r>
      <w:r>
        <w:t xml:space="preserve"> criteria and legal principles at different stages of the </w:t>
      </w:r>
      <w:r w:rsidR="009A2BCB">
        <w:t>s</w:t>
      </w:r>
      <w:r>
        <w:t>cheme</w:t>
      </w:r>
      <w:r w:rsidR="009A2BCB">
        <w:t xml:space="preserve"> of arrangement</w:t>
      </w:r>
      <w:r>
        <w:t xml:space="preserve"> process to consider and approve the scheme</w:t>
      </w:r>
      <w:r w:rsidR="00392FC4">
        <w:t xml:space="preserve">. </w:t>
      </w:r>
    </w:p>
    <w:p w14:paraId="72EE2E32" w14:textId="65A73270" w:rsidR="00735007" w:rsidRDefault="007F4D01" w:rsidP="00735007">
      <w:r>
        <w:t>Prior to the first hearing, the target company provides the scheme booklet to ASIC, who review the disclosure against the</w:t>
      </w:r>
      <w:r w:rsidR="00735007">
        <w:t xml:space="preserve"> regulatory and statutory disclosure </w:t>
      </w:r>
      <w:r w:rsidR="00735007" w:rsidRPr="00867791">
        <w:t xml:space="preserve">requirements </w:t>
      </w:r>
      <w:r w:rsidR="00735007">
        <w:t xml:space="preserve">contained </w:t>
      </w:r>
      <w:r w:rsidR="00735007" w:rsidRPr="00867791">
        <w:t xml:space="preserve">in the </w:t>
      </w:r>
      <w:r w:rsidR="00735007" w:rsidRPr="00007665">
        <w:t>Corporations Act</w:t>
      </w:r>
      <w:r w:rsidR="00735007" w:rsidRPr="00735007">
        <w:rPr>
          <w:i/>
          <w:iCs/>
        </w:rPr>
        <w:t xml:space="preserve"> </w:t>
      </w:r>
      <w:r w:rsidR="00735007" w:rsidRPr="00867791">
        <w:t>and</w:t>
      </w:r>
      <w:r w:rsidR="00735007">
        <w:t xml:space="preserve"> the</w:t>
      </w:r>
      <w:r w:rsidR="00735007" w:rsidRPr="00867791">
        <w:t xml:space="preserve"> </w:t>
      </w:r>
      <w:r w:rsidR="00735007" w:rsidRPr="004A6209">
        <w:rPr>
          <w:i/>
          <w:iCs/>
        </w:rPr>
        <w:t>Corporations Regulations</w:t>
      </w:r>
      <w:r w:rsidR="00735007">
        <w:rPr>
          <w:i/>
          <w:iCs/>
        </w:rPr>
        <w:t xml:space="preserve"> 2001 </w:t>
      </w:r>
      <w:r w:rsidR="00735007">
        <w:t>(</w:t>
      </w:r>
      <w:proofErr w:type="spellStart"/>
      <w:r w:rsidR="00735007">
        <w:t>Cth</w:t>
      </w:r>
      <w:proofErr w:type="spellEnd"/>
      <w:r w:rsidR="00735007">
        <w:t xml:space="preserve">), </w:t>
      </w:r>
      <w:r w:rsidR="00882996">
        <w:t>in particular to ensure</w:t>
      </w:r>
      <w:r w:rsidR="00735007" w:rsidRPr="00867791">
        <w:t xml:space="preserve"> all ‘material information’ </w:t>
      </w:r>
      <w:r w:rsidR="00882996">
        <w:t>is</w:t>
      </w:r>
      <w:r w:rsidR="00735007">
        <w:t xml:space="preserve"> </w:t>
      </w:r>
      <w:r w:rsidR="00735007" w:rsidRPr="00867791">
        <w:t xml:space="preserve">included in the </w:t>
      </w:r>
      <w:r w:rsidR="00735007">
        <w:t>disclosure</w:t>
      </w:r>
      <w:r w:rsidR="00735007" w:rsidRPr="00867791">
        <w:t xml:space="preserve">. </w:t>
      </w:r>
      <w:r w:rsidR="00735007">
        <w:t>ASIC also has regard to the Eggleston Principles in reviewing schemes of arrangement.</w:t>
      </w:r>
      <w:r w:rsidR="00735007">
        <w:rPr>
          <w:rStyle w:val="FootnoteReference"/>
        </w:rPr>
        <w:footnoteReference w:id="30"/>
      </w:r>
    </w:p>
    <w:p w14:paraId="5E9A04DB" w14:textId="6686156B" w:rsidR="00E0092A" w:rsidRDefault="007F4D01" w:rsidP="00392FC4">
      <w:r>
        <w:t>At the first hearing, the Court consider</w:t>
      </w:r>
      <w:r w:rsidR="00C725DD">
        <w:t>s</w:t>
      </w:r>
      <w:r>
        <w:t xml:space="preserve"> whether to approve the scheme booklet and convene members meeting</w:t>
      </w:r>
      <w:r w:rsidR="00C725DD">
        <w:t>. T</w:t>
      </w:r>
      <w:r w:rsidR="00392FC4" w:rsidRPr="00392FC4">
        <w:t>he</w:t>
      </w:r>
      <w:r w:rsidR="007830E5">
        <w:t xml:space="preserve"> </w:t>
      </w:r>
      <w:r w:rsidR="00E0092A">
        <w:t xml:space="preserve">Court will approve </w:t>
      </w:r>
      <w:r w:rsidR="00EE6917">
        <w:t xml:space="preserve">the </w:t>
      </w:r>
      <w:r w:rsidR="00E0092A">
        <w:t>members</w:t>
      </w:r>
      <w:r w:rsidR="00EE6917">
        <w:t>’</w:t>
      </w:r>
      <w:r w:rsidR="00E0092A">
        <w:t xml:space="preserve"> </w:t>
      </w:r>
      <w:r w:rsidR="00C725DD">
        <w:t xml:space="preserve">meeting </w:t>
      </w:r>
      <w:r w:rsidR="00E0092A">
        <w:t xml:space="preserve">if it considers the </w:t>
      </w:r>
      <w:r w:rsidR="00C62291">
        <w:t>s</w:t>
      </w:r>
      <w:r w:rsidR="00E0092A">
        <w:t>cheme would be approved</w:t>
      </w:r>
      <w:r w:rsidR="007830E5">
        <w:t>, having regard to:</w:t>
      </w:r>
    </w:p>
    <w:p w14:paraId="23953E7D" w14:textId="5F1777B9" w:rsidR="007830E5" w:rsidRDefault="00735007" w:rsidP="00392FC4">
      <w:pPr>
        <w:pStyle w:val="Bullet"/>
      </w:pPr>
      <w:r>
        <w:t>the a</w:t>
      </w:r>
      <w:r w:rsidR="007830E5">
        <w:t>dequacy of disclosure</w:t>
      </w:r>
      <w:r>
        <w:t xml:space="preserve"> (according to the same </w:t>
      </w:r>
      <w:r w:rsidR="00075350">
        <w:t>statutory</w:t>
      </w:r>
      <w:r>
        <w:t xml:space="preserve"> and regulatory standards </w:t>
      </w:r>
      <w:r w:rsidR="00075350">
        <w:t xml:space="preserve">as </w:t>
      </w:r>
      <w:r>
        <w:t>ASIC</w:t>
      </w:r>
      <w:r w:rsidR="00DF6EF4">
        <w:t>)</w:t>
      </w:r>
    </w:p>
    <w:p w14:paraId="06D5FC79" w14:textId="57DF291E" w:rsidR="007830E5" w:rsidRDefault="00735007" w:rsidP="00392FC4">
      <w:pPr>
        <w:pStyle w:val="Bullet"/>
      </w:pPr>
      <w:r>
        <w:t>w</w:t>
      </w:r>
      <w:r w:rsidR="007830E5">
        <w:t>hether ASIC has had reasonable time to examine the proposed scheme</w:t>
      </w:r>
    </w:p>
    <w:p w14:paraId="3E47F9B2" w14:textId="0259512A" w:rsidR="007830E5" w:rsidRDefault="00735007" w:rsidP="00392FC4">
      <w:pPr>
        <w:pStyle w:val="Bullet"/>
      </w:pPr>
      <w:r>
        <w:t>w</w:t>
      </w:r>
      <w:r w:rsidR="007830E5">
        <w:t>he</w:t>
      </w:r>
      <w:r>
        <w:t>ther</w:t>
      </w:r>
      <w:r w:rsidR="007830E5">
        <w:t xml:space="preserve"> </w:t>
      </w:r>
      <w:r w:rsidR="00EE6917">
        <w:t>the</w:t>
      </w:r>
      <w:r w:rsidR="007830E5">
        <w:t xml:space="preserve"> scheme has been proposed properly and in good faith</w:t>
      </w:r>
    </w:p>
    <w:p w14:paraId="192B0E5D" w14:textId="4582BAF0" w:rsidR="003D522F" w:rsidRDefault="00075350" w:rsidP="00735007">
      <w:pPr>
        <w:pStyle w:val="Bullet"/>
      </w:pPr>
      <w:r>
        <w:t xml:space="preserve">whether </w:t>
      </w:r>
      <w:r w:rsidR="00735007">
        <w:t>t</w:t>
      </w:r>
      <w:r w:rsidR="003D522F">
        <w:t xml:space="preserve">he </w:t>
      </w:r>
      <w:r w:rsidR="0024541E">
        <w:t>C</w:t>
      </w:r>
      <w:r w:rsidR="003D522F">
        <w:t xml:space="preserve">ourt would subsequently approve the scheme at the final hearing if no </w:t>
      </w:r>
      <w:r w:rsidR="0024541E">
        <w:t>objections</w:t>
      </w:r>
      <w:r w:rsidR="003D522F">
        <w:t xml:space="preserve"> </w:t>
      </w:r>
      <w:r w:rsidR="0024541E">
        <w:t>were</w:t>
      </w:r>
      <w:r w:rsidR="003D522F">
        <w:t xml:space="preserve"> raised.</w:t>
      </w:r>
    </w:p>
    <w:p w14:paraId="41CA4D66" w14:textId="170B3E28" w:rsidR="00735007" w:rsidRDefault="00735007" w:rsidP="00735007">
      <w:r>
        <w:lastRenderedPageBreak/>
        <w:t xml:space="preserve">As a matter of practice, the Government understands ASIC will normally either appear in Court to object to certain aspects of the arrangement, or otherwise provide a letter </w:t>
      </w:r>
      <w:r w:rsidRPr="00CA3083">
        <w:t xml:space="preserve">informing the </w:t>
      </w:r>
      <w:r w:rsidR="007D7001">
        <w:t>Court</w:t>
      </w:r>
      <w:r>
        <w:t xml:space="preserve"> that ASIC has no objection to the arrangement. In considering whether to object,</w:t>
      </w:r>
      <w:r w:rsidRPr="00CA3083">
        <w:t xml:space="preserve"> ASIC typically has regard to the Eggleston Principles,</w:t>
      </w:r>
      <w:r>
        <w:rPr>
          <w:rStyle w:val="FootnoteReference"/>
        </w:rPr>
        <w:footnoteReference w:id="31"/>
      </w:r>
      <w:r w:rsidRPr="00CA3083">
        <w:t xml:space="preserve"> though there are no statutory requirements in respect of what ASIC can or should put before the Court.  </w:t>
      </w:r>
    </w:p>
    <w:p w14:paraId="20691A54" w14:textId="3C82C0A9" w:rsidR="00075350" w:rsidRDefault="00075350" w:rsidP="00AB6B13">
      <w:r>
        <w:t xml:space="preserve">At the second </w:t>
      </w:r>
      <w:r w:rsidR="00851E34">
        <w:t xml:space="preserve">court </w:t>
      </w:r>
      <w:r>
        <w:t>hearing,</w:t>
      </w:r>
      <w:r w:rsidR="00AB6B13">
        <w:t xml:space="preserve"> for final approval of the scheme</w:t>
      </w:r>
      <w:r>
        <w:t>,</w:t>
      </w:r>
      <w:r w:rsidR="00AB6B13">
        <w:t xml:space="preserve"> </w:t>
      </w:r>
      <w:r>
        <w:t>the Court has regard to the following factors when considering whether to approve the scheme:</w:t>
      </w:r>
    </w:p>
    <w:p w14:paraId="20922D18" w14:textId="16CC40CC" w:rsidR="00075350" w:rsidRDefault="00075350" w:rsidP="00075350">
      <w:pPr>
        <w:pStyle w:val="Bullet"/>
      </w:pPr>
      <w:r w:rsidRPr="00075350">
        <w:t xml:space="preserve">the fairness of the scheme </w:t>
      </w:r>
      <w:r>
        <w:t>(</w:t>
      </w:r>
      <w:r w:rsidRPr="00075350">
        <w:t>and may grant approval subject to ‘such alterations or conditions as it thinks just’</w:t>
      </w:r>
      <w:r w:rsidR="00843C06">
        <w:t>)</w:t>
      </w:r>
      <w:r>
        <w:rPr>
          <w:rStyle w:val="FootnoteReference"/>
        </w:rPr>
        <w:footnoteReference w:id="32"/>
      </w:r>
    </w:p>
    <w:p w14:paraId="2061AA40" w14:textId="3D81478D" w:rsidR="00075350" w:rsidRDefault="00075350" w:rsidP="00075350">
      <w:pPr>
        <w:pStyle w:val="Bullet"/>
      </w:pPr>
      <w:r>
        <w:t>whether the appropriate voting thresholds were met at the members’ meeting. For a scheme to be approved by the Court, approval must first be granted by a vote at the scheme meeting. A resolution in favour must be passed at the scheme meeting by each class of members by both:</w:t>
      </w:r>
      <w:r w:rsidR="00C84DB5">
        <w:rPr>
          <w:rStyle w:val="FootnoteReference"/>
        </w:rPr>
        <w:footnoteReference w:id="33"/>
      </w:r>
    </w:p>
    <w:p w14:paraId="5DCD13D8" w14:textId="26D3E6F1" w:rsidR="00075350" w:rsidRDefault="00075350" w:rsidP="00075350">
      <w:pPr>
        <w:pStyle w:val="Dash"/>
      </w:pPr>
      <w:r>
        <w:t>a 75% of the votes (based on shareholding) cast on the resolution</w:t>
      </w:r>
    </w:p>
    <w:p w14:paraId="1F7F20F5" w14:textId="26F67641" w:rsidR="00075350" w:rsidRDefault="00075350" w:rsidP="00075350">
      <w:pPr>
        <w:pStyle w:val="Dash"/>
      </w:pPr>
      <w:r>
        <w:t xml:space="preserve">more than 50% in number, of members voting on the resolution at the meeting whether they are attending in person or by proxy. </w:t>
      </w:r>
    </w:p>
    <w:p w14:paraId="681344A2" w14:textId="34450020" w:rsidR="00075350" w:rsidRDefault="00075350" w:rsidP="00075350">
      <w:pPr>
        <w:pStyle w:val="Bullet"/>
      </w:pPr>
      <w:r>
        <w:t>T</w:t>
      </w:r>
      <w:r w:rsidRPr="00075350">
        <w:t xml:space="preserve">he </w:t>
      </w:r>
      <w:r w:rsidR="007D7001">
        <w:t>Court</w:t>
      </w:r>
      <w:r w:rsidRPr="00075350">
        <w:t xml:space="preserve"> generally does not consider whether the scheme is in the best interest of members on the basis that this is for the members to decide.</w:t>
      </w:r>
    </w:p>
    <w:p w14:paraId="168BD401" w14:textId="4CDD6CDE" w:rsidR="00D93370" w:rsidRDefault="00D93370" w:rsidP="00AB6B13">
      <w:r>
        <w:t xml:space="preserve">Schemes of arrangement </w:t>
      </w:r>
      <w:r w:rsidR="00C93B5F">
        <w:t xml:space="preserve">only </w:t>
      </w:r>
      <w:r>
        <w:t xml:space="preserve">become operational </w:t>
      </w:r>
      <w:r w:rsidR="00BE1BE0">
        <w:t>once</w:t>
      </w:r>
      <w:r>
        <w:t xml:space="preserve"> the Court </w:t>
      </w:r>
      <w:r w:rsidR="00BE1BE0">
        <w:t>order</w:t>
      </w:r>
      <w:r>
        <w:t xml:space="preserve"> </w:t>
      </w:r>
      <w:r w:rsidR="00C93B5F">
        <w:t>of final</w:t>
      </w:r>
      <w:r>
        <w:t xml:space="preserve"> approval is lodged with ASIC. </w:t>
      </w:r>
    </w:p>
    <w:bookmarkEnd w:id="21"/>
    <w:p w14:paraId="29087F43" w14:textId="47125017" w:rsidR="00404C50" w:rsidRPr="00143364" w:rsidRDefault="00404C50" w:rsidP="00687A9F">
      <w:pPr>
        <w:pStyle w:val="Heading3noTOC"/>
      </w:pPr>
      <w:r w:rsidRPr="00143364">
        <w:t>Re</w:t>
      </w:r>
      <w:r w:rsidR="00252D5F" w:rsidRPr="00143364">
        <w:t xml:space="preserve">sponsibilities of </w:t>
      </w:r>
      <w:r w:rsidRPr="00143364">
        <w:t>ASIC and the Takeovers Panel</w:t>
      </w:r>
      <w:r w:rsidR="00252D5F" w:rsidRPr="00143364">
        <w:t xml:space="preserve"> in regulating schemes and takeovers</w:t>
      </w:r>
    </w:p>
    <w:p w14:paraId="767F70D4" w14:textId="212308D1" w:rsidR="006C2BD2" w:rsidRDefault="006C2BD2" w:rsidP="006C2BD2">
      <w:bookmarkStart w:id="22" w:name="_Hlk96073982"/>
      <w:r>
        <w:t xml:space="preserve">ASIC and the Takeovers Panel are the </w:t>
      </w:r>
      <w:r w:rsidR="00BB228B">
        <w:t xml:space="preserve">two </w:t>
      </w:r>
      <w:r w:rsidR="00303A59">
        <w:t>main</w:t>
      </w:r>
      <w:r>
        <w:t xml:space="preserve"> bodies responsible for the oversight of </w:t>
      </w:r>
      <w:r w:rsidR="00D27E13">
        <w:t>control</w:t>
      </w:r>
      <w:r w:rsidR="00404F4B">
        <w:t xml:space="preserve"> transaction</w:t>
      </w:r>
      <w:r w:rsidR="00D27E13">
        <w:t xml:space="preserve"> processes </w:t>
      </w:r>
      <w:r w:rsidR="00303A59">
        <w:t>in Australia</w:t>
      </w:r>
      <w:r>
        <w:t>. Each plays a different role:</w:t>
      </w:r>
    </w:p>
    <w:p w14:paraId="12185B25" w14:textId="3B92EB8D" w:rsidR="006C2BD2" w:rsidRDefault="006C2BD2" w:rsidP="004673FB">
      <w:pPr>
        <w:pStyle w:val="Bullet"/>
        <w:numPr>
          <w:ilvl w:val="0"/>
          <w:numId w:val="14"/>
        </w:numPr>
        <w:spacing w:after="160" w:line="259" w:lineRule="auto"/>
      </w:pPr>
      <w:r>
        <w:t>ASIC, as the corporate regulator, oversee</w:t>
      </w:r>
      <w:r w:rsidR="00BB228B">
        <w:t>s</w:t>
      </w:r>
      <w:r>
        <w:t xml:space="preserve"> </w:t>
      </w:r>
      <w:r w:rsidR="00D27E13">
        <w:t>co</w:t>
      </w:r>
      <w:r w:rsidR="00392F74">
        <w:t xml:space="preserve">ntrol </w:t>
      </w:r>
      <w:r w:rsidR="00404F4B">
        <w:t>transaction</w:t>
      </w:r>
      <w:r w:rsidR="00D27E13">
        <w:t xml:space="preserve"> </w:t>
      </w:r>
      <w:r>
        <w:t>process</w:t>
      </w:r>
      <w:r w:rsidR="00D27E13">
        <w:t>es</w:t>
      </w:r>
      <w:r>
        <w:t xml:space="preserve">. It </w:t>
      </w:r>
      <w:r w:rsidR="00BB228B">
        <w:t xml:space="preserve">exercises </w:t>
      </w:r>
      <w:r>
        <w:t>powers including</w:t>
      </w:r>
      <w:r w:rsidR="00927013">
        <w:t xml:space="preserve"> </w:t>
      </w:r>
      <w:r w:rsidR="00FE261D">
        <w:t>reviewing and monitoring disclosures and conduct in relation to takeover bids,</w:t>
      </w:r>
      <w:r w:rsidR="006772F1">
        <w:t xml:space="preserve"> </w:t>
      </w:r>
      <w:r>
        <w:t>examining the draft explanatory statement and terms of a proposed scheme of arrangement;</w:t>
      </w:r>
      <w:r>
        <w:rPr>
          <w:rStyle w:val="FootnoteReference"/>
        </w:rPr>
        <w:footnoteReference w:id="34"/>
      </w:r>
      <w:r>
        <w:t xml:space="preserve"> and exempting and modifying the application of the Scheme of Arrangement </w:t>
      </w:r>
      <w:r w:rsidR="00C85376">
        <w:t>R</w:t>
      </w:r>
      <w:r>
        <w:t>ules as they apply to specific companies</w:t>
      </w:r>
      <w:r w:rsidR="00C60DA1">
        <w:t>.</w:t>
      </w:r>
      <w:r>
        <w:rPr>
          <w:rStyle w:val="FootnoteReference"/>
        </w:rPr>
        <w:footnoteReference w:id="35"/>
      </w:r>
    </w:p>
    <w:p w14:paraId="4B6D6418" w14:textId="007FB15E" w:rsidR="006C2BD2" w:rsidRDefault="006C2BD2" w:rsidP="004673FB">
      <w:pPr>
        <w:pStyle w:val="Bullet"/>
        <w:numPr>
          <w:ilvl w:val="0"/>
          <w:numId w:val="14"/>
        </w:numPr>
        <w:spacing w:after="160" w:line="259" w:lineRule="auto"/>
      </w:pPr>
      <w:r>
        <w:t xml:space="preserve">The Takeovers Panel, as a peer-review and dispute resolution body, is responsible for resolving disputes about takeovers. It </w:t>
      </w:r>
      <w:r w:rsidR="00BB228B">
        <w:t xml:space="preserve">hears </w:t>
      </w:r>
      <w:r>
        <w:t>and decid</w:t>
      </w:r>
      <w:r w:rsidR="00BB228B">
        <w:t>es</w:t>
      </w:r>
      <w:r>
        <w:t xml:space="preserve"> applications brought by parties interested in the transaction to stop or modify a takeover by making a declaration of ‘unacceptable circumstances.’</w:t>
      </w:r>
      <w:r>
        <w:rPr>
          <w:rStyle w:val="FootnoteReference"/>
        </w:rPr>
        <w:footnoteReference w:id="36"/>
      </w:r>
      <w:r>
        <w:t xml:space="preserve"> </w:t>
      </w:r>
      <w:r w:rsidR="00BB228B">
        <w:t>T</w:t>
      </w:r>
      <w:r>
        <w:t xml:space="preserve">he </w:t>
      </w:r>
      <w:r w:rsidR="00353D88">
        <w:t xml:space="preserve">Takeovers </w:t>
      </w:r>
      <w:r>
        <w:t>Panel does not oversee the takeovers process</w:t>
      </w:r>
      <w:r w:rsidR="00FE261D" w:rsidRPr="00FE261D">
        <w:t xml:space="preserve"> </w:t>
      </w:r>
      <w:r w:rsidR="00FE261D">
        <w:t>proactively</w:t>
      </w:r>
      <w:r w:rsidR="001658C7">
        <w:t>; instead</w:t>
      </w:r>
      <w:r w:rsidR="00FE261D">
        <w:t>,</w:t>
      </w:r>
      <w:r w:rsidR="001658C7">
        <w:t xml:space="preserve"> it</w:t>
      </w:r>
      <w:r>
        <w:t xml:space="preserve"> relies on applications from interested parties to enliven its decision-making authority.</w:t>
      </w:r>
      <w:r w:rsidR="00704085">
        <w:rPr>
          <w:rStyle w:val="FootnoteReference"/>
        </w:rPr>
        <w:footnoteReference w:id="37"/>
      </w:r>
    </w:p>
    <w:p w14:paraId="332308B6" w14:textId="2AC37504" w:rsidR="007F6AD4" w:rsidRDefault="006C2BD2" w:rsidP="007F6AD4">
      <w:pPr>
        <w:pStyle w:val="Bullet"/>
        <w:numPr>
          <w:ilvl w:val="0"/>
          <w:numId w:val="0"/>
        </w:numPr>
        <w:spacing w:after="160" w:line="259" w:lineRule="auto"/>
      </w:pPr>
      <w:r>
        <w:lastRenderedPageBreak/>
        <w:t xml:space="preserve">This division of responsibility between ASIC and the Takeovers Panel in Australia contrasts the role played by the various </w:t>
      </w:r>
      <w:r w:rsidR="002F2A3E">
        <w:t>t</w:t>
      </w:r>
      <w:r>
        <w:t xml:space="preserve">akeovers </w:t>
      </w:r>
      <w:r w:rsidR="002F2A3E">
        <w:t>p</w:t>
      </w:r>
      <w:r w:rsidR="007F6AD4">
        <w:t>anels</w:t>
      </w:r>
      <w:r>
        <w:t xml:space="preserve"> which exist in several overseas jurisdictions.</w:t>
      </w:r>
    </w:p>
    <w:p w14:paraId="3EA5DBC3" w14:textId="7D3A8B98" w:rsidR="006C2BD2" w:rsidRDefault="006C2BD2" w:rsidP="006C2BD2">
      <w:pPr>
        <w:pStyle w:val="Bullet"/>
        <w:numPr>
          <w:ilvl w:val="0"/>
          <w:numId w:val="0"/>
        </w:numPr>
      </w:pPr>
      <w:r>
        <w:t xml:space="preserve">Takeovers </w:t>
      </w:r>
      <w:r w:rsidR="002F2A3E">
        <w:t>p</w:t>
      </w:r>
      <w:r>
        <w:t xml:space="preserve">anels, or analogous bodies responsible for oversight of takeovers, exist in, for example, the UK, Hong Kong, Singapore, New Zealand, India, Ireland, </w:t>
      </w:r>
      <w:r w:rsidR="00B5284D">
        <w:t>Malaysia,</w:t>
      </w:r>
      <w:r>
        <w:t xml:space="preserve"> and South Africa. While these panels generally have a dispute resolution function</w:t>
      </w:r>
      <w:r w:rsidR="002F2A3E">
        <w:t>,</w:t>
      </w:r>
      <w:r>
        <w:t xml:space="preserve"> based on similar aims and principles as the Takeovers Panel in Australia, overseas panels generally also act as the regulator of takeovers – the role played by ASIC in Australia. </w:t>
      </w:r>
    </w:p>
    <w:p w14:paraId="7BECA905" w14:textId="580E892D" w:rsidR="006C2BD2" w:rsidRDefault="006C2BD2" w:rsidP="006C2BD2">
      <w:pPr>
        <w:pStyle w:val="Bullet"/>
        <w:numPr>
          <w:ilvl w:val="0"/>
          <w:numId w:val="0"/>
        </w:numPr>
      </w:pPr>
      <w:r>
        <w:t xml:space="preserve">The discussion of the policy objectives underpinning possible reforms to the remit of the Takeovers Panel in this consultation paper considers the regulatory arrangements for takeovers overseas. However, </w:t>
      </w:r>
      <w:r w:rsidR="002F2A3E">
        <w:t>given</w:t>
      </w:r>
      <w:r>
        <w:t xml:space="preserve"> the different role played by the Takeovers Panel in Australia compared to equivalent bodies in overseas jurisdictions</w:t>
      </w:r>
      <w:r w:rsidR="002F2A3E">
        <w:t xml:space="preserve">, </w:t>
      </w:r>
      <w:r>
        <w:t xml:space="preserve">it may not be appropriate </w:t>
      </w:r>
      <w:r w:rsidR="002F2A3E">
        <w:t>in all instances</w:t>
      </w:r>
      <w:r>
        <w:t xml:space="preserve"> that the Takeovers Panel adopt functions more appropriate to be carried out by the regulator of takeovers. </w:t>
      </w:r>
    </w:p>
    <w:p w14:paraId="1A189118" w14:textId="3B2FFC6D" w:rsidR="00404C50" w:rsidRDefault="00404C50" w:rsidP="00404C50">
      <w:pPr>
        <w:pStyle w:val="Heading2"/>
      </w:pPr>
      <w:bookmarkStart w:id="23" w:name="_Toc99619842"/>
      <w:bookmarkEnd w:id="22"/>
      <w:r>
        <w:t>Policy Objectives</w:t>
      </w:r>
      <w:bookmarkEnd w:id="23"/>
    </w:p>
    <w:p w14:paraId="5F9112F0" w14:textId="647A3FE1" w:rsidR="003A33FE" w:rsidRDefault="00DF0F81" w:rsidP="003A33FE">
      <w:r>
        <w:t>T</w:t>
      </w:r>
      <w:r w:rsidR="003A33FE">
        <w:t xml:space="preserve">he current operation of Australia’s regulatory framework for </w:t>
      </w:r>
      <w:r w:rsidR="009D43CF">
        <w:t>control transactions</w:t>
      </w:r>
      <w:r w:rsidR="003A33FE">
        <w:t xml:space="preserve"> and any future reforms </w:t>
      </w:r>
      <w:r w:rsidR="00232431">
        <w:t xml:space="preserve">should </w:t>
      </w:r>
      <w:r w:rsidR="003A33FE">
        <w:t>meet or enhance the following policy objectives:</w:t>
      </w:r>
    </w:p>
    <w:p w14:paraId="137A6985" w14:textId="1F0A5CFC" w:rsidR="003A33FE" w:rsidRDefault="005F6363" w:rsidP="003A33FE">
      <w:pPr>
        <w:pStyle w:val="Bullet"/>
      </w:pPr>
      <w:r w:rsidRPr="0087132D">
        <w:t>T</w:t>
      </w:r>
      <w:r w:rsidR="00643555" w:rsidRPr="0087132D">
        <w:t>hat</w:t>
      </w:r>
      <w:r w:rsidR="003A33FE" w:rsidRPr="0087132D">
        <w:t xml:space="preserve"> </w:t>
      </w:r>
      <w:r w:rsidR="002F3563" w:rsidRPr="0087132D">
        <w:t>control transactions</w:t>
      </w:r>
      <w:r w:rsidR="00720C34" w:rsidRPr="0087132D">
        <w:t xml:space="preserve">, including by </w:t>
      </w:r>
      <w:r w:rsidR="003A33FE" w:rsidRPr="0087132D">
        <w:t>schemes of arrangement</w:t>
      </w:r>
      <w:r w:rsidR="00720C34" w:rsidRPr="0087132D">
        <w:t>,</w:t>
      </w:r>
      <w:r w:rsidR="003A33FE" w:rsidRPr="0087132D">
        <w:t xml:space="preserve"> uphold</w:t>
      </w:r>
      <w:r w:rsidR="003A33FE">
        <w:t xml:space="preserve"> the policy </w:t>
      </w:r>
      <w:r w:rsidR="00294504">
        <w:t xml:space="preserve">objectives known as the ‘Eggleston </w:t>
      </w:r>
      <w:r w:rsidR="00DF5DD7">
        <w:t>P</w:t>
      </w:r>
      <w:r w:rsidR="00294504">
        <w:t>rinciples’</w:t>
      </w:r>
    </w:p>
    <w:p w14:paraId="678AB115" w14:textId="6996EC41" w:rsidR="003A33FE" w:rsidRDefault="005F6363" w:rsidP="003A33FE">
      <w:pPr>
        <w:pStyle w:val="Bullet"/>
      </w:pPr>
      <w:r>
        <w:t xml:space="preserve">That </w:t>
      </w:r>
      <w:r w:rsidR="00C27E81">
        <w:t xml:space="preserve">regulatory efficiency is maximised by </w:t>
      </w:r>
      <w:r w:rsidR="00232431">
        <w:t>minimising</w:t>
      </w:r>
      <w:r w:rsidR="00C27E81">
        <w:t xml:space="preserve"> costs and </w:t>
      </w:r>
      <w:r w:rsidR="00232431">
        <w:t>uncertainties</w:t>
      </w:r>
    </w:p>
    <w:p w14:paraId="34AD9CAA" w14:textId="6449A0AD" w:rsidR="003A33FE" w:rsidRPr="00EC289A" w:rsidRDefault="005F6363" w:rsidP="003A33FE">
      <w:pPr>
        <w:pStyle w:val="Bullet"/>
      </w:pPr>
      <w:r>
        <w:t xml:space="preserve">That </w:t>
      </w:r>
      <w:r w:rsidR="00C27E81">
        <w:t xml:space="preserve">decision-making bodies with responsibility </w:t>
      </w:r>
      <w:r w:rsidR="00C27E81" w:rsidRPr="005F6363">
        <w:t>for</w:t>
      </w:r>
      <w:r w:rsidR="00720C34" w:rsidRPr="005F6363">
        <w:t xml:space="preserve"> </w:t>
      </w:r>
      <w:r w:rsidRPr="00B36E6F">
        <w:t>control transactions</w:t>
      </w:r>
      <w:r w:rsidR="00720C34" w:rsidRPr="00B36E6F">
        <w:t>, including by</w:t>
      </w:r>
      <w:r w:rsidR="00C27E81" w:rsidRPr="00B36E6F">
        <w:t xml:space="preserve"> schemes of arrangement</w:t>
      </w:r>
      <w:r w:rsidR="00720C34" w:rsidRPr="005F6363">
        <w:t>,</w:t>
      </w:r>
      <w:r w:rsidR="00C27E81" w:rsidRPr="005F6363">
        <w:t xml:space="preserve"> have appropriate regulatory powers and that th</w:t>
      </w:r>
      <w:r w:rsidR="00232431" w:rsidRPr="005F6363">
        <w:t>o</w:t>
      </w:r>
      <w:r w:rsidR="00C27E81" w:rsidRPr="005F6363">
        <w:t xml:space="preserve">se powers are divided appropriately.  </w:t>
      </w:r>
    </w:p>
    <w:p w14:paraId="3AF3AEB3" w14:textId="5B82B8AB" w:rsidR="00404C50" w:rsidRDefault="00404C50" w:rsidP="00404C50">
      <w:pPr>
        <w:pStyle w:val="Heading3"/>
      </w:pPr>
      <w:bookmarkStart w:id="24" w:name="_Toc99619843"/>
      <w:r>
        <w:t xml:space="preserve">Ensuring </w:t>
      </w:r>
      <w:r w:rsidR="005C4BFE">
        <w:t>s</w:t>
      </w:r>
      <w:r>
        <w:t xml:space="preserve">chemes </w:t>
      </w:r>
      <w:r w:rsidR="00E977BD">
        <w:t xml:space="preserve">uphold </w:t>
      </w:r>
      <w:r>
        <w:t xml:space="preserve">the Eggleston </w:t>
      </w:r>
      <w:r w:rsidR="00DF5DD7">
        <w:t>Principle</w:t>
      </w:r>
      <w:r>
        <w:t>s</w:t>
      </w:r>
      <w:bookmarkEnd w:id="24"/>
    </w:p>
    <w:p w14:paraId="2309E212" w14:textId="1725B7D3" w:rsidR="005E7DEE" w:rsidRDefault="00963AFC" w:rsidP="005E7DEE">
      <w:r>
        <w:t xml:space="preserve">This section will provide an overview of the Eggleston </w:t>
      </w:r>
      <w:r w:rsidR="00DF5DD7">
        <w:t>Principle</w:t>
      </w:r>
      <w:r>
        <w:t xml:space="preserve">s, outline how the Eggleston </w:t>
      </w:r>
      <w:r w:rsidR="00DF5DD7">
        <w:t>Principle</w:t>
      </w:r>
      <w:r>
        <w:t>s have been codified in the Takeovers Rules</w:t>
      </w:r>
      <w:r w:rsidR="00D5232A">
        <w:t>,</w:t>
      </w:r>
      <w:r>
        <w:t xml:space="preserve"> and discuss whether the Eggleston </w:t>
      </w:r>
      <w:r w:rsidR="00DF5DD7">
        <w:t>Principles</w:t>
      </w:r>
      <w:r>
        <w:t xml:space="preserve"> are </w:t>
      </w:r>
      <w:r w:rsidRPr="00EA4F65">
        <w:t>adequately promoted by the Schemes of Arrangement Rules as currently formulated.</w:t>
      </w:r>
      <w:r w:rsidR="005E7DEE">
        <w:t xml:space="preserve">  </w:t>
      </w:r>
    </w:p>
    <w:p w14:paraId="419E9D09" w14:textId="29CA9CAB" w:rsidR="00283E99" w:rsidRDefault="00283E99" w:rsidP="00283E99">
      <w:r>
        <w:t xml:space="preserve">The Eggleston </w:t>
      </w:r>
      <w:r w:rsidR="00DF5DD7">
        <w:t>Principles</w:t>
      </w:r>
      <w:r>
        <w:t xml:space="preserve"> have underpinned takeovers policy objectives since 1969.</w:t>
      </w:r>
      <w:r>
        <w:rPr>
          <w:rStyle w:val="FootnoteReference"/>
        </w:rPr>
        <w:footnoteReference w:id="38"/>
      </w:r>
      <w:r>
        <w:t xml:space="preserve"> </w:t>
      </w:r>
      <w:r w:rsidR="00EE1D46">
        <w:t>T</w:t>
      </w:r>
      <w:r w:rsidR="00963AFC">
        <w:t xml:space="preserve">heir purpose is </w:t>
      </w:r>
      <w:r>
        <w:t xml:space="preserve">to </w:t>
      </w:r>
      <w:r w:rsidR="00963AFC">
        <w:t>provide</w:t>
      </w:r>
      <w:r>
        <w:t xml:space="preserve"> a </w:t>
      </w:r>
      <w:r w:rsidR="00963AFC">
        <w:t>legislative safeguard which ensures fair treatment of shareholders</w:t>
      </w:r>
      <w:r w:rsidR="00EE1D46">
        <w:t xml:space="preserve">, and they should be upheld in all </w:t>
      </w:r>
      <w:r w:rsidR="009D43CF">
        <w:t>control transactions</w:t>
      </w:r>
      <w:r w:rsidR="00963AFC">
        <w:t xml:space="preserve">. The </w:t>
      </w:r>
      <w:r w:rsidR="00675E8D">
        <w:t>p</w:t>
      </w:r>
      <w:r w:rsidR="00963AFC">
        <w:t xml:space="preserve">rinciples </w:t>
      </w:r>
      <w:r w:rsidR="00BF5526">
        <w:t>aim to</w:t>
      </w:r>
      <w:r w:rsidR="00963AFC">
        <w:t xml:space="preserve"> achieve this by ensuring that in a takeover:</w:t>
      </w:r>
      <w:r>
        <w:t xml:space="preserve"> </w:t>
      </w:r>
    </w:p>
    <w:p w14:paraId="7CFB4BC4" w14:textId="7DCD80AF" w:rsidR="00283E99" w:rsidRDefault="00283E99" w:rsidP="004673FB">
      <w:pPr>
        <w:pStyle w:val="Bullet"/>
        <w:numPr>
          <w:ilvl w:val="0"/>
          <w:numId w:val="12"/>
        </w:numPr>
      </w:pPr>
      <w:r>
        <w:t xml:space="preserve">the identity of the prospective acquirer </w:t>
      </w:r>
      <w:r w:rsidR="00BF5526">
        <w:t xml:space="preserve">is </w:t>
      </w:r>
      <w:r>
        <w:t xml:space="preserve">known to the shareholders and directors </w:t>
      </w:r>
      <w:r w:rsidR="00AB5B46">
        <w:t>of the target company</w:t>
      </w:r>
      <w:r>
        <w:t xml:space="preserve"> (identity principle)</w:t>
      </w:r>
    </w:p>
    <w:p w14:paraId="4F9694D0" w14:textId="4FCEC7DD" w:rsidR="00283E99" w:rsidRDefault="00283E99" w:rsidP="004673FB">
      <w:pPr>
        <w:pStyle w:val="Bullet"/>
        <w:numPr>
          <w:ilvl w:val="0"/>
          <w:numId w:val="12"/>
        </w:numPr>
      </w:pPr>
      <w:r>
        <w:t>shareholders and directors have reasonable time to respond to the takeover proposal (reasonable time principle)</w:t>
      </w:r>
    </w:p>
    <w:p w14:paraId="5ED7DE15" w14:textId="4AD640BA" w:rsidR="00283E99" w:rsidRDefault="00283E99" w:rsidP="004673FB">
      <w:pPr>
        <w:pStyle w:val="Bullet"/>
        <w:numPr>
          <w:ilvl w:val="0"/>
          <w:numId w:val="12"/>
        </w:numPr>
      </w:pPr>
      <w:r>
        <w:t>shareholders have all information necessary to assess the merits of the proposal to acquire control (disclosure principle)</w:t>
      </w:r>
    </w:p>
    <w:p w14:paraId="1A6FA266" w14:textId="5C635DA9" w:rsidR="00283E99" w:rsidRDefault="00283E99" w:rsidP="004673FB">
      <w:pPr>
        <w:pStyle w:val="Bullet"/>
        <w:numPr>
          <w:ilvl w:val="0"/>
          <w:numId w:val="12"/>
        </w:numPr>
      </w:pPr>
      <w:r>
        <w:t xml:space="preserve">so far as is practicable, each shareholder </w:t>
      </w:r>
      <w:r w:rsidR="00BF5526">
        <w:t xml:space="preserve">has </w:t>
      </w:r>
      <w:r>
        <w:t xml:space="preserve">an equal opportunity to </w:t>
      </w:r>
      <w:r w:rsidR="00AB5B46">
        <w:t xml:space="preserve">participate in the </w:t>
      </w:r>
      <w:r>
        <w:t>benefit</w:t>
      </w:r>
      <w:r w:rsidR="00AB5B46">
        <w:t>s offered</w:t>
      </w:r>
      <w:r>
        <w:t xml:space="preserve"> (equal opportunity principle). </w:t>
      </w:r>
    </w:p>
    <w:p w14:paraId="47B5E391" w14:textId="10DC343B" w:rsidR="00283E99" w:rsidRDefault="00283E99" w:rsidP="00283E99">
      <w:pPr>
        <w:pStyle w:val="Bullet"/>
        <w:numPr>
          <w:ilvl w:val="0"/>
          <w:numId w:val="0"/>
        </w:numPr>
        <w:tabs>
          <w:tab w:val="left" w:pos="720"/>
        </w:tabs>
      </w:pPr>
      <w:r>
        <w:t xml:space="preserve">The four Eggleston </w:t>
      </w:r>
      <w:r w:rsidR="00DF5DD7">
        <w:t>Principles</w:t>
      </w:r>
      <w:r>
        <w:t xml:space="preserve"> were later supplemented by a fifth principle</w:t>
      </w:r>
      <w:r w:rsidR="004C3F24">
        <w:t>:</w:t>
      </w:r>
      <w:r>
        <w:t xml:space="preserve"> that acquisitions should take place in an efficient, competitive and informed market. This principle, </w:t>
      </w:r>
      <w:r w:rsidR="00927013">
        <w:t xml:space="preserve">often </w:t>
      </w:r>
      <w:r>
        <w:t xml:space="preserve">referred to as the </w:t>
      </w:r>
      <w:proofErr w:type="spellStart"/>
      <w:r>
        <w:lastRenderedPageBreak/>
        <w:t>Masel</w:t>
      </w:r>
      <w:proofErr w:type="spellEnd"/>
      <w:r>
        <w:t xml:space="preserve"> Principle,</w:t>
      </w:r>
      <w:r>
        <w:rPr>
          <w:rStyle w:val="FootnoteReference"/>
        </w:rPr>
        <w:footnoteReference w:id="39"/>
      </w:r>
      <w:r>
        <w:t xml:space="preserve"> was implemented in the </w:t>
      </w:r>
      <w:r>
        <w:rPr>
          <w:i/>
          <w:iCs/>
        </w:rPr>
        <w:t>Companies (Acquisition of Shares) Act 1980</w:t>
      </w:r>
      <w:r>
        <w:t xml:space="preserve"> (</w:t>
      </w:r>
      <w:proofErr w:type="spellStart"/>
      <w:r>
        <w:t>Cth</w:t>
      </w:r>
      <w:proofErr w:type="spellEnd"/>
      <w:r>
        <w:t>)</w:t>
      </w:r>
      <w:r w:rsidR="002E6F4F">
        <w:t>,</w:t>
      </w:r>
      <w:r>
        <w:rPr>
          <w:rStyle w:val="FootnoteReference"/>
        </w:rPr>
        <w:footnoteReference w:id="40"/>
      </w:r>
      <w:r w:rsidR="00963AFC">
        <w:t xml:space="preserve"> which commenced 1 July 1981.</w:t>
      </w:r>
    </w:p>
    <w:p w14:paraId="45A38FFC" w14:textId="201C7918" w:rsidR="00E85123" w:rsidRDefault="00D36485" w:rsidP="00E85123">
      <w:r>
        <w:t>T</w:t>
      </w:r>
      <w:r w:rsidR="00963AFC">
        <w:t xml:space="preserve">he Eggleston </w:t>
      </w:r>
      <w:r w:rsidR="00DF5DD7">
        <w:t>Principles</w:t>
      </w:r>
      <w:r w:rsidR="00963AFC">
        <w:t xml:space="preserve"> are codified in the </w:t>
      </w:r>
      <w:r w:rsidR="00963AFC" w:rsidRPr="00007665">
        <w:t>Corporations Act</w:t>
      </w:r>
      <w:r w:rsidR="00903968" w:rsidRPr="00903968">
        <w:rPr>
          <w:i/>
          <w:iCs/>
        </w:rPr>
        <w:t xml:space="preserve"> </w:t>
      </w:r>
      <w:r w:rsidR="00963AFC">
        <w:t>as the stated ‘purposes’ of the Takeovers Rules.</w:t>
      </w:r>
      <w:r w:rsidR="00963AFC">
        <w:rPr>
          <w:rStyle w:val="FootnoteReference"/>
        </w:rPr>
        <w:footnoteReference w:id="41"/>
      </w:r>
      <w:r w:rsidR="00963AFC">
        <w:t xml:space="preserve"> </w:t>
      </w:r>
      <w:r w:rsidR="009F3D84">
        <w:t>This has helped</w:t>
      </w:r>
      <w:r w:rsidR="003229CC">
        <w:t xml:space="preserve"> to ensure that</w:t>
      </w:r>
      <w:r w:rsidR="009F3D84">
        <w:t xml:space="preserve"> changes of control using the Takeover Rules in Australia meet and further these policy objectives. The</w:t>
      </w:r>
      <w:r w:rsidR="009F3D84" w:rsidRPr="009F3D84">
        <w:t xml:space="preserve"> </w:t>
      </w:r>
      <w:r w:rsidR="009F3D84">
        <w:t xml:space="preserve">codification of the Eggleston Principles has been recognised as having </w:t>
      </w:r>
      <w:r>
        <w:t xml:space="preserve">a </w:t>
      </w:r>
      <w:r w:rsidR="009F3D84">
        <w:t>positive impact on the regulation of takeovers in Australia</w:t>
      </w:r>
      <w:r w:rsidR="00E85123">
        <w:t>.</w:t>
      </w:r>
      <w:r w:rsidR="00555409">
        <w:rPr>
          <w:rStyle w:val="FootnoteReference"/>
        </w:rPr>
        <w:footnoteReference w:id="42"/>
      </w:r>
    </w:p>
    <w:p w14:paraId="715599E3" w14:textId="77777777" w:rsidR="00E41653" w:rsidRDefault="00963AFC" w:rsidP="00ED60B8">
      <w:r>
        <w:t xml:space="preserve">The Takeovers Panel </w:t>
      </w:r>
      <w:r w:rsidR="00F84F5C">
        <w:t xml:space="preserve">must consider the </w:t>
      </w:r>
      <w:r>
        <w:t xml:space="preserve">principles </w:t>
      </w:r>
      <w:r w:rsidR="00F84F5C">
        <w:t xml:space="preserve">when considering </w:t>
      </w:r>
      <w:r>
        <w:t>whether to</w:t>
      </w:r>
      <w:r w:rsidR="00E41653">
        <w:t xml:space="preserve"> make a</w:t>
      </w:r>
      <w:r>
        <w:t xml:space="preserve"> declar</w:t>
      </w:r>
      <w:r w:rsidR="00E41653">
        <w:t>ation of</w:t>
      </w:r>
      <w:r w:rsidR="00AB04CC">
        <w:t xml:space="preserve"> </w:t>
      </w:r>
      <w:r>
        <w:t>unacceptable circumstances.</w:t>
      </w:r>
      <w:r>
        <w:rPr>
          <w:rStyle w:val="FootnoteReference"/>
        </w:rPr>
        <w:footnoteReference w:id="43"/>
      </w:r>
      <w:r>
        <w:t xml:space="preserve"> </w:t>
      </w:r>
    </w:p>
    <w:p w14:paraId="23E15D00" w14:textId="34FA140C" w:rsidR="009D0EF8" w:rsidRPr="009D0EF8" w:rsidRDefault="00F06556" w:rsidP="00ED60B8">
      <w:r>
        <w:t xml:space="preserve">Despite schemes of arrangement </w:t>
      </w:r>
      <w:r w:rsidR="00F36F32">
        <w:t>having received judicial and regulatory recognition as an alternative to takeover bids for effecting a change of corporate control, t</w:t>
      </w:r>
      <w:r w:rsidR="00EB23EA">
        <w:t xml:space="preserve">here is no explicit statutory equivalent of the Eggleston </w:t>
      </w:r>
      <w:r w:rsidR="00DF5DD7">
        <w:t>Principles</w:t>
      </w:r>
      <w:r w:rsidR="00EB23EA">
        <w:t xml:space="preserve"> in the</w:t>
      </w:r>
      <w:r w:rsidR="002009A2">
        <w:t xml:space="preserve"> Schemes of Arrangement Rules</w:t>
      </w:r>
      <w:r w:rsidR="00EB23EA">
        <w:t>.</w:t>
      </w:r>
      <w:r>
        <w:t xml:space="preserve"> </w:t>
      </w:r>
      <w:r w:rsidR="00F36F32">
        <w:t>This has led to concerns from s</w:t>
      </w:r>
      <w:r>
        <w:t xml:space="preserve">ome </w:t>
      </w:r>
      <w:r w:rsidR="00F36F32">
        <w:t>stakeholders</w:t>
      </w:r>
      <w:r>
        <w:t xml:space="preserve"> </w:t>
      </w:r>
      <w:r w:rsidR="00F36F32">
        <w:t xml:space="preserve">that schemes can – whether intentionally or not – </w:t>
      </w:r>
      <w:r w:rsidR="00F36F32" w:rsidRPr="0098731D">
        <w:t xml:space="preserve">be used in a way that avoids the </w:t>
      </w:r>
      <w:r w:rsidR="00BF0401">
        <w:t xml:space="preserve">protections </w:t>
      </w:r>
      <w:r w:rsidR="00C27E81">
        <w:t>afforded</w:t>
      </w:r>
      <w:r w:rsidR="00BF0401">
        <w:t xml:space="preserve"> by </w:t>
      </w:r>
      <w:r w:rsidR="00F36F32" w:rsidRPr="0098731D">
        <w:t xml:space="preserve">the Eggleston </w:t>
      </w:r>
      <w:r w:rsidR="00DF5DD7">
        <w:t>Principles</w:t>
      </w:r>
      <w:r w:rsidR="00BF0401">
        <w:t xml:space="preserve"> under the Takeover Rules</w:t>
      </w:r>
      <w:r w:rsidR="00903968">
        <w:t xml:space="preserve">. </w:t>
      </w:r>
      <w:r w:rsidR="00442E17">
        <w:t>Other</w:t>
      </w:r>
      <w:r w:rsidR="0059349E">
        <w:t xml:space="preserve"> </w:t>
      </w:r>
      <w:r w:rsidR="001D06E8">
        <w:t xml:space="preserve">commentators argue that </w:t>
      </w:r>
      <w:r w:rsidR="00407346">
        <w:t xml:space="preserve">fair treatment of shareholders is ensured by elements in the scheme procedure, and the </w:t>
      </w:r>
      <w:r w:rsidR="00903968">
        <w:t>supervisory</w:t>
      </w:r>
      <w:r w:rsidR="00407346">
        <w:t xml:space="preserve"> role played by ASIC and the Court throughout the </w:t>
      </w:r>
      <w:r w:rsidR="0059349E">
        <w:t xml:space="preserve">scheme </w:t>
      </w:r>
      <w:r w:rsidR="00407346">
        <w:t>process</w:t>
      </w:r>
      <w:r w:rsidR="004C5513">
        <w:t>.</w:t>
      </w:r>
      <w:r w:rsidR="00006B51">
        <w:t xml:space="preserve"> </w:t>
      </w:r>
    </w:p>
    <w:p w14:paraId="46A6A905" w14:textId="384C14C1" w:rsidR="00B31E59" w:rsidRDefault="00B31E59" w:rsidP="00B31E59">
      <w:pPr>
        <w:pStyle w:val="Heading4"/>
      </w:pPr>
      <w:r>
        <w:t xml:space="preserve">While the Eggleston </w:t>
      </w:r>
      <w:r w:rsidR="00DF5DD7">
        <w:t>Principles</w:t>
      </w:r>
      <w:r>
        <w:t xml:space="preserve"> are not explicitly included in the </w:t>
      </w:r>
      <w:r w:rsidR="007F2ADC">
        <w:t>Scheme of Arrangement Rules</w:t>
      </w:r>
      <w:r>
        <w:t>, they may be upheld indirectly…</w:t>
      </w:r>
    </w:p>
    <w:p w14:paraId="3909F2D1" w14:textId="58F33D02" w:rsidR="004C5350" w:rsidRDefault="00442E17" w:rsidP="004C5350">
      <w:pPr>
        <w:pStyle w:val="Bullet"/>
        <w:numPr>
          <w:ilvl w:val="0"/>
          <w:numId w:val="0"/>
        </w:numPr>
      </w:pPr>
      <w:r>
        <w:t>T</w:t>
      </w:r>
      <w:r w:rsidR="004C5350">
        <w:t>he scheme</w:t>
      </w:r>
      <w:r w:rsidR="00407346">
        <w:t xml:space="preserve"> procedure </w:t>
      </w:r>
      <w:r>
        <w:t xml:space="preserve">is </w:t>
      </w:r>
      <w:r w:rsidR="004C5350">
        <w:t xml:space="preserve">argued </w:t>
      </w:r>
      <w:r w:rsidR="00407346">
        <w:t>to</w:t>
      </w:r>
      <w:r w:rsidR="004C5350">
        <w:t xml:space="preserve"> contain protections equivalent to those in takeover bids, includ</w:t>
      </w:r>
      <w:r>
        <w:t>ing</w:t>
      </w:r>
      <w:r w:rsidR="004C5350">
        <w:t xml:space="preserve"> disclosure requirements which support the identity and disclosure principles, and the class voting test which supports the equality of opportunity principle.</w:t>
      </w:r>
      <w:r w:rsidR="004C5350">
        <w:rPr>
          <w:rStyle w:val="FootnoteReference"/>
        </w:rPr>
        <w:footnoteReference w:id="44"/>
      </w:r>
    </w:p>
    <w:p w14:paraId="1CE8B523" w14:textId="3DC8A0DD" w:rsidR="005B6CC0" w:rsidRDefault="00963AFC" w:rsidP="0098731D">
      <w:pPr>
        <w:pStyle w:val="Bullet"/>
        <w:numPr>
          <w:ilvl w:val="0"/>
          <w:numId w:val="0"/>
        </w:numPr>
      </w:pPr>
      <w:r>
        <w:t xml:space="preserve">ASIC </w:t>
      </w:r>
      <w:r w:rsidR="004C3F24">
        <w:t xml:space="preserve">protects shareholders’ interests by </w:t>
      </w:r>
      <w:r>
        <w:t>tak</w:t>
      </w:r>
      <w:r w:rsidR="004C3F24">
        <w:t>ing</w:t>
      </w:r>
      <w:r>
        <w:t xml:space="preserve"> the Eggleston </w:t>
      </w:r>
      <w:r w:rsidR="00DF5DD7">
        <w:t>Principles</w:t>
      </w:r>
      <w:r>
        <w:t xml:space="preserve"> into account when reviewing </w:t>
      </w:r>
      <w:r w:rsidR="00770E01">
        <w:t xml:space="preserve">a </w:t>
      </w:r>
      <w:r>
        <w:t>scheme</w:t>
      </w:r>
      <w:r w:rsidR="00770E01">
        <w:t xml:space="preserve"> which is capable, in whole or part, of being conducted under a takeover bid</w:t>
      </w:r>
      <w:r>
        <w:t>.</w:t>
      </w:r>
      <w:r>
        <w:rPr>
          <w:rStyle w:val="FootnoteReference"/>
        </w:rPr>
        <w:footnoteReference w:id="45"/>
      </w:r>
      <w:r>
        <w:t xml:space="preserve"> </w:t>
      </w:r>
      <w:r w:rsidR="003D5609">
        <w:t xml:space="preserve">The </w:t>
      </w:r>
      <w:r w:rsidR="005B6CC0">
        <w:t xml:space="preserve">primary question </w:t>
      </w:r>
      <w:r w:rsidR="00F87B49">
        <w:t>considered by</w:t>
      </w:r>
      <w:r w:rsidR="003D5609">
        <w:t xml:space="preserve"> </w:t>
      </w:r>
      <w:r w:rsidR="005B6CC0">
        <w:t xml:space="preserve">ASIC in </w:t>
      </w:r>
      <w:r w:rsidR="00F87B49">
        <w:t>its</w:t>
      </w:r>
      <w:r w:rsidR="005B6CC0">
        <w:t xml:space="preserve"> determination whether to provide a ‘No Objection’ statement under s 411(17)(b</w:t>
      </w:r>
      <w:r w:rsidR="003D5609">
        <w:t>) is w</w:t>
      </w:r>
      <w:r w:rsidR="005B6CC0">
        <w:t xml:space="preserve">hether shareholders are adversely </w:t>
      </w:r>
      <w:r w:rsidR="001D1AD1">
        <w:t>e</w:t>
      </w:r>
      <w:r w:rsidR="005B6CC0">
        <w:t>ffected</w:t>
      </w:r>
      <w:r w:rsidR="003B5539">
        <w:t xml:space="preserve"> by </w:t>
      </w:r>
      <w:r w:rsidR="005B6CC0">
        <w:t>the transaction having regard to the s 602 principles</w:t>
      </w:r>
      <w:r w:rsidR="003D5609">
        <w:t>.</w:t>
      </w:r>
      <w:r w:rsidR="005B6CC0">
        <w:rPr>
          <w:rStyle w:val="FootnoteReference"/>
        </w:rPr>
        <w:footnoteReference w:id="46"/>
      </w:r>
      <w:r w:rsidR="005B6CC0">
        <w:t xml:space="preserve"> </w:t>
      </w:r>
      <w:r w:rsidR="0092262A">
        <w:t xml:space="preserve">ASIC’s preparation of this statement </w:t>
      </w:r>
      <w:r w:rsidR="008A6BFC">
        <w:t xml:space="preserve">both </w:t>
      </w:r>
      <w:r w:rsidR="00F87B49">
        <w:t xml:space="preserve">ensures that </w:t>
      </w:r>
      <w:r w:rsidR="0092262A">
        <w:t xml:space="preserve">shareholders </w:t>
      </w:r>
      <w:r w:rsidR="00F87B49">
        <w:t>receive equivalent protection</w:t>
      </w:r>
      <w:r w:rsidR="00F91DB4">
        <w:t>s</w:t>
      </w:r>
      <w:r w:rsidR="00F87B49">
        <w:t xml:space="preserve"> as under a bid</w:t>
      </w:r>
      <w:r w:rsidR="0092262A">
        <w:t xml:space="preserve">, and </w:t>
      </w:r>
      <w:r w:rsidR="00F91DB4">
        <w:t>assure</w:t>
      </w:r>
      <w:r w:rsidR="008A6BFC">
        <w:t>s</w:t>
      </w:r>
      <w:r w:rsidR="00F91DB4">
        <w:t xml:space="preserve"> </w:t>
      </w:r>
      <w:r w:rsidR="0092262A">
        <w:t xml:space="preserve">the </w:t>
      </w:r>
      <w:r w:rsidR="007D7001">
        <w:t>Court</w:t>
      </w:r>
      <w:r w:rsidR="00F91DB4">
        <w:t xml:space="preserve"> that ASIC has considered the application of the Eggleston </w:t>
      </w:r>
      <w:r w:rsidR="00DF5DD7">
        <w:t>Principles</w:t>
      </w:r>
      <w:r w:rsidR="00951E03">
        <w:t xml:space="preserve"> to the proposed arrangement</w:t>
      </w:r>
      <w:r w:rsidR="00F87B49">
        <w:t>.</w:t>
      </w:r>
      <w:r w:rsidR="00B31E59" w:rsidRPr="00B31E59">
        <w:t xml:space="preserve"> </w:t>
      </w:r>
      <w:r w:rsidR="00B31E59">
        <w:t xml:space="preserve">However, the legal basis for consideration of the </w:t>
      </w:r>
      <w:proofErr w:type="gramStart"/>
      <w:r w:rsidR="00B31E59">
        <w:t>principles</w:t>
      </w:r>
      <w:proofErr w:type="gramEnd"/>
      <w:r w:rsidR="00B31E59">
        <w:t xml:space="preserve"> rests only on ASIC’s </w:t>
      </w:r>
      <w:r w:rsidR="00B31E59" w:rsidRPr="00B36E6F">
        <w:rPr>
          <w:i/>
        </w:rPr>
        <w:t>Regulatory Guide 60</w:t>
      </w:r>
      <w:r w:rsidR="0093706A">
        <w:t xml:space="preserve"> </w:t>
      </w:r>
      <w:r w:rsidR="0093706A" w:rsidRPr="00007665">
        <w:rPr>
          <w:i/>
          <w:iCs/>
        </w:rPr>
        <w:t>– Schemes of arrangement</w:t>
      </w:r>
      <w:r w:rsidR="00B31E59">
        <w:t xml:space="preserve">. Further, where ASIC declines to give a ‘No Objection’ statement, the Eggleston </w:t>
      </w:r>
      <w:r w:rsidR="00DF5DD7">
        <w:t>Principles</w:t>
      </w:r>
      <w:r w:rsidR="00B31E59">
        <w:t xml:space="preserve"> are not explicitly considered by the Court throughout the process.</w:t>
      </w:r>
    </w:p>
    <w:p w14:paraId="247CC40F" w14:textId="6AFF2188" w:rsidR="001C2EF3" w:rsidRDefault="004C5513" w:rsidP="0098731D">
      <w:pPr>
        <w:pStyle w:val="Bullet"/>
        <w:numPr>
          <w:ilvl w:val="0"/>
          <w:numId w:val="0"/>
        </w:numPr>
      </w:pPr>
      <w:r>
        <w:lastRenderedPageBreak/>
        <w:t>Finally, t</w:t>
      </w:r>
      <w:r w:rsidR="004C3F24">
        <w:t xml:space="preserve">he </w:t>
      </w:r>
      <w:r w:rsidR="0098731D">
        <w:t>C</w:t>
      </w:r>
      <w:r w:rsidR="004C3F24">
        <w:t>ourt</w:t>
      </w:r>
      <w:r w:rsidR="003B5539">
        <w:t xml:space="preserve"> ensures the interests of shareholders are protected</w:t>
      </w:r>
      <w:r w:rsidR="0098731D">
        <w:t xml:space="preserve"> </w:t>
      </w:r>
      <w:r w:rsidR="00003155">
        <w:t xml:space="preserve">through the </w:t>
      </w:r>
      <w:r w:rsidR="008A41A9">
        <w:t>anti-</w:t>
      </w:r>
      <w:r w:rsidR="00047442">
        <w:t xml:space="preserve">Takeovers </w:t>
      </w:r>
      <w:r w:rsidR="008A41A9">
        <w:t>avoidance provision in</w:t>
      </w:r>
      <w:r w:rsidR="0098731D">
        <w:t xml:space="preserve"> </w:t>
      </w:r>
      <w:r w:rsidR="00003155">
        <w:t xml:space="preserve">s 411(17) of the </w:t>
      </w:r>
      <w:r w:rsidR="00003155" w:rsidRPr="00007665">
        <w:t>Corporations Act</w:t>
      </w:r>
      <w:r w:rsidR="00516F8A" w:rsidRPr="00007665">
        <w:t>,</w:t>
      </w:r>
      <w:r w:rsidR="00003155">
        <w:t xml:space="preserve"> and </w:t>
      </w:r>
      <w:r w:rsidR="003B5539">
        <w:t xml:space="preserve">by exercising its </w:t>
      </w:r>
      <w:r w:rsidR="00003155">
        <w:t xml:space="preserve">overriding fairness </w:t>
      </w:r>
      <w:r w:rsidR="003B5539">
        <w:t>discretion whether to approve a scheme.</w:t>
      </w:r>
      <w:r w:rsidR="007A35A4">
        <w:rPr>
          <w:rStyle w:val="FootnoteReference"/>
        </w:rPr>
        <w:footnoteReference w:id="47"/>
      </w:r>
    </w:p>
    <w:p w14:paraId="7F291449" w14:textId="37DF51DF" w:rsidR="00EF792A" w:rsidRDefault="00B31E59" w:rsidP="009F5714">
      <w:pPr>
        <w:pStyle w:val="Heading4"/>
      </w:pPr>
      <w:r>
        <w:t xml:space="preserve">… but this may not be sufficient to safeguard shareholder interests </w:t>
      </w:r>
    </w:p>
    <w:p w14:paraId="3EC60DDC" w14:textId="41230871" w:rsidR="00235DDC" w:rsidRDefault="009655E7" w:rsidP="001C2EF3">
      <w:pPr>
        <w:pStyle w:val="Bullet"/>
        <w:numPr>
          <w:ilvl w:val="0"/>
          <w:numId w:val="0"/>
        </w:numPr>
      </w:pPr>
      <w:r>
        <w:t>The</w:t>
      </w:r>
      <w:r w:rsidR="00047442">
        <w:t xml:space="preserve"> </w:t>
      </w:r>
      <w:r w:rsidR="00516F8A">
        <w:t>anti-</w:t>
      </w:r>
      <w:r w:rsidR="00047442">
        <w:t>avoidance provision contained in s 411(17) of the Corporations Act provides that the</w:t>
      </w:r>
      <w:r>
        <w:t xml:space="preserve"> Court may not approve a scheme unless it is </w:t>
      </w:r>
      <w:r w:rsidR="001C2EF3">
        <w:t xml:space="preserve">satisfied </w:t>
      </w:r>
      <w:r>
        <w:t xml:space="preserve">either </w:t>
      </w:r>
      <w:r w:rsidR="001C2EF3">
        <w:t>that arrangement has not been proposed for the purpose of avoid</w:t>
      </w:r>
      <w:r>
        <w:t>ing</w:t>
      </w:r>
      <w:r w:rsidR="001C2EF3">
        <w:t xml:space="preserve"> the Takeovers Rules</w:t>
      </w:r>
      <w:r w:rsidR="00047442">
        <w:t xml:space="preserve"> (</w:t>
      </w:r>
      <w:r w:rsidR="001C2EF3">
        <w:t xml:space="preserve">including the Eggleston </w:t>
      </w:r>
      <w:r w:rsidR="00DF5DD7">
        <w:t>Principles</w:t>
      </w:r>
      <w:r w:rsidR="001C2EF3">
        <w:t xml:space="preserve"> as codified in s 602</w:t>
      </w:r>
      <w:r w:rsidR="00047442">
        <w:t>)</w:t>
      </w:r>
      <w:r>
        <w:t>, or ASIC has provided a ‘No Objection’ statement.</w:t>
      </w:r>
      <w:r w:rsidR="001C2EF3">
        <w:rPr>
          <w:rStyle w:val="FootnoteReference"/>
        </w:rPr>
        <w:footnoteReference w:id="48"/>
      </w:r>
      <w:r w:rsidR="00047442">
        <w:t xml:space="preserve"> </w:t>
      </w:r>
      <w:r w:rsidR="00516F8A">
        <w:t>While the Court is not bound to approve the scheme merely because ASIC has provided a statement, t</w:t>
      </w:r>
      <w:r w:rsidR="00047442">
        <w:t>h</w:t>
      </w:r>
      <w:r w:rsidR="00487898">
        <w:t xml:space="preserve">ese two options </w:t>
      </w:r>
      <w:r w:rsidR="00516F8A">
        <w:t xml:space="preserve">under s 411(17) have been interpreted as </w:t>
      </w:r>
      <w:r w:rsidR="00487898">
        <w:t>represent</w:t>
      </w:r>
      <w:r w:rsidR="00516F8A">
        <w:t>ing</w:t>
      </w:r>
      <w:r w:rsidR="00487898">
        <w:t xml:space="preserve"> ‘true alternatives</w:t>
      </w:r>
      <w:r w:rsidR="00516F8A">
        <w:t>.</w:t>
      </w:r>
      <w:r w:rsidR="00487898">
        <w:t>’</w:t>
      </w:r>
      <w:r w:rsidR="00487898">
        <w:rPr>
          <w:rStyle w:val="FootnoteReference"/>
        </w:rPr>
        <w:footnoteReference w:id="49"/>
      </w:r>
      <w:r w:rsidR="00487898">
        <w:t xml:space="preserve"> </w:t>
      </w:r>
      <w:r w:rsidR="00516F8A">
        <w:t>T</w:t>
      </w:r>
      <w:r w:rsidR="00487898">
        <w:t xml:space="preserve">hat is, the Court is not required to </w:t>
      </w:r>
      <w:r w:rsidR="00516F8A">
        <w:t xml:space="preserve">– and generally does not in practice – </w:t>
      </w:r>
      <w:r w:rsidR="00487898">
        <w:t xml:space="preserve">consider whether the scheme’s purpose is to avoid the Takeover Rules if ASIC has provided a ‘No Objection’ statement under s 411(17)(b). </w:t>
      </w:r>
    </w:p>
    <w:p w14:paraId="7F45C5F1" w14:textId="46BDCC74" w:rsidR="001C2EF3" w:rsidRDefault="007F5418" w:rsidP="001C2EF3">
      <w:pPr>
        <w:pStyle w:val="Bullet"/>
        <w:numPr>
          <w:ilvl w:val="0"/>
          <w:numId w:val="0"/>
        </w:numPr>
      </w:pPr>
      <w:r>
        <w:t xml:space="preserve">On its face, the </w:t>
      </w:r>
      <w:r w:rsidR="001C2EF3">
        <w:t xml:space="preserve">provision as </w:t>
      </w:r>
      <w:r>
        <w:t>currently</w:t>
      </w:r>
      <w:r w:rsidR="001C2EF3">
        <w:t xml:space="preserve"> worded </w:t>
      </w:r>
      <w:r>
        <w:t>means</w:t>
      </w:r>
      <w:r w:rsidR="002D7973">
        <w:t xml:space="preserve"> that</w:t>
      </w:r>
      <w:r w:rsidR="001C2EF3">
        <w:t xml:space="preserve"> an arrangement </w:t>
      </w:r>
      <w:r w:rsidR="002D7973">
        <w:t xml:space="preserve">which </w:t>
      </w:r>
      <w:r w:rsidR="005E238E">
        <w:t xml:space="preserve">avoids the </w:t>
      </w:r>
      <w:r w:rsidR="001C2EF3">
        <w:t xml:space="preserve">Takeovers Rules </w:t>
      </w:r>
      <w:r w:rsidR="005E238E">
        <w:t xml:space="preserve">might be approved </w:t>
      </w:r>
      <w:r w:rsidR="002B5D77">
        <w:t xml:space="preserve">in circumstances </w:t>
      </w:r>
      <w:r w:rsidR="003227BF">
        <w:t>where</w:t>
      </w:r>
      <w:r w:rsidR="002B5D77">
        <w:t xml:space="preserve"> </w:t>
      </w:r>
      <w:r w:rsidR="001C2EF3">
        <w:t xml:space="preserve">the Court </w:t>
      </w:r>
      <w:r w:rsidR="00463BF4">
        <w:t xml:space="preserve">concludes </w:t>
      </w:r>
      <w:r w:rsidR="001C2EF3">
        <w:t xml:space="preserve">that </w:t>
      </w:r>
      <w:r w:rsidR="002D7973">
        <w:t xml:space="preserve">avoidance of the Takeover Rules was not </w:t>
      </w:r>
      <w:r w:rsidR="001C2EF3">
        <w:t>the</w:t>
      </w:r>
      <w:r w:rsidR="00A16B0C">
        <w:t xml:space="preserve"> significant or substantial</w:t>
      </w:r>
      <w:r w:rsidR="001C2EF3">
        <w:t xml:space="preserve"> purpose of the arrangement. </w:t>
      </w:r>
      <w:r>
        <w:t xml:space="preserve">The </w:t>
      </w:r>
      <w:r w:rsidR="005C361E">
        <w:t>provision</w:t>
      </w:r>
      <w:r>
        <w:t xml:space="preserve"> has</w:t>
      </w:r>
      <w:r w:rsidR="008D2E6B">
        <w:t xml:space="preserve"> </w:t>
      </w:r>
      <w:r w:rsidR="005C361E">
        <w:t>been</w:t>
      </w:r>
      <w:r w:rsidR="008D2E6B">
        <w:t xml:space="preserve"> </w:t>
      </w:r>
      <w:r>
        <w:t xml:space="preserve">interpreted in this way: </w:t>
      </w:r>
      <w:r w:rsidR="00E54057">
        <w:t>the Court is concerned with the purpose, rather than the effect, of the scheme;</w:t>
      </w:r>
      <w:r w:rsidR="00E54057">
        <w:rPr>
          <w:rStyle w:val="FootnoteReference"/>
        </w:rPr>
        <w:footnoteReference w:id="50"/>
      </w:r>
      <w:r w:rsidR="00E54057">
        <w:t xml:space="preserve"> and </w:t>
      </w:r>
      <w:r w:rsidR="006F2E43">
        <w:t xml:space="preserve">a wide range of </w:t>
      </w:r>
      <w:r w:rsidR="00E54057">
        <w:t>reasons</w:t>
      </w:r>
      <w:r w:rsidR="006F2E43">
        <w:t xml:space="preserve"> </w:t>
      </w:r>
      <w:r w:rsidR="00E54057">
        <w:t xml:space="preserve">have been accepted as </w:t>
      </w:r>
      <w:r w:rsidR="001413C1">
        <w:t xml:space="preserve">bona fide commercial reasons </w:t>
      </w:r>
      <w:r w:rsidR="00E54057">
        <w:t>for electing to proceed with a control transaction via a scheme</w:t>
      </w:r>
      <w:r w:rsidR="001413C1">
        <w:t xml:space="preserve"> rather than a bid</w:t>
      </w:r>
      <w:r w:rsidR="00E54057">
        <w:t>.</w:t>
      </w:r>
      <w:r w:rsidR="00E54057">
        <w:rPr>
          <w:rStyle w:val="FootnoteReference"/>
        </w:rPr>
        <w:footnoteReference w:id="51"/>
      </w:r>
      <w:r w:rsidR="008D2E6B">
        <w:t xml:space="preserve"> </w:t>
      </w:r>
      <w:r w:rsidR="007521A2">
        <w:t>It has been argued that t</w:t>
      </w:r>
      <w:r w:rsidR="008D2E6B">
        <w:t xml:space="preserve">he practical effect of </w:t>
      </w:r>
      <w:r w:rsidR="007521A2">
        <w:t>the Court’s</w:t>
      </w:r>
      <w:r w:rsidR="008D2E6B">
        <w:t xml:space="preserve"> interpretation </w:t>
      </w:r>
      <w:r w:rsidR="007521A2">
        <w:t xml:space="preserve">of the provision </w:t>
      </w:r>
      <w:r w:rsidR="005E238E">
        <w:t>makes it</w:t>
      </w:r>
      <w:r w:rsidR="008D2E6B">
        <w:t xml:space="preserve"> relatively easy to satisfy.</w:t>
      </w:r>
      <w:r w:rsidR="007521A2">
        <w:rPr>
          <w:rStyle w:val="FootnoteReference"/>
        </w:rPr>
        <w:footnoteReference w:id="52"/>
      </w:r>
      <w:r w:rsidR="008D2E6B">
        <w:t xml:space="preserve"> </w:t>
      </w:r>
      <w:r w:rsidR="00A96940">
        <w:t>For these reasons, the Corporations and Markets Advisory Committee (CAMAC) concluded in its 2009 report</w:t>
      </w:r>
      <w:r w:rsidR="007F3F5E">
        <w:t>,</w:t>
      </w:r>
      <w:r w:rsidR="00A96940">
        <w:t xml:space="preserve"> ‘Members’ schemes of arrangement</w:t>
      </w:r>
      <w:r w:rsidR="007F3F5E">
        <w:t>,</w:t>
      </w:r>
      <w:r w:rsidR="00A96940">
        <w:t>’ that the provision ‘fulfils no real purpose’ and</w:t>
      </w:r>
      <w:r w:rsidR="007F3F5E">
        <w:t xml:space="preserve"> therefore</w:t>
      </w:r>
      <w:r w:rsidR="00A96940">
        <w:t xml:space="preserve"> ‘should be repealed.’</w:t>
      </w:r>
      <w:r w:rsidR="00A96940">
        <w:rPr>
          <w:rStyle w:val="FootnoteReference"/>
        </w:rPr>
        <w:footnoteReference w:id="53"/>
      </w:r>
    </w:p>
    <w:p w14:paraId="7A5BA2F7" w14:textId="402E893B" w:rsidR="00385EA9" w:rsidRPr="004455EA" w:rsidRDefault="003B757B" w:rsidP="00385EA9">
      <w:r>
        <w:t xml:space="preserve">The final </w:t>
      </w:r>
      <w:r w:rsidR="006D394B">
        <w:t xml:space="preserve">safeguard </w:t>
      </w:r>
      <w:r w:rsidR="007D5BFC">
        <w:t>of</w:t>
      </w:r>
      <w:r w:rsidR="006D394B">
        <w:t xml:space="preserve"> shareholder interests </w:t>
      </w:r>
      <w:r>
        <w:t>is the Court</w:t>
      </w:r>
      <w:r w:rsidR="007D5BFC">
        <w:t>’s</w:t>
      </w:r>
      <w:r>
        <w:t xml:space="preserve"> overriding discretion whether to approve a scheme.</w:t>
      </w:r>
      <w:r>
        <w:rPr>
          <w:rStyle w:val="FootnoteReference"/>
        </w:rPr>
        <w:footnoteReference w:id="54"/>
      </w:r>
      <w:r w:rsidR="006D394B">
        <w:t xml:space="preserve"> </w:t>
      </w:r>
      <w:r>
        <w:t xml:space="preserve">In its exercise of this discretion, the Court may still consider </w:t>
      </w:r>
      <w:r w:rsidR="006D394B">
        <w:t>any</w:t>
      </w:r>
      <w:r>
        <w:t xml:space="preserve"> takeover avoidance purpose, </w:t>
      </w:r>
      <w:r w:rsidR="006D394B">
        <w:t>a</w:t>
      </w:r>
      <w:r w:rsidR="007D5BFC">
        <w:t xml:space="preserve">s well as </w:t>
      </w:r>
      <w:r>
        <w:t>the fairness of the scheme for shareholders, e</w:t>
      </w:r>
      <w:r w:rsidR="00385EA9">
        <w:t>ven where ASIC provides a ‘No Objection’ statement</w:t>
      </w:r>
      <w:r>
        <w:t>. The</w:t>
      </w:r>
      <w:r w:rsidR="00901A25">
        <w:t xml:space="preserve"> </w:t>
      </w:r>
      <w:r w:rsidR="00901A25">
        <w:rPr>
          <w:rFonts w:cs="Calibri"/>
          <w:szCs w:val="22"/>
        </w:rPr>
        <w:t>Court</w:t>
      </w:r>
      <w:r>
        <w:rPr>
          <w:rFonts w:cs="Calibri"/>
          <w:szCs w:val="22"/>
        </w:rPr>
        <w:t xml:space="preserve"> has</w:t>
      </w:r>
      <w:r w:rsidR="006D394B">
        <w:rPr>
          <w:rFonts w:cs="Calibri"/>
          <w:szCs w:val="22"/>
        </w:rPr>
        <w:t xml:space="preserve"> also</w:t>
      </w:r>
      <w:r w:rsidR="00901A25">
        <w:rPr>
          <w:rFonts w:cs="Calibri"/>
          <w:szCs w:val="22"/>
        </w:rPr>
        <w:t xml:space="preserve"> acknowledge</w:t>
      </w:r>
      <w:r>
        <w:rPr>
          <w:rFonts w:cs="Calibri"/>
          <w:szCs w:val="22"/>
        </w:rPr>
        <w:t xml:space="preserve">d </w:t>
      </w:r>
      <w:r w:rsidR="00117286">
        <w:rPr>
          <w:rFonts w:cs="Calibri"/>
          <w:szCs w:val="22"/>
        </w:rPr>
        <w:t xml:space="preserve">that it is </w:t>
      </w:r>
      <w:r w:rsidR="00901A25">
        <w:rPr>
          <w:rFonts w:cs="Calibri"/>
          <w:szCs w:val="22"/>
        </w:rPr>
        <w:t xml:space="preserve">entitled to have regard to the </w:t>
      </w:r>
      <w:r>
        <w:rPr>
          <w:rFonts w:cs="Calibri"/>
          <w:szCs w:val="22"/>
        </w:rPr>
        <w:t xml:space="preserve">Eggleston </w:t>
      </w:r>
      <w:r w:rsidR="00DF5DD7">
        <w:rPr>
          <w:rFonts w:cs="Calibri"/>
          <w:szCs w:val="22"/>
        </w:rPr>
        <w:t>Principles</w:t>
      </w:r>
      <w:r w:rsidR="00901A25">
        <w:rPr>
          <w:rFonts w:cs="Calibri"/>
          <w:szCs w:val="22"/>
        </w:rPr>
        <w:t xml:space="preserve"> in the course of exercising </w:t>
      </w:r>
      <w:r w:rsidR="006D394B">
        <w:rPr>
          <w:rFonts w:cs="Calibri"/>
          <w:szCs w:val="22"/>
        </w:rPr>
        <w:t>its</w:t>
      </w:r>
      <w:r w:rsidR="00901A25">
        <w:rPr>
          <w:rFonts w:cs="Calibri"/>
          <w:szCs w:val="22"/>
        </w:rPr>
        <w:t xml:space="preserve"> fairness discretion. For example, f</w:t>
      </w:r>
      <w:r w:rsidR="00385EA9" w:rsidRPr="004455EA">
        <w:t xml:space="preserve">actors </w:t>
      </w:r>
      <w:r w:rsidR="00CA790A">
        <w:t>relevant in exercis</w:t>
      </w:r>
      <w:r w:rsidR="00F028C9">
        <w:t xml:space="preserve">ing this </w:t>
      </w:r>
      <w:r w:rsidR="00CA790A">
        <w:t xml:space="preserve">discretion </w:t>
      </w:r>
      <w:r w:rsidR="00385EA9" w:rsidRPr="004455EA">
        <w:t xml:space="preserve">have included: </w:t>
      </w:r>
    </w:p>
    <w:p w14:paraId="2887E9A0" w14:textId="263DD55D" w:rsidR="00385EA9" w:rsidRPr="004455EA" w:rsidRDefault="00901A25" w:rsidP="00385EA9">
      <w:pPr>
        <w:pStyle w:val="Bullet"/>
      </w:pPr>
      <w:r>
        <w:t xml:space="preserve">whether </w:t>
      </w:r>
      <w:r w:rsidR="00385EA9" w:rsidRPr="004455EA">
        <w:t>there</w:t>
      </w:r>
      <w:r w:rsidR="0054354D">
        <w:t xml:space="preserve"> was</w:t>
      </w:r>
      <w:r w:rsidR="00385EA9" w:rsidRPr="004455EA">
        <w:t xml:space="preserve"> full and fair disclosure</w:t>
      </w:r>
      <w:r w:rsidR="0054354D">
        <w:rPr>
          <w:rStyle w:val="FootnoteReference"/>
        </w:rPr>
        <w:footnoteReference w:id="55"/>
      </w:r>
    </w:p>
    <w:p w14:paraId="011A5766" w14:textId="2D2F1007" w:rsidR="00385EA9" w:rsidRPr="004455EA" w:rsidRDefault="00901A25" w:rsidP="00385EA9">
      <w:pPr>
        <w:pStyle w:val="Bullet"/>
      </w:pPr>
      <w:r>
        <w:t xml:space="preserve">whether </w:t>
      </w:r>
      <w:r w:rsidR="00385EA9" w:rsidRPr="004455EA">
        <w:t xml:space="preserve">resolutions </w:t>
      </w:r>
      <w:r w:rsidR="0054354D">
        <w:t xml:space="preserve">were </w:t>
      </w:r>
      <w:r w:rsidR="00385EA9" w:rsidRPr="004455EA">
        <w:t>passed in good faith and not for an illegitimate purpose</w:t>
      </w:r>
      <w:r w:rsidR="0054354D">
        <w:rPr>
          <w:rStyle w:val="FootnoteReference"/>
        </w:rPr>
        <w:footnoteReference w:id="56"/>
      </w:r>
    </w:p>
    <w:p w14:paraId="485232F5" w14:textId="01869BB6" w:rsidR="0054354D" w:rsidRDefault="00901A25" w:rsidP="004C3F24">
      <w:pPr>
        <w:pStyle w:val="Bullet"/>
      </w:pPr>
      <w:r>
        <w:lastRenderedPageBreak/>
        <w:t xml:space="preserve">whether </w:t>
      </w:r>
      <w:r w:rsidR="00F028C9">
        <w:t>it is ‘fair and equitable between different classes of security holders, and as between security holders and those who will benefit from [the scheme]</w:t>
      </w:r>
      <w:r w:rsidR="00F028C9">
        <w:rPr>
          <w:rStyle w:val="FootnoteReference"/>
        </w:rPr>
        <w:footnoteReference w:id="57"/>
      </w:r>
    </w:p>
    <w:p w14:paraId="33FD9328" w14:textId="5EC5DC71" w:rsidR="00385EA9" w:rsidRDefault="00901A25" w:rsidP="004C3F24">
      <w:pPr>
        <w:pStyle w:val="Bullet"/>
      </w:pPr>
      <w:r>
        <w:t xml:space="preserve">whether </w:t>
      </w:r>
      <w:r w:rsidR="0054354D">
        <w:t>minority shareholders would be oppressed under the scheme.</w:t>
      </w:r>
      <w:r w:rsidR="0054354D">
        <w:rPr>
          <w:rStyle w:val="FootnoteReference"/>
        </w:rPr>
        <w:footnoteReference w:id="58"/>
      </w:r>
    </w:p>
    <w:p w14:paraId="67A6BE2E" w14:textId="409026C1" w:rsidR="005D1F89" w:rsidRDefault="005D1F89" w:rsidP="00034975">
      <w:pPr>
        <w:pStyle w:val="Bullet"/>
        <w:numPr>
          <w:ilvl w:val="0"/>
          <w:numId w:val="0"/>
        </w:numPr>
      </w:pPr>
      <w:r>
        <w:t>Therefore, the Court’s overriding discretion whether to approve a scheme operates as a</w:t>
      </w:r>
      <w:r w:rsidR="007F3F5E">
        <w:t xml:space="preserve"> significant safeguard</w:t>
      </w:r>
      <w:r w:rsidR="00034975">
        <w:t xml:space="preserve"> of shareholders’ interests</w:t>
      </w:r>
      <w:r>
        <w:t xml:space="preserve">. </w:t>
      </w:r>
      <w:r w:rsidR="00B31E59">
        <w:t>However</w:t>
      </w:r>
      <w:r w:rsidR="00117286">
        <w:t>, again,</w:t>
      </w:r>
      <w:r w:rsidR="007D5BFC">
        <w:t xml:space="preserve"> given the absence of an explicit requirement to do so,</w:t>
      </w:r>
      <w:r w:rsidR="00117286">
        <w:t xml:space="preserve"> this</w:t>
      </w:r>
      <w:r w:rsidR="007D5BFC">
        <w:t xml:space="preserve"> discretion does not necessarily ensure that the Eggleston </w:t>
      </w:r>
      <w:r w:rsidR="00DF5DD7">
        <w:t>Principles</w:t>
      </w:r>
      <w:r w:rsidR="007D5BFC">
        <w:t xml:space="preserve"> are upheld.</w:t>
      </w:r>
      <w:r w:rsidR="00117286">
        <w:t xml:space="preserve"> I</w:t>
      </w:r>
      <w:r w:rsidR="00FB4936">
        <w:t xml:space="preserve">t is unclear </w:t>
      </w:r>
      <w:r w:rsidR="00EF2A46">
        <w:t xml:space="preserve">whether, and </w:t>
      </w:r>
      <w:r w:rsidR="00FB4936">
        <w:t>wh</w:t>
      </w:r>
      <w:r w:rsidR="00117286">
        <w:t>at</w:t>
      </w:r>
      <w:r w:rsidR="00EF2A46">
        <w:t>,</w:t>
      </w:r>
      <w:r w:rsidR="00117286">
        <w:t xml:space="preserve"> issues would arise from </w:t>
      </w:r>
      <w:r w:rsidR="00FB4936">
        <w:t xml:space="preserve">importing the Eggleston </w:t>
      </w:r>
      <w:r w:rsidR="00DF5DD7">
        <w:t>Principles</w:t>
      </w:r>
      <w:r w:rsidR="00FB4936">
        <w:t xml:space="preserve"> to the scheme process.</w:t>
      </w:r>
    </w:p>
    <w:p w14:paraId="074BCE67" w14:textId="166A2BE8" w:rsidR="00272D62" w:rsidRDefault="00385EA9" w:rsidP="0032739C">
      <w:r>
        <w:t xml:space="preserve">Notwithstanding </w:t>
      </w:r>
      <w:r w:rsidR="00E92F8D">
        <w:t>the</w:t>
      </w:r>
      <w:r w:rsidR="00017438">
        <w:t>se</w:t>
      </w:r>
      <w:r w:rsidR="00E92F8D">
        <w:t xml:space="preserve"> </w:t>
      </w:r>
      <w:r w:rsidR="00017438">
        <w:t xml:space="preserve">three </w:t>
      </w:r>
      <w:r w:rsidR="0098731D" w:rsidRPr="0098731D">
        <w:t xml:space="preserve">protective elements </w:t>
      </w:r>
      <w:r w:rsidR="00017438">
        <w:t xml:space="preserve">– being the </w:t>
      </w:r>
      <w:r w:rsidR="0098731D" w:rsidRPr="0098731D">
        <w:t xml:space="preserve">scheme </w:t>
      </w:r>
      <w:r w:rsidR="00017438">
        <w:t>procedure</w:t>
      </w:r>
      <w:r w:rsidR="00766CE6">
        <w:t>,</w:t>
      </w:r>
      <w:r w:rsidR="004C5513">
        <w:t xml:space="preserve"> </w:t>
      </w:r>
      <w:r w:rsidR="00017438">
        <w:t>ASIC’s oversight in their provision of a ‘No Objection’ statement</w:t>
      </w:r>
      <w:r w:rsidR="00766CE6">
        <w:t>,</w:t>
      </w:r>
      <w:r w:rsidR="004C5513">
        <w:t xml:space="preserve"> and the </w:t>
      </w:r>
      <w:r w:rsidR="00766CE6">
        <w:t>supervisory</w:t>
      </w:r>
      <w:r w:rsidR="004C5513">
        <w:t xml:space="preserve"> role played by </w:t>
      </w:r>
      <w:r w:rsidR="00851E34">
        <w:t xml:space="preserve">the </w:t>
      </w:r>
      <w:r w:rsidR="004C5513">
        <w:t>Court</w:t>
      </w:r>
      <w:r w:rsidR="00017438">
        <w:t xml:space="preserve"> –</w:t>
      </w:r>
      <w:r w:rsidR="0098731D" w:rsidRPr="0098731D">
        <w:t xml:space="preserve"> t</w:t>
      </w:r>
      <w:r w:rsidR="00870205" w:rsidRPr="0098731D">
        <w:t xml:space="preserve">he Government is aware of </w:t>
      </w:r>
      <w:r w:rsidR="00083587">
        <w:t xml:space="preserve">some </w:t>
      </w:r>
      <w:r w:rsidR="00870205" w:rsidRPr="0098731D">
        <w:t>concerns that</w:t>
      </w:r>
      <w:r w:rsidR="0098731D" w:rsidRPr="0098731D">
        <w:t xml:space="preserve"> </w:t>
      </w:r>
      <w:r w:rsidR="00870205" w:rsidRPr="0098731D">
        <w:t xml:space="preserve">schemes of arrangement can be used in a way that avoid the Eggleston </w:t>
      </w:r>
      <w:r w:rsidR="00DF5DD7">
        <w:t>Principles</w:t>
      </w:r>
      <w:r w:rsidR="00BF0401">
        <w:t>.</w:t>
      </w:r>
      <w:r w:rsidR="00A80C5F">
        <w:t xml:space="preserve"> </w:t>
      </w:r>
      <w:r w:rsidR="00B907C1">
        <w:t>C</w:t>
      </w:r>
      <w:r w:rsidR="004241A7">
        <w:t xml:space="preserve">oncerns </w:t>
      </w:r>
      <w:r w:rsidR="00B907C1">
        <w:t>have also been raised</w:t>
      </w:r>
      <w:r w:rsidR="004241A7">
        <w:t xml:space="preserve"> that the </w:t>
      </w:r>
      <w:r w:rsidR="00BF0401">
        <w:t xml:space="preserve">aspects of the </w:t>
      </w:r>
      <w:r w:rsidR="004241A7">
        <w:t>current provisions</w:t>
      </w:r>
      <w:r w:rsidR="00BF0401">
        <w:t xml:space="preserve"> aimed at ensuring protection of shareholder interest </w:t>
      </w:r>
      <w:r w:rsidR="004241A7">
        <w:t xml:space="preserve">– </w:t>
      </w:r>
      <w:r w:rsidR="00BF0401">
        <w:t>namely</w:t>
      </w:r>
      <w:r w:rsidR="004241A7">
        <w:t xml:space="preserve"> s 411(17)(a) – </w:t>
      </w:r>
      <w:r w:rsidR="00BF0401">
        <w:t>serve no practical function</w:t>
      </w:r>
      <w:r w:rsidR="009B4958">
        <w:t xml:space="preserve">, but rather </w:t>
      </w:r>
      <w:r w:rsidR="004241A7">
        <w:t xml:space="preserve">introduce unnecessary uncertainty into the provisions. </w:t>
      </w:r>
    </w:p>
    <w:p w14:paraId="61799E75" w14:textId="3AB1B98B" w:rsidR="008F65AF" w:rsidRDefault="008F65AF" w:rsidP="0032739C">
      <w:r>
        <w:t xml:space="preserve">There are other </w:t>
      </w:r>
      <w:r w:rsidR="00E9409C">
        <w:t xml:space="preserve">aspects </w:t>
      </w:r>
      <w:r>
        <w:t xml:space="preserve">of regulatory inconsistency between takeovers and schemes, </w:t>
      </w:r>
      <w:r w:rsidR="00DD11D9">
        <w:t xml:space="preserve">including </w:t>
      </w:r>
      <w:r>
        <w:t>minimum disclosure requirements, the minimum bid rule</w:t>
      </w:r>
      <w:r w:rsidR="00DD11D9">
        <w:t>,</w:t>
      </w:r>
      <w:r>
        <w:t xml:space="preserve"> and the rule against collateral benefits,</w:t>
      </w:r>
      <w:r w:rsidR="00B1496C">
        <w:t xml:space="preserve"> all of</w:t>
      </w:r>
      <w:r>
        <w:t xml:space="preserve"> which apply to takeovers but not schemes. </w:t>
      </w:r>
      <w:r w:rsidR="00915C34">
        <w:t>Questions have been asked about whether the differences are appropriate or whether regulatory requirements should be aligned between takeovers and schemes.</w:t>
      </w:r>
    </w:p>
    <w:p w14:paraId="0850D8B2" w14:textId="2D71F5D8" w:rsidR="00404C50" w:rsidRDefault="00C87503" w:rsidP="00404C50">
      <w:pPr>
        <w:pStyle w:val="Heading3"/>
      </w:pPr>
      <w:bookmarkStart w:id="25" w:name="_Toc99619844"/>
      <w:r>
        <w:t>Improving efficiency and r</w:t>
      </w:r>
      <w:r w:rsidR="00404C50">
        <w:t xml:space="preserve">emoving unnecessary costs in </w:t>
      </w:r>
      <w:r w:rsidR="00784107">
        <w:t>takeovers</w:t>
      </w:r>
      <w:bookmarkEnd w:id="25"/>
    </w:p>
    <w:p w14:paraId="287E4AD1" w14:textId="76CCFAB7" w:rsidR="00AC594E" w:rsidRDefault="00C25210" w:rsidP="00D2563B">
      <w:pPr>
        <w:pStyle w:val="Bullet"/>
        <w:numPr>
          <w:ilvl w:val="0"/>
          <w:numId w:val="0"/>
        </w:numPr>
      </w:pPr>
      <w:r>
        <w:t>The</w:t>
      </w:r>
      <w:r w:rsidR="00AF2F23">
        <w:t xml:space="preserve"> regulation </w:t>
      </w:r>
      <w:r w:rsidR="00AF2F23" w:rsidRPr="005F6363">
        <w:t>of</w:t>
      </w:r>
      <w:r w:rsidR="00D2563B" w:rsidRPr="005F6363">
        <w:t xml:space="preserve"> </w:t>
      </w:r>
      <w:r w:rsidR="005F6363">
        <w:t>control transactions</w:t>
      </w:r>
      <w:r w:rsidR="00D2563B">
        <w:t xml:space="preserve"> </w:t>
      </w:r>
      <w:r w:rsidR="00F31836">
        <w:t xml:space="preserve">should </w:t>
      </w:r>
      <w:r w:rsidR="00D2563B">
        <w:t>not driv</w:t>
      </w:r>
      <w:r w:rsidR="00F31836">
        <w:t>e</w:t>
      </w:r>
      <w:r w:rsidR="00D2563B">
        <w:t xml:space="preserve"> unnecessary costs and/or uncertainty. Unnecessary regulatory costs </w:t>
      </w:r>
      <w:r w:rsidR="00F31836">
        <w:t xml:space="preserve">are </w:t>
      </w:r>
      <w:r w:rsidR="00D2563B">
        <w:t xml:space="preserve">likely to discourage </w:t>
      </w:r>
      <w:r w:rsidR="00E30AE3">
        <w:t>control transaction</w:t>
      </w:r>
      <w:r w:rsidR="00D2563B">
        <w:t xml:space="preserve"> activity in the market </w:t>
      </w:r>
      <w:r w:rsidR="00E30AE3">
        <w:t>and contribute to</w:t>
      </w:r>
      <w:r w:rsidR="00AC594E">
        <w:t xml:space="preserve"> inefficient</w:t>
      </w:r>
      <w:r w:rsidR="00D2563B">
        <w:t xml:space="preserve"> allocation of corporate capital in Australia.</w:t>
      </w:r>
      <w:r w:rsidR="00AC594E">
        <w:t xml:space="preserve"> </w:t>
      </w:r>
    </w:p>
    <w:p w14:paraId="6069ABA5" w14:textId="542320B8" w:rsidR="00D2563B" w:rsidRDefault="00AC594E" w:rsidP="00D2563B">
      <w:pPr>
        <w:pStyle w:val="Bullet"/>
        <w:numPr>
          <w:ilvl w:val="0"/>
          <w:numId w:val="0"/>
        </w:numPr>
      </w:pPr>
      <w:r>
        <w:t>This section seeks to identify the key drivers of costs and uncertainty in respect of</w:t>
      </w:r>
      <w:r w:rsidR="005F6363">
        <w:t xml:space="preserve"> control transactions</w:t>
      </w:r>
      <w:r w:rsidR="006F4609" w:rsidRPr="005F6363">
        <w:t>,</w:t>
      </w:r>
      <w:r w:rsidR="004C6902">
        <w:t xml:space="preserve"> and</w:t>
      </w:r>
      <w:r>
        <w:t xml:space="preserve"> whether </w:t>
      </w:r>
      <w:r w:rsidR="00F31836">
        <w:t xml:space="preserve">efficiencies could be achieved </w:t>
      </w:r>
      <w:r w:rsidR="007B65E5">
        <w:t xml:space="preserve">through changes to </w:t>
      </w:r>
      <w:r>
        <w:t xml:space="preserve">the regulatory framework. </w:t>
      </w:r>
    </w:p>
    <w:p w14:paraId="2559892F" w14:textId="77777777" w:rsidR="00E30AE3" w:rsidRDefault="00E30AE3" w:rsidP="00E30AE3">
      <w:pPr>
        <w:pStyle w:val="Bullet"/>
        <w:numPr>
          <w:ilvl w:val="0"/>
          <w:numId w:val="0"/>
        </w:numPr>
      </w:pPr>
      <w:r>
        <w:t>For takeovers, the costs are largely borne by the bidder. The standard costs incurred include:</w:t>
      </w:r>
    </w:p>
    <w:p w14:paraId="76F09D66" w14:textId="00613C46" w:rsidR="00E30AE3" w:rsidRDefault="00E30AE3" w:rsidP="00E30AE3">
      <w:pPr>
        <w:pStyle w:val="Bullet"/>
      </w:pPr>
      <w:r>
        <w:t>professional costs associated with preparing legal documents, providing legal and compliance advice, and undertaking due diligence</w:t>
      </w:r>
    </w:p>
    <w:p w14:paraId="07D33D48" w14:textId="77777777" w:rsidR="00E30AE3" w:rsidRDefault="00E30AE3" w:rsidP="00E30AE3">
      <w:pPr>
        <w:pStyle w:val="Bullet"/>
      </w:pPr>
      <w:r>
        <w:t>obtaining finance for the transaction, as well as the cost of the finance itself</w:t>
      </w:r>
    </w:p>
    <w:p w14:paraId="4DE2A3EF" w14:textId="57B0B67C" w:rsidR="00E30AE3" w:rsidRDefault="00E30AE3" w:rsidP="00E30AE3">
      <w:pPr>
        <w:pStyle w:val="Bullet"/>
      </w:pPr>
      <w:r>
        <w:t>fees for lodging documents with, and interacting with ASIC (and for listed companies, the ASX).</w:t>
      </w:r>
    </w:p>
    <w:p w14:paraId="0AB7EB2F" w14:textId="77777777" w:rsidR="00E30AE3" w:rsidRDefault="00E30AE3" w:rsidP="00E30AE3">
      <w:r>
        <w:t>As the size and complexity of the takeover increases, professional fees and the time taken to complete the takeover may also increase – particularly in</w:t>
      </w:r>
      <w:r w:rsidDel="002B1D1B">
        <w:t xml:space="preserve"> </w:t>
      </w:r>
      <w:r>
        <w:t>handling disputes, whether these are brought before the Courts, the Takeovers Panel, or attract ASIC’s attention.</w:t>
      </w:r>
      <w:r>
        <w:rPr>
          <w:rStyle w:val="FootnoteReference"/>
        </w:rPr>
        <w:footnoteReference w:id="59"/>
      </w:r>
    </w:p>
    <w:p w14:paraId="4A0C9ADE" w14:textId="03659E88" w:rsidR="006E4D57" w:rsidRDefault="00F754C2" w:rsidP="006E4D57">
      <w:r>
        <w:t xml:space="preserve">As the scheme </w:t>
      </w:r>
      <w:r w:rsidR="006F4609">
        <w:t>of arrangement</w:t>
      </w:r>
      <w:r>
        <w:t xml:space="preserve"> process is led by the target</w:t>
      </w:r>
      <w:r w:rsidR="006F4609">
        <w:t>, most costs are borne by the target</w:t>
      </w:r>
      <w:r w:rsidR="006574A6">
        <w:t>.</w:t>
      </w:r>
      <w:r w:rsidR="006F4609">
        <w:t xml:space="preserve"> T</w:t>
      </w:r>
      <w:r w:rsidR="006E4D57">
        <w:t xml:space="preserve">he standard costs </w:t>
      </w:r>
      <w:r w:rsidR="00AC594E">
        <w:t xml:space="preserve">incurred </w:t>
      </w:r>
      <w:r w:rsidR="006E4D57">
        <w:t>include:</w:t>
      </w:r>
    </w:p>
    <w:p w14:paraId="609E1F2C" w14:textId="348A30C9" w:rsidR="006E4D57" w:rsidRDefault="006574A6" w:rsidP="004673FB">
      <w:pPr>
        <w:pStyle w:val="Bullet"/>
        <w:numPr>
          <w:ilvl w:val="0"/>
          <w:numId w:val="13"/>
        </w:numPr>
      </w:pPr>
      <w:r>
        <w:t xml:space="preserve">professional costs associated with </w:t>
      </w:r>
      <w:r w:rsidR="006E4D57">
        <w:t>prepar</w:t>
      </w:r>
      <w:r>
        <w:t>ing</w:t>
      </w:r>
      <w:r w:rsidR="006E4D57">
        <w:t xml:space="preserve"> a scheme booklet, prepar</w:t>
      </w:r>
      <w:r>
        <w:t>ing</w:t>
      </w:r>
      <w:r w:rsidR="006E4D57">
        <w:t xml:space="preserve"> an independent expert report, prepar</w:t>
      </w:r>
      <w:r>
        <w:t>ing</w:t>
      </w:r>
      <w:r w:rsidR="006E4D57">
        <w:t xml:space="preserve"> and appear</w:t>
      </w:r>
      <w:r>
        <w:t>ing</w:t>
      </w:r>
      <w:r w:rsidR="006E4D57">
        <w:t xml:space="preserve"> before a </w:t>
      </w:r>
      <w:r w:rsidR="007D7001">
        <w:t>Court</w:t>
      </w:r>
      <w:r w:rsidR="006E4D57">
        <w:t xml:space="preserve"> for at least two hearings, and provid</w:t>
      </w:r>
      <w:r>
        <w:t>ing</w:t>
      </w:r>
      <w:r w:rsidR="006E4D57">
        <w:t xml:space="preserve"> compliance advice in respect of the takeover more broadly</w:t>
      </w:r>
    </w:p>
    <w:p w14:paraId="2D1EC3BC" w14:textId="650D2A9F" w:rsidR="006E4D57" w:rsidRDefault="006574A6" w:rsidP="004673FB">
      <w:pPr>
        <w:pStyle w:val="Bullet"/>
        <w:numPr>
          <w:ilvl w:val="0"/>
          <w:numId w:val="13"/>
        </w:numPr>
      </w:pPr>
      <w:r>
        <w:t xml:space="preserve">court </w:t>
      </w:r>
      <w:r w:rsidR="006E4D57">
        <w:t>fees, and fees to lodge documents with ASIC for review</w:t>
      </w:r>
    </w:p>
    <w:p w14:paraId="1047DA97" w14:textId="77777777" w:rsidR="006E4D57" w:rsidRDefault="006E4D57" w:rsidP="004673FB">
      <w:pPr>
        <w:pStyle w:val="Bullet"/>
        <w:numPr>
          <w:ilvl w:val="0"/>
          <w:numId w:val="13"/>
        </w:numPr>
      </w:pPr>
      <w:r>
        <w:lastRenderedPageBreak/>
        <w:t>organising a meeting of members to obtain agreement to the scheme of arrangement.</w:t>
      </w:r>
    </w:p>
    <w:p w14:paraId="75497A30" w14:textId="6156B5B1" w:rsidR="007722F8" w:rsidRDefault="007722F8" w:rsidP="006E4D57">
      <w:r>
        <w:t xml:space="preserve">Broadly, </w:t>
      </w:r>
      <w:r w:rsidR="00F754C2">
        <w:t xml:space="preserve">the acquisition of all shares in a </w:t>
      </w:r>
      <w:r w:rsidR="006574A6">
        <w:t xml:space="preserve">company </w:t>
      </w:r>
      <w:r w:rsidR="00F754C2">
        <w:t xml:space="preserve">is </w:t>
      </w:r>
      <w:r w:rsidR="006574A6" w:rsidRPr="0085695C">
        <w:t xml:space="preserve">more </w:t>
      </w:r>
      <w:r w:rsidR="00B411B2" w:rsidRPr="0085695C">
        <w:t>expensive when</w:t>
      </w:r>
      <w:r w:rsidR="006574A6" w:rsidRPr="0085695C">
        <w:t xml:space="preserve"> </w:t>
      </w:r>
      <w:r w:rsidR="00F754C2" w:rsidRPr="0085695C">
        <w:t xml:space="preserve">undertaken via </w:t>
      </w:r>
      <w:r w:rsidRPr="0085695C">
        <w:t>a scheme of arrangement</w:t>
      </w:r>
      <w:r w:rsidR="00F754C2" w:rsidRPr="0085695C">
        <w:t xml:space="preserve">. </w:t>
      </w:r>
      <w:r w:rsidR="0085695C" w:rsidRPr="0085695C">
        <w:t>The Government is aware of concerns amongst some stakeholder that the scheme process may be too expensive for smaller companies.</w:t>
      </w:r>
    </w:p>
    <w:p w14:paraId="440E3E64" w14:textId="345B25D4" w:rsidR="006E4D57" w:rsidRDefault="006E4D57" w:rsidP="006E4D57">
      <w:r>
        <w:t>Other parties may incur costs</w:t>
      </w:r>
      <w:r w:rsidR="00A5167D">
        <w:t xml:space="preserve"> under both methods</w:t>
      </w:r>
      <w:r>
        <w:t>:</w:t>
      </w:r>
    </w:p>
    <w:p w14:paraId="5EF3F263" w14:textId="4748544F" w:rsidR="00572895" w:rsidRDefault="00572895" w:rsidP="004673FB">
      <w:pPr>
        <w:pStyle w:val="Bullet"/>
        <w:numPr>
          <w:ilvl w:val="0"/>
          <w:numId w:val="13"/>
        </w:numPr>
      </w:pPr>
      <w:r>
        <w:t>For takeover bids, the target company incurs costs in considering and responding to the bid</w:t>
      </w:r>
    </w:p>
    <w:p w14:paraId="37825552" w14:textId="1081CF22" w:rsidR="00AC594E" w:rsidRDefault="00A5167D" w:rsidP="004673FB">
      <w:pPr>
        <w:pStyle w:val="Bullet"/>
        <w:numPr>
          <w:ilvl w:val="0"/>
          <w:numId w:val="13"/>
        </w:numPr>
      </w:pPr>
      <w:r>
        <w:t>For schemes of arrangement, t</w:t>
      </w:r>
      <w:r w:rsidR="00AC594E">
        <w:t>he acquirer incurs costs associated with the transaction, including the preparation of legal documents</w:t>
      </w:r>
    </w:p>
    <w:p w14:paraId="717C52B9" w14:textId="40DFB83F" w:rsidR="006E4D57" w:rsidRDefault="006E4D57" w:rsidP="004673FB">
      <w:pPr>
        <w:pStyle w:val="Bullet"/>
        <w:numPr>
          <w:ilvl w:val="0"/>
          <w:numId w:val="13"/>
        </w:numPr>
      </w:pPr>
      <w:r>
        <w:t xml:space="preserve">Disputants </w:t>
      </w:r>
      <w:r w:rsidR="00AC594E">
        <w:t xml:space="preserve">may </w:t>
      </w:r>
      <w:r>
        <w:t>also incur costs for professionals to prepare and appear before</w:t>
      </w:r>
      <w:r w:rsidR="00851E34">
        <w:t xml:space="preserve"> the</w:t>
      </w:r>
      <w:r>
        <w:t xml:space="preserve"> </w:t>
      </w:r>
      <w:r w:rsidR="007D7001">
        <w:t>Court</w:t>
      </w:r>
      <w:r>
        <w:t>, or to lodge and prosecute disputes with the Takeovers Panel</w:t>
      </w:r>
    </w:p>
    <w:p w14:paraId="497E7F96" w14:textId="0C0EEDEF" w:rsidR="006E4D57" w:rsidRDefault="006E4D57" w:rsidP="004673FB">
      <w:pPr>
        <w:pStyle w:val="Bullet"/>
        <w:numPr>
          <w:ilvl w:val="0"/>
          <w:numId w:val="13"/>
        </w:numPr>
      </w:pPr>
      <w:r>
        <w:t xml:space="preserve">ASIC, the </w:t>
      </w:r>
      <w:r w:rsidR="007D7001">
        <w:t>Court</w:t>
      </w:r>
      <w:r>
        <w:t xml:space="preserve">s, and the Takeovers Panel incur costs </w:t>
      </w:r>
      <w:r w:rsidR="00EA761B">
        <w:t>that</w:t>
      </w:r>
      <w:r>
        <w:t xml:space="preserve"> are covered by fees, </w:t>
      </w:r>
      <w:r w:rsidDel="00ED22E5">
        <w:t>levies, or taxes on industry or the general public.</w:t>
      </w:r>
    </w:p>
    <w:p w14:paraId="141A617D" w14:textId="77777777" w:rsidR="0085695C" w:rsidRDefault="006E4D57" w:rsidP="006E4D57">
      <w:pPr>
        <w:rPr>
          <w:highlight w:val="yellow"/>
        </w:rPr>
      </w:pPr>
      <w:r>
        <w:t>Costs for all parties and institutions can be exacerbated if there is legal uncertainty a</w:t>
      </w:r>
      <w:r w:rsidRPr="0085695C">
        <w:t>bout the permissibility of various types of conduct.</w:t>
      </w:r>
      <w:r w:rsidR="0085695C" w:rsidRPr="0085695C">
        <w:t xml:space="preserve"> Further, as any process is extended, prospective acquirers may incur additional finance costs and/or miss out on other business opportunities. </w:t>
      </w:r>
    </w:p>
    <w:p w14:paraId="64BD099B" w14:textId="60568C0E" w:rsidR="00354E3A" w:rsidRDefault="00F21066" w:rsidP="00354E3A">
      <w:r>
        <w:t>At</w:t>
      </w:r>
      <w:r w:rsidR="00354E3A">
        <w:t xml:space="preserve"> the </w:t>
      </w:r>
      <w:r>
        <w:t>same time</w:t>
      </w:r>
      <w:r w:rsidR="00354E3A">
        <w:t xml:space="preserve">, schemes of arrangement </w:t>
      </w:r>
      <w:r>
        <w:t>provide</w:t>
      </w:r>
      <w:r w:rsidR="00354E3A">
        <w:t xml:space="preserve"> benefits</w:t>
      </w:r>
      <w:r w:rsidR="00A5167D">
        <w:t xml:space="preserve"> </w:t>
      </w:r>
      <w:r w:rsidR="00F84F5C">
        <w:t>relative to</w:t>
      </w:r>
      <w:r w:rsidR="00A5167D">
        <w:t xml:space="preserve"> a takeover bid under the Takeover Rules</w:t>
      </w:r>
      <w:r w:rsidR="00354E3A">
        <w:t>. The most important of these is that the set timeframes in the scheme of arrangement process allow for timing certainty for the transaction. That is, parties are certain of the date on which the transaction will complete, which reduces uncertainty and can have other financial benefits (such as in obtaining finance for the deal</w:t>
      </w:r>
      <w:r w:rsidR="00454B77">
        <w:t xml:space="preserve"> for the acquirer</w:t>
      </w:r>
      <w:r w:rsidR="00354E3A">
        <w:t>).</w:t>
      </w:r>
    </w:p>
    <w:p w14:paraId="05CB4F71" w14:textId="4E869EA7" w:rsidR="00E50846" w:rsidRDefault="002E636C" w:rsidP="00354E3A">
      <w:r>
        <w:t>There have also been</w:t>
      </w:r>
      <w:r w:rsidR="00E85FBA">
        <w:t xml:space="preserve"> a number of</w:t>
      </w:r>
      <w:r>
        <w:t xml:space="preserve"> cases </w:t>
      </w:r>
      <w:r w:rsidR="00E50846">
        <w:t xml:space="preserve">where </w:t>
      </w:r>
      <w:r w:rsidR="00E85FBA">
        <w:t xml:space="preserve">there have been disputes before </w:t>
      </w:r>
      <w:r w:rsidR="00E85FBA">
        <w:rPr>
          <w:i/>
          <w:iCs/>
        </w:rPr>
        <w:t xml:space="preserve">both </w:t>
      </w:r>
      <w:r w:rsidR="00E85FBA">
        <w:t>the T</w:t>
      </w:r>
      <w:r w:rsidR="00E50846">
        <w:t xml:space="preserve">akeovers </w:t>
      </w:r>
      <w:r w:rsidR="00E85FBA">
        <w:t>P</w:t>
      </w:r>
      <w:r w:rsidR="00E50846">
        <w:t xml:space="preserve">anel and </w:t>
      </w:r>
      <w:r w:rsidR="002D631F">
        <w:t>the</w:t>
      </w:r>
      <w:r w:rsidR="00E50846">
        <w:t xml:space="preserve"> </w:t>
      </w:r>
      <w:r w:rsidR="009E2D24">
        <w:t>C</w:t>
      </w:r>
      <w:r w:rsidR="00E50846">
        <w:t>ourt for</w:t>
      </w:r>
      <w:r w:rsidR="002D631F">
        <w:t xml:space="preserve"> the</w:t>
      </w:r>
      <w:r w:rsidR="00E50846">
        <w:t xml:space="preserve"> same </w:t>
      </w:r>
      <w:r w:rsidR="00E85FBA">
        <w:t xml:space="preserve">transaction, including for </w:t>
      </w:r>
      <w:r w:rsidR="00CF57BA">
        <w:t>changes in control effected</w:t>
      </w:r>
      <w:r w:rsidR="00E85FBA">
        <w:t xml:space="preserve"> by </w:t>
      </w:r>
      <w:r w:rsidR="00B36E6F">
        <w:t>a</w:t>
      </w:r>
      <w:r w:rsidR="00E85FBA">
        <w:t xml:space="preserve"> scheme of arrangement. While not necessarily common, when this does arise</w:t>
      </w:r>
      <w:r w:rsidR="00E50846">
        <w:t xml:space="preserve"> </w:t>
      </w:r>
      <w:r w:rsidR="00E85FBA">
        <w:t>it</w:t>
      </w:r>
      <w:r w:rsidR="00E50846">
        <w:t xml:space="preserve"> is like</w:t>
      </w:r>
      <w:r w:rsidR="004721D6">
        <w:t>l</w:t>
      </w:r>
      <w:r w:rsidR="00E50846">
        <w:t xml:space="preserve">y to lead to </w:t>
      </w:r>
      <w:r w:rsidR="00E85FBA">
        <w:t xml:space="preserve">significant, and sometimes duplicate, costs for the parties involved. </w:t>
      </w:r>
    </w:p>
    <w:p w14:paraId="2A69D4A3" w14:textId="421A2C13" w:rsidR="00CB1043" w:rsidRDefault="00A0640F" w:rsidP="00193B4F">
      <w:pPr>
        <w:pStyle w:val="Bullet"/>
        <w:numPr>
          <w:ilvl w:val="0"/>
          <w:numId w:val="0"/>
        </w:numPr>
      </w:pPr>
      <w:r>
        <w:t>Noting that the</w:t>
      </w:r>
      <w:r w:rsidR="00193B4F">
        <w:t xml:space="preserve"> potential risks and issues </w:t>
      </w:r>
      <w:r w:rsidR="008B4579">
        <w:t xml:space="preserve">associated with </w:t>
      </w:r>
      <w:r w:rsidR="00193B4F">
        <w:t xml:space="preserve">any specific reform options will </w:t>
      </w:r>
      <w:r w:rsidR="00FF0675">
        <w:t xml:space="preserve">require further </w:t>
      </w:r>
      <w:r w:rsidR="00193B4F">
        <w:t>explor</w:t>
      </w:r>
      <w:r w:rsidR="00FF0675">
        <w:t>ation</w:t>
      </w:r>
      <w:r w:rsidR="00193B4F">
        <w:t>, a</w:t>
      </w:r>
      <w:r w:rsidR="00F247BA">
        <w:t xml:space="preserve"> number of </w:t>
      </w:r>
      <w:r w:rsidR="00EA761B">
        <w:t>the</w:t>
      </w:r>
      <w:r w:rsidR="00193B4F">
        <w:t xml:space="preserve"> costs explained above </w:t>
      </w:r>
      <w:r w:rsidR="00F50FD0">
        <w:t>may</w:t>
      </w:r>
      <w:r w:rsidR="00EA761B">
        <w:t xml:space="preserve"> be reduced by</w:t>
      </w:r>
      <w:r w:rsidR="00F247BA">
        <w:t xml:space="preserve"> expanding the remit of the Takeovers Panel:</w:t>
      </w:r>
    </w:p>
    <w:p w14:paraId="56887CC4" w14:textId="7FA38F91" w:rsidR="00331B8E" w:rsidRDefault="00004F82" w:rsidP="00BF7D6B">
      <w:pPr>
        <w:pStyle w:val="Bullet"/>
      </w:pPr>
      <w:r>
        <w:t>I</w:t>
      </w:r>
      <w:r w:rsidR="00B01A42">
        <w:t xml:space="preserve">f the review </w:t>
      </w:r>
      <w:r>
        <w:t xml:space="preserve">of scheme documentation </w:t>
      </w:r>
      <w:r w:rsidR="00B01A42">
        <w:t>w</w:t>
      </w:r>
      <w:r w:rsidR="00572895">
        <w:t>ere</w:t>
      </w:r>
      <w:r w:rsidR="00B01A42">
        <w:t xml:space="preserve"> undertaken </w:t>
      </w:r>
      <w:r w:rsidR="00F247BA">
        <w:t>by the Takeovers Panel</w:t>
      </w:r>
      <w:r w:rsidR="00331B8E">
        <w:t xml:space="preserve">, the costs associated with having scheme documentation </w:t>
      </w:r>
      <w:r w:rsidR="00F247BA">
        <w:t xml:space="preserve">prepared and </w:t>
      </w:r>
      <w:r w:rsidR="00331B8E">
        <w:t xml:space="preserve">routinely reviewed could </w:t>
      </w:r>
      <w:r w:rsidR="00EA761B">
        <w:t>be lower</w:t>
      </w:r>
      <w:r w:rsidR="00331B8E" w:rsidDel="00F247BA">
        <w:t xml:space="preserve"> </w:t>
      </w:r>
      <w:r>
        <w:t>for target companies</w:t>
      </w:r>
      <w:r w:rsidR="008A5F26">
        <w:t>,</w:t>
      </w:r>
      <w:r w:rsidR="00B01A42">
        <w:t xml:space="preserve"> </w:t>
      </w:r>
      <w:r w:rsidR="00331B8E">
        <w:t xml:space="preserve">as the legal costs associated with dealing with the Takeovers Panel </w:t>
      </w:r>
      <w:r w:rsidR="002D190F">
        <w:t xml:space="preserve">are </w:t>
      </w:r>
      <w:r w:rsidR="00F62ED2">
        <w:t>generally</w:t>
      </w:r>
      <w:r w:rsidR="00F247BA">
        <w:t xml:space="preserve"> </w:t>
      </w:r>
      <w:r w:rsidR="00331B8E">
        <w:t xml:space="preserve">less than those for dealing with the </w:t>
      </w:r>
      <w:r w:rsidR="007D7001">
        <w:t>Court</w:t>
      </w:r>
      <w:r w:rsidR="00331B8E">
        <w:t>s.</w:t>
      </w:r>
      <w:r w:rsidR="00331B8E">
        <w:rPr>
          <w:rStyle w:val="FootnoteReference"/>
        </w:rPr>
        <w:footnoteReference w:id="60"/>
      </w:r>
      <w:r w:rsidR="00331B8E">
        <w:t xml:space="preserve"> </w:t>
      </w:r>
    </w:p>
    <w:p w14:paraId="51D74822" w14:textId="4F1536F2" w:rsidR="006F017E" w:rsidRDefault="00EA761B" w:rsidP="00C72DB8">
      <w:pPr>
        <w:pStyle w:val="Bullet"/>
      </w:pPr>
      <w:r>
        <w:t>I</w:t>
      </w:r>
      <w:r w:rsidR="00331B8E">
        <w:t xml:space="preserve">f documents are </w:t>
      </w:r>
      <w:r w:rsidR="008D0669">
        <w:t>no longer reviewed as a matter of routine</w:t>
      </w:r>
      <w:r w:rsidR="00B01A42">
        <w:t xml:space="preserve"> by a regulatory body</w:t>
      </w:r>
      <w:r>
        <w:t xml:space="preserve"> </w:t>
      </w:r>
      <w:r w:rsidR="00331B8E">
        <w:t xml:space="preserve">before being communicated to members, </w:t>
      </w:r>
      <w:r w:rsidR="00C72DB8">
        <w:t xml:space="preserve">target companies </w:t>
      </w:r>
      <w:r w:rsidR="00B01A42">
        <w:t xml:space="preserve">could </w:t>
      </w:r>
      <w:r w:rsidR="00331B8E">
        <w:t>avoid the costs of preparing for and attending the first hearing and engaging with ASIC on straightforward proposals</w:t>
      </w:r>
      <w:r w:rsidR="00AB7D2E">
        <w:t xml:space="preserve">. </w:t>
      </w:r>
    </w:p>
    <w:p w14:paraId="38DBB2DF" w14:textId="203CC071" w:rsidR="00B01A42" w:rsidRDefault="00EA761B" w:rsidP="00C72DB8">
      <w:pPr>
        <w:pStyle w:val="Bullet"/>
      </w:pPr>
      <w:r>
        <w:t>I</w:t>
      </w:r>
      <w:r w:rsidR="006F017E">
        <w:t xml:space="preserve">f the standard review by a </w:t>
      </w:r>
      <w:r w:rsidR="007D7001">
        <w:t>Court</w:t>
      </w:r>
      <w:r w:rsidR="006F017E">
        <w:t xml:space="preserve"> (or </w:t>
      </w:r>
      <w:r w:rsidR="00503A91">
        <w:t xml:space="preserve">the </w:t>
      </w:r>
      <w:r w:rsidR="00353D88">
        <w:t xml:space="preserve">Takeovers </w:t>
      </w:r>
      <w:r w:rsidR="006F017E">
        <w:t>Panel)</w:t>
      </w:r>
      <w:r w:rsidR="00240390">
        <w:t xml:space="preserve"> of disclosure</w:t>
      </w:r>
      <w:r w:rsidR="006F017E">
        <w:t xml:space="preserve"> was replaced</w:t>
      </w:r>
      <w:r w:rsidR="00240390">
        <w:t xml:space="preserve"> and supplemented</w:t>
      </w:r>
      <w:r w:rsidR="006F017E">
        <w:t xml:space="preserve"> by </w:t>
      </w:r>
      <w:r w:rsidR="006F017E" w:rsidRPr="006F017E">
        <w:t xml:space="preserve">more prescriptive </w:t>
      </w:r>
      <w:r w:rsidR="00240390">
        <w:t xml:space="preserve">statutory disclosure </w:t>
      </w:r>
      <w:r w:rsidR="006F017E" w:rsidRPr="006F017E">
        <w:t>requirements (</w:t>
      </w:r>
      <w:r w:rsidR="00240390">
        <w:t>such as</w:t>
      </w:r>
      <w:r w:rsidR="006F017E" w:rsidRPr="006F017E">
        <w:t xml:space="preserve"> a codified statutory regime</w:t>
      </w:r>
      <w:r>
        <w:t>)</w:t>
      </w:r>
      <w:r w:rsidR="00240390">
        <w:t xml:space="preserve">, parties may benefit from the increased certainty </w:t>
      </w:r>
      <w:r>
        <w:t>and avoid</w:t>
      </w:r>
      <w:r w:rsidR="00240390">
        <w:t xml:space="preserve"> the need to interact with decision-makers</w:t>
      </w:r>
      <w:r w:rsidR="00B3671C" w:rsidRPr="00B3671C">
        <w:t xml:space="preserve"> </w:t>
      </w:r>
      <w:r w:rsidR="00B3671C">
        <w:t>as often</w:t>
      </w:r>
      <w:r w:rsidR="00AB7D2E">
        <w:t xml:space="preserve">. </w:t>
      </w:r>
      <w:r w:rsidR="00240390">
        <w:t>However, parties may face increased costs and uncertainty in the short term as they adjust to a new regime</w:t>
      </w:r>
      <w:r w:rsidR="00AB7D2E">
        <w:t xml:space="preserve">. </w:t>
      </w:r>
    </w:p>
    <w:p w14:paraId="549ACCED" w14:textId="6B4968D7" w:rsidR="00CF57BA" w:rsidRDefault="00F2539A" w:rsidP="00C72DB8">
      <w:pPr>
        <w:pStyle w:val="Bullet"/>
      </w:pPr>
      <w:r w:rsidRPr="00F2539A">
        <w:t xml:space="preserve">If the Takeovers Panel </w:t>
      </w:r>
      <w:r>
        <w:t>conducted the</w:t>
      </w:r>
      <w:r w:rsidRPr="00F2539A">
        <w:t xml:space="preserve"> final approval process</w:t>
      </w:r>
      <w:r>
        <w:t>,</w:t>
      </w:r>
      <w:r w:rsidRPr="00F2539A">
        <w:t xml:space="preserve"> this may reduce the net costs to </w:t>
      </w:r>
      <w:r>
        <w:t xml:space="preserve">both </w:t>
      </w:r>
      <w:r w:rsidRPr="00F2539A">
        <w:t>acquirers and target companies of preparing for and attending the final hearing,</w:t>
      </w:r>
      <w:r>
        <w:t xml:space="preserve"> as the legal costs associated with dealing with the Takeovers Panel may be less than those for dealing with the </w:t>
      </w:r>
      <w:r w:rsidR="007D7001">
        <w:t>Court</w:t>
      </w:r>
      <w:r>
        <w:t>s.</w:t>
      </w:r>
      <w:r w:rsidRPr="00F2539A">
        <w:t xml:space="preserve"> </w:t>
      </w:r>
      <w:r>
        <w:t xml:space="preserve">Further, were the </w:t>
      </w:r>
      <w:r w:rsidR="00353D88">
        <w:t>Takeovers</w:t>
      </w:r>
      <w:r>
        <w:t xml:space="preserve"> Panel to </w:t>
      </w:r>
      <w:r w:rsidR="008352F8">
        <w:t>conduct the approval process</w:t>
      </w:r>
      <w:r>
        <w:t xml:space="preserve"> </w:t>
      </w:r>
      <w:r w:rsidRPr="00F2539A">
        <w:t>on the papers (i.e</w:t>
      </w:r>
      <w:r w:rsidR="00AB7D2E" w:rsidRPr="00F2539A">
        <w:t>.,</w:t>
      </w:r>
      <w:r w:rsidRPr="00F2539A">
        <w:t xml:space="preserve"> by </w:t>
      </w:r>
      <w:r w:rsidRPr="00F2539A">
        <w:lastRenderedPageBreak/>
        <w:t>reviewing written submissions and/or evidence without a public hearing)</w:t>
      </w:r>
      <w:r>
        <w:t xml:space="preserve">, </w:t>
      </w:r>
      <w:r w:rsidR="00EA761B">
        <w:t xml:space="preserve">further savings would be generated </w:t>
      </w:r>
      <w:r>
        <w:t>by avoiding costs for</w:t>
      </w:r>
      <w:r w:rsidRPr="00F2539A">
        <w:t xml:space="preserve"> legal representation and the </w:t>
      </w:r>
      <w:r w:rsidR="007D7001">
        <w:t>Court</w:t>
      </w:r>
      <w:r w:rsidRPr="00F2539A">
        <w:t xml:space="preserve"> fees for the hearing date.</w:t>
      </w:r>
      <w:r>
        <w:t xml:space="preserve">  </w:t>
      </w:r>
    </w:p>
    <w:p w14:paraId="40399193" w14:textId="6FF5B0E8" w:rsidR="00E916CD" w:rsidRDefault="00F9074B" w:rsidP="00CF57BA">
      <w:pPr>
        <w:pStyle w:val="Bullet"/>
        <w:ind w:left="284" w:hanging="284"/>
      </w:pPr>
      <w:r>
        <w:t xml:space="preserve">If </w:t>
      </w:r>
      <w:r w:rsidR="000329C5">
        <w:t xml:space="preserve">the final approval process </w:t>
      </w:r>
      <w:r>
        <w:t>w</w:t>
      </w:r>
      <w:r w:rsidR="003304E1">
        <w:t>ere</w:t>
      </w:r>
      <w:r w:rsidR="000329C5">
        <w:t xml:space="preserve"> replaced by </w:t>
      </w:r>
      <w:r w:rsidR="00004F82">
        <w:t>an opportunity for interested parties to raise concerns before the Takeovers Panel</w:t>
      </w:r>
      <w:r w:rsidR="003304E1">
        <w:t>,</w:t>
      </w:r>
      <w:r w:rsidR="00004F82">
        <w:t xml:space="preserve"> and alterations or conditions could be imposed</w:t>
      </w:r>
      <w:r w:rsidR="000329C5" w:rsidRPr="000329C5">
        <w:t xml:space="preserve"> prior to a scheme of arrangement becoming effective </w:t>
      </w:r>
      <w:r w:rsidR="00F21066">
        <w:t>(</w:t>
      </w:r>
      <w:r w:rsidR="000329C5" w:rsidRPr="000329C5">
        <w:t>following approval by members</w:t>
      </w:r>
      <w:r w:rsidR="00F21066">
        <w:t>)</w:t>
      </w:r>
      <w:r w:rsidR="00F62ED2">
        <w:t xml:space="preserve">, </w:t>
      </w:r>
      <w:r w:rsidR="000541EC">
        <w:t>the process</w:t>
      </w:r>
      <w:r w:rsidR="00F62ED2">
        <w:t xml:space="preserve"> may </w:t>
      </w:r>
      <w:r w:rsidR="000541EC">
        <w:t>sometimes take longer</w:t>
      </w:r>
      <w:r w:rsidR="00F62ED2">
        <w:t xml:space="preserve">, </w:t>
      </w:r>
      <w:r w:rsidR="000541EC">
        <w:t>but</w:t>
      </w:r>
      <w:r w:rsidR="00F62ED2">
        <w:t xml:space="preserve"> </w:t>
      </w:r>
      <w:r w:rsidR="000329C5" w:rsidRPr="000329C5">
        <w:t>the timeframe of the transaction</w:t>
      </w:r>
      <w:r w:rsidR="00F21066">
        <w:t xml:space="preserve"> </w:t>
      </w:r>
      <w:r w:rsidR="003304E1">
        <w:t>may</w:t>
      </w:r>
      <w:r w:rsidR="00F21066">
        <w:t xml:space="preserve"> be more certain</w:t>
      </w:r>
      <w:r w:rsidR="00927D4F">
        <w:t>, to</w:t>
      </w:r>
      <w:r w:rsidR="000329C5" w:rsidRPr="000329C5">
        <w:t xml:space="preserve"> the </w:t>
      </w:r>
      <w:r w:rsidR="00927D4F">
        <w:t>benefit</w:t>
      </w:r>
      <w:r w:rsidR="000329C5" w:rsidRPr="000329C5">
        <w:t xml:space="preserve"> of </w:t>
      </w:r>
      <w:r w:rsidR="00927D4F">
        <w:t>participants.</w:t>
      </w:r>
    </w:p>
    <w:p w14:paraId="3D45DBAE" w14:textId="31F6D654" w:rsidR="00404C50" w:rsidRPr="00404C50" w:rsidRDefault="00404C50" w:rsidP="00404C50">
      <w:pPr>
        <w:pStyle w:val="Heading3"/>
      </w:pPr>
      <w:bookmarkStart w:id="26" w:name="_Toc99619845"/>
      <w:r>
        <w:t>Ensuring decision-makers have appropriate regulatory powers</w:t>
      </w:r>
      <w:bookmarkEnd w:id="26"/>
    </w:p>
    <w:p w14:paraId="76A11E6C" w14:textId="2DC98997" w:rsidR="00947E51" w:rsidRDefault="004D356E" w:rsidP="00B00EA5">
      <w:pPr>
        <w:pStyle w:val="Bullet"/>
        <w:numPr>
          <w:ilvl w:val="0"/>
          <w:numId w:val="0"/>
        </w:numPr>
      </w:pPr>
      <w:r>
        <w:t>T</w:t>
      </w:r>
      <w:r w:rsidR="00704A8A">
        <w:t>he</w:t>
      </w:r>
      <w:r w:rsidR="00947E51">
        <w:t xml:space="preserve"> decision-making</w:t>
      </w:r>
      <w:r w:rsidR="00704A8A">
        <w:t xml:space="preserve"> bodies </w:t>
      </w:r>
      <w:r w:rsidR="00C44C7C">
        <w:t xml:space="preserve">with responsibility </w:t>
      </w:r>
      <w:r w:rsidR="00704A8A">
        <w:t xml:space="preserve">for </w:t>
      </w:r>
      <w:r w:rsidR="00377A20">
        <w:t xml:space="preserve">administering </w:t>
      </w:r>
      <w:r w:rsidR="008269E4">
        <w:t xml:space="preserve">and enforcing </w:t>
      </w:r>
      <w:r w:rsidR="00CF57BA">
        <w:t>control transactions</w:t>
      </w:r>
      <w:r w:rsidR="00774C14">
        <w:t xml:space="preserve">, </w:t>
      </w:r>
      <w:r w:rsidR="00692056">
        <w:t>whether by takeover bid or</w:t>
      </w:r>
      <w:r w:rsidR="00774C14">
        <w:t xml:space="preserve"> </w:t>
      </w:r>
      <w:r w:rsidR="008269E4">
        <w:t>scheme of arrangement</w:t>
      </w:r>
      <w:r w:rsidR="00774C14">
        <w:t>,</w:t>
      </w:r>
      <w:r w:rsidR="00947E51">
        <w:t xml:space="preserve"> </w:t>
      </w:r>
      <w:r>
        <w:t>should</w:t>
      </w:r>
      <w:r w:rsidR="009621EF">
        <w:t xml:space="preserve"> </w:t>
      </w:r>
      <w:r w:rsidR="00C44C7C">
        <w:t>have appropriate regulatory powers</w:t>
      </w:r>
      <w:r w:rsidR="003066C5">
        <w:t xml:space="preserve"> </w:t>
      </w:r>
      <w:r w:rsidR="00947E51">
        <w:t xml:space="preserve">that </w:t>
      </w:r>
      <w:r w:rsidR="003066C5">
        <w:t xml:space="preserve">support </w:t>
      </w:r>
      <w:r w:rsidR="00947E51">
        <w:t xml:space="preserve">the Eggleston </w:t>
      </w:r>
      <w:r w:rsidR="00DF5DD7">
        <w:t>Principles</w:t>
      </w:r>
      <w:r w:rsidR="003066C5">
        <w:t xml:space="preserve"> being upheld</w:t>
      </w:r>
      <w:r w:rsidR="00947E51">
        <w:t xml:space="preserve"> </w:t>
      </w:r>
      <w:r w:rsidR="003066C5">
        <w:t>while minimising costs</w:t>
      </w:r>
      <w:r w:rsidR="00A916A7">
        <w:t xml:space="preserve"> to participants</w:t>
      </w:r>
      <w:r w:rsidR="00774C14">
        <w:t xml:space="preserve"> and improving efficiency</w:t>
      </w:r>
      <w:r w:rsidR="00A916A7">
        <w:t>.</w:t>
      </w:r>
    </w:p>
    <w:p w14:paraId="5E608889" w14:textId="29F4CDC1" w:rsidR="00FA09CC" w:rsidRDefault="00657176" w:rsidP="00830209">
      <w:pPr>
        <w:pStyle w:val="Bullet"/>
        <w:numPr>
          <w:ilvl w:val="0"/>
          <w:numId w:val="0"/>
        </w:numPr>
      </w:pPr>
      <w:r w:rsidRPr="006B0B58">
        <w:t xml:space="preserve">This section </w:t>
      </w:r>
      <w:r w:rsidR="009621EF" w:rsidRPr="006B0B58">
        <w:t>looks</w:t>
      </w:r>
      <w:r w:rsidR="008B1147" w:rsidRPr="006B0B58">
        <w:t xml:space="preserve"> </w:t>
      </w:r>
      <w:r w:rsidR="00A916A7" w:rsidRPr="006B0B58">
        <w:t xml:space="preserve">at the allocation </w:t>
      </w:r>
      <w:r w:rsidR="008B1147" w:rsidRPr="006B0B58">
        <w:t xml:space="preserve">of </w:t>
      </w:r>
      <w:r w:rsidR="003066C5" w:rsidRPr="006B0B58">
        <w:t>regulatory</w:t>
      </w:r>
      <w:r w:rsidR="008B1147" w:rsidRPr="006B0B58">
        <w:t xml:space="preserve"> powers among decision-makers in respect of schemes of arrangement for control transactions</w:t>
      </w:r>
      <w:r w:rsidR="003066C5" w:rsidRPr="006B0B58">
        <w:t xml:space="preserve">. </w:t>
      </w:r>
      <w:r w:rsidR="00261E3C" w:rsidRPr="006B0B58">
        <w:t>It also sets out, at a high level, some of the potential policy options available to the Government in expanding the remit of the Takeovers Panel.</w:t>
      </w:r>
      <w:r w:rsidR="00261E3C">
        <w:t xml:space="preserve"> </w:t>
      </w:r>
    </w:p>
    <w:p w14:paraId="43BBEB52" w14:textId="22B2130A" w:rsidR="00830209" w:rsidRPr="00C711EB" w:rsidRDefault="0080182A" w:rsidP="00830209">
      <w:pPr>
        <w:pStyle w:val="Bullet"/>
        <w:numPr>
          <w:ilvl w:val="0"/>
          <w:numId w:val="0"/>
        </w:numPr>
        <w:rPr>
          <w:highlight w:val="yellow"/>
        </w:rPr>
      </w:pPr>
      <w:r>
        <w:t>T</w:t>
      </w:r>
      <w:r w:rsidR="000840F7">
        <w:t xml:space="preserve">he Courts, </w:t>
      </w:r>
      <w:r>
        <w:t>the</w:t>
      </w:r>
      <w:r w:rsidR="000840F7">
        <w:t xml:space="preserve"> Takeovers Panel and ASIC </w:t>
      </w:r>
      <w:r>
        <w:t>each</w:t>
      </w:r>
      <w:r w:rsidR="000840F7">
        <w:t xml:space="preserve"> </w:t>
      </w:r>
      <w:r w:rsidR="00DD3BCB">
        <w:t>have specific pow</w:t>
      </w:r>
      <w:r w:rsidR="00F81833">
        <w:t>ers in respect of</w:t>
      </w:r>
      <w:r w:rsidR="003E636A">
        <w:t xml:space="preserve"> the approval of</w:t>
      </w:r>
      <w:r w:rsidR="00F81833">
        <w:t xml:space="preserve"> schemes of arrangement, in line with their</w:t>
      </w:r>
      <w:r w:rsidR="00C711EB">
        <w:t xml:space="preserve"> current</w:t>
      </w:r>
      <w:r w:rsidR="00F81833">
        <w:t xml:space="preserve"> roles in respect of schemes</w:t>
      </w:r>
      <w:r w:rsidR="005F6363">
        <w:t>:</w:t>
      </w:r>
    </w:p>
    <w:p w14:paraId="66F0AF79" w14:textId="07FC5F84" w:rsidR="00F81833" w:rsidRPr="006B0B58" w:rsidRDefault="00F81833" w:rsidP="00F81833">
      <w:pPr>
        <w:pStyle w:val="Bullet"/>
      </w:pPr>
      <w:r w:rsidRPr="006B0B58">
        <w:t xml:space="preserve">The Courts </w:t>
      </w:r>
      <w:r w:rsidR="003066C5" w:rsidRPr="006B0B58">
        <w:t xml:space="preserve">are </w:t>
      </w:r>
      <w:r w:rsidRPr="006B0B58">
        <w:t>responsib</w:t>
      </w:r>
      <w:r w:rsidR="003066C5" w:rsidRPr="006B0B58">
        <w:t>le for</w:t>
      </w:r>
      <w:r w:rsidRPr="006B0B58">
        <w:t xml:space="preserve"> consider</w:t>
      </w:r>
      <w:r w:rsidR="003066C5" w:rsidRPr="006B0B58">
        <w:t>ing</w:t>
      </w:r>
      <w:r w:rsidRPr="006B0B58">
        <w:t xml:space="preserve"> and approv</w:t>
      </w:r>
      <w:r w:rsidR="003066C5" w:rsidRPr="006B0B58">
        <w:t>ing</w:t>
      </w:r>
      <w:r w:rsidRPr="006B0B58">
        <w:t xml:space="preserve"> schemes. Generally, the Court has a broad range of powers </w:t>
      </w:r>
      <w:r w:rsidR="003066C5" w:rsidRPr="006B0B58">
        <w:t>available</w:t>
      </w:r>
      <w:r w:rsidRPr="006B0B58">
        <w:t xml:space="preserve"> (including procedural powers) to protect shareholders, reduce and/or protect costs and </w:t>
      </w:r>
      <w:r w:rsidR="002B7566" w:rsidRPr="006B0B58">
        <w:t xml:space="preserve">promote public policy objectives more broadly. In particular, </w:t>
      </w:r>
      <w:r w:rsidR="00A71CBA" w:rsidRPr="006B0B58">
        <w:t xml:space="preserve">s 413 of the </w:t>
      </w:r>
      <w:r w:rsidR="00A71CBA" w:rsidRPr="00007665">
        <w:t>Corporations Act</w:t>
      </w:r>
      <w:r w:rsidR="00A71CBA" w:rsidRPr="00007665">
        <w:rPr>
          <w:iCs/>
        </w:rPr>
        <w:t>,</w:t>
      </w:r>
      <w:r w:rsidR="00A71CBA" w:rsidRPr="006B0B58">
        <w:t xml:space="preserve"> </w:t>
      </w:r>
      <w:r w:rsidR="003066C5" w:rsidRPr="006B0B58">
        <w:t>allows the</w:t>
      </w:r>
      <w:r w:rsidR="00A71CBA" w:rsidRPr="006B0B58">
        <w:t xml:space="preserve"> Courts to make any necessary orders in respect of a scheme of arrangement.</w:t>
      </w:r>
    </w:p>
    <w:p w14:paraId="241CFEE5" w14:textId="675DBCEB" w:rsidR="002B7566" w:rsidRPr="006B0B58" w:rsidRDefault="002B7566" w:rsidP="00F81833">
      <w:pPr>
        <w:pStyle w:val="Bullet"/>
      </w:pPr>
      <w:r w:rsidRPr="006B0B58">
        <w:t xml:space="preserve">ASIC </w:t>
      </w:r>
      <w:r w:rsidR="003066C5" w:rsidRPr="006B0B58">
        <w:t>is the</w:t>
      </w:r>
      <w:r w:rsidR="00A71CBA" w:rsidRPr="006B0B58">
        <w:t xml:space="preserve"> regulator of </w:t>
      </w:r>
      <w:r w:rsidR="00CF57BA">
        <w:t>control transactions</w:t>
      </w:r>
      <w:r w:rsidR="005F4927" w:rsidRPr="006B0B58">
        <w:t xml:space="preserve"> (including scheme</w:t>
      </w:r>
      <w:r w:rsidR="00F34E8B">
        <w:t>s</w:t>
      </w:r>
      <w:r w:rsidR="005F4927" w:rsidRPr="006B0B58">
        <w:t xml:space="preserve"> of arrangement)</w:t>
      </w:r>
      <w:r w:rsidRPr="006B0B58">
        <w:t>. A</w:t>
      </w:r>
      <w:r w:rsidR="00A71CBA" w:rsidRPr="006B0B58">
        <w:t>S</w:t>
      </w:r>
      <w:r w:rsidRPr="006B0B58">
        <w:t>IC</w:t>
      </w:r>
      <w:r w:rsidR="00A71CBA" w:rsidRPr="006B0B58">
        <w:t xml:space="preserve"> has the power to </w:t>
      </w:r>
      <w:r w:rsidR="009621EF" w:rsidRPr="006B0B58">
        <w:t xml:space="preserve">provide </w:t>
      </w:r>
      <w:r w:rsidR="005F4927" w:rsidRPr="006B0B58">
        <w:t>relief from regulatory obligations by use of its exemption and modification powers</w:t>
      </w:r>
      <w:r w:rsidR="001867CB">
        <w:t>.</w:t>
      </w:r>
    </w:p>
    <w:p w14:paraId="336BCB8E" w14:textId="41A4ED26" w:rsidR="001E5C78" w:rsidRPr="006B0B58" w:rsidRDefault="00410995" w:rsidP="001E5C78">
      <w:pPr>
        <w:pStyle w:val="Bullet"/>
      </w:pPr>
      <w:r>
        <w:t>T</w:t>
      </w:r>
      <w:r w:rsidR="002B7566" w:rsidRPr="006B0B58">
        <w:t xml:space="preserve">he </w:t>
      </w:r>
      <w:r w:rsidR="00A916A7" w:rsidRPr="006B0B58">
        <w:t xml:space="preserve">role of the </w:t>
      </w:r>
      <w:r w:rsidR="002B7566" w:rsidRPr="006B0B58">
        <w:t xml:space="preserve">Takeovers Panel </w:t>
      </w:r>
      <w:r w:rsidR="00A916A7" w:rsidRPr="006B0B58">
        <w:t xml:space="preserve">is limited to considering specific policy issues arising in respect of a scheme, as well as being the body in which ASIC exemption and modification decisions are reviewed. It </w:t>
      </w:r>
      <w:r w:rsidR="002B7566" w:rsidRPr="006B0B58">
        <w:t xml:space="preserve">has limited powers in respect of </w:t>
      </w:r>
      <w:r w:rsidR="006159A8">
        <w:t>the approval of</w:t>
      </w:r>
      <w:r w:rsidR="002B7566" w:rsidRPr="006B0B58">
        <w:t xml:space="preserve"> </w:t>
      </w:r>
      <w:r w:rsidR="006B0B58">
        <w:t>s</w:t>
      </w:r>
      <w:r w:rsidR="002B7566" w:rsidRPr="006B0B58">
        <w:t xml:space="preserve">chemes of </w:t>
      </w:r>
      <w:r w:rsidR="006B0B58">
        <w:t>a</w:t>
      </w:r>
      <w:r w:rsidR="002B7566" w:rsidRPr="006B0B58">
        <w:t xml:space="preserve">rrangement. </w:t>
      </w:r>
    </w:p>
    <w:p w14:paraId="728A0BAA" w14:textId="30AFD291" w:rsidR="001E5C78" w:rsidRPr="0031538A" w:rsidRDefault="0031538A" w:rsidP="006B0B58">
      <w:pPr>
        <w:pStyle w:val="Heading5"/>
      </w:pPr>
      <w:r>
        <w:t>Possible modifications to regulatory roles</w:t>
      </w:r>
    </w:p>
    <w:p w14:paraId="1FDE6198" w14:textId="25D472B8" w:rsidR="00404C50" w:rsidRDefault="0054287D" w:rsidP="00830209">
      <w:pPr>
        <w:pStyle w:val="Bullet"/>
        <w:numPr>
          <w:ilvl w:val="0"/>
          <w:numId w:val="0"/>
        </w:numPr>
      </w:pPr>
      <w:r>
        <w:t xml:space="preserve">In </w:t>
      </w:r>
      <w:r w:rsidR="008D68A5">
        <w:t xml:space="preserve">relation to regulatory powers </w:t>
      </w:r>
      <w:r w:rsidR="00100D9C">
        <w:t>for</w:t>
      </w:r>
      <w:r>
        <w:t xml:space="preserve"> schemes of arrangement</w:t>
      </w:r>
      <w:r w:rsidR="008D68A5">
        <w:t xml:space="preserve"> </w:t>
      </w:r>
      <w:r w:rsidR="009C0A50">
        <w:t>for the purpose of effecting</w:t>
      </w:r>
      <w:r w:rsidR="00CF57BA">
        <w:t xml:space="preserve"> a change in corporate control</w:t>
      </w:r>
      <w:r>
        <w:t xml:space="preserve">, </w:t>
      </w:r>
      <w:r w:rsidR="00E61BDF">
        <w:t xml:space="preserve">consideration </w:t>
      </w:r>
      <w:r w:rsidR="008D68A5">
        <w:t xml:space="preserve">could </w:t>
      </w:r>
      <w:r w:rsidR="00E61BDF">
        <w:t>be given to the following</w:t>
      </w:r>
      <w:r w:rsidR="00100D9C">
        <w:t xml:space="preserve"> policy</w:t>
      </w:r>
      <w:r w:rsidR="00E61BDF">
        <w:t xml:space="preserve"> options</w:t>
      </w:r>
      <w:r w:rsidR="00E021F0">
        <w:t>:</w:t>
      </w:r>
    </w:p>
    <w:p w14:paraId="34428065" w14:textId="216E8EBB" w:rsidR="00C711EB" w:rsidRPr="00CB1465" w:rsidRDefault="00245C7D" w:rsidP="00C711EB">
      <w:pPr>
        <w:pStyle w:val="Bullet"/>
      </w:pPr>
      <w:r>
        <w:t>P</w:t>
      </w:r>
      <w:r w:rsidR="008D68A5">
        <w:t xml:space="preserve">roviding </w:t>
      </w:r>
      <w:r w:rsidR="00C711EB" w:rsidRPr="00CB1465">
        <w:t xml:space="preserve">ASIC </w:t>
      </w:r>
      <w:r w:rsidR="008D68A5">
        <w:t xml:space="preserve">with </w:t>
      </w:r>
      <w:r w:rsidR="00C711EB" w:rsidRPr="00CB1465">
        <w:t>exemption and modification powers</w:t>
      </w:r>
      <w:r w:rsidR="00C711EB">
        <w:t xml:space="preserve"> </w:t>
      </w:r>
      <w:r w:rsidR="00E3661D">
        <w:t>commensurate with those available</w:t>
      </w:r>
      <w:r w:rsidR="00C711EB">
        <w:t xml:space="preserve"> in respect of the Takeover Rules</w:t>
      </w:r>
      <w:r w:rsidR="004B6B6D">
        <w:t>,</w:t>
      </w:r>
      <w:r w:rsidR="00C711EB" w:rsidRPr="00CB1465">
        <w:t xml:space="preserve"> to complement or replace </w:t>
      </w:r>
      <w:r w:rsidR="004B6B6D">
        <w:t>its</w:t>
      </w:r>
      <w:r w:rsidR="00C711EB" w:rsidRPr="00CB1465">
        <w:t xml:space="preserve"> ability to make waivers in respect of disclosure</w:t>
      </w:r>
      <w:r>
        <w:t>.</w:t>
      </w:r>
    </w:p>
    <w:p w14:paraId="76446CF1" w14:textId="4ED18191" w:rsidR="00C711EB" w:rsidRDefault="00245C7D" w:rsidP="00C711EB">
      <w:pPr>
        <w:pStyle w:val="Bullet"/>
      </w:pPr>
      <w:r>
        <w:t>M</w:t>
      </w:r>
      <w:r w:rsidR="008D68A5">
        <w:t xml:space="preserve">aking </w:t>
      </w:r>
      <w:r w:rsidR="00100D9C">
        <w:t xml:space="preserve">any </w:t>
      </w:r>
      <w:r w:rsidR="00C711EB" w:rsidRPr="00CB1465">
        <w:t xml:space="preserve">waivers </w:t>
      </w:r>
      <w:r w:rsidR="008D68A5">
        <w:t>made in respect of disclosure</w:t>
      </w:r>
      <w:r w:rsidR="00C711EB" w:rsidRPr="00CB1465">
        <w:t>, or exemptions or modifications</w:t>
      </w:r>
      <w:r w:rsidR="00261E3C">
        <w:t xml:space="preserve"> made by ASIC in the context of schemes of arrangement</w:t>
      </w:r>
      <w:r w:rsidR="00C711EB" w:rsidRPr="00CB1465">
        <w:t xml:space="preserve"> subject to review by the Takeovers Panel</w:t>
      </w:r>
      <w:r>
        <w:t>.</w:t>
      </w:r>
    </w:p>
    <w:p w14:paraId="3430F112" w14:textId="6E9FAD0B" w:rsidR="00E021F0" w:rsidRDefault="00245C7D" w:rsidP="00E021F0">
      <w:pPr>
        <w:pStyle w:val="Bullet"/>
      </w:pPr>
      <w:r>
        <w:t>T</w:t>
      </w:r>
      <w:r w:rsidR="008D68A5">
        <w:t xml:space="preserve">ransferring </w:t>
      </w:r>
      <w:r w:rsidR="00E021F0">
        <w:t xml:space="preserve">the functions of the </w:t>
      </w:r>
      <w:r w:rsidR="007D7001">
        <w:t>Court</w:t>
      </w:r>
      <w:r w:rsidR="00E021F0">
        <w:t xml:space="preserve"> </w:t>
      </w:r>
      <w:r>
        <w:t xml:space="preserve">to the Takeovers Panel </w:t>
      </w:r>
      <w:r w:rsidR="00261E3C">
        <w:t xml:space="preserve">wholesale </w:t>
      </w:r>
      <w:r w:rsidR="00E021F0">
        <w:t>in reviewing scheme documentation, convening members’ meetings and/or providing final approval</w:t>
      </w:r>
      <w:r>
        <w:t>.</w:t>
      </w:r>
    </w:p>
    <w:p w14:paraId="08BE93A2" w14:textId="1853BF9E" w:rsidR="00100D9C" w:rsidRDefault="00245C7D" w:rsidP="00E021F0">
      <w:pPr>
        <w:pStyle w:val="Bullet"/>
      </w:pPr>
      <w:r>
        <w:t>A</w:t>
      </w:r>
      <w:r w:rsidR="00100D9C">
        <w:t>lternatively</w:t>
      </w:r>
      <w:r w:rsidR="00261E3C">
        <w:t xml:space="preserve"> </w:t>
      </w:r>
      <w:r w:rsidR="008D68A5">
        <w:t xml:space="preserve">transferring to </w:t>
      </w:r>
      <w:r w:rsidR="00261E3C">
        <w:t xml:space="preserve">the Takeovers Panel </w:t>
      </w:r>
      <w:r w:rsidR="00100D9C">
        <w:t xml:space="preserve">some of the </w:t>
      </w:r>
      <w:r w:rsidR="007D7001">
        <w:t>Court</w:t>
      </w:r>
      <w:r w:rsidR="00100D9C">
        <w:t>’s functions, such as:</w:t>
      </w:r>
    </w:p>
    <w:p w14:paraId="3093AEB9" w14:textId="5829B8B3" w:rsidR="00100D9C" w:rsidRDefault="00245C7D" w:rsidP="00100D9C">
      <w:pPr>
        <w:pStyle w:val="Dash"/>
      </w:pPr>
      <w:r>
        <w:t>convening</w:t>
      </w:r>
      <w:r w:rsidR="00100D9C">
        <w:t xml:space="preserve"> the “first </w:t>
      </w:r>
      <w:r w:rsidR="00851E34">
        <w:t>c</w:t>
      </w:r>
      <w:r w:rsidR="007D7001">
        <w:t>ourt</w:t>
      </w:r>
      <w:r w:rsidR="00100D9C">
        <w:t xml:space="preserve"> hearing” reviewing scheme documentation, convening members’ meetings and leaving final approval to the </w:t>
      </w:r>
      <w:r w:rsidR="007D7001">
        <w:t>Court</w:t>
      </w:r>
      <w:r w:rsidR="00100D9C">
        <w:t>s</w:t>
      </w:r>
    </w:p>
    <w:p w14:paraId="0625FF05" w14:textId="008E15FA" w:rsidR="00261E3C" w:rsidRDefault="00245C7D" w:rsidP="00100D9C">
      <w:pPr>
        <w:pStyle w:val="Dash"/>
      </w:pPr>
      <w:r>
        <w:t>convening</w:t>
      </w:r>
      <w:r w:rsidR="00100D9C">
        <w:t xml:space="preserve"> the “second </w:t>
      </w:r>
      <w:r w:rsidR="00851E34">
        <w:t xml:space="preserve">court </w:t>
      </w:r>
      <w:r w:rsidR="00100D9C">
        <w:t xml:space="preserve">hearing” and providing final approval to the scheme, </w:t>
      </w:r>
      <w:r w:rsidR="00F50ABB">
        <w:t xml:space="preserve">with </w:t>
      </w:r>
      <w:r w:rsidR="00100D9C">
        <w:t xml:space="preserve">the reviewing of the scheme documentation and the convening of the members’ meeting </w:t>
      </w:r>
      <w:r w:rsidR="00F50ABB">
        <w:t xml:space="preserve">left </w:t>
      </w:r>
      <w:r w:rsidR="00100D9C">
        <w:t>to either ASIC, the Court and/or to the target company itself</w:t>
      </w:r>
      <w:r w:rsidR="005954AC">
        <w:t>.</w:t>
      </w:r>
    </w:p>
    <w:p w14:paraId="59A051C5" w14:textId="3AE74244" w:rsidR="00D27B29" w:rsidRDefault="005954AC" w:rsidP="00E021F0">
      <w:pPr>
        <w:pStyle w:val="Bullet"/>
      </w:pPr>
      <w:r>
        <w:lastRenderedPageBreak/>
        <w:t>I</w:t>
      </w:r>
      <w:r w:rsidR="00F50ABB">
        <w:t>mplementing</w:t>
      </w:r>
      <w:r w:rsidR="00D27B29">
        <w:t xml:space="preserve"> a regime for schemes in which approvals are not required as a matter of course, but in which the Takeovers Panel retains its role as a dispute resolution body to consider any disputes or regulatory issues that arise in the context of the scheme, on application by an interested party (including ASIC)</w:t>
      </w:r>
      <w:r>
        <w:t>.</w:t>
      </w:r>
    </w:p>
    <w:p w14:paraId="3D9CDEBC" w14:textId="26426CDB" w:rsidR="00E021F0" w:rsidRDefault="005954AC" w:rsidP="00E021F0">
      <w:pPr>
        <w:pStyle w:val="Bullet"/>
      </w:pPr>
      <w:r>
        <w:t>P</w:t>
      </w:r>
      <w:r w:rsidR="00F50ABB">
        <w:t xml:space="preserve">roviding </w:t>
      </w:r>
      <w:r w:rsidR="00E021F0">
        <w:t xml:space="preserve">the Takeovers Panel </w:t>
      </w:r>
      <w:r w:rsidR="00F50ABB">
        <w:t xml:space="preserve">with </w:t>
      </w:r>
      <w:r w:rsidR="00E021F0">
        <w:t xml:space="preserve">the flexibility the Courts have to attach conditions or requirements to the </w:t>
      </w:r>
      <w:r w:rsidR="00F50ABB">
        <w:t xml:space="preserve">members' </w:t>
      </w:r>
      <w:r w:rsidR="00E021F0">
        <w:t>meeting</w:t>
      </w:r>
      <w:r w:rsidR="0054287D">
        <w:t xml:space="preserve"> and/or scheme overall</w:t>
      </w:r>
      <w:r>
        <w:t>.</w:t>
      </w:r>
    </w:p>
    <w:p w14:paraId="549D0825" w14:textId="611A853F" w:rsidR="00E021F0" w:rsidRDefault="005954AC" w:rsidP="00E021F0">
      <w:pPr>
        <w:pStyle w:val="Bullet"/>
      </w:pPr>
      <w:r>
        <w:t>A</w:t>
      </w:r>
      <w:r w:rsidR="00F50ABB">
        <w:t>mending</w:t>
      </w:r>
      <w:r w:rsidR="0054287D" w:rsidRPr="0054287D">
        <w:t xml:space="preserve"> </w:t>
      </w:r>
      <w:r w:rsidR="00E021F0" w:rsidRPr="0054287D">
        <w:t>the legislative process so that scheme documents, like takeover bid documents, are not routinely reviewed by the Takeovers Panel before being communicated to members</w:t>
      </w:r>
      <w:r w:rsidR="00D27B29">
        <w:t>, with either prescriptive or principles-based content and disclosure requirements</w:t>
      </w:r>
      <w:r>
        <w:t>.</w:t>
      </w:r>
    </w:p>
    <w:p w14:paraId="5522BDE6" w14:textId="5368FFF2" w:rsidR="006159A8" w:rsidRDefault="005954AC" w:rsidP="006159A8">
      <w:pPr>
        <w:pStyle w:val="Bullet"/>
      </w:pPr>
      <w:r>
        <w:t>C</w:t>
      </w:r>
      <w:r w:rsidR="006159A8">
        <w:t>reating a process where</w:t>
      </w:r>
      <w:r>
        <w:t>by</w:t>
      </w:r>
      <w:r w:rsidR="006159A8">
        <w:t xml:space="preserve"> some schemes do not require Court approval</w:t>
      </w:r>
      <w:r>
        <w:t>.</w:t>
      </w:r>
    </w:p>
    <w:p w14:paraId="30DBFE4B" w14:textId="798D2794" w:rsidR="006159A8" w:rsidRDefault="005954AC" w:rsidP="006159A8">
      <w:pPr>
        <w:pStyle w:val="Bullet"/>
      </w:pPr>
      <w:r>
        <w:t>P</w:t>
      </w:r>
      <w:r w:rsidR="006159A8">
        <w:t>otentially allowing schemes in relation to small companies to be streamlined, including by allowing for</w:t>
      </w:r>
      <w:r w:rsidR="00D60EDD">
        <w:t xml:space="preserve"> other bodies like</w:t>
      </w:r>
      <w:r w:rsidR="006159A8">
        <w:t xml:space="preserve"> ASIC or a Court Registrar to approve such schemes</w:t>
      </w:r>
      <w:r>
        <w:t>.</w:t>
      </w:r>
    </w:p>
    <w:p w14:paraId="02B73FA4" w14:textId="50EE482C" w:rsidR="006159A8" w:rsidRDefault="005954AC" w:rsidP="006159A8">
      <w:pPr>
        <w:pStyle w:val="Bullet"/>
      </w:pPr>
      <w:r>
        <w:t>A</w:t>
      </w:r>
      <w:r w:rsidR="006159A8">
        <w:t>llowing ASIC or the Takeovers Panel to certify that certain schemes do not require detailed Court oversight, with Court approval occurring as an administrative process only</w:t>
      </w:r>
      <w:r>
        <w:t>.</w:t>
      </w:r>
    </w:p>
    <w:p w14:paraId="26C01E43" w14:textId="42E67886" w:rsidR="00337C18" w:rsidRDefault="005954AC" w:rsidP="00E021F0">
      <w:pPr>
        <w:pStyle w:val="Bullet"/>
      </w:pPr>
      <w:r>
        <w:t>E</w:t>
      </w:r>
      <w:r w:rsidR="001E5C78">
        <w:t xml:space="preserve">xpanding </w:t>
      </w:r>
      <w:r w:rsidR="00337C18">
        <w:t xml:space="preserve">the </w:t>
      </w:r>
      <w:r>
        <w:t xml:space="preserve">powers of the </w:t>
      </w:r>
      <w:r w:rsidR="00353D88">
        <w:t xml:space="preserve">Takeovers </w:t>
      </w:r>
      <w:r w:rsidR="00337C18">
        <w:t>Panel</w:t>
      </w:r>
      <w:r w:rsidR="00373C78">
        <w:t xml:space="preserve"> to award costs, in the same manner as </w:t>
      </w:r>
      <w:r w:rsidR="00851E34">
        <w:t xml:space="preserve">the </w:t>
      </w:r>
      <w:r w:rsidR="00373C78">
        <w:t xml:space="preserve">Court presently does or </w:t>
      </w:r>
      <w:r w:rsidR="009C0A50">
        <w:t>retaining</w:t>
      </w:r>
      <w:r w:rsidR="00373C78">
        <w:t xml:space="preserve"> a similar power</w:t>
      </w:r>
      <w:r w:rsidR="009C0A50">
        <w:t xml:space="preserve"> for the </w:t>
      </w:r>
      <w:r w:rsidR="00353D88">
        <w:t xml:space="preserve">Takeovers </w:t>
      </w:r>
      <w:r w:rsidR="009C0A50">
        <w:t>Panel</w:t>
      </w:r>
      <w:r w:rsidR="00373C78">
        <w:t xml:space="preserve">. </w:t>
      </w:r>
    </w:p>
    <w:p w14:paraId="60A39F1A" w14:textId="10B5204D" w:rsidR="00373C78" w:rsidRPr="00373C78" w:rsidRDefault="001E5C78" w:rsidP="005A3836">
      <w:pPr>
        <w:pStyle w:val="Bullet"/>
        <w:numPr>
          <w:ilvl w:val="0"/>
          <w:numId w:val="0"/>
        </w:numPr>
      </w:pPr>
      <w:r>
        <w:t>T</w:t>
      </w:r>
      <w:r w:rsidR="00373C78">
        <w:t xml:space="preserve">hese reform options </w:t>
      </w:r>
      <w:r>
        <w:t xml:space="preserve">could be implemented </w:t>
      </w:r>
      <w:r w:rsidR="00373C78">
        <w:t>by either</w:t>
      </w:r>
      <w:r w:rsidR="008252E5">
        <w:t>:</w:t>
      </w:r>
      <w:r w:rsidR="00373C78">
        <w:t xml:space="preserve"> amending the existing</w:t>
      </w:r>
      <w:r w:rsidR="009E65EF">
        <w:t xml:space="preserve"> Takeover Rules,</w:t>
      </w:r>
      <w:r w:rsidR="00373C78">
        <w:t xml:space="preserve"> </w:t>
      </w:r>
      <w:r w:rsidR="008252E5">
        <w:t xml:space="preserve">the </w:t>
      </w:r>
      <w:r w:rsidR="00373C78">
        <w:t>Scheme of Arrangement Rules</w:t>
      </w:r>
      <w:r w:rsidR="008252E5">
        <w:t>,</w:t>
      </w:r>
      <w:r w:rsidR="00373C78">
        <w:t xml:space="preserve"> </w:t>
      </w:r>
      <w:r w:rsidR="00373C78" w:rsidRPr="008252E5">
        <w:t xml:space="preserve">or </w:t>
      </w:r>
      <w:r w:rsidR="00261E3C">
        <w:t>creating a bespoke statutory regime</w:t>
      </w:r>
      <w:r>
        <w:t xml:space="preserve">. </w:t>
      </w:r>
      <w:r w:rsidR="008252E5">
        <w:t>For example, a</w:t>
      </w:r>
      <w:r>
        <w:t xml:space="preserve"> bespoke,</w:t>
      </w:r>
      <w:r w:rsidR="00261E3C">
        <w:t xml:space="preserve"> streamlined schemes </w:t>
      </w:r>
      <w:r w:rsidR="00F367B9">
        <w:t xml:space="preserve">process </w:t>
      </w:r>
      <w:r>
        <w:t xml:space="preserve">could be </w:t>
      </w:r>
      <w:r w:rsidR="00F367B9">
        <w:t>administered by the Takeovers Panel, leaving the existing Schemes of Arrangement Rules in place for parties which prefer to use the existing regime instead.</w:t>
      </w:r>
    </w:p>
    <w:p w14:paraId="65D51E88" w14:textId="5196CC82" w:rsidR="009621EF" w:rsidRDefault="008B4D68" w:rsidP="009621EF">
      <w:r>
        <w:t>B</w:t>
      </w:r>
      <w:r w:rsidR="009621EF">
        <w:t xml:space="preserve">roadening the situations in which the Takeovers </w:t>
      </w:r>
      <w:r w:rsidR="005150B8">
        <w:t xml:space="preserve">Panel </w:t>
      </w:r>
      <w:r w:rsidR="009621EF">
        <w:t xml:space="preserve">is empowered to act </w:t>
      </w:r>
      <w:r w:rsidR="005150B8">
        <w:t xml:space="preserve">for schemes of arrangement </w:t>
      </w:r>
      <w:r w:rsidR="009621EF">
        <w:t xml:space="preserve">may </w:t>
      </w:r>
      <w:r w:rsidR="001E5C78">
        <w:t>improve</w:t>
      </w:r>
      <w:r w:rsidR="005150B8">
        <w:t xml:space="preserve"> the operation of mergers and acquisitions in general</w:t>
      </w:r>
      <w:r w:rsidR="009621EF">
        <w:t>, because the Takeovers Panel:</w:t>
      </w:r>
    </w:p>
    <w:p w14:paraId="3C01468F" w14:textId="03CABB43" w:rsidR="009621EF" w:rsidRDefault="009621EF" w:rsidP="009621EF">
      <w:pPr>
        <w:pStyle w:val="Bullet"/>
        <w:numPr>
          <w:ilvl w:val="0"/>
          <w:numId w:val="0"/>
        </w:numPr>
        <w:ind w:left="284" w:hanging="284"/>
      </w:pPr>
      <w:r>
        <w:t>•</w:t>
      </w:r>
      <w:r>
        <w:tab/>
        <w:t>is legally required to consider the Eggleston Principles in their assessment of unacceptable circumstances</w:t>
      </w:r>
    </w:p>
    <w:p w14:paraId="17FCBF28" w14:textId="638EF97B" w:rsidR="009621EF" w:rsidRDefault="009621EF" w:rsidP="009621EF">
      <w:pPr>
        <w:pStyle w:val="Bullet"/>
        <w:numPr>
          <w:ilvl w:val="0"/>
          <w:numId w:val="0"/>
        </w:numPr>
        <w:ind w:left="284" w:hanging="284"/>
      </w:pPr>
      <w:r>
        <w:t>•</w:t>
      </w:r>
      <w:r>
        <w:tab/>
        <w:t>is constituted by experts with specialist knowledge of the takeovers market and makes declarations with reference to common market practice</w:t>
      </w:r>
    </w:p>
    <w:p w14:paraId="051A6304" w14:textId="280DD839" w:rsidR="005150B8" w:rsidRDefault="009621EF" w:rsidP="005150B8">
      <w:pPr>
        <w:pStyle w:val="Bullet"/>
        <w:numPr>
          <w:ilvl w:val="0"/>
          <w:numId w:val="0"/>
        </w:numPr>
        <w:ind w:left="284" w:hanging="284"/>
      </w:pPr>
      <w:r>
        <w:t>•</w:t>
      </w:r>
      <w:r>
        <w:tab/>
        <w:t>would</w:t>
      </w:r>
      <w:r w:rsidR="005150B8">
        <w:t xml:space="preserve"> </w:t>
      </w:r>
      <w:r>
        <w:t xml:space="preserve">have primary oversight of all control transactions, not just </w:t>
      </w:r>
      <w:r w:rsidR="001E5C78">
        <w:t xml:space="preserve">those </w:t>
      </w:r>
      <w:r>
        <w:t>that do not involve schemes of arrangement</w:t>
      </w:r>
      <w:r w:rsidR="005150B8">
        <w:t>, improving consistency in regulatory decision-making</w:t>
      </w:r>
      <w:r>
        <w:t>.</w:t>
      </w:r>
    </w:p>
    <w:p w14:paraId="18F5D6EF" w14:textId="1F5225DE" w:rsidR="008D641F" w:rsidRDefault="0031538A" w:rsidP="005A3836">
      <w:pPr>
        <w:pStyle w:val="Bullet"/>
        <w:numPr>
          <w:ilvl w:val="0"/>
          <w:numId w:val="0"/>
        </w:numPr>
      </w:pPr>
      <w:r>
        <w:t>C</w:t>
      </w:r>
      <w:r w:rsidR="008D641F">
        <w:t>areful consideration would need to be given to the powers the Takeovers Panel would utilise in such circumstances</w:t>
      </w:r>
      <w:r>
        <w:t>.</w:t>
      </w:r>
      <w:r w:rsidR="00D755A7">
        <w:t xml:space="preserve"> The</w:t>
      </w:r>
      <w:r w:rsidR="008D641F">
        <w:t xml:space="preserve"> </w:t>
      </w:r>
      <w:r w:rsidR="007D7001">
        <w:t>Court</w:t>
      </w:r>
      <w:r w:rsidR="008D641F">
        <w:t xml:space="preserve">s have broad powers to make any necessary orders in respect of the scheme and losing this flexibility may detract from the operation of any new regime. </w:t>
      </w:r>
      <w:r w:rsidR="00D755A7">
        <w:t xml:space="preserve">It </w:t>
      </w:r>
      <w:r w:rsidR="006B0B58">
        <w:t>may</w:t>
      </w:r>
      <w:r w:rsidR="00D755A7">
        <w:t xml:space="preserve"> not </w:t>
      </w:r>
      <w:r w:rsidR="006B0B58">
        <w:t xml:space="preserve">be legally </w:t>
      </w:r>
      <w:r w:rsidR="00D755A7">
        <w:t>possible to provide equivalent powers to the Takeovers Panel.</w:t>
      </w:r>
    </w:p>
    <w:p w14:paraId="59E8B726" w14:textId="06EBB8E6" w:rsidR="005150B8" w:rsidRDefault="00D755A7" w:rsidP="005A3836">
      <w:pPr>
        <w:pStyle w:val="Bullet"/>
        <w:numPr>
          <w:ilvl w:val="0"/>
          <w:numId w:val="0"/>
        </w:numPr>
      </w:pPr>
      <w:r>
        <w:t>A</w:t>
      </w:r>
      <w:r w:rsidR="005150B8">
        <w:t xml:space="preserve"> more streamlined</w:t>
      </w:r>
      <w:r w:rsidR="008D641F">
        <w:t xml:space="preserve"> and</w:t>
      </w:r>
      <w:r w:rsidR="005150B8">
        <w:t xml:space="preserve"> flexible scheme of arrangement regime for </w:t>
      </w:r>
      <w:r w:rsidR="00CF57BA">
        <w:t xml:space="preserve">changes in corporate control </w:t>
      </w:r>
      <w:r w:rsidR="005150B8">
        <w:t xml:space="preserve">may </w:t>
      </w:r>
      <w:r w:rsidR="00845BD4">
        <w:t xml:space="preserve">significantly </w:t>
      </w:r>
      <w:r>
        <w:t xml:space="preserve">reduce </w:t>
      </w:r>
      <w:r w:rsidR="00845BD4">
        <w:t>the costs of a scheme, particularly for the target company. Court fees and the</w:t>
      </w:r>
      <w:r w:rsidR="00D94306">
        <w:t xml:space="preserve"> extensive</w:t>
      </w:r>
      <w:r w:rsidR="00845BD4">
        <w:t xml:space="preserve"> costs of preparing evidence and submissions</w:t>
      </w:r>
      <w:r w:rsidR="00D94306">
        <w:t xml:space="preserve"> for </w:t>
      </w:r>
      <w:r w:rsidR="007D7001">
        <w:t>Court</w:t>
      </w:r>
      <w:r w:rsidR="00845BD4">
        <w:t xml:space="preserve"> could largely </w:t>
      </w:r>
      <w:r w:rsidR="00D94306">
        <w:t>be</w:t>
      </w:r>
      <w:r w:rsidR="00845BD4">
        <w:t xml:space="preserve"> avoided, and the costs incurred by the </w:t>
      </w:r>
      <w:r w:rsidR="007D7001">
        <w:t>Court</w:t>
      </w:r>
      <w:r w:rsidR="00845BD4">
        <w:t>s</w:t>
      </w:r>
      <w:r w:rsidR="00D94306">
        <w:t xml:space="preserve"> themselves</w:t>
      </w:r>
      <w:r w:rsidR="00845BD4">
        <w:t xml:space="preserve"> in hearing and </w:t>
      </w:r>
      <w:r w:rsidR="00D94306">
        <w:t>approving</w:t>
      </w:r>
      <w:r w:rsidR="00845BD4">
        <w:t xml:space="preserve"> schemes could also be reduced. A reduction in these regulatory costs co</w:t>
      </w:r>
      <w:r w:rsidR="00C25210">
        <w:t>uld encourage takeover activity, leading to a more efficient allocation of corporate capital in Australia.</w:t>
      </w:r>
    </w:p>
    <w:p w14:paraId="5CB7B432" w14:textId="0C373504" w:rsidR="00845BD4" w:rsidRDefault="00B6242C" w:rsidP="005A3836">
      <w:pPr>
        <w:pStyle w:val="Bullet"/>
        <w:numPr>
          <w:ilvl w:val="0"/>
          <w:numId w:val="0"/>
        </w:numPr>
      </w:pPr>
      <w:r>
        <w:t>T</w:t>
      </w:r>
      <w:r w:rsidR="00D94306">
        <w:t xml:space="preserve">he Takeovers Panel would require extra resources </w:t>
      </w:r>
      <w:r>
        <w:t>to</w:t>
      </w:r>
      <w:r w:rsidR="00D94306">
        <w:t xml:space="preserve"> meet </w:t>
      </w:r>
      <w:r>
        <w:t xml:space="preserve">the additional </w:t>
      </w:r>
      <w:r w:rsidR="009C0A50">
        <w:t>workload</w:t>
      </w:r>
      <w:r>
        <w:t xml:space="preserve"> of such a regime</w:t>
      </w:r>
      <w:r w:rsidR="00D94306">
        <w:t xml:space="preserve">. There is also </w:t>
      </w:r>
      <w:r>
        <w:t xml:space="preserve">a </w:t>
      </w:r>
      <w:r w:rsidR="00D94306">
        <w:t xml:space="preserve">risk that amendments to </w:t>
      </w:r>
      <w:r w:rsidR="005E1085">
        <w:t xml:space="preserve">the </w:t>
      </w:r>
      <w:r w:rsidR="00D94306">
        <w:t xml:space="preserve">Schemes of Arrangement Rules or the creation of a new statutory regime may lead to increased uncertainty </w:t>
      </w:r>
      <w:r>
        <w:t>in the short</w:t>
      </w:r>
      <w:r w:rsidR="005E1085">
        <w:t>-</w:t>
      </w:r>
      <w:r>
        <w:t xml:space="preserve">term </w:t>
      </w:r>
      <w:r w:rsidR="00D94306">
        <w:t xml:space="preserve">compared to the well-established and understood principles in the existing Scheme of Arrangement Rules. </w:t>
      </w:r>
    </w:p>
    <w:p w14:paraId="1EB4B7F9" w14:textId="47FE4F98" w:rsidR="00B6242C" w:rsidRDefault="00B6242C" w:rsidP="009C0A50">
      <w:pPr>
        <w:pStyle w:val="Heading5"/>
      </w:pPr>
      <w:r>
        <w:lastRenderedPageBreak/>
        <w:t>Comparable arrangements in other jurisdictions</w:t>
      </w:r>
    </w:p>
    <w:p w14:paraId="3F00419E" w14:textId="6AD65FB5" w:rsidR="00C577DE" w:rsidRPr="00C577DE" w:rsidRDefault="00622A0E" w:rsidP="00C577DE">
      <w:pPr>
        <w:pStyle w:val="Bullet"/>
        <w:numPr>
          <w:ilvl w:val="0"/>
          <w:numId w:val="0"/>
        </w:numPr>
      </w:pPr>
      <w:r>
        <w:t>S</w:t>
      </w:r>
      <w:r w:rsidR="005150B8">
        <w:t>cheme</w:t>
      </w:r>
      <w:r>
        <w:t xml:space="preserve"> </w:t>
      </w:r>
      <w:r w:rsidR="005150B8">
        <w:t>of arrangement</w:t>
      </w:r>
      <w:r w:rsidR="00516159">
        <w:t xml:space="preserve"> </w:t>
      </w:r>
      <w:r w:rsidR="00F367B9">
        <w:t xml:space="preserve">in other </w:t>
      </w:r>
      <w:r w:rsidR="005150B8">
        <w:t xml:space="preserve">jurisdictions </w:t>
      </w:r>
      <w:r w:rsidR="00B6242C">
        <w:t>do</w:t>
      </w:r>
      <w:r w:rsidR="00516159">
        <w:t xml:space="preserve"> not necessarily require</w:t>
      </w:r>
      <w:r w:rsidR="00B6242C">
        <w:t xml:space="preserve"> Court approval</w:t>
      </w:r>
      <w:r w:rsidR="00516159">
        <w:t xml:space="preserve"> as a matter of course</w:t>
      </w:r>
      <w:r w:rsidR="005150B8">
        <w:t xml:space="preserve">. </w:t>
      </w:r>
      <w:r w:rsidR="00C577DE">
        <w:t>O</w:t>
      </w:r>
      <w:r w:rsidR="00224F9D">
        <w:t xml:space="preserve">f particular interest is the operation of the statutory regime in South Africa, </w:t>
      </w:r>
      <w:r w:rsidR="00C577DE">
        <w:t xml:space="preserve">in which </w:t>
      </w:r>
      <w:r w:rsidR="007D7001">
        <w:t>Court</w:t>
      </w:r>
      <w:r w:rsidR="00C577DE" w:rsidRPr="00C577DE">
        <w:t xml:space="preserve"> approval is not required by default; rather, it is only required if:</w:t>
      </w:r>
      <w:r w:rsidR="00C577DE" w:rsidRPr="00C577DE">
        <w:rPr>
          <w:vertAlign w:val="superscript"/>
        </w:rPr>
        <w:footnoteReference w:id="61"/>
      </w:r>
    </w:p>
    <w:p w14:paraId="07E22630" w14:textId="2E62FB11" w:rsidR="00C577DE" w:rsidRPr="00C577DE" w:rsidRDefault="00C577DE" w:rsidP="004673FB">
      <w:pPr>
        <w:pStyle w:val="Bullet"/>
        <w:numPr>
          <w:ilvl w:val="0"/>
          <w:numId w:val="13"/>
        </w:numPr>
      </w:pPr>
      <w:r w:rsidRPr="00C577DE">
        <w:t xml:space="preserve">the special resolution was opposed by at least 15% of the voting rights that were exercised on the resolution, and within five business days a person who voted against the resolution requires the company to seek </w:t>
      </w:r>
      <w:r w:rsidR="007D7001">
        <w:t>Court</w:t>
      </w:r>
      <w:r w:rsidRPr="00C577DE">
        <w:t xml:space="preserve"> approval</w:t>
      </w:r>
      <w:r w:rsidR="00616701">
        <w:t>, and</w:t>
      </w:r>
    </w:p>
    <w:p w14:paraId="09DFC679" w14:textId="4DECA3E0" w:rsidR="00C577DE" w:rsidRPr="00C577DE" w:rsidRDefault="00C577DE" w:rsidP="004673FB">
      <w:pPr>
        <w:pStyle w:val="Bullet"/>
        <w:numPr>
          <w:ilvl w:val="0"/>
          <w:numId w:val="13"/>
        </w:numPr>
      </w:pPr>
      <w:r w:rsidRPr="00C577DE">
        <w:t xml:space="preserve">within 10 business days of the vote, any person who voted against the resolution successfully applies to the </w:t>
      </w:r>
      <w:r w:rsidR="007D7001">
        <w:t>Court</w:t>
      </w:r>
      <w:r w:rsidRPr="00C577DE">
        <w:t xml:space="preserve"> for leave to require </w:t>
      </w:r>
      <w:r w:rsidR="007D7001">
        <w:t>Court</w:t>
      </w:r>
      <w:r w:rsidRPr="00C577DE">
        <w:t xml:space="preserve"> approval.</w:t>
      </w:r>
      <w:r w:rsidRPr="00C577DE">
        <w:rPr>
          <w:vertAlign w:val="superscript"/>
        </w:rPr>
        <w:footnoteReference w:id="62"/>
      </w:r>
    </w:p>
    <w:p w14:paraId="68CDCAEC" w14:textId="5DF71529" w:rsidR="00C577DE" w:rsidRPr="00C577DE" w:rsidRDefault="00C577DE" w:rsidP="00B4590C">
      <w:pPr>
        <w:pStyle w:val="Bullet"/>
        <w:numPr>
          <w:ilvl w:val="0"/>
          <w:numId w:val="0"/>
        </w:numPr>
      </w:pPr>
      <w:r w:rsidRPr="00C577DE">
        <w:t>The Court can only set aside the resolution if either:</w:t>
      </w:r>
      <w:r w:rsidRPr="00C577DE">
        <w:rPr>
          <w:vertAlign w:val="superscript"/>
        </w:rPr>
        <w:footnoteReference w:id="63"/>
      </w:r>
    </w:p>
    <w:p w14:paraId="39EEBE10" w14:textId="5F7863D0" w:rsidR="00C577DE" w:rsidRPr="00C577DE" w:rsidRDefault="00C577DE" w:rsidP="004673FB">
      <w:pPr>
        <w:pStyle w:val="Bullet"/>
        <w:numPr>
          <w:ilvl w:val="0"/>
          <w:numId w:val="13"/>
        </w:numPr>
      </w:pPr>
      <w:r w:rsidRPr="00C577DE">
        <w:t>the resolution is manifestly unfair to any class of shareholders</w:t>
      </w:r>
      <w:r w:rsidR="00D36090">
        <w:t>, or</w:t>
      </w:r>
    </w:p>
    <w:p w14:paraId="16FE4F18" w14:textId="42F9C1BB" w:rsidR="00C577DE" w:rsidRPr="00C577DE" w:rsidRDefault="00C577DE" w:rsidP="004673FB">
      <w:pPr>
        <w:pStyle w:val="Bullet"/>
        <w:numPr>
          <w:ilvl w:val="0"/>
          <w:numId w:val="13"/>
        </w:numPr>
      </w:pPr>
      <w:r w:rsidRPr="00C577DE">
        <w:t>the vote was materially tainted by conflict of interest, inadequate disclosure, failure to company with the Act, the Memorandum of Incorporation</w:t>
      </w:r>
      <w:r w:rsidR="009E44DC" w:rsidRPr="00C577DE">
        <w:t>,</w:t>
      </w:r>
      <w:r w:rsidRPr="00C577DE">
        <w:t xml:space="preserve"> or any applicable rules of the target company, or other significant and material procedural irregularity. </w:t>
      </w:r>
    </w:p>
    <w:p w14:paraId="352D190C" w14:textId="6008910B" w:rsidR="00C577DE" w:rsidRPr="00C577DE" w:rsidRDefault="00B6242C" w:rsidP="00B4590C">
      <w:pPr>
        <w:pStyle w:val="Bullet"/>
        <w:numPr>
          <w:ilvl w:val="0"/>
          <w:numId w:val="0"/>
        </w:numPr>
      </w:pPr>
      <w:r>
        <w:t xml:space="preserve">Because this arrangement </w:t>
      </w:r>
      <w:r w:rsidR="00AA547E">
        <w:t xml:space="preserve">potentially reduces </w:t>
      </w:r>
      <w:r w:rsidR="00C577DE" w:rsidRPr="00C577DE">
        <w:t xml:space="preserve">shareholder protection by </w:t>
      </w:r>
      <w:r w:rsidR="009C0A50">
        <w:t>requiring scrutiny</w:t>
      </w:r>
      <w:r w:rsidR="00C577DE" w:rsidRPr="00C577DE">
        <w:t xml:space="preserve"> of a scheme </w:t>
      </w:r>
      <w:r w:rsidR="009C0A50">
        <w:t>only if shareholders request it</w:t>
      </w:r>
      <w:r w:rsidR="00C577DE" w:rsidRPr="00C577DE">
        <w:t>, shareholders are granted additional protections including:</w:t>
      </w:r>
    </w:p>
    <w:p w14:paraId="1E26A639" w14:textId="6BA94BB7" w:rsidR="00C577DE" w:rsidRPr="00C577DE" w:rsidRDefault="00AA547E" w:rsidP="004673FB">
      <w:pPr>
        <w:pStyle w:val="Bullet"/>
        <w:numPr>
          <w:ilvl w:val="0"/>
          <w:numId w:val="13"/>
        </w:numPr>
      </w:pPr>
      <w:r>
        <w:t>a</w:t>
      </w:r>
      <w:r w:rsidRPr="00C577DE">
        <w:t xml:space="preserve"> </w:t>
      </w:r>
      <w:r w:rsidR="00C577DE" w:rsidRPr="00C577DE">
        <w:t xml:space="preserve">requirement </w:t>
      </w:r>
      <w:r>
        <w:t>to provide</w:t>
      </w:r>
      <w:r w:rsidRPr="00C577DE">
        <w:t xml:space="preserve"> </w:t>
      </w:r>
      <w:r w:rsidR="00C577DE" w:rsidRPr="00C577DE">
        <w:t>an expert’s report on the commercial merits of the proposed scheme</w:t>
      </w:r>
      <w:r>
        <w:t xml:space="preserve"> to shareholders</w:t>
      </w:r>
      <w:r w:rsidR="00C577DE" w:rsidRPr="00C577DE">
        <w:rPr>
          <w:vertAlign w:val="superscript"/>
        </w:rPr>
        <w:footnoteReference w:id="64"/>
      </w:r>
      <w:r w:rsidR="00C577DE" w:rsidRPr="00C577DE">
        <w:t xml:space="preserve"> </w:t>
      </w:r>
    </w:p>
    <w:p w14:paraId="4BC38969" w14:textId="77777777" w:rsidR="00C577DE" w:rsidRPr="00C577DE" w:rsidRDefault="00C577DE" w:rsidP="004673FB">
      <w:pPr>
        <w:pStyle w:val="Bullet"/>
        <w:numPr>
          <w:ilvl w:val="0"/>
          <w:numId w:val="13"/>
        </w:numPr>
      </w:pPr>
      <w:r w:rsidRPr="00C577DE">
        <w:t>an appraisal right which entitles a member to be bought out at fair value in certain circumstances.</w:t>
      </w:r>
      <w:r w:rsidRPr="00C577DE">
        <w:rPr>
          <w:vertAlign w:val="superscript"/>
        </w:rPr>
        <w:footnoteReference w:id="65"/>
      </w:r>
    </w:p>
    <w:p w14:paraId="7BF6BDBD" w14:textId="77777777" w:rsidR="00EB7529" w:rsidRDefault="00EB7529" w:rsidP="00EB7529">
      <w:pPr>
        <w:pStyle w:val="Heading2"/>
      </w:pPr>
      <w:bookmarkStart w:id="27" w:name="_Toc99619846"/>
      <w:r>
        <w:t>Advance Rulings</w:t>
      </w:r>
      <w:bookmarkEnd w:id="27"/>
    </w:p>
    <w:p w14:paraId="43D9EDB3" w14:textId="16B3FCD6" w:rsidR="00EB7529" w:rsidRDefault="00EB7529" w:rsidP="00EB7529">
      <w:pPr>
        <w:pStyle w:val="Heading3"/>
      </w:pPr>
      <w:bookmarkStart w:id="28" w:name="_Toc88142838"/>
      <w:bookmarkStart w:id="29" w:name="_Toc99619847"/>
      <w:r>
        <w:t xml:space="preserve">Current </w:t>
      </w:r>
      <w:r w:rsidR="004B5166">
        <w:t>r</w:t>
      </w:r>
      <w:r>
        <w:t xml:space="preserve">egulatory </w:t>
      </w:r>
      <w:r w:rsidR="004B5166">
        <w:t>f</w:t>
      </w:r>
      <w:r>
        <w:t>ramework</w:t>
      </w:r>
      <w:bookmarkEnd w:id="28"/>
      <w:bookmarkEnd w:id="29"/>
    </w:p>
    <w:p w14:paraId="56906C60" w14:textId="1E80615D" w:rsidR="00EB7529" w:rsidRDefault="00EB7529" w:rsidP="00EB7529">
      <w:r>
        <w:t>There are two official government sources of guidance as to the interpretation of the Takeover Rules.</w:t>
      </w:r>
      <w:r w:rsidR="00F958D9">
        <w:t xml:space="preserve"> </w:t>
      </w:r>
      <w:r>
        <w:t xml:space="preserve">The first is ASIC Regulatory Guidance. In </w:t>
      </w:r>
      <w:r>
        <w:rPr>
          <w:i/>
          <w:iCs/>
        </w:rPr>
        <w:t>ASIC Regulatory Guide 9 – Takeover Bids</w:t>
      </w:r>
      <w:r>
        <w:t xml:space="preserve">, ASIC outlines </w:t>
      </w:r>
      <w:r w:rsidR="004048E7">
        <w:t>its</w:t>
      </w:r>
      <w:r>
        <w:t xml:space="preserve"> approach to administering the Takeovers Rules</w:t>
      </w:r>
      <w:r w:rsidR="0093706A">
        <w:t>.</w:t>
      </w:r>
      <w:r>
        <w:t xml:space="preserve"> The second is Guidance Notes produced by the Takeovers Panel. In particular, </w:t>
      </w:r>
      <w:r w:rsidRPr="00384BCD">
        <w:rPr>
          <w:i/>
          <w:iCs/>
        </w:rPr>
        <w:t>Guidance Note 1</w:t>
      </w:r>
      <w:r>
        <w:t xml:space="preserve"> outlines the approach </w:t>
      </w:r>
      <w:r w:rsidR="004048E7">
        <w:t xml:space="preserve">taken by the </w:t>
      </w:r>
      <w:r>
        <w:t>Takeovers Panel to making a declaration of ‘unacceptable circumstances’</w:t>
      </w:r>
      <w:r>
        <w:rPr>
          <w:rStyle w:val="FootnoteReference"/>
        </w:rPr>
        <w:footnoteReference w:id="66"/>
      </w:r>
      <w:r>
        <w:t xml:space="preserve"> </w:t>
      </w:r>
      <w:r w:rsidR="004048E7">
        <w:t>(</w:t>
      </w:r>
      <w:r>
        <w:t xml:space="preserve">the declaration of such being what enables </w:t>
      </w:r>
      <w:r w:rsidR="003B3D60">
        <w:t>the</w:t>
      </w:r>
      <w:r>
        <w:t xml:space="preserve"> Takeovers Panel to make orders</w:t>
      </w:r>
      <w:r w:rsidR="004048E7">
        <w:t>)</w:t>
      </w:r>
      <w:r>
        <w:t>.</w:t>
      </w:r>
      <w:r>
        <w:rPr>
          <w:rStyle w:val="FootnoteReference"/>
        </w:rPr>
        <w:footnoteReference w:id="67"/>
      </w:r>
      <w:r>
        <w:t xml:space="preserve"> </w:t>
      </w:r>
    </w:p>
    <w:p w14:paraId="2A18B606" w14:textId="2F34F3DB" w:rsidR="00EB7529" w:rsidRDefault="00EB7529" w:rsidP="00EB7529">
      <w:r>
        <w:t xml:space="preserve">The </w:t>
      </w:r>
      <w:r w:rsidR="004048E7">
        <w:t>creation</w:t>
      </w:r>
      <w:r>
        <w:t xml:space="preserve"> of an advance rulings power </w:t>
      </w:r>
      <w:r w:rsidR="004048E7">
        <w:t>exercisable by</w:t>
      </w:r>
      <w:r>
        <w:t xml:space="preserve"> the Takeovers Panel </w:t>
      </w:r>
      <w:r w:rsidR="004B5166">
        <w:t xml:space="preserve">would </w:t>
      </w:r>
      <w:r>
        <w:t>provide an additional avenue for market participants to obtain information about how the Takeovers Panel w</w:t>
      </w:r>
      <w:r w:rsidR="004B5166">
        <w:t>ould</w:t>
      </w:r>
      <w:r>
        <w:t xml:space="preserve"> </w:t>
      </w:r>
      <w:r w:rsidR="004B5166">
        <w:t>act in a particular</w:t>
      </w:r>
      <w:r>
        <w:t xml:space="preserve"> situation. </w:t>
      </w:r>
      <w:r w:rsidR="004B5166">
        <w:t>S</w:t>
      </w:r>
      <w:r>
        <w:t xml:space="preserve">uch a power </w:t>
      </w:r>
      <w:r w:rsidR="00BF7A82">
        <w:t>c</w:t>
      </w:r>
      <w:r>
        <w:t xml:space="preserve">ould </w:t>
      </w:r>
      <w:r w:rsidR="00BF7A82">
        <w:t xml:space="preserve">be formulated such that it would </w:t>
      </w:r>
      <w:r>
        <w:t>legally bind</w:t>
      </w:r>
      <w:r w:rsidR="00BF7A82">
        <w:t xml:space="preserve"> </w:t>
      </w:r>
      <w:r>
        <w:t xml:space="preserve">the Takeover Panel, </w:t>
      </w:r>
      <w:r w:rsidR="004B5166">
        <w:t xml:space="preserve">which </w:t>
      </w:r>
      <w:r>
        <w:t xml:space="preserve">may facilitate consistency in decision-making regardless of </w:t>
      </w:r>
      <w:r w:rsidR="00353D88">
        <w:t>t</w:t>
      </w:r>
      <w:r>
        <w:t xml:space="preserve">he Takeovers Panel members who are selected to consider a specific case. </w:t>
      </w:r>
    </w:p>
    <w:p w14:paraId="110BD987" w14:textId="03644776" w:rsidR="00EB7529" w:rsidRDefault="00EB7529" w:rsidP="00EB7529">
      <w:pPr>
        <w:pStyle w:val="Heading3"/>
      </w:pPr>
      <w:bookmarkStart w:id="30" w:name="_Toc88142839"/>
      <w:bookmarkStart w:id="31" w:name="_Toc99619848"/>
      <w:r>
        <w:lastRenderedPageBreak/>
        <w:t xml:space="preserve">Advance </w:t>
      </w:r>
      <w:r w:rsidR="004B5166">
        <w:t>r</w:t>
      </w:r>
      <w:r>
        <w:t xml:space="preserve">ulings </w:t>
      </w:r>
      <w:r w:rsidR="004B5166">
        <w:t>m</w:t>
      </w:r>
      <w:r>
        <w:t>odels</w:t>
      </w:r>
      <w:bookmarkEnd w:id="30"/>
      <w:bookmarkEnd w:id="31"/>
    </w:p>
    <w:p w14:paraId="0EA4BF40" w14:textId="77777777" w:rsidR="00EB7529" w:rsidRDefault="00EB7529" w:rsidP="00EB7529">
      <w:r>
        <w:t>In Australia, several government agencies have advance rulings powers:</w:t>
      </w:r>
    </w:p>
    <w:p w14:paraId="6149BE5C" w14:textId="77777777" w:rsidR="00EB7529" w:rsidRDefault="00EB7529" w:rsidP="004673FB">
      <w:pPr>
        <w:pStyle w:val="Bullet"/>
        <w:numPr>
          <w:ilvl w:val="0"/>
          <w:numId w:val="13"/>
        </w:numPr>
      </w:pPr>
      <w:r>
        <w:t xml:space="preserve">The Australian Taxation Office (ATO) has a statutory framework of public and private rulings as part of its advice and guidance strategy to promote positive engagement with the tax system. </w:t>
      </w:r>
    </w:p>
    <w:p w14:paraId="6518AD88" w14:textId="77777777" w:rsidR="00EB7529" w:rsidRDefault="00EB7529" w:rsidP="004673FB">
      <w:pPr>
        <w:pStyle w:val="Bullet"/>
        <w:numPr>
          <w:ilvl w:val="0"/>
          <w:numId w:val="13"/>
        </w:numPr>
      </w:pPr>
      <w:r>
        <w:t xml:space="preserve">The Civil Aviation Safety Authority (CASA) issues public rulings on certain provisions of civil aviation legislation. </w:t>
      </w:r>
    </w:p>
    <w:p w14:paraId="7EC619A3" w14:textId="77777777" w:rsidR="00EB7529" w:rsidRDefault="00EB7529" w:rsidP="004673FB">
      <w:pPr>
        <w:pStyle w:val="Bullet"/>
        <w:numPr>
          <w:ilvl w:val="0"/>
          <w:numId w:val="13"/>
        </w:numPr>
      </w:pPr>
      <w:r>
        <w:t xml:space="preserve">The Australian Border Force (ABF) provides private binding rulings on certain aspects of the application of customs law to imported goods. </w:t>
      </w:r>
    </w:p>
    <w:p w14:paraId="10D27D40" w14:textId="77777777" w:rsidR="00EB7529" w:rsidRDefault="00EB7529" w:rsidP="004673FB">
      <w:pPr>
        <w:pStyle w:val="Bullet"/>
        <w:numPr>
          <w:ilvl w:val="0"/>
          <w:numId w:val="13"/>
        </w:numPr>
      </w:pPr>
      <w:r>
        <w:t>The Australian Communications and Media Authority (ACMA) can provide opinions on categories of broadcasting service or whether a person can exercise control of a licence, newspaper or company.</w:t>
      </w:r>
    </w:p>
    <w:p w14:paraId="761BBD9D" w14:textId="603B1910" w:rsidR="00EB7529" w:rsidRDefault="00EB7529" w:rsidP="00EB7529">
      <w:r>
        <w:t xml:space="preserve">The aim of an advance ruling is to give certainty to applicants as to how a decision-making body will treat or apply the law </w:t>
      </w:r>
      <w:r w:rsidR="003B3D60">
        <w:t>in certain</w:t>
      </w:r>
      <w:r>
        <w:t xml:space="preserve"> circumstances. Advance ruling powers enable a regulator to legally commit to not taking enforcement action against the applicant, if the applicant implements the ruling in line with the interpretation of the law taken in the ruling. </w:t>
      </w:r>
    </w:p>
    <w:p w14:paraId="2146272C" w14:textId="41B33EA2" w:rsidR="00EB7529" w:rsidRDefault="00EB7529" w:rsidP="00EB7529">
      <w:r>
        <w:t xml:space="preserve">The key common feature of these regulatory regimes is that the relevant agency is </w:t>
      </w:r>
      <w:r w:rsidR="004B5166">
        <w:t xml:space="preserve">also </w:t>
      </w:r>
      <w:r>
        <w:t xml:space="preserve">responsible for ensuring compliance with the relevant regulatory regimes. As such, they have the power to initiate legal action in the Courts if issues cannot be resolved through less formal means. Internationally, several equivalents to the Takeovers Panel have advance rulings powers. This includes the United Kingdom, Hong Kong and Singapore. </w:t>
      </w:r>
    </w:p>
    <w:p w14:paraId="1B5995A2" w14:textId="59AF999E" w:rsidR="00EB7529" w:rsidRDefault="00EB7529" w:rsidP="00EB7529">
      <w:r>
        <w:t>E</w:t>
      </w:r>
      <w:r w:rsidRPr="00993398">
        <w:t>quivalent</w:t>
      </w:r>
      <w:r>
        <w:t xml:space="preserve"> international</w:t>
      </w:r>
      <w:r w:rsidRPr="00993398">
        <w:t xml:space="preserve"> takeovers panels exercising </w:t>
      </w:r>
      <w:r>
        <w:t>their</w:t>
      </w:r>
      <w:r w:rsidRPr="00993398">
        <w:t xml:space="preserve"> functions </w:t>
      </w:r>
      <w:r w:rsidRPr="00EF14B6">
        <w:t>as regulator (or quasi-regulator) of the takeovers market can make rulings to clarify interpretation, modify the application, or waive certain provisions of the relevant takeovers rules.</w:t>
      </w:r>
      <w:r w:rsidRPr="00EF14B6">
        <w:rPr>
          <w:rStyle w:val="FootnoteReference"/>
        </w:rPr>
        <w:footnoteReference w:id="68"/>
      </w:r>
      <w:r w:rsidRPr="00EF14B6">
        <w:t xml:space="preserve"> Rulings made by the </w:t>
      </w:r>
      <w:r w:rsidR="00353D88">
        <w:t>p</w:t>
      </w:r>
      <w:r w:rsidR="00353D88" w:rsidRPr="00EF14B6">
        <w:t xml:space="preserve">anel </w:t>
      </w:r>
      <w:r w:rsidRPr="00EF14B6">
        <w:t>with respect to waivers, exemptions, and modifications are generally subject to review – for example:</w:t>
      </w:r>
    </w:p>
    <w:p w14:paraId="56CE28BD" w14:textId="0BD16D36" w:rsidR="00EB7529" w:rsidRDefault="00EB7529" w:rsidP="004673FB">
      <w:pPr>
        <w:pStyle w:val="Bullet"/>
        <w:numPr>
          <w:ilvl w:val="0"/>
          <w:numId w:val="13"/>
        </w:numPr>
      </w:pPr>
      <w:r>
        <w:t>in the UK, Hong Kong and South Africa, the panels have an internal review process for executive decisions</w:t>
      </w:r>
      <w:r>
        <w:rPr>
          <w:rStyle w:val="FootnoteReference"/>
        </w:rPr>
        <w:footnoteReference w:id="69"/>
      </w:r>
    </w:p>
    <w:p w14:paraId="3DFDC00A" w14:textId="4184DF11" w:rsidR="00EB7529" w:rsidRDefault="00EB7529" w:rsidP="004673FB">
      <w:pPr>
        <w:pStyle w:val="Bullet"/>
        <w:numPr>
          <w:ilvl w:val="0"/>
          <w:numId w:val="13"/>
        </w:numPr>
      </w:pPr>
      <w:r>
        <w:t xml:space="preserve">in New Zealand, rulings made by the panel may be appealed to the </w:t>
      </w:r>
      <w:r w:rsidR="00851E34">
        <w:t>C</w:t>
      </w:r>
      <w:r>
        <w:t>ourt</w:t>
      </w:r>
      <w:r>
        <w:rPr>
          <w:rStyle w:val="FootnoteReference"/>
        </w:rPr>
        <w:footnoteReference w:id="70"/>
      </w:r>
      <w:r>
        <w:t xml:space="preserve"> </w:t>
      </w:r>
    </w:p>
    <w:p w14:paraId="4ABD1041" w14:textId="5366CDE2" w:rsidR="00EB7529" w:rsidRDefault="00EB7529" w:rsidP="004673FB">
      <w:pPr>
        <w:pStyle w:val="Bullet"/>
        <w:numPr>
          <w:ilvl w:val="0"/>
          <w:numId w:val="13"/>
        </w:numPr>
      </w:pPr>
      <w:r>
        <w:t xml:space="preserve">in Singapore, there is no internal appeal process against decisions of the panel, and it is not yet settled whether rulings of the </w:t>
      </w:r>
      <w:r w:rsidR="00353D88">
        <w:t>p</w:t>
      </w:r>
      <w:r>
        <w:t>anel are subject to judicial review.</w:t>
      </w:r>
    </w:p>
    <w:p w14:paraId="52257889" w14:textId="0C874DF6" w:rsidR="00EB7529" w:rsidRDefault="00EB7529" w:rsidP="00EB7529">
      <w:r>
        <w:t xml:space="preserve">Like the Australian Takeovers Panel, these panels exercise their powers through hearings. However, </w:t>
      </w:r>
      <w:r w:rsidR="00F841E0">
        <w:t xml:space="preserve">unlike the Takeovers Panel, </w:t>
      </w:r>
      <w:r>
        <w:t>the</w:t>
      </w:r>
      <w:r w:rsidR="00F841E0">
        <w:t>se agencies</w:t>
      </w:r>
      <w:r>
        <w:t xml:space="preserve"> also have active monitoring, investigative enforcement obligations – akin to the role </w:t>
      </w:r>
      <w:r w:rsidR="00F841E0">
        <w:t xml:space="preserve">played by </w:t>
      </w:r>
      <w:r>
        <w:t xml:space="preserve">ASIC in the Australian regulatory system. </w:t>
      </w:r>
    </w:p>
    <w:p w14:paraId="028E0155" w14:textId="7BA9AED1" w:rsidR="00EB7529" w:rsidRDefault="004B5166" w:rsidP="00EB7529">
      <w:r>
        <w:t>C</w:t>
      </w:r>
      <w:r w:rsidR="00EB7529">
        <w:t>onsider</w:t>
      </w:r>
      <w:r>
        <w:t>ation could be given to</w:t>
      </w:r>
      <w:r w:rsidR="00EB7529" w:rsidDel="00696F14">
        <w:t xml:space="preserve"> </w:t>
      </w:r>
      <w:r w:rsidR="00EB7529">
        <w:t xml:space="preserve">whether it would be appropriate for ASIC to have an advance rulings power or for the Takeovers Panel to have greater role in active enforcement of the Takeovers Rules. </w:t>
      </w:r>
    </w:p>
    <w:p w14:paraId="1CD5BA07" w14:textId="4E506BE0" w:rsidR="00EB7529" w:rsidRDefault="00EB7529" w:rsidP="00EB7529">
      <w:pPr>
        <w:pStyle w:val="Heading3"/>
      </w:pPr>
      <w:bookmarkStart w:id="32" w:name="_Toc88142840"/>
      <w:bookmarkStart w:id="33" w:name="_Toc99619849"/>
      <w:r w:rsidRPr="00B868D8">
        <w:lastRenderedPageBreak/>
        <w:t xml:space="preserve">Options for an </w:t>
      </w:r>
      <w:r w:rsidR="007D1254">
        <w:t>a</w:t>
      </w:r>
      <w:r w:rsidRPr="00B868D8">
        <w:t xml:space="preserve">dvance </w:t>
      </w:r>
      <w:r w:rsidR="007D1254">
        <w:t>r</w:t>
      </w:r>
      <w:r w:rsidRPr="00B868D8">
        <w:t xml:space="preserve">ulings </w:t>
      </w:r>
      <w:r w:rsidR="007D1254">
        <w:t>p</w:t>
      </w:r>
      <w:r w:rsidRPr="00B868D8">
        <w:t>ower</w:t>
      </w:r>
      <w:bookmarkEnd w:id="32"/>
      <w:bookmarkEnd w:id="33"/>
    </w:p>
    <w:p w14:paraId="4E4E4F19" w14:textId="0C73529A" w:rsidR="00EB7529" w:rsidRDefault="00EB7529" w:rsidP="00EB7529">
      <w:r>
        <w:t xml:space="preserve">There are a range of options for </w:t>
      </w:r>
      <w:r w:rsidR="007D1254">
        <w:t xml:space="preserve">structuring </w:t>
      </w:r>
      <w:r>
        <w:t>an advance ruling power. An advance rulings power could be exercised by either the executive of the Takeovers Panel or its members, on application by a bidder.</w:t>
      </w:r>
    </w:p>
    <w:p w14:paraId="10F72BD6" w14:textId="73FDFF45" w:rsidR="00B61CA6" w:rsidRPr="007D39F2" w:rsidRDefault="00EB7529">
      <w:pPr>
        <w:pStyle w:val="Caption"/>
        <w:rPr>
          <w:i w:val="0"/>
          <w:color w:val="auto"/>
          <w:sz w:val="22"/>
          <w:szCs w:val="20"/>
        </w:rPr>
      </w:pPr>
      <w:r w:rsidRPr="00E07E56">
        <w:rPr>
          <w:i w:val="0"/>
          <w:iCs w:val="0"/>
          <w:color w:val="auto"/>
          <w:sz w:val="22"/>
          <w:szCs w:val="20"/>
        </w:rPr>
        <w:t>Advance</w:t>
      </w:r>
      <w:r w:rsidRPr="00E07E56">
        <w:rPr>
          <w:i w:val="0"/>
          <w:color w:val="auto"/>
          <w:sz w:val="22"/>
          <w:szCs w:val="20"/>
        </w:rPr>
        <w:t xml:space="preserve"> rulings could </w:t>
      </w:r>
      <w:r w:rsidR="00EC0EF7" w:rsidRPr="00E07E56">
        <w:rPr>
          <w:i w:val="0"/>
          <w:color w:val="auto"/>
          <w:sz w:val="22"/>
          <w:szCs w:val="20"/>
        </w:rPr>
        <w:t>take the form</w:t>
      </w:r>
      <w:r w:rsidR="005367D7" w:rsidRPr="00E07E56">
        <w:rPr>
          <w:i w:val="0"/>
          <w:color w:val="auto"/>
          <w:sz w:val="22"/>
          <w:szCs w:val="20"/>
        </w:rPr>
        <w:t xml:space="preserve"> of either a ‘private’ ruling</w:t>
      </w:r>
      <w:r w:rsidRPr="00E07E56">
        <w:rPr>
          <w:i w:val="0"/>
          <w:color w:val="auto"/>
          <w:sz w:val="22"/>
          <w:szCs w:val="20"/>
        </w:rPr>
        <w:t xml:space="preserve"> </w:t>
      </w:r>
      <w:r w:rsidR="005367D7" w:rsidRPr="00E07E56">
        <w:rPr>
          <w:i w:val="0"/>
          <w:color w:val="auto"/>
          <w:sz w:val="22"/>
          <w:szCs w:val="20"/>
        </w:rPr>
        <w:t>or a ‘public’ ruling. Generally, a private ruling is one</w:t>
      </w:r>
      <w:r w:rsidR="0028354F" w:rsidRPr="00E07E56">
        <w:rPr>
          <w:i w:val="0"/>
          <w:color w:val="auto"/>
          <w:sz w:val="22"/>
          <w:szCs w:val="20"/>
        </w:rPr>
        <w:t xml:space="preserve"> where </w:t>
      </w:r>
      <w:r w:rsidR="005367D7" w:rsidRPr="00E07E56">
        <w:rPr>
          <w:i w:val="0"/>
          <w:color w:val="auto"/>
          <w:sz w:val="22"/>
          <w:szCs w:val="20"/>
        </w:rPr>
        <w:t>the ruling is</w:t>
      </w:r>
      <w:r w:rsidR="0028354F" w:rsidRPr="00E07E56">
        <w:rPr>
          <w:i w:val="0"/>
          <w:color w:val="auto"/>
          <w:sz w:val="22"/>
          <w:szCs w:val="20"/>
        </w:rPr>
        <w:t xml:space="preserve"> binding </w:t>
      </w:r>
      <w:r w:rsidR="00B61CA6" w:rsidRPr="00E07E56">
        <w:rPr>
          <w:i w:val="0"/>
          <w:color w:val="auto"/>
          <w:sz w:val="22"/>
          <w:szCs w:val="20"/>
        </w:rPr>
        <w:t xml:space="preserve">on the decision maker </w:t>
      </w:r>
      <w:r w:rsidR="0028354F" w:rsidRPr="00E07E56">
        <w:rPr>
          <w:i w:val="0"/>
          <w:color w:val="auto"/>
          <w:sz w:val="22"/>
          <w:szCs w:val="20"/>
        </w:rPr>
        <w:t xml:space="preserve">in relation </w:t>
      </w:r>
      <w:r w:rsidR="002742E8">
        <w:rPr>
          <w:i w:val="0"/>
          <w:color w:val="auto"/>
          <w:sz w:val="22"/>
          <w:szCs w:val="20"/>
        </w:rPr>
        <w:t>only</w:t>
      </w:r>
      <w:r w:rsidR="0028354F" w:rsidRPr="00E07E56">
        <w:rPr>
          <w:i w:val="0"/>
          <w:color w:val="auto"/>
          <w:sz w:val="22"/>
          <w:szCs w:val="20"/>
        </w:rPr>
        <w:t xml:space="preserve"> to </w:t>
      </w:r>
      <w:r w:rsidR="002742E8">
        <w:rPr>
          <w:i w:val="0"/>
          <w:color w:val="auto"/>
          <w:sz w:val="22"/>
          <w:szCs w:val="20"/>
        </w:rPr>
        <w:t>the</w:t>
      </w:r>
      <w:r w:rsidR="0028354F" w:rsidRPr="00E07E56">
        <w:rPr>
          <w:i w:val="0"/>
          <w:color w:val="auto"/>
          <w:sz w:val="22"/>
          <w:szCs w:val="20"/>
        </w:rPr>
        <w:t xml:space="preserve"> specific circumstances</w:t>
      </w:r>
      <w:r w:rsidR="00381BC8" w:rsidRPr="00E07E56">
        <w:rPr>
          <w:i w:val="0"/>
          <w:color w:val="auto"/>
          <w:sz w:val="22"/>
          <w:szCs w:val="20"/>
        </w:rPr>
        <w:t xml:space="preserve"> of an application brought forward by a party</w:t>
      </w:r>
      <w:r w:rsidR="0028354F" w:rsidRPr="00E07E56">
        <w:rPr>
          <w:i w:val="0"/>
          <w:color w:val="auto"/>
          <w:sz w:val="22"/>
          <w:szCs w:val="20"/>
        </w:rPr>
        <w:t xml:space="preserve">. </w:t>
      </w:r>
      <w:r w:rsidR="002742E8">
        <w:rPr>
          <w:i w:val="0"/>
          <w:color w:val="auto"/>
          <w:sz w:val="22"/>
          <w:szCs w:val="20"/>
        </w:rPr>
        <w:t>A</w:t>
      </w:r>
      <w:r w:rsidR="00B61CA6" w:rsidRPr="00E07E56">
        <w:rPr>
          <w:i w:val="0"/>
          <w:color w:val="auto"/>
          <w:sz w:val="22"/>
          <w:szCs w:val="20"/>
        </w:rPr>
        <w:t xml:space="preserve"> public ruling </w:t>
      </w:r>
      <w:r w:rsidR="00B61CA6">
        <w:rPr>
          <w:i w:val="0"/>
          <w:iCs w:val="0"/>
          <w:color w:val="auto"/>
          <w:sz w:val="22"/>
          <w:szCs w:val="20"/>
        </w:rPr>
        <w:t xml:space="preserve">gives certainty in relation to common </w:t>
      </w:r>
      <w:r w:rsidR="006412B2">
        <w:rPr>
          <w:i w:val="0"/>
          <w:iCs w:val="0"/>
          <w:color w:val="auto"/>
          <w:sz w:val="22"/>
          <w:szCs w:val="20"/>
        </w:rPr>
        <w:t xml:space="preserve">circumstances to provide certainty to </w:t>
      </w:r>
      <w:r w:rsidR="00B61CA6" w:rsidRPr="00E07E56">
        <w:rPr>
          <w:i w:val="0"/>
          <w:color w:val="auto"/>
          <w:sz w:val="22"/>
          <w:szCs w:val="20"/>
        </w:rPr>
        <w:t xml:space="preserve">wider sectors of the public or </w:t>
      </w:r>
      <w:r w:rsidR="00381BC8" w:rsidRPr="00E07E56">
        <w:rPr>
          <w:i w:val="0"/>
          <w:color w:val="auto"/>
          <w:sz w:val="22"/>
          <w:szCs w:val="20"/>
        </w:rPr>
        <w:t>class</w:t>
      </w:r>
      <w:r w:rsidR="00B61CA6" w:rsidRPr="00E07E56">
        <w:rPr>
          <w:i w:val="0"/>
          <w:color w:val="auto"/>
          <w:sz w:val="22"/>
          <w:szCs w:val="20"/>
        </w:rPr>
        <w:t>es</w:t>
      </w:r>
      <w:r w:rsidR="00381BC8" w:rsidRPr="00E07E56">
        <w:rPr>
          <w:i w:val="0"/>
          <w:color w:val="auto"/>
          <w:sz w:val="22"/>
          <w:szCs w:val="20"/>
        </w:rPr>
        <w:t xml:space="preserve"> of parties.</w:t>
      </w:r>
      <w:r w:rsidR="0028354F" w:rsidRPr="00E07E56">
        <w:rPr>
          <w:i w:val="0"/>
          <w:color w:val="auto"/>
          <w:sz w:val="22"/>
          <w:szCs w:val="20"/>
        </w:rPr>
        <w:t xml:space="preserve"> </w:t>
      </w:r>
    </w:p>
    <w:p w14:paraId="2553FA5D" w14:textId="309ACFAD" w:rsidR="00EB7529" w:rsidRDefault="00EB7529" w:rsidP="00EB7529">
      <w:r>
        <w:t xml:space="preserve">In any model, consideration </w:t>
      </w:r>
      <w:r w:rsidR="002742E8">
        <w:t xml:space="preserve">would need to </w:t>
      </w:r>
      <w:r>
        <w:t xml:space="preserve">be given to the extent the Takeovers Panel should </w:t>
      </w:r>
      <w:r w:rsidR="002742E8">
        <w:t xml:space="preserve">be required </w:t>
      </w:r>
      <w:r>
        <w:t>to involve and/or consult with potentially affected parties (including ASIC) in the process of making the advance ruling</w:t>
      </w:r>
      <w:r w:rsidR="00E64324">
        <w:t>.</w:t>
      </w:r>
      <w:r>
        <w:t xml:space="preserve"> </w:t>
      </w:r>
      <w:r w:rsidR="00E64324">
        <w:t>For example, whether the Takeovers Panel should be required to consider</w:t>
      </w:r>
      <w:r>
        <w:t xml:space="preserve"> submissions </w:t>
      </w:r>
      <w:r w:rsidR="00E64324">
        <w:t xml:space="preserve">from </w:t>
      </w:r>
      <w:r>
        <w:t xml:space="preserve">affected parties </w:t>
      </w:r>
      <w:r w:rsidR="00E64324">
        <w:t>or to publish</w:t>
      </w:r>
      <w:r>
        <w:t xml:space="preserve"> </w:t>
      </w:r>
      <w:r w:rsidR="00E64324">
        <w:t xml:space="preserve">its </w:t>
      </w:r>
      <w:r>
        <w:t>ruling</w:t>
      </w:r>
      <w:r w:rsidR="00E64324">
        <w:t>s</w:t>
      </w:r>
      <w:r>
        <w:t xml:space="preserve">.  </w:t>
      </w:r>
    </w:p>
    <w:p w14:paraId="21B8823A" w14:textId="4F8C0B6B" w:rsidR="00EB7529" w:rsidRDefault="00EB7529" w:rsidP="00EB7529">
      <w:r>
        <w:t xml:space="preserve">Consideration would also need to be given to the extent to which an advance ruling would bind the Takeovers Panel </w:t>
      </w:r>
      <w:r w:rsidR="00E64324">
        <w:t>in future rulings</w:t>
      </w:r>
      <w:r>
        <w:t xml:space="preserve">, and the circumstances in which the advance ruling could be challenged by new evidence or changed circumstances. </w:t>
      </w:r>
    </w:p>
    <w:p w14:paraId="3E68A6A4" w14:textId="1BF4C9AE" w:rsidR="00EB7529" w:rsidRDefault="00EB7529" w:rsidP="00EB7529">
      <w:r>
        <w:t xml:space="preserve">Similarly, consideration would need to be given to the extent to which an advance ruling would bind other decision makers, regulators and parties involved in takeovers, including courts, ASIC and private litigants. That is, whether the effect of the advance ruling power would prevent affected parties (including ASIC) from bringing a matter to the courts if they disagreed with the </w:t>
      </w:r>
      <w:r w:rsidR="00E64324">
        <w:t xml:space="preserve">decision-maker’s </w:t>
      </w:r>
      <w:r>
        <w:t>interpretation of the law.</w:t>
      </w:r>
    </w:p>
    <w:p w14:paraId="41BC76B2" w14:textId="77777777" w:rsidR="00BD0BAB" w:rsidRDefault="00BD0BAB" w:rsidP="00BD0BAB">
      <w:pPr>
        <w:pStyle w:val="Heading2"/>
      </w:pPr>
      <w:bookmarkStart w:id="34" w:name="_Toc99619850"/>
      <w:r>
        <w:t>Further Policy Options</w:t>
      </w:r>
      <w:bookmarkEnd w:id="34"/>
      <w:r>
        <w:t xml:space="preserve"> </w:t>
      </w:r>
    </w:p>
    <w:p w14:paraId="76225298" w14:textId="77777777" w:rsidR="00BD0BAB" w:rsidRPr="00EA78B6" w:rsidRDefault="00BD0BAB" w:rsidP="00BD0BAB">
      <w:r w:rsidRPr="00EA78B6">
        <w:t xml:space="preserve">This paper has identified </w:t>
      </w:r>
      <w:r>
        <w:t>several</w:t>
      </w:r>
      <w:r w:rsidRPr="00EA78B6">
        <w:t xml:space="preserve"> issues with </w:t>
      </w:r>
      <w:r>
        <w:t>Australia’s regimes for effecting changes in corporate control, both under the Takeover Rules and by schemes of arrangement,</w:t>
      </w:r>
      <w:r w:rsidRPr="00EA78B6">
        <w:t xml:space="preserve"> that have arisen in practice and that may benefit from further consideration. It does not purport to be an exhaustive review. Respondents are invited to raise other aspects of the</w:t>
      </w:r>
      <w:r>
        <w:t>se</w:t>
      </w:r>
      <w:r w:rsidRPr="00EA78B6">
        <w:t xml:space="preserve"> regime</w:t>
      </w:r>
      <w:r>
        <w:t>s</w:t>
      </w:r>
      <w:r w:rsidRPr="00EA78B6">
        <w:t xml:space="preserve"> which may benefit from further consideration, particularly those that:</w:t>
      </w:r>
    </w:p>
    <w:p w14:paraId="1DC77972" w14:textId="26C621F9" w:rsidR="00BD0BAB" w:rsidRPr="00EA78B6" w:rsidRDefault="00BD0BAB" w:rsidP="00BD0BAB">
      <w:pPr>
        <w:pStyle w:val="Bullet"/>
      </w:pPr>
      <w:r w:rsidRPr="00EA78B6">
        <w:t xml:space="preserve">promote the Eggleston </w:t>
      </w:r>
      <w:r w:rsidR="00DF5DD7">
        <w:t>Principles</w:t>
      </w:r>
    </w:p>
    <w:p w14:paraId="088AD75E" w14:textId="6A6252CB" w:rsidR="00BD0BAB" w:rsidRPr="00EA78B6" w:rsidRDefault="00BD0BAB" w:rsidP="00BD0BAB">
      <w:pPr>
        <w:pStyle w:val="Bullet"/>
      </w:pPr>
      <w:r w:rsidRPr="00EA78B6">
        <w:t>reduce regulatory cost</w:t>
      </w:r>
    </w:p>
    <w:p w14:paraId="61A3DCAB" w14:textId="70B54891" w:rsidR="00BD0BAB" w:rsidRPr="002C7A5B" w:rsidRDefault="00BD0BAB" w:rsidP="002C7A5B">
      <w:pPr>
        <w:pStyle w:val="Bullet"/>
      </w:pPr>
      <w:r w:rsidRPr="00EA78B6">
        <w:t xml:space="preserve">clarify the procedural powers used by decision-makers. </w:t>
      </w: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EA78B6" w14:paraId="7785E84C" w14:textId="77777777" w:rsidTr="00C7668D">
        <w:trPr>
          <w:trHeight w:val="12185"/>
        </w:trPr>
        <w:tc>
          <w:tcPr>
            <w:tcW w:w="5000" w:type="pct"/>
            <w:shd w:val="clear" w:color="auto" w:fill="EAEAEA" w:themeFill="background2"/>
          </w:tcPr>
          <w:p w14:paraId="2027F107" w14:textId="22DCCCB6" w:rsidR="00A42367" w:rsidRPr="00A42367" w:rsidRDefault="00EA78B6" w:rsidP="00F0771F">
            <w:pPr>
              <w:pStyle w:val="Heading2"/>
              <w:outlineLvl w:val="1"/>
            </w:pPr>
            <w:bookmarkStart w:id="35" w:name="_Toc99619851"/>
            <w:r>
              <w:lastRenderedPageBreak/>
              <w:t>Discussion Question</w:t>
            </w:r>
            <w:r w:rsidR="00011929">
              <w:t>s</w:t>
            </w:r>
            <w:bookmarkEnd w:id="35"/>
          </w:p>
          <w:p w14:paraId="7A761840" w14:textId="3C2E4EE1" w:rsidR="00A42367" w:rsidRDefault="00A42367" w:rsidP="002C7A5B">
            <w:pPr>
              <w:pStyle w:val="Heading3"/>
              <w:spacing w:before="120"/>
              <w:outlineLvl w:val="2"/>
            </w:pPr>
            <w:bookmarkStart w:id="36" w:name="_Toc99619852"/>
            <w:r>
              <w:t>Takeovers</w:t>
            </w:r>
            <w:r w:rsidR="00AC11D2">
              <w:t xml:space="preserve"> </w:t>
            </w:r>
            <w:r w:rsidR="003433E3">
              <w:t>R</w:t>
            </w:r>
            <w:r w:rsidR="00AC11D2">
              <w:t>ules</w:t>
            </w:r>
            <w:r w:rsidR="004F20EF">
              <w:t xml:space="preserve"> </w:t>
            </w:r>
            <w:r w:rsidR="00CF57BA">
              <w:t>and the Takeovers</w:t>
            </w:r>
            <w:r w:rsidR="004F20EF">
              <w:t xml:space="preserve"> </w:t>
            </w:r>
            <w:r w:rsidR="00E62E9B">
              <w:t>P</w:t>
            </w:r>
            <w:r w:rsidR="004F20EF">
              <w:t>anel</w:t>
            </w:r>
            <w:bookmarkEnd w:id="36"/>
          </w:p>
          <w:p w14:paraId="5A99F92E" w14:textId="02670E6C" w:rsidR="00A42367" w:rsidRPr="006E1BDF" w:rsidRDefault="00967AEE" w:rsidP="004673FB">
            <w:pPr>
              <w:pStyle w:val="OutlineNumbered1"/>
              <w:numPr>
                <w:ilvl w:val="0"/>
                <w:numId w:val="11"/>
              </w:numPr>
              <w:tabs>
                <w:tab w:val="clear" w:pos="851"/>
                <w:tab w:val="num" w:pos="600"/>
              </w:tabs>
              <w:ind w:left="600" w:hanging="600"/>
            </w:pPr>
            <w:r w:rsidRPr="006E1BDF">
              <w:t xml:space="preserve">What are your views on </w:t>
            </w:r>
            <w:r w:rsidR="00A42367" w:rsidRPr="006E1BDF">
              <w:t>the</w:t>
            </w:r>
            <w:r w:rsidR="00165C57" w:rsidRPr="006E1BDF">
              <w:t xml:space="preserve"> current</w:t>
            </w:r>
            <w:r w:rsidR="00A42367" w:rsidRPr="006E1BDF">
              <w:t xml:space="preserve"> </w:t>
            </w:r>
            <w:r w:rsidRPr="006E1BDF">
              <w:t>T</w:t>
            </w:r>
            <w:r w:rsidR="00A42367" w:rsidRPr="006E1BDF">
              <w:t xml:space="preserve">akeovers </w:t>
            </w:r>
            <w:r w:rsidRPr="006E1BDF">
              <w:t>R</w:t>
            </w:r>
            <w:r w:rsidR="00A42367" w:rsidRPr="006E1BDF">
              <w:t xml:space="preserve">ules? Do takeovers generally achieve outcomes aligned with the Eggleston </w:t>
            </w:r>
            <w:r w:rsidR="00DF5DD7">
              <w:t>Principles</w:t>
            </w:r>
            <w:r w:rsidR="00A42367" w:rsidRPr="006E1BDF">
              <w:t>?</w:t>
            </w:r>
            <w:r w:rsidR="000A6470" w:rsidRPr="006E1BDF">
              <w:t xml:space="preserve"> Please provide examples where possible.</w:t>
            </w:r>
          </w:p>
          <w:p w14:paraId="205AEAB0" w14:textId="6C5CB1EA" w:rsidR="00A42367" w:rsidRPr="006E1BDF" w:rsidRDefault="00A42367" w:rsidP="004673FB">
            <w:pPr>
              <w:pStyle w:val="OutlineNumbered1"/>
              <w:numPr>
                <w:ilvl w:val="0"/>
                <w:numId w:val="11"/>
              </w:numPr>
              <w:tabs>
                <w:tab w:val="clear" w:pos="851"/>
                <w:tab w:val="num" w:pos="600"/>
              </w:tabs>
              <w:ind w:left="600" w:hanging="600"/>
            </w:pPr>
            <w:r w:rsidRPr="006E1BDF">
              <w:t xml:space="preserve">What changes (if any) could be made to make </w:t>
            </w:r>
            <w:r w:rsidR="006E623C">
              <w:t xml:space="preserve">takeovers </w:t>
            </w:r>
            <w:r w:rsidRPr="006E1BDF">
              <w:t>more efficient</w:t>
            </w:r>
            <w:r w:rsidR="0031165F" w:rsidRPr="006E1BDF">
              <w:t xml:space="preserve"> </w:t>
            </w:r>
            <w:r w:rsidR="0031165F">
              <w:t xml:space="preserve">and </w:t>
            </w:r>
            <w:r w:rsidR="0031165F" w:rsidRPr="006E1BDF">
              <w:t>reduce unnecessary costs</w:t>
            </w:r>
            <w:r w:rsidRPr="006E1BDF">
              <w:t>?</w:t>
            </w:r>
          </w:p>
          <w:p w14:paraId="6343EF4B" w14:textId="3FE84E9F" w:rsidR="00811C57" w:rsidRDefault="00811C57" w:rsidP="002C7A5B">
            <w:pPr>
              <w:pStyle w:val="Heading3"/>
              <w:spacing w:before="120"/>
              <w:outlineLvl w:val="2"/>
            </w:pPr>
            <w:bookmarkStart w:id="37" w:name="_Toc99619853"/>
            <w:r>
              <w:t xml:space="preserve">Schemes of Arrangement </w:t>
            </w:r>
            <w:r w:rsidR="001867CB">
              <w:t>and the Court</w:t>
            </w:r>
            <w:bookmarkEnd w:id="37"/>
          </w:p>
          <w:p w14:paraId="174B9736" w14:textId="4DF0ED8B" w:rsidR="00811C57" w:rsidRPr="00FB762D" w:rsidRDefault="00967AEE" w:rsidP="004673FB">
            <w:pPr>
              <w:pStyle w:val="OutlineNumbered1"/>
              <w:numPr>
                <w:ilvl w:val="0"/>
                <w:numId w:val="11"/>
              </w:numPr>
              <w:tabs>
                <w:tab w:val="clear" w:pos="851"/>
                <w:tab w:val="num" w:pos="600"/>
              </w:tabs>
              <w:ind w:left="600" w:hanging="600"/>
            </w:pPr>
            <w:r w:rsidRPr="006E1BDF">
              <w:t>What are your views on the Scheme of Arrangement Rules</w:t>
            </w:r>
            <w:r w:rsidR="00A42367" w:rsidRPr="006E1BDF">
              <w:t xml:space="preserve">? </w:t>
            </w:r>
            <w:r w:rsidR="00811C57" w:rsidRPr="006E1BDF">
              <w:t xml:space="preserve">Do </w:t>
            </w:r>
            <w:r w:rsidR="00F343D0">
              <w:t>s</w:t>
            </w:r>
            <w:r w:rsidR="00811C57" w:rsidRPr="006E1BDF">
              <w:t xml:space="preserve">chemes of </w:t>
            </w:r>
            <w:r w:rsidR="00F343D0">
              <w:t>a</w:t>
            </w:r>
            <w:r w:rsidR="00811C57" w:rsidRPr="006E1BDF">
              <w:t xml:space="preserve">rrangement generally achieve outcomes aligned with the Eggleston </w:t>
            </w:r>
            <w:r w:rsidR="00DF5DD7">
              <w:t>Principles</w:t>
            </w:r>
            <w:r w:rsidR="00811C57" w:rsidRPr="006E1BDF">
              <w:t xml:space="preserve">? </w:t>
            </w:r>
            <w:r w:rsidR="000A6470" w:rsidRPr="006E1BDF">
              <w:t>Please provide examples where possible.</w:t>
            </w:r>
          </w:p>
          <w:p w14:paraId="4DAB0951" w14:textId="7697194A" w:rsidR="00811C57" w:rsidRDefault="00811C57" w:rsidP="004673FB">
            <w:pPr>
              <w:pStyle w:val="OutlineNumbered1"/>
              <w:numPr>
                <w:ilvl w:val="0"/>
                <w:numId w:val="11"/>
              </w:numPr>
              <w:tabs>
                <w:tab w:val="clear" w:pos="851"/>
                <w:tab w:val="num" w:pos="600"/>
              </w:tabs>
              <w:ind w:left="600" w:hanging="600"/>
            </w:pPr>
            <w:r w:rsidRPr="006C1335">
              <w:t xml:space="preserve">What changes (if any) could be made to make members’ schemes of arrangement more efficient and reduce unnecessary costs? </w:t>
            </w:r>
          </w:p>
          <w:p w14:paraId="45A14C71" w14:textId="18F1AEE0" w:rsidR="00F11323" w:rsidRPr="00577B77" w:rsidRDefault="00F3607F" w:rsidP="004673FB">
            <w:pPr>
              <w:pStyle w:val="OutlineNumbered1"/>
              <w:numPr>
                <w:ilvl w:val="0"/>
                <w:numId w:val="11"/>
              </w:numPr>
              <w:tabs>
                <w:tab w:val="clear" w:pos="851"/>
                <w:tab w:val="num" w:pos="600"/>
              </w:tabs>
              <w:ind w:left="600" w:hanging="600"/>
            </w:pPr>
            <w:r w:rsidRPr="00577B77">
              <w:t>Would there</w:t>
            </w:r>
            <w:r w:rsidR="00F11323" w:rsidRPr="00577B77">
              <w:t xml:space="preserve"> be </w:t>
            </w:r>
            <w:r w:rsidRPr="00577B77">
              <w:t xml:space="preserve">benefits to establishing </w:t>
            </w:r>
            <w:r w:rsidR="00F11323" w:rsidRPr="00577B77">
              <w:t>regulatory consistency between takeovers and schemes</w:t>
            </w:r>
            <w:r w:rsidR="0069196A">
              <w:t>? For example, would there be benefits in aligning the</w:t>
            </w:r>
            <w:r w:rsidR="00F11323" w:rsidRPr="00577B77">
              <w:t xml:space="preserve"> minimum disclosure requirements, </w:t>
            </w:r>
            <w:r w:rsidR="0072583B">
              <w:t xml:space="preserve">the </w:t>
            </w:r>
            <w:r w:rsidR="00F11323" w:rsidRPr="00577B77">
              <w:t>minimum bid rule, and the rule against collateral benefits?</w:t>
            </w:r>
          </w:p>
          <w:p w14:paraId="462AD3D1" w14:textId="7CD8BB90" w:rsidR="004F20EF" w:rsidRDefault="004F20EF" w:rsidP="002C7A5B">
            <w:pPr>
              <w:pStyle w:val="Heading3"/>
              <w:spacing w:before="120"/>
              <w:outlineLvl w:val="2"/>
            </w:pPr>
            <w:bookmarkStart w:id="38" w:name="_Toc99619854"/>
            <w:r>
              <w:t xml:space="preserve">The role of the Takeovers </w:t>
            </w:r>
            <w:r w:rsidR="001867CB">
              <w:t>P</w:t>
            </w:r>
            <w:r>
              <w:t>anel in relation to schemes</w:t>
            </w:r>
            <w:bookmarkEnd w:id="38"/>
          </w:p>
          <w:p w14:paraId="0892D534" w14:textId="33BFB886" w:rsidR="00577B77" w:rsidRPr="00577B77" w:rsidRDefault="007F455C" w:rsidP="004673FB">
            <w:pPr>
              <w:pStyle w:val="OutlineNumbered1"/>
              <w:numPr>
                <w:ilvl w:val="0"/>
                <w:numId w:val="11"/>
              </w:numPr>
              <w:tabs>
                <w:tab w:val="clear" w:pos="851"/>
                <w:tab w:val="num" w:pos="600"/>
              </w:tabs>
              <w:ind w:left="600" w:hanging="600"/>
            </w:pPr>
            <w:r w:rsidRPr="002C4149">
              <w:t xml:space="preserve">What are your views on expanding </w:t>
            </w:r>
            <w:r w:rsidR="00811C57" w:rsidRPr="002C4149">
              <w:t>the Takeovers Panel</w:t>
            </w:r>
            <w:r w:rsidR="002C7A5B">
              <w:t>’s</w:t>
            </w:r>
            <w:r w:rsidRPr="002C4149">
              <w:t xml:space="preserve"> powers to include </w:t>
            </w:r>
            <w:r w:rsidR="00811C57" w:rsidRPr="002C4149">
              <w:t>approv</w:t>
            </w:r>
            <w:r w:rsidRPr="002C4149">
              <w:t>al of</w:t>
            </w:r>
            <w:r w:rsidR="00811C57" w:rsidRPr="002C4149">
              <w:t xml:space="preserve"> </w:t>
            </w:r>
            <w:r w:rsidR="0031165F">
              <w:t xml:space="preserve">members’ </w:t>
            </w:r>
            <w:r w:rsidR="00811C57" w:rsidRPr="002C4149">
              <w:t xml:space="preserve">schemes of arrangement? </w:t>
            </w:r>
            <w:r w:rsidR="002C4149" w:rsidRPr="002C4149">
              <w:t>W</w:t>
            </w:r>
            <w:r w:rsidRPr="002C4149">
              <w:t xml:space="preserve">hat form </w:t>
            </w:r>
            <w:r w:rsidR="008E3C49">
              <w:t xml:space="preserve">(if any) </w:t>
            </w:r>
            <w:r w:rsidRPr="002C4149">
              <w:t xml:space="preserve">should such a power take? Should </w:t>
            </w:r>
            <w:r w:rsidR="00811C57" w:rsidRPr="002C4149">
              <w:t xml:space="preserve">a separate regime </w:t>
            </w:r>
            <w:r w:rsidRPr="002C4149">
              <w:t xml:space="preserve">be established </w:t>
            </w:r>
            <w:r w:rsidR="00811C57" w:rsidRPr="002C4149">
              <w:t xml:space="preserve">for members’ schemes of arrangement for the purposes of a </w:t>
            </w:r>
            <w:r w:rsidR="00E30CC8">
              <w:t>change in corporate control</w:t>
            </w:r>
            <w:r w:rsidRPr="002C4149">
              <w:t>?</w:t>
            </w:r>
          </w:p>
          <w:p w14:paraId="40E46401" w14:textId="024CA692" w:rsidR="00D43CD2" w:rsidRPr="0031165F" w:rsidRDefault="00811C57" w:rsidP="004673FB">
            <w:pPr>
              <w:pStyle w:val="OutlineNumbered1"/>
              <w:numPr>
                <w:ilvl w:val="0"/>
                <w:numId w:val="11"/>
              </w:numPr>
              <w:tabs>
                <w:tab w:val="clear" w:pos="851"/>
                <w:tab w:val="num" w:pos="600"/>
              </w:tabs>
              <w:ind w:left="600" w:hanging="600"/>
            </w:pPr>
            <w:r w:rsidRPr="006E1BDF">
              <w:t xml:space="preserve">If the Takeovers Panel were to take on some or all </w:t>
            </w:r>
            <w:r w:rsidR="002C7A5B">
              <w:t>of the</w:t>
            </w:r>
            <w:r w:rsidRPr="006E1BDF">
              <w:t xml:space="preserve"> Court</w:t>
            </w:r>
            <w:r w:rsidR="002C7A5B">
              <w:t>’s</w:t>
            </w:r>
            <w:r w:rsidRPr="006E1BDF">
              <w:t xml:space="preserve"> functions for a scheme of arrangement, what difference to </w:t>
            </w:r>
            <w:r w:rsidR="005C1B76">
              <w:t xml:space="preserve">efficiency </w:t>
            </w:r>
            <w:r w:rsidR="0069196A">
              <w:t xml:space="preserve">and costs </w:t>
            </w:r>
            <w:r w:rsidRPr="006E1BDF">
              <w:t>could this make?</w:t>
            </w:r>
            <w:r w:rsidR="00D43CD2">
              <w:t xml:space="preserve"> </w:t>
            </w:r>
            <w:r w:rsidR="00D43CD2" w:rsidRPr="0031165F">
              <w:t xml:space="preserve">For example, if the Chapter 5 scheme of arrangement mechanism was retained and a new procedure was added to Chapter 6 (allowing a target to convene a scheme meeting, not requiring formal approval from the Court, and enabling any party to raise a dispute with the Panel as they can for takeovers), </w:t>
            </w:r>
            <w:r w:rsidR="0069196A" w:rsidRPr="0031165F">
              <w:t>what would be the advantages and disadvantages of such a change</w:t>
            </w:r>
            <w:r w:rsidR="00D43CD2" w:rsidRPr="0031165F">
              <w:t>?</w:t>
            </w:r>
          </w:p>
          <w:p w14:paraId="0B9F75BE" w14:textId="0B307A52" w:rsidR="00811C57" w:rsidRPr="006E1BDF" w:rsidRDefault="00AC3C36" w:rsidP="004673FB">
            <w:pPr>
              <w:pStyle w:val="OutlineNumbered1"/>
              <w:numPr>
                <w:ilvl w:val="0"/>
                <w:numId w:val="11"/>
              </w:numPr>
              <w:tabs>
                <w:tab w:val="clear" w:pos="851"/>
                <w:tab w:val="num" w:pos="600"/>
              </w:tabs>
              <w:spacing w:after="0"/>
              <w:ind w:left="600" w:hanging="600"/>
            </w:pPr>
            <w:r>
              <w:t xml:space="preserve">If the </w:t>
            </w:r>
            <w:r w:rsidR="009326E3">
              <w:t xml:space="preserve">Takeovers </w:t>
            </w:r>
            <w:r>
              <w:t xml:space="preserve">Panel were to be given a formal review role for schemes, such as is currently </w:t>
            </w:r>
            <w:r w:rsidR="006722AD">
              <w:t xml:space="preserve">performed </w:t>
            </w:r>
            <w:r>
              <w:t>by the courts</w:t>
            </w:r>
            <w:r w:rsidR="00811C57" w:rsidRPr="006E1BDF">
              <w:t xml:space="preserve"> what, if any, changes might be required to: </w:t>
            </w:r>
          </w:p>
          <w:p w14:paraId="7F74BFDA" w14:textId="5B8F425E" w:rsidR="00811C57" w:rsidRDefault="00811C57" w:rsidP="004673FB">
            <w:pPr>
              <w:pStyle w:val="DoubleDot"/>
              <w:numPr>
                <w:ilvl w:val="3"/>
                <w:numId w:val="15"/>
              </w:numPr>
              <w:spacing w:after="0"/>
            </w:pPr>
            <w:r>
              <w:t>the scheme of arrangement procedure</w:t>
            </w:r>
            <w:r w:rsidR="006C1335">
              <w:t>s</w:t>
            </w:r>
          </w:p>
          <w:p w14:paraId="3CF1197D" w14:textId="21F1E7F7" w:rsidR="00811C57" w:rsidRDefault="00811C57" w:rsidP="004673FB">
            <w:pPr>
              <w:pStyle w:val="DoubleDot"/>
              <w:numPr>
                <w:ilvl w:val="3"/>
                <w:numId w:val="15"/>
              </w:numPr>
              <w:spacing w:after="0"/>
            </w:pPr>
            <w:r>
              <w:t>the criteria by which schemes of arrangement are considered and approved</w:t>
            </w:r>
          </w:p>
          <w:p w14:paraId="086B9DAA" w14:textId="585CC413" w:rsidR="00811C57" w:rsidRDefault="00811C57" w:rsidP="004673FB">
            <w:pPr>
              <w:pStyle w:val="DoubleDot"/>
              <w:numPr>
                <w:ilvl w:val="3"/>
                <w:numId w:val="15"/>
              </w:numPr>
              <w:spacing w:after="0"/>
            </w:pPr>
            <w:r>
              <w:t>the Takeover Rules</w:t>
            </w:r>
          </w:p>
          <w:p w14:paraId="238C40A7" w14:textId="05B207D0" w:rsidR="00811C57" w:rsidRDefault="00811C57" w:rsidP="004673FB">
            <w:pPr>
              <w:pStyle w:val="DoubleDot"/>
              <w:numPr>
                <w:ilvl w:val="3"/>
                <w:numId w:val="15"/>
              </w:numPr>
            </w:pPr>
            <w:r>
              <w:t>the division of responsibilities between ASIC and the Takeovers Panel?</w:t>
            </w:r>
          </w:p>
          <w:p w14:paraId="12711BC4" w14:textId="2EEC9BE5" w:rsidR="00A350D6" w:rsidRDefault="00A350D6" w:rsidP="002C7A5B">
            <w:pPr>
              <w:pStyle w:val="Heading3"/>
              <w:spacing w:before="120"/>
              <w:outlineLvl w:val="2"/>
            </w:pPr>
            <w:bookmarkStart w:id="39" w:name="_Toc99619855"/>
            <w:r>
              <w:t xml:space="preserve">Advance </w:t>
            </w:r>
            <w:r w:rsidR="003D40B7">
              <w:t>r</w:t>
            </w:r>
            <w:r>
              <w:t>ulings</w:t>
            </w:r>
            <w:bookmarkEnd w:id="39"/>
            <w:r>
              <w:t xml:space="preserve"> </w:t>
            </w:r>
          </w:p>
          <w:p w14:paraId="417FB7D7" w14:textId="719C6083" w:rsidR="006E1BDF" w:rsidRPr="006E1BDF" w:rsidRDefault="006E1BDF" w:rsidP="004673FB">
            <w:pPr>
              <w:pStyle w:val="OutlineNumbered1"/>
              <w:numPr>
                <w:ilvl w:val="0"/>
                <w:numId w:val="11"/>
              </w:numPr>
              <w:tabs>
                <w:tab w:val="clear" w:pos="851"/>
                <w:tab w:val="num" w:pos="600"/>
              </w:tabs>
              <w:ind w:left="600" w:hanging="600"/>
            </w:pPr>
            <w:r w:rsidRPr="00986E8B">
              <w:t xml:space="preserve">Would an advance rulings power assist in the regulation of control transaction disputes? </w:t>
            </w:r>
            <w:r w:rsidR="002C7A5B">
              <w:t>W</w:t>
            </w:r>
            <w:r w:rsidRPr="006E1BDF">
              <w:t>ould the Takeovers Panel, its executive, ASIC or another party be best placed to exercise such a power</w:t>
            </w:r>
            <w:r>
              <w:t>?</w:t>
            </w:r>
          </w:p>
          <w:p w14:paraId="739D7127" w14:textId="013F746E" w:rsidR="00655D83" w:rsidRPr="006E1BDF" w:rsidRDefault="001A3F27" w:rsidP="004673FB">
            <w:pPr>
              <w:pStyle w:val="OutlineNumbered1"/>
              <w:numPr>
                <w:ilvl w:val="0"/>
                <w:numId w:val="11"/>
              </w:numPr>
              <w:tabs>
                <w:tab w:val="clear" w:pos="851"/>
                <w:tab w:val="num" w:pos="600"/>
              </w:tabs>
              <w:ind w:left="600" w:hanging="600"/>
            </w:pPr>
            <w:r>
              <w:t>W</w:t>
            </w:r>
            <w:r w:rsidR="00147CE7">
              <w:t xml:space="preserve">hat features </w:t>
            </w:r>
            <w:r w:rsidR="002C7A5B">
              <w:t>sh</w:t>
            </w:r>
            <w:r w:rsidR="00147CE7">
              <w:t>ould an advance ruling power in Australia have?</w:t>
            </w:r>
          </w:p>
          <w:p w14:paraId="6A4E230A" w14:textId="2BA9CD20" w:rsidR="006E1BDF" w:rsidRPr="006E1BDF" w:rsidRDefault="00A350D6" w:rsidP="004673FB">
            <w:pPr>
              <w:pStyle w:val="OutlineNumbered1"/>
              <w:numPr>
                <w:ilvl w:val="0"/>
                <w:numId w:val="11"/>
              </w:numPr>
              <w:tabs>
                <w:tab w:val="clear" w:pos="851"/>
                <w:tab w:val="num" w:pos="600"/>
              </w:tabs>
              <w:ind w:left="600" w:hanging="600"/>
            </w:pPr>
            <w:r w:rsidRPr="006E1BDF">
              <w:t>How can the Takeovers Panel provide an advance ruling in a way does not result in information asymmetries in the market?</w:t>
            </w:r>
            <w:r w:rsidR="002C7A5B">
              <w:t xml:space="preserve"> </w:t>
            </w:r>
            <w:r w:rsidR="006E1BDF" w:rsidRPr="006E1BDF">
              <w:t xml:space="preserve">Who should the Takeovers Panel consult with </w:t>
            </w:r>
            <w:r w:rsidR="006E1BDF">
              <w:t xml:space="preserve">or seek input from </w:t>
            </w:r>
            <w:r w:rsidR="006E1BDF" w:rsidRPr="006E1BDF">
              <w:t>prior to the making of an advance ruling</w:t>
            </w:r>
            <w:r w:rsidR="002C7A5B">
              <w:t xml:space="preserve"> a</w:t>
            </w:r>
            <w:r w:rsidR="006E1BDF" w:rsidRPr="006E1BDF">
              <w:t>nd in what circumstances should that consultation occur?</w:t>
            </w:r>
          </w:p>
          <w:p w14:paraId="29095213" w14:textId="1A78B9A3" w:rsidR="00A350D6" w:rsidRPr="006E1BDF" w:rsidRDefault="00A350D6" w:rsidP="004673FB">
            <w:pPr>
              <w:pStyle w:val="OutlineNumbered1"/>
              <w:numPr>
                <w:ilvl w:val="0"/>
                <w:numId w:val="11"/>
              </w:numPr>
              <w:tabs>
                <w:tab w:val="clear" w:pos="851"/>
                <w:tab w:val="num" w:pos="600"/>
              </w:tabs>
              <w:ind w:left="600" w:hanging="600"/>
            </w:pPr>
            <w:r w:rsidRPr="006E1BDF">
              <w:t>What impact w</w:t>
            </w:r>
            <w:r w:rsidR="002C7A5B">
              <w:t>ould</w:t>
            </w:r>
            <w:r w:rsidRPr="006E1BDF">
              <w:t xml:space="preserve"> the provision of an advance ruling</w:t>
            </w:r>
            <w:r w:rsidR="003F2B65">
              <w:t xml:space="preserve"> power </w:t>
            </w:r>
            <w:r w:rsidRPr="006E1BDF">
              <w:t xml:space="preserve">have on the use </w:t>
            </w:r>
            <w:r w:rsidR="002C7A5B">
              <w:t>of</w:t>
            </w:r>
            <w:r w:rsidRPr="006E1BDF">
              <w:t xml:space="preserve"> the Takeovers Panel as a dispute resolution forum?</w:t>
            </w:r>
          </w:p>
          <w:p w14:paraId="1AB8317C" w14:textId="14E25162" w:rsidR="0093706A" w:rsidRPr="003229CC" w:rsidRDefault="0093706A" w:rsidP="002C7A5B">
            <w:pPr>
              <w:pStyle w:val="Heading3"/>
              <w:spacing w:before="120"/>
              <w:outlineLvl w:val="2"/>
            </w:pPr>
            <w:bookmarkStart w:id="40" w:name="_Toc99619856"/>
            <w:r>
              <w:t>General</w:t>
            </w:r>
            <w:bookmarkEnd w:id="40"/>
            <w:r>
              <w:t xml:space="preserve"> </w:t>
            </w:r>
          </w:p>
          <w:p w14:paraId="199801B3" w14:textId="455355B4" w:rsidR="00EA78B6" w:rsidRPr="007E1632" w:rsidRDefault="0093706A" w:rsidP="004673FB">
            <w:pPr>
              <w:pStyle w:val="OutlineNumbered1"/>
              <w:numPr>
                <w:ilvl w:val="0"/>
                <w:numId w:val="11"/>
              </w:numPr>
              <w:tabs>
                <w:tab w:val="clear" w:pos="851"/>
                <w:tab w:val="num" w:pos="600"/>
              </w:tabs>
              <w:ind w:left="600" w:hanging="600"/>
            </w:pPr>
            <w:r w:rsidRPr="006E1BDF">
              <w:t>What other policy options could improve the efficiency</w:t>
            </w:r>
            <w:r w:rsidR="00EE5B4C">
              <w:t xml:space="preserve"> </w:t>
            </w:r>
            <w:r w:rsidR="00D1437C">
              <w:t xml:space="preserve">and reduce the cost </w:t>
            </w:r>
            <w:r w:rsidR="00EE5B4C">
              <w:t>of</w:t>
            </w:r>
            <w:r w:rsidR="00BD1F2E">
              <w:t xml:space="preserve"> </w:t>
            </w:r>
            <w:r w:rsidR="00D1437C">
              <w:t>control transactions</w:t>
            </w:r>
            <w:r w:rsidRPr="006E1BDF">
              <w:t xml:space="preserve">, </w:t>
            </w:r>
            <w:r w:rsidR="00D1437C">
              <w:t xml:space="preserve">whether </w:t>
            </w:r>
            <w:r w:rsidRPr="006E1BDF">
              <w:t xml:space="preserve">by </w:t>
            </w:r>
            <w:r w:rsidR="00D1437C">
              <w:t xml:space="preserve">takeovers </w:t>
            </w:r>
            <w:r w:rsidRPr="006E1BDF">
              <w:t>scheme of arrangement?</w:t>
            </w:r>
          </w:p>
        </w:tc>
      </w:tr>
    </w:tbl>
    <w:p w14:paraId="212F7E7B" w14:textId="77777777" w:rsidR="00EA78B6" w:rsidRPr="00337C18" w:rsidRDefault="00EA78B6" w:rsidP="00EA78B6">
      <w:pPr>
        <w:pStyle w:val="Bullet"/>
        <w:numPr>
          <w:ilvl w:val="0"/>
          <w:numId w:val="0"/>
        </w:numPr>
        <w:rPr>
          <w:highlight w:val="yellow"/>
        </w:rPr>
      </w:pPr>
    </w:p>
    <w:sectPr w:rsidR="00EA78B6" w:rsidRPr="00337C18" w:rsidSect="00E1136B">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94E57" w14:textId="77777777" w:rsidR="009A4893" w:rsidRDefault="009A4893">
      <w:pPr>
        <w:spacing w:before="0" w:after="0"/>
      </w:pPr>
      <w:r>
        <w:separator/>
      </w:r>
    </w:p>
  </w:endnote>
  <w:endnote w:type="continuationSeparator" w:id="0">
    <w:p w14:paraId="50C7894B" w14:textId="77777777" w:rsidR="009A4893" w:rsidRDefault="009A4893">
      <w:pPr>
        <w:spacing w:before="0" w:after="0"/>
      </w:pPr>
      <w:r>
        <w:continuationSeparator/>
      </w:r>
    </w:p>
  </w:endnote>
  <w:endnote w:type="continuationNotice" w:id="1">
    <w:p w14:paraId="7C712DFC" w14:textId="77777777" w:rsidR="009A4893" w:rsidRDefault="009A489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6D928" w14:textId="77777777" w:rsidR="00B017B8" w:rsidRPr="00E77C89" w:rsidRDefault="00B017B8"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91117" w14:textId="77777777" w:rsidR="00B017B8" w:rsidRPr="00E77C89" w:rsidRDefault="00B017B8"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FE897" w14:textId="77777777" w:rsidR="00B017B8" w:rsidRPr="00E1136B" w:rsidRDefault="00B017B8"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C9C35" w14:textId="77777777" w:rsidR="00B017B8" w:rsidRDefault="00B01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60DD9" w14:textId="77777777" w:rsidR="009A4893" w:rsidRDefault="009A4893">
      <w:pPr>
        <w:spacing w:before="0" w:after="0"/>
      </w:pPr>
      <w:r>
        <w:separator/>
      </w:r>
    </w:p>
  </w:footnote>
  <w:footnote w:type="continuationSeparator" w:id="0">
    <w:p w14:paraId="3E03270E" w14:textId="77777777" w:rsidR="009A4893" w:rsidRDefault="009A4893">
      <w:pPr>
        <w:spacing w:before="0" w:after="0"/>
      </w:pPr>
      <w:r>
        <w:continuationSeparator/>
      </w:r>
    </w:p>
  </w:footnote>
  <w:footnote w:type="continuationNotice" w:id="1">
    <w:p w14:paraId="46DCE71A" w14:textId="77777777" w:rsidR="009A4893" w:rsidRDefault="009A4893">
      <w:pPr>
        <w:spacing w:before="0" w:after="0"/>
      </w:pPr>
    </w:p>
  </w:footnote>
  <w:footnote w:id="2">
    <w:p w14:paraId="699A245C" w14:textId="77777777" w:rsidR="003A3AEB" w:rsidRDefault="003A3AEB" w:rsidP="003A3AEB">
      <w:pPr>
        <w:pStyle w:val="FootnoteText"/>
      </w:pPr>
      <w:r>
        <w:rPr>
          <w:rStyle w:val="FootnoteReference"/>
        </w:rPr>
        <w:footnoteRef/>
      </w:r>
      <w:r>
        <w:t xml:space="preserve"> </w:t>
      </w:r>
      <w:r w:rsidRPr="00A21CEC">
        <w:t>Adolf Berle and Gardiner Means</w:t>
      </w:r>
      <w:r>
        <w:t xml:space="preserve">, </w:t>
      </w:r>
      <w:r>
        <w:rPr>
          <w:i/>
          <w:iCs/>
        </w:rPr>
        <w:t>The Modern Corporation and Private Property</w:t>
      </w:r>
      <w:r>
        <w:t xml:space="preserve"> (Transaction Publishers, 1932); see </w:t>
      </w:r>
      <w:r w:rsidRPr="004E416C">
        <w:rPr>
          <w:i/>
          <w:iCs/>
        </w:rPr>
        <w:t>Corporations Act 2001</w:t>
      </w:r>
      <w:r>
        <w:t xml:space="preserve"> (Cth) s 201G.</w:t>
      </w:r>
    </w:p>
  </w:footnote>
  <w:footnote w:id="3">
    <w:p w14:paraId="5971BCA8" w14:textId="77777777" w:rsidR="003A3AEB" w:rsidRDefault="003A3AEB" w:rsidP="003A3AEB">
      <w:pPr>
        <w:pStyle w:val="FootnoteText"/>
      </w:pPr>
      <w:r>
        <w:rPr>
          <w:rStyle w:val="FootnoteReference"/>
        </w:rPr>
        <w:footnoteRef/>
      </w:r>
      <w:r>
        <w:t xml:space="preserve"> Eugene Fama and Michael Jensen, ‘Separation of Ownership and Control’ (1983) 26(2) </w:t>
      </w:r>
      <w:r>
        <w:rPr>
          <w:i/>
          <w:iCs/>
        </w:rPr>
        <w:t xml:space="preserve">Journal of Law and Economics </w:t>
      </w:r>
      <w:r>
        <w:t xml:space="preserve">301; see </w:t>
      </w:r>
      <w:r w:rsidRPr="004E416C">
        <w:rPr>
          <w:i/>
          <w:iCs/>
        </w:rPr>
        <w:t>Corporations Act 2001</w:t>
      </w:r>
      <w:r>
        <w:t xml:space="preserve"> (Cth) Part 2G.2.</w:t>
      </w:r>
    </w:p>
  </w:footnote>
  <w:footnote w:id="4">
    <w:p w14:paraId="7B5F4DB2" w14:textId="77777777" w:rsidR="003A3AEB" w:rsidRDefault="003A3AEB" w:rsidP="003A3AEB">
      <w:pPr>
        <w:pStyle w:val="FootnoteText"/>
      </w:pPr>
      <w:r>
        <w:rPr>
          <w:rStyle w:val="FootnoteReference"/>
        </w:rPr>
        <w:footnoteRef/>
      </w:r>
      <w:r>
        <w:t xml:space="preserve"> Yin Zhaoliang, </w:t>
      </w:r>
      <w:r>
        <w:rPr>
          <w:i/>
          <w:iCs/>
        </w:rPr>
        <w:t xml:space="preserve">A Study of Some Legal Problems of Corporate Control </w:t>
      </w:r>
      <w:r>
        <w:t xml:space="preserve">(Law Publishing House, 2001); see </w:t>
      </w:r>
      <w:r w:rsidRPr="004E416C">
        <w:rPr>
          <w:i/>
          <w:iCs/>
        </w:rPr>
        <w:t>Corporations Act 2001</w:t>
      </w:r>
      <w:r>
        <w:t xml:space="preserve"> (Cth) Part 2G.2.</w:t>
      </w:r>
    </w:p>
  </w:footnote>
  <w:footnote w:id="5">
    <w:p w14:paraId="32393ACE" w14:textId="3AE6DFD8" w:rsidR="006A5B73" w:rsidRDefault="006A5B73">
      <w:pPr>
        <w:pStyle w:val="FootnoteText"/>
      </w:pPr>
      <w:r>
        <w:rPr>
          <w:rStyle w:val="FootnoteReference"/>
        </w:rPr>
        <w:footnoteRef/>
      </w:r>
      <w:r>
        <w:t xml:space="preserve"> All legislative references in this paper are to the </w:t>
      </w:r>
      <w:r w:rsidRPr="005F5CE4">
        <w:rPr>
          <w:i/>
          <w:iCs/>
        </w:rPr>
        <w:t>Corporations Act 2001</w:t>
      </w:r>
      <w:r>
        <w:rPr>
          <w:i/>
          <w:iCs/>
        </w:rPr>
        <w:t xml:space="preserve"> </w:t>
      </w:r>
      <w:r w:rsidRPr="00986E8B">
        <w:t>(Cth)</w:t>
      </w:r>
      <w:r>
        <w:t xml:space="preserve"> unless otherwise stated.</w:t>
      </w:r>
    </w:p>
  </w:footnote>
  <w:footnote w:id="6">
    <w:p w14:paraId="4B54B09B" w14:textId="00018D74" w:rsidR="003A3AEB" w:rsidRDefault="003A3AEB">
      <w:pPr>
        <w:pStyle w:val="FootnoteText"/>
      </w:pPr>
      <w:r>
        <w:rPr>
          <w:rStyle w:val="FootnoteReference"/>
        </w:rPr>
        <w:footnoteRef/>
      </w:r>
      <w:r>
        <w:t xml:space="preserve"> </w:t>
      </w:r>
      <w:r w:rsidRPr="004E416C">
        <w:rPr>
          <w:i/>
          <w:iCs/>
        </w:rPr>
        <w:t>Corporations Act 2001</w:t>
      </w:r>
      <w:r>
        <w:t xml:space="preserve"> (Cth) s 616.</w:t>
      </w:r>
    </w:p>
  </w:footnote>
  <w:footnote w:id="7">
    <w:p w14:paraId="56CC8115" w14:textId="60D6FE9E" w:rsidR="00B96074" w:rsidRDefault="00B96074">
      <w:pPr>
        <w:pStyle w:val="FootnoteText"/>
      </w:pPr>
      <w:r>
        <w:rPr>
          <w:rStyle w:val="FootnoteReference"/>
        </w:rPr>
        <w:footnoteRef/>
      </w:r>
      <w:r>
        <w:t xml:space="preserve"> </w:t>
      </w:r>
      <w:r w:rsidR="003A3AEB">
        <w:t>In the case of off-market bids (</w:t>
      </w:r>
      <w:r w:rsidR="003A3AEB" w:rsidRPr="004E416C">
        <w:rPr>
          <w:i/>
          <w:iCs/>
        </w:rPr>
        <w:t>Corporations Act 2001</w:t>
      </w:r>
      <w:r w:rsidR="003A3AEB">
        <w:t xml:space="preserve"> (Cth) s 625). </w:t>
      </w:r>
      <w:r>
        <w:t xml:space="preserve">Typical conditions include: </w:t>
      </w:r>
      <w:r w:rsidR="00BC5B01">
        <w:t>obtaining financ</w:t>
      </w:r>
      <w:r w:rsidR="002D755F">
        <w:t>ing</w:t>
      </w:r>
      <w:r w:rsidR="006A4C19">
        <w:t xml:space="preserve">, </w:t>
      </w:r>
      <w:r>
        <w:t>acceptance from a minimum percentage of shares, no material acquisitions or disposals from the target company, and approval from regulators such as the Foreign Investment Review Board</w:t>
      </w:r>
      <w:r w:rsidR="006A4C19">
        <w:t xml:space="preserve"> and the ACCC</w:t>
      </w:r>
      <w:r>
        <w:t>.</w:t>
      </w:r>
    </w:p>
  </w:footnote>
  <w:footnote w:id="8">
    <w:p w14:paraId="47B1BA9A" w14:textId="514D4ECA" w:rsidR="00B017B8" w:rsidRDefault="00B017B8">
      <w:pPr>
        <w:pStyle w:val="FootnoteText"/>
      </w:pPr>
      <w:r>
        <w:rPr>
          <w:rStyle w:val="FootnoteReference"/>
        </w:rPr>
        <w:footnoteRef/>
      </w:r>
      <w:r>
        <w:t xml:space="preserve"> Takeover bids are also used in ‘friendly’ circumstances. </w:t>
      </w:r>
    </w:p>
  </w:footnote>
  <w:footnote w:id="9">
    <w:p w14:paraId="73C3AC2F" w14:textId="77777777" w:rsidR="00B3087A" w:rsidRDefault="00B3087A" w:rsidP="00B3087A">
      <w:pPr>
        <w:pStyle w:val="FootnoteText"/>
      </w:pPr>
      <w:r>
        <w:rPr>
          <w:rStyle w:val="FootnoteReference"/>
        </w:rPr>
        <w:footnoteRef/>
      </w:r>
      <w:r>
        <w:t xml:space="preserve"> </w:t>
      </w:r>
      <w:r w:rsidRPr="004E416C">
        <w:rPr>
          <w:i/>
          <w:iCs/>
        </w:rPr>
        <w:t>Corporations Act 2001</w:t>
      </w:r>
      <w:r>
        <w:t xml:space="preserve"> (Cth) s 657A.</w:t>
      </w:r>
    </w:p>
  </w:footnote>
  <w:footnote w:id="10">
    <w:p w14:paraId="1B4BAAE3" w14:textId="283393A1" w:rsidR="00C81B7E" w:rsidRDefault="00C81B7E">
      <w:pPr>
        <w:pStyle w:val="FootnoteText"/>
      </w:pPr>
      <w:r>
        <w:rPr>
          <w:rStyle w:val="FootnoteReference"/>
        </w:rPr>
        <w:footnoteRef/>
      </w:r>
      <w:r>
        <w:t xml:space="preserve"> </w:t>
      </w:r>
      <w:r w:rsidRPr="004E416C">
        <w:rPr>
          <w:i/>
          <w:iCs/>
        </w:rPr>
        <w:t>Corporations Act 2001</w:t>
      </w:r>
      <w:r>
        <w:t xml:space="preserve"> (Cth) s 657A(2)(b).</w:t>
      </w:r>
    </w:p>
  </w:footnote>
  <w:footnote w:id="11">
    <w:p w14:paraId="71C333AA" w14:textId="3AEBA2FA" w:rsidR="00EC289A" w:rsidRDefault="00EC289A">
      <w:pPr>
        <w:pStyle w:val="FootnoteText"/>
      </w:pPr>
      <w:r>
        <w:rPr>
          <w:rStyle w:val="FootnoteReference"/>
        </w:rPr>
        <w:footnoteRef/>
      </w:r>
      <w:r>
        <w:t xml:space="preserve"> </w:t>
      </w:r>
      <w:r w:rsidR="00F117D4">
        <w:t xml:space="preserve">See </w:t>
      </w:r>
      <w:r w:rsidR="00F117D4">
        <w:rPr>
          <w:i/>
          <w:iCs/>
        </w:rPr>
        <w:t xml:space="preserve">Re St Barbara Mines Ltd and Taipan Resources NL </w:t>
      </w:r>
      <w:r w:rsidR="00F117D4">
        <w:t xml:space="preserve">(2000) 18 ACLC 913, in which it was noted that the </w:t>
      </w:r>
      <w:r w:rsidR="00CD1F3C">
        <w:t xml:space="preserve">Takeovers </w:t>
      </w:r>
      <w:r w:rsidR="00F117D4">
        <w:t xml:space="preserve">Panel is reluctant to intervene in a scheme </w:t>
      </w:r>
      <w:r>
        <w:t>once a court has ‘commenced its scrutiny of the scheme’</w:t>
      </w:r>
      <w:r w:rsidR="00F117D4">
        <w:t xml:space="preserve"> (at 918).</w:t>
      </w:r>
    </w:p>
  </w:footnote>
  <w:footnote w:id="12">
    <w:p w14:paraId="489C182C" w14:textId="667DD85A" w:rsidR="00D7514E" w:rsidRDefault="00D7514E">
      <w:pPr>
        <w:pStyle w:val="FootnoteText"/>
      </w:pPr>
      <w:r>
        <w:rPr>
          <w:rStyle w:val="FootnoteReference"/>
        </w:rPr>
        <w:footnoteRef/>
      </w:r>
      <w:r>
        <w:t xml:space="preserve"> </w:t>
      </w:r>
      <w:r w:rsidR="00573181" w:rsidRPr="004E416C">
        <w:rPr>
          <w:i/>
          <w:iCs/>
        </w:rPr>
        <w:t>Corporations Act 2001</w:t>
      </w:r>
      <w:r w:rsidR="00573181">
        <w:t xml:space="preserve"> (Cth) s 661A (compulsory acquisition following takeover bid) &amp; 664A (general compulsory acquisition power).</w:t>
      </w:r>
    </w:p>
  </w:footnote>
  <w:footnote w:id="13">
    <w:p w14:paraId="72332332" w14:textId="031BC30D" w:rsidR="00D7514E" w:rsidRDefault="00D7514E">
      <w:pPr>
        <w:pStyle w:val="FootnoteText"/>
      </w:pPr>
      <w:r>
        <w:rPr>
          <w:rStyle w:val="FootnoteReference"/>
        </w:rPr>
        <w:footnoteRef/>
      </w:r>
      <w:r>
        <w:t xml:space="preserve"> </w:t>
      </w:r>
      <w:r w:rsidRPr="004E416C">
        <w:rPr>
          <w:i/>
          <w:iCs/>
        </w:rPr>
        <w:t>Corporations Act 2001</w:t>
      </w:r>
      <w:r>
        <w:t xml:space="preserve"> (Cth) s 411(4)(a)(ii).</w:t>
      </w:r>
    </w:p>
  </w:footnote>
  <w:footnote w:id="14">
    <w:p w14:paraId="5BEA595C" w14:textId="5E895372" w:rsidR="00D7514E" w:rsidRDefault="00D7514E">
      <w:pPr>
        <w:pStyle w:val="FootnoteText"/>
      </w:pPr>
      <w:r>
        <w:rPr>
          <w:rStyle w:val="FootnoteReference"/>
        </w:rPr>
        <w:footnoteRef/>
      </w:r>
      <w:r>
        <w:t xml:space="preserve"> </w:t>
      </w:r>
      <w:r w:rsidRPr="004E416C">
        <w:rPr>
          <w:i/>
          <w:iCs/>
        </w:rPr>
        <w:t>Corporations Act 2001</w:t>
      </w:r>
      <w:r>
        <w:t xml:space="preserve"> (Cth) s 411(4)(b).</w:t>
      </w:r>
    </w:p>
  </w:footnote>
  <w:footnote w:id="15">
    <w:p w14:paraId="18B293AB" w14:textId="7097BA01" w:rsidR="00E70CD2" w:rsidRPr="00E24A7D" w:rsidRDefault="00E70CD2">
      <w:pPr>
        <w:pStyle w:val="FootnoteText"/>
      </w:pPr>
      <w:r>
        <w:rPr>
          <w:rStyle w:val="FootnoteReference"/>
        </w:rPr>
        <w:footnoteRef/>
      </w:r>
      <w:r>
        <w:t xml:space="preserve"> </w:t>
      </w:r>
      <w:r w:rsidR="0036598F">
        <w:t xml:space="preserve">Statistics </w:t>
      </w:r>
      <w:r w:rsidR="0073298A">
        <w:t xml:space="preserve">adapted </w:t>
      </w:r>
      <w:r w:rsidR="0036598F">
        <w:t xml:space="preserve">from: Herbert Smith Freehills, </w:t>
      </w:r>
      <w:r w:rsidR="0036598F">
        <w:rPr>
          <w:i/>
          <w:iCs/>
        </w:rPr>
        <w:t>Australian Public M&amp;A Report</w:t>
      </w:r>
      <w:r w:rsidR="00336223">
        <w:rPr>
          <w:i/>
          <w:iCs/>
        </w:rPr>
        <w:t xml:space="preserve"> 2021</w:t>
      </w:r>
      <w:r w:rsidR="0036598F">
        <w:rPr>
          <w:i/>
          <w:iCs/>
        </w:rPr>
        <w:t xml:space="preserve"> </w:t>
      </w:r>
      <w:r w:rsidR="0036598F">
        <w:t xml:space="preserve">(Report, 2021) and Gilbert + Tobin, </w:t>
      </w:r>
      <w:r w:rsidR="0036598F">
        <w:rPr>
          <w:i/>
          <w:iCs/>
        </w:rPr>
        <w:t>Takeovers + Schemes Review 2022</w:t>
      </w:r>
      <w:r w:rsidR="00E24A7D">
        <w:rPr>
          <w:i/>
          <w:iCs/>
        </w:rPr>
        <w:t xml:space="preserve"> </w:t>
      </w:r>
      <w:r w:rsidR="00E24A7D">
        <w:t>(Report</w:t>
      </w:r>
      <w:r w:rsidR="00336223">
        <w:t>, 2022</w:t>
      </w:r>
      <w:r w:rsidR="00E24A7D">
        <w:t>).</w:t>
      </w:r>
    </w:p>
  </w:footnote>
  <w:footnote w:id="16">
    <w:p w14:paraId="03511079" w14:textId="77777777" w:rsidR="00E76C39" w:rsidRDefault="00E76C39" w:rsidP="00E76C39">
      <w:pPr>
        <w:pStyle w:val="FootnoteText"/>
      </w:pPr>
      <w:r>
        <w:rPr>
          <w:rStyle w:val="FootnoteReference"/>
        </w:rPr>
        <w:footnoteRef/>
      </w:r>
      <w:r>
        <w:t xml:space="preserve"> See paper at </w:t>
      </w:r>
      <w:hyperlink r:id="rId1" w:history="1">
        <w:r w:rsidRPr="00081E9E">
          <w:rPr>
            <w:rStyle w:val="Hyperlink"/>
          </w:rPr>
          <w:t>https://treasury.gov.au/consultation/c2021-190907</w:t>
        </w:r>
      </w:hyperlink>
      <w:r>
        <w:t>.</w:t>
      </w:r>
    </w:p>
  </w:footnote>
  <w:footnote w:id="17">
    <w:p w14:paraId="0CF1655B" w14:textId="77777777" w:rsidR="00E76C39" w:rsidRDefault="00E76C39" w:rsidP="00E76C39">
      <w:pPr>
        <w:pStyle w:val="FootnoteText"/>
      </w:pPr>
      <w:r>
        <w:rPr>
          <w:rStyle w:val="FootnoteReference"/>
        </w:rPr>
        <w:footnoteRef/>
      </w:r>
      <w:r>
        <w:t xml:space="preserve"> </w:t>
      </w:r>
      <w:r w:rsidRPr="007865CD">
        <w:rPr>
          <w:i/>
          <w:iCs/>
        </w:rPr>
        <w:t>Corporations Act 2001</w:t>
      </w:r>
      <w:r>
        <w:t xml:space="preserve"> (Cth) s 606. </w:t>
      </w:r>
    </w:p>
  </w:footnote>
  <w:footnote w:id="18">
    <w:p w14:paraId="23CA195F" w14:textId="77777777" w:rsidR="00E76C39" w:rsidRDefault="00E76C39" w:rsidP="00E76C39">
      <w:pPr>
        <w:pStyle w:val="FootnoteText"/>
      </w:pPr>
      <w:r>
        <w:rPr>
          <w:rStyle w:val="FootnoteReference"/>
        </w:rPr>
        <w:footnoteRef/>
      </w:r>
      <w:r>
        <w:t xml:space="preserve"> </w:t>
      </w:r>
      <w:r>
        <w:rPr>
          <w:i/>
          <w:iCs/>
        </w:rPr>
        <w:t xml:space="preserve">Corporations Act 2001 </w:t>
      </w:r>
      <w:r>
        <w:t xml:space="preserve">(Cth) s 633; as well as the Division 4 requirements for supplementary documents in certain circumstances. </w:t>
      </w:r>
    </w:p>
  </w:footnote>
  <w:footnote w:id="19">
    <w:p w14:paraId="1B3C05AA" w14:textId="77777777" w:rsidR="00E76C39" w:rsidRDefault="00E76C39" w:rsidP="00E76C39">
      <w:pPr>
        <w:pStyle w:val="FootnoteText"/>
      </w:pPr>
      <w:r>
        <w:rPr>
          <w:rStyle w:val="FootnoteReference"/>
        </w:rPr>
        <w:footnoteRef/>
      </w:r>
      <w:r>
        <w:t xml:space="preserve"> </w:t>
      </w:r>
      <w:r>
        <w:rPr>
          <w:i/>
          <w:iCs/>
        </w:rPr>
        <w:t xml:space="preserve">Corporations Act 2001 </w:t>
      </w:r>
      <w:r>
        <w:t xml:space="preserve">(Cth) ss 636 and 638. </w:t>
      </w:r>
    </w:p>
  </w:footnote>
  <w:footnote w:id="20">
    <w:p w14:paraId="18065DDD" w14:textId="77777777" w:rsidR="00B017B8" w:rsidRPr="00B62B8C" w:rsidRDefault="00B017B8" w:rsidP="00A2064C">
      <w:pPr>
        <w:pStyle w:val="FootnoteText"/>
      </w:pPr>
      <w:r>
        <w:rPr>
          <w:rStyle w:val="FootnoteReference"/>
        </w:rPr>
        <w:footnoteRef/>
      </w:r>
      <w:r>
        <w:t xml:space="preserve"> Takeovers Panel Media Release TP21/2014 </w:t>
      </w:r>
      <w:r>
        <w:rPr>
          <w:i/>
          <w:iCs/>
        </w:rPr>
        <w:t>“</w:t>
      </w:r>
      <w:r w:rsidRPr="00B62B8C">
        <w:rPr>
          <w:i/>
          <w:iCs/>
        </w:rPr>
        <w:t>Ipsos Finds 91% of Stakeholders Satisfied with the Panel</w:t>
      </w:r>
      <w:r>
        <w:rPr>
          <w:i/>
          <w:iCs/>
        </w:rPr>
        <w:t xml:space="preserve">”, </w:t>
      </w:r>
      <w:r>
        <w:t>27 April 2021 &lt;</w:t>
      </w:r>
      <w:r w:rsidRPr="00B62B8C">
        <w:t>https://www.takeovers.gov.au/content/DisplayDoc.aspx?doc=media_releases/2021/014.htm</w:t>
      </w:r>
      <w:r>
        <w:t>&gt;</w:t>
      </w:r>
    </w:p>
  </w:footnote>
  <w:footnote w:id="21">
    <w:p w14:paraId="41767695" w14:textId="11097AD5" w:rsidR="002A206E" w:rsidRDefault="002A206E" w:rsidP="00CF5415">
      <w:pPr>
        <w:pStyle w:val="FootnoteText"/>
      </w:pPr>
      <w:r>
        <w:rPr>
          <w:rStyle w:val="FootnoteReference"/>
        </w:rPr>
        <w:footnoteRef/>
      </w:r>
      <w:r>
        <w:t xml:space="preserve"> Takeovers Panel Annual Report 2018-2019 &lt;</w:t>
      </w:r>
      <w:r w:rsidRPr="001942D8">
        <w:t>https://www.takeovers.gov.au/content/resources/reports/annual_reports/2018-19/default.aspx</w:t>
      </w:r>
      <w:r>
        <w:t>&gt;</w:t>
      </w:r>
      <w:r w:rsidR="004A0542">
        <w:t>.</w:t>
      </w:r>
    </w:p>
  </w:footnote>
  <w:footnote w:id="22">
    <w:p w14:paraId="146F0BE5" w14:textId="492D4282" w:rsidR="002A206E" w:rsidRDefault="002A206E" w:rsidP="00CF5415">
      <w:pPr>
        <w:pStyle w:val="FootnoteText"/>
      </w:pPr>
      <w:r>
        <w:rPr>
          <w:rStyle w:val="FootnoteReference"/>
        </w:rPr>
        <w:footnoteRef/>
      </w:r>
      <w:r>
        <w:t xml:space="preserve"> Takeovers Panel Annual Report 2019-2020 &lt;</w:t>
      </w:r>
      <w:r w:rsidRPr="001942D8">
        <w:t>https://www.takeovers.gov.au/content/resources/reports/annual_reports/2019-20/default.aspx</w:t>
      </w:r>
      <w:r>
        <w:t>&gt;</w:t>
      </w:r>
      <w:r w:rsidR="004A0542">
        <w:t>.</w:t>
      </w:r>
    </w:p>
  </w:footnote>
  <w:footnote w:id="23">
    <w:p w14:paraId="4FBB97F0" w14:textId="77777777" w:rsidR="00814607" w:rsidRPr="00683099" w:rsidRDefault="00814607" w:rsidP="00814607">
      <w:pPr>
        <w:pStyle w:val="FootnoteText"/>
      </w:pPr>
      <w:r>
        <w:rPr>
          <w:rStyle w:val="FootnoteReference"/>
        </w:rPr>
        <w:footnoteRef/>
      </w:r>
      <w:r>
        <w:t xml:space="preserve"> </w:t>
      </w:r>
      <w:r>
        <w:rPr>
          <w:i/>
          <w:iCs/>
        </w:rPr>
        <w:t xml:space="preserve">GBST Holdings Limited </w:t>
      </w:r>
      <w:r>
        <w:t xml:space="preserve">[2019] ATP 15; and </w:t>
      </w:r>
      <w:r>
        <w:rPr>
          <w:i/>
          <w:iCs/>
        </w:rPr>
        <w:t xml:space="preserve">Pacific Energy Limited </w:t>
      </w:r>
      <w:r>
        <w:t>[2019] ATP 20.</w:t>
      </w:r>
    </w:p>
  </w:footnote>
  <w:footnote w:id="24">
    <w:p w14:paraId="1386661A" w14:textId="323CEB79" w:rsidR="002A206E" w:rsidRDefault="002A206E" w:rsidP="00CF5415">
      <w:pPr>
        <w:pStyle w:val="FootnoteText"/>
      </w:pPr>
      <w:r>
        <w:rPr>
          <w:rStyle w:val="FootnoteReference"/>
        </w:rPr>
        <w:footnoteRef/>
      </w:r>
      <w:r>
        <w:t xml:space="preserve"> Takeovers Panel Annual Report 2020-2021 &lt;</w:t>
      </w:r>
      <w:r w:rsidRPr="001942D8">
        <w:t>https://www.takeovers.gov.au/content/resources/reports/annual_reports/2020-21/default.aspx</w:t>
      </w:r>
      <w:r>
        <w:t>&gt;</w:t>
      </w:r>
      <w:r w:rsidR="004A0542">
        <w:t>.</w:t>
      </w:r>
      <w:r>
        <w:t xml:space="preserve"> </w:t>
      </w:r>
    </w:p>
  </w:footnote>
  <w:footnote w:id="25">
    <w:p w14:paraId="457843F1" w14:textId="0D18F3B3" w:rsidR="00D8711C" w:rsidRDefault="00D8711C">
      <w:pPr>
        <w:pStyle w:val="FootnoteText"/>
      </w:pPr>
      <w:r>
        <w:rPr>
          <w:rStyle w:val="FootnoteReference"/>
        </w:rPr>
        <w:footnoteRef/>
      </w:r>
      <w:r>
        <w:t xml:space="preserve"> Figures for FY2021-22 to</w:t>
      </w:r>
      <w:r w:rsidR="00D613B9">
        <w:t xml:space="preserve"> date (up to</w:t>
      </w:r>
      <w:r>
        <w:t xml:space="preserve"> 29 March 2022</w:t>
      </w:r>
      <w:r w:rsidR="00D613B9">
        <w:t>)</w:t>
      </w:r>
      <w:r>
        <w:t>.</w:t>
      </w:r>
    </w:p>
  </w:footnote>
  <w:footnote w:id="26">
    <w:p w14:paraId="4D594175" w14:textId="18894AFD" w:rsidR="00B017B8" w:rsidRDefault="00B017B8">
      <w:pPr>
        <w:pStyle w:val="FootnoteText"/>
      </w:pPr>
      <w:r>
        <w:rPr>
          <w:rStyle w:val="FootnoteReference"/>
        </w:rPr>
        <w:footnoteRef/>
      </w:r>
      <w:r>
        <w:t xml:space="preserve"> The Court has the discretion to approve the scheme even if the scheme has not been approved by the majority of the members present and voting.</w:t>
      </w:r>
    </w:p>
  </w:footnote>
  <w:footnote w:id="27">
    <w:p w14:paraId="7B3C30EC" w14:textId="72F2961F" w:rsidR="00B017B8" w:rsidRDefault="00B017B8">
      <w:pPr>
        <w:pStyle w:val="FootnoteText"/>
      </w:pPr>
      <w:r>
        <w:rPr>
          <w:rStyle w:val="FootnoteReference"/>
        </w:rPr>
        <w:footnoteRef/>
      </w:r>
      <w:r>
        <w:t xml:space="preserve"> </w:t>
      </w:r>
      <w:r>
        <w:rPr>
          <w:i/>
          <w:iCs/>
        </w:rPr>
        <w:t xml:space="preserve">Corporations Act 2001 </w:t>
      </w:r>
      <w:r>
        <w:t>(Cth) s 411(4)(a)(ii).</w:t>
      </w:r>
    </w:p>
  </w:footnote>
  <w:footnote w:id="28">
    <w:p w14:paraId="264D6BCC" w14:textId="77777777" w:rsidR="00B017B8" w:rsidRDefault="00B017B8" w:rsidP="00EE6917">
      <w:pPr>
        <w:pStyle w:val="FootnoteText"/>
      </w:pPr>
      <w:r>
        <w:rPr>
          <w:rStyle w:val="FootnoteReference"/>
        </w:rPr>
        <w:footnoteRef/>
      </w:r>
      <w:r>
        <w:t xml:space="preserve"> </w:t>
      </w:r>
      <w:r>
        <w:rPr>
          <w:i/>
          <w:iCs/>
        </w:rPr>
        <w:t xml:space="preserve">Corporations Act 2001 </w:t>
      </w:r>
      <w:r>
        <w:t>(Cth) s 413.</w:t>
      </w:r>
    </w:p>
  </w:footnote>
  <w:footnote w:id="29">
    <w:p w14:paraId="3F65F020" w14:textId="0255378D" w:rsidR="00B017B8" w:rsidRDefault="00B017B8" w:rsidP="00EE6917">
      <w:pPr>
        <w:pStyle w:val="FootnoteText"/>
      </w:pPr>
      <w:r>
        <w:rPr>
          <w:rStyle w:val="FootnoteReference"/>
        </w:rPr>
        <w:footnoteRef/>
      </w:r>
      <w:r>
        <w:t xml:space="preserve"> See for example </w:t>
      </w:r>
      <w:r w:rsidRPr="00B172F2">
        <w:rPr>
          <w:i/>
          <w:iCs/>
        </w:rPr>
        <w:t>Ross Human Directions Ltd</w:t>
      </w:r>
      <w:r>
        <w:t xml:space="preserve"> [2010] ATP 8 at [19] and </w:t>
      </w:r>
      <w:r w:rsidRPr="00B172F2">
        <w:rPr>
          <w:i/>
          <w:iCs/>
        </w:rPr>
        <w:t xml:space="preserve">PM Capital Asian Opportunities Fund Limited 01 </w:t>
      </w:r>
      <w:r>
        <w:t>[2021] ATP 17 at [98] to [100].</w:t>
      </w:r>
    </w:p>
  </w:footnote>
  <w:footnote w:id="30">
    <w:p w14:paraId="18A043D2" w14:textId="5E0B77DC" w:rsidR="00B017B8" w:rsidRDefault="00B017B8">
      <w:pPr>
        <w:pStyle w:val="FootnoteText"/>
      </w:pPr>
      <w:r>
        <w:rPr>
          <w:rStyle w:val="FootnoteReference"/>
        </w:rPr>
        <w:footnoteRef/>
      </w:r>
      <w:r>
        <w:t xml:space="preserve"> Australian Securities &amp; Investments Commission, </w:t>
      </w:r>
      <w:r w:rsidRPr="00AA5010">
        <w:rPr>
          <w:i/>
          <w:iCs/>
        </w:rPr>
        <w:t xml:space="preserve">Regulatory Guide </w:t>
      </w:r>
      <w:r>
        <w:rPr>
          <w:i/>
          <w:iCs/>
        </w:rPr>
        <w:t>60</w:t>
      </w:r>
      <w:r w:rsidRPr="00AA5010">
        <w:rPr>
          <w:i/>
          <w:iCs/>
        </w:rPr>
        <w:t xml:space="preserve">: </w:t>
      </w:r>
      <w:r>
        <w:rPr>
          <w:i/>
          <w:iCs/>
        </w:rPr>
        <w:t>Schemes of arrangement</w:t>
      </w:r>
      <w:r>
        <w:t xml:space="preserve">, </w:t>
      </w:r>
      <w:r w:rsidRPr="00AA5010">
        <w:t>September 2020</w:t>
      </w:r>
      <w:r>
        <w:t>, [60.102] to [60.103].</w:t>
      </w:r>
    </w:p>
  </w:footnote>
  <w:footnote w:id="31">
    <w:p w14:paraId="09081827" w14:textId="38EDBC08" w:rsidR="00B017B8" w:rsidRDefault="00B017B8" w:rsidP="00735007">
      <w:pPr>
        <w:pStyle w:val="FootnoteText"/>
      </w:pPr>
      <w:r>
        <w:rPr>
          <w:rStyle w:val="FootnoteReference"/>
        </w:rPr>
        <w:footnoteRef/>
      </w:r>
      <w:r>
        <w:t xml:space="preserve"> Australian Securities &amp; Investments Commission, </w:t>
      </w:r>
      <w:r w:rsidRPr="00AA5010">
        <w:rPr>
          <w:i/>
          <w:iCs/>
        </w:rPr>
        <w:t xml:space="preserve">Regulatory Guide </w:t>
      </w:r>
      <w:r>
        <w:rPr>
          <w:i/>
          <w:iCs/>
        </w:rPr>
        <w:t>60</w:t>
      </w:r>
      <w:r w:rsidRPr="00AA5010">
        <w:rPr>
          <w:i/>
          <w:iCs/>
        </w:rPr>
        <w:t xml:space="preserve">: </w:t>
      </w:r>
      <w:r>
        <w:rPr>
          <w:i/>
          <w:iCs/>
        </w:rPr>
        <w:t>Schemes of arrangement</w:t>
      </w:r>
      <w:r>
        <w:t xml:space="preserve">, </w:t>
      </w:r>
      <w:r w:rsidRPr="00AA5010">
        <w:t>September 2020</w:t>
      </w:r>
      <w:r>
        <w:t>, [6.104] to [60.106].</w:t>
      </w:r>
    </w:p>
  </w:footnote>
  <w:footnote w:id="32">
    <w:p w14:paraId="00931A84" w14:textId="77777777" w:rsidR="00B017B8" w:rsidRDefault="00B017B8" w:rsidP="00075350">
      <w:pPr>
        <w:pStyle w:val="FootnoteText"/>
      </w:pPr>
      <w:r>
        <w:rPr>
          <w:rStyle w:val="FootnoteReference"/>
        </w:rPr>
        <w:footnoteRef/>
      </w:r>
      <w:r>
        <w:t xml:space="preserve"> </w:t>
      </w:r>
      <w:r w:rsidRPr="00FC16B0">
        <w:t>Gilbert + Tobin</w:t>
      </w:r>
      <w:r>
        <w:t xml:space="preserve">, </w:t>
      </w:r>
      <w:r>
        <w:rPr>
          <w:i/>
          <w:iCs/>
        </w:rPr>
        <w:t xml:space="preserve">Takeovers + Schemes Review </w:t>
      </w:r>
      <w:r w:rsidRPr="00B0069B">
        <w:rPr>
          <w:i/>
          <w:iCs/>
        </w:rPr>
        <w:t>2021</w:t>
      </w:r>
      <w:r>
        <w:t xml:space="preserve"> (Report, 2021)</w:t>
      </w:r>
      <w:r w:rsidRPr="00DE160F">
        <w:t xml:space="preserve"> </w:t>
      </w:r>
      <w:r>
        <w:t>22.</w:t>
      </w:r>
    </w:p>
  </w:footnote>
  <w:footnote w:id="33">
    <w:p w14:paraId="37F11529" w14:textId="0AF412B2" w:rsidR="00B017B8" w:rsidRDefault="00B017B8">
      <w:pPr>
        <w:pStyle w:val="FootnoteText"/>
      </w:pPr>
      <w:r>
        <w:rPr>
          <w:rStyle w:val="FootnoteReference"/>
        </w:rPr>
        <w:footnoteRef/>
      </w:r>
      <w:r>
        <w:t xml:space="preserve"> </w:t>
      </w:r>
      <w:r>
        <w:rPr>
          <w:i/>
          <w:iCs/>
        </w:rPr>
        <w:t xml:space="preserve">Corporations Act 2001 </w:t>
      </w:r>
      <w:r>
        <w:t>(Cth) s 411(4)(a)(ii).</w:t>
      </w:r>
    </w:p>
  </w:footnote>
  <w:footnote w:id="34">
    <w:p w14:paraId="411D1536" w14:textId="77777777" w:rsidR="00B017B8" w:rsidRPr="00F11A8A" w:rsidRDefault="00B017B8" w:rsidP="006C2BD2">
      <w:pPr>
        <w:pStyle w:val="FootnoteText"/>
      </w:pPr>
      <w:r>
        <w:rPr>
          <w:rStyle w:val="FootnoteReference"/>
        </w:rPr>
        <w:footnoteRef/>
      </w:r>
      <w:r>
        <w:t xml:space="preserve"> </w:t>
      </w:r>
      <w:r>
        <w:rPr>
          <w:i/>
          <w:iCs/>
        </w:rPr>
        <w:t xml:space="preserve">Corporations Act 2001 </w:t>
      </w:r>
      <w:r>
        <w:t>(Cth) s 411(2)(b)(i).</w:t>
      </w:r>
    </w:p>
  </w:footnote>
  <w:footnote w:id="35">
    <w:p w14:paraId="13C37DC7" w14:textId="77777777" w:rsidR="00B017B8" w:rsidRDefault="00B017B8" w:rsidP="006C2BD2">
      <w:pPr>
        <w:pStyle w:val="FootnoteText"/>
      </w:pPr>
      <w:r>
        <w:rPr>
          <w:rStyle w:val="FootnoteReference"/>
        </w:rPr>
        <w:footnoteRef/>
      </w:r>
      <w:r>
        <w:t xml:space="preserve"> See, eg, </w:t>
      </w:r>
      <w:r>
        <w:rPr>
          <w:i/>
          <w:iCs/>
        </w:rPr>
        <w:t xml:space="preserve">Corporations Regulations 2001 </w:t>
      </w:r>
      <w:r>
        <w:t xml:space="preserve">(Cth) r 5.1.01 under which ASIC may alter the prescribed contents of the explanatory statement. </w:t>
      </w:r>
    </w:p>
  </w:footnote>
  <w:footnote w:id="36">
    <w:p w14:paraId="4DBD07DF" w14:textId="77777777" w:rsidR="00B017B8" w:rsidRPr="008E4E51" w:rsidRDefault="00B017B8" w:rsidP="006C2BD2">
      <w:pPr>
        <w:pStyle w:val="FootnoteText"/>
      </w:pPr>
      <w:r>
        <w:rPr>
          <w:rStyle w:val="FootnoteReference"/>
        </w:rPr>
        <w:footnoteRef/>
      </w:r>
      <w:r>
        <w:t xml:space="preserve"> </w:t>
      </w:r>
      <w:r>
        <w:rPr>
          <w:i/>
          <w:iCs/>
        </w:rPr>
        <w:t xml:space="preserve">Corporations Act 2001 </w:t>
      </w:r>
      <w:r>
        <w:t>(Cth) s 657A.</w:t>
      </w:r>
    </w:p>
  </w:footnote>
  <w:footnote w:id="37">
    <w:p w14:paraId="41E25661" w14:textId="36B9839C" w:rsidR="00B017B8" w:rsidRPr="00704085" w:rsidRDefault="00B017B8">
      <w:pPr>
        <w:pStyle w:val="FootnoteText"/>
      </w:pPr>
      <w:r>
        <w:rPr>
          <w:rStyle w:val="FootnoteReference"/>
        </w:rPr>
        <w:footnoteRef/>
      </w:r>
      <w:r>
        <w:t xml:space="preserve"> </w:t>
      </w:r>
      <w:r>
        <w:rPr>
          <w:i/>
          <w:iCs/>
        </w:rPr>
        <w:t xml:space="preserve">Corporations Act 2001 </w:t>
      </w:r>
      <w:r>
        <w:t>(Cth) s 657C.</w:t>
      </w:r>
    </w:p>
  </w:footnote>
  <w:footnote w:id="38">
    <w:p w14:paraId="2B6B8DF0" w14:textId="77777777" w:rsidR="00B017B8" w:rsidRDefault="00B017B8" w:rsidP="00283E99">
      <w:pPr>
        <w:pStyle w:val="FootnoteText"/>
      </w:pPr>
      <w:r>
        <w:rPr>
          <w:rStyle w:val="FootnoteReference"/>
        </w:rPr>
        <w:footnoteRef/>
      </w:r>
      <w:r>
        <w:t xml:space="preserve"> Company Law Advisory Committee, Australian Parliament, Second Interim Report to the Standing Committee of Attorneys-General on Disclosure of Substantial Shareholdings and Takeovers (1969) (‘the Eggleston Report’).</w:t>
      </w:r>
    </w:p>
  </w:footnote>
  <w:footnote w:id="39">
    <w:p w14:paraId="5830EAA1" w14:textId="77777777" w:rsidR="00B017B8" w:rsidRDefault="00B017B8" w:rsidP="00283E99">
      <w:pPr>
        <w:pStyle w:val="FootnoteText"/>
      </w:pPr>
      <w:r>
        <w:rPr>
          <w:rStyle w:val="FootnoteReference"/>
        </w:rPr>
        <w:footnoteRef/>
      </w:r>
      <w:r>
        <w:t xml:space="preserve"> Named for the then chairman of the National Companies and Securities Commission. </w:t>
      </w:r>
    </w:p>
  </w:footnote>
  <w:footnote w:id="40">
    <w:p w14:paraId="67A61666" w14:textId="77777777" w:rsidR="00B017B8" w:rsidRDefault="00B017B8" w:rsidP="00283E99">
      <w:pPr>
        <w:pStyle w:val="FootnoteText"/>
      </w:pPr>
      <w:r>
        <w:rPr>
          <w:rStyle w:val="FootnoteReference"/>
        </w:rPr>
        <w:footnoteRef/>
      </w:r>
      <w:r>
        <w:t xml:space="preserve"> </w:t>
      </w:r>
      <w:r>
        <w:rPr>
          <w:i/>
        </w:rPr>
        <w:t xml:space="preserve">Companies (Acquisition of Shares) Act 1980 </w:t>
      </w:r>
      <w:r>
        <w:rPr>
          <w:iCs/>
        </w:rPr>
        <w:t xml:space="preserve">(Cth). </w:t>
      </w:r>
      <w:r>
        <w:rPr>
          <w:i/>
        </w:rPr>
        <w:t xml:space="preserve"> </w:t>
      </w:r>
    </w:p>
  </w:footnote>
  <w:footnote w:id="41">
    <w:p w14:paraId="32EDC18F" w14:textId="77777777" w:rsidR="00B017B8" w:rsidRPr="00A90993" w:rsidRDefault="00B017B8" w:rsidP="00963AFC">
      <w:pPr>
        <w:pStyle w:val="FootnoteText"/>
        <w:rPr>
          <w:i/>
        </w:rPr>
      </w:pPr>
      <w:r>
        <w:rPr>
          <w:rStyle w:val="FootnoteReference"/>
        </w:rPr>
        <w:footnoteRef/>
      </w:r>
      <w:r>
        <w:t xml:space="preserve"> </w:t>
      </w:r>
      <w:r>
        <w:rPr>
          <w:i/>
        </w:rPr>
        <w:t xml:space="preserve">Corporations Act 2001 </w:t>
      </w:r>
      <w:r>
        <w:rPr>
          <w:iCs/>
        </w:rPr>
        <w:t>(Cth)</w:t>
      </w:r>
      <w:r>
        <w:t xml:space="preserve"> s 602. S 602(d) also includes a separate statutory objective </w:t>
      </w:r>
      <w:r w:rsidRPr="00C272EA">
        <w:t>that</w:t>
      </w:r>
      <w:r w:rsidRPr="00A90993">
        <w:rPr>
          <w:i/>
          <w:iCs/>
        </w:rPr>
        <w:t xml:space="preserve"> </w:t>
      </w:r>
      <w:r w:rsidRPr="00A90993">
        <w:t>“</w:t>
      </w:r>
      <w:r w:rsidRPr="00A90993">
        <w:rPr>
          <w:i/>
          <w:iCs/>
        </w:rPr>
        <w:t>appropriate procedure is followed as a preliminary to compulsory acquisition of voting shares or interests or any other kind of securities</w:t>
      </w:r>
      <w:r>
        <w:rPr>
          <w:i/>
          <w:iCs/>
        </w:rPr>
        <w:t>.</w:t>
      </w:r>
      <w:r w:rsidRPr="00A90993">
        <w:t>..”</w:t>
      </w:r>
    </w:p>
  </w:footnote>
  <w:footnote w:id="42">
    <w:p w14:paraId="4F5D8333" w14:textId="33F5FED6" w:rsidR="00B017B8" w:rsidRPr="00555409" w:rsidRDefault="00B017B8">
      <w:pPr>
        <w:pStyle w:val="FootnoteText"/>
      </w:pPr>
      <w:r>
        <w:rPr>
          <w:rStyle w:val="FootnoteReference"/>
        </w:rPr>
        <w:footnoteRef/>
      </w:r>
      <w:r>
        <w:t xml:space="preserve"> Australian Law Reform Commission, </w:t>
      </w:r>
      <w:r>
        <w:rPr>
          <w:i/>
          <w:iCs/>
        </w:rPr>
        <w:t xml:space="preserve">Financial Services Legislation: Interim Report A </w:t>
      </w:r>
      <w:r>
        <w:t>(Report 137, 2021) 504.</w:t>
      </w:r>
    </w:p>
  </w:footnote>
  <w:footnote w:id="43">
    <w:p w14:paraId="0830651F" w14:textId="77777777" w:rsidR="00B017B8" w:rsidRDefault="00B017B8" w:rsidP="00963AFC">
      <w:pPr>
        <w:pStyle w:val="FootnoteText"/>
      </w:pPr>
      <w:r>
        <w:rPr>
          <w:rStyle w:val="FootnoteReference"/>
        </w:rPr>
        <w:footnoteRef/>
      </w:r>
      <w:r>
        <w:t xml:space="preserve"> </w:t>
      </w:r>
      <w:r>
        <w:rPr>
          <w:i/>
        </w:rPr>
        <w:t xml:space="preserve">Corporations Act 2001 </w:t>
      </w:r>
      <w:r>
        <w:rPr>
          <w:iCs/>
        </w:rPr>
        <w:t>(Cth)</w:t>
      </w:r>
      <w:r>
        <w:t xml:space="preserve"> ss 657A(2)(b) and 657A(3)(a)(i).</w:t>
      </w:r>
    </w:p>
  </w:footnote>
  <w:footnote w:id="44">
    <w:p w14:paraId="58A19F80" w14:textId="38C23D24" w:rsidR="00B017B8" w:rsidRDefault="00B017B8">
      <w:pPr>
        <w:pStyle w:val="FootnoteText"/>
      </w:pPr>
      <w:r>
        <w:rPr>
          <w:rStyle w:val="FootnoteReference"/>
        </w:rPr>
        <w:footnoteRef/>
      </w:r>
      <w:r>
        <w:t xml:space="preserve"> Where there is more than one class of shareholders, the scheme must be approved by each class (</w:t>
      </w:r>
      <w:r>
        <w:rPr>
          <w:i/>
          <w:iCs/>
        </w:rPr>
        <w:t xml:space="preserve">Corporations Act 2001 </w:t>
      </w:r>
      <w:r>
        <w:t>(Cth) s 411(5)). The Court’s overriding discretion whether to approve a scheme also protects shareholder interests, and will be discussed below.</w:t>
      </w:r>
    </w:p>
  </w:footnote>
  <w:footnote w:id="45">
    <w:p w14:paraId="6E85CFCD" w14:textId="48963736" w:rsidR="00B017B8" w:rsidRDefault="00B017B8" w:rsidP="00963AFC">
      <w:pPr>
        <w:pStyle w:val="FootnoteText"/>
      </w:pPr>
      <w:r>
        <w:rPr>
          <w:rStyle w:val="FootnoteReference"/>
        </w:rPr>
        <w:footnoteRef/>
      </w:r>
      <w:r>
        <w:t xml:space="preserve"> Australian Securities &amp; Investments Commission, </w:t>
      </w:r>
      <w:r>
        <w:rPr>
          <w:i/>
          <w:iCs/>
        </w:rPr>
        <w:t xml:space="preserve">Regulatory Guide 60: Schemes of arrangement, </w:t>
      </w:r>
      <w:r>
        <w:t xml:space="preserve">September 2020, Section B. See also, in relation to the equivalent role played by ASIC under takeover bids and schemes of arrangement, Australian Securities &amp; Investments Commission, </w:t>
      </w:r>
      <w:r>
        <w:rPr>
          <w:i/>
          <w:iCs/>
        </w:rPr>
        <w:t>Regulatory Guide 9: Takeover Bids</w:t>
      </w:r>
      <w:r>
        <w:t xml:space="preserve">, September 2020, [9.8]; and in relation to ‘scrip takeover type schemes,’ Australian Securities &amp; Investments Commission, </w:t>
      </w:r>
      <w:r>
        <w:rPr>
          <w:i/>
          <w:iCs/>
        </w:rPr>
        <w:t xml:space="preserve">Regulatory Guide 60: Schemes of arrangement, </w:t>
      </w:r>
      <w:r>
        <w:t>September 2020, [66.67]-[66.68].</w:t>
      </w:r>
    </w:p>
  </w:footnote>
  <w:footnote w:id="46">
    <w:p w14:paraId="34B516DA" w14:textId="243F2E19" w:rsidR="00B017B8" w:rsidRDefault="00B017B8">
      <w:pPr>
        <w:pStyle w:val="FootnoteText"/>
      </w:pPr>
      <w:r>
        <w:rPr>
          <w:rStyle w:val="FootnoteReference"/>
        </w:rPr>
        <w:footnoteRef/>
      </w:r>
      <w:r>
        <w:t xml:space="preserve"> Australian Securities &amp; Investments Commission, </w:t>
      </w:r>
      <w:r>
        <w:rPr>
          <w:i/>
          <w:iCs/>
        </w:rPr>
        <w:t xml:space="preserve">Regulatory Guide 60: Schemes of arrangement, </w:t>
      </w:r>
      <w:r>
        <w:t>September 2020, 6 [60.16]-[60.17].</w:t>
      </w:r>
    </w:p>
  </w:footnote>
  <w:footnote w:id="47">
    <w:p w14:paraId="799084AF" w14:textId="3EECF6FB" w:rsidR="00B017B8" w:rsidRDefault="00B017B8">
      <w:pPr>
        <w:pStyle w:val="FootnoteText"/>
      </w:pPr>
      <w:r>
        <w:rPr>
          <w:rStyle w:val="FootnoteReference"/>
        </w:rPr>
        <w:footnoteRef/>
      </w:r>
      <w:r>
        <w:t xml:space="preserve"> </w:t>
      </w:r>
      <w:r>
        <w:rPr>
          <w:i/>
        </w:rPr>
        <w:t xml:space="preserve">Corporations Act 2001 </w:t>
      </w:r>
      <w:r>
        <w:rPr>
          <w:iCs/>
        </w:rPr>
        <w:t>(Cth)</w:t>
      </w:r>
      <w:r>
        <w:t xml:space="preserve"> ss 411(4)(b) and 411(6).</w:t>
      </w:r>
    </w:p>
  </w:footnote>
  <w:footnote w:id="48">
    <w:p w14:paraId="29E2FF77" w14:textId="77777777" w:rsidR="00B017B8" w:rsidRDefault="00B017B8" w:rsidP="001C2EF3">
      <w:pPr>
        <w:pStyle w:val="FootnoteText"/>
      </w:pPr>
      <w:r>
        <w:rPr>
          <w:rStyle w:val="FootnoteReference"/>
        </w:rPr>
        <w:footnoteRef/>
      </w:r>
      <w:r>
        <w:t xml:space="preserve"> </w:t>
      </w:r>
      <w:r>
        <w:rPr>
          <w:i/>
        </w:rPr>
        <w:t xml:space="preserve">Corporations Act 2001 </w:t>
      </w:r>
      <w:r>
        <w:rPr>
          <w:iCs/>
        </w:rPr>
        <w:t>(Cth)</w:t>
      </w:r>
      <w:r>
        <w:t xml:space="preserve"> s 411(17). </w:t>
      </w:r>
    </w:p>
  </w:footnote>
  <w:footnote w:id="49">
    <w:p w14:paraId="17253D3A" w14:textId="783808DF" w:rsidR="00B017B8" w:rsidRPr="00535427" w:rsidRDefault="00B017B8" w:rsidP="00487898">
      <w:pPr>
        <w:pStyle w:val="FootnoteText"/>
      </w:pPr>
      <w:r>
        <w:rPr>
          <w:rStyle w:val="FootnoteReference"/>
        </w:rPr>
        <w:footnoteRef/>
      </w:r>
      <w:r>
        <w:t xml:space="preserve"> </w:t>
      </w:r>
      <w:r w:rsidRPr="008D2E6B">
        <w:rPr>
          <w:i/>
          <w:iCs/>
        </w:rPr>
        <w:t>Re</w:t>
      </w:r>
      <w:r>
        <w:t xml:space="preserve"> </w:t>
      </w:r>
      <w:r>
        <w:rPr>
          <w:i/>
          <w:iCs/>
        </w:rPr>
        <w:t xml:space="preserve">Advance Bank Australia Ltd </w:t>
      </w:r>
      <w:r>
        <w:t xml:space="preserve">(1997) 22 ASCR 513, 519 (Santow J); </w:t>
      </w:r>
      <w:r>
        <w:rPr>
          <w:i/>
          <w:iCs/>
        </w:rPr>
        <w:t xml:space="preserve">Re Coles Ltd (No 2) </w:t>
      </w:r>
      <w:r w:rsidRPr="00017C9B">
        <w:t>[</w:t>
      </w:r>
      <w:r>
        <w:t>2007] VSC 523, 500 [33].</w:t>
      </w:r>
    </w:p>
  </w:footnote>
  <w:footnote w:id="50">
    <w:p w14:paraId="10694B3E" w14:textId="295AFD25" w:rsidR="00B017B8" w:rsidRPr="00E54057" w:rsidRDefault="00B017B8">
      <w:pPr>
        <w:pStyle w:val="FootnoteText"/>
      </w:pPr>
      <w:r>
        <w:rPr>
          <w:rStyle w:val="FootnoteReference"/>
        </w:rPr>
        <w:footnoteRef/>
      </w:r>
      <w:r>
        <w:t xml:space="preserve"> </w:t>
      </w:r>
      <w:r>
        <w:rPr>
          <w:i/>
          <w:iCs/>
        </w:rPr>
        <w:t xml:space="preserve">Re ACM Gold Ltd; Re Mt Leyshon Gold Mines Ltd </w:t>
      </w:r>
      <w:r>
        <w:t>(1992) 7 ASCR 231, 239 and 244.</w:t>
      </w:r>
    </w:p>
  </w:footnote>
  <w:footnote w:id="51">
    <w:p w14:paraId="16DF119E" w14:textId="30AE8A41" w:rsidR="00B017B8" w:rsidRPr="00D56433" w:rsidRDefault="00B017B8">
      <w:pPr>
        <w:pStyle w:val="FootnoteText"/>
      </w:pPr>
      <w:r>
        <w:rPr>
          <w:rStyle w:val="FootnoteReference"/>
        </w:rPr>
        <w:footnoteRef/>
      </w:r>
      <w:r>
        <w:t xml:space="preserve"> While the purposes accepted by the Court as legitimate are too numerous to list, some examples include: obtaining greater certainty of outcome within a short timeframe (</w:t>
      </w:r>
      <w:r>
        <w:rPr>
          <w:i/>
          <w:iCs/>
        </w:rPr>
        <w:t xml:space="preserve">Re Capilano Honey Ltd (No 2) </w:t>
      </w:r>
      <w:r>
        <w:t>[2018] FCA 1925 [47] Farrell J; providing certainty of outcome through offering a single process (</w:t>
      </w:r>
      <w:r>
        <w:rPr>
          <w:i/>
          <w:iCs/>
        </w:rPr>
        <w:t xml:space="preserve">Re Cortona Resources Ltd (No 2) </w:t>
      </w:r>
      <w:r>
        <w:t>[2013] FCA 302, [15] (Barker J); and the need for an ‘all or nothing’ outcome from the transaction (</w:t>
      </w:r>
      <w:r>
        <w:rPr>
          <w:i/>
          <w:iCs/>
        </w:rPr>
        <w:t xml:space="preserve">Re Ranger Minerals Ltd </w:t>
      </w:r>
      <w:r>
        <w:t>(2002) 42 ASCR 582, 588-89 [26]-[31] and 592 [46] (Parker J).</w:t>
      </w:r>
    </w:p>
  </w:footnote>
  <w:footnote w:id="52">
    <w:p w14:paraId="33F30E5F" w14:textId="15BDCD92" w:rsidR="00B017B8" w:rsidRDefault="00B017B8">
      <w:pPr>
        <w:pStyle w:val="FootnoteText"/>
      </w:pPr>
      <w:r>
        <w:rPr>
          <w:rStyle w:val="FootnoteReference"/>
        </w:rPr>
        <w:footnoteRef/>
      </w:r>
      <w:r>
        <w:t xml:space="preserve"> Corporations and Markets Advisory Committee, </w:t>
      </w:r>
      <w:r w:rsidRPr="007521A2">
        <w:rPr>
          <w:i/>
          <w:iCs/>
        </w:rPr>
        <w:t>Members' schemes of arrangement</w:t>
      </w:r>
      <w:r>
        <w:t xml:space="preserve">, (Report, December 2009) 99; citing AJ Papamatheos, ‘Avoidance of takeover laws: manufacturing reasons for a scheme of arrangement’ (2006) 19 </w:t>
      </w:r>
      <w:r w:rsidRPr="007521A2">
        <w:rPr>
          <w:i/>
          <w:iCs/>
        </w:rPr>
        <w:t>Australian Journal of Corporate Law</w:t>
      </w:r>
      <w:r>
        <w:t xml:space="preserve"> 216.</w:t>
      </w:r>
    </w:p>
  </w:footnote>
  <w:footnote w:id="53">
    <w:p w14:paraId="7CB182E1" w14:textId="64D9C913" w:rsidR="00B017B8" w:rsidRDefault="00B017B8">
      <w:pPr>
        <w:pStyle w:val="FootnoteText"/>
      </w:pPr>
      <w:r>
        <w:rPr>
          <w:rStyle w:val="FootnoteReference"/>
        </w:rPr>
        <w:footnoteRef/>
      </w:r>
      <w:r>
        <w:t xml:space="preserve"> Corporations and Markets Advisory Committee, </w:t>
      </w:r>
      <w:r w:rsidRPr="007521A2">
        <w:rPr>
          <w:i/>
          <w:iCs/>
        </w:rPr>
        <w:t>Members' schemes of arrangement</w:t>
      </w:r>
      <w:r>
        <w:t>, (Report, December 2009) 106.</w:t>
      </w:r>
    </w:p>
  </w:footnote>
  <w:footnote w:id="54">
    <w:p w14:paraId="0C0BF900" w14:textId="77777777" w:rsidR="00B017B8" w:rsidRDefault="00B017B8" w:rsidP="003B757B">
      <w:pPr>
        <w:pStyle w:val="FootnoteText"/>
      </w:pPr>
      <w:r>
        <w:rPr>
          <w:rStyle w:val="FootnoteReference"/>
        </w:rPr>
        <w:footnoteRef/>
      </w:r>
      <w:r>
        <w:t xml:space="preserve"> </w:t>
      </w:r>
      <w:r>
        <w:rPr>
          <w:i/>
        </w:rPr>
        <w:t xml:space="preserve">Corporations Act 2001 </w:t>
      </w:r>
      <w:r>
        <w:rPr>
          <w:iCs/>
        </w:rPr>
        <w:t>(Cth)</w:t>
      </w:r>
      <w:r>
        <w:t xml:space="preserve"> ss 411(4)(b) and 411(6).</w:t>
      </w:r>
    </w:p>
  </w:footnote>
  <w:footnote w:id="55">
    <w:p w14:paraId="3BF46C73" w14:textId="1A8A4A6E" w:rsidR="00B017B8" w:rsidRPr="00AC1714" w:rsidRDefault="00B017B8">
      <w:pPr>
        <w:pStyle w:val="FootnoteText"/>
      </w:pPr>
      <w:r>
        <w:rPr>
          <w:rStyle w:val="FootnoteReference"/>
        </w:rPr>
        <w:footnoteRef/>
      </w:r>
      <w:r>
        <w:t xml:space="preserve"> </w:t>
      </w:r>
      <w:r>
        <w:rPr>
          <w:i/>
          <w:iCs/>
        </w:rPr>
        <w:t xml:space="preserve">Re NRMA Ltd </w:t>
      </w:r>
      <w:r>
        <w:t>(2000) 33 ACSR 595, [15]-[19].</w:t>
      </w:r>
    </w:p>
  </w:footnote>
  <w:footnote w:id="56">
    <w:p w14:paraId="2900438C" w14:textId="25353F80" w:rsidR="00B017B8" w:rsidRPr="00080E32" w:rsidRDefault="00B017B8">
      <w:pPr>
        <w:pStyle w:val="FootnoteText"/>
      </w:pPr>
      <w:r>
        <w:rPr>
          <w:rStyle w:val="FootnoteReference"/>
        </w:rPr>
        <w:footnoteRef/>
      </w:r>
      <w:r>
        <w:t xml:space="preserve"> </w:t>
      </w:r>
      <w:r>
        <w:rPr>
          <w:i/>
          <w:iCs/>
        </w:rPr>
        <w:t xml:space="preserve">Re Foundation Healthcare Ltd (No 2) </w:t>
      </w:r>
      <w:r>
        <w:t>(2002) 43 ACSR 680.</w:t>
      </w:r>
    </w:p>
  </w:footnote>
  <w:footnote w:id="57">
    <w:p w14:paraId="0D6B385F" w14:textId="77777777" w:rsidR="00B017B8" w:rsidRDefault="00B017B8" w:rsidP="00F028C9">
      <w:pPr>
        <w:pStyle w:val="FootnoteText"/>
      </w:pPr>
      <w:r>
        <w:rPr>
          <w:rStyle w:val="FootnoteReference"/>
        </w:rPr>
        <w:footnoteRef/>
      </w:r>
      <w:r>
        <w:t xml:space="preserve"> </w:t>
      </w:r>
      <w:r w:rsidRPr="00CA58F4">
        <w:rPr>
          <w:i/>
          <w:iCs/>
        </w:rPr>
        <w:t>Re Central Pacific Minerals NL</w:t>
      </w:r>
      <w:r>
        <w:t xml:space="preserve"> [2002] FCA 239, [10]-[13] (Emmett J).</w:t>
      </w:r>
    </w:p>
  </w:footnote>
  <w:footnote w:id="58">
    <w:p w14:paraId="76BBD4AB" w14:textId="2C2AEBD5" w:rsidR="00B017B8" w:rsidRDefault="00B017B8" w:rsidP="0054354D">
      <w:pPr>
        <w:pStyle w:val="FootnoteText"/>
      </w:pPr>
      <w:r>
        <w:rPr>
          <w:rStyle w:val="FootnoteReference"/>
        </w:rPr>
        <w:footnoteRef/>
      </w:r>
      <w:r>
        <w:t xml:space="preserve"> See, eg, </w:t>
      </w:r>
      <w:r w:rsidRPr="009436F3">
        <w:rPr>
          <w:i/>
          <w:iCs/>
        </w:rPr>
        <w:t>Re Ranger Minerals Ltd</w:t>
      </w:r>
      <w:r>
        <w:t xml:space="preserve"> (2002) 42 ACSR 582, 591 [39].</w:t>
      </w:r>
    </w:p>
  </w:footnote>
  <w:footnote w:id="59">
    <w:p w14:paraId="4CC61801" w14:textId="77777777" w:rsidR="00E30AE3" w:rsidRDefault="00E30AE3" w:rsidP="00E30AE3">
      <w:pPr>
        <w:pStyle w:val="FootnoteText"/>
      </w:pPr>
      <w:r>
        <w:rPr>
          <w:rStyle w:val="FootnoteReference"/>
        </w:rPr>
        <w:footnoteRef/>
      </w:r>
      <w:r>
        <w:t xml:space="preserve"> </w:t>
      </w:r>
      <w:r w:rsidRPr="00FC16B0">
        <w:t>Gilbert + Tobin</w:t>
      </w:r>
      <w:r>
        <w:t xml:space="preserve">, </w:t>
      </w:r>
      <w:r>
        <w:rPr>
          <w:i/>
          <w:iCs/>
        </w:rPr>
        <w:t xml:space="preserve">Takeovers + Schemes Review </w:t>
      </w:r>
      <w:r w:rsidRPr="00B0069B">
        <w:rPr>
          <w:i/>
          <w:iCs/>
        </w:rPr>
        <w:t>2021</w:t>
      </w:r>
      <w:r>
        <w:t xml:space="preserve"> (Report, 2021)</w:t>
      </w:r>
      <w:r w:rsidRPr="00DE160F">
        <w:t xml:space="preserve"> </w:t>
      </w:r>
      <w:r>
        <w:t>42.</w:t>
      </w:r>
    </w:p>
  </w:footnote>
  <w:footnote w:id="60">
    <w:p w14:paraId="7828B64D" w14:textId="38E2A122" w:rsidR="00B017B8" w:rsidRDefault="00B017B8" w:rsidP="00331B8E">
      <w:pPr>
        <w:pStyle w:val="FootnoteText"/>
      </w:pPr>
      <w:r>
        <w:rPr>
          <w:rStyle w:val="FootnoteReference"/>
        </w:rPr>
        <w:footnoteRef/>
      </w:r>
      <w:r>
        <w:t xml:space="preserve"> KPMG, </w:t>
      </w:r>
      <w:r>
        <w:rPr>
          <w:i/>
          <w:iCs/>
        </w:rPr>
        <w:t xml:space="preserve">Helping companies restructure by improving schemes of arrangement 2021 </w:t>
      </w:r>
      <w:r>
        <w:t>(Report</w:t>
      </w:r>
      <w:r w:rsidR="00BA608B">
        <w:t>,</w:t>
      </w:r>
      <w:r>
        <w:t xml:space="preserve"> 2021) 9. </w:t>
      </w:r>
    </w:p>
  </w:footnote>
  <w:footnote w:id="61">
    <w:p w14:paraId="3881896B" w14:textId="77777777" w:rsidR="00B017B8" w:rsidRDefault="00B017B8" w:rsidP="00C577DE">
      <w:pPr>
        <w:pStyle w:val="FootnoteText"/>
      </w:pPr>
      <w:r>
        <w:rPr>
          <w:rStyle w:val="FootnoteReference"/>
        </w:rPr>
        <w:footnoteRef/>
      </w:r>
      <w:r>
        <w:t xml:space="preserve"> </w:t>
      </w:r>
      <w:r>
        <w:rPr>
          <w:i/>
          <w:iCs/>
        </w:rPr>
        <w:t xml:space="preserve">Companies Act 2008 </w:t>
      </w:r>
      <w:r>
        <w:t>(South Africa) s 115(3).</w:t>
      </w:r>
    </w:p>
  </w:footnote>
  <w:footnote w:id="62">
    <w:p w14:paraId="5C8194FA" w14:textId="5F451956" w:rsidR="00B017B8" w:rsidRDefault="00B017B8" w:rsidP="00C577DE">
      <w:pPr>
        <w:pStyle w:val="FootnoteText"/>
      </w:pPr>
      <w:r>
        <w:rPr>
          <w:rStyle w:val="FootnoteReference"/>
        </w:rPr>
        <w:footnoteRef/>
      </w:r>
      <w:r>
        <w:t xml:space="preserve"> Leave will only be granted if the Court is satisfied that the person applying for leave (i) acts in good faith; (ii) appears prepared and able to sustain proceedings; and (iii) has alleged facts that, if proved, would allow the </w:t>
      </w:r>
      <w:r w:rsidR="00851E34">
        <w:t xml:space="preserve">Court </w:t>
      </w:r>
      <w:r>
        <w:t xml:space="preserve">to set the resolution aside – see </w:t>
      </w:r>
      <w:r>
        <w:rPr>
          <w:i/>
          <w:iCs/>
        </w:rPr>
        <w:t xml:space="preserve">Companies Act 2008 </w:t>
      </w:r>
      <w:r>
        <w:t>(South Africa) s 115(6).</w:t>
      </w:r>
    </w:p>
  </w:footnote>
  <w:footnote w:id="63">
    <w:p w14:paraId="723D231E" w14:textId="77777777" w:rsidR="00B017B8" w:rsidRDefault="00B017B8" w:rsidP="00C577DE">
      <w:pPr>
        <w:pStyle w:val="FootnoteText"/>
      </w:pPr>
      <w:r>
        <w:rPr>
          <w:rStyle w:val="FootnoteReference"/>
        </w:rPr>
        <w:footnoteRef/>
      </w:r>
      <w:r>
        <w:t xml:space="preserve"> </w:t>
      </w:r>
      <w:r>
        <w:rPr>
          <w:i/>
          <w:iCs/>
        </w:rPr>
        <w:t xml:space="preserve">Companies Act 2008 </w:t>
      </w:r>
      <w:r>
        <w:t>(South Africa) s 115(7).</w:t>
      </w:r>
    </w:p>
  </w:footnote>
  <w:footnote w:id="64">
    <w:p w14:paraId="2E79301C" w14:textId="77777777" w:rsidR="00B017B8" w:rsidRDefault="00B017B8" w:rsidP="00C577DE">
      <w:pPr>
        <w:pStyle w:val="FootnoteText"/>
      </w:pPr>
      <w:r>
        <w:rPr>
          <w:rStyle w:val="FootnoteReference"/>
        </w:rPr>
        <w:footnoteRef/>
      </w:r>
      <w:r>
        <w:t xml:space="preserve"> </w:t>
      </w:r>
      <w:r>
        <w:rPr>
          <w:i/>
          <w:iCs/>
        </w:rPr>
        <w:t xml:space="preserve">Companies Act 2008 </w:t>
      </w:r>
      <w:r>
        <w:t>(South Africa) ss 114(2) &amp; (3).</w:t>
      </w:r>
    </w:p>
  </w:footnote>
  <w:footnote w:id="65">
    <w:p w14:paraId="7A375F89" w14:textId="77777777" w:rsidR="00B017B8" w:rsidRDefault="00B017B8" w:rsidP="00C577DE">
      <w:pPr>
        <w:pStyle w:val="FootnoteText"/>
      </w:pPr>
      <w:r>
        <w:rPr>
          <w:rStyle w:val="FootnoteReference"/>
        </w:rPr>
        <w:footnoteRef/>
      </w:r>
      <w:r>
        <w:t xml:space="preserve"> </w:t>
      </w:r>
      <w:r>
        <w:rPr>
          <w:i/>
          <w:iCs/>
        </w:rPr>
        <w:t xml:space="preserve">Companies Act 2008 </w:t>
      </w:r>
      <w:r>
        <w:t>(South Africa) s 164.</w:t>
      </w:r>
    </w:p>
  </w:footnote>
  <w:footnote w:id="66">
    <w:p w14:paraId="474DDF00" w14:textId="77777777" w:rsidR="00EB7529" w:rsidRPr="007E397A" w:rsidRDefault="00EB7529" w:rsidP="00EB7529">
      <w:pPr>
        <w:pStyle w:val="FootnoteText"/>
      </w:pPr>
      <w:r>
        <w:rPr>
          <w:rStyle w:val="FootnoteReference"/>
        </w:rPr>
        <w:footnoteRef/>
      </w:r>
      <w:r>
        <w:t xml:space="preserve"> </w:t>
      </w:r>
      <w:r>
        <w:rPr>
          <w:i/>
          <w:iCs/>
        </w:rPr>
        <w:t>Corporations Act 2001</w:t>
      </w:r>
      <w:r>
        <w:t>, section 657A.</w:t>
      </w:r>
    </w:p>
  </w:footnote>
  <w:footnote w:id="67">
    <w:p w14:paraId="1170D9D8" w14:textId="77777777" w:rsidR="00EB7529" w:rsidRPr="007E397A" w:rsidRDefault="00EB7529" w:rsidP="00EB7529">
      <w:pPr>
        <w:pStyle w:val="FootnoteText"/>
      </w:pPr>
      <w:r>
        <w:rPr>
          <w:rStyle w:val="FootnoteReference"/>
        </w:rPr>
        <w:footnoteRef/>
      </w:r>
      <w:r>
        <w:t xml:space="preserve"> </w:t>
      </w:r>
      <w:r>
        <w:rPr>
          <w:i/>
          <w:iCs/>
        </w:rPr>
        <w:t>Corporations Act 2001</w:t>
      </w:r>
      <w:r>
        <w:t>, section 657D.</w:t>
      </w:r>
    </w:p>
  </w:footnote>
  <w:footnote w:id="68">
    <w:p w14:paraId="6F31FBB0" w14:textId="77777777" w:rsidR="00EB7529" w:rsidRDefault="00EB7529" w:rsidP="00EB7529">
      <w:pPr>
        <w:pStyle w:val="FootnoteText"/>
      </w:pPr>
      <w:r>
        <w:rPr>
          <w:rStyle w:val="FootnoteReference"/>
        </w:rPr>
        <w:footnoteRef/>
      </w:r>
      <w:r>
        <w:t xml:space="preserve"> For example, in the UK, a party may request consent from the panel for the alteration of several rules (UK Code, Introduction, s 2(c); In New Zealand, the panel has broad discretion to exempt any person or transaction from compliance with any provision of the takeovers code (</w:t>
      </w:r>
      <w:r w:rsidRPr="00E40596">
        <w:rPr>
          <w:i/>
          <w:iCs/>
        </w:rPr>
        <w:t>Takeovers Act 1993</w:t>
      </w:r>
      <w:r>
        <w:t xml:space="preserve"> (NZ) s 45); and in South Africa, the panel may grant exemptions subject to limitations (</w:t>
      </w:r>
      <w:r>
        <w:rPr>
          <w:i/>
          <w:iCs/>
        </w:rPr>
        <w:t xml:space="preserve">Companies Act 2008 </w:t>
      </w:r>
      <w:r>
        <w:t>(South Africa) s 119(6)).</w:t>
      </w:r>
    </w:p>
  </w:footnote>
  <w:footnote w:id="69">
    <w:p w14:paraId="6B917477" w14:textId="723A6A65" w:rsidR="00EB7529" w:rsidRPr="008D7635" w:rsidRDefault="00EB7529" w:rsidP="00EB7529">
      <w:pPr>
        <w:pStyle w:val="FootnoteText"/>
      </w:pPr>
      <w:r>
        <w:rPr>
          <w:rStyle w:val="FootnoteReference"/>
        </w:rPr>
        <w:footnoteRef/>
      </w:r>
      <w:r>
        <w:t xml:space="preserve"> In the UK, the nature of these internal reviews </w:t>
      </w:r>
      <w:r w:rsidR="008621E6">
        <w:t>is</w:t>
      </w:r>
      <w:r>
        <w:t xml:space="preserve"> set out in the </w:t>
      </w:r>
      <w:r>
        <w:rPr>
          <w:i/>
          <w:iCs/>
        </w:rPr>
        <w:t>Rules of the Takeover Appeal Board</w:t>
      </w:r>
      <w:r>
        <w:t xml:space="preserve">; in Hong Kong, the Hong Kong Takeovers Panel itself can review decisions made by the Executive and the Takeovers Appeal Committee reviews decisions made by the Hong Kong Takeovers Panel itself as per Hong Kong Code [9.1] and [14]; in South Africa per s202 of </w:t>
      </w:r>
      <w:r w:rsidRPr="007901F4">
        <w:rPr>
          <w:i/>
          <w:iCs/>
        </w:rPr>
        <w:t>Companies Act No 71</w:t>
      </w:r>
      <w:r w:rsidRPr="007901F4">
        <w:t xml:space="preserve"> of 2008</w:t>
      </w:r>
      <w:r>
        <w:t>.</w:t>
      </w:r>
    </w:p>
  </w:footnote>
  <w:footnote w:id="70">
    <w:p w14:paraId="462DD7DD" w14:textId="40DA91CB" w:rsidR="00EB7529" w:rsidRPr="0019655C" w:rsidRDefault="00EB7529" w:rsidP="00EB7529">
      <w:pPr>
        <w:pStyle w:val="FootnoteText"/>
      </w:pPr>
      <w:r>
        <w:rPr>
          <w:rStyle w:val="FootnoteReference"/>
        </w:rPr>
        <w:footnoteRef/>
      </w:r>
      <w:r>
        <w:t xml:space="preserve"> </w:t>
      </w:r>
      <w:r w:rsidR="008621E6" w:rsidRPr="0019655C">
        <w:rPr>
          <w:i/>
          <w:iCs/>
        </w:rPr>
        <w:t>Takeovers Act 1993</w:t>
      </w:r>
      <w:r w:rsidR="008621E6">
        <w:rPr>
          <w:i/>
          <w:iCs/>
        </w:rPr>
        <w:t xml:space="preserve"> </w:t>
      </w:r>
      <w:r w:rsidR="008621E6">
        <w:t xml:space="preserve">(New Zealand) </w:t>
      </w:r>
      <w:r>
        <w:t>ss 32-35.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4BAC0" w14:textId="77777777" w:rsidR="00B017B8" w:rsidRDefault="00B017B8">
    <w:pPr>
      <w:pStyle w:val="Header"/>
    </w:pPr>
    <w:r>
      <w:rPr>
        <w:noProof/>
        <w:lang w:eastAsia="zh-CN"/>
      </w:rPr>
      <w:drawing>
        <wp:anchor distT="0" distB="0" distL="114300" distR="114300" simplePos="0" relativeHeight="251658240" behindDoc="1" locked="0" layoutInCell="1" allowOverlap="1" wp14:anchorId="3D3AE4E3" wp14:editId="176BB53B">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F0CB8" w14:textId="77777777" w:rsidR="00B017B8" w:rsidRPr="001F3912" w:rsidRDefault="00B017B8"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36DD" w14:textId="77777777" w:rsidR="00B017B8" w:rsidRPr="001F3912" w:rsidRDefault="00B017B8"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DBE0" w14:textId="77777777" w:rsidR="00B017B8" w:rsidRPr="001F3912" w:rsidRDefault="00B017B8"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AD231" w14:textId="25521EFB" w:rsidR="00B017B8" w:rsidRPr="001F3912" w:rsidRDefault="001B3D65" w:rsidP="001606CF">
    <w:pPr>
      <w:pStyle w:val="Header"/>
    </w:pPr>
    <w:r>
      <w:fldChar w:fldCharType="begin"/>
    </w:r>
    <w:r>
      <w:instrText xml:space="preserve"> STYLEREF  Title  \* MERGEFORMAT </w:instrText>
    </w:r>
    <w:r>
      <w:fldChar w:fldCharType="separate"/>
    </w:r>
    <w:r w:rsidRPr="001B3D65">
      <w:rPr>
        <w:b/>
        <w:bCs/>
        <w:noProof/>
        <w:lang w:val="en-US"/>
      </w:rPr>
      <w:t>Corporate control transactions in Australia</w:t>
    </w:r>
    <w:r>
      <w:rP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77391" w14:textId="77777777" w:rsidR="00B017B8" w:rsidRDefault="00B017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6CC4E5D"/>
    <w:multiLevelType w:val="multilevel"/>
    <w:tmpl w:val="D10E9CF6"/>
    <w:numStyleLink w:val="OneLevelList"/>
  </w:abstractNum>
  <w:abstractNum w:abstractNumId="3"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6"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10D2021"/>
    <w:multiLevelType w:val="multilevel"/>
    <w:tmpl w:val="72F8140E"/>
    <w:numStyleLink w:val="OutlineList"/>
  </w:abstractNum>
  <w:abstractNum w:abstractNumId="9" w15:restartNumberingAfterBreak="0">
    <w:nsid w:val="590F578D"/>
    <w:multiLevelType w:val="multilevel"/>
    <w:tmpl w:val="733AF32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52807F2"/>
    <w:multiLevelType w:val="multilevel"/>
    <w:tmpl w:val="E5A21B96"/>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bullet"/>
      <w:lvlText w:val=""/>
      <w:lvlJc w:val="left"/>
      <w:pPr>
        <w:tabs>
          <w:tab w:val="num" w:pos="1440"/>
        </w:tabs>
        <w:ind w:left="1440" w:hanging="360"/>
      </w:pPr>
      <w:rPr>
        <w:rFonts w:ascii="Symbol" w:hAnsi="Symbol"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5"/>
  </w:num>
  <w:num w:numId="2">
    <w:abstractNumId w:val="0"/>
  </w:num>
  <w:num w:numId="3">
    <w:abstractNumId w:val="7"/>
  </w:num>
  <w:num w:numId="4">
    <w:abstractNumId w:val="1"/>
  </w:num>
  <w:num w:numId="5">
    <w:abstractNumId w:val="2"/>
  </w:num>
  <w:num w:numId="6">
    <w:abstractNumId w:val="8"/>
  </w:num>
  <w:num w:numId="7">
    <w:abstractNumId w:val="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3"/>
  </w:num>
  <w:num w:numId="9">
    <w:abstractNumId w:val="4"/>
  </w:num>
  <w:num w:numId="10">
    <w:abstractNumId w:val="6"/>
  </w:num>
  <w:num w:numId="11">
    <w:abstractNumId w:val="8"/>
    <w:lvlOverride w:ilvl="0">
      <w:lvl w:ilvl="0">
        <w:start w:val="1"/>
        <w:numFmt w:val="decimal"/>
        <w:pStyle w:val="OutlineNumbered1"/>
        <w:lvlText w:val="%1."/>
        <w:lvlJc w:val="left"/>
        <w:pPr>
          <w:tabs>
            <w:tab w:val="num" w:pos="851"/>
          </w:tabs>
          <w:ind w:left="851" w:hanging="851"/>
        </w:pPr>
        <w:rPr>
          <w:rFonts w:hint="default"/>
        </w:rPr>
      </w:lvl>
    </w:lvlOverride>
  </w:num>
  <w:num w:numId="12">
    <w:abstractNumId w:val="5"/>
    <w:lvlOverride w:ilvl="0">
      <w:startOverride w:val="1"/>
      <w:lvl w:ilvl="0">
        <w:start w:val="1"/>
        <w:numFmt w:val="decimal"/>
        <w:pStyle w:val="Bullet"/>
        <w:lvlText w:val="•"/>
        <w:lvlJc w:val="left"/>
        <w:pPr>
          <w:tabs>
            <w:tab w:val="num" w:pos="283"/>
          </w:tabs>
          <w:ind w:left="283" w:hanging="283"/>
        </w:pPr>
        <w:rPr>
          <w:rFonts w:ascii="Times New Roman" w:hAnsi="Times New Roman" w:cs="Times New Roman" w:hint="default"/>
          <w:b w:val="0"/>
          <w:i w:val="0"/>
        </w:rPr>
      </w:lvl>
    </w:lvlOverride>
    <w:lvlOverride w:ilvl="1">
      <w:lvl w:ilvl="1">
        <w:numFmt w:val="decimal"/>
        <w:pStyle w:val="Dash"/>
        <w:lvlText w:val=""/>
        <w:lvlJc w:val="left"/>
      </w:lvl>
    </w:lvlOverride>
    <w:lvlOverride w:ilvl="2">
      <w:lvl w:ilvl="2">
        <w:numFmt w:val="decimal"/>
        <w:pStyle w:val="DoubleDot"/>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abstractNumId w:val="5"/>
    <w:lvlOverride w:ilvl="0">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Override>
  </w:num>
  <w:num w:numId="14">
    <w:abstractNumId w:val="9"/>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BCC"/>
    <w:rsid w:val="000011ED"/>
    <w:rsid w:val="00002669"/>
    <w:rsid w:val="00003155"/>
    <w:rsid w:val="00004C4E"/>
    <w:rsid w:val="00004F82"/>
    <w:rsid w:val="00006B51"/>
    <w:rsid w:val="00007665"/>
    <w:rsid w:val="00010AA5"/>
    <w:rsid w:val="00010FA5"/>
    <w:rsid w:val="00011200"/>
    <w:rsid w:val="000116B6"/>
    <w:rsid w:val="00011725"/>
    <w:rsid w:val="00011929"/>
    <w:rsid w:val="00012C62"/>
    <w:rsid w:val="00014427"/>
    <w:rsid w:val="000165FA"/>
    <w:rsid w:val="00016C7F"/>
    <w:rsid w:val="00017438"/>
    <w:rsid w:val="00017C9B"/>
    <w:rsid w:val="00020D82"/>
    <w:rsid w:val="0002375A"/>
    <w:rsid w:val="00023813"/>
    <w:rsid w:val="0002407B"/>
    <w:rsid w:val="00024281"/>
    <w:rsid w:val="00024A04"/>
    <w:rsid w:val="0002544D"/>
    <w:rsid w:val="000266C7"/>
    <w:rsid w:val="000329C5"/>
    <w:rsid w:val="000330AD"/>
    <w:rsid w:val="00033828"/>
    <w:rsid w:val="00033C7C"/>
    <w:rsid w:val="0003444C"/>
    <w:rsid w:val="00034975"/>
    <w:rsid w:val="000354DB"/>
    <w:rsid w:val="00035640"/>
    <w:rsid w:val="00035673"/>
    <w:rsid w:val="000373FC"/>
    <w:rsid w:val="00037C55"/>
    <w:rsid w:val="00041A8B"/>
    <w:rsid w:val="00041AF9"/>
    <w:rsid w:val="0004274D"/>
    <w:rsid w:val="00042C03"/>
    <w:rsid w:val="00043046"/>
    <w:rsid w:val="00044C0A"/>
    <w:rsid w:val="000464C1"/>
    <w:rsid w:val="00047442"/>
    <w:rsid w:val="00050503"/>
    <w:rsid w:val="00050D9C"/>
    <w:rsid w:val="000518C6"/>
    <w:rsid w:val="00052E53"/>
    <w:rsid w:val="0005398F"/>
    <w:rsid w:val="000541EC"/>
    <w:rsid w:val="000555B3"/>
    <w:rsid w:val="00056880"/>
    <w:rsid w:val="00060512"/>
    <w:rsid w:val="00060F0A"/>
    <w:rsid w:val="00061095"/>
    <w:rsid w:val="000613B0"/>
    <w:rsid w:val="0006149B"/>
    <w:rsid w:val="000620CC"/>
    <w:rsid w:val="00062769"/>
    <w:rsid w:val="000639C1"/>
    <w:rsid w:val="00064DCB"/>
    <w:rsid w:val="00064FD0"/>
    <w:rsid w:val="000671FE"/>
    <w:rsid w:val="00067550"/>
    <w:rsid w:val="000675D1"/>
    <w:rsid w:val="0007102C"/>
    <w:rsid w:val="00072352"/>
    <w:rsid w:val="00073521"/>
    <w:rsid w:val="00073A82"/>
    <w:rsid w:val="00073DE9"/>
    <w:rsid w:val="00075350"/>
    <w:rsid w:val="00077183"/>
    <w:rsid w:val="000772B9"/>
    <w:rsid w:val="000775DE"/>
    <w:rsid w:val="00080A8F"/>
    <w:rsid w:val="00080E32"/>
    <w:rsid w:val="000817DF"/>
    <w:rsid w:val="00082135"/>
    <w:rsid w:val="000826CB"/>
    <w:rsid w:val="00082747"/>
    <w:rsid w:val="000829B6"/>
    <w:rsid w:val="00082A7B"/>
    <w:rsid w:val="00083587"/>
    <w:rsid w:val="00083C52"/>
    <w:rsid w:val="00083EB2"/>
    <w:rsid w:val="00083F4A"/>
    <w:rsid w:val="000840F7"/>
    <w:rsid w:val="000858F2"/>
    <w:rsid w:val="00086152"/>
    <w:rsid w:val="000873A7"/>
    <w:rsid w:val="00087FAF"/>
    <w:rsid w:val="0009037B"/>
    <w:rsid w:val="00092A3D"/>
    <w:rsid w:val="00092E25"/>
    <w:rsid w:val="000930A2"/>
    <w:rsid w:val="00096EB1"/>
    <w:rsid w:val="00097D54"/>
    <w:rsid w:val="000A034C"/>
    <w:rsid w:val="000A0B71"/>
    <w:rsid w:val="000A23F5"/>
    <w:rsid w:val="000A3032"/>
    <w:rsid w:val="000A3A28"/>
    <w:rsid w:val="000A3FB6"/>
    <w:rsid w:val="000A6470"/>
    <w:rsid w:val="000A6D5D"/>
    <w:rsid w:val="000B1E37"/>
    <w:rsid w:val="000B3931"/>
    <w:rsid w:val="000B472F"/>
    <w:rsid w:val="000B5549"/>
    <w:rsid w:val="000B6BC0"/>
    <w:rsid w:val="000B6D57"/>
    <w:rsid w:val="000C041A"/>
    <w:rsid w:val="000C08D0"/>
    <w:rsid w:val="000C0A43"/>
    <w:rsid w:val="000C1485"/>
    <w:rsid w:val="000C1C3E"/>
    <w:rsid w:val="000C1CD8"/>
    <w:rsid w:val="000C49D9"/>
    <w:rsid w:val="000C53F3"/>
    <w:rsid w:val="000C5F40"/>
    <w:rsid w:val="000C71E6"/>
    <w:rsid w:val="000D03BC"/>
    <w:rsid w:val="000D084F"/>
    <w:rsid w:val="000D3D94"/>
    <w:rsid w:val="000D428B"/>
    <w:rsid w:val="000D4802"/>
    <w:rsid w:val="000D5773"/>
    <w:rsid w:val="000D607F"/>
    <w:rsid w:val="000E0B74"/>
    <w:rsid w:val="000E132E"/>
    <w:rsid w:val="000E7959"/>
    <w:rsid w:val="000E7CA6"/>
    <w:rsid w:val="000F0AD9"/>
    <w:rsid w:val="000F0BF8"/>
    <w:rsid w:val="000F10E9"/>
    <w:rsid w:val="000F24FD"/>
    <w:rsid w:val="000F361C"/>
    <w:rsid w:val="000F415C"/>
    <w:rsid w:val="000F7420"/>
    <w:rsid w:val="000F7517"/>
    <w:rsid w:val="000F7D13"/>
    <w:rsid w:val="00100D9C"/>
    <w:rsid w:val="00101520"/>
    <w:rsid w:val="0010225A"/>
    <w:rsid w:val="00102876"/>
    <w:rsid w:val="00103CC1"/>
    <w:rsid w:val="00104F79"/>
    <w:rsid w:val="00105739"/>
    <w:rsid w:val="00105F3F"/>
    <w:rsid w:val="001064C1"/>
    <w:rsid w:val="00107F42"/>
    <w:rsid w:val="00111E18"/>
    <w:rsid w:val="00114345"/>
    <w:rsid w:val="00114970"/>
    <w:rsid w:val="00117286"/>
    <w:rsid w:val="001174BE"/>
    <w:rsid w:val="001207C0"/>
    <w:rsid w:val="00120A37"/>
    <w:rsid w:val="001221A6"/>
    <w:rsid w:val="00122C94"/>
    <w:rsid w:val="001234FA"/>
    <w:rsid w:val="001242D7"/>
    <w:rsid w:val="0012463B"/>
    <w:rsid w:val="001256C9"/>
    <w:rsid w:val="00126A67"/>
    <w:rsid w:val="00132310"/>
    <w:rsid w:val="00135F51"/>
    <w:rsid w:val="0014066A"/>
    <w:rsid w:val="0014091C"/>
    <w:rsid w:val="0014139F"/>
    <w:rsid w:val="001413C1"/>
    <w:rsid w:val="00143364"/>
    <w:rsid w:val="001468E5"/>
    <w:rsid w:val="00146B44"/>
    <w:rsid w:val="0014718F"/>
    <w:rsid w:val="00147CE7"/>
    <w:rsid w:val="0015049B"/>
    <w:rsid w:val="00152147"/>
    <w:rsid w:val="00154E54"/>
    <w:rsid w:val="0015606C"/>
    <w:rsid w:val="00156B9A"/>
    <w:rsid w:val="00157169"/>
    <w:rsid w:val="00160509"/>
    <w:rsid w:val="001606CF"/>
    <w:rsid w:val="00160E41"/>
    <w:rsid w:val="0016128D"/>
    <w:rsid w:val="001613C8"/>
    <w:rsid w:val="001617D7"/>
    <w:rsid w:val="00162ADA"/>
    <w:rsid w:val="0016307C"/>
    <w:rsid w:val="001658C7"/>
    <w:rsid w:val="00165C57"/>
    <w:rsid w:val="0016608E"/>
    <w:rsid w:val="0017089D"/>
    <w:rsid w:val="00172B72"/>
    <w:rsid w:val="001749C2"/>
    <w:rsid w:val="001758FB"/>
    <w:rsid w:val="00175CBD"/>
    <w:rsid w:val="00176D21"/>
    <w:rsid w:val="00180C59"/>
    <w:rsid w:val="001811B8"/>
    <w:rsid w:val="00183FF6"/>
    <w:rsid w:val="00184A50"/>
    <w:rsid w:val="00184AA8"/>
    <w:rsid w:val="0018582A"/>
    <w:rsid w:val="00185A01"/>
    <w:rsid w:val="001867CB"/>
    <w:rsid w:val="0018763F"/>
    <w:rsid w:val="0019101A"/>
    <w:rsid w:val="001919EB"/>
    <w:rsid w:val="00192CD2"/>
    <w:rsid w:val="00193B4F"/>
    <w:rsid w:val="00194E9C"/>
    <w:rsid w:val="00195A76"/>
    <w:rsid w:val="00195BE1"/>
    <w:rsid w:val="00197D49"/>
    <w:rsid w:val="001A1394"/>
    <w:rsid w:val="001A27EF"/>
    <w:rsid w:val="001A3F27"/>
    <w:rsid w:val="001A4844"/>
    <w:rsid w:val="001A5242"/>
    <w:rsid w:val="001B0017"/>
    <w:rsid w:val="001B0021"/>
    <w:rsid w:val="001B0173"/>
    <w:rsid w:val="001B2890"/>
    <w:rsid w:val="001B3686"/>
    <w:rsid w:val="001B3D65"/>
    <w:rsid w:val="001C06AF"/>
    <w:rsid w:val="001C2EF3"/>
    <w:rsid w:val="001C358D"/>
    <w:rsid w:val="001C427D"/>
    <w:rsid w:val="001C4B57"/>
    <w:rsid w:val="001D06E8"/>
    <w:rsid w:val="001D0808"/>
    <w:rsid w:val="001D1AD1"/>
    <w:rsid w:val="001D2586"/>
    <w:rsid w:val="001D2B92"/>
    <w:rsid w:val="001D2CEE"/>
    <w:rsid w:val="001D30F8"/>
    <w:rsid w:val="001D4EAA"/>
    <w:rsid w:val="001D59AA"/>
    <w:rsid w:val="001D5B04"/>
    <w:rsid w:val="001E0D98"/>
    <w:rsid w:val="001E238D"/>
    <w:rsid w:val="001E346E"/>
    <w:rsid w:val="001E365B"/>
    <w:rsid w:val="001E4E2D"/>
    <w:rsid w:val="001E5C78"/>
    <w:rsid w:val="001E63FB"/>
    <w:rsid w:val="001E7848"/>
    <w:rsid w:val="001F006F"/>
    <w:rsid w:val="001F3011"/>
    <w:rsid w:val="001F33A1"/>
    <w:rsid w:val="001F34A6"/>
    <w:rsid w:val="001F4061"/>
    <w:rsid w:val="002009A2"/>
    <w:rsid w:val="0020297E"/>
    <w:rsid w:val="00202B89"/>
    <w:rsid w:val="00203CA1"/>
    <w:rsid w:val="00205792"/>
    <w:rsid w:val="00207859"/>
    <w:rsid w:val="00211A67"/>
    <w:rsid w:val="00212C4D"/>
    <w:rsid w:val="00213258"/>
    <w:rsid w:val="00215A16"/>
    <w:rsid w:val="00217710"/>
    <w:rsid w:val="00220562"/>
    <w:rsid w:val="00220590"/>
    <w:rsid w:val="0022190E"/>
    <w:rsid w:val="002220ED"/>
    <w:rsid w:val="002246DC"/>
    <w:rsid w:val="00224AC0"/>
    <w:rsid w:val="00224CA0"/>
    <w:rsid w:val="00224F9D"/>
    <w:rsid w:val="002264DD"/>
    <w:rsid w:val="00226B4A"/>
    <w:rsid w:val="002306B8"/>
    <w:rsid w:val="002306C6"/>
    <w:rsid w:val="00230D19"/>
    <w:rsid w:val="00231049"/>
    <w:rsid w:val="002314D2"/>
    <w:rsid w:val="00232431"/>
    <w:rsid w:val="002326DE"/>
    <w:rsid w:val="00234169"/>
    <w:rsid w:val="002352B7"/>
    <w:rsid w:val="002357DD"/>
    <w:rsid w:val="00235DDC"/>
    <w:rsid w:val="002367C6"/>
    <w:rsid w:val="00236953"/>
    <w:rsid w:val="002372A6"/>
    <w:rsid w:val="002378DA"/>
    <w:rsid w:val="00237920"/>
    <w:rsid w:val="00240390"/>
    <w:rsid w:val="00243A1F"/>
    <w:rsid w:val="00243A69"/>
    <w:rsid w:val="0024485C"/>
    <w:rsid w:val="00244DAC"/>
    <w:rsid w:val="00245312"/>
    <w:rsid w:val="0024541E"/>
    <w:rsid w:val="002458EE"/>
    <w:rsid w:val="00245C7D"/>
    <w:rsid w:val="002463C9"/>
    <w:rsid w:val="0024763E"/>
    <w:rsid w:val="00247F3E"/>
    <w:rsid w:val="0025165C"/>
    <w:rsid w:val="00252697"/>
    <w:rsid w:val="00252D5F"/>
    <w:rsid w:val="00252F4A"/>
    <w:rsid w:val="00255502"/>
    <w:rsid w:val="00255E53"/>
    <w:rsid w:val="00256761"/>
    <w:rsid w:val="0025677D"/>
    <w:rsid w:val="0025686C"/>
    <w:rsid w:val="0025769C"/>
    <w:rsid w:val="002579BB"/>
    <w:rsid w:val="00257AEE"/>
    <w:rsid w:val="00261E3C"/>
    <w:rsid w:val="0026328C"/>
    <w:rsid w:val="0026338F"/>
    <w:rsid w:val="00263B6C"/>
    <w:rsid w:val="00264337"/>
    <w:rsid w:val="002665A2"/>
    <w:rsid w:val="00270994"/>
    <w:rsid w:val="00270C5E"/>
    <w:rsid w:val="00270FE9"/>
    <w:rsid w:val="002714BA"/>
    <w:rsid w:val="00272D62"/>
    <w:rsid w:val="002742E8"/>
    <w:rsid w:val="0027590B"/>
    <w:rsid w:val="00276AFD"/>
    <w:rsid w:val="002776F8"/>
    <w:rsid w:val="00280599"/>
    <w:rsid w:val="00280998"/>
    <w:rsid w:val="00280AA1"/>
    <w:rsid w:val="00281083"/>
    <w:rsid w:val="0028354F"/>
    <w:rsid w:val="00283E99"/>
    <w:rsid w:val="00285969"/>
    <w:rsid w:val="00285F79"/>
    <w:rsid w:val="002901CD"/>
    <w:rsid w:val="0029071D"/>
    <w:rsid w:val="00291A05"/>
    <w:rsid w:val="002940EC"/>
    <w:rsid w:val="00294504"/>
    <w:rsid w:val="002951BF"/>
    <w:rsid w:val="002965A6"/>
    <w:rsid w:val="002967E0"/>
    <w:rsid w:val="00297A77"/>
    <w:rsid w:val="00297F38"/>
    <w:rsid w:val="002A0595"/>
    <w:rsid w:val="002A0833"/>
    <w:rsid w:val="002A206E"/>
    <w:rsid w:val="002A2297"/>
    <w:rsid w:val="002A268C"/>
    <w:rsid w:val="002A34B5"/>
    <w:rsid w:val="002A3A0F"/>
    <w:rsid w:val="002A4917"/>
    <w:rsid w:val="002A68DC"/>
    <w:rsid w:val="002B0BDF"/>
    <w:rsid w:val="002B17D4"/>
    <w:rsid w:val="002B1BF5"/>
    <w:rsid w:val="002B271B"/>
    <w:rsid w:val="002B35CA"/>
    <w:rsid w:val="002B3829"/>
    <w:rsid w:val="002B4D4D"/>
    <w:rsid w:val="002B5C39"/>
    <w:rsid w:val="002B5D77"/>
    <w:rsid w:val="002B6117"/>
    <w:rsid w:val="002B64C8"/>
    <w:rsid w:val="002B7566"/>
    <w:rsid w:val="002B78F3"/>
    <w:rsid w:val="002C294E"/>
    <w:rsid w:val="002C310B"/>
    <w:rsid w:val="002C3833"/>
    <w:rsid w:val="002C4149"/>
    <w:rsid w:val="002C6764"/>
    <w:rsid w:val="002C6E63"/>
    <w:rsid w:val="002C754F"/>
    <w:rsid w:val="002C75C6"/>
    <w:rsid w:val="002C7A5B"/>
    <w:rsid w:val="002C7C74"/>
    <w:rsid w:val="002C7DAB"/>
    <w:rsid w:val="002C7E9D"/>
    <w:rsid w:val="002C7F95"/>
    <w:rsid w:val="002D1368"/>
    <w:rsid w:val="002D1416"/>
    <w:rsid w:val="002D190F"/>
    <w:rsid w:val="002D488F"/>
    <w:rsid w:val="002D4F33"/>
    <w:rsid w:val="002D5765"/>
    <w:rsid w:val="002D5E55"/>
    <w:rsid w:val="002D631F"/>
    <w:rsid w:val="002D6AF3"/>
    <w:rsid w:val="002D755F"/>
    <w:rsid w:val="002D794E"/>
    <w:rsid w:val="002D7973"/>
    <w:rsid w:val="002D7BD2"/>
    <w:rsid w:val="002D7F4D"/>
    <w:rsid w:val="002E18AE"/>
    <w:rsid w:val="002E1E96"/>
    <w:rsid w:val="002E20BC"/>
    <w:rsid w:val="002E2111"/>
    <w:rsid w:val="002E3EAD"/>
    <w:rsid w:val="002E5964"/>
    <w:rsid w:val="002E636C"/>
    <w:rsid w:val="002E6F4F"/>
    <w:rsid w:val="002F11C7"/>
    <w:rsid w:val="002F1B2C"/>
    <w:rsid w:val="002F20BE"/>
    <w:rsid w:val="002F21C6"/>
    <w:rsid w:val="002F2A3E"/>
    <w:rsid w:val="002F3563"/>
    <w:rsid w:val="002F617F"/>
    <w:rsid w:val="002F686A"/>
    <w:rsid w:val="002F7C57"/>
    <w:rsid w:val="002F7FE1"/>
    <w:rsid w:val="00300FD4"/>
    <w:rsid w:val="00301969"/>
    <w:rsid w:val="00303A59"/>
    <w:rsid w:val="0030429C"/>
    <w:rsid w:val="00304F2A"/>
    <w:rsid w:val="00306028"/>
    <w:rsid w:val="003066C5"/>
    <w:rsid w:val="00306D8F"/>
    <w:rsid w:val="0031165F"/>
    <w:rsid w:val="003118D4"/>
    <w:rsid w:val="00311A54"/>
    <w:rsid w:val="00311C64"/>
    <w:rsid w:val="003122F4"/>
    <w:rsid w:val="00313A0C"/>
    <w:rsid w:val="0031538A"/>
    <w:rsid w:val="0031740C"/>
    <w:rsid w:val="00321742"/>
    <w:rsid w:val="003227BF"/>
    <w:rsid w:val="003229CC"/>
    <w:rsid w:val="003239B8"/>
    <w:rsid w:val="003241B0"/>
    <w:rsid w:val="003242EC"/>
    <w:rsid w:val="00324B36"/>
    <w:rsid w:val="00325BE6"/>
    <w:rsid w:val="00325EAC"/>
    <w:rsid w:val="00326514"/>
    <w:rsid w:val="003268D5"/>
    <w:rsid w:val="0032739C"/>
    <w:rsid w:val="003304E1"/>
    <w:rsid w:val="00331B8E"/>
    <w:rsid w:val="00331BD4"/>
    <w:rsid w:val="00334E00"/>
    <w:rsid w:val="003360FF"/>
    <w:rsid w:val="00336223"/>
    <w:rsid w:val="00337B87"/>
    <w:rsid w:val="00337C18"/>
    <w:rsid w:val="00337CB4"/>
    <w:rsid w:val="00337E8C"/>
    <w:rsid w:val="003433E3"/>
    <w:rsid w:val="00344779"/>
    <w:rsid w:val="00345363"/>
    <w:rsid w:val="00345E27"/>
    <w:rsid w:val="00346B71"/>
    <w:rsid w:val="00347449"/>
    <w:rsid w:val="003502DC"/>
    <w:rsid w:val="00350C68"/>
    <w:rsid w:val="00351B1E"/>
    <w:rsid w:val="00352ECB"/>
    <w:rsid w:val="00353221"/>
    <w:rsid w:val="00353D88"/>
    <w:rsid w:val="00354D27"/>
    <w:rsid w:val="00354E3A"/>
    <w:rsid w:val="00354FBB"/>
    <w:rsid w:val="00355406"/>
    <w:rsid w:val="00355F7F"/>
    <w:rsid w:val="003567E0"/>
    <w:rsid w:val="00356F06"/>
    <w:rsid w:val="00357253"/>
    <w:rsid w:val="003600E5"/>
    <w:rsid w:val="00360C17"/>
    <w:rsid w:val="00360F14"/>
    <w:rsid w:val="003614EC"/>
    <w:rsid w:val="00361593"/>
    <w:rsid w:val="0036170A"/>
    <w:rsid w:val="00361D3A"/>
    <w:rsid w:val="00361EA3"/>
    <w:rsid w:val="003621D2"/>
    <w:rsid w:val="003622AF"/>
    <w:rsid w:val="00362A68"/>
    <w:rsid w:val="00362B85"/>
    <w:rsid w:val="0036332F"/>
    <w:rsid w:val="00363A11"/>
    <w:rsid w:val="00363CC6"/>
    <w:rsid w:val="0036598F"/>
    <w:rsid w:val="00366695"/>
    <w:rsid w:val="003727B9"/>
    <w:rsid w:val="00373C78"/>
    <w:rsid w:val="00374A5E"/>
    <w:rsid w:val="00375868"/>
    <w:rsid w:val="00375DEF"/>
    <w:rsid w:val="00375E79"/>
    <w:rsid w:val="00375EEF"/>
    <w:rsid w:val="00377A20"/>
    <w:rsid w:val="00380D23"/>
    <w:rsid w:val="003816CE"/>
    <w:rsid w:val="00381ACA"/>
    <w:rsid w:val="00381BC8"/>
    <w:rsid w:val="00381ED6"/>
    <w:rsid w:val="00382A14"/>
    <w:rsid w:val="003839F0"/>
    <w:rsid w:val="00384CC3"/>
    <w:rsid w:val="003858A6"/>
    <w:rsid w:val="00385EA9"/>
    <w:rsid w:val="00387FBC"/>
    <w:rsid w:val="00391F0B"/>
    <w:rsid w:val="0039238D"/>
    <w:rsid w:val="003923B2"/>
    <w:rsid w:val="00392DCC"/>
    <w:rsid w:val="00392F74"/>
    <w:rsid w:val="00392FC4"/>
    <w:rsid w:val="00394C45"/>
    <w:rsid w:val="003961EE"/>
    <w:rsid w:val="003975A4"/>
    <w:rsid w:val="00397C49"/>
    <w:rsid w:val="003A03AA"/>
    <w:rsid w:val="003A03C8"/>
    <w:rsid w:val="003A33FE"/>
    <w:rsid w:val="003A3AEB"/>
    <w:rsid w:val="003A4922"/>
    <w:rsid w:val="003A7249"/>
    <w:rsid w:val="003B032A"/>
    <w:rsid w:val="003B0605"/>
    <w:rsid w:val="003B0C03"/>
    <w:rsid w:val="003B0F0D"/>
    <w:rsid w:val="003B3D60"/>
    <w:rsid w:val="003B4683"/>
    <w:rsid w:val="003B4878"/>
    <w:rsid w:val="003B5539"/>
    <w:rsid w:val="003B5C2B"/>
    <w:rsid w:val="003B6EB5"/>
    <w:rsid w:val="003B757B"/>
    <w:rsid w:val="003B7885"/>
    <w:rsid w:val="003C05FE"/>
    <w:rsid w:val="003C074C"/>
    <w:rsid w:val="003C1B6F"/>
    <w:rsid w:val="003C275E"/>
    <w:rsid w:val="003C28E7"/>
    <w:rsid w:val="003C4E4B"/>
    <w:rsid w:val="003C524A"/>
    <w:rsid w:val="003C60E2"/>
    <w:rsid w:val="003D24EF"/>
    <w:rsid w:val="003D26D0"/>
    <w:rsid w:val="003D3223"/>
    <w:rsid w:val="003D356E"/>
    <w:rsid w:val="003D3888"/>
    <w:rsid w:val="003D40B7"/>
    <w:rsid w:val="003D522F"/>
    <w:rsid w:val="003D5609"/>
    <w:rsid w:val="003E1697"/>
    <w:rsid w:val="003E25C8"/>
    <w:rsid w:val="003E32A8"/>
    <w:rsid w:val="003E38B0"/>
    <w:rsid w:val="003E3D13"/>
    <w:rsid w:val="003E4606"/>
    <w:rsid w:val="003E4D87"/>
    <w:rsid w:val="003E514D"/>
    <w:rsid w:val="003E636A"/>
    <w:rsid w:val="003E639F"/>
    <w:rsid w:val="003E64CE"/>
    <w:rsid w:val="003E6938"/>
    <w:rsid w:val="003E6FCE"/>
    <w:rsid w:val="003F05E8"/>
    <w:rsid w:val="003F2AD9"/>
    <w:rsid w:val="003F2B65"/>
    <w:rsid w:val="003F3445"/>
    <w:rsid w:val="003F3CBA"/>
    <w:rsid w:val="003F4A86"/>
    <w:rsid w:val="003F573D"/>
    <w:rsid w:val="003F5E94"/>
    <w:rsid w:val="003F62A5"/>
    <w:rsid w:val="003F71F2"/>
    <w:rsid w:val="003F7381"/>
    <w:rsid w:val="003F7A8D"/>
    <w:rsid w:val="003F7ECD"/>
    <w:rsid w:val="00403444"/>
    <w:rsid w:val="00403F0D"/>
    <w:rsid w:val="00404092"/>
    <w:rsid w:val="00404746"/>
    <w:rsid w:val="004048E7"/>
    <w:rsid w:val="00404C50"/>
    <w:rsid w:val="00404F4B"/>
    <w:rsid w:val="00406FC7"/>
    <w:rsid w:val="00407169"/>
    <w:rsid w:val="00407346"/>
    <w:rsid w:val="004074C0"/>
    <w:rsid w:val="00410995"/>
    <w:rsid w:val="004119A7"/>
    <w:rsid w:val="00414458"/>
    <w:rsid w:val="00415A41"/>
    <w:rsid w:val="00415D26"/>
    <w:rsid w:val="00416762"/>
    <w:rsid w:val="004168CC"/>
    <w:rsid w:val="004206C2"/>
    <w:rsid w:val="00421351"/>
    <w:rsid w:val="0042355A"/>
    <w:rsid w:val="004240EE"/>
    <w:rsid w:val="004241A7"/>
    <w:rsid w:val="00424721"/>
    <w:rsid w:val="00424C45"/>
    <w:rsid w:val="004256F0"/>
    <w:rsid w:val="00426B36"/>
    <w:rsid w:val="00426D08"/>
    <w:rsid w:val="00427686"/>
    <w:rsid w:val="00427983"/>
    <w:rsid w:val="00430571"/>
    <w:rsid w:val="00430A36"/>
    <w:rsid w:val="00433141"/>
    <w:rsid w:val="00434486"/>
    <w:rsid w:val="00434B0F"/>
    <w:rsid w:val="00435B47"/>
    <w:rsid w:val="00435F23"/>
    <w:rsid w:val="0044190C"/>
    <w:rsid w:val="00441B79"/>
    <w:rsid w:val="00441CF4"/>
    <w:rsid w:val="00442922"/>
    <w:rsid w:val="00442E17"/>
    <w:rsid w:val="0044315C"/>
    <w:rsid w:val="00443E38"/>
    <w:rsid w:val="00445265"/>
    <w:rsid w:val="00445A69"/>
    <w:rsid w:val="00445C88"/>
    <w:rsid w:val="00445F54"/>
    <w:rsid w:val="004463A0"/>
    <w:rsid w:val="00447B87"/>
    <w:rsid w:val="00450321"/>
    <w:rsid w:val="00451D47"/>
    <w:rsid w:val="00452D1A"/>
    <w:rsid w:val="00453690"/>
    <w:rsid w:val="00453801"/>
    <w:rsid w:val="00454B77"/>
    <w:rsid w:val="00454F2E"/>
    <w:rsid w:val="004559CE"/>
    <w:rsid w:val="004570D4"/>
    <w:rsid w:val="0045729C"/>
    <w:rsid w:val="0045750F"/>
    <w:rsid w:val="0045761C"/>
    <w:rsid w:val="00457E67"/>
    <w:rsid w:val="00462840"/>
    <w:rsid w:val="00462F6C"/>
    <w:rsid w:val="004630E8"/>
    <w:rsid w:val="00463BF4"/>
    <w:rsid w:val="00463D4C"/>
    <w:rsid w:val="0046528D"/>
    <w:rsid w:val="004654C2"/>
    <w:rsid w:val="00465FDD"/>
    <w:rsid w:val="00466695"/>
    <w:rsid w:val="004668C8"/>
    <w:rsid w:val="00467316"/>
    <w:rsid w:val="0046733F"/>
    <w:rsid w:val="004673FB"/>
    <w:rsid w:val="004721D6"/>
    <w:rsid w:val="004723FF"/>
    <w:rsid w:val="00472B2B"/>
    <w:rsid w:val="00474425"/>
    <w:rsid w:val="0047499C"/>
    <w:rsid w:val="004753B5"/>
    <w:rsid w:val="00475B7B"/>
    <w:rsid w:val="00475CE4"/>
    <w:rsid w:val="00475F4D"/>
    <w:rsid w:val="004769C3"/>
    <w:rsid w:val="00477FDE"/>
    <w:rsid w:val="00481ECC"/>
    <w:rsid w:val="00482AD1"/>
    <w:rsid w:val="00483049"/>
    <w:rsid w:val="004830A7"/>
    <w:rsid w:val="0048417D"/>
    <w:rsid w:val="00486BEF"/>
    <w:rsid w:val="00487898"/>
    <w:rsid w:val="00491D24"/>
    <w:rsid w:val="00492FCB"/>
    <w:rsid w:val="004937D9"/>
    <w:rsid w:val="004938D1"/>
    <w:rsid w:val="004951A8"/>
    <w:rsid w:val="00496642"/>
    <w:rsid w:val="004A0334"/>
    <w:rsid w:val="004A0542"/>
    <w:rsid w:val="004A0606"/>
    <w:rsid w:val="004A077D"/>
    <w:rsid w:val="004A17BD"/>
    <w:rsid w:val="004A1FB1"/>
    <w:rsid w:val="004A1FB4"/>
    <w:rsid w:val="004A26BC"/>
    <w:rsid w:val="004A4113"/>
    <w:rsid w:val="004A494D"/>
    <w:rsid w:val="004A4AAC"/>
    <w:rsid w:val="004A70A0"/>
    <w:rsid w:val="004A780F"/>
    <w:rsid w:val="004A7BC2"/>
    <w:rsid w:val="004B069D"/>
    <w:rsid w:val="004B1A13"/>
    <w:rsid w:val="004B4198"/>
    <w:rsid w:val="004B5166"/>
    <w:rsid w:val="004B5CDE"/>
    <w:rsid w:val="004B615D"/>
    <w:rsid w:val="004B6B6D"/>
    <w:rsid w:val="004B6D5F"/>
    <w:rsid w:val="004B6D7E"/>
    <w:rsid w:val="004B7A54"/>
    <w:rsid w:val="004C1277"/>
    <w:rsid w:val="004C2C43"/>
    <w:rsid w:val="004C3F24"/>
    <w:rsid w:val="004C5350"/>
    <w:rsid w:val="004C5513"/>
    <w:rsid w:val="004C64FC"/>
    <w:rsid w:val="004C6902"/>
    <w:rsid w:val="004C6A41"/>
    <w:rsid w:val="004C7188"/>
    <w:rsid w:val="004C7999"/>
    <w:rsid w:val="004D186A"/>
    <w:rsid w:val="004D2A8A"/>
    <w:rsid w:val="004D2E27"/>
    <w:rsid w:val="004D32C8"/>
    <w:rsid w:val="004D356E"/>
    <w:rsid w:val="004D60CB"/>
    <w:rsid w:val="004D6113"/>
    <w:rsid w:val="004E043D"/>
    <w:rsid w:val="004E0F7F"/>
    <w:rsid w:val="004E0FE2"/>
    <w:rsid w:val="004E416C"/>
    <w:rsid w:val="004E6FC6"/>
    <w:rsid w:val="004E730E"/>
    <w:rsid w:val="004F053D"/>
    <w:rsid w:val="004F1164"/>
    <w:rsid w:val="004F16BB"/>
    <w:rsid w:val="004F20EF"/>
    <w:rsid w:val="004F54F9"/>
    <w:rsid w:val="004F6ED2"/>
    <w:rsid w:val="0050224C"/>
    <w:rsid w:val="00502279"/>
    <w:rsid w:val="00502DD2"/>
    <w:rsid w:val="005032E9"/>
    <w:rsid w:val="00503564"/>
    <w:rsid w:val="00503A91"/>
    <w:rsid w:val="0050408A"/>
    <w:rsid w:val="0050665A"/>
    <w:rsid w:val="00507B59"/>
    <w:rsid w:val="00511AA1"/>
    <w:rsid w:val="00512217"/>
    <w:rsid w:val="00514A37"/>
    <w:rsid w:val="005150B8"/>
    <w:rsid w:val="0051583C"/>
    <w:rsid w:val="00516159"/>
    <w:rsid w:val="00516785"/>
    <w:rsid w:val="00516AB7"/>
    <w:rsid w:val="00516B4C"/>
    <w:rsid w:val="00516EDD"/>
    <w:rsid w:val="00516F8A"/>
    <w:rsid w:val="0052047A"/>
    <w:rsid w:val="00520B75"/>
    <w:rsid w:val="00520BFA"/>
    <w:rsid w:val="0052419D"/>
    <w:rsid w:val="00524A9D"/>
    <w:rsid w:val="005259E1"/>
    <w:rsid w:val="00526717"/>
    <w:rsid w:val="005300A8"/>
    <w:rsid w:val="005301F8"/>
    <w:rsid w:val="00530B78"/>
    <w:rsid w:val="005312FC"/>
    <w:rsid w:val="0053166B"/>
    <w:rsid w:val="00531C48"/>
    <w:rsid w:val="00531E6D"/>
    <w:rsid w:val="005321A3"/>
    <w:rsid w:val="00535427"/>
    <w:rsid w:val="0053603D"/>
    <w:rsid w:val="005365B8"/>
    <w:rsid w:val="005367D7"/>
    <w:rsid w:val="0053731F"/>
    <w:rsid w:val="00542541"/>
    <w:rsid w:val="0054287D"/>
    <w:rsid w:val="005428B5"/>
    <w:rsid w:val="005430DD"/>
    <w:rsid w:val="0054354D"/>
    <w:rsid w:val="00543E7F"/>
    <w:rsid w:val="005478FC"/>
    <w:rsid w:val="00547F88"/>
    <w:rsid w:val="00550B59"/>
    <w:rsid w:val="0055168A"/>
    <w:rsid w:val="005519AD"/>
    <w:rsid w:val="005519CF"/>
    <w:rsid w:val="00552239"/>
    <w:rsid w:val="005537A5"/>
    <w:rsid w:val="00555409"/>
    <w:rsid w:val="0055714C"/>
    <w:rsid w:val="005605C8"/>
    <w:rsid w:val="00561283"/>
    <w:rsid w:val="00561D3E"/>
    <w:rsid w:val="005625F1"/>
    <w:rsid w:val="00563557"/>
    <w:rsid w:val="005666F2"/>
    <w:rsid w:val="00566EBE"/>
    <w:rsid w:val="0056740C"/>
    <w:rsid w:val="005674A5"/>
    <w:rsid w:val="00571357"/>
    <w:rsid w:val="005715CB"/>
    <w:rsid w:val="00572895"/>
    <w:rsid w:val="00573181"/>
    <w:rsid w:val="0057359F"/>
    <w:rsid w:val="00573721"/>
    <w:rsid w:val="00574176"/>
    <w:rsid w:val="00575289"/>
    <w:rsid w:val="005772DD"/>
    <w:rsid w:val="00577B77"/>
    <w:rsid w:val="00577D08"/>
    <w:rsid w:val="00582133"/>
    <w:rsid w:val="005850A8"/>
    <w:rsid w:val="0058563C"/>
    <w:rsid w:val="00585750"/>
    <w:rsid w:val="005868DE"/>
    <w:rsid w:val="005874CF"/>
    <w:rsid w:val="00587522"/>
    <w:rsid w:val="00587EC2"/>
    <w:rsid w:val="00587F35"/>
    <w:rsid w:val="00590186"/>
    <w:rsid w:val="0059349E"/>
    <w:rsid w:val="0059516B"/>
    <w:rsid w:val="00595302"/>
    <w:rsid w:val="005954AC"/>
    <w:rsid w:val="00596F84"/>
    <w:rsid w:val="005973D1"/>
    <w:rsid w:val="005A100C"/>
    <w:rsid w:val="005A3836"/>
    <w:rsid w:val="005A603F"/>
    <w:rsid w:val="005A72A7"/>
    <w:rsid w:val="005B4866"/>
    <w:rsid w:val="005B6CC0"/>
    <w:rsid w:val="005C1B76"/>
    <w:rsid w:val="005C262E"/>
    <w:rsid w:val="005C361E"/>
    <w:rsid w:val="005C4BF4"/>
    <w:rsid w:val="005C4BFE"/>
    <w:rsid w:val="005C5168"/>
    <w:rsid w:val="005C7BE3"/>
    <w:rsid w:val="005D086B"/>
    <w:rsid w:val="005D1F89"/>
    <w:rsid w:val="005D2C9C"/>
    <w:rsid w:val="005D60B2"/>
    <w:rsid w:val="005D69B7"/>
    <w:rsid w:val="005D6D33"/>
    <w:rsid w:val="005D76E2"/>
    <w:rsid w:val="005E1085"/>
    <w:rsid w:val="005E22B3"/>
    <w:rsid w:val="005E238E"/>
    <w:rsid w:val="005E2D2B"/>
    <w:rsid w:val="005E473C"/>
    <w:rsid w:val="005E4D6B"/>
    <w:rsid w:val="005E4F16"/>
    <w:rsid w:val="005E5708"/>
    <w:rsid w:val="005E7DEE"/>
    <w:rsid w:val="005F1B8C"/>
    <w:rsid w:val="005F4927"/>
    <w:rsid w:val="005F4AD5"/>
    <w:rsid w:val="005F545C"/>
    <w:rsid w:val="005F5C41"/>
    <w:rsid w:val="005F5CE4"/>
    <w:rsid w:val="005F6363"/>
    <w:rsid w:val="006042AC"/>
    <w:rsid w:val="00604768"/>
    <w:rsid w:val="0060560C"/>
    <w:rsid w:val="0060595B"/>
    <w:rsid w:val="00605AFD"/>
    <w:rsid w:val="00607C7C"/>
    <w:rsid w:val="0061007F"/>
    <w:rsid w:val="00610A47"/>
    <w:rsid w:val="006111E8"/>
    <w:rsid w:val="00611FF6"/>
    <w:rsid w:val="006123D4"/>
    <w:rsid w:val="00612C6A"/>
    <w:rsid w:val="00613414"/>
    <w:rsid w:val="006155C9"/>
    <w:rsid w:val="006159A8"/>
    <w:rsid w:val="00615BED"/>
    <w:rsid w:val="00615C28"/>
    <w:rsid w:val="00616023"/>
    <w:rsid w:val="006162DE"/>
    <w:rsid w:val="00616701"/>
    <w:rsid w:val="0062030F"/>
    <w:rsid w:val="00620608"/>
    <w:rsid w:val="006208F6"/>
    <w:rsid w:val="006213BA"/>
    <w:rsid w:val="00621724"/>
    <w:rsid w:val="00621AEE"/>
    <w:rsid w:val="00622A0E"/>
    <w:rsid w:val="00624D5F"/>
    <w:rsid w:val="006250BE"/>
    <w:rsid w:val="00625F58"/>
    <w:rsid w:val="006263BC"/>
    <w:rsid w:val="00630618"/>
    <w:rsid w:val="00630F1D"/>
    <w:rsid w:val="006312B6"/>
    <w:rsid w:val="00631466"/>
    <w:rsid w:val="006324ED"/>
    <w:rsid w:val="006347C4"/>
    <w:rsid w:val="00637C14"/>
    <w:rsid w:val="006412B2"/>
    <w:rsid w:val="00642853"/>
    <w:rsid w:val="00643555"/>
    <w:rsid w:val="006440DA"/>
    <w:rsid w:val="00644377"/>
    <w:rsid w:val="00644CA9"/>
    <w:rsid w:val="00644FD6"/>
    <w:rsid w:val="00646FD2"/>
    <w:rsid w:val="00651E24"/>
    <w:rsid w:val="006523EB"/>
    <w:rsid w:val="00652E0A"/>
    <w:rsid w:val="006537D8"/>
    <w:rsid w:val="00654694"/>
    <w:rsid w:val="00655D83"/>
    <w:rsid w:val="00656356"/>
    <w:rsid w:val="00657176"/>
    <w:rsid w:val="006574A6"/>
    <w:rsid w:val="0066025F"/>
    <w:rsid w:val="00661276"/>
    <w:rsid w:val="0066217F"/>
    <w:rsid w:val="006638F0"/>
    <w:rsid w:val="00664054"/>
    <w:rsid w:val="0066418D"/>
    <w:rsid w:val="00664A12"/>
    <w:rsid w:val="00665BCB"/>
    <w:rsid w:val="0067044E"/>
    <w:rsid w:val="006720C3"/>
    <w:rsid w:val="006722AD"/>
    <w:rsid w:val="00675375"/>
    <w:rsid w:val="006755BF"/>
    <w:rsid w:val="00675E8D"/>
    <w:rsid w:val="006769FF"/>
    <w:rsid w:val="006772F1"/>
    <w:rsid w:val="0068145D"/>
    <w:rsid w:val="00681DE3"/>
    <w:rsid w:val="00681E63"/>
    <w:rsid w:val="00683099"/>
    <w:rsid w:val="006841A0"/>
    <w:rsid w:val="00684417"/>
    <w:rsid w:val="00684DC9"/>
    <w:rsid w:val="00685286"/>
    <w:rsid w:val="0068559E"/>
    <w:rsid w:val="00685F13"/>
    <w:rsid w:val="00686165"/>
    <w:rsid w:val="00686255"/>
    <w:rsid w:val="00687A9F"/>
    <w:rsid w:val="006908CC"/>
    <w:rsid w:val="0069196A"/>
    <w:rsid w:val="00691CB5"/>
    <w:rsid w:val="00692056"/>
    <w:rsid w:val="006924E8"/>
    <w:rsid w:val="006924F8"/>
    <w:rsid w:val="00694613"/>
    <w:rsid w:val="006946E6"/>
    <w:rsid w:val="00696F14"/>
    <w:rsid w:val="006971E9"/>
    <w:rsid w:val="006A0F5E"/>
    <w:rsid w:val="006A133D"/>
    <w:rsid w:val="006A17A1"/>
    <w:rsid w:val="006A3C70"/>
    <w:rsid w:val="006A4C19"/>
    <w:rsid w:val="006A5B73"/>
    <w:rsid w:val="006A63C5"/>
    <w:rsid w:val="006A6EE1"/>
    <w:rsid w:val="006A719C"/>
    <w:rsid w:val="006A774D"/>
    <w:rsid w:val="006B09DE"/>
    <w:rsid w:val="006B0B58"/>
    <w:rsid w:val="006B287B"/>
    <w:rsid w:val="006B4583"/>
    <w:rsid w:val="006B5E7C"/>
    <w:rsid w:val="006B6230"/>
    <w:rsid w:val="006B68AD"/>
    <w:rsid w:val="006C12FE"/>
    <w:rsid w:val="006C1335"/>
    <w:rsid w:val="006C14B3"/>
    <w:rsid w:val="006C2BD2"/>
    <w:rsid w:val="006C40F8"/>
    <w:rsid w:val="006C645D"/>
    <w:rsid w:val="006C67A4"/>
    <w:rsid w:val="006D22BC"/>
    <w:rsid w:val="006D3673"/>
    <w:rsid w:val="006D394B"/>
    <w:rsid w:val="006D39A5"/>
    <w:rsid w:val="006D3C36"/>
    <w:rsid w:val="006D3F1E"/>
    <w:rsid w:val="006D4245"/>
    <w:rsid w:val="006D42C7"/>
    <w:rsid w:val="006D43E8"/>
    <w:rsid w:val="006D4DC7"/>
    <w:rsid w:val="006D5A03"/>
    <w:rsid w:val="006D758C"/>
    <w:rsid w:val="006E0A92"/>
    <w:rsid w:val="006E15C6"/>
    <w:rsid w:val="006E1BDF"/>
    <w:rsid w:val="006E2B74"/>
    <w:rsid w:val="006E3CC3"/>
    <w:rsid w:val="006E4874"/>
    <w:rsid w:val="006E4A8E"/>
    <w:rsid w:val="006E4D57"/>
    <w:rsid w:val="006E623C"/>
    <w:rsid w:val="006E71DD"/>
    <w:rsid w:val="006F017E"/>
    <w:rsid w:val="006F22BA"/>
    <w:rsid w:val="006F234C"/>
    <w:rsid w:val="006F2E43"/>
    <w:rsid w:val="006F3B36"/>
    <w:rsid w:val="006F4609"/>
    <w:rsid w:val="006F498B"/>
    <w:rsid w:val="006F607D"/>
    <w:rsid w:val="006F650F"/>
    <w:rsid w:val="006F656C"/>
    <w:rsid w:val="006F6A01"/>
    <w:rsid w:val="00700DBB"/>
    <w:rsid w:val="007027A3"/>
    <w:rsid w:val="00702A3A"/>
    <w:rsid w:val="00704085"/>
    <w:rsid w:val="007047CB"/>
    <w:rsid w:val="00704A8A"/>
    <w:rsid w:val="00706BCE"/>
    <w:rsid w:val="00707014"/>
    <w:rsid w:val="007124BF"/>
    <w:rsid w:val="00713BBD"/>
    <w:rsid w:val="00713FEA"/>
    <w:rsid w:val="00714619"/>
    <w:rsid w:val="00716229"/>
    <w:rsid w:val="007163D5"/>
    <w:rsid w:val="007176AC"/>
    <w:rsid w:val="00720C34"/>
    <w:rsid w:val="00721224"/>
    <w:rsid w:val="0072583B"/>
    <w:rsid w:val="00726879"/>
    <w:rsid w:val="00731133"/>
    <w:rsid w:val="0073262B"/>
    <w:rsid w:val="00732746"/>
    <w:rsid w:val="0073298A"/>
    <w:rsid w:val="00732A5B"/>
    <w:rsid w:val="007333B8"/>
    <w:rsid w:val="007340BB"/>
    <w:rsid w:val="00735007"/>
    <w:rsid w:val="007373DC"/>
    <w:rsid w:val="00737477"/>
    <w:rsid w:val="00737D86"/>
    <w:rsid w:val="007418E0"/>
    <w:rsid w:val="00742669"/>
    <w:rsid w:val="0074497C"/>
    <w:rsid w:val="00745A87"/>
    <w:rsid w:val="00746D23"/>
    <w:rsid w:val="00746D3E"/>
    <w:rsid w:val="00747CDF"/>
    <w:rsid w:val="00751286"/>
    <w:rsid w:val="00751D54"/>
    <w:rsid w:val="00751E40"/>
    <w:rsid w:val="007521A2"/>
    <w:rsid w:val="00753148"/>
    <w:rsid w:val="00754711"/>
    <w:rsid w:val="00754B00"/>
    <w:rsid w:val="007557F3"/>
    <w:rsid w:val="00757816"/>
    <w:rsid w:val="00761E8D"/>
    <w:rsid w:val="007635A9"/>
    <w:rsid w:val="00766CE6"/>
    <w:rsid w:val="00766FBB"/>
    <w:rsid w:val="00770E01"/>
    <w:rsid w:val="00771E91"/>
    <w:rsid w:val="007722F8"/>
    <w:rsid w:val="00772B76"/>
    <w:rsid w:val="007739DC"/>
    <w:rsid w:val="00773EA2"/>
    <w:rsid w:val="007742BE"/>
    <w:rsid w:val="00774BE4"/>
    <w:rsid w:val="00774C14"/>
    <w:rsid w:val="00774D43"/>
    <w:rsid w:val="007806E8"/>
    <w:rsid w:val="00780E77"/>
    <w:rsid w:val="007830E5"/>
    <w:rsid w:val="00784107"/>
    <w:rsid w:val="0078509F"/>
    <w:rsid w:val="007856F2"/>
    <w:rsid w:val="007858D9"/>
    <w:rsid w:val="00785ECE"/>
    <w:rsid w:val="00790B96"/>
    <w:rsid w:val="007912EE"/>
    <w:rsid w:val="007927EA"/>
    <w:rsid w:val="00794499"/>
    <w:rsid w:val="007A05BA"/>
    <w:rsid w:val="007A0C8F"/>
    <w:rsid w:val="007A1204"/>
    <w:rsid w:val="007A31EB"/>
    <w:rsid w:val="007A35A4"/>
    <w:rsid w:val="007A44F7"/>
    <w:rsid w:val="007A4F32"/>
    <w:rsid w:val="007A510C"/>
    <w:rsid w:val="007A706E"/>
    <w:rsid w:val="007A7612"/>
    <w:rsid w:val="007A7BA9"/>
    <w:rsid w:val="007B1839"/>
    <w:rsid w:val="007B35E9"/>
    <w:rsid w:val="007B360A"/>
    <w:rsid w:val="007B4160"/>
    <w:rsid w:val="007B4FF7"/>
    <w:rsid w:val="007B56D1"/>
    <w:rsid w:val="007B599C"/>
    <w:rsid w:val="007B65E5"/>
    <w:rsid w:val="007B6C88"/>
    <w:rsid w:val="007C1C87"/>
    <w:rsid w:val="007C3F50"/>
    <w:rsid w:val="007C41DC"/>
    <w:rsid w:val="007C570E"/>
    <w:rsid w:val="007C6937"/>
    <w:rsid w:val="007D1254"/>
    <w:rsid w:val="007D15BC"/>
    <w:rsid w:val="007D39F2"/>
    <w:rsid w:val="007D5AA6"/>
    <w:rsid w:val="007D5BFC"/>
    <w:rsid w:val="007D5C04"/>
    <w:rsid w:val="007D6A55"/>
    <w:rsid w:val="007D7001"/>
    <w:rsid w:val="007D700E"/>
    <w:rsid w:val="007D70E7"/>
    <w:rsid w:val="007D724A"/>
    <w:rsid w:val="007D7B29"/>
    <w:rsid w:val="007E008C"/>
    <w:rsid w:val="007E1632"/>
    <w:rsid w:val="007E192D"/>
    <w:rsid w:val="007E2AB9"/>
    <w:rsid w:val="007E418C"/>
    <w:rsid w:val="007E45B7"/>
    <w:rsid w:val="007E48CB"/>
    <w:rsid w:val="007E4E6E"/>
    <w:rsid w:val="007E53C3"/>
    <w:rsid w:val="007E5E8C"/>
    <w:rsid w:val="007E6456"/>
    <w:rsid w:val="007E6D5C"/>
    <w:rsid w:val="007F2ADC"/>
    <w:rsid w:val="007F3F5E"/>
    <w:rsid w:val="007F455C"/>
    <w:rsid w:val="007F4D01"/>
    <w:rsid w:val="007F5418"/>
    <w:rsid w:val="007F5C3C"/>
    <w:rsid w:val="007F6628"/>
    <w:rsid w:val="007F6AD4"/>
    <w:rsid w:val="007F76BF"/>
    <w:rsid w:val="007F7B1A"/>
    <w:rsid w:val="007F7DC9"/>
    <w:rsid w:val="0080182A"/>
    <w:rsid w:val="00802ACF"/>
    <w:rsid w:val="008037F9"/>
    <w:rsid w:val="008041A1"/>
    <w:rsid w:val="0081027A"/>
    <w:rsid w:val="00810678"/>
    <w:rsid w:val="0081102E"/>
    <w:rsid w:val="0081193E"/>
    <w:rsid w:val="00811C57"/>
    <w:rsid w:val="00812BA4"/>
    <w:rsid w:val="00812BDA"/>
    <w:rsid w:val="00814607"/>
    <w:rsid w:val="00816B7D"/>
    <w:rsid w:val="00816DC9"/>
    <w:rsid w:val="00817F24"/>
    <w:rsid w:val="008226E2"/>
    <w:rsid w:val="008227B8"/>
    <w:rsid w:val="00823D53"/>
    <w:rsid w:val="00824C28"/>
    <w:rsid w:val="008252E5"/>
    <w:rsid w:val="00825C74"/>
    <w:rsid w:val="0082608C"/>
    <w:rsid w:val="008268D6"/>
    <w:rsid w:val="008269E4"/>
    <w:rsid w:val="008272A1"/>
    <w:rsid w:val="00830209"/>
    <w:rsid w:val="00831BA1"/>
    <w:rsid w:val="00831CD0"/>
    <w:rsid w:val="00832D3D"/>
    <w:rsid w:val="00834243"/>
    <w:rsid w:val="008352F8"/>
    <w:rsid w:val="008361B4"/>
    <w:rsid w:val="0083687A"/>
    <w:rsid w:val="00836B24"/>
    <w:rsid w:val="00836C72"/>
    <w:rsid w:val="00841E42"/>
    <w:rsid w:val="00843A73"/>
    <w:rsid w:val="00843C06"/>
    <w:rsid w:val="0084518F"/>
    <w:rsid w:val="00845BD4"/>
    <w:rsid w:val="008462E5"/>
    <w:rsid w:val="00846ED7"/>
    <w:rsid w:val="00851740"/>
    <w:rsid w:val="00851E34"/>
    <w:rsid w:val="00851F70"/>
    <w:rsid w:val="0085228A"/>
    <w:rsid w:val="008524EF"/>
    <w:rsid w:val="0085446F"/>
    <w:rsid w:val="00854AED"/>
    <w:rsid w:val="00855618"/>
    <w:rsid w:val="0085695C"/>
    <w:rsid w:val="00857887"/>
    <w:rsid w:val="00857969"/>
    <w:rsid w:val="00860BFA"/>
    <w:rsid w:val="00860C76"/>
    <w:rsid w:val="008612BD"/>
    <w:rsid w:val="008621E6"/>
    <w:rsid w:val="00862FFC"/>
    <w:rsid w:val="00863999"/>
    <w:rsid w:val="00870205"/>
    <w:rsid w:val="0087124A"/>
    <w:rsid w:val="008712FB"/>
    <w:rsid w:val="0087132D"/>
    <w:rsid w:val="00871903"/>
    <w:rsid w:val="00871AA1"/>
    <w:rsid w:val="00872CE5"/>
    <w:rsid w:val="00873C3A"/>
    <w:rsid w:val="00874424"/>
    <w:rsid w:val="00881BF6"/>
    <w:rsid w:val="00882996"/>
    <w:rsid w:val="00882C13"/>
    <w:rsid w:val="008849D4"/>
    <w:rsid w:val="00884F02"/>
    <w:rsid w:val="00885CBA"/>
    <w:rsid w:val="008917FC"/>
    <w:rsid w:val="00891FD9"/>
    <w:rsid w:val="00892B53"/>
    <w:rsid w:val="0089347C"/>
    <w:rsid w:val="00893AC7"/>
    <w:rsid w:val="00893D9B"/>
    <w:rsid w:val="00894221"/>
    <w:rsid w:val="00894383"/>
    <w:rsid w:val="008943C7"/>
    <w:rsid w:val="00894723"/>
    <w:rsid w:val="008957FA"/>
    <w:rsid w:val="00896DAD"/>
    <w:rsid w:val="008A0F7E"/>
    <w:rsid w:val="008A1187"/>
    <w:rsid w:val="008A283D"/>
    <w:rsid w:val="008A3409"/>
    <w:rsid w:val="008A41A9"/>
    <w:rsid w:val="008A5691"/>
    <w:rsid w:val="008A5F26"/>
    <w:rsid w:val="008A6AE4"/>
    <w:rsid w:val="008A6BFC"/>
    <w:rsid w:val="008A771B"/>
    <w:rsid w:val="008B1147"/>
    <w:rsid w:val="008B1499"/>
    <w:rsid w:val="008B21D8"/>
    <w:rsid w:val="008B3BBA"/>
    <w:rsid w:val="008B4065"/>
    <w:rsid w:val="008B4409"/>
    <w:rsid w:val="008B4579"/>
    <w:rsid w:val="008B4D68"/>
    <w:rsid w:val="008B5361"/>
    <w:rsid w:val="008C1B78"/>
    <w:rsid w:val="008C1C9B"/>
    <w:rsid w:val="008C22A7"/>
    <w:rsid w:val="008C40E0"/>
    <w:rsid w:val="008C5F6F"/>
    <w:rsid w:val="008D0669"/>
    <w:rsid w:val="008D0E30"/>
    <w:rsid w:val="008D1705"/>
    <w:rsid w:val="008D2E6B"/>
    <w:rsid w:val="008D339F"/>
    <w:rsid w:val="008D5C85"/>
    <w:rsid w:val="008D63E8"/>
    <w:rsid w:val="008D641F"/>
    <w:rsid w:val="008D6510"/>
    <w:rsid w:val="008D68A5"/>
    <w:rsid w:val="008D7F38"/>
    <w:rsid w:val="008E0572"/>
    <w:rsid w:val="008E3C49"/>
    <w:rsid w:val="008E3FBA"/>
    <w:rsid w:val="008E49B1"/>
    <w:rsid w:val="008E4EE3"/>
    <w:rsid w:val="008E6292"/>
    <w:rsid w:val="008E68E7"/>
    <w:rsid w:val="008F1061"/>
    <w:rsid w:val="008F233D"/>
    <w:rsid w:val="008F2933"/>
    <w:rsid w:val="008F3FFD"/>
    <w:rsid w:val="008F505A"/>
    <w:rsid w:val="008F5CE3"/>
    <w:rsid w:val="008F5F84"/>
    <w:rsid w:val="008F65AF"/>
    <w:rsid w:val="00900E9D"/>
    <w:rsid w:val="00900FBE"/>
    <w:rsid w:val="00901A25"/>
    <w:rsid w:val="00903968"/>
    <w:rsid w:val="009040E2"/>
    <w:rsid w:val="00904902"/>
    <w:rsid w:val="0090512D"/>
    <w:rsid w:val="00906B5C"/>
    <w:rsid w:val="00907398"/>
    <w:rsid w:val="009073CA"/>
    <w:rsid w:val="00907C1E"/>
    <w:rsid w:val="00907F92"/>
    <w:rsid w:val="009106CE"/>
    <w:rsid w:val="00910D2F"/>
    <w:rsid w:val="00910F8D"/>
    <w:rsid w:val="009117BE"/>
    <w:rsid w:val="00912B39"/>
    <w:rsid w:val="00913270"/>
    <w:rsid w:val="00914313"/>
    <w:rsid w:val="0091472A"/>
    <w:rsid w:val="00914CFB"/>
    <w:rsid w:val="009151AF"/>
    <w:rsid w:val="00915306"/>
    <w:rsid w:val="00915C34"/>
    <w:rsid w:val="00916273"/>
    <w:rsid w:val="00916832"/>
    <w:rsid w:val="0092211A"/>
    <w:rsid w:val="009225EE"/>
    <w:rsid w:val="0092262A"/>
    <w:rsid w:val="00922CC5"/>
    <w:rsid w:val="00924A7F"/>
    <w:rsid w:val="00925AA5"/>
    <w:rsid w:val="00925C77"/>
    <w:rsid w:val="00926F38"/>
    <w:rsid w:val="00927013"/>
    <w:rsid w:val="00927D4F"/>
    <w:rsid w:val="009303EA"/>
    <w:rsid w:val="00930A15"/>
    <w:rsid w:val="009310CF"/>
    <w:rsid w:val="009326E3"/>
    <w:rsid w:val="00932F6E"/>
    <w:rsid w:val="0093706A"/>
    <w:rsid w:val="0094019D"/>
    <w:rsid w:val="00942C11"/>
    <w:rsid w:val="009436F3"/>
    <w:rsid w:val="00944ADB"/>
    <w:rsid w:val="00944FE0"/>
    <w:rsid w:val="0094575F"/>
    <w:rsid w:val="00946C76"/>
    <w:rsid w:val="00946FE5"/>
    <w:rsid w:val="0094730D"/>
    <w:rsid w:val="00947E51"/>
    <w:rsid w:val="00951E03"/>
    <w:rsid w:val="00952257"/>
    <w:rsid w:val="009565FC"/>
    <w:rsid w:val="0096015C"/>
    <w:rsid w:val="009616AF"/>
    <w:rsid w:val="00961EB0"/>
    <w:rsid w:val="009621EF"/>
    <w:rsid w:val="009623BA"/>
    <w:rsid w:val="00963AFC"/>
    <w:rsid w:val="009648AE"/>
    <w:rsid w:val="009655E7"/>
    <w:rsid w:val="00967AEE"/>
    <w:rsid w:val="00967BE0"/>
    <w:rsid w:val="009702B5"/>
    <w:rsid w:val="009707C7"/>
    <w:rsid w:val="00971B8D"/>
    <w:rsid w:val="009732EC"/>
    <w:rsid w:val="0097634B"/>
    <w:rsid w:val="00976964"/>
    <w:rsid w:val="00977510"/>
    <w:rsid w:val="0097769F"/>
    <w:rsid w:val="009816B1"/>
    <w:rsid w:val="0098206A"/>
    <w:rsid w:val="009821CE"/>
    <w:rsid w:val="00984163"/>
    <w:rsid w:val="00984475"/>
    <w:rsid w:val="009852CF"/>
    <w:rsid w:val="009852D6"/>
    <w:rsid w:val="0098540F"/>
    <w:rsid w:val="0098605F"/>
    <w:rsid w:val="00986E8B"/>
    <w:rsid w:val="00987127"/>
    <w:rsid w:val="0098731D"/>
    <w:rsid w:val="0098778F"/>
    <w:rsid w:val="00991FCE"/>
    <w:rsid w:val="00992BDB"/>
    <w:rsid w:val="00993C26"/>
    <w:rsid w:val="00994128"/>
    <w:rsid w:val="00994947"/>
    <w:rsid w:val="009961C5"/>
    <w:rsid w:val="009967B1"/>
    <w:rsid w:val="00996FF2"/>
    <w:rsid w:val="009973F0"/>
    <w:rsid w:val="00997941"/>
    <w:rsid w:val="009A2BCB"/>
    <w:rsid w:val="009A34F1"/>
    <w:rsid w:val="009A42A8"/>
    <w:rsid w:val="009A4322"/>
    <w:rsid w:val="009A4893"/>
    <w:rsid w:val="009A658F"/>
    <w:rsid w:val="009A668A"/>
    <w:rsid w:val="009A679C"/>
    <w:rsid w:val="009A6BA7"/>
    <w:rsid w:val="009A7C62"/>
    <w:rsid w:val="009B2FF4"/>
    <w:rsid w:val="009B3533"/>
    <w:rsid w:val="009B36E3"/>
    <w:rsid w:val="009B4958"/>
    <w:rsid w:val="009B4D0B"/>
    <w:rsid w:val="009C05AE"/>
    <w:rsid w:val="009C088B"/>
    <w:rsid w:val="009C0A50"/>
    <w:rsid w:val="009C0D75"/>
    <w:rsid w:val="009C3AC1"/>
    <w:rsid w:val="009C3C0E"/>
    <w:rsid w:val="009C434D"/>
    <w:rsid w:val="009C4957"/>
    <w:rsid w:val="009C59F8"/>
    <w:rsid w:val="009C5BA6"/>
    <w:rsid w:val="009C79B8"/>
    <w:rsid w:val="009D005E"/>
    <w:rsid w:val="009D0EF8"/>
    <w:rsid w:val="009D30DF"/>
    <w:rsid w:val="009D3925"/>
    <w:rsid w:val="009D43CF"/>
    <w:rsid w:val="009D5BB3"/>
    <w:rsid w:val="009D79F7"/>
    <w:rsid w:val="009E14BF"/>
    <w:rsid w:val="009E1DB2"/>
    <w:rsid w:val="009E2D24"/>
    <w:rsid w:val="009E3669"/>
    <w:rsid w:val="009E44DC"/>
    <w:rsid w:val="009E479D"/>
    <w:rsid w:val="009E5BCC"/>
    <w:rsid w:val="009E6572"/>
    <w:rsid w:val="009E65EF"/>
    <w:rsid w:val="009E6A1A"/>
    <w:rsid w:val="009E73E5"/>
    <w:rsid w:val="009F06D9"/>
    <w:rsid w:val="009F0891"/>
    <w:rsid w:val="009F0D40"/>
    <w:rsid w:val="009F353B"/>
    <w:rsid w:val="009F3B0C"/>
    <w:rsid w:val="009F3D84"/>
    <w:rsid w:val="009F4779"/>
    <w:rsid w:val="009F5714"/>
    <w:rsid w:val="009F65C2"/>
    <w:rsid w:val="009F6948"/>
    <w:rsid w:val="009F7872"/>
    <w:rsid w:val="009F7F41"/>
    <w:rsid w:val="00A02BC7"/>
    <w:rsid w:val="00A0456C"/>
    <w:rsid w:val="00A0640F"/>
    <w:rsid w:val="00A07B43"/>
    <w:rsid w:val="00A10843"/>
    <w:rsid w:val="00A1161D"/>
    <w:rsid w:val="00A137C1"/>
    <w:rsid w:val="00A15588"/>
    <w:rsid w:val="00A16B0C"/>
    <w:rsid w:val="00A16E03"/>
    <w:rsid w:val="00A20088"/>
    <w:rsid w:val="00A200DE"/>
    <w:rsid w:val="00A2064C"/>
    <w:rsid w:val="00A21CEC"/>
    <w:rsid w:val="00A22042"/>
    <w:rsid w:val="00A247E0"/>
    <w:rsid w:val="00A24866"/>
    <w:rsid w:val="00A24A28"/>
    <w:rsid w:val="00A24AFA"/>
    <w:rsid w:val="00A2557F"/>
    <w:rsid w:val="00A256D5"/>
    <w:rsid w:val="00A260CD"/>
    <w:rsid w:val="00A26904"/>
    <w:rsid w:val="00A26F15"/>
    <w:rsid w:val="00A2710D"/>
    <w:rsid w:val="00A27403"/>
    <w:rsid w:val="00A27DC3"/>
    <w:rsid w:val="00A3003E"/>
    <w:rsid w:val="00A300AA"/>
    <w:rsid w:val="00A3078C"/>
    <w:rsid w:val="00A310AF"/>
    <w:rsid w:val="00A31E1E"/>
    <w:rsid w:val="00A322CF"/>
    <w:rsid w:val="00A3355F"/>
    <w:rsid w:val="00A350D6"/>
    <w:rsid w:val="00A35B29"/>
    <w:rsid w:val="00A36227"/>
    <w:rsid w:val="00A3749B"/>
    <w:rsid w:val="00A37BEE"/>
    <w:rsid w:val="00A41CB1"/>
    <w:rsid w:val="00A421DC"/>
    <w:rsid w:val="00A42367"/>
    <w:rsid w:val="00A426B0"/>
    <w:rsid w:val="00A46B97"/>
    <w:rsid w:val="00A47002"/>
    <w:rsid w:val="00A50D38"/>
    <w:rsid w:val="00A51279"/>
    <w:rsid w:val="00A51491"/>
    <w:rsid w:val="00A5167D"/>
    <w:rsid w:val="00A51C70"/>
    <w:rsid w:val="00A5212E"/>
    <w:rsid w:val="00A523D5"/>
    <w:rsid w:val="00A5242D"/>
    <w:rsid w:val="00A578C4"/>
    <w:rsid w:val="00A579B3"/>
    <w:rsid w:val="00A60151"/>
    <w:rsid w:val="00A60A3D"/>
    <w:rsid w:val="00A62689"/>
    <w:rsid w:val="00A62E42"/>
    <w:rsid w:val="00A63544"/>
    <w:rsid w:val="00A64A71"/>
    <w:rsid w:val="00A6662F"/>
    <w:rsid w:val="00A667B0"/>
    <w:rsid w:val="00A66BE7"/>
    <w:rsid w:val="00A676E5"/>
    <w:rsid w:val="00A71CBA"/>
    <w:rsid w:val="00A73E45"/>
    <w:rsid w:val="00A7648F"/>
    <w:rsid w:val="00A77657"/>
    <w:rsid w:val="00A80413"/>
    <w:rsid w:val="00A80866"/>
    <w:rsid w:val="00A80C5F"/>
    <w:rsid w:val="00A81C3D"/>
    <w:rsid w:val="00A82AA6"/>
    <w:rsid w:val="00A8660A"/>
    <w:rsid w:val="00A86BAA"/>
    <w:rsid w:val="00A8757A"/>
    <w:rsid w:val="00A90993"/>
    <w:rsid w:val="00A90F63"/>
    <w:rsid w:val="00A916A7"/>
    <w:rsid w:val="00A936AD"/>
    <w:rsid w:val="00A946F9"/>
    <w:rsid w:val="00A95B6F"/>
    <w:rsid w:val="00A96940"/>
    <w:rsid w:val="00A96B4F"/>
    <w:rsid w:val="00A9740A"/>
    <w:rsid w:val="00AA0912"/>
    <w:rsid w:val="00AA2B75"/>
    <w:rsid w:val="00AA2F8A"/>
    <w:rsid w:val="00AA547E"/>
    <w:rsid w:val="00AA5832"/>
    <w:rsid w:val="00AA5FB6"/>
    <w:rsid w:val="00AA603A"/>
    <w:rsid w:val="00AA6F34"/>
    <w:rsid w:val="00AA7E4D"/>
    <w:rsid w:val="00AB04CC"/>
    <w:rsid w:val="00AB0C47"/>
    <w:rsid w:val="00AB2121"/>
    <w:rsid w:val="00AB2B86"/>
    <w:rsid w:val="00AB317A"/>
    <w:rsid w:val="00AB3A6E"/>
    <w:rsid w:val="00AB4554"/>
    <w:rsid w:val="00AB4808"/>
    <w:rsid w:val="00AB4C6A"/>
    <w:rsid w:val="00AB5AF4"/>
    <w:rsid w:val="00AB5B46"/>
    <w:rsid w:val="00AB6B13"/>
    <w:rsid w:val="00AB6C0C"/>
    <w:rsid w:val="00AB7D2E"/>
    <w:rsid w:val="00AC000F"/>
    <w:rsid w:val="00AC107A"/>
    <w:rsid w:val="00AC11D2"/>
    <w:rsid w:val="00AC1259"/>
    <w:rsid w:val="00AC1714"/>
    <w:rsid w:val="00AC3C36"/>
    <w:rsid w:val="00AC4B62"/>
    <w:rsid w:val="00AC594E"/>
    <w:rsid w:val="00AC6E5E"/>
    <w:rsid w:val="00AD02D2"/>
    <w:rsid w:val="00AD15E2"/>
    <w:rsid w:val="00AD1694"/>
    <w:rsid w:val="00AD2E21"/>
    <w:rsid w:val="00AD2EE3"/>
    <w:rsid w:val="00AD47E5"/>
    <w:rsid w:val="00AE1749"/>
    <w:rsid w:val="00AE2E92"/>
    <w:rsid w:val="00AE2F90"/>
    <w:rsid w:val="00AE3C27"/>
    <w:rsid w:val="00AE4A16"/>
    <w:rsid w:val="00AE706E"/>
    <w:rsid w:val="00AF1467"/>
    <w:rsid w:val="00AF2447"/>
    <w:rsid w:val="00AF2F23"/>
    <w:rsid w:val="00AF3C1D"/>
    <w:rsid w:val="00AF434C"/>
    <w:rsid w:val="00AF5D79"/>
    <w:rsid w:val="00AF6C2A"/>
    <w:rsid w:val="00AF6E22"/>
    <w:rsid w:val="00B00652"/>
    <w:rsid w:val="00B008B2"/>
    <w:rsid w:val="00B00EA5"/>
    <w:rsid w:val="00B00F70"/>
    <w:rsid w:val="00B017B8"/>
    <w:rsid w:val="00B01A42"/>
    <w:rsid w:val="00B01ACA"/>
    <w:rsid w:val="00B02405"/>
    <w:rsid w:val="00B0444F"/>
    <w:rsid w:val="00B050FE"/>
    <w:rsid w:val="00B05714"/>
    <w:rsid w:val="00B0658D"/>
    <w:rsid w:val="00B11111"/>
    <w:rsid w:val="00B12654"/>
    <w:rsid w:val="00B1496C"/>
    <w:rsid w:val="00B15077"/>
    <w:rsid w:val="00B159C4"/>
    <w:rsid w:val="00B1679A"/>
    <w:rsid w:val="00B169E5"/>
    <w:rsid w:val="00B16D71"/>
    <w:rsid w:val="00B2128D"/>
    <w:rsid w:val="00B22B26"/>
    <w:rsid w:val="00B2352E"/>
    <w:rsid w:val="00B23D7D"/>
    <w:rsid w:val="00B2404B"/>
    <w:rsid w:val="00B304A9"/>
    <w:rsid w:val="00B3082F"/>
    <w:rsid w:val="00B3087A"/>
    <w:rsid w:val="00B30E49"/>
    <w:rsid w:val="00B3149D"/>
    <w:rsid w:val="00B31582"/>
    <w:rsid w:val="00B31E59"/>
    <w:rsid w:val="00B32A1A"/>
    <w:rsid w:val="00B32E63"/>
    <w:rsid w:val="00B34E91"/>
    <w:rsid w:val="00B352BE"/>
    <w:rsid w:val="00B3671C"/>
    <w:rsid w:val="00B367C4"/>
    <w:rsid w:val="00B36E6F"/>
    <w:rsid w:val="00B37F99"/>
    <w:rsid w:val="00B40712"/>
    <w:rsid w:val="00B40C89"/>
    <w:rsid w:val="00B411B2"/>
    <w:rsid w:val="00B4390D"/>
    <w:rsid w:val="00B4513F"/>
    <w:rsid w:val="00B45171"/>
    <w:rsid w:val="00B4590C"/>
    <w:rsid w:val="00B45945"/>
    <w:rsid w:val="00B47D50"/>
    <w:rsid w:val="00B50E92"/>
    <w:rsid w:val="00B50F3F"/>
    <w:rsid w:val="00B51A27"/>
    <w:rsid w:val="00B5284D"/>
    <w:rsid w:val="00B52AC1"/>
    <w:rsid w:val="00B53A19"/>
    <w:rsid w:val="00B56882"/>
    <w:rsid w:val="00B57EBC"/>
    <w:rsid w:val="00B605BF"/>
    <w:rsid w:val="00B61CA6"/>
    <w:rsid w:val="00B6242C"/>
    <w:rsid w:val="00B625D9"/>
    <w:rsid w:val="00B62DBB"/>
    <w:rsid w:val="00B62EB9"/>
    <w:rsid w:val="00B638E9"/>
    <w:rsid w:val="00B63967"/>
    <w:rsid w:val="00B6671F"/>
    <w:rsid w:val="00B67A8A"/>
    <w:rsid w:val="00B67D8F"/>
    <w:rsid w:val="00B71781"/>
    <w:rsid w:val="00B71981"/>
    <w:rsid w:val="00B7210F"/>
    <w:rsid w:val="00B72966"/>
    <w:rsid w:val="00B72DD8"/>
    <w:rsid w:val="00B74448"/>
    <w:rsid w:val="00B770FF"/>
    <w:rsid w:val="00B77209"/>
    <w:rsid w:val="00B80DFF"/>
    <w:rsid w:val="00B819DB"/>
    <w:rsid w:val="00B81ECD"/>
    <w:rsid w:val="00B82287"/>
    <w:rsid w:val="00B826FD"/>
    <w:rsid w:val="00B828A1"/>
    <w:rsid w:val="00B82EF9"/>
    <w:rsid w:val="00B835BC"/>
    <w:rsid w:val="00B83B3C"/>
    <w:rsid w:val="00B85F47"/>
    <w:rsid w:val="00B866EC"/>
    <w:rsid w:val="00B87927"/>
    <w:rsid w:val="00B904F2"/>
    <w:rsid w:val="00B907C1"/>
    <w:rsid w:val="00B92619"/>
    <w:rsid w:val="00B92A15"/>
    <w:rsid w:val="00B9389E"/>
    <w:rsid w:val="00B94B89"/>
    <w:rsid w:val="00B955D3"/>
    <w:rsid w:val="00B95FEC"/>
    <w:rsid w:val="00B96074"/>
    <w:rsid w:val="00B96681"/>
    <w:rsid w:val="00BA161D"/>
    <w:rsid w:val="00BA2C63"/>
    <w:rsid w:val="00BA3C29"/>
    <w:rsid w:val="00BA48BC"/>
    <w:rsid w:val="00BA608B"/>
    <w:rsid w:val="00BA7110"/>
    <w:rsid w:val="00BA7701"/>
    <w:rsid w:val="00BB228B"/>
    <w:rsid w:val="00BB43F5"/>
    <w:rsid w:val="00BB51F6"/>
    <w:rsid w:val="00BB70A0"/>
    <w:rsid w:val="00BB77FF"/>
    <w:rsid w:val="00BC17C4"/>
    <w:rsid w:val="00BC1DE1"/>
    <w:rsid w:val="00BC1DED"/>
    <w:rsid w:val="00BC1F01"/>
    <w:rsid w:val="00BC2370"/>
    <w:rsid w:val="00BC2CE5"/>
    <w:rsid w:val="00BC2D05"/>
    <w:rsid w:val="00BC3A3B"/>
    <w:rsid w:val="00BC5B01"/>
    <w:rsid w:val="00BD01CD"/>
    <w:rsid w:val="00BD0BAB"/>
    <w:rsid w:val="00BD1F2E"/>
    <w:rsid w:val="00BD2941"/>
    <w:rsid w:val="00BD5650"/>
    <w:rsid w:val="00BD6CD0"/>
    <w:rsid w:val="00BD79BF"/>
    <w:rsid w:val="00BD7EAC"/>
    <w:rsid w:val="00BE04BE"/>
    <w:rsid w:val="00BE0AF7"/>
    <w:rsid w:val="00BE1BE0"/>
    <w:rsid w:val="00BE2693"/>
    <w:rsid w:val="00BE3911"/>
    <w:rsid w:val="00BE426E"/>
    <w:rsid w:val="00BE4DE6"/>
    <w:rsid w:val="00BE7AC3"/>
    <w:rsid w:val="00BF0401"/>
    <w:rsid w:val="00BF39BD"/>
    <w:rsid w:val="00BF4256"/>
    <w:rsid w:val="00BF5526"/>
    <w:rsid w:val="00BF675A"/>
    <w:rsid w:val="00BF7A82"/>
    <w:rsid w:val="00BF7D6B"/>
    <w:rsid w:val="00C0122D"/>
    <w:rsid w:val="00C022DB"/>
    <w:rsid w:val="00C0272A"/>
    <w:rsid w:val="00C02853"/>
    <w:rsid w:val="00C02A5B"/>
    <w:rsid w:val="00C03B4E"/>
    <w:rsid w:val="00C044DB"/>
    <w:rsid w:val="00C05ED3"/>
    <w:rsid w:val="00C066F2"/>
    <w:rsid w:val="00C10FD6"/>
    <w:rsid w:val="00C1177D"/>
    <w:rsid w:val="00C129B7"/>
    <w:rsid w:val="00C13DCE"/>
    <w:rsid w:val="00C14104"/>
    <w:rsid w:val="00C14E85"/>
    <w:rsid w:val="00C17032"/>
    <w:rsid w:val="00C17517"/>
    <w:rsid w:val="00C17874"/>
    <w:rsid w:val="00C21829"/>
    <w:rsid w:val="00C239E4"/>
    <w:rsid w:val="00C249FD"/>
    <w:rsid w:val="00C25210"/>
    <w:rsid w:val="00C25B35"/>
    <w:rsid w:val="00C25F71"/>
    <w:rsid w:val="00C272EA"/>
    <w:rsid w:val="00C27989"/>
    <w:rsid w:val="00C27C7C"/>
    <w:rsid w:val="00C27E81"/>
    <w:rsid w:val="00C300E9"/>
    <w:rsid w:val="00C30297"/>
    <w:rsid w:val="00C31389"/>
    <w:rsid w:val="00C31558"/>
    <w:rsid w:val="00C32CFE"/>
    <w:rsid w:val="00C3305A"/>
    <w:rsid w:val="00C339BD"/>
    <w:rsid w:val="00C348E0"/>
    <w:rsid w:val="00C34913"/>
    <w:rsid w:val="00C3634B"/>
    <w:rsid w:val="00C36CD6"/>
    <w:rsid w:val="00C3724D"/>
    <w:rsid w:val="00C377E8"/>
    <w:rsid w:val="00C37D2E"/>
    <w:rsid w:val="00C44264"/>
    <w:rsid w:val="00C448C5"/>
    <w:rsid w:val="00C44C7C"/>
    <w:rsid w:val="00C46012"/>
    <w:rsid w:val="00C46759"/>
    <w:rsid w:val="00C467BC"/>
    <w:rsid w:val="00C467D2"/>
    <w:rsid w:val="00C47E4C"/>
    <w:rsid w:val="00C51095"/>
    <w:rsid w:val="00C5254C"/>
    <w:rsid w:val="00C5348D"/>
    <w:rsid w:val="00C5489F"/>
    <w:rsid w:val="00C54E4E"/>
    <w:rsid w:val="00C55A1C"/>
    <w:rsid w:val="00C55A6C"/>
    <w:rsid w:val="00C562BA"/>
    <w:rsid w:val="00C56F70"/>
    <w:rsid w:val="00C56FC6"/>
    <w:rsid w:val="00C577DE"/>
    <w:rsid w:val="00C57E2C"/>
    <w:rsid w:val="00C60409"/>
    <w:rsid w:val="00C60DA1"/>
    <w:rsid w:val="00C62291"/>
    <w:rsid w:val="00C63C46"/>
    <w:rsid w:val="00C64006"/>
    <w:rsid w:val="00C642C0"/>
    <w:rsid w:val="00C64D33"/>
    <w:rsid w:val="00C657F3"/>
    <w:rsid w:val="00C65C7C"/>
    <w:rsid w:val="00C663AB"/>
    <w:rsid w:val="00C66AF8"/>
    <w:rsid w:val="00C70163"/>
    <w:rsid w:val="00C70B9B"/>
    <w:rsid w:val="00C711EB"/>
    <w:rsid w:val="00C71D5B"/>
    <w:rsid w:val="00C7236E"/>
    <w:rsid w:val="00C725DD"/>
    <w:rsid w:val="00C72977"/>
    <w:rsid w:val="00C72DB8"/>
    <w:rsid w:val="00C7408F"/>
    <w:rsid w:val="00C7437B"/>
    <w:rsid w:val="00C75A83"/>
    <w:rsid w:val="00C765D3"/>
    <w:rsid w:val="00C765DF"/>
    <w:rsid w:val="00C7668D"/>
    <w:rsid w:val="00C77527"/>
    <w:rsid w:val="00C8093F"/>
    <w:rsid w:val="00C80F10"/>
    <w:rsid w:val="00C81B7E"/>
    <w:rsid w:val="00C82FE6"/>
    <w:rsid w:val="00C83700"/>
    <w:rsid w:val="00C84C03"/>
    <w:rsid w:val="00C84DB5"/>
    <w:rsid w:val="00C85156"/>
    <w:rsid w:val="00C85314"/>
    <w:rsid w:val="00C85376"/>
    <w:rsid w:val="00C86779"/>
    <w:rsid w:val="00C86E07"/>
    <w:rsid w:val="00C87503"/>
    <w:rsid w:val="00C87989"/>
    <w:rsid w:val="00C9087D"/>
    <w:rsid w:val="00C92D73"/>
    <w:rsid w:val="00C93B5F"/>
    <w:rsid w:val="00CA0076"/>
    <w:rsid w:val="00CA1A98"/>
    <w:rsid w:val="00CA1E49"/>
    <w:rsid w:val="00CA22E2"/>
    <w:rsid w:val="00CA46D6"/>
    <w:rsid w:val="00CA4BC0"/>
    <w:rsid w:val="00CA58F4"/>
    <w:rsid w:val="00CA790A"/>
    <w:rsid w:val="00CB0012"/>
    <w:rsid w:val="00CB09E3"/>
    <w:rsid w:val="00CB1043"/>
    <w:rsid w:val="00CB313B"/>
    <w:rsid w:val="00CB3B9C"/>
    <w:rsid w:val="00CB3E19"/>
    <w:rsid w:val="00CB4342"/>
    <w:rsid w:val="00CB4484"/>
    <w:rsid w:val="00CB4990"/>
    <w:rsid w:val="00CB5443"/>
    <w:rsid w:val="00CB587E"/>
    <w:rsid w:val="00CB5FBB"/>
    <w:rsid w:val="00CB66F6"/>
    <w:rsid w:val="00CB6ADC"/>
    <w:rsid w:val="00CB7EE6"/>
    <w:rsid w:val="00CC03BE"/>
    <w:rsid w:val="00CC1369"/>
    <w:rsid w:val="00CC16DB"/>
    <w:rsid w:val="00CC1976"/>
    <w:rsid w:val="00CC278F"/>
    <w:rsid w:val="00CC27E3"/>
    <w:rsid w:val="00CC296D"/>
    <w:rsid w:val="00CC2E5E"/>
    <w:rsid w:val="00CC367E"/>
    <w:rsid w:val="00CC3DD8"/>
    <w:rsid w:val="00CC4537"/>
    <w:rsid w:val="00CC521A"/>
    <w:rsid w:val="00CC559D"/>
    <w:rsid w:val="00CC683C"/>
    <w:rsid w:val="00CD1404"/>
    <w:rsid w:val="00CD14F0"/>
    <w:rsid w:val="00CD1AFB"/>
    <w:rsid w:val="00CD1ED8"/>
    <w:rsid w:val="00CD1F3C"/>
    <w:rsid w:val="00CD308B"/>
    <w:rsid w:val="00CD3B11"/>
    <w:rsid w:val="00CD5E8E"/>
    <w:rsid w:val="00CD654B"/>
    <w:rsid w:val="00CD6BD4"/>
    <w:rsid w:val="00CE0E7A"/>
    <w:rsid w:val="00CE17D2"/>
    <w:rsid w:val="00CE1AC3"/>
    <w:rsid w:val="00CE223E"/>
    <w:rsid w:val="00CE4363"/>
    <w:rsid w:val="00CE5906"/>
    <w:rsid w:val="00CE5B00"/>
    <w:rsid w:val="00CE5B0C"/>
    <w:rsid w:val="00CE782D"/>
    <w:rsid w:val="00CE7964"/>
    <w:rsid w:val="00CF384D"/>
    <w:rsid w:val="00CF4AED"/>
    <w:rsid w:val="00CF4CD5"/>
    <w:rsid w:val="00CF51E1"/>
    <w:rsid w:val="00CF5415"/>
    <w:rsid w:val="00CF57BA"/>
    <w:rsid w:val="00D00384"/>
    <w:rsid w:val="00D022BD"/>
    <w:rsid w:val="00D02A23"/>
    <w:rsid w:val="00D02BA0"/>
    <w:rsid w:val="00D04145"/>
    <w:rsid w:val="00D045D1"/>
    <w:rsid w:val="00D061DE"/>
    <w:rsid w:val="00D07BA1"/>
    <w:rsid w:val="00D111B9"/>
    <w:rsid w:val="00D11EF2"/>
    <w:rsid w:val="00D137BC"/>
    <w:rsid w:val="00D1437C"/>
    <w:rsid w:val="00D143D1"/>
    <w:rsid w:val="00D145F5"/>
    <w:rsid w:val="00D16069"/>
    <w:rsid w:val="00D2107C"/>
    <w:rsid w:val="00D21195"/>
    <w:rsid w:val="00D21574"/>
    <w:rsid w:val="00D21843"/>
    <w:rsid w:val="00D21957"/>
    <w:rsid w:val="00D21AC8"/>
    <w:rsid w:val="00D236A7"/>
    <w:rsid w:val="00D23E42"/>
    <w:rsid w:val="00D24116"/>
    <w:rsid w:val="00D2563B"/>
    <w:rsid w:val="00D265E3"/>
    <w:rsid w:val="00D26777"/>
    <w:rsid w:val="00D26888"/>
    <w:rsid w:val="00D27B29"/>
    <w:rsid w:val="00D27E13"/>
    <w:rsid w:val="00D31C10"/>
    <w:rsid w:val="00D322B6"/>
    <w:rsid w:val="00D32581"/>
    <w:rsid w:val="00D334BC"/>
    <w:rsid w:val="00D346A9"/>
    <w:rsid w:val="00D35554"/>
    <w:rsid w:val="00D355F0"/>
    <w:rsid w:val="00D35C50"/>
    <w:rsid w:val="00D36090"/>
    <w:rsid w:val="00D36485"/>
    <w:rsid w:val="00D4287D"/>
    <w:rsid w:val="00D43CD2"/>
    <w:rsid w:val="00D45AF8"/>
    <w:rsid w:val="00D4607E"/>
    <w:rsid w:val="00D472BA"/>
    <w:rsid w:val="00D472D0"/>
    <w:rsid w:val="00D5019B"/>
    <w:rsid w:val="00D51C05"/>
    <w:rsid w:val="00D5232A"/>
    <w:rsid w:val="00D537A0"/>
    <w:rsid w:val="00D544B7"/>
    <w:rsid w:val="00D54988"/>
    <w:rsid w:val="00D5522F"/>
    <w:rsid w:val="00D5638B"/>
    <w:rsid w:val="00D56433"/>
    <w:rsid w:val="00D564AD"/>
    <w:rsid w:val="00D607D3"/>
    <w:rsid w:val="00D60EDD"/>
    <w:rsid w:val="00D613B9"/>
    <w:rsid w:val="00D61784"/>
    <w:rsid w:val="00D619B3"/>
    <w:rsid w:val="00D65041"/>
    <w:rsid w:val="00D65447"/>
    <w:rsid w:val="00D71DB3"/>
    <w:rsid w:val="00D7213E"/>
    <w:rsid w:val="00D732A9"/>
    <w:rsid w:val="00D73700"/>
    <w:rsid w:val="00D7514E"/>
    <w:rsid w:val="00D755A7"/>
    <w:rsid w:val="00D7562B"/>
    <w:rsid w:val="00D7726C"/>
    <w:rsid w:val="00D8240A"/>
    <w:rsid w:val="00D83253"/>
    <w:rsid w:val="00D83BD9"/>
    <w:rsid w:val="00D8430C"/>
    <w:rsid w:val="00D8479F"/>
    <w:rsid w:val="00D86488"/>
    <w:rsid w:val="00D8711C"/>
    <w:rsid w:val="00D8766E"/>
    <w:rsid w:val="00D90152"/>
    <w:rsid w:val="00D90660"/>
    <w:rsid w:val="00D93370"/>
    <w:rsid w:val="00D94306"/>
    <w:rsid w:val="00D95FB9"/>
    <w:rsid w:val="00D96FCC"/>
    <w:rsid w:val="00DA00FC"/>
    <w:rsid w:val="00DA07E6"/>
    <w:rsid w:val="00DA17D5"/>
    <w:rsid w:val="00DA201C"/>
    <w:rsid w:val="00DA2851"/>
    <w:rsid w:val="00DA333B"/>
    <w:rsid w:val="00DA3F3C"/>
    <w:rsid w:val="00DA5D42"/>
    <w:rsid w:val="00DA5D4F"/>
    <w:rsid w:val="00DA686B"/>
    <w:rsid w:val="00DA7BC4"/>
    <w:rsid w:val="00DB08FB"/>
    <w:rsid w:val="00DB0BB1"/>
    <w:rsid w:val="00DB1725"/>
    <w:rsid w:val="00DB37AC"/>
    <w:rsid w:val="00DB3DEC"/>
    <w:rsid w:val="00DB49C7"/>
    <w:rsid w:val="00DB6673"/>
    <w:rsid w:val="00DB6F5C"/>
    <w:rsid w:val="00DB72F1"/>
    <w:rsid w:val="00DB7F09"/>
    <w:rsid w:val="00DC00E8"/>
    <w:rsid w:val="00DC0CB1"/>
    <w:rsid w:val="00DC2169"/>
    <w:rsid w:val="00DC3E69"/>
    <w:rsid w:val="00DC4943"/>
    <w:rsid w:val="00DC6A46"/>
    <w:rsid w:val="00DC6D33"/>
    <w:rsid w:val="00DC6ED3"/>
    <w:rsid w:val="00DC7350"/>
    <w:rsid w:val="00DC7635"/>
    <w:rsid w:val="00DD11D9"/>
    <w:rsid w:val="00DD20F7"/>
    <w:rsid w:val="00DD3BCB"/>
    <w:rsid w:val="00DD45ED"/>
    <w:rsid w:val="00DD47AC"/>
    <w:rsid w:val="00DE052A"/>
    <w:rsid w:val="00DE0801"/>
    <w:rsid w:val="00DE16DF"/>
    <w:rsid w:val="00DE1AE4"/>
    <w:rsid w:val="00DE1B01"/>
    <w:rsid w:val="00DE2C5E"/>
    <w:rsid w:val="00DE2E57"/>
    <w:rsid w:val="00DE3147"/>
    <w:rsid w:val="00DE65F1"/>
    <w:rsid w:val="00DE69B1"/>
    <w:rsid w:val="00DE77A8"/>
    <w:rsid w:val="00DE7D2D"/>
    <w:rsid w:val="00DF0D5A"/>
    <w:rsid w:val="00DF0F81"/>
    <w:rsid w:val="00DF15BE"/>
    <w:rsid w:val="00DF1AC3"/>
    <w:rsid w:val="00DF1F18"/>
    <w:rsid w:val="00DF2738"/>
    <w:rsid w:val="00DF30E0"/>
    <w:rsid w:val="00DF5DD7"/>
    <w:rsid w:val="00DF6EF4"/>
    <w:rsid w:val="00E0092A"/>
    <w:rsid w:val="00E01204"/>
    <w:rsid w:val="00E021F0"/>
    <w:rsid w:val="00E04DD6"/>
    <w:rsid w:val="00E057BA"/>
    <w:rsid w:val="00E05B74"/>
    <w:rsid w:val="00E05F9C"/>
    <w:rsid w:val="00E06C02"/>
    <w:rsid w:val="00E07AC2"/>
    <w:rsid w:val="00E07E56"/>
    <w:rsid w:val="00E104F2"/>
    <w:rsid w:val="00E10D39"/>
    <w:rsid w:val="00E1136B"/>
    <w:rsid w:val="00E1168C"/>
    <w:rsid w:val="00E118B8"/>
    <w:rsid w:val="00E141DC"/>
    <w:rsid w:val="00E154E4"/>
    <w:rsid w:val="00E15B3A"/>
    <w:rsid w:val="00E16683"/>
    <w:rsid w:val="00E20EF6"/>
    <w:rsid w:val="00E21BA9"/>
    <w:rsid w:val="00E22D51"/>
    <w:rsid w:val="00E22DD9"/>
    <w:rsid w:val="00E234EB"/>
    <w:rsid w:val="00E24A7D"/>
    <w:rsid w:val="00E24D53"/>
    <w:rsid w:val="00E26DDE"/>
    <w:rsid w:val="00E30AE3"/>
    <w:rsid w:val="00E30CC8"/>
    <w:rsid w:val="00E30E41"/>
    <w:rsid w:val="00E31007"/>
    <w:rsid w:val="00E31B4D"/>
    <w:rsid w:val="00E32EFC"/>
    <w:rsid w:val="00E3392D"/>
    <w:rsid w:val="00E33C6F"/>
    <w:rsid w:val="00E3437F"/>
    <w:rsid w:val="00E344C9"/>
    <w:rsid w:val="00E3552D"/>
    <w:rsid w:val="00E35E7B"/>
    <w:rsid w:val="00E35FA1"/>
    <w:rsid w:val="00E361C8"/>
    <w:rsid w:val="00E3661D"/>
    <w:rsid w:val="00E366B9"/>
    <w:rsid w:val="00E4019B"/>
    <w:rsid w:val="00E41653"/>
    <w:rsid w:val="00E429C9"/>
    <w:rsid w:val="00E42D8B"/>
    <w:rsid w:val="00E43B6C"/>
    <w:rsid w:val="00E43E01"/>
    <w:rsid w:val="00E44BA5"/>
    <w:rsid w:val="00E47544"/>
    <w:rsid w:val="00E477F7"/>
    <w:rsid w:val="00E50846"/>
    <w:rsid w:val="00E50BCB"/>
    <w:rsid w:val="00E50D8C"/>
    <w:rsid w:val="00E50E7C"/>
    <w:rsid w:val="00E51545"/>
    <w:rsid w:val="00E528E2"/>
    <w:rsid w:val="00E52AFF"/>
    <w:rsid w:val="00E54057"/>
    <w:rsid w:val="00E55326"/>
    <w:rsid w:val="00E557A4"/>
    <w:rsid w:val="00E55C32"/>
    <w:rsid w:val="00E56107"/>
    <w:rsid w:val="00E57F74"/>
    <w:rsid w:val="00E61BDF"/>
    <w:rsid w:val="00E625CA"/>
    <w:rsid w:val="00E62E9B"/>
    <w:rsid w:val="00E63365"/>
    <w:rsid w:val="00E6430B"/>
    <w:rsid w:val="00E64324"/>
    <w:rsid w:val="00E65CE4"/>
    <w:rsid w:val="00E66EED"/>
    <w:rsid w:val="00E7057D"/>
    <w:rsid w:val="00E70AB1"/>
    <w:rsid w:val="00E70CD2"/>
    <w:rsid w:val="00E711D7"/>
    <w:rsid w:val="00E72340"/>
    <w:rsid w:val="00E738B7"/>
    <w:rsid w:val="00E76773"/>
    <w:rsid w:val="00E76BCF"/>
    <w:rsid w:val="00E76C39"/>
    <w:rsid w:val="00E81D49"/>
    <w:rsid w:val="00E84555"/>
    <w:rsid w:val="00E84F01"/>
    <w:rsid w:val="00E85123"/>
    <w:rsid w:val="00E85A56"/>
    <w:rsid w:val="00E85FBA"/>
    <w:rsid w:val="00E8604C"/>
    <w:rsid w:val="00E873E4"/>
    <w:rsid w:val="00E87850"/>
    <w:rsid w:val="00E87CCC"/>
    <w:rsid w:val="00E87D7F"/>
    <w:rsid w:val="00E902B0"/>
    <w:rsid w:val="00E902E8"/>
    <w:rsid w:val="00E916CD"/>
    <w:rsid w:val="00E91C35"/>
    <w:rsid w:val="00E91DEB"/>
    <w:rsid w:val="00E926FB"/>
    <w:rsid w:val="00E9298D"/>
    <w:rsid w:val="00E92F8D"/>
    <w:rsid w:val="00E933E6"/>
    <w:rsid w:val="00E93B6E"/>
    <w:rsid w:val="00E9409C"/>
    <w:rsid w:val="00E94251"/>
    <w:rsid w:val="00E94F31"/>
    <w:rsid w:val="00E9523F"/>
    <w:rsid w:val="00E95606"/>
    <w:rsid w:val="00E97529"/>
    <w:rsid w:val="00E977BD"/>
    <w:rsid w:val="00E97995"/>
    <w:rsid w:val="00EA012B"/>
    <w:rsid w:val="00EA0486"/>
    <w:rsid w:val="00EA213E"/>
    <w:rsid w:val="00EA362F"/>
    <w:rsid w:val="00EA3F3B"/>
    <w:rsid w:val="00EA4879"/>
    <w:rsid w:val="00EA4F65"/>
    <w:rsid w:val="00EA6067"/>
    <w:rsid w:val="00EA645E"/>
    <w:rsid w:val="00EA69F8"/>
    <w:rsid w:val="00EA761B"/>
    <w:rsid w:val="00EA77D1"/>
    <w:rsid w:val="00EA78B6"/>
    <w:rsid w:val="00EB030F"/>
    <w:rsid w:val="00EB102D"/>
    <w:rsid w:val="00EB1460"/>
    <w:rsid w:val="00EB23EA"/>
    <w:rsid w:val="00EB33AD"/>
    <w:rsid w:val="00EB4019"/>
    <w:rsid w:val="00EB58B8"/>
    <w:rsid w:val="00EB7529"/>
    <w:rsid w:val="00EC0EF7"/>
    <w:rsid w:val="00EC12B6"/>
    <w:rsid w:val="00EC1F9F"/>
    <w:rsid w:val="00EC289A"/>
    <w:rsid w:val="00EC39DA"/>
    <w:rsid w:val="00EC3CF3"/>
    <w:rsid w:val="00EC3DBD"/>
    <w:rsid w:val="00EC50CE"/>
    <w:rsid w:val="00EC6B16"/>
    <w:rsid w:val="00EC7967"/>
    <w:rsid w:val="00EC79E5"/>
    <w:rsid w:val="00ED0937"/>
    <w:rsid w:val="00ED4F9A"/>
    <w:rsid w:val="00ED60B8"/>
    <w:rsid w:val="00ED6F57"/>
    <w:rsid w:val="00EE1B05"/>
    <w:rsid w:val="00EE1C08"/>
    <w:rsid w:val="00EE1D46"/>
    <w:rsid w:val="00EE2EB2"/>
    <w:rsid w:val="00EE38E9"/>
    <w:rsid w:val="00EE551A"/>
    <w:rsid w:val="00EE5B4C"/>
    <w:rsid w:val="00EE6547"/>
    <w:rsid w:val="00EE677F"/>
    <w:rsid w:val="00EE6907"/>
    <w:rsid w:val="00EE6917"/>
    <w:rsid w:val="00EE7B29"/>
    <w:rsid w:val="00EF213B"/>
    <w:rsid w:val="00EF22CA"/>
    <w:rsid w:val="00EF2A46"/>
    <w:rsid w:val="00EF2CC7"/>
    <w:rsid w:val="00EF2FBF"/>
    <w:rsid w:val="00EF45BE"/>
    <w:rsid w:val="00EF4BDF"/>
    <w:rsid w:val="00EF57EF"/>
    <w:rsid w:val="00EF5B3F"/>
    <w:rsid w:val="00EF6E2A"/>
    <w:rsid w:val="00EF792A"/>
    <w:rsid w:val="00EF7DF3"/>
    <w:rsid w:val="00F0082D"/>
    <w:rsid w:val="00F0107D"/>
    <w:rsid w:val="00F01C71"/>
    <w:rsid w:val="00F02185"/>
    <w:rsid w:val="00F021CE"/>
    <w:rsid w:val="00F028C9"/>
    <w:rsid w:val="00F02A2F"/>
    <w:rsid w:val="00F03861"/>
    <w:rsid w:val="00F04D3E"/>
    <w:rsid w:val="00F050D0"/>
    <w:rsid w:val="00F06556"/>
    <w:rsid w:val="00F0771F"/>
    <w:rsid w:val="00F07AF1"/>
    <w:rsid w:val="00F07C90"/>
    <w:rsid w:val="00F11323"/>
    <w:rsid w:val="00F117D4"/>
    <w:rsid w:val="00F11E79"/>
    <w:rsid w:val="00F12731"/>
    <w:rsid w:val="00F14555"/>
    <w:rsid w:val="00F177C8"/>
    <w:rsid w:val="00F20469"/>
    <w:rsid w:val="00F21066"/>
    <w:rsid w:val="00F21473"/>
    <w:rsid w:val="00F2189F"/>
    <w:rsid w:val="00F221DB"/>
    <w:rsid w:val="00F236E9"/>
    <w:rsid w:val="00F244C0"/>
    <w:rsid w:val="00F247BA"/>
    <w:rsid w:val="00F2539A"/>
    <w:rsid w:val="00F272CC"/>
    <w:rsid w:val="00F31787"/>
    <w:rsid w:val="00F31836"/>
    <w:rsid w:val="00F31BD9"/>
    <w:rsid w:val="00F33589"/>
    <w:rsid w:val="00F3388F"/>
    <w:rsid w:val="00F343D0"/>
    <w:rsid w:val="00F34B12"/>
    <w:rsid w:val="00F34E8B"/>
    <w:rsid w:val="00F3607F"/>
    <w:rsid w:val="00F367B9"/>
    <w:rsid w:val="00F36F32"/>
    <w:rsid w:val="00F37370"/>
    <w:rsid w:val="00F405FA"/>
    <w:rsid w:val="00F44156"/>
    <w:rsid w:val="00F446D0"/>
    <w:rsid w:val="00F44C1A"/>
    <w:rsid w:val="00F44C6F"/>
    <w:rsid w:val="00F479B9"/>
    <w:rsid w:val="00F47D18"/>
    <w:rsid w:val="00F50ABB"/>
    <w:rsid w:val="00F50FD0"/>
    <w:rsid w:val="00F5102D"/>
    <w:rsid w:val="00F51FA9"/>
    <w:rsid w:val="00F53230"/>
    <w:rsid w:val="00F53816"/>
    <w:rsid w:val="00F5497F"/>
    <w:rsid w:val="00F5547D"/>
    <w:rsid w:val="00F565D7"/>
    <w:rsid w:val="00F56EED"/>
    <w:rsid w:val="00F57859"/>
    <w:rsid w:val="00F600A9"/>
    <w:rsid w:val="00F60D55"/>
    <w:rsid w:val="00F60E5E"/>
    <w:rsid w:val="00F61B18"/>
    <w:rsid w:val="00F62ED2"/>
    <w:rsid w:val="00F66799"/>
    <w:rsid w:val="00F66B9F"/>
    <w:rsid w:val="00F71110"/>
    <w:rsid w:val="00F71A0E"/>
    <w:rsid w:val="00F7452C"/>
    <w:rsid w:val="00F74599"/>
    <w:rsid w:val="00F750A3"/>
    <w:rsid w:val="00F754C2"/>
    <w:rsid w:val="00F75947"/>
    <w:rsid w:val="00F77715"/>
    <w:rsid w:val="00F7773D"/>
    <w:rsid w:val="00F81833"/>
    <w:rsid w:val="00F82BCF"/>
    <w:rsid w:val="00F83F00"/>
    <w:rsid w:val="00F841E0"/>
    <w:rsid w:val="00F84F5C"/>
    <w:rsid w:val="00F854E7"/>
    <w:rsid w:val="00F863BB"/>
    <w:rsid w:val="00F87B49"/>
    <w:rsid w:val="00F9074B"/>
    <w:rsid w:val="00F90974"/>
    <w:rsid w:val="00F91DB4"/>
    <w:rsid w:val="00F92279"/>
    <w:rsid w:val="00F9336E"/>
    <w:rsid w:val="00F944BC"/>
    <w:rsid w:val="00F9489D"/>
    <w:rsid w:val="00F958D9"/>
    <w:rsid w:val="00F96CD2"/>
    <w:rsid w:val="00FA09CC"/>
    <w:rsid w:val="00FA2C29"/>
    <w:rsid w:val="00FA3728"/>
    <w:rsid w:val="00FA4267"/>
    <w:rsid w:val="00FA47C7"/>
    <w:rsid w:val="00FA525F"/>
    <w:rsid w:val="00FA541A"/>
    <w:rsid w:val="00FA6426"/>
    <w:rsid w:val="00FA66F9"/>
    <w:rsid w:val="00FB1DE3"/>
    <w:rsid w:val="00FB4936"/>
    <w:rsid w:val="00FB4B06"/>
    <w:rsid w:val="00FB60DE"/>
    <w:rsid w:val="00FB64AA"/>
    <w:rsid w:val="00FB762D"/>
    <w:rsid w:val="00FC0B74"/>
    <w:rsid w:val="00FC12C4"/>
    <w:rsid w:val="00FC1846"/>
    <w:rsid w:val="00FC2AD8"/>
    <w:rsid w:val="00FC5231"/>
    <w:rsid w:val="00FC5864"/>
    <w:rsid w:val="00FC6ADA"/>
    <w:rsid w:val="00FD0E4C"/>
    <w:rsid w:val="00FD30CD"/>
    <w:rsid w:val="00FD43AB"/>
    <w:rsid w:val="00FD4656"/>
    <w:rsid w:val="00FD575E"/>
    <w:rsid w:val="00FD6D53"/>
    <w:rsid w:val="00FE05AF"/>
    <w:rsid w:val="00FE2362"/>
    <w:rsid w:val="00FE261D"/>
    <w:rsid w:val="00FE3A26"/>
    <w:rsid w:val="00FE3A63"/>
    <w:rsid w:val="00FE5288"/>
    <w:rsid w:val="00FE66FC"/>
    <w:rsid w:val="00FE7A7A"/>
    <w:rsid w:val="00FF0106"/>
    <w:rsid w:val="00FF0675"/>
    <w:rsid w:val="00FF115D"/>
    <w:rsid w:val="00FF14FB"/>
    <w:rsid w:val="00FF188F"/>
    <w:rsid w:val="00FF1D51"/>
    <w:rsid w:val="00FF2234"/>
    <w:rsid w:val="00FF2260"/>
    <w:rsid w:val="00FF359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6F343DB"/>
  <w15:docId w15:val="{B95DB831-2F4F-479F-B124-A917E5A64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9"/>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9"/>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0"/>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UnresolvedMention">
    <w:name w:val="Unresolved Mention"/>
    <w:basedOn w:val="DefaultParagraphFont"/>
    <w:uiPriority w:val="99"/>
    <w:semiHidden/>
    <w:unhideWhenUsed/>
    <w:rsid w:val="009E5BCC"/>
    <w:rPr>
      <w:color w:val="605E5C"/>
      <w:shd w:val="clear" w:color="auto" w:fill="E1DFDD"/>
    </w:rPr>
  </w:style>
  <w:style w:type="paragraph" w:styleId="Caption">
    <w:name w:val="caption"/>
    <w:basedOn w:val="Normal"/>
    <w:next w:val="Normal"/>
    <w:uiPriority w:val="35"/>
    <w:unhideWhenUsed/>
    <w:qFormat/>
    <w:rsid w:val="00A2064C"/>
    <w:pPr>
      <w:spacing w:before="0" w:after="200"/>
    </w:pPr>
    <w:rPr>
      <w:i/>
      <w:iCs/>
      <w:color w:val="5F5F5F" w:themeColor="text2"/>
      <w:sz w:val="18"/>
      <w:szCs w:val="18"/>
    </w:rPr>
  </w:style>
  <w:style w:type="character" w:customStyle="1" w:styleId="BulletChar">
    <w:name w:val="Bullet Char"/>
    <w:basedOn w:val="DefaultParagraphFont"/>
    <w:link w:val="Bullet"/>
    <w:rsid w:val="00A2064C"/>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A2064C"/>
    <w:rPr>
      <w:sz w:val="16"/>
      <w:szCs w:val="16"/>
    </w:rPr>
  </w:style>
  <w:style w:type="paragraph" w:styleId="CommentText">
    <w:name w:val="annotation text"/>
    <w:basedOn w:val="Normal"/>
    <w:link w:val="CommentTextChar"/>
    <w:uiPriority w:val="99"/>
    <w:unhideWhenUsed/>
    <w:rsid w:val="00A2064C"/>
    <w:rPr>
      <w:sz w:val="20"/>
    </w:rPr>
  </w:style>
  <w:style w:type="character" w:customStyle="1" w:styleId="CommentTextChar">
    <w:name w:val="Comment Text Char"/>
    <w:basedOn w:val="DefaultParagraphFont"/>
    <w:link w:val="CommentText"/>
    <w:uiPriority w:val="99"/>
    <w:rsid w:val="00A2064C"/>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2064C"/>
    <w:rPr>
      <w:b/>
      <w:bCs/>
    </w:rPr>
  </w:style>
  <w:style w:type="character" w:customStyle="1" w:styleId="CommentSubjectChar">
    <w:name w:val="Comment Subject Char"/>
    <w:basedOn w:val="CommentTextChar"/>
    <w:link w:val="CommentSubject"/>
    <w:uiPriority w:val="99"/>
    <w:semiHidden/>
    <w:rsid w:val="00A2064C"/>
    <w:rPr>
      <w:rFonts w:ascii="Calibri" w:eastAsia="Times New Roman" w:hAnsi="Calibri" w:cs="Times New Roman"/>
      <w:b/>
      <w:bCs/>
      <w:sz w:val="20"/>
      <w:szCs w:val="20"/>
      <w:lang w:eastAsia="en-AU"/>
    </w:rPr>
  </w:style>
  <w:style w:type="character" w:customStyle="1" w:styleId="DashChar">
    <w:name w:val="Dash Char"/>
    <w:basedOn w:val="DefaultParagraphFont"/>
    <w:link w:val="Dash"/>
    <w:rsid w:val="0068145D"/>
    <w:rPr>
      <w:rFonts w:ascii="Calibri" w:eastAsia="Times New Roman" w:hAnsi="Calibri" w:cs="Times New Roman"/>
      <w:szCs w:val="20"/>
      <w:lang w:eastAsia="en-AU"/>
    </w:rPr>
  </w:style>
  <w:style w:type="paragraph" w:styleId="Revision">
    <w:name w:val="Revision"/>
    <w:hidden/>
    <w:uiPriority w:val="99"/>
    <w:semiHidden/>
    <w:rsid w:val="00C72977"/>
    <w:pPr>
      <w:spacing w:after="0" w:line="240" w:lineRule="auto"/>
    </w:pPr>
    <w:rPr>
      <w:rFonts w:ascii="Calibri" w:eastAsia="Times New Roman" w:hAnsi="Calibri" w:cs="Times New Roman"/>
      <w:szCs w:val="20"/>
      <w:lang w:eastAsia="en-AU"/>
    </w:rPr>
  </w:style>
  <w:style w:type="paragraph" w:styleId="EndnoteText">
    <w:name w:val="endnote text"/>
    <w:basedOn w:val="Normal"/>
    <w:link w:val="EndnoteTextChar"/>
    <w:uiPriority w:val="99"/>
    <w:semiHidden/>
    <w:unhideWhenUsed/>
    <w:rsid w:val="00732A5B"/>
    <w:pPr>
      <w:spacing w:before="0" w:after="0"/>
    </w:pPr>
    <w:rPr>
      <w:sz w:val="20"/>
    </w:rPr>
  </w:style>
  <w:style w:type="character" w:customStyle="1" w:styleId="EndnoteTextChar">
    <w:name w:val="Endnote Text Char"/>
    <w:basedOn w:val="DefaultParagraphFont"/>
    <w:link w:val="EndnoteText"/>
    <w:uiPriority w:val="99"/>
    <w:semiHidden/>
    <w:rsid w:val="00732A5B"/>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732A5B"/>
    <w:rPr>
      <w:vertAlign w:val="superscript"/>
    </w:rPr>
  </w:style>
  <w:style w:type="paragraph" w:styleId="ListParagraph">
    <w:name w:val="List Paragraph"/>
    <w:basedOn w:val="Normal"/>
    <w:uiPriority w:val="34"/>
    <w:qFormat/>
    <w:rsid w:val="007D5C04"/>
    <w:pPr>
      <w:spacing w:before="0" w:after="0"/>
      <w:ind w:left="720"/>
    </w:pPr>
    <w:rPr>
      <w:rFonts w:eastAsiaTheme="minorHAnsi" w:cs="Calibri"/>
      <w:szCs w:val="22"/>
      <w:lang w:eastAsia="en-US"/>
    </w:rPr>
  </w:style>
  <w:style w:type="table" w:styleId="TableGridLight">
    <w:name w:val="Grid Table Light"/>
    <w:basedOn w:val="TableNormal"/>
    <w:uiPriority w:val="40"/>
    <w:rsid w:val="00DA3F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FA6426"/>
  </w:style>
  <w:style w:type="character" w:customStyle="1" w:styleId="eop">
    <w:name w:val="eop"/>
    <w:basedOn w:val="DefaultParagraphFont"/>
    <w:rsid w:val="00FA6426"/>
  </w:style>
  <w:style w:type="paragraph" w:styleId="NormalWeb">
    <w:name w:val="Normal (Web)"/>
    <w:basedOn w:val="Normal"/>
    <w:uiPriority w:val="99"/>
    <w:semiHidden/>
    <w:unhideWhenUsed/>
    <w:rsid w:val="00FA642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5389">
      <w:bodyDiv w:val="1"/>
      <w:marLeft w:val="0"/>
      <w:marRight w:val="0"/>
      <w:marTop w:val="0"/>
      <w:marBottom w:val="0"/>
      <w:divBdr>
        <w:top w:val="none" w:sz="0" w:space="0" w:color="auto"/>
        <w:left w:val="none" w:sz="0" w:space="0" w:color="auto"/>
        <w:bottom w:val="none" w:sz="0" w:space="0" w:color="auto"/>
        <w:right w:val="none" w:sz="0" w:space="0" w:color="auto"/>
      </w:divBdr>
      <w:divsChild>
        <w:div w:id="57368175">
          <w:marLeft w:val="274"/>
          <w:marRight w:val="0"/>
          <w:marTop w:val="0"/>
          <w:marBottom w:val="0"/>
          <w:divBdr>
            <w:top w:val="none" w:sz="0" w:space="0" w:color="auto"/>
            <w:left w:val="none" w:sz="0" w:space="0" w:color="auto"/>
            <w:bottom w:val="none" w:sz="0" w:space="0" w:color="auto"/>
            <w:right w:val="none" w:sz="0" w:space="0" w:color="auto"/>
          </w:divBdr>
        </w:div>
        <w:div w:id="260647964">
          <w:marLeft w:val="274"/>
          <w:marRight w:val="0"/>
          <w:marTop w:val="0"/>
          <w:marBottom w:val="0"/>
          <w:divBdr>
            <w:top w:val="none" w:sz="0" w:space="0" w:color="auto"/>
            <w:left w:val="none" w:sz="0" w:space="0" w:color="auto"/>
            <w:bottom w:val="none" w:sz="0" w:space="0" w:color="auto"/>
            <w:right w:val="none" w:sz="0" w:space="0" w:color="auto"/>
          </w:divBdr>
        </w:div>
        <w:div w:id="1466701919">
          <w:marLeft w:val="274"/>
          <w:marRight w:val="0"/>
          <w:marTop w:val="0"/>
          <w:marBottom w:val="0"/>
          <w:divBdr>
            <w:top w:val="none" w:sz="0" w:space="0" w:color="auto"/>
            <w:left w:val="none" w:sz="0" w:space="0" w:color="auto"/>
            <w:bottom w:val="none" w:sz="0" w:space="0" w:color="auto"/>
            <w:right w:val="none" w:sz="0" w:space="0" w:color="auto"/>
          </w:divBdr>
        </w:div>
        <w:div w:id="732512002">
          <w:marLeft w:val="274"/>
          <w:marRight w:val="0"/>
          <w:marTop w:val="0"/>
          <w:marBottom w:val="0"/>
          <w:divBdr>
            <w:top w:val="none" w:sz="0" w:space="0" w:color="auto"/>
            <w:left w:val="none" w:sz="0" w:space="0" w:color="auto"/>
            <w:bottom w:val="none" w:sz="0" w:space="0" w:color="auto"/>
            <w:right w:val="none" w:sz="0" w:space="0" w:color="auto"/>
          </w:divBdr>
        </w:div>
        <w:div w:id="1017657650">
          <w:marLeft w:val="274"/>
          <w:marRight w:val="0"/>
          <w:marTop w:val="0"/>
          <w:marBottom w:val="0"/>
          <w:divBdr>
            <w:top w:val="none" w:sz="0" w:space="0" w:color="auto"/>
            <w:left w:val="none" w:sz="0" w:space="0" w:color="auto"/>
            <w:bottom w:val="none" w:sz="0" w:space="0" w:color="auto"/>
            <w:right w:val="none" w:sz="0" w:space="0" w:color="auto"/>
          </w:divBdr>
        </w:div>
        <w:div w:id="459497996">
          <w:marLeft w:val="274"/>
          <w:marRight w:val="0"/>
          <w:marTop w:val="0"/>
          <w:marBottom w:val="0"/>
          <w:divBdr>
            <w:top w:val="none" w:sz="0" w:space="0" w:color="auto"/>
            <w:left w:val="none" w:sz="0" w:space="0" w:color="auto"/>
            <w:bottom w:val="none" w:sz="0" w:space="0" w:color="auto"/>
            <w:right w:val="none" w:sz="0" w:space="0" w:color="auto"/>
          </w:divBdr>
        </w:div>
      </w:divsChild>
    </w:div>
    <w:div w:id="407387054">
      <w:bodyDiv w:val="1"/>
      <w:marLeft w:val="0"/>
      <w:marRight w:val="0"/>
      <w:marTop w:val="0"/>
      <w:marBottom w:val="0"/>
      <w:divBdr>
        <w:top w:val="none" w:sz="0" w:space="0" w:color="auto"/>
        <w:left w:val="none" w:sz="0" w:space="0" w:color="auto"/>
        <w:bottom w:val="none" w:sz="0" w:space="0" w:color="auto"/>
        <w:right w:val="none" w:sz="0" w:space="0" w:color="auto"/>
      </w:divBdr>
      <w:divsChild>
        <w:div w:id="156500389">
          <w:marLeft w:val="274"/>
          <w:marRight w:val="0"/>
          <w:marTop w:val="0"/>
          <w:marBottom w:val="0"/>
          <w:divBdr>
            <w:top w:val="none" w:sz="0" w:space="0" w:color="auto"/>
            <w:left w:val="none" w:sz="0" w:space="0" w:color="auto"/>
            <w:bottom w:val="none" w:sz="0" w:space="0" w:color="auto"/>
            <w:right w:val="none" w:sz="0" w:space="0" w:color="auto"/>
          </w:divBdr>
        </w:div>
        <w:div w:id="743184327">
          <w:marLeft w:val="274"/>
          <w:marRight w:val="0"/>
          <w:marTop w:val="0"/>
          <w:marBottom w:val="0"/>
          <w:divBdr>
            <w:top w:val="none" w:sz="0" w:space="0" w:color="auto"/>
            <w:left w:val="none" w:sz="0" w:space="0" w:color="auto"/>
            <w:bottom w:val="none" w:sz="0" w:space="0" w:color="auto"/>
            <w:right w:val="none" w:sz="0" w:space="0" w:color="auto"/>
          </w:divBdr>
        </w:div>
        <w:div w:id="1451586767">
          <w:marLeft w:val="274"/>
          <w:marRight w:val="0"/>
          <w:marTop w:val="0"/>
          <w:marBottom w:val="0"/>
          <w:divBdr>
            <w:top w:val="none" w:sz="0" w:space="0" w:color="auto"/>
            <w:left w:val="none" w:sz="0" w:space="0" w:color="auto"/>
            <w:bottom w:val="none" w:sz="0" w:space="0" w:color="auto"/>
            <w:right w:val="none" w:sz="0" w:space="0" w:color="auto"/>
          </w:divBdr>
        </w:div>
        <w:div w:id="1797986850">
          <w:marLeft w:val="274"/>
          <w:marRight w:val="0"/>
          <w:marTop w:val="0"/>
          <w:marBottom w:val="0"/>
          <w:divBdr>
            <w:top w:val="none" w:sz="0" w:space="0" w:color="auto"/>
            <w:left w:val="none" w:sz="0" w:space="0" w:color="auto"/>
            <w:bottom w:val="none" w:sz="0" w:space="0" w:color="auto"/>
            <w:right w:val="none" w:sz="0" w:space="0" w:color="auto"/>
          </w:divBdr>
        </w:div>
        <w:div w:id="1665891688">
          <w:marLeft w:val="274"/>
          <w:marRight w:val="0"/>
          <w:marTop w:val="0"/>
          <w:marBottom w:val="0"/>
          <w:divBdr>
            <w:top w:val="none" w:sz="0" w:space="0" w:color="auto"/>
            <w:left w:val="none" w:sz="0" w:space="0" w:color="auto"/>
            <w:bottom w:val="none" w:sz="0" w:space="0" w:color="auto"/>
            <w:right w:val="none" w:sz="0" w:space="0" w:color="auto"/>
          </w:divBdr>
        </w:div>
        <w:div w:id="1109357034">
          <w:marLeft w:val="274"/>
          <w:marRight w:val="0"/>
          <w:marTop w:val="0"/>
          <w:marBottom w:val="0"/>
          <w:divBdr>
            <w:top w:val="none" w:sz="0" w:space="0" w:color="auto"/>
            <w:left w:val="none" w:sz="0" w:space="0" w:color="auto"/>
            <w:bottom w:val="none" w:sz="0" w:space="0" w:color="auto"/>
            <w:right w:val="none" w:sz="0" w:space="0" w:color="auto"/>
          </w:divBdr>
        </w:div>
      </w:divsChild>
    </w:div>
    <w:div w:id="535199198">
      <w:bodyDiv w:val="1"/>
      <w:marLeft w:val="0"/>
      <w:marRight w:val="0"/>
      <w:marTop w:val="0"/>
      <w:marBottom w:val="0"/>
      <w:divBdr>
        <w:top w:val="none" w:sz="0" w:space="0" w:color="auto"/>
        <w:left w:val="none" w:sz="0" w:space="0" w:color="auto"/>
        <w:bottom w:val="none" w:sz="0" w:space="0" w:color="auto"/>
        <w:right w:val="none" w:sz="0" w:space="0" w:color="auto"/>
      </w:divBdr>
      <w:divsChild>
        <w:div w:id="2081948964">
          <w:marLeft w:val="274"/>
          <w:marRight w:val="0"/>
          <w:marTop w:val="0"/>
          <w:marBottom w:val="0"/>
          <w:divBdr>
            <w:top w:val="none" w:sz="0" w:space="0" w:color="auto"/>
            <w:left w:val="none" w:sz="0" w:space="0" w:color="auto"/>
            <w:bottom w:val="none" w:sz="0" w:space="0" w:color="auto"/>
            <w:right w:val="none" w:sz="0" w:space="0" w:color="auto"/>
          </w:divBdr>
        </w:div>
        <w:div w:id="1629359557">
          <w:marLeft w:val="274"/>
          <w:marRight w:val="0"/>
          <w:marTop w:val="0"/>
          <w:marBottom w:val="0"/>
          <w:divBdr>
            <w:top w:val="none" w:sz="0" w:space="0" w:color="auto"/>
            <w:left w:val="none" w:sz="0" w:space="0" w:color="auto"/>
            <w:bottom w:val="none" w:sz="0" w:space="0" w:color="auto"/>
            <w:right w:val="none" w:sz="0" w:space="0" w:color="auto"/>
          </w:divBdr>
        </w:div>
        <w:div w:id="2131236853">
          <w:marLeft w:val="274"/>
          <w:marRight w:val="0"/>
          <w:marTop w:val="0"/>
          <w:marBottom w:val="0"/>
          <w:divBdr>
            <w:top w:val="none" w:sz="0" w:space="0" w:color="auto"/>
            <w:left w:val="none" w:sz="0" w:space="0" w:color="auto"/>
            <w:bottom w:val="none" w:sz="0" w:space="0" w:color="auto"/>
            <w:right w:val="none" w:sz="0" w:space="0" w:color="auto"/>
          </w:divBdr>
        </w:div>
        <w:div w:id="1682660802">
          <w:marLeft w:val="274"/>
          <w:marRight w:val="0"/>
          <w:marTop w:val="0"/>
          <w:marBottom w:val="0"/>
          <w:divBdr>
            <w:top w:val="none" w:sz="0" w:space="0" w:color="auto"/>
            <w:left w:val="none" w:sz="0" w:space="0" w:color="auto"/>
            <w:bottom w:val="none" w:sz="0" w:space="0" w:color="auto"/>
            <w:right w:val="none" w:sz="0" w:space="0" w:color="auto"/>
          </w:divBdr>
        </w:div>
        <w:div w:id="557714606">
          <w:marLeft w:val="274"/>
          <w:marRight w:val="0"/>
          <w:marTop w:val="0"/>
          <w:marBottom w:val="0"/>
          <w:divBdr>
            <w:top w:val="none" w:sz="0" w:space="0" w:color="auto"/>
            <w:left w:val="none" w:sz="0" w:space="0" w:color="auto"/>
            <w:bottom w:val="none" w:sz="0" w:space="0" w:color="auto"/>
            <w:right w:val="none" w:sz="0" w:space="0" w:color="auto"/>
          </w:divBdr>
        </w:div>
        <w:div w:id="338241676">
          <w:marLeft w:val="274"/>
          <w:marRight w:val="0"/>
          <w:marTop w:val="0"/>
          <w:marBottom w:val="0"/>
          <w:divBdr>
            <w:top w:val="none" w:sz="0" w:space="0" w:color="auto"/>
            <w:left w:val="none" w:sz="0" w:space="0" w:color="auto"/>
            <w:bottom w:val="none" w:sz="0" w:space="0" w:color="auto"/>
            <w:right w:val="none" w:sz="0" w:space="0" w:color="auto"/>
          </w:divBdr>
        </w:div>
      </w:divsChild>
    </w:div>
    <w:div w:id="558784578">
      <w:bodyDiv w:val="1"/>
      <w:marLeft w:val="0"/>
      <w:marRight w:val="0"/>
      <w:marTop w:val="0"/>
      <w:marBottom w:val="0"/>
      <w:divBdr>
        <w:top w:val="none" w:sz="0" w:space="0" w:color="auto"/>
        <w:left w:val="none" w:sz="0" w:space="0" w:color="auto"/>
        <w:bottom w:val="none" w:sz="0" w:space="0" w:color="auto"/>
        <w:right w:val="none" w:sz="0" w:space="0" w:color="auto"/>
      </w:divBdr>
    </w:div>
    <w:div w:id="724447557">
      <w:bodyDiv w:val="1"/>
      <w:marLeft w:val="0"/>
      <w:marRight w:val="0"/>
      <w:marTop w:val="0"/>
      <w:marBottom w:val="0"/>
      <w:divBdr>
        <w:top w:val="none" w:sz="0" w:space="0" w:color="auto"/>
        <w:left w:val="none" w:sz="0" w:space="0" w:color="auto"/>
        <w:bottom w:val="none" w:sz="0" w:space="0" w:color="auto"/>
        <w:right w:val="none" w:sz="0" w:space="0" w:color="auto"/>
      </w:divBdr>
    </w:div>
    <w:div w:id="786311140">
      <w:bodyDiv w:val="1"/>
      <w:marLeft w:val="0"/>
      <w:marRight w:val="0"/>
      <w:marTop w:val="0"/>
      <w:marBottom w:val="0"/>
      <w:divBdr>
        <w:top w:val="none" w:sz="0" w:space="0" w:color="auto"/>
        <w:left w:val="none" w:sz="0" w:space="0" w:color="auto"/>
        <w:bottom w:val="none" w:sz="0" w:space="0" w:color="auto"/>
        <w:right w:val="none" w:sz="0" w:space="0" w:color="auto"/>
      </w:divBdr>
    </w:div>
    <w:div w:id="941037970">
      <w:bodyDiv w:val="1"/>
      <w:marLeft w:val="0"/>
      <w:marRight w:val="0"/>
      <w:marTop w:val="0"/>
      <w:marBottom w:val="0"/>
      <w:divBdr>
        <w:top w:val="none" w:sz="0" w:space="0" w:color="auto"/>
        <w:left w:val="none" w:sz="0" w:space="0" w:color="auto"/>
        <w:bottom w:val="none" w:sz="0" w:space="0" w:color="auto"/>
        <w:right w:val="none" w:sz="0" w:space="0" w:color="auto"/>
      </w:divBdr>
    </w:div>
    <w:div w:id="974024585">
      <w:bodyDiv w:val="1"/>
      <w:marLeft w:val="0"/>
      <w:marRight w:val="0"/>
      <w:marTop w:val="0"/>
      <w:marBottom w:val="0"/>
      <w:divBdr>
        <w:top w:val="none" w:sz="0" w:space="0" w:color="auto"/>
        <w:left w:val="none" w:sz="0" w:space="0" w:color="auto"/>
        <w:bottom w:val="none" w:sz="0" w:space="0" w:color="auto"/>
        <w:right w:val="none" w:sz="0" w:space="0" w:color="auto"/>
      </w:divBdr>
    </w:div>
    <w:div w:id="1008672696">
      <w:bodyDiv w:val="1"/>
      <w:marLeft w:val="0"/>
      <w:marRight w:val="0"/>
      <w:marTop w:val="0"/>
      <w:marBottom w:val="0"/>
      <w:divBdr>
        <w:top w:val="none" w:sz="0" w:space="0" w:color="auto"/>
        <w:left w:val="none" w:sz="0" w:space="0" w:color="auto"/>
        <w:bottom w:val="none" w:sz="0" w:space="0" w:color="auto"/>
        <w:right w:val="none" w:sz="0" w:space="0" w:color="auto"/>
      </w:divBdr>
    </w:div>
    <w:div w:id="1275672944">
      <w:bodyDiv w:val="1"/>
      <w:marLeft w:val="0"/>
      <w:marRight w:val="0"/>
      <w:marTop w:val="0"/>
      <w:marBottom w:val="0"/>
      <w:divBdr>
        <w:top w:val="none" w:sz="0" w:space="0" w:color="auto"/>
        <w:left w:val="none" w:sz="0" w:space="0" w:color="auto"/>
        <w:bottom w:val="none" w:sz="0" w:space="0" w:color="auto"/>
        <w:right w:val="none" w:sz="0" w:space="0" w:color="auto"/>
      </w:divBdr>
    </w:div>
    <w:div w:id="1373309410">
      <w:bodyDiv w:val="1"/>
      <w:marLeft w:val="0"/>
      <w:marRight w:val="0"/>
      <w:marTop w:val="0"/>
      <w:marBottom w:val="0"/>
      <w:divBdr>
        <w:top w:val="none" w:sz="0" w:space="0" w:color="auto"/>
        <w:left w:val="none" w:sz="0" w:space="0" w:color="auto"/>
        <w:bottom w:val="none" w:sz="0" w:space="0" w:color="auto"/>
        <w:right w:val="none" w:sz="0" w:space="0" w:color="auto"/>
      </w:divBdr>
    </w:div>
    <w:div w:id="1403024307">
      <w:bodyDiv w:val="1"/>
      <w:marLeft w:val="0"/>
      <w:marRight w:val="0"/>
      <w:marTop w:val="0"/>
      <w:marBottom w:val="0"/>
      <w:divBdr>
        <w:top w:val="none" w:sz="0" w:space="0" w:color="auto"/>
        <w:left w:val="none" w:sz="0" w:space="0" w:color="auto"/>
        <w:bottom w:val="none" w:sz="0" w:space="0" w:color="auto"/>
        <w:right w:val="none" w:sz="0" w:space="0" w:color="auto"/>
      </w:divBdr>
    </w:div>
    <w:div w:id="1499734149">
      <w:bodyDiv w:val="1"/>
      <w:marLeft w:val="0"/>
      <w:marRight w:val="0"/>
      <w:marTop w:val="0"/>
      <w:marBottom w:val="0"/>
      <w:divBdr>
        <w:top w:val="none" w:sz="0" w:space="0" w:color="auto"/>
        <w:left w:val="none" w:sz="0" w:space="0" w:color="auto"/>
        <w:bottom w:val="none" w:sz="0" w:space="0" w:color="auto"/>
        <w:right w:val="none" w:sz="0" w:space="0" w:color="auto"/>
      </w:divBdr>
      <w:divsChild>
        <w:div w:id="23361373">
          <w:marLeft w:val="547"/>
          <w:marRight w:val="0"/>
          <w:marTop w:val="0"/>
          <w:marBottom w:val="0"/>
          <w:divBdr>
            <w:top w:val="none" w:sz="0" w:space="0" w:color="auto"/>
            <w:left w:val="none" w:sz="0" w:space="0" w:color="auto"/>
            <w:bottom w:val="none" w:sz="0" w:space="0" w:color="auto"/>
            <w:right w:val="none" w:sz="0" w:space="0" w:color="auto"/>
          </w:divBdr>
        </w:div>
        <w:div w:id="191772990">
          <w:marLeft w:val="1800"/>
          <w:marRight w:val="0"/>
          <w:marTop w:val="0"/>
          <w:marBottom w:val="0"/>
          <w:divBdr>
            <w:top w:val="none" w:sz="0" w:space="0" w:color="auto"/>
            <w:left w:val="none" w:sz="0" w:space="0" w:color="auto"/>
            <w:bottom w:val="none" w:sz="0" w:space="0" w:color="auto"/>
            <w:right w:val="none" w:sz="0" w:space="0" w:color="auto"/>
          </w:divBdr>
        </w:div>
        <w:div w:id="203559846">
          <w:marLeft w:val="1166"/>
          <w:marRight w:val="0"/>
          <w:marTop w:val="0"/>
          <w:marBottom w:val="0"/>
          <w:divBdr>
            <w:top w:val="none" w:sz="0" w:space="0" w:color="auto"/>
            <w:left w:val="none" w:sz="0" w:space="0" w:color="auto"/>
            <w:bottom w:val="none" w:sz="0" w:space="0" w:color="auto"/>
            <w:right w:val="none" w:sz="0" w:space="0" w:color="auto"/>
          </w:divBdr>
        </w:div>
        <w:div w:id="479926127">
          <w:marLeft w:val="1166"/>
          <w:marRight w:val="0"/>
          <w:marTop w:val="0"/>
          <w:marBottom w:val="0"/>
          <w:divBdr>
            <w:top w:val="none" w:sz="0" w:space="0" w:color="auto"/>
            <w:left w:val="none" w:sz="0" w:space="0" w:color="auto"/>
            <w:bottom w:val="none" w:sz="0" w:space="0" w:color="auto"/>
            <w:right w:val="none" w:sz="0" w:space="0" w:color="auto"/>
          </w:divBdr>
        </w:div>
        <w:div w:id="562638144">
          <w:marLeft w:val="1800"/>
          <w:marRight w:val="0"/>
          <w:marTop w:val="0"/>
          <w:marBottom w:val="0"/>
          <w:divBdr>
            <w:top w:val="none" w:sz="0" w:space="0" w:color="auto"/>
            <w:left w:val="none" w:sz="0" w:space="0" w:color="auto"/>
            <w:bottom w:val="none" w:sz="0" w:space="0" w:color="auto"/>
            <w:right w:val="none" w:sz="0" w:space="0" w:color="auto"/>
          </w:divBdr>
        </w:div>
        <w:div w:id="597491770">
          <w:marLeft w:val="547"/>
          <w:marRight w:val="0"/>
          <w:marTop w:val="0"/>
          <w:marBottom w:val="0"/>
          <w:divBdr>
            <w:top w:val="none" w:sz="0" w:space="0" w:color="auto"/>
            <w:left w:val="none" w:sz="0" w:space="0" w:color="auto"/>
            <w:bottom w:val="none" w:sz="0" w:space="0" w:color="auto"/>
            <w:right w:val="none" w:sz="0" w:space="0" w:color="auto"/>
          </w:divBdr>
        </w:div>
        <w:div w:id="739209351">
          <w:marLeft w:val="1166"/>
          <w:marRight w:val="0"/>
          <w:marTop w:val="0"/>
          <w:marBottom w:val="0"/>
          <w:divBdr>
            <w:top w:val="none" w:sz="0" w:space="0" w:color="auto"/>
            <w:left w:val="none" w:sz="0" w:space="0" w:color="auto"/>
            <w:bottom w:val="none" w:sz="0" w:space="0" w:color="auto"/>
            <w:right w:val="none" w:sz="0" w:space="0" w:color="auto"/>
          </w:divBdr>
        </w:div>
        <w:div w:id="758647376">
          <w:marLeft w:val="1166"/>
          <w:marRight w:val="0"/>
          <w:marTop w:val="0"/>
          <w:marBottom w:val="0"/>
          <w:divBdr>
            <w:top w:val="none" w:sz="0" w:space="0" w:color="auto"/>
            <w:left w:val="none" w:sz="0" w:space="0" w:color="auto"/>
            <w:bottom w:val="none" w:sz="0" w:space="0" w:color="auto"/>
            <w:right w:val="none" w:sz="0" w:space="0" w:color="auto"/>
          </w:divBdr>
        </w:div>
        <w:div w:id="777413599">
          <w:marLeft w:val="1166"/>
          <w:marRight w:val="0"/>
          <w:marTop w:val="0"/>
          <w:marBottom w:val="0"/>
          <w:divBdr>
            <w:top w:val="none" w:sz="0" w:space="0" w:color="auto"/>
            <w:left w:val="none" w:sz="0" w:space="0" w:color="auto"/>
            <w:bottom w:val="none" w:sz="0" w:space="0" w:color="auto"/>
            <w:right w:val="none" w:sz="0" w:space="0" w:color="auto"/>
          </w:divBdr>
        </w:div>
        <w:div w:id="862131951">
          <w:marLeft w:val="1166"/>
          <w:marRight w:val="0"/>
          <w:marTop w:val="0"/>
          <w:marBottom w:val="0"/>
          <w:divBdr>
            <w:top w:val="none" w:sz="0" w:space="0" w:color="auto"/>
            <w:left w:val="none" w:sz="0" w:space="0" w:color="auto"/>
            <w:bottom w:val="none" w:sz="0" w:space="0" w:color="auto"/>
            <w:right w:val="none" w:sz="0" w:space="0" w:color="auto"/>
          </w:divBdr>
        </w:div>
        <w:div w:id="990446684">
          <w:marLeft w:val="547"/>
          <w:marRight w:val="0"/>
          <w:marTop w:val="0"/>
          <w:marBottom w:val="0"/>
          <w:divBdr>
            <w:top w:val="none" w:sz="0" w:space="0" w:color="auto"/>
            <w:left w:val="none" w:sz="0" w:space="0" w:color="auto"/>
            <w:bottom w:val="none" w:sz="0" w:space="0" w:color="auto"/>
            <w:right w:val="none" w:sz="0" w:space="0" w:color="auto"/>
          </w:divBdr>
        </w:div>
        <w:div w:id="1088582185">
          <w:marLeft w:val="1166"/>
          <w:marRight w:val="0"/>
          <w:marTop w:val="0"/>
          <w:marBottom w:val="0"/>
          <w:divBdr>
            <w:top w:val="none" w:sz="0" w:space="0" w:color="auto"/>
            <w:left w:val="none" w:sz="0" w:space="0" w:color="auto"/>
            <w:bottom w:val="none" w:sz="0" w:space="0" w:color="auto"/>
            <w:right w:val="none" w:sz="0" w:space="0" w:color="auto"/>
          </w:divBdr>
        </w:div>
        <w:div w:id="1257668121">
          <w:marLeft w:val="1166"/>
          <w:marRight w:val="0"/>
          <w:marTop w:val="0"/>
          <w:marBottom w:val="0"/>
          <w:divBdr>
            <w:top w:val="none" w:sz="0" w:space="0" w:color="auto"/>
            <w:left w:val="none" w:sz="0" w:space="0" w:color="auto"/>
            <w:bottom w:val="none" w:sz="0" w:space="0" w:color="auto"/>
            <w:right w:val="none" w:sz="0" w:space="0" w:color="auto"/>
          </w:divBdr>
        </w:div>
        <w:div w:id="1263108088">
          <w:marLeft w:val="547"/>
          <w:marRight w:val="0"/>
          <w:marTop w:val="0"/>
          <w:marBottom w:val="0"/>
          <w:divBdr>
            <w:top w:val="none" w:sz="0" w:space="0" w:color="auto"/>
            <w:left w:val="none" w:sz="0" w:space="0" w:color="auto"/>
            <w:bottom w:val="none" w:sz="0" w:space="0" w:color="auto"/>
            <w:right w:val="none" w:sz="0" w:space="0" w:color="auto"/>
          </w:divBdr>
        </w:div>
        <w:div w:id="1333994650">
          <w:marLeft w:val="1166"/>
          <w:marRight w:val="0"/>
          <w:marTop w:val="0"/>
          <w:marBottom w:val="0"/>
          <w:divBdr>
            <w:top w:val="none" w:sz="0" w:space="0" w:color="auto"/>
            <w:left w:val="none" w:sz="0" w:space="0" w:color="auto"/>
            <w:bottom w:val="none" w:sz="0" w:space="0" w:color="auto"/>
            <w:right w:val="none" w:sz="0" w:space="0" w:color="auto"/>
          </w:divBdr>
        </w:div>
        <w:div w:id="1556431974">
          <w:marLeft w:val="1166"/>
          <w:marRight w:val="0"/>
          <w:marTop w:val="0"/>
          <w:marBottom w:val="0"/>
          <w:divBdr>
            <w:top w:val="none" w:sz="0" w:space="0" w:color="auto"/>
            <w:left w:val="none" w:sz="0" w:space="0" w:color="auto"/>
            <w:bottom w:val="none" w:sz="0" w:space="0" w:color="auto"/>
            <w:right w:val="none" w:sz="0" w:space="0" w:color="auto"/>
          </w:divBdr>
        </w:div>
        <w:div w:id="1645545015">
          <w:marLeft w:val="547"/>
          <w:marRight w:val="0"/>
          <w:marTop w:val="0"/>
          <w:marBottom w:val="0"/>
          <w:divBdr>
            <w:top w:val="none" w:sz="0" w:space="0" w:color="auto"/>
            <w:left w:val="none" w:sz="0" w:space="0" w:color="auto"/>
            <w:bottom w:val="none" w:sz="0" w:space="0" w:color="auto"/>
            <w:right w:val="none" w:sz="0" w:space="0" w:color="auto"/>
          </w:divBdr>
        </w:div>
        <w:div w:id="1682200594">
          <w:marLeft w:val="1166"/>
          <w:marRight w:val="0"/>
          <w:marTop w:val="0"/>
          <w:marBottom w:val="0"/>
          <w:divBdr>
            <w:top w:val="none" w:sz="0" w:space="0" w:color="auto"/>
            <w:left w:val="none" w:sz="0" w:space="0" w:color="auto"/>
            <w:bottom w:val="none" w:sz="0" w:space="0" w:color="auto"/>
            <w:right w:val="none" w:sz="0" w:space="0" w:color="auto"/>
          </w:divBdr>
        </w:div>
        <w:div w:id="1817798590">
          <w:marLeft w:val="1166"/>
          <w:marRight w:val="0"/>
          <w:marTop w:val="0"/>
          <w:marBottom w:val="0"/>
          <w:divBdr>
            <w:top w:val="none" w:sz="0" w:space="0" w:color="auto"/>
            <w:left w:val="none" w:sz="0" w:space="0" w:color="auto"/>
            <w:bottom w:val="none" w:sz="0" w:space="0" w:color="auto"/>
            <w:right w:val="none" w:sz="0" w:space="0" w:color="auto"/>
          </w:divBdr>
        </w:div>
        <w:div w:id="2118060721">
          <w:marLeft w:val="547"/>
          <w:marRight w:val="0"/>
          <w:marTop w:val="0"/>
          <w:marBottom w:val="0"/>
          <w:divBdr>
            <w:top w:val="none" w:sz="0" w:space="0" w:color="auto"/>
            <w:left w:val="none" w:sz="0" w:space="0" w:color="auto"/>
            <w:bottom w:val="none" w:sz="0" w:space="0" w:color="auto"/>
            <w:right w:val="none" w:sz="0" w:space="0" w:color="auto"/>
          </w:divBdr>
        </w:div>
      </w:divsChild>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852329606">
      <w:bodyDiv w:val="1"/>
      <w:marLeft w:val="0"/>
      <w:marRight w:val="0"/>
      <w:marTop w:val="0"/>
      <w:marBottom w:val="0"/>
      <w:divBdr>
        <w:top w:val="none" w:sz="0" w:space="0" w:color="auto"/>
        <w:left w:val="none" w:sz="0" w:space="0" w:color="auto"/>
        <w:bottom w:val="none" w:sz="0" w:space="0" w:color="auto"/>
        <w:right w:val="none" w:sz="0" w:space="0" w:color="auto"/>
      </w:divBdr>
    </w:div>
    <w:div w:id="1909145255">
      <w:bodyDiv w:val="1"/>
      <w:marLeft w:val="0"/>
      <w:marRight w:val="0"/>
      <w:marTop w:val="0"/>
      <w:marBottom w:val="0"/>
      <w:divBdr>
        <w:top w:val="none" w:sz="0" w:space="0" w:color="auto"/>
        <w:left w:val="none" w:sz="0" w:space="0" w:color="auto"/>
        <w:bottom w:val="none" w:sz="0" w:space="0" w:color="auto"/>
        <w:right w:val="none" w:sz="0" w:space="0" w:color="auto"/>
      </w:divBdr>
    </w:div>
    <w:div w:id="1995983377">
      <w:bodyDiv w:val="1"/>
      <w:marLeft w:val="0"/>
      <w:marRight w:val="0"/>
      <w:marTop w:val="0"/>
      <w:marBottom w:val="0"/>
      <w:divBdr>
        <w:top w:val="none" w:sz="0" w:space="0" w:color="auto"/>
        <w:left w:val="none" w:sz="0" w:space="0" w:color="auto"/>
        <w:bottom w:val="none" w:sz="0" w:space="0" w:color="auto"/>
        <w:right w:val="none" w:sz="0" w:space="0" w:color="auto"/>
      </w:divBdr>
    </w:div>
    <w:div w:id="2021590251">
      <w:bodyDiv w:val="1"/>
      <w:marLeft w:val="0"/>
      <w:marRight w:val="0"/>
      <w:marTop w:val="0"/>
      <w:marBottom w:val="0"/>
      <w:divBdr>
        <w:top w:val="none" w:sz="0" w:space="0" w:color="auto"/>
        <w:left w:val="none" w:sz="0" w:space="0" w:color="auto"/>
        <w:bottom w:val="none" w:sz="0" w:space="0" w:color="auto"/>
        <w:right w:val="none" w:sz="0" w:space="0" w:color="auto"/>
      </w:divBdr>
    </w:div>
    <w:div w:id="2048144674">
      <w:bodyDiv w:val="1"/>
      <w:marLeft w:val="0"/>
      <w:marRight w:val="0"/>
      <w:marTop w:val="0"/>
      <w:marBottom w:val="0"/>
      <w:divBdr>
        <w:top w:val="none" w:sz="0" w:space="0" w:color="auto"/>
        <w:left w:val="none" w:sz="0" w:space="0" w:color="auto"/>
        <w:bottom w:val="none" w:sz="0" w:space="0" w:color="auto"/>
        <w:right w:val="none" w:sz="0" w:space="0" w:color="auto"/>
      </w:divBdr>
    </w:div>
    <w:div w:id="2079940995">
      <w:bodyDiv w:val="1"/>
      <w:marLeft w:val="0"/>
      <w:marRight w:val="0"/>
      <w:marTop w:val="0"/>
      <w:marBottom w:val="0"/>
      <w:divBdr>
        <w:top w:val="none" w:sz="0" w:space="0" w:color="auto"/>
        <w:left w:val="none" w:sz="0" w:space="0" w:color="auto"/>
        <w:bottom w:val="none" w:sz="0" w:space="0" w:color="auto"/>
        <w:right w:val="none" w:sz="0" w:space="0" w:color="auto"/>
      </w:divBdr>
    </w:div>
    <w:div w:id="20836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wmf"/><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treasury.gov.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footer" Target="footer1.xml"/><Relationship Id="rId28"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yperlink" Target="https://www.pmc.gov.au/government/commonwealth-coat-arm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reasury.gov.au/consultation/c2021-1909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5B9DC266DB401CBF82B75809FA42E5"/>
        <w:category>
          <w:name w:val="General"/>
          <w:gallery w:val="placeholder"/>
        </w:category>
        <w:types>
          <w:type w:val="bbPlcHdr"/>
        </w:types>
        <w:behaviors>
          <w:behavior w:val="content"/>
        </w:behaviors>
        <w:guid w:val="{05B07D6A-A47B-427E-B4A5-7DB1908BE867}"/>
      </w:docPartPr>
      <w:docPartBody>
        <w:p w:rsidR="00794982" w:rsidRDefault="00794982">
          <w:pPr>
            <w:pStyle w:val="5D5B9DC266DB401CBF82B75809FA42E5"/>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982"/>
    <w:rsid w:val="00041868"/>
    <w:rsid w:val="00060C1D"/>
    <w:rsid w:val="000C03CD"/>
    <w:rsid w:val="00153C4D"/>
    <w:rsid w:val="002805BB"/>
    <w:rsid w:val="00347B2E"/>
    <w:rsid w:val="003D3469"/>
    <w:rsid w:val="004A0BE7"/>
    <w:rsid w:val="0072106C"/>
    <w:rsid w:val="0076772B"/>
    <w:rsid w:val="00794982"/>
    <w:rsid w:val="007B2A82"/>
    <w:rsid w:val="009856A6"/>
    <w:rsid w:val="00A47470"/>
    <w:rsid w:val="00B35643"/>
    <w:rsid w:val="00B8617C"/>
    <w:rsid w:val="00C602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D5B9DC266DB401CBF82B75809FA42E5">
    <w:name w:val="5D5B9DC266DB401CBF82B75809FA42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935D0CF8835BE447895972B43AB8EC93" ma:contentTypeVersion="45618" ma:contentTypeDescription=" " ma:contentTypeScope="" ma:versionID="dfc02e621a6a41866948f0362733f803">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a1168e2c6c770fade504c2c8f74a30d7"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3:SecurityClassification"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element name="_vti_ItemDeclaredRecord" ma:index="19" nillable="true" ma:displayName="Declared Record" ma:hidden="true" ma:internalName="_vti_ItemDeclaredRecord" ma:readOnly="true">
      <xsd:simpleType>
        <xsd:restriction base="dms:DateTime"/>
      </xsd:simpleType>
    </xsd:element>
    <xsd:element name="_vti_ItemHoldRecordStatus" ma:index="2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8"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2022MG-90-35549</_dlc_DocId>
    <_dlc_DocIdUrl xmlns="0f563589-9cf9-4143-b1eb-fb0534803d38">
      <Url>http://tweb/sites/mg/fsd/_layouts/15/DocIdRedir.aspx?ID=2022MG-90-35549</Url>
      <Description>2022MG-90-35549</Description>
    </_dlc_DocIdUrl>
  </documentManagement>
</p:properties>
</file>

<file path=customXml/item6.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7ADF3-767D-463C-8C62-B62C8E86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85C37A-5166-4ED7-BA8E-DF3552E019C3}">
  <ds:schemaRefs>
    <ds:schemaRef ds:uri="http://schemas.microsoft.com/sharepoint/v3/contenttype/forms"/>
  </ds:schemaRefs>
</ds:datastoreItem>
</file>

<file path=customXml/itemProps3.xml><?xml version="1.0" encoding="utf-8"?>
<ds:datastoreItem xmlns:ds="http://schemas.openxmlformats.org/officeDocument/2006/customXml" ds:itemID="{1F86CFA6-2711-437D-A0C8-AFD898CCF138}">
  <ds:schemaRefs>
    <ds:schemaRef ds:uri="office.server.policy"/>
  </ds:schemaRefs>
</ds:datastoreItem>
</file>

<file path=customXml/itemProps4.xml><?xml version="1.0" encoding="utf-8"?>
<ds:datastoreItem xmlns:ds="http://schemas.openxmlformats.org/officeDocument/2006/customXml" ds:itemID="{12F6FEEE-8F5E-43CC-9F88-B3A6DBFC8D15}">
  <ds:schemaRefs>
    <ds:schemaRef ds:uri="http://schemas.microsoft.com/sharepoint/events"/>
  </ds:schemaRefs>
</ds:datastoreItem>
</file>

<file path=customXml/itemProps5.xml><?xml version="1.0" encoding="utf-8"?>
<ds:datastoreItem xmlns:ds="http://schemas.openxmlformats.org/officeDocument/2006/customXml" ds:itemID="{78BAE074-D0AC-4943-80A9-EC6843044F56}">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d4dd4adf-ddb3-46a3-8d7c-fab3fb2a6bc7"/>
    <ds:schemaRef ds:uri="http://www.w3.org/XML/1998/namespace"/>
    <ds:schemaRef ds:uri="http://purl.org/dc/dcmitype/"/>
  </ds:schemaRefs>
</ds:datastoreItem>
</file>

<file path=customXml/itemProps6.xml><?xml version="1.0" encoding="utf-8"?>
<ds:datastoreItem xmlns:ds="http://schemas.openxmlformats.org/officeDocument/2006/customXml" ds:itemID="{2B157935-0478-45A9-8260-7FD1E47FCB0B}">
  <ds:schemaRefs>
    <ds:schemaRef ds:uri="http://schemas.microsoft.com/sharepoint/events"/>
  </ds:schemaRefs>
</ds:datastoreItem>
</file>

<file path=customXml/itemProps7.xml><?xml version="1.0" encoding="utf-8"?>
<ds:datastoreItem xmlns:ds="http://schemas.openxmlformats.org/officeDocument/2006/customXml" ds:itemID="{D81EB7DB-BAE2-489E-9BC6-369373C8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565</TotalTime>
  <Pages>22</Pages>
  <Words>8463</Words>
  <Characters>46645</Characters>
  <Application>Microsoft Office Word</Application>
  <DocSecurity>0</DocSecurity>
  <Lines>797</Lines>
  <Paragraphs>351</Paragraphs>
  <ScaleCrop>false</ScaleCrop>
  <HeadingPairs>
    <vt:vector size="2" baseType="variant">
      <vt:variant>
        <vt:lpstr>Title</vt:lpstr>
      </vt:variant>
      <vt:variant>
        <vt:i4>1</vt:i4>
      </vt:variant>
    </vt:vector>
  </HeadingPairs>
  <TitlesOfParts>
    <vt:vector size="1" baseType="lpstr">
      <vt:lpstr>Corporate control transactions in Australia</vt:lpstr>
    </vt:vector>
  </TitlesOfParts>
  <Company>Australian Government - The Treasury</Company>
  <LinksUpToDate>false</LinksUpToDate>
  <CharactersWithSpaces>54953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control transactions in Australia</dc:title>
  <dc:subject/>
  <dc:creator>Treasury</dc:creator>
  <cp:keywords/>
  <dc:description/>
  <cp:lastModifiedBy>Christine</cp:lastModifiedBy>
  <cp:revision>67</cp:revision>
  <cp:lastPrinted>2022-03-27T23:50:00Z</cp:lastPrinted>
  <dcterms:created xsi:type="dcterms:W3CDTF">2022-03-29T22:30:00Z</dcterms:created>
  <dcterms:modified xsi:type="dcterms:W3CDTF">2022-03-31T22:21:00Z</dcterms:modified>
  <cp:category/>
  <cp:contentStatus/>
</cp:coreProperties>
</file>