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9175" w14:textId="7FCB8937" w:rsidR="006F4933" w:rsidRPr="00C4352D" w:rsidRDefault="00C4352D" w:rsidP="00C4352D">
      <w:pPr>
        <w:pStyle w:val="Heading1"/>
        <w:rPr>
          <w:rFonts w:ascii="Arial Bold" w:hAnsi="Arial Bold"/>
          <w:smallCaps w:val="0"/>
          <w:sz w:val="36"/>
        </w:rPr>
      </w:pPr>
      <w:r w:rsidRPr="00C4352D">
        <w:rPr>
          <w:rFonts w:ascii="Arial Bold" w:hAnsi="Arial Bold"/>
          <w:smallCaps w:val="0"/>
          <w:sz w:val="36"/>
        </w:rPr>
        <w:t xml:space="preserve">Portfolio </w:t>
      </w:r>
      <w:r w:rsidR="00A609B4" w:rsidRPr="00C4352D">
        <w:rPr>
          <w:rFonts w:ascii="Arial Bold" w:hAnsi="Arial Bold"/>
          <w:smallCaps w:val="0"/>
          <w:sz w:val="36"/>
        </w:rPr>
        <w:t>G</w:t>
      </w:r>
      <w:r w:rsidR="006F4933" w:rsidRPr="00C4352D">
        <w:rPr>
          <w:rFonts w:ascii="Arial Bold" w:hAnsi="Arial Bold"/>
          <w:smallCaps w:val="0"/>
          <w:sz w:val="36"/>
        </w:rPr>
        <w:t>lossary</w:t>
      </w:r>
    </w:p>
    <w:tbl>
      <w:tblPr>
        <w:tblW w:w="0" w:type="auto"/>
        <w:tblInd w:w="108" w:type="dxa"/>
        <w:tblLook w:val="01E0" w:firstRow="1" w:lastRow="1" w:firstColumn="1" w:lastColumn="1" w:noHBand="0" w:noVBand="0"/>
      </w:tblPr>
      <w:tblGrid>
        <w:gridCol w:w="2775"/>
        <w:gridCol w:w="4622"/>
        <w:gridCol w:w="205"/>
      </w:tblGrid>
      <w:tr w:rsidR="006F4933" w14:paraId="41899178" w14:textId="77777777" w:rsidTr="00986CB7">
        <w:trPr>
          <w:tblHeader/>
        </w:trPr>
        <w:tc>
          <w:tcPr>
            <w:tcW w:w="2840" w:type="dxa"/>
            <w:hideMark/>
          </w:tcPr>
          <w:p w14:paraId="41899176" w14:textId="77777777" w:rsidR="006F4933" w:rsidRDefault="006F4933">
            <w:pPr>
              <w:pStyle w:val="TableColumnHeadingLeft"/>
              <w:spacing w:line="256" w:lineRule="auto"/>
              <w:rPr>
                <w:lang w:eastAsia="en-US"/>
              </w:rPr>
            </w:pPr>
            <w:r>
              <w:rPr>
                <w:lang w:eastAsia="en-US"/>
              </w:rPr>
              <w:t>Term</w:t>
            </w:r>
          </w:p>
        </w:tc>
        <w:tc>
          <w:tcPr>
            <w:tcW w:w="4978" w:type="dxa"/>
            <w:gridSpan w:val="2"/>
            <w:hideMark/>
          </w:tcPr>
          <w:p w14:paraId="41899177" w14:textId="77777777" w:rsidR="006F4933" w:rsidRDefault="006F4933">
            <w:pPr>
              <w:pStyle w:val="TableColumnHeadingLeft"/>
              <w:spacing w:line="256" w:lineRule="auto"/>
              <w:rPr>
                <w:lang w:eastAsia="en-US"/>
              </w:rPr>
            </w:pPr>
            <w:r>
              <w:rPr>
                <w:lang w:eastAsia="en-US"/>
              </w:rPr>
              <w:t>Meaning</w:t>
            </w:r>
          </w:p>
        </w:tc>
      </w:tr>
      <w:tr w:rsidR="006F4933" w14:paraId="4189917B" w14:textId="77777777" w:rsidTr="00986CB7">
        <w:tc>
          <w:tcPr>
            <w:tcW w:w="2840" w:type="dxa"/>
            <w:hideMark/>
          </w:tcPr>
          <w:p w14:paraId="4189917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Accumulated depreciation</w:t>
            </w:r>
          </w:p>
        </w:tc>
        <w:tc>
          <w:tcPr>
            <w:tcW w:w="4978" w:type="dxa"/>
            <w:gridSpan w:val="2"/>
            <w:hideMark/>
          </w:tcPr>
          <w:p w14:paraId="4189917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aggregate depreciation recorded for a particular depreciating asset.</w:t>
            </w:r>
          </w:p>
        </w:tc>
      </w:tr>
      <w:tr w:rsidR="00EE5210" w14:paraId="4189917E" w14:textId="77777777" w:rsidTr="00986CB7">
        <w:tc>
          <w:tcPr>
            <w:tcW w:w="2840" w:type="dxa"/>
            <w:hideMark/>
          </w:tcPr>
          <w:p w14:paraId="4189917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Administered item</w:t>
            </w:r>
          </w:p>
        </w:tc>
        <w:tc>
          <w:tcPr>
            <w:tcW w:w="4978" w:type="dxa"/>
            <w:gridSpan w:val="2"/>
            <w:hideMark/>
          </w:tcPr>
          <w:p w14:paraId="4189917D"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 that consists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EE5210" w14:paraId="41899181" w14:textId="77777777" w:rsidTr="00986CB7">
        <w:tc>
          <w:tcPr>
            <w:tcW w:w="2840" w:type="dxa"/>
            <w:hideMark/>
          </w:tcPr>
          <w:p w14:paraId="4189917F"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Appropriation</w:t>
            </w:r>
          </w:p>
        </w:tc>
        <w:tc>
          <w:tcPr>
            <w:tcW w:w="4978" w:type="dxa"/>
            <w:gridSpan w:val="2"/>
            <w:hideMark/>
          </w:tcPr>
          <w:p w14:paraId="41899180" w14:textId="0C646E4E" w:rsidR="00C12B75" w:rsidRDefault="00C12B75" w:rsidP="00C12B75">
            <w:pPr>
              <w:pStyle w:val="TableTextLeft"/>
              <w:spacing w:line="256" w:lineRule="auto"/>
              <w:rPr>
                <w:rFonts w:ascii="Book Antiqua" w:hAnsi="Book Antiqua"/>
                <w:sz w:val="20"/>
                <w:lang w:eastAsia="en-US"/>
              </w:rPr>
            </w:pPr>
            <w:r w:rsidRPr="00C12B75">
              <w:rPr>
                <w:rFonts w:ascii="Book Antiqua" w:hAnsi="Book Antiqua"/>
                <w:sz w:val="20"/>
                <w:lang w:eastAsia="en-US"/>
              </w:rPr>
              <w:t>A law of the Australian Parliament that provides authority for Commonwealth entities to spend money from the CRF for a particular purpose. Entities may not spend money without an appropriation authorising that expenditure and, where necessary, other legislation authorising the specified purpose.</w:t>
            </w:r>
          </w:p>
        </w:tc>
      </w:tr>
      <w:tr w:rsidR="00EE5210" w14:paraId="41899184" w14:textId="77777777" w:rsidTr="00986CB7">
        <w:tc>
          <w:tcPr>
            <w:tcW w:w="2840" w:type="dxa"/>
            <w:hideMark/>
          </w:tcPr>
          <w:p w14:paraId="41899182"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1)</w:t>
            </w:r>
          </w:p>
        </w:tc>
        <w:tc>
          <w:tcPr>
            <w:tcW w:w="4978" w:type="dxa"/>
            <w:gridSpan w:val="2"/>
            <w:hideMark/>
          </w:tcPr>
          <w:p w14:paraId="41899183"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the ordinary annual services of government. Bills proposing appropriations for ordinary annual services cannot be amended by the Senate under Section 53 of the Australian Constitution. Once the Bill is passed by Parliament and given Royal Assent, it becomes Appropriation Act (No. 1).</w:t>
            </w:r>
          </w:p>
        </w:tc>
      </w:tr>
      <w:tr w:rsidR="00EE5210" w14:paraId="41899187" w14:textId="77777777" w:rsidTr="00986CB7">
        <w:tc>
          <w:tcPr>
            <w:tcW w:w="2840" w:type="dxa"/>
            <w:hideMark/>
          </w:tcPr>
          <w:p w14:paraId="4189918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Appropriation Bill </w:t>
            </w:r>
            <w:r>
              <w:rPr>
                <w:rFonts w:ascii="Book Antiqua" w:hAnsi="Book Antiqua"/>
                <w:sz w:val="20"/>
                <w:lang w:eastAsia="en-US"/>
              </w:rPr>
              <w:br/>
              <w:t>(No. 2)</w:t>
            </w:r>
          </w:p>
        </w:tc>
        <w:tc>
          <w:tcPr>
            <w:tcW w:w="4978" w:type="dxa"/>
            <w:gridSpan w:val="2"/>
            <w:hideMark/>
          </w:tcPr>
          <w:p w14:paraId="504E61A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This Bill proposes spending from the CRF for purposes other than the ordinary annual services of government. Under existing arrangements between the two Houses of Parliament, this Bill includes appropriation funding of administered expenses for new outcomes, for payments to the states and territories, and for departmental or administered capital. Funding for extensions to existing programs can be included in Appropriation Bill (No. 1). Once the Bill is passed by Parliament and given Royal Assent, it becomes Appropriation Act (No. 2).</w:t>
            </w:r>
          </w:p>
          <w:p w14:paraId="41899186" w14:textId="282FE419" w:rsidR="00B05A07" w:rsidRPr="00B05A07" w:rsidRDefault="00B05A07" w:rsidP="00B05A07">
            <w:pPr>
              <w:ind w:firstLine="720"/>
              <w:rPr>
                <w:lang w:eastAsia="en-US"/>
              </w:rPr>
            </w:pPr>
          </w:p>
        </w:tc>
      </w:tr>
      <w:tr w:rsidR="00EE5210" w14:paraId="4189918A" w14:textId="77777777" w:rsidTr="00986CB7">
        <w:tc>
          <w:tcPr>
            <w:tcW w:w="2840" w:type="dxa"/>
            <w:hideMark/>
          </w:tcPr>
          <w:p w14:paraId="41899188" w14:textId="58A7DBFC"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Appropriation Bills (Nos.</w:t>
            </w:r>
            <w:r w:rsidR="00AD18F0">
              <w:rPr>
                <w:rFonts w:ascii="Book Antiqua" w:hAnsi="Book Antiqua"/>
                <w:sz w:val="20"/>
                <w:lang w:eastAsia="en-US"/>
              </w:rPr>
              <w:t> </w:t>
            </w:r>
            <w:r>
              <w:rPr>
                <w:rFonts w:ascii="Book Antiqua" w:hAnsi="Book Antiqua"/>
                <w:sz w:val="20"/>
                <w:lang w:eastAsia="en-US"/>
              </w:rPr>
              <w:t>3</w:t>
            </w:r>
            <w:r w:rsidR="00AD18F0">
              <w:rPr>
                <w:rFonts w:ascii="Book Antiqua" w:hAnsi="Book Antiqua"/>
                <w:sz w:val="20"/>
                <w:lang w:eastAsia="en-US"/>
              </w:rPr>
              <w:t> </w:t>
            </w:r>
            <w:r>
              <w:rPr>
                <w:rFonts w:ascii="Book Antiqua" w:hAnsi="Book Antiqua"/>
                <w:sz w:val="20"/>
                <w:lang w:eastAsia="en-US"/>
              </w:rPr>
              <w:t>and 4)</w:t>
            </w:r>
          </w:p>
        </w:tc>
        <w:tc>
          <w:tcPr>
            <w:tcW w:w="4978" w:type="dxa"/>
            <w:gridSpan w:val="2"/>
            <w:hideMark/>
          </w:tcPr>
          <w:p w14:paraId="41899189" w14:textId="17CBAF2B"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If an amount provided in Appropriation Acts (No</w:t>
            </w:r>
            <w:r w:rsidR="006C46F1">
              <w:rPr>
                <w:rFonts w:ascii="Book Antiqua" w:hAnsi="Book Antiqua"/>
                <w:sz w:val="20"/>
                <w:lang w:eastAsia="en-US"/>
              </w:rPr>
              <w:t>s. </w:t>
            </w:r>
            <w:r>
              <w:rPr>
                <w:rFonts w:ascii="Book Antiqua" w:hAnsi="Book Antiqua"/>
                <w:sz w:val="20"/>
                <w:lang w:eastAsia="en-US"/>
              </w:rPr>
              <w:t>1 or 2) is not enough to meet approved expenditure in a financial year, supplementary appropriation may be sought in Appropriation Bills (Nos. 3 or 4). Once these Bills are passed by Parliament and given royal assent, they become the</w:t>
            </w:r>
            <w:r w:rsidR="006C46F1">
              <w:rPr>
                <w:rFonts w:ascii="Book Antiqua" w:hAnsi="Book Antiqua"/>
                <w:sz w:val="20"/>
                <w:lang w:eastAsia="en-US"/>
              </w:rPr>
              <w:t> </w:t>
            </w:r>
            <w:r>
              <w:rPr>
                <w:rFonts w:ascii="Book Antiqua" w:hAnsi="Book Antiqua"/>
                <w:sz w:val="20"/>
                <w:lang w:eastAsia="en-US"/>
              </w:rPr>
              <w:t>Appropriation Acts (Nos. 3 and 4). They are also commonly referred to as the Additional Estimates</w:t>
            </w:r>
            <w:r w:rsidR="006C46F1">
              <w:rPr>
                <w:rFonts w:ascii="Book Antiqua" w:hAnsi="Book Antiqua"/>
                <w:sz w:val="20"/>
                <w:lang w:eastAsia="en-US"/>
              </w:rPr>
              <w:t> </w:t>
            </w:r>
            <w:r>
              <w:rPr>
                <w:rFonts w:ascii="Book Antiqua" w:hAnsi="Book Antiqua"/>
                <w:sz w:val="20"/>
                <w:lang w:eastAsia="en-US"/>
              </w:rPr>
              <w:t>Bills.</w:t>
            </w:r>
          </w:p>
        </w:tc>
      </w:tr>
      <w:tr w:rsidR="00EE5210" w14:paraId="4189918D" w14:textId="77777777" w:rsidTr="00986CB7">
        <w:tc>
          <w:tcPr>
            <w:tcW w:w="2840" w:type="dxa"/>
            <w:hideMark/>
          </w:tcPr>
          <w:p w14:paraId="4189918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Assets</w:t>
            </w:r>
          </w:p>
        </w:tc>
        <w:tc>
          <w:tcPr>
            <w:tcW w:w="4978" w:type="dxa"/>
            <w:gridSpan w:val="2"/>
            <w:hideMark/>
          </w:tcPr>
          <w:p w14:paraId="4189918C"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Future economic benefits controlled by an entity as a result of past transactions or other past events.</w:t>
            </w:r>
          </w:p>
        </w:tc>
      </w:tr>
      <w:tr w:rsidR="00EE5210" w14:paraId="41899190" w14:textId="77777777" w:rsidTr="00986CB7">
        <w:tc>
          <w:tcPr>
            <w:tcW w:w="2840" w:type="dxa"/>
            <w:hideMark/>
          </w:tcPr>
          <w:p w14:paraId="4189918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Average staffing level</w:t>
            </w:r>
          </w:p>
        </w:tc>
        <w:tc>
          <w:tcPr>
            <w:tcW w:w="4978" w:type="dxa"/>
            <w:gridSpan w:val="2"/>
            <w:hideMark/>
          </w:tcPr>
          <w:p w14:paraId="4189918F" w14:textId="25D0E104"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The average number of employees receiving salary/wages (or compensation in lieu of salary/wages) over a financial year, with adjustments for casual and part</w:t>
            </w:r>
            <w:r w:rsidR="00AD18F0">
              <w:rPr>
                <w:rFonts w:ascii="Book Antiqua" w:hAnsi="Book Antiqua"/>
                <w:sz w:val="20"/>
                <w:lang w:eastAsia="en-US"/>
              </w:rPr>
              <w:noBreakHyphen/>
            </w:r>
            <w:r w:rsidR="006844A0">
              <w:rPr>
                <w:rFonts w:ascii="Book Antiqua" w:hAnsi="Book Antiqua"/>
                <w:sz w:val="20"/>
                <w:lang w:eastAsia="en-US"/>
              </w:rPr>
              <w:t>time employees to show the full</w:t>
            </w:r>
            <w:r w:rsidR="00AD18F0">
              <w:rPr>
                <w:rFonts w:ascii="Book Antiqua" w:hAnsi="Book Antiqua"/>
                <w:sz w:val="20"/>
                <w:lang w:eastAsia="en-US"/>
              </w:rPr>
              <w:noBreakHyphen/>
            </w:r>
            <w:r>
              <w:rPr>
                <w:rFonts w:ascii="Book Antiqua" w:hAnsi="Book Antiqua"/>
                <w:sz w:val="20"/>
                <w:lang w:eastAsia="en-US"/>
              </w:rPr>
              <w:t>time equivalent.</w:t>
            </w:r>
          </w:p>
        </w:tc>
      </w:tr>
      <w:tr w:rsidR="00EE5210" w14:paraId="41899193" w14:textId="77777777" w:rsidTr="00986CB7">
        <w:tc>
          <w:tcPr>
            <w:tcW w:w="2840" w:type="dxa"/>
            <w:hideMark/>
          </w:tcPr>
          <w:p w14:paraId="41899191"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1 (BP1)</w:t>
            </w:r>
          </w:p>
        </w:tc>
        <w:tc>
          <w:tcPr>
            <w:tcW w:w="4978" w:type="dxa"/>
            <w:gridSpan w:val="2"/>
            <w:hideMark/>
          </w:tcPr>
          <w:p w14:paraId="41899192" w14:textId="235A987A"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Strategy and Outlook. Provides information and analysis on whole</w:t>
            </w:r>
            <w:r w:rsidR="00AD18F0">
              <w:rPr>
                <w:rFonts w:ascii="Book Antiqua" w:hAnsi="Book Antiqua"/>
                <w:sz w:val="20"/>
                <w:lang w:eastAsia="en-US"/>
              </w:rPr>
              <w:noBreakHyphen/>
            </w:r>
            <w:r>
              <w:rPr>
                <w:rFonts w:ascii="Book Antiqua" w:hAnsi="Book Antiqua"/>
                <w:sz w:val="20"/>
                <w:lang w:eastAsia="en-US"/>
              </w:rPr>
              <w:t>of</w:t>
            </w:r>
            <w:r w:rsidR="00AD18F0">
              <w:rPr>
                <w:rFonts w:ascii="Book Antiqua" w:hAnsi="Book Antiqua"/>
                <w:sz w:val="20"/>
                <w:lang w:eastAsia="en-US"/>
              </w:rPr>
              <w:noBreakHyphen/>
            </w:r>
            <w:r>
              <w:rPr>
                <w:rFonts w:ascii="Book Antiqua" w:hAnsi="Book Antiqua"/>
                <w:sz w:val="20"/>
                <w:lang w:eastAsia="en-US"/>
              </w:rPr>
              <w:t>government expenditure and revenue.</w:t>
            </w:r>
          </w:p>
        </w:tc>
      </w:tr>
      <w:tr w:rsidR="00EE5210" w14:paraId="41899196" w14:textId="77777777" w:rsidTr="00986CB7">
        <w:tc>
          <w:tcPr>
            <w:tcW w:w="2840" w:type="dxa"/>
            <w:hideMark/>
          </w:tcPr>
          <w:p w14:paraId="41899194"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2 (BP2)</w:t>
            </w:r>
          </w:p>
        </w:tc>
        <w:tc>
          <w:tcPr>
            <w:tcW w:w="4978" w:type="dxa"/>
            <w:gridSpan w:val="2"/>
            <w:hideMark/>
          </w:tcPr>
          <w:p w14:paraId="41899195"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Measures. Provides a description of each budget measure by portfolio.</w:t>
            </w:r>
          </w:p>
        </w:tc>
      </w:tr>
      <w:tr w:rsidR="00EE5210" w14:paraId="41899199" w14:textId="77777777" w:rsidTr="00986CB7">
        <w:tc>
          <w:tcPr>
            <w:tcW w:w="2840" w:type="dxa"/>
            <w:hideMark/>
          </w:tcPr>
          <w:p w14:paraId="41899197"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3 (BP3)</w:t>
            </w:r>
          </w:p>
        </w:tc>
        <w:tc>
          <w:tcPr>
            <w:tcW w:w="4978" w:type="dxa"/>
            <w:gridSpan w:val="2"/>
            <w:hideMark/>
          </w:tcPr>
          <w:p w14:paraId="41899198" w14:textId="60C19DCA"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Australia</w:t>
            </w:r>
            <w:r w:rsidR="00AD18F0">
              <w:rPr>
                <w:rFonts w:ascii="Book Antiqua" w:hAnsi="Book Antiqua"/>
                <w:sz w:val="20"/>
                <w:lang w:eastAsia="en-US"/>
              </w:rPr>
              <w:t>’</w:t>
            </w:r>
            <w:r>
              <w:rPr>
                <w:rFonts w:ascii="Book Antiqua" w:hAnsi="Book Antiqua"/>
                <w:sz w:val="20"/>
                <w:lang w:eastAsia="en-US"/>
              </w:rPr>
              <w:t>s Federal Relations. Provides information and analysis on federal funding provided to the states and territories.</w:t>
            </w:r>
          </w:p>
        </w:tc>
      </w:tr>
      <w:tr w:rsidR="00EE5210" w14:paraId="4189919C" w14:textId="77777777" w:rsidTr="00986CB7">
        <w:tc>
          <w:tcPr>
            <w:tcW w:w="2840" w:type="dxa"/>
            <w:hideMark/>
          </w:tcPr>
          <w:p w14:paraId="4189919A"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Budget Paper 4 (BP4)</w:t>
            </w:r>
          </w:p>
        </w:tc>
        <w:tc>
          <w:tcPr>
            <w:tcW w:w="4978" w:type="dxa"/>
            <w:gridSpan w:val="2"/>
            <w:hideMark/>
          </w:tcPr>
          <w:p w14:paraId="4189919B"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Entity Resourcing. Details total resourcing available to agencies.</w:t>
            </w:r>
          </w:p>
        </w:tc>
      </w:tr>
      <w:tr w:rsidR="00EE5210" w14:paraId="4189919F" w14:textId="77777777" w:rsidTr="00986CB7">
        <w:tc>
          <w:tcPr>
            <w:tcW w:w="2840" w:type="dxa"/>
            <w:hideMark/>
          </w:tcPr>
          <w:p w14:paraId="4189919D" w14:textId="693BE15C" w:rsidR="00EE5210" w:rsidRDefault="00C12B75" w:rsidP="00986CB7">
            <w:pPr>
              <w:pStyle w:val="TableTextLeft"/>
              <w:spacing w:line="256" w:lineRule="auto"/>
              <w:rPr>
                <w:rFonts w:ascii="Book Antiqua" w:hAnsi="Book Antiqua"/>
                <w:sz w:val="20"/>
                <w:lang w:eastAsia="en-US"/>
              </w:rPr>
            </w:pPr>
            <w:r>
              <w:rPr>
                <w:rFonts w:ascii="Book Antiqua" w:hAnsi="Book Antiqua"/>
                <w:sz w:val="20"/>
                <w:lang w:eastAsia="en-US"/>
              </w:rPr>
              <w:t>Capital e</w:t>
            </w:r>
            <w:r w:rsidR="00EE5210">
              <w:rPr>
                <w:rFonts w:ascii="Book Antiqua" w:hAnsi="Book Antiqua"/>
                <w:sz w:val="20"/>
                <w:lang w:eastAsia="en-US"/>
              </w:rPr>
              <w:t>xpenditure</w:t>
            </w:r>
          </w:p>
        </w:tc>
        <w:tc>
          <w:tcPr>
            <w:tcW w:w="4978" w:type="dxa"/>
            <w:gridSpan w:val="2"/>
            <w:hideMark/>
          </w:tcPr>
          <w:p w14:paraId="4189919E" w14:textId="77777777" w:rsidR="00EE5210" w:rsidRDefault="00EE5210" w:rsidP="00986CB7">
            <w:pPr>
              <w:pStyle w:val="TableTextLeft"/>
              <w:spacing w:line="256" w:lineRule="auto"/>
              <w:rPr>
                <w:rFonts w:ascii="Book Antiqua" w:hAnsi="Book Antiqua"/>
                <w:sz w:val="20"/>
                <w:lang w:eastAsia="en-US"/>
              </w:rPr>
            </w:pPr>
            <w:r>
              <w:rPr>
                <w:rFonts w:ascii="Book Antiqua" w:hAnsi="Book Antiqua"/>
                <w:sz w:val="20"/>
                <w:lang w:eastAsia="en-US"/>
              </w:rPr>
              <w:t>Expenditure by an entity on capital projects; for example, purchasing a building.</w:t>
            </w:r>
          </w:p>
        </w:tc>
      </w:tr>
      <w:tr w:rsidR="00EE5210" w14:paraId="418991A2" w14:textId="77777777" w:rsidTr="00986CB7">
        <w:tc>
          <w:tcPr>
            <w:tcW w:w="2840" w:type="dxa"/>
            <w:hideMark/>
          </w:tcPr>
          <w:p w14:paraId="418991A0" w14:textId="4753D403" w:rsidR="00EE5210" w:rsidRDefault="00EE5210" w:rsidP="00C12B75">
            <w:pPr>
              <w:pStyle w:val="TableTextLeft"/>
              <w:keepNext/>
              <w:keepLines/>
              <w:spacing w:line="257" w:lineRule="auto"/>
              <w:rPr>
                <w:rFonts w:ascii="Book Antiqua" w:hAnsi="Book Antiqua"/>
                <w:sz w:val="20"/>
                <w:lang w:eastAsia="en-US"/>
              </w:rPr>
            </w:pPr>
            <w:r>
              <w:rPr>
                <w:rFonts w:ascii="Book Antiqua" w:hAnsi="Book Antiqua"/>
                <w:sz w:val="20"/>
                <w:lang w:eastAsia="en-US"/>
              </w:rPr>
              <w:lastRenderedPageBreak/>
              <w:t xml:space="preserve">Consolidated Revenue Fund </w:t>
            </w:r>
          </w:p>
        </w:tc>
        <w:tc>
          <w:tcPr>
            <w:tcW w:w="4978" w:type="dxa"/>
            <w:gridSpan w:val="2"/>
            <w:hideMark/>
          </w:tcPr>
          <w:p w14:paraId="418991A1" w14:textId="77777777" w:rsidR="00EE5210" w:rsidRDefault="00EE5210"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6F4933" w14:paraId="418991A5" w14:textId="77777777" w:rsidTr="00986CB7">
        <w:trPr>
          <w:gridAfter w:val="1"/>
          <w:wAfter w:w="216" w:type="dxa"/>
        </w:trPr>
        <w:tc>
          <w:tcPr>
            <w:tcW w:w="2840" w:type="dxa"/>
            <w:hideMark/>
          </w:tcPr>
          <w:p w14:paraId="418991A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Departmental Capital Budget (DCB)</w:t>
            </w:r>
          </w:p>
        </w:tc>
        <w:tc>
          <w:tcPr>
            <w:tcW w:w="4762" w:type="dxa"/>
            <w:hideMark/>
          </w:tcPr>
          <w:p w14:paraId="418991A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6F4933" w14:paraId="418991A8" w14:textId="77777777" w:rsidTr="00986CB7">
        <w:trPr>
          <w:gridAfter w:val="1"/>
          <w:wAfter w:w="216" w:type="dxa"/>
        </w:trPr>
        <w:tc>
          <w:tcPr>
            <w:tcW w:w="2840" w:type="dxa"/>
            <w:hideMark/>
          </w:tcPr>
          <w:p w14:paraId="418991A6"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Departmental item</w:t>
            </w:r>
          </w:p>
        </w:tc>
        <w:tc>
          <w:tcPr>
            <w:tcW w:w="4762" w:type="dxa"/>
            <w:hideMark/>
          </w:tcPr>
          <w:p w14:paraId="418991A7" w14:textId="4459F400"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Resources (assets, liabilities, revenues and expenses) that </w:t>
            </w:r>
            <w:r w:rsidR="009927CE">
              <w:rPr>
                <w:rFonts w:ascii="Book Antiqua" w:hAnsi="Book Antiqua"/>
                <w:sz w:val="20"/>
                <w:lang w:eastAsia="en-US"/>
              </w:rPr>
              <w:t xml:space="preserve">entity </w:t>
            </w:r>
            <w:r w:rsidR="005B2AA9">
              <w:rPr>
                <w:rFonts w:ascii="Book Antiqua" w:hAnsi="Book Antiqua"/>
                <w:sz w:val="20"/>
                <w:lang w:eastAsia="en-US"/>
              </w:rPr>
              <w:t>accountable authorities</w:t>
            </w:r>
            <w:r>
              <w:rPr>
                <w:rFonts w:ascii="Book Antiqua" w:hAnsi="Book Antiqua"/>
                <w:sz w:val="20"/>
                <w:lang w:eastAsia="en-US"/>
              </w:rPr>
              <w:t xml:space="preserve"> control directly. This includes outsourced activities funded and controlled by the entity. Examples of departmental items include entity running costs, accrued employee entitlements and net appropriations. A departmental item is a</w:t>
            </w:r>
            <w:r w:rsidR="006C46F1">
              <w:rPr>
                <w:rFonts w:ascii="Book Antiqua" w:hAnsi="Book Antiqua"/>
                <w:sz w:val="20"/>
                <w:lang w:eastAsia="en-US"/>
              </w:rPr>
              <w:t> </w:t>
            </w:r>
            <w:r>
              <w:rPr>
                <w:rFonts w:ascii="Book Antiqua" w:hAnsi="Book Antiqua"/>
                <w:sz w:val="20"/>
                <w:lang w:eastAsia="en-US"/>
              </w:rPr>
              <w:t>component of a departmental program.</w:t>
            </w:r>
          </w:p>
        </w:tc>
      </w:tr>
      <w:tr w:rsidR="006F4933" w14:paraId="418991AB" w14:textId="77777777" w:rsidTr="00986CB7">
        <w:trPr>
          <w:gridAfter w:val="1"/>
          <w:wAfter w:w="216" w:type="dxa"/>
        </w:trPr>
        <w:tc>
          <w:tcPr>
            <w:tcW w:w="2840" w:type="dxa"/>
            <w:hideMark/>
          </w:tcPr>
          <w:p w14:paraId="418991A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Depreciation</w:t>
            </w:r>
          </w:p>
        </w:tc>
        <w:tc>
          <w:tcPr>
            <w:tcW w:w="4762" w:type="dxa"/>
            <w:hideMark/>
          </w:tcPr>
          <w:p w14:paraId="418991AA" w14:textId="6FEA3A7A"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Apportionment of an asset</w:t>
            </w:r>
            <w:r w:rsidR="00AD18F0">
              <w:rPr>
                <w:rFonts w:ascii="Book Antiqua" w:hAnsi="Book Antiqua"/>
                <w:sz w:val="20"/>
                <w:lang w:eastAsia="en-US"/>
              </w:rPr>
              <w:t>’</w:t>
            </w:r>
            <w:r>
              <w:rPr>
                <w:rFonts w:ascii="Book Antiqua" w:hAnsi="Book Antiqua"/>
                <w:sz w:val="20"/>
                <w:lang w:eastAsia="en-US"/>
              </w:rPr>
              <w:t>s capital value as an expense over its estimated useful life to take account of normal usage, obsolescence, or the passage of time.</w:t>
            </w:r>
          </w:p>
        </w:tc>
      </w:tr>
      <w:tr w:rsidR="006F4933" w14:paraId="418991AE" w14:textId="77777777" w:rsidTr="00986CB7">
        <w:trPr>
          <w:gridAfter w:val="1"/>
          <w:wAfter w:w="216" w:type="dxa"/>
        </w:trPr>
        <w:tc>
          <w:tcPr>
            <w:tcW w:w="2840" w:type="dxa"/>
            <w:hideMark/>
          </w:tcPr>
          <w:p w14:paraId="418991A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Equity or net assets</w:t>
            </w:r>
          </w:p>
        </w:tc>
        <w:tc>
          <w:tcPr>
            <w:tcW w:w="4762" w:type="dxa"/>
            <w:hideMark/>
          </w:tcPr>
          <w:p w14:paraId="418991A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Residual interest in the assets of an entity after deduction of its liabilities.</w:t>
            </w:r>
          </w:p>
        </w:tc>
      </w:tr>
      <w:tr w:rsidR="006F4933" w14:paraId="418991B1" w14:textId="77777777" w:rsidTr="00986CB7">
        <w:trPr>
          <w:gridAfter w:val="1"/>
          <w:wAfter w:w="216" w:type="dxa"/>
        </w:trPr>
        <w:tc>
          <w:tcPr>
            <w:tcW w:w="2840" w:type="dxa"/>
            <w:hideMark/>
          </w:tcPr>
          <w:p w14:paraId="418991AF"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Entity</w:t>
            </w:r>
          </w:p>
        </w:tc>
        <w:tc>
          <w:tcPr>
            <w:tcW w:w="4762" w:type="dxa"/>
            <w:hideMark/>
          </w:tcPr>
          <w:p w14:paraId="418991B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 department, agency, company or authority under the </w:t>
            </w:r>
            <w:r>
              <w:rPr>
                <w:rFonts w:ascii="Book Antiqua" w:hAnsi="Book Antiqua"/>
                <w:i/>
                <w:sz w:val="20"/>
                <w:lang w:eastAsia="en-US"/>
              </w:rPr>
              <w:t>Public Governance, Performance and Accountability Act 2013</w:t>
            </w:r>
            <w:r>
              <w:rPr>
                <w:rFonts w:ascii="Book Antiqua" w:hAnsi="Book Antiqua"/>
                <w:sz w:val="20"/>
                <w:lang w:eastAsia="en-US"/>
              </w:rPr>
              <w:t xml:space="preserve"> (PGPA Act) or any other Commonwealth statutory authority.</w:t>
            </w:r>
          </w:p>
        </w:tc>
      </w:tr>
      <w:tr w:rsidR="006F4933" w14:paraId="418991B4" w14:textId="77777777" w:rsidTr="00986CB7">
        <w:trPr>
          <w:gridAfter w:val="1"/>
          <w:wAfter w:w="216" w:type="dxa"/>
        </w:trPr>
        <w:tc>
          <w:tcPr>
            <w:tcW w:w="2840" w:type="dxa"/>
            <w:hideMark/>
          </w:tcPr>
          <w:p w14:paraId="418991B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Estimated actual expenses</w:t>
            </w:r>
          </w:p>
        </w:tc>
        <w:tc>
          <w:tcPr>
            <w:tcW w:w="4762" w:type="dxa"/>
            <w:hideMark/>
          </w:tcPr>
          <w:p w14:paraId="418991B3" w14:textId="273BCE3A"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Details of the current year</w:t>
            </w:r>
            <w:r w:rsidR="00AD18F0">
              <w:rPr>
                <w:rFonts w:ascii="Book Antiqua" w:hAnsi="Book Antiqua"/>
                <w:sz w:val="20"/>
                <w:lang w:eastAsia="en-US"/>
              </w:rPr>
              <w:t>’</w:t>
            </w:r>
            <w:r>
              <w:rPr>
                <w:rFonts w:ascii="Book Antiqua" w:hAnsi="Book Antiqua"/>
                <w:sz w:val="20"/>
                <w:lang w:eastAsia="en-US"/>
              </w:rPr>
              <w:t>s estimated final figures as included in the Budget documentation. As the Budget is released in May each year, but the financial year does not close off until 30 June, the current year numbers that are used for comparison with Budget amounts can only be estimates.</w:t>
            </w:r>
          </w:p>
        </w:tc>
      </w:tr>
      <w:tr w:rsidR="006F4933" w14:paraId="418991B7" w14:textId="77777777" w:rsidTr="00986CB7">
        <w:trPr>
          <w:gridAfter w:val="1"/>
          <w:wAfter w:w="216" w:type="dxa"/>
        </w:trPr>
        <w:tc>
          <w:tcPr>
            <w:tcW w:w="2840" w:type="dxa"/>
            <w:hideMark/>
          </w:tcPr>
          <w:p w14:paraId="418991B5"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Expenditure</w:t>
            </w:r>
          </w:p>
        </w:tc>
        <w:tc>
          <w:tcPr>
            <w:tcW w:w="4762" w:type="dxa"/>
            <w:hideMark/>
          </w:tcPr>
          <w:p w14:paraId="418991B6"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Spending money from the Consolidated Revenue Fund or a notional payment to a PGPA entity.</w:t>
            </w:r>
          </w:p>
        </w:tc>
      </w:tr>
      <w:tr w:rsidR="006F4933" w14:paraId="418991BA" w14:textId="77777777" w:rsidTr="00986CB7">
        <w:trPr>
          <w:gridAfter w:val="1"/>
          <w:wAfter w:w="216" w:type="dxa"/>
        </w:trPr>
        <w:tc>
          <w:tcPr>
            <w:tcW w:w="2840" w:type="dxa"/>
            <w:hideMark/>
          </w:tcPr>
          <w:p w14:paraId="418991B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w:t>
            </w:r>
          </w:p>
        </w:tc>
        <w:tc>
          <w:tcPr>
            <w:tcW w:w="4762" w:type="dxa"/>
            <w:hideMark/>
          </w:tcPr>
          <w:p w14:paraId="418991B9"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Decreases in economic benefits in the form of outflows or depletions of assets or incurrence of liabilities that result in decreases in equity, other than those relating to distributions to equity participants.</w:t>
            </w:r>
          </w:p>
        </w:tc>
      </w:tr>
      <w:tr w:rsidR="006F4933" w14:paraId="418991BD" w14:textId="77777777" w:rsidTr="006F4933">
        <w:trPr>
          <w:gridAfter w:val="1"/>
          <w:wAfter w:w="216" w:type="dxa"/>
        </w:trPr>
        <w:tc>
          <w:tcPr>
            <w:tcW w:w="2840" w:type="dxa"/>
            <w:hideMark/>
          </w:tcPr>
          <w:p w14:paraId="418991BB" w14:textId="1DC57360"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requiring appropriation in the Budget</w:t>
            </w:r>
            <w:r w:rsidR="006C46F1">
              <w:rPr>
                <w:rFonts w:ascii="Book Antiqua" w:hAnsi="Book Antiqua"/>
                <w:sz w:val="20"/>
                <w:lang w:eastAsia="en-US"/>
              </w:rPr>
              <w:t> </w:t>
            </w:r>
            <w:r>
              <w:rPr>
                <w:rFonts w:ascii="Book Antiqua" w:hAnsi="Book Antiqua"/>
                <w:sz w:val="20"/>
                <w:lang w:eastAsia="en-US"/>
              </w:rPr>
              <w:t>year</w:t>
            </w:r>
          </w:p>
        </w:tc>
        <w:tc>
          <w:tcPr>
            <w:tcW w:w="4762" w:type="dxa"/>
            <w:hideMark/>
          </w:tcPr>
          <w:p w14:paraId="418991BC"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Expenses not involving a cash flow impact are not included within the calculation of an appropriation. An example of such an event is goods or services received free of charge that are then expensed; for example, ANAO audit services. The ANAO does not charge for audit services; however, the expense must be recognised. Similarly, bad debts are recognised as an expense but are not recognised for the purpose of calculating appropriation amounts to be sought from Parliament.</w:t>
            </w:r>
          </w:p>
        </w:tc>
      </w:tr>
      <w:tr w:rsidR="006F4933" w14:paraId="418991C0" w14:textId="77777777" w:rsidTr="006F4933">
        <w:trPr>
          <w:gridAfter w:val="1"/>
          <w:wAfter w:w="216" w:type="dxa"/>
        </w:trPr>
        <w:tc>
          <w:tcPr>
            <w:tcW w:w="2840" w:type="dxa"/>
            <w:hideMark/>
          </w:tcPr>
          <w:p w14:paraId="418991B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Forward estimates period</w:t>
            </w:r>
          </w:p>
        </w:tc>
        <w:tc>
          <w:tcPr>
            <w:tcW w:w="4762" w:type="dxa"/>
            <w:hideMark/>
          </w:tcPr>
          <w:p w14:paraId="418991BF" w14:textId="387B8554" w:rsidR="006F4933" w:rsidRDefault="006F4933" w:rsidP="00C12B75">
            <w:pPr>
              <w:pStyle w:val="TableTextLeft"/>
              <w:spacing w:line="256" w:lineRule="auto"/>
              <w:rPr>
                <w:rFonts w:ascii="Book Antiqua" w:hAnsi="Book Antiqua"/>
                <w:sz w:val="20"/>
                <w:lang w:eastAsia="en-US"/>
              </w:rPr>
            </w:pPr>
            <w:r>
              <w:rPr>
                <w:rFonts w:ascii="Book Antiqua" w:hAnsi="Book Antiqua"/>
                <w:sz w:val="20"/>
                <w:lang w:eastAsia="en-US"/>
              </w:rPr>
              <w:t xml:space="preserve">The three years following the </w:t>
            </w:r>
            <w:r w:rsidR="00C12B75">
              <w:rPr>
                <w:rFonts w:ascii="Book Antiqua" w:hAnsi="Book Antiqua"/>
                <w:sz w:val="20"/>
                <w:lang w:eastAsia="en-US"/>
              </w:rPr>
              <w:t>Budget year. For example if 2020</w:t>
            </w:r>
            <w:r w:rsidR="00AD18F0">
              <w:rPr>
                <w:rFonts w:ascii="Book Antiqua" w:hAnsi="Book Antiqua"/>
                <w:sz w:val="20"/>
                <w:lang w:eastAsia="en-US"/>
              </w:rPr>
              <w:noBreakHyphen/>
            </w:r>
            <w:r w:rsidR="00C12B75">
              <w:rPr>
                <w:rFonts w:ascii="Book Antiqua" w:hAnsi="Book Antiqua"/>
                <w:sz w:val="20"/>
                <w:lang w:eastAsia="en-US"/>
              </w:rPr>
              <w:t>21</w:t>
            </w:r>
            <w:r>
              <w:rPr>
                <w:rFonts w:ascii="Book Antiqua" w:hAnsi="Book Antiqua"/>
                <w:sz w:val="20"/>
                <w:lang w:eastAsia="en-US"/>
              </w:rPr>
              <w:t xml:space="preserve"> is the Budget ye</w:t>
            </w:r>
            <w:r w:rsidR="00C12B75">
              <w:rPr>
                <w:rFonts w:ascii="Book Antiqua" w:hAnsi="Book Antiqua"/>
                <w:sz w:val="20"/>
                <w:lang w:eastAsia="en-US"/>
              </w:rPr>
              <w:t>ar, 2021</w:t>
            </w:r>
            <w:r w:rsidR="00AD18F0">
              <w:rPr>
                <w:rFonts w:ascii="Book Antiqua" w:hAnsi="Book Antiqua"/>
                <w:sz w:val="20"/>
                <w:lang w:eastAsia="en-US"/>
              </w:rPr>
              <w:noBreakHyphen/>
            </w:r>
            <w:r w:rsidR="00C12B75">
              <w:rPr>
                <w:rFonts w:ascii="Book Antiqua" w:hAnsi="Book Antiqua"/>
                <w:sz w:val="20"/>
                <w:lang w:eastAsia="en-US"/>
              </w:rPr>
              <w:t>22</w:t>
            </w:r>
            <w:r w:rsidR="006844A0">
              <w:rPr>
                <w:rFonts w:ascii="Book Antiqua" w:hAnsi="Book Antiqua"/>
                <w:sz w:val="20"/>
                <w:lang w:eastAsia="en-US"/>
              </w:rPr>
              <w:t xml:space="preserve"> is forward year 1, </w:t>
            </w:r>
            <w:r w:rsidR="00C12B75">
              <w:rPr>
                <w:rFonts w:ascii="Book Antiqua" w:hAnsi="Book Antiqua"/>
                <w:sz w:val="20"/>
                <w:lang w:eastAsia="en-US"/>
              </w:rPr>
              <w:t>2022</w:t>
            </w:r>
            <w:r w:rsidR="00AD18F0">
              <w:rPr>
                <w:rFonts w:ascii="Book Antiqua" w:hAnsi="Book Antiqua"/>
                <w:sz w:val="20"/>
                <w:lang w:eastAsia="en-US"/>
              </w:rPr>
              <w:noBreakHyphen/>
            </w:r>
            <w:r w:rsidR="00C12B75">
              <w:rPr>
                <w:rFonts w:ascii="Book Antiqua" w:hAnsi="Book Antiqua"/>
                <w:sz w:val="20"/>
                <w:lang w:eastAsia="en-US"/>
              </w:rPr>
              <w:t>23 is forward year 2 and 2023</w:t>
            </w:r>
            <w:r w:rsidR="00AD18F0">
              <w:rPr>
                <w:rFonts w:ascii="Book Antiqua" w:hAnsi="Book Antiqua"/>
                <w:sz w:val="20"/>
                <w:lang w:eastAsia="en-US"/>
              </w:rPr>
              <w:noBreakHyphen/>
            </w:r>
            <w:r w:rsidR="00C12B75">
              <w:rPr>
                <w:rFonts w:ascii="Book Antiqua" w:hAnsi="Book Antiqua"/>
                <w:sz w:val="20"/>
                <w:lang w:eastAsia="en-US"/>
              </w:rPr>
              <w:t>24</w:t>
            </w:r>
            <w:r>
              <w:rPr>
                <w:rFonts w:ascii="Book Antiqua" w:hAnsi="Book Antiqua"/>
                <w:sz w:val="20"/>
                <w:lang w:eastAsia="en-US"/>
              </w:rPr>
              <w:t xml:space="preserve"> is forward year 3. </w:t>
            </w:r>
          </w:p>
        </w:tc>
      </w:tr>
      <w:tr w:rsidR="006F4933" w14:paraId="418991C3" w14:textId="77777777" w:rsidTr="006F4933">
        <w:trPr>
          <w:gridAfter w:val="1"/>
          <w:wAfter w:w="216" w:type="dxa"/>
        </w:trPr>
        <w:tc>
          <w:tcPr>
            <w:tcW w:w="2840" w:type="dxa"/>
            <w:hideMark/>
          </w:tcPr>
          <w:p w14:paraId="418991C1"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Funds</w:t>
            </w:r>
          </w:p>
        </w:tc>
        <w:tc>
          <w:tcPr>
            <w:tcW w:w="4762" w:type="dxa"/>
            <w:hideMark/>
          </w:tcPr>
          <w:p w14:paraId="418991C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Money that has been appropriated but not drawn from the Consolidated Revenue Fund.</w:t>
            </w:r>
          </w:p>
        </w:tc>
      </w:tr>
      <w:tr w:rsidR="006F4933" w14:paraId="418991C6" w14:textId="77777777" w:rsidTr="006F4933">
        <w:trPr>
          <w:gridAfter w:val="1"/>
          <w:wAfter w:w="216" w:type="dxa"/>
        </w:trPr>
        <w:tc>
          <w:tcPr>
            <w:tcW w:w="2840" w:type="dxa"/>
            <w:hideMark/>
          </w:tcPr>
          <w:p w14:paraId="418991C4"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Income</w:t>
            </w:r>
          </w:p>
        </w:tc>
        <w:tc>
          <w:tcPr>
            <w:tcW w:w="4762" w:type="dxa"/>
            <w:hideMark/>
          </w:tcPr>
          <w:p w14:paraId="418991C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Total value of resources earned or received to cover the production of goods and services.</w:t>
            </w:r>
          </w:p>
        </w:tc>
      </w:tr>
      <w:tr w:rsidR="006F4933" w14:paraId="418991C9" w14:textId="77777777" w:rsidTr="006F4933">
        <w:trPr>
          <w:gridAfter w:val="1"/>
          <w:wAfter w:w="216" w:type="dxa"/>
        </w:trPr>
        <w:tc>
          <w:tcPr>
            <w:tcW w:w="2840" w:type="dxa"/>
            <w:hideMark/>
          </w:tcPr>
          <w:p w14:paraId="418991C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w:t>
            </w:r>
          </w:p>
        </w:tc>
        <w:tc>
          <w:tcPr>
            <w:tcW w:w="4762" w:type="dxa"/>
            <w:hideMark/>
          </w:tcPr>
          <w:p w14:paraId="418991C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6F4933" w14:paraId="418991CC" w14:textId="77777777" w:rsidTr="00986CB7">
        <w:trPr>
          <w:gridAfter w:val="1"/>
          <w:wAfter w:w="216" w:type="dxa"/>
        </w:trPr>
        <w:tc>
          <w:tcPr>
            <w:tcW w:w="2840" w:type="dxa"/>
            <w:hideMark/>
          </w:tcPr>
          <w:p w14:paraId="418991CA" w14:textId="7C89AFBB"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Mid</w:t>
            </w:r>
            <w:r w:rsidR="00AD18F0">
              <w:rPr>
                <w:rFonts w:ascii="Book Antiqua" w:hAnsi="Book Antiqua"/>
                <w:sz w:val="20"/>
                <w:lang w:eastAsia="en-US"/>
              </w:rPr>
              <w:noBreakHyphen/>
            </w:r>
            <w:r>
              <w:rPr>
                <w:rFonts w:ascii="Book Antiqua" w:hAnsi="Book Antiqua"/>
                <w:sz w:val="20"/>
                <w:lang w:eastAsia="en-US"/>
              </w:rPr>
              <w:t>Year Economic and Fiscal Outlook (MYEFO)</w:t>
            </w:r>
          </w:p>
        </w:tc>
        <w:tc>
          <w:tcPr>
            <w:tcW w:w="4762" w:type="dxa"/>
            <w:hideMark/>
          </w:tcPr>
          <w:p w14:paraId="418991CB" w14:textId="031C495A"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The MYEFO provides an update of the government</w:t>
            </w:r>
            <w:r w:rsidR="00AD18F0">
              <w:rPr>
                <w:rFonts w:ascii="Book Antiqua" w:hAnsi="Book Antiqua"/>
                <w:sz w:val="20"/>
                <w:lang w:eastAsia="en-US"/>
              </w:rPr>
              <w:t>’</w:t>
            </w:r>
            <w:r>
              <w:rPr>
                <w:rFonts w:ascii="Book Antiqua" w:hAnsi="Book Antiqua"/>
                <w:sz w:val="20"/>
                <w:lang w:eastAsia="en-US"/>
              </w:rPr>
              <w:t>s budget estimates by examining expenses and revenues in the year to date, as well as provisions for new decisions that have been taken since the Budget. The report provides updated information to allow the assessment of the government</w:t>
            </w:r>
            <w:r w:rsidR="00AD18F0">
              <w:rPr>
                <w:rFonts w:ascii="Book Antiqua" w:hAnsi="Book Antiqua"/>
                <w:sz w:val="20"/>
                <w:lang w:eastAsia="en-US"/>
              </w:rPr>
              <w:t>’</w:t>
            </w:r>
            <w:r>
              <w:rPr>
                <w:rFonts w:ascii="Book Antiqua" w:hAnsi="Book Antiqua"/>
                <w:sz w:val="20"/>
                <w:lang w:eastAsia="en-US"/>
              </w:rPr>
              <w:t>s fiscal performance against the fiscal strategy set out in its current fiscal strategy statement.</w:t>
            </w:r>
          </w:p>
        </w:tc>
      </w:tr>
      <w:tr w:rsidR="006F4933" w14:paraId="418991CF" w14:textId="77777777" w:rsidTr="00986CB7">
        <w:trPr>
          <w:gridAfter w:val="1"/>
          <w:wAfter w:w="216" w:type="dxa"/>
        </w:trPr>
        <w:tc>
          <w:tcPr>
            <w:tcW w:w="2840" w:type="dxa"/>
            <w:hideMark/>
          </w:tcPr>
          <w:p w14:paraId="418991CD" w14:textId="5A79306E" w:rsidR="006F4933" w:rsidRDefault="00AD18F0" w:rsidP="00986CB7">
            <w:pPr>
              <w:pStyle w:val="TableTextLeft"/>
              <w:spacing w:line="256" w:lineRule="auto"/>
              <w:rPr>
                <w:rFonts w:ascii="Book Antiqua" w:hAnsi="Book Antiqua"/>
                <w:sz w:val="20"/>
                <w:lang w:eastAsia="en-US"/>
              </w:rPr>
            </w:pPr>
            <w:r>
              <w:rPr>
                <w:rFonts w:ascii="Book Antiqua" w:hAnsi="Book Antiqua"/>
                <w:sz w:val="20"/>
                <w:lang w:eastAsia="en-US"/>
              </w:rPr>
              <w:t>‘</w:t>
            </w:r>
            <w:r w:rsidR="006F4933">
              <w:rPr>
                <w:rFonts w:ascii="Book Antiqua" w:hAnsi="Book Antiqua"/>
                <w:sz w:val="20"/>
                <w:lang w:eastAsia="en-US"/>
              </w:rPr>
              <w:t>Movement of Funds</w:t>
            </w:r>
            <w:r>
              <w:rPr>
                <w:rFonts w:ascii="Book Antiqua" w:hAnsi="Book Antiqua"/>
                <w:sz w:val="20"/>
                <w:lang w:eastAsia="en-US"/>
              </w:rPr>
              <w:t>’</w:t>
            </w:r>
            <w:r w:rsidR="006F4933">
              <w:rPr>
                <w:rFonts w:ascii="Book Antiqua" w:hAnsi="Book Antiqua"/>
                <w:sz w:val="20"/>
                <w:lang w:eastAsia="en-US"/>
              </w:rPr>
              <w:t xml:space="preserve"> between years</w:t>
            </w:r>
          </w:p>
        </w:tc>
        <w:tc>
          <w:tcPr>
            <w:tcW w:w="4762" w:type="dxa"/>
            <w:hideMark/>
          </w:tcPr>
          <w:p w14:paraId="418991CE" w14:textId="73705C24"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A </w:t>
            </w:r>
            <w:r w:rsidR="00AD18F0">
              <w:rPr>
                <w:rFonts w:ascii="Book Antiqua" w:hAnsi="Book Antiqua"/>
                <w:sz w:val="20"/>
                <w:lang w:eastAsia="en-US"/>
              </w:rPr>
              <w:t>‘</w:t>
            </w:r>
            <w:r>
              <w:rPr>
                <w:rFonts w:ascii="Book Antiqua" w:hAnsi="Book Antiqua"/>
                <w:sz w:val="20"/>
                <w:lang w:eastAsia="en-US"/>
              </w:rPr>
              <w:t>movement of funds</w:t>
            </w:r>
            <w:r w:rsidR="00AD18F0">
              <w:rPr>
                <w:rFonts w:ascii="Book Antiqua" w:hAnsi="Book Antiqua"/>
                <w:sz w:val="20"/>
                <w:lang w:eastAsia="en-US"/>
              </w:rPr>
              <w:t>’</w:t>
            </w:r>
            <w:r>
              <w:rPr>
                <w:rFonts w:ascii="Book Antiqua" w:hAnsi="Book Antiqua"/>
                <w:sz w:val="20"/>
                <w:lang w:eastAsia="en-US"/>
              </w:rPr>
              <w:t xml:space="preserve"> process is carried out twice each year in relation to un</w:t>
            </w:r>
            <w:r w:rsidR="00AD18F0">
              <w:rPr>
                <w:rFonts w:ascii="Book Antiqua" w:hAnsi="Book Antiqua"/>
                <w:sz w:val="20"/>
                <w:lang w:eastAsia="en-US"/>
              </w:rPr>
              <w:noBreakHyphen/>
            </w:r>
            <w:r>
              <w:rPr>
                <w:rFonts w:ascii="Book Antiqua" w:hAnsi="Book Antiqua"/>
                <w:sz w:val="20"/>
                <w:lang w:eastAsia="en-US"/>
              </w:rPr>
              <w:t>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6F4933" w14:paraId="418991D3" w14:textId="77777777" w:rsidTr="00986CB7">
        <w:trPr>
          <w:gridAfter w:val="1"/>
          <w:wAfter w:w="216" w:type="dxa"/>
        </w:trPr>
        <w:tc>
          <w:tcPr>
            <w:tcW w:w="2840" w:type="dxa"/>
            <w:hideMark/>
          </w:tcPr>
          <w:p w14:paraId="418991D0" w14:textId="77777777" w:rsidR="006F4933" w:rsidRDefault="006F4933" w:rsidP="00986CB7">
            <w:pPr>
              <w:pStyle w:val="TableTextLeft"/>
              <w:spacing w:line="256" w:lineRule="auto"/>
              <w:rPr>
                <w:rFonts w:ascii="Book Antiqua" w:hAnsi="Book Antiqua"/>
                <w:sz w:val="20"/>
                <w:lang w:eastAsia="en-US"/>
              </w:rPr>
            </w:pPr>
            <w:r w:rsidRPr="00EE5210">
              <w:rPr>
                <w:rFonts w:ascii="Book Antiqua" w:hAnsi="Book Antiqua"/>
                <w:sz w:val="20"/>
                <w:lang w:eastAsia="en-US"/>
              </w:rPr>
              <w:t xml:space="preserve">Net cash </w:t>
            </w:r>
            <w:r w:rsidR="00EE5210" w:rsidRPr="00EE5210">
              <w:rPr>
                <w:rFonts w:ascii="Book Antiqua" w:hAnsi="Book Antiqua"/>
                <w:sz w:val="20"/>
                <w:lang w:eastAsia="en-US"/>
              </w:rPr>
              <w:t>appropriation arrangements</w:t>
            </w:r>
          </w:p>
        </w:tc>
        <w:tc>
          <w:tcPr>
            <w:tcW w:w="4762" w:type="dxa"/>
            <w:hideMark/>
          </w:tcPr>
          <w:p w14:paraId="418991D1" w14:textId="6C983240"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implemented from the 2010</w:t>
            </w:r>
            <w:r w:rsidR="00AD18F0">
              <w:rPr>
                <w:rFonts w:ascii="Book Antiqua" w:hAnsi="Book Antiqua"/>
                <w:sz w:val="20"/>
                <w:lang w:eastAsia="en-US"/>
              </w:rPr>
              <w:noBreakHyphen/>
            </w:r>
            <w:r>
              <w:rPr>
                <w:rFonts w:ascii="Book Antiqua" w:hAnsi="Book Antiqua"/>
                <w:sz w:val="20"/>
                <w:lang w:eastAsia="en-US"/>
              </w:rPr>
              <w:t>11 Budget, replaces funding for depreciation and amortisation expenses with a departmental capital budget (DCB) and the funding of make good expenses will cease to be paid in advance.</w:t>
            </w:r>
          </w:p>
          <w:p w14:paraId="418991D2"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net cash framework applies to general government sector entities that receive funding from annual appropriations directly or via a special account, with the exception of the Department of Defence.</w:t>
            </w:r>
          </w:p>
        </w:tc>
      </w:tr>
      <w:tr w:rsidR="006F4933" w14:paraId="418991D6" w14:textId="77777777" w:rsidTr="00986CB7">
        <w:trPr>
          <w:gridAfter w:val="1"/>
          <w:wAfter w:w="216" w:type="dxa"/>
        </w:trPr>
        <w:tc>
          <w:tcPr>
            <w:tcW w:w="2840" w:type="dxa"/>
            <w:hideMark/>
          </w:tcPr>
          <w:p w14:paraId="418991D4" w14:textId="3954A5D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Non</w:t>
            </w:r>
            <w:r w:rsidR="00AD18F0">
              <w:rPr>
                <w:rFonts w:ascii="Book Antiqua" w:hAnsi="Book Antiqua"/>
                <w:sz w:val="20"/>
                <w:lang w:eastAsia="en-US"/>
              </w:rPr>
              <w:noBreakHyphen/>
            </w:r>
            <w:r>
              <w:rPr>
                <w:rFonts w:ascii="Book Antiqua" w:hAnsi="Book Antiqua"/>
                <w:sz w:val="20"/>
                <w:lang w:eastAsia="en-US"/>
              </w:rPr>
              <w:t>operating</w:t>
            </w:r>
          </w:p>
        </w:tc>
        <w:tc>
          <w:tcPr>
            <w:tcW w:w="4762" w:type="dxa"/>
            <w:hideMark/>
          </w:tcPr>
          <w:p w14:paraId="418991D5" w14:textId="2DF737CE"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Sometimes called </w:t>
            </w:r>
            <w:r w:rsidR="00AD18F0">
              <w:rPr>
                <w:rFonts w:ascii="Book Antiqua" w:hAnsi="Book Antiqua"/>
                <w:sz w:val="20"/>
                <w:lang w:eastAsia="en-US"/>
              </w:rPr>
              <w:t>‘</w:t>
            </w:r>
            <w:r>
              <w:rPr>
                <w:rFonts w:ascii="Book Antiqua" w:hAnsi="Book Antiqua"/>
                <w:sz w:val="20"/>
                <w:lang w:eastAsia="en-US"/>
              </w:rPr>
              <w:t>capital</w:t>
            </w:r>
            <w:r w:rsidR="00AD18F0">
              <w:rPr>
                <w:rFonts w:ascii="Book Antiqua" w:hAnsi="Book Antiqua"/>
                <w:sz w:val="20"/>
                <w:lang w:eastAsia="en-US"/>
              </w:rPr>
              <w:t>’</w:t>
            </w:r>
            <w:r>
              <w:rPr>
                <w:rFonts w:ascii="Book Antiqua" w:hAnsi="Book Antiqua"/>
                <w:sz w:val="20"/>
                <w:lang w:eastAsia="en-US"/>
              </w:rPr>
              <w:t xml:space="preserve"> costs.</w:t>
            </w:r>
          </w:p>
        </w:tc>
      </w:tr>
      <w:tr w:rsidR="006F4933" w14:paraId="418991D9" w14:textId="77777777" w:rsidTr="00986CB7">
        <w:trPr>
          <w:gridAfter w:val="1"/>
          <w:wAfter w:w="216" w:type="dxa"/>
        </w:trPr>
        <w:tc>
          <w:tcPr>
            <w:tcW w:w="2840" w:type="dxa"/>
            <w:hideMark/>
          </w:tcPr>
          <w:p w14:paraId="418991D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Official Public Account (OPA)</w:t>
            </w:r>
          </w:p>
        </w:tc>
        <w:tc>
          <w:tcPr>
            <w:tcW w:w="4762" w:type="dxa"/>
            <w:hideMark/>
          </w:tcPr>
          <w:p w14:paraId="418991D8" w14:textId="1AF3E6B0"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OPA is the Australian Government</w:t>
            </w:r>
            <w:r w:rsidR="00AD18F0">
              <w:rPr>
                <w:rFonts w:ascii="Book Antiqua" w:hAnsi="Book Antiqua"/>
                <w:sz w:val="20"/>
                <w:lang w:eastAsia="en-US"/>
              </w:rPr>
              <w:t>’</w:t>
            </w:r>
            <w:r>
              <w:rPr>
                <w:rFonts w:ascii="Book Antiqua" w:hAnsi="Book Antiqua"/>
                <w:sz w:val="20"/>
                <w:lang w:eastAsia="en-US"/>
              </w:rPr>
              <w:t>s central bank account held within the Reserve Bank of Australia. The OPA reflects the operations of the Consolidated Revenue Fund.</w:t>
            </w:r>
          </w:p>
        </w:tc>
      </w:tr>
      <w:tr w:rsidR="006F4933" w14:paraId="418991DC" w14:textId="77777777" w:rsidTr="00986CB7">
        <w:trPr>
          <w:gridAfter w:val="1"/>
          <w:wAfter w:w="216" w:type="dxa"/>
        </w:trPr>
        <w:tc>
          <w:tcPr>
            <w:tcW w:w="2840" w:type="dxa"/>
            <w:hideMark/>
          </w:tcPr>
          <w:p w14:paraId="418991D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w:t>
            </w:r>
          </w:p>
        </w:tc>
        <w:tc>
          <w:tcPr>
            <w:tcW w:w="4762" w:type="dxa"/>
            <w:hideMark/>
          </w:tcPr>
          <w:p w14:paraId="418991D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Normally related to ongoing, or recurring expenses, such as paying salaries or making program payments.</w:t>
            </w:r>
          </w:p>
        </w:tc>
      </w:tr>
      <w:tr w:rsidR="006F4933" w14:paraId="418991DF" w14:textId="77777777" w:rsidTr="00986CB7">
        <w:trPr>
          <w:gridAfter w:val="1"/>
          <w:wAfter w:w="216" w:type="dxa"/>
        </w:trPr>
        <w:tc>
          <w:tcPr>
            <w:tcW w:w="2840" w:type="dxa"/>
            <w:hideMark/>
          </w:tcPr>
          <w:p w14:paraId="418991D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Operating result</w:t>
            </w:r>
          </w:p>
        </w:tc>
        <w:tc>
          <w:tcPr>
            <w:tcW w:w="4762" w:type="dxa"/>
            <w:hideMark/>
          </w:tcPr>
          <w:p w14:paraId="418991DE"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Equals income less expenses.</w:t>
            </w:r>
          </w:p>
        </w:tc>
      </w:tr>
      <w:tr w:rsidR="006F4933" w14:paraId="418991E2" w14:textId="77777777" w:rsidTr="00986CB7">
        <w:trPr>
          <w:gridAfter w:val="1"/>
          <w:wAfter w:w="216" w:type="dxa"/>
        </w:trPr>
        <w:tc>
          <w:tcPr>
            <w:tcW w:w="2840" w:type="dxa"/>
            <w:hideMark/>
          </w:tcPr>
          <w:p w14:paraId="418991E0"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Outcome</w:t>
            </w:r>
          </w:p>
        </w:tc>
        <w:tc>
          <w:tcPr>
            <w:tcW w:w="4762" w:type="dxa"/>
            <w:hideMark/>
          </w:tcPr>
          <w:p w14:paraId="418991E1"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outcome is the intended result, consequence or impact of government actions on the Australian community.</w:t>
            </w:r>
          </w:p>
        </w:tc>
      </w:tr>
      <w:tr w:rsidR="006F4933" w14:paraId="418991E6" w14:textId="77777777" w:rsidTr="00986CB7">
        <w:trPr>
          <w:gridAfter w:val="1"/>
          <w:wAfter w:w="216" w:type="dxa"/>
        </w:trPr>
        <w:tc>
          <w:tcPr>
            <w:tcW w:w="2840" w:type="dxa"/>
            <w:hideMark/>
          </w:tcPr>
          <w:p w14:paraId="418991E4" w14:textId="143B8946" w:rsidR="006F4933" w:rsidRPr="00C12B75" w:rsidRDefault="006F4933" w:rsidP="00C12B75">
            <w:pPr>
              <w:pStyle w:val="TableTextLeft"/>
              <w:spacing w:line="256" w:lineRule="auto"/>
              <w:rPr>
                <w:rFonts w:ascii="Book Antiqua" w:hAnsi="Book Antiqua"/>
                <w:i/>
                <w:sz w:val="20"/>
                <w:lang w:eastAsia="en-US"/>
              </w:rPr>
            </w:pPr>
            <w:r w:rsidRPr="00C12B75">
              <w:rPr>
                <w:rFonts w:ascii="Book Antiqua" w:hAnsi="Book Antiqua"/>
                <w:i/>
                <w:sz w:val="20"/>
                <w:lang w:eastAsia="en-US"/>
              </w:rPr>
              <w:t>Public Governance, Performance and Accountability Act 2013</w:t>
            </w:r>
            <w:r>
              <w:rPr>
                <w:rFonts w:ascii="Book Antiqua" w:hAnsi="Book Antiqua"/>
                <w:sz w:val="20"/>
                <w:lang w:eastAsia="en-US"/>
              </w:rPr>
              <w:t xml:space="preserve"> </w:t>
            </w:r>
          </w:p>
        </w:tc>
        <w:tc>
          <w:tcPr>
            <w:tcW w:w="4762" w:type="dxa"/>
            <w:hideMark/>
          </w:tcPr>
          <w:p w14:paraId="418991E5"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PGPA Act is the principal legislation concerning the governance, performance and accountability of, and the use and management of public resources by the Commonwealth.</w:t>
            </w:r>
          </w:p>
        </w:tc>
      </w:tr>
      <w:tr w:rsidR="006F4933" w14:paraId="418991E9" w14:textId="77777777" w:rsidTr="00986CB7">
        <w:trPr>
          <w:gridAfter w:val="1"/>
          <w:wAfter w:w="216" w:type="dxa"/>
        </w:trPr>
        <w:tc>
          <w:tcPr>
            <w:tcW w:w="2840" w:type="dxa"/>
            <w:hideMark/>
          </w:tcPr>
          <w:p w14:paraId="418991E7"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Portfolio Budget Statements</w:t>
            </w:r>
          </w:p>
        </w:tc>
        <w:tc>
          <w:tcPr>
            <w:tcW w:w="4762" w:type="dxa"/>
            <w:hideMark/>
          </w:tcPr>
          <w:p w14:paraId="418991E8"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Budget related paper detailing budget initiatives and explanations of appropriations specified by outcome and program by each entity within a portfolio.</w:t>
            </w:r>
          </w:p>
        </w:tc>
      </w:tr>
      <w:tr w:rsidR="006F4933" w14:paraId="418991EC" w14:textId="77777777" w:rsidTr="00986CB7">
        <w:trPr>
          <w:gridAfter w:val="1"/>
          <w:wAfter w:w="216" w:type="dxa"/>
        </w:trPr>
        <w:tc>
          <w:tcPr>
            <w:tcW w:w="2840" w:type="dxa"/>
            <w:hideMark/>
          </w:tcPr>
          <w:p w14:paraId="418991EA"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w:t>
            </w:r>
          </w:p>
        </w:tc>
        <w:tc>
          <w:tcPr>
            <w:tcW w:w="4762" w:type="dxa"/>
            <w:hideMark/>
          </w:tcPr>
          <w:p w14:paraId="418991EB"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Activity that delivers benefits, services or transfer payments to individuals, industry and/or the community as a whole, with the aim of achieving the intended result specified in an outcome statement.</w:t>
            </w:r>
          </w:p>
        </w:tc>
      </w:tr>
      <w:tr w:rsidR="006F4933" w14:paraId="418991EF" w14:textId="77777777" w:rsidTr="00986CB7">
        <w:trPr>
          <w:gridAfter w:val="1"/>
          <w:wAfter w:w="216" w:type="dxa"/>
        </w:trPr>
        <w:tc>
          <w:tcPr>
            <w:tcW w:w="2840" w:type="dxa"/>
            <w:hideMark/>
          </w:tcPr>
          <w:p w14:paraId="418991ED"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Program support</w:t>
            </w:r>
          </w:p>
        </w:tc>
        <w:tc>
          <w:tcPr>
            <w:tcW w:w="4762" w:type="dxa"/>
            <w:hideMark/>
          </w:tcPr>
          <w:p w14:paraId="418991EE" w14:textId="192C228B"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The entity running costs allocated to a program. This is funded as part of the entity</w:t>
            </w:r>
            <w:r w:rsidR="00AD18F0">
              <w:rPr>
                <w:rFonts w:ascii="Book Antiqua" w:hAnsi="Book Antiqua"/>
                <w:sz w:val="20"/>
                <w:lang w:eastAsia="en-US"/>
              </w:rPr>
              <w:t>’</w:t>
            </w:r>
            <w:r>
              <w:rPr>
                <w:rFonts w:ascii="Book Antiqua" w:hAnsi="Book Antiqua"/>
                <w:sz w:val="20"/>
                <w:lang w:eastAsia="en-US"/>
              </w:rPr>
              <w:t>s departmental appropriations.</w:t>
            </w:r>
          </w:p>
        </w:tc>
      </w:tr>
      <w:tr w:rsidR="006F4933" w14:paraId="418991F2" w14:textId="77777777" w:rsidTr="00986CB7">
        <w:trPr>
          <w:gridAfter w:val="1"/>
          <w:wAfter w:w="216" w:type="dxa"/>
        </w:trPr>
        <w:tc>
          <w:tcPr>
            <w:tcW w:w="2840" w:type="dxa"/>
            <w:hideMark/>
          </w:tcPr>
          <w:p w14:paraId="418991F0" w14:textId="77777777"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Special account</w:t>
            </w:r>
          </w:p>
        </w:tc>
        <w:tc>
          <w:tcPr>
            <w:tcW w:w="4762" w:type="dxa"/>
            <w:hideMark/>
          </w:tcPr>
          <w:p w14:paraId="418991F1" w14:textId="44E74BE9" w:rsidR="006F4933" w:rsidRDefault="006F4933" w:rsidP="00986CB7">
            <w:pPr>
              <w:pStyle w:val="TableTextLeft"/>
              <w:spacing w:line="256" w:lineRule="auto"/>
              <w:rPr>
                <w:rFonts w:ascii="Book Antiqua" w:hAnsi="Book Antiqua"/>
                <w:sz w:val="20"/>
                <w:lang w:eastAsia="en-US"/>
              </w:rPr>
            </w:pPr>
            <w:r>
              <w:rPr>
                <w:rFonts w:ascii="Book Antiqua" w:hAnsi="Book Antiqua"/>
                <w:sz w:val="20"/>
                <w:lang w:eastAsia="en-US"/>
              </w:rPr>
              <w:t xml:space="preserve">Balances existing within the CRF that are supported by standing appropriations </w:t>
            </w:r>
            <w:r w:rsidR="002A238F">
              <w:rPr>
                <w:rFonts w:ascii="Book Antiqua" w:hAnsi="Book Antiqua"/>
                <w:sz w:val="20"/>
                <w:lang w:eastAsia="en-US"/>
              </w:rPr>
              <w:t>(</w:t>
            </w:r>
            <w:r>
              <w:rPr>
                <w:rFonts w:ascii="Book Antiqua" w:hAnsi="Book Antiqua"/>
                <w:sz w:val="20"/>
                <w:lang w:eastAsia="en-US"/>
              </w:rPr>
              <w:t>PGPA</w:t>
            </w:r>
            <w:r w:rsidR="002A238F">
              <w:rPr>
                <w:rFonts w:ascii="Book Antiqua" w:hAnsi="Book Antiqua"/>
                <w:sz w:val="20"/>
                <w:lang w:eastAsia="en-US"/>
              </w:rPr>
              <w:t> </w:t>
            </w:r>
            <w:r>
              <w:rPr>
                <w:rFonts w:ascii="Book Antiqua" w:hAnsi="Book Antiqua"/>
                <w:sz w:val="20"/>
                <w:lang w:eastAsia="en-US"/>
              </w:rPr>
              <w:t>Act s.78, s.79 and s.80</w:t>
            </w:r>
            <w:r w:rsidR="00E9412D">
              <w:rPr>
                <w:rFonts w:ascii="Book Antiqua" w:hAnsi="Book Antiqua"/>
                <w:sz w:val="20"/>
                <w:lang w:eastAsia="en-US"/>
              </w:rPr>
              <w:t>)</w:t>
            </w:r>
            <w:r>
              <w:rPr>
                <w:rFonts w:ascii="Book Antiqua" w:hAnsi="Book Antiqua"/>
                <w:sz w:val="20"/>
                <w:lang w:eastAsia="en-US"/>
              </w:rPr>
              <w:t>. Special accounts allow money in the CRF to be acknowledged as set</w:t>
            </w:r>
            <w:r w:rsidR="00AD18F0">
              <w:rPr>
                <w:rFonts w:ascii="Book Antiqua" w:hAnsi="Book Antiqua"/>
                <w:sz w:val="20"/>
                <w:lang w:eastAsia="en-US"/>
              </w:rPr>
              <w:noBreakHyphen/>
            </w:r>
            <w:r>
              <w:rPr>
                <w:rFonts w:ascii="Book Antiqua" w:hAnsi="Book Antiqua"/>
                <w:sz w:val="20"/>
                <w:lang w:eastAsia="en-US"/>
              </w:rPr>
              <w:t xml:space="preserve">aside (hypothecated) for a particular purpose. Amounts credited to a special account can only be spent for the purposes of the special account. Special accounts can only be established by a written determination of the </w:t>
            </w:r>
            <w:proofErr w:type="gramStart"/>
            <w:r>
              <w:rPr>
                <w:rFonts w:ascii="Book Antiqua" w:hAnsi="Book Antiqua"/>
                <w:sz w:val="20"/>
                <w:lang w:eastAsia="en-US"/>
              </w:rPr>
              <w:t>Finance Minister</w:t>
            </w:r>
            <w:proofErr w:type="gramEnd"/>
            <w:r>
              <w:rPr>
                <w:rFonts w:ascii="Book Antiqua" w:hAnsi="Book Antiqua"/>
                <w:sz w:val="20"/>
                <w:lang w:eastAsia="en-US"/>
              </w:rPr>
              <w:t xml:space="preserve"> (s.</w:t>
            </w:r>
            <w:r w:rsidR="006C46F1">
              <w:rPr>
                <w:rFonts w:ascii="Book Antiqua" w:hAnsi="Book Antiqua"/>
                <w:sz w:val="20"/>
                <w:lang w:eastAsia="en-US"/>
              </w:rPr>
              <w:t> </w:t>
            </w:r>
            <w:r>
              <w:rPr>
                <w:rFonts w:ascii="Book Antiqua" w:hAnsi="Book Antiqua"/>
                <w:sz w:val="20"/>
                <w:lang w:eastAsia="en-US"/>
              </w:rPr>
              <w:t>78 of the PGPA Act) or through an Act of Parliament (referred to in s. 80 of the PGPA Act).</w:t>
            </w:r>
          </w:p>
        </w:tc>
      </w:tr>
      <w:tr w:rsidR="006F4933" w14:paraId="418991F6" w14:textId="77777777" w:rsidTr="00986CB7">
        <w:trPr>
          <w:gridAfter w:val="1"/>
          <w:wAfter w:w="216" w:type="dxa"/>
        </w:trPr>
        <w:tc>
          <w:tcPr>
            <w:tcW w:w="2840" w:type="dxa"/>
            <w:hideMark/>
          </w:tcPr>
          <w:p w14:paraId="418991F3"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Special appropriations (including standing appropriations)</w:t>
            </w:r>
          </w:p>
        </w:tc>
        <w:tc>
          <w:tcPr>
            <w:tcW w:w="4762" w:type="dxa"/>
            <w:hideMark/>
          </w:tcPr>
          <w:p w14:paraId="418991F4" w14:textId="77777777" w:rsidR="006F4933" w:rsidRDefault="006F4933" w:rsidP="00986CB7">
            <w:pPr>
              <w:pStyle w:val="TableTextLeft"/>
              <w:keepNext/>
              <w:keepLines/>
              <w:spacing w:line="257" w:lineRule="auto"/>
              <w:rPr>
                <w:rFonts w:ascii="Book Antiqua" w:hAnsi="Book Antiqua"/>
                <w:sz w:val="20"/>
                <w:lang w:eastAsia="en-US"/>
              </w:rPr>
            </w:pPr>
            <w:r>
              <w:rPr>
                <w:rFonts w:ascii="Book Antiqua" w:hAnsi="Book Antiqua"/>
                <w:sz w:val="20"/>
                <w:lang w:eastAsia="en-US"/>
              </w:rPr>
              <w:t>An amount of money appropriated by a particular Act of Parliament for a specific purpose and number of years. For special appropriations, the authority to withdraw funds from the CRF does not generally cease at the end of the financial year.</w:t>
            </w:r>
          </w:p>
          <w:p w14:paraId="418991F5" w14:textId="77777777" w:rsidR="006F4933" w:rsidRDefault="006F4933" w:rsidP="00C33C8B">
            <w:pPr>
              <w:pStyle w:val="TableTextLeft"/>
              <w:keepNext/>
              <w:keepLines/>
              <w:spacing w:line="257" w:lineRule="auto"/>
              <w:rPr>
                <w:rFonts w:ascii="Book Antiqua" w:hAnsi="Book Antiqua"/>
                <w:sz w:val="20"/>
                <w:lang w:eastAsia="en-US"/>
              </w:rPr>
            </w:pPr>
            <w:r>
              <w:rPr>
                <w:rFonts w:ascii="Book Antiqua" w:hAnsi="Book Antiqua"/>
                <w:sz w:val="20"/>
                <w:lang w:eastAsia="en-US"/>
              </w:rPr>
              <w:t>Standing appropriations are a subcategory consisting of ongoing special appropriations – the amount appropriated will depend on circumstances specified in the legislation</w:t>
            </w:r>
            <w:r w:rsidR="00C33C8B">
              <w:rPr>
                <w:rFonts w:ascii="Book Antiqua" w:hAnsi="Book Antiqua"/>
                <w:sz w:val="20"/>
                <w:lang w:eastAsia="en-US"/>
              </w:rPr>
              <w:t>.</w:t>
            </w:r>
          </w:p>
        </w:tc>
      </w:tr>
    </w:tbl>
    <w:p w14:paraId="4DDD0271" w14:textId="4EFE0C09" w:rsidR="00A71F94" w:rsidRPr="00C33C8B" w:rsidRDefault="009441F9" w:rsidP="006C46F1">
      <w:pPr>
        <w:spacing w:after="200" w:line="276" w:lineRule="auto"/>
        <w:jc w:val="left"/>
      </w:pPr>
    </w:p>
    <w:sectPr w:rsidR="00A71F94" w:rsidRPr="00C33C8B" w:rsidSect="00333028">
      <w:headerReference w:type="even" r:id="rId6"/>
      <w:headerReference w:type="default" r:id="rId7"/>
      <w:footerReference w:type="even" r:id="rId8"/>
      <w:footerReference w:type="default" r:id="rId9"/>
      <w:footerReference w:type="first" r:id="rId10"/>
      <w:type w:val="oddPage"/>
      <w:pgSz w:w="11906" w:h="16838" w:code="9"/>
      <w:pgMar w:top="2466" w:right="2098" w:bottom="2515" w:left="2098" w:header="1899" w:footer="1899" w:gutter="0"/>
      <w:pgNumType w:start="3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C918" w14:textId="77777777" w:rsidR="004C16BD" w:rsidRDefault="004C16BD" w:rsidP="002852DC">
      <w:pPr>
        <w:spacing w:after="0" w:line="240" w:lineRule="auto"/>
      </w:pPr>
      <w:r>
        <w:separator/>
      </w:r>
    </w:p>
  </w:endnote>
  <w:endnote w:type="continuationSeparator" w:id="0">
    <w:p w14:paraId="12C4702A" w14:textId="77777777" w:rsidR="004C16BD" w:rsidRDefault="004C16BD" w:rsidP="0028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2A8D" w14:textId="10185C72" w:rsidR="00AD18F0" w:rsidRPr="001F6E38" w:rsidRDefault="001F6E38" w:rsidP="001F6E38">
    <w:pPr>
      <w:pStyle w:val="FooterEven"/>
      <w:rPr>
        <w:rFonts w:cs="Arial"/>
        <w:szCs w:val="18"/>
      </w:rPr>
    </w:pPr>
    <w:r w:rsidRPr="001F6E38">
      <w:rPr>
        <w:rStyle w:val="PageNumber"/>
        <w:b/>
        <w:bCs w:val="0"/>
        <w:sz w:val="18"/>
        <w:szCs w:val="18"/>
      </w:rPr>
      <w:t xml:space="preserve">Page </w:t>
    </w:r>
    <w:r w:rsidRPr="001F6E38">
      <w:rPr>
        <w:rStyle w:val="PageNumber"/>
        <w:b/>
        <w:bCs w:val="0"/>
        <w:sz w:val="18"/>
        <w:szCs w:val="18"/>
      </w:rPr>
      <w:fldChar w:fldCharType="begin"/>
    </w:r>
    <w:r w:rsidRPr="001F6E38">
      <w:rPr>
        <w:rStyle w:val="PageNumber"/>
        <w:b/>
        <w:bCs w:val="0"/>
        <w:sz w:val="18"/>
        <w:szCs w:val="18"/>
      </w:rPr>
      <w:instrText xml:space="preserve"> PAGE </w:instrText>
    </w:r>
    <w:r w:rsidRPr="001F6E38">
      <w:rPr>
        <w:rStyle w:val="PageNumber"/>
        <w:b/>
        <w:bCs w:val="0"/>
        <w:sz w:val="18"/>
        <w:szCs w:val="18"/>
      </w:rPr>
      <w:fldChar w:fldCharType="separate"/>
    </w:r>
    <w:r w:rsidRPr="001F6E38">
      <w:rPr>
        <w:rStyle w:val="PageNumber"/>
        <w:b/>
        <w:bCs w:val="0"/>
        <w:sz w:val="18"/>
        <w:szCs w:val="18"/>
      </w:rPr>
      <w:t>viii</w:t>
    </w:r>
    <w:r w:rsidRPr="001F6E38">
      <w:rPr>
        <w:rStyle w:val="PageNumber"/>
        <w:b/>
        <w:bCs w:val="0"/>
        <w:sz w:val="18"/>
        <w:szCs w:val="18"/>
      </w:rPr>
      <w:fldChar w:fldCharType="end"/>
    </w:r>
    <w:r w:rsidRPr="001F6E38">
      <w:rPr>
        <w:rStyle w:val="PageNumber"/>
        <w:sz w:val="18"/>
        <w:szCs w:val="18"/>
      </w:rPr>
      <w:t xml:space="preserve">  |  </w:t>
    </w:r>
    <w:r w:rsidRPr="001F6E38">
      <w:rPr>
        <w:rStyle w:val="PageNumber"/>
        <w:sz w:val="18"/>
        <w:szCs w:val="18"/>
      </w:rPr>
      <w:fldChar w:fldCharType="begin"/>
    </w:r>
    <w:r w:rsidRPr="001F6E38">
      <w:rPr>
        <w:rStyle w:val="PageNumber"/>
        <w:sz w:val="18"/>
        <w:szCs w:val="18"/>
      </w:rPr>
      <w:instrText xml:space="preserve"> STYLEREF  "Heading 1"  \* MERGEFORMAT </w:instrText>
    </w:r>
    <w:r w:rsidRPr="001F6E38">
      <w:rPr>
        <w:rStyle w:val="PageNumber"/>
        <w:sz w:val="18"/>
        <w:szCs w:val="18"/>
      </w:rPr>
      <w:fldChar w:fldCharType="separate"/>
    </w:r>
    <w:r w:rsidR="009441F9">
      <w:rPr>
        <w:rStyle w:val="PageNumber"/>
        <w:noProof/>
        <w:sz w:val="18"/>
        <w:szCs w:val="18"/>
      </w:rPr>
      <w:t>Portfolio Glossary</w:t>
    </w:r>
    <w:r w:rsidRPr="001F6E38">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522293134"/>
      <w:docPartObj>
        <w:docPartGallery w:val="Page Numbers (Bottom of Page)"/>
        <w:docPartUnique/>
      </w:docPartObj>
    </w:sdtPr>
    <w:sdtEndPr>
      <w:rPr>
        <w:rFonts w:cs="Arial"/>
        <w:noProof/>
      </w:rPr>
    </w:sdtEndPr>
    <w:sdtContent>
      <w:p w14:paraId="4C2235E5" w14:textId="62ACC47A" w:rsidR="00AD18F0" w:rsidRPr="001F6E38" w:rsidRDefault="001F6E38" w:rsidP="001F6E38">
        <w:pPr>
          <w:pStyle w:val="FooterOdd"/>
          <w:rPr>
            <w:b/>
            <w:bCs/>
            <w:sz w:val="16"/>
            <w:szCs w:val="18"/>
          </w:rPr>
        </w:pPr>
        <w:r w:rsidRPr="001F6E38">
          <w:rPr>
            <w:rStyle w:val="PageNumber"/>
            <w:sz w:val="18"/>
            <w:szCs w:val="18"/>
          </w:rPr>
          <w:fldChar w:fldCharType="begin"/>
        </w:r>
        <w:r w:rsidRPr="001F6E38">
          <w:rPr>
            <w:rStyle w:val="PageNumber"/>
            <w:sz w:val="18"/>
            <w:szCs w:val="18"/>
          </w:rPr>
          <w:instrText xml:space="preserve"> STYLEREF  "Heading 1"  \* MERGEFORMAT </w:instrText>
        </w:r>
        <w:r w:rsidRPr="001F6E38">
          <w:rPr>
            <w:rStyle w:val="PageNumber"/>
            <w:sz w:val="18"/>
            <w:szCs w:val="18"/>
          </w:rPr>
          <w:fldChar w:fldCharType="separate"/>
        </w:r>
        <w:r w:rsidR="009441F9">
          <w:rPr>
            <w:rStyle w:val="PageNumber"/>
            <w:noProof/>
            <w:sz w:val="18"/>
            <w:szCs w:val="18"/>
          </w:rPr>
          <w:t>Portfolio Glossary</w:t>
        </w:r>
        <w:r w:rsidRPr="001F6E38">
          <w:rPr>
            <w:rStyle w:val="PageNumber"/>
            <w:sz w:val="18"/>
            <w:szCs w:val="18"/>
          </w:rPr>
          <w:fldChar w:fldCharType="end"/>
        </w:r>
        <w:r w:rsidRPr="001F6E38">
          <w:rPr>
            <w:rStyle w:val="PageNumber"/>
            <w:sz w:val="18"/>
            <w:szCs w:val="18"/>
          </w:rPr>
          <w:t xml:space="preserve"> </w:t>
        </w:r>
        <w:r w:rsidRPr="001F6E38">
          <w:rPr>
            <w:rStyle w:val="PageNumber"/>
            <w:sz w:val="18"/>
            <w:szCs w:val="18"/>
            <w:lang w:val="en-AU"/>
          </w:rPr>
          <w:t xml:space="preserve"> </w:t>
        </w:r>
        <w:r w:rsidRPr="001F6E38">
          <w:rPr>
            <w:rStyle w:val="PageNumber"/>
            <w:sz w:val="18"/>
            <w:szCs w:val="18"/>
          </w:rPr>
          <w:t xml:space="preserve">| </w:t>
        </w:r>
        <w:r w:rsidRPr="001F6E38">
          <w:rPr>
            <w:rStyle w:val="PageNumber"/>
            <w:sz w:val="18"/>
            <w:szCs w:val="18"/>
            <w:lang w:val="en-AU"/>
          </w:rPr>
          <w:t xml:space="preserve"> </w:t>
        </w:r>
        <w:r w:rsidRPr="001F6E38">
          <w:rPr>
            <w:rStyle w:val="PageNumber"/>
            <w:b/>
            <w:bCs/>
            <w:sz w:val="18"/>
            <w:szCs w:val="18"/>
          </w:rPr>
          <w:t xml:space="preserve">Page </w:t>
        </w:r>
        <w:r w:rsidRPr="001F6E38">
          <w:rPr>
            <w:rStyle w:val="PageNumber"/>
            <w:b/>
            <w:bCs/>
            <w:sz w:val="18"/>
            <w:szCs w:val="18"/>
          </w:rPr>
          <w:fldChar w:fldCharType="begin"/>
        </w:r>
        <w:r w:rsidRPr="001F6E38">
          <w:rPr>
            <w:rStyle w:val="PageNumber"/>
            <w:b/>
            <w:bCs/>
            <w:sz w:val="18"/>
            <w:szCs w:val="18"/>
          </w:rPr>
          <w:instrText xml:space="preserve"> PAGE </w:instrText>
        </w:r>
        <w:r w:rsidRPr="001F6E38">
          <w:rPr>
            <w:rStyle w:val="PageNumber"/>
            <w:b/>
            <w:bCs/>
            <w:sz w:val="18"/>
            <w:szCs w:val="18"/>
          </w:rPr>
          <w:fldChar w:fldCharType="separate"/>
        </w:r>
        <w:r>
          <w:rPr>
            <w:rStyle w:val="PageNumber"/>
            <w:b/>
            <w:bCs/>
            <w:sz w:val="18"/>
            <w:szCs w:val="18"/>
          </w:rPr>
          <w:t>347</w:t>
        </w:r>
        <w:r w:rsidRPr="001F6E38">
          <w:rPr>
            <w:rStyle w:val="PageNumber"/>
            <w:b/>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1082526269"/>
      <w:docPartObj>
        <w:docPartGallery w:val="Page Numbers (Bottom of Page)"/>
        <w:docPartUnique/>
      </w:docPartObj>
    </w:sdtPr>
    <w:sdtEndPr>
      <w:rPr>
        <w:rFonts w:cs="Arial"/>
        <w:noProof/>
      </w:rPr>
    </w:sdtEndPr>
    <w:sdtContent>
      <w:p w14:paraId="4F2FF088" w14:textId="512251ED" w:rsidR="00FA7C34" w:rsidRPr="001F6E38" w:rsidRDefault="00595241" w:rsidP="00595241">
        <w:pPr>
          <w:pStyle w:val="FooterOdd"/>
          <w:rPr>
            <w:b/>
            <w:bCs/>
            <w:sz w:val="16"/>
            <w:szCs w:val="18"/>
          </w:rPr>
        </w:pPr>
        <w:r w:rsidRPr="001F6E38">
          <w:rPr>
            <w:rStyle w:val="PageNumber"/>
            <w:sz w:val="18"/>
            <w:szCs w:val="18"/>
          </w:rPr>
          <w:fldChar w:fldCharType="begin"/>
        </w:r>
        <w:r w:rsidRPr="001F6E38">
          <w:rPr>
            <w:rStyle w:val="PageNumber"/>
            <w:sz w:val="18"/>
            <w:szCs w:val="18"/>
          </w:rPr>
          <w:instrText xml:space="preserve"> STYLEREF  "Heading 1"  \* MERGEFORMAT </w:instrText>
        </w:r>
        <w:r w:rsidRPr="001F6E38">
          <w:rPr>
            <w:rStyle w:val="PageNumber"/>
            <w:sz w:val="18"/>
            <w:szCs w:val="18"/>
          </w:rPr>
          <w:fldChar w:fldCharType="separate"/>
        </w:r>
        <w:r w:rsidR="002C32DB">
          <w:rPr>
            <w:rStyle w:val="PageNumber"/>
            <w:noProof/>
            <w:sz w:val="18"/>
            <w:szCs w:val="18"/>
          </w:rPr>
          <w:t>Portfolio Glossary</w:t>
        </w:r>
        <w:r w:rsidRPr="001F6E38">
          <w:rPr>
            <w:rStyle w:val="PageNumber"/>
            <w:sz w:val="18"/>
            <w:szCs w:val="18"/>
          </w:rPr>
          <w:fldChar w:fldCharType="end"/>
        </w:r>
        <w:r w:rsidRPr="001F6E38">
          <w:rPr>
            <w:rStyle w:val="PageNumber"/>
            <w:sz w:val="18"/>
            <w:szCs w:val="18"/>
          </w:rPr>
          <w:t xml:space="preserve"> </w:t>
        </w:r>
        <w:r w:rsidRPr="001F6E38">
          <w:rPr>
            <w:rStyle w:val="PageNumber"/>
            <w:sz w:val="18"/>
            <w:szCs w:val="18"/>
            <w:lang w:val="en-AU"/>
          </w:rPr>
          <w:t xml:space="preserve"> </w:t>
        </w:r>
        <w:r w:rsidRPr="001F6E38">
          <w:rPr>
            <w:rStyle w:val="PageNumber"/>
            <w:sz w:val="18"/>
            <w:szCs w:val="18"/>
          </w:rPr>
          <w:t xml:space="preserve">| </w:t>
        </w:r>
        <w:r w:rsidRPr="001F6E38">
          <w:rPr>
            <w:rStyle w:val="PageNumber"/>
            <w:sz w:val="18"/>
            <w:szCs w:val="18"/>
            <w:lang w:val="en-AU"/>
          </w:rPr>
          <w:t xml:space="preserve"> </w:t>
        </w:r>
        <w:r w:rsidRPr="001F6E38">
          <w:rPr>
            <w:rStyle w:val="PageNumber"/>
            <w:b/>
            <w:bCs/>
            <w:sz w:val="18"/>
            <w:szCs w:val="18"/>
          </w:rPr>
          <w:t xml:space="preserve">Page </w:t>
        </w:r>
        <w:r w:rsidRPr="001F6E38">
          <w:rPr>
            <w:rStyle w:val="PageNumber"/>
            <w:b/>
            <w:bCs/>
            <w:sz w:val="18"/>
            <w:szCs w:val="18"/>
          </w:rPr>
          <w:fldChar w:fldCharType="begin"/>
        </w:r>
        <w:r w:rsidRPr="001F6E38">
          <w:rPr>
            <w:rStyle w:val="PageNumber"/>
            <w:b/>
            <w:bCs/>
            <w:sz w:val="18"/>
            <w:szCs w:val="18"/>
          </w:rPr>
          <w:instrText xml:space="preserve"> PAGE </w:instrText>
        </w:r>
        <w:r w:rsidRPr="001F6E38">
          <w:rPr>
            <w:rStyle w:val="PageNumber"/>
            <w:b/>
            <w:bCs/>
            <w:sz w:val="18"/>
            <w:szCs w:val="18"/>
          </w:rPr>
          <w:fldChar w:fldCharType="separate"/>
        </w:r>
        <w:r w:rsidRPr="001F6E38">
          <w:rPr>
            <w:rStyle w:val="PageNumber"/>
            <w:b/>
            <w:bCs/>
            <w:sz w:val="18"/>
            <w:szCs w:val="18"/>
          </w:rPr>
          <w:t>3</w:t>
        </w:r>
        <w:r w:rsidRPr="001F6E38">
          <w:rPr>
            <w:rStyle w:val="PageNumbe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C3FA" w14:textId="77777777" w:rsidR="004C16BD" w:rsidRDefault="004C16BD" w:rsidP="002852DC">
      <w:pPr>
        <w:spacing w:after="0" w:line="240" w:lineRule="auto"/>
      </w:pPr>
      <w:r>
        <w:separator/>
      </w:r>
    </w:p>
  </w:footnote>
  <w:footnote w:type="continuationSeparator" w:id="0">
    <w:p w14:paraId="70367973" w14:textId="77777777" w:rsidR="004C16BD" w:rsidRDefault="004C16BD" w:rsidP="0028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F6E38" w14:paraId="5DF16EA1" w14:textId="77777777" w:rsidTr="00AD3D8C">
      <w:trPr>
        <w:trHeight w:hRule="exact" w:val="340"/>
      </w:trPr>
      <w:tc>
        <w:tcPr>
          <w:tcW w:w="7797" w:type="dxa"/>
        </w:tcPr>
        <w:p w14:paraId="073A2D88" w14:textId="77777777" w:rsidR="001F6E38" w:rsidRDefault="001F6E38" w:rsidP="00050A97">
          <w:pPr>
            <w:pStyle w:val="HeaderEven"/>
            <w:ind w:left="-113"/>
          </w:pPr>
          <w:r w:rsidRPr="000635BE">
            <w:rPr>
              <w:rFonts w:ascii="Arial Bold" w:hAnsi="Arial Bold"/>
              <w:b/>
              <w:bCs/>
              <w:noProof/>
              <w:position w:val="-10"/>
            </w:rPr>
            <w:drawing>
              <wp:inline distT="0" distB="0" distL="0" distR="0" wp14:anchorId="122E077C" wp14:editId="0AE1D03B">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6D46A3A2" w14:textId="77777777" w:rsidR="00AD18F0" w:rsidRDefault="00AD1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F6E38" w14:paraId="58D1155A" w14:textId="77777777" w:rsidTr="00AD3D8C">
      <w:trPr>
        <w:trHeight w:hRule="exact" w:val="340"/>
      </w:trPr>
      <w:tc>
        <w:tcPr>
          <w:tcW w:w="7797" w:type="dxa"/>
        </w:tcPr>
        <w:p w14:paraId="61A38278" w14:textId="77777777" w:rsidR="001F6E38" w:rsidRDefault="001F6E38" w:rsidP="00050A97">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682CFCC7" wp14:editId="20EA4B64">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FDF719D" w14:textId="77777777" w:rsidR="00AD18F0" w:rsidRDefault="00AD1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BA"/>
    <w:rsid w:val="000443A5"/>
    <w:rsid w:val="00096BBA"/>
    <w:rsid w:val="00097F91"/>
    <w:rsid w:val="000A44BB"/>
    <w:rsid w:val="001F6E38"/>
    <w:rsid w:val="002852DC"/>
    <w:rsid w:val="002A238F"/>
    <w:rsid w:val="002C32DB"/>
    <w:rsid w:val="002D1779"/>
    <w:rsid w:val="00300DEE"/>
    <w:rsid w:val="00317CDB"/>
    <w:rsid w:val="00333028"/>
    <w:rsid w:val="00355807"/>
    <w:rsid w:val="004C16BD"/>
    <w:rsid w:val="004E27F7"/>
    <w:rsid w:val="00584CCC"/>
    <w:rsid w:val="00595241"/>
    <w:rsid w:val="005B2AA9"/>
    <w:rsid w:val="006844A0"/>
    <w:rsid w:val="006B74CB"/>
    <w:rsid w:val="006C46F1"/>
    <w:rsid w:val="006C633E"/>
    <w:rsid w:val="006D1DEC"/>
    <w:rsid w:val="006F4727"/>
    <w:rsid w:val="006F4933"/>
    <w:rsid w:val="007D0EE0"/>
    <w:rsid w:val="008833D8"/>
    <w:rsid w:val="009441F9"/>
    <w:rsid w:val="00986CB7"/>
    <w:rsid w:val="009927CE"/>
    <w:rsid w:val="009C41D1"/>
    <w:rsid w:val="00A4277A"/>
    <w:rsid w:val="00A609B4"/>
    <w:rsid w:val="00A81EDD"/>
    <w:rsid w:val="00AD18F0"/>
    <w:rsid w:val="00B05A07"/>
    <w:rsid w:val="00B4265C"/>
    <w:rsid w:val="00B808CD"/>
    <w:rsid w:val="00C103A7"/>
    <w:rsid w:val="00C119A6"/>
    <w:rsid w:val="00C12B75"/>
    <w:rsid w:val="00C33C8B"/>
    <w:rsid w:val="00C4352D"/>
    <w:rsid w:val="00C8173D"/>
    <w:rsid w:val="00CE2091"/>
    <w:rsid w:val="00E9412D"/>
    <w:rsid w:val="00EA2B97"/>
    <w:rsid w:val="00EE5210"/>
    <w:rsid w:val="00F74BDF"/>
    <w:rsid w:val="00FA615C"/>
    <w:rsid w:val="00FA7C34"/>
    <w:rsid w:val="00FC0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8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33"/>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Normal"/>
    <w:next w:val="Normal"/>
    <w:link w:val="Heading1Char"/>
    <w:qFormat/>
    <w:rsid w:val="006F4933"/>
    <w:pPr>
      <w:keepNext/>
      <w:spacing w:after="360" w:line="240" w:lineRule="auto"/>
      <w:jc w:val="center"/>
      <w:outlineLvl w:val="0"/>
    </w:pPr>
    <w:rPr>
      <w:rFonts w:ascii="Arial" w:hAnsi="Arial"/>
      <w:b/>
      <w:smallCaps/>
      <w:kern w:val="28"/>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933"/>
    <w:rPr>
      <w:rFonts w:ascii="Arial" w:eastAsia="Times New Roman" w:hAnsi="Arial" w:cs="Times New Roman"/>
      <w:b/>
      <w:smallCaps/>
      <w:kern w:val="28"/>
      <w:sz w:val="34"/>
      <w:szCs w:val="20"/>
      <w:lang w:eastAsia="en-AU"/>
    </w:rPr>
  </w:style>
  <w:style w:type="character" w:customStyle="1" w:styleId="TableTextLeftChar">
    <w:name w:val="Table Text Left Char"/>
    <w:link w:val="TableTextLeft"/>
    <w:locked/>
    <w:rsid w:val="006F4933"/>
    <w:rPr>
      <w:rFonts w:ascii="Arial" w:eastAsia="Times New Roman" w:hAnsi="Arial" w:cs="Times New Roman"/>
      <w:sz w:val="18"/>
      <w:szCs w:val="20"/>
      <w:lang w:eastAsia="en-AU"/>
    </w:rPr>
  </w:style>
  <w:style w:type="paragraph" w:customStyle="1" w:styleId="TableTextLeft">
    <w:name w:val="Table Text Left"/>
    <w:basedOn w:val="Normal"/>
    <w:link w:val="TableTextLeftChar"/>
    <w:rsid w:val="006F4933"/>
    <w:pPr>
      <w:spacing w:before="60" w:after="60" w:line="240" w:lineRule="auto"/>
      <w:jc w:val="left"/>
    </w:pPr>
    <w:rPr>
      <w:rFonts w:ascii="Arial" w:hAnsi="Arial"/>
      <w:sz w:val="18"/>
    </w:rPr>
  </w:style>
  <w:style w:type="paragraph" w:customStyle="1" w:styleId="TableColumnHeadingLeft">
    <w:name w:val="Table Column Heading Left"/>
    <w:basedOn w:val="Normal"/>
    <w:next w:val="TableTextLeft"/>
    <w:rsid w:val="006F4933"/>
    <w:pPr>
      <w:spacing w:before="60" w:after="60" w:line="240" w:lineRule="auto"/>
      <w:jc w:val="left"/>
    </w:pPr>
    <w:rPr>
      <w:rFonts w:ascii="Arial" w:hAnsi="Arial"/>
      <w:b/>
    </w:rPr>
  </w:style>
  <w:style w:type="character" w:customStyle="1" w:styleId="endChar">
    <w:name w:val="end Char"/>
    <w:basedOn w:val="Heading1Char"/>
    <w:link w:val="end"/>
    <w:locked/>
    <w:rsid w:val="006F4933"/>
    <w:rPr>
      <w:rFonts w:ascii="Arial" w:eastAsia="Times New Roman" w:hAnsi="Arial" w:cs="Times New Roman"/>
      <w:b/>
      <w:smallCaps/>
      <w:kern w:val="28"/>
      <w:sz w:val="34"/>
      <w:szCs w:val="20"/>
      <w:lang w:eastAsia="en-AU"/>
    </w:rPr>
  </w:style>
  <w:style w:type="paragraph" w:customStyle="1" w:styleId="end">
    <w:name w:val="end"/>
    <w:basedOn w:val="Heading1"/>
    <w:link w:val="endChar"/>
    <w:qFormat/>
    <w:rsid w:val="006F4933"/>
    <w:pPr>
      <w:outlineLvl w:val="1"/>
    </w:pPr>
  </w:style>
  <w:style w:type="paragraph" w:styleId="Header">
    <w:name w:val="header"/>
    <w:basedOn w:val="Normal"/>
    <w:link w:val="HeaderChar"/>
    <w:uiPriority w:val="99"/>
    <w:unhideWhenUsed/>
    <w:rsid w:val="00285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DC"/>
    <w:rPr>
      <w:rFonts w:ascii="Book Antiqua" w:eastAsia="Times New Roman" w:hAnsi="Book Antiqua" w:cs="Times New Roman"/>
      <w:sz w:val="20"/>
      <w:szCs w:val="20"/>
      <w:lang w:eastAsia="en-AU"/>
    </w:rPr>
  </w:style>
  <w:style w:type="paragraph" w:styleId="Footer">
    <w:name w:val="footer"/>
    <w:basedOn w:val="Normal"/>
    <w:link w:val="FooterChar"/>
    <w:uiPriority w:val="99"/>
    <w:unhideWhenUsed/>
    <w:rsid w:val="00285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DC"/>
    <w:rPr>
      <w:rFonts w:ascii="Book Antiqua" w:eastAsia="Times New Roman" w:hAnsi="Book Antiqua" w:cs="Times New Roman"/>
      <w:sz w:val="20"/>
      <w:szCs w:val="20"/>
      <w:lang w:eastAsia="en-AU"/>
    </w:rPr>
  </w:style>
  <w:style w:type="paragraph" w:customStyle="1" w:styleId="FooterEven">
    <w:name w:val="Footer Even"/>
    <w:basedOn w:val="Footer"/>
    <w:qFormat/>
    <w:rsid w:val="00B808CD"/>
    <w:pPr>
      <w:pBdr>
        <w:top w:val="single" w:sz="4" w:space="10" w:color="auto"/>
      </w:pBdr>
      <w:tabs>
        <w:tab w:val="clear" w:pos="4513"/>
        <w:tab w:val="clear" w:pos="9026"/>
        <w:tab w:val="center" w:pos="4153"/>
        <w:tab w:val="right" w:pos="8306"/>
      </w:tabs>
      <w:jc w:val="left"/>
    </w:pPr>
    <w:rPr>
      <w:rFonts w:ascii="Arial" w:hAnsi="Arial"/>
      <w:bCs/>
      <w:sz w:val="18"/>
    </w:rPr>
  </w:style>
  <w:style w:type="character" w:styleId="PageNumber">
    <w:name w:val="page number"/>
    <w:rsid w:val="00B808CD"/>
    <w:rPr>
      <w:rFonts w:ascii="Arial" w:hAnsi="Arial" w:cs="Arial"/>
      <w:sz w:val="20"/>
    </w:rPr>
  </w:style>
  <w:style w:type="paragraph" w:customStyle="1" w:styleId="FooterOdd">
    <w:name w:val="Footer Odd"/>
    <w:basedOn w:val="Footer"/>
    <w:qFormat/>
    <w:rsid w:val="00B808CD"/>
    <w:pPr>
      <w:pBdr>
        <w:top w:val="single" w:sz="4" w:space="10" w:color="auto"/>
      </w:pBdr>
      <w:tabs>
        <w:tab w:val="clear" w:pos="4513"/>
        <w:tab w:val="clear" w:pos="9026"/>
        <w:tab w:val="center" w:pos="4153"/>
        <w:tab w:val="right" w:pos="8306"/>
      </w:tabs>
      <w:jc w:val="right"/>
    </w:pPr>
    <w:rPr>
      <w:rFonts w:ascii="Arial" w:hAnsi="Arial"/>
      <w:sz w:val="18"/>
      <w:lang w:val="x-none"/>
    </w:rPr>
  </w:style>
  <w:style w:type="paragraph" w:styleId="NormalWeb">
    <w:name w:val="Normal (Web)"/>
    <w:basedOn w:val="Normal"/>
    <w:uiPriority w:val="99"/>
    <w:semiHidden/>
    <w:unhideWhenUsed/>
    <w:rsid w:val="00AD18F0"/>
    <w:rPr>
      <w:rFonts w:ascii="Times New Roman" w:hAnsi="Times New Roman"/>
      <w:sz w:val="24"/>
      <w:szCs w:val="24"/>
    </w:rPr>
  </w:style>
  <w:style w:type="paragraph" w:customStyle="1" w:styleId="HeaderOdd">
    <w:name w:val="Header Odd"/>
    <w:basedOn w:val="Normal"/>
    <w:rsid w:val="001F6E38"/>
    <w:pPr>
      <w:spacing w:after="0" w:line="240" w:lineRule="auto"/>
      <w:jc w:val="right"/>
    </w:pPr>
    <w:rPr>
      <w:rFonts w:ascii="Arial" w:hAnsi="Arial"/>
      <w:sz w:val="18"/>
    </w:rPr>
  </w:style>
  <w:style w:type="table" w:styleId="TableGrid">
    <w:name w:val="Table Grid"/>
    <w:basedOn w:val="TableNormal"/>
    <w:rsid w:val="001F6E38"/>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1F6E38"/>
    <w:pPr>
      <w:spacing w:after="0" w:line="240" w:lineRule="auto"/>
      <w:jc w:val="lef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2022-03-27T07:07:00Z</dcterms:created>
  <dcterms:modified xsi:type="dcterms:W3CDTF">2022-03-27T07:07:00Z</dcterms:modified>
</cp:coreProperties>
</file>