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CEDD1" w14:textId="77777777" w:rsidR="000E0B74" w:rsidRPr="006D0240" w:rsidRDefault="000E0B74" w:rsidP="008E6292">
      <w:bookmarkStart w:id="0" w:name="_GoBack"/>
      <w:bookmarkEnd w:id="0"/>
    </w:p>
    <w:p w14:paraId="3FCC3E06" w14:textId="77777777" w:rsidR="000E0B74" w:rsidRPr="006D0240" w:rsidRDefault="000E0B74" w:rsidP="001D4EAA">
      <w:pPr>
        <w:pStyle w:val="Crest"/>
        <w:spacing w:after="1320"/>
        <w:jc w:val="left"/>
      </w:pPr>
    </w:p>
    <w:p w14:paraId="19743084" w14:textId="4BAF48D2" w:rsidR="000E0B74" w:rsidRPr="0084397D" w:rsidRDefault="00E436A5" w:rsidP="001D4EAA">
      <w:pPr>
        <w:pStyle w:val="Title"/>
      </w:pPr>
      <w:r w:rsidRPr="0084397D">
        <w:t>Enhancing Australia’s foreign investment framework</w:t>
      </w:r>
    </w:p>
    <w:p w14:paraId="1976049C" w14:textId="39D59FA9" w:rsidR="000E0B74" w:rsidRPr="0084397D" w:rsidRDefault="00432F17" w:rsidP="001D4EAA">
      <w:pPr>
        <w:pStyle w:val="Subtitle"/>
      </w:pPr>
      <w:r w:rsidRPr="0084397D">
        <w:t xml:space="preserve">Government response to the </w:t>
      </w:r>
      <w:r w:rsidR="00DF3E86" w:rsidRPr="0084397D">
        <w:t>e</w:t>
      </w:r>
      <w:r w:rsidRPr="0084397D">
        <w:t>valuation of the foreign investment reforms and d</w:t>
      </w:r>
      <w:r w:rsidR="00E367FD" w:rsidRPr="0084397D">
        <w:t>iscuss</w:t>
      </w:r>
      <w:r w:rsidR="00E436A5" w:rsidRPr="0084397D">
        <w:t xml:space="preserve">ion </w:t>
      </w:r>
      <w:r w:rsidRPr="0084397D">
        <w:t>paper</w:t>
      </w:r>
    </w:p>
    <w:p w14:paraId="5F9B812D" w14:textId="5126BFBD" w:rsidR="00056880" w:rsidRPr="0084397D" w:rsidRDefault="004919FE" w:rsidP="001D4EAA">
      <w:pPr>
        <w:pStyle w:val="ReportDate"/>
        <w:rPr>
          <w:rFonts w:ascii="Rockwell" w:hAnsi="Rockwell"/>
          <w:sz w:val="24"/>
        </w:rPr>
      </w:pPr>
      <w:r w:rsidRPr="0084397D">
        <w:rPr>
          <w:rStyle w:val="ReportDateChar"/>
        </w:rPr>
        <w:t>February 2022</w:t>
      </w:r>
    </w:p>
    <w:p w14:paraId="6BB79780" w14:textId="77777777" w:rsidR="002F617F" w:rsidRPr="0084397D" w:rsidRDefault="002F617F" w:rsidP="001D4EAA">
      <w:pPr>
        <w:spacing w:after="6000"/>
      </w:pPr>
    </w:p>
    <w:p w14:paraId="7D3C08E0" w14:textId="77777777" w:rsidR="002F617F" w:rsidRPr="0084397D" w:rsidRDefault="002F617F"/>
    <w:p w14:paraId="1C1CE67B" w14:textId="77777777" w:rsidR="000E0B74" w:rsidRPr="0084397D" w:rsidRDefault="000E0B74" w:rsidP="000E0B74">
      <w:pPr>
        <w:rPr>
          <w:rFonts w:cs="Calibri"/>
          <w:sz w:val="20"/>
        </w:rPr>
      </w:pPr>
    </w:p>
    <w:p w14:paraId="1BC2CFC8" w14:textId="77777777" w:rsidR="000E0B74" w:rsidRPr="0084397D" w:rsidRDefault="000E0B74" w:rsidP="000E0B74">
      <w:pPr>
        <w:sectPr w:rsidR="000E0B74" w:rsidRPr="0084397D" w:rsidSect="00E1136B">
          <w:headerReference w:type="default" r:id="rId13"/>
          <w:pgSz w:w="11906" w:h="16838"/>
          <w:pgMar w:top="1418" w:right="1418" w:bottom="1418" w:left="1418" w:header="709" w:footer="709" w:gutter="0"/>
          <w:pgNumType w:fmt="lowerRoman" w:start="1"/>
          <w:cols w:space="720"/>
        </w:sectPr>
      </w:pPr>
    </w:p>
    <w:p w14:paraId="1BA9EFFE" w14:textId="4AED86D7" w:rsidR="000E0B74" w:rsidRPr="0084397D" w:rsidRDefault="000E0B74" w:rsidP="000E0B74">
      <w:pPr>
        <w:spacing w:before="240"/>
      </w:pPr>
      <w:r w:rsidRPr="0084397D">
        <w:lastRenderedPageBreak/>
        <w:t>© Commonwealth of Australia 20</w:t>
      </w:r>
      <w:r w:rsidR="00EF2FBF" w:rsidRPr="0084397D">
        <w:t>2</w:t>
      </w:r>
      <w:r w:rsidR="004919FE" w:rsidRPr="0084397D">
        <w:t>2</w:t>
      </w:r>
    </w:p>
    <w:p w14:paraId="6168AFEC" w14:textId="01BA706F" w:rsidR="000E0B74" w:rsidRPr="0084397D" w:rsidRDefault="000E0B74" w:rsidP="000E0B74">
      <w:pPr>
        <w:tabs>
          <w:tab w:val="left" w:pos="1650"/>
        </w:tabs>
        <w:spacing w:before="240"/>
        <w:rPr>
          <w:rFonts w:cstheme="minorBidi"/>
          <w:sz w:val="24"/>
          <w:szCs w:val="24"/>
        </w:rPr>
      </w:pPr>
      <w:r w:rsidRPr="0084397D">
        <w:t>This publication is available for your use under a</w:t>
      </w:r>
      <w:r w:rsidRPr="0084397D">
        <w:rPr>
          <w:rFonts w:cstheme="minorHAnsi"/>
          <w:sz w:val="24"/>
          <w:szCs w:val="24"/>
        </w:rPr>
        <w:t xml:space="preserve"> </w:t>
      </w:r>
      <w:hyperlink r:id="rId14" w:history="1">
        <w:r w:rsidRPr="0084397D">
          <w:rPr>
            <w:rStyle w:val="Hyperlink"/>
          </w:rPr>
          <w:t>Creative Commons Attribution 3.0 Australia</w:t>
        </w:r>
      </w:hyperlink>
      <w:r w:rsidRPr="0084397D">
        <w:rPr>
          <w:rFonts w:cstheme="minorHAnsi"/>
          <w:sz w:val="24"/>
          <w:szCs w:val="24"/>
        </w:rPr>
        <w:t xml:space="preserve"> </w:t>
      </w:r>
      <w:r w:rsidRPr="0084397D">
        <w:t>licence, with the exception of the Commonwealth Coat of Arms, the Treasury logo, photographs, images, signatures and where otherwise stated. The full licence terms are available from</w:t>
      </w:r>
      <w:r w:rsidRPr="0084397D">
        <w:rPr>
          <w:rFonts w:cstheme="minorHAnsi"/>
          <w:sz w:val="24"/>
          <w:szCs w:val="24"/>
        </w:rPr>
        <w:t xml:space="preserve"> </w:t>
      </w:r>
      <w:hyperlink r:id="rId15" w:history="1">
        <w:r w:rsidRPr="0084397D">
          <w:rPr>
            <w:rStyle w:val="Hyperlink"/>
          </w:rPr>
          <w:t>http://creativecommons.org/licenses/by/3.0/au/legalcode</w:t>
        </w:r>
      </w:hyperlink>
      <w:r w:rsidRPr="0084397D">
        <w:rPr>
          <w:rStyle w:val="Hyperlink"/>
        </w:rPr>
        <w:t>.</w:t>
      </w:r>
      <w:r w:rsidRPr="0084397D">
        <w:rPr>
          <w:sz w:val="24"/>
          <w:szCs w:val="24"/>
        </w:rPr>
        <w:t xml:space="preserve"> </w:t>
      </w:r>
    </w:p>
    <w:p w14:paraId="0831E9F9" w14:textId="77777777" w:rsidR="000E0B74" w:rsidRPr="0084397D" w:rsidRDefault="000E0B74" w:rsidP="000E0B74">
      <w:pPr>
        <w:pStyle w:val="ChartGraphic"/>
        <w:jc w:val="left"/>
      </w:pPr>
      <w:r w:rsidRPr="0084397D">
        <w:rPr>
          <w:noProof/>
          <w:lang w:eastAsia="zh-CN"/>
        </w:rPr>
        <w:drawing>
          <wp:inline distT="0" distB="0" distL="0" distR="0" wp14:anchorId="1BE6AAFC" wp14:editId="7B3A3C3E">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DE9A4E2" w14:textId="77777777" w:rsidR="000E0B74" w:rsidRPr="0084397D" w:rsidRDefault="000E0B74" w:rsidP="000E0B74">
      <w:pPr>
        <w:tabs>
          <w:tab w:val="left" w:pos="1650"/>
        </w:tabs>
        <w:spacing w:before="240"/>
      </w:pPr>
      <w:r w:rsidRPr="0084397D">
        <w:t>Use of Treasury material under a</w:t>
      </w:r>
      <w:r w:rsidRPr="0084397D">
        <w:rPr>
          <w:rFonts w:cstheme="minorHAnsi"/>
          <w:sz w:val="24"/>
          <w:szCs w:val="24"/>
        </w:rPr>
        <w:t xml:space="preserve"> </w:t>
      </w:r>
      <w:hyperlink r:id="rId17" w:history="1">
        <w:r w:rsidRPr="0084397D">
          <w:rPr>
            <w:rStyle w:val="Hyperlink"/>
          </w:rPr>
          <w:t>Creative Commons Attribution 3.0 Australia</w:t>
        </w:r>
      </w:hyperlink>
      <w:r w:rsidRPr="0084397D">
        <w:rPr>
          <w:rStyle w:val="Hyperlink"/>
        </w:rPr>
        <w:t xml:space="preserve"> </w:t>
      </w:r>
      <w:r w:rsidRPr="0084397D">
        <w:t>licence requires you to attribute the work (but not in any way that suggests that the Treasury endorses you or your use of the work).</w:t>
      </w:r>
    </w:p>
    <w:p w14:paraId="0767717C" w14:textId="77777777" w:rsidR="000E0B74" w:rsidRPr="0084397D" w:rsidRDefault="000E0B74" w:rsidP="000E0B74">
      <w:pPr>
        <w:ind w:left="709"/>
        <w:rPr>
          <w:i/>
        </w:rPr>
      </w:pPr>
      <w:r w:rsidRPr="0084397D">
        <w:rPr>
          <w:i/>
        </w:rPr>
        <w:t>Treasury material used ‘as supplied’.</w:t>
      </w:r>
    </w:p>
    <w:p w14:paraId="26794D6F" w14:textId="77777777" w:rsidR="000E0B74" w:rsidRPr="0084397D" w:rsidRDefault="000E0B74" w:rsidP="000E0B74">
      <w:pPr>
        <w:spacing w:before="240"/>
      </w:pPr>
      <w:r w:rsidRPr="0084397D">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169C5552" w14:textId="319D5673" w:rsidR="000E0B74" w:rsidRPr="0084397D" w:rsidRDefault="000E0B74" w:rsidP="000E0B74">
      <w:pPr>
        <w:ind w:firstLine="720"/>
      </w:pPr>
      <w:r w:rsidRPr="0084397D">
        <w:rPr>
          <w:i/>
        </w:rPr>
        <w:t xml:space="preserve">Source: The </w:t>
      </w:r>
      <w:r w:rsidRPr="0084397D">
        <w:rPr>
          <w:i/>
          <w:iCs/>
        </w:rPr>
        <w:t>Australian Government the Treasury</w:t>
      </w:r>
      <w:r w:rsidRPr="0084397D">
        <w:t>.</w:t>
      </w:r>
    </w:p>
    <w:p w14:paraId="0681F4E6" w14:textId="77777777" w:rsidR="000E0B74" w:rsidRPr="0084397D" w:rsidRDefault="000E0B74" w:rsidP="000E0B74">
      <w:pPr>
        <w:spacing w:before="240"/>
      </w:pPr>
      <w:r w:rsidRPr="0084397D">
        <w:rPr>
          <w:b/>
        </w:rPr>
        <w:t>Derivative</w:t>
      </w:r>
      <w:r w:rsidRPr="0084397D">
        <w:t xml:space="preserve"> </w:t>
      </w:r>
      <w:r w:rsidRPr="0084397D">
        <w:rPr>
          <w:b/>
        </w:rPr>
        <w:t>material</w:t>
      </w:r>
    </w:p>
    <w:p w14:paraId="429CC152" w14:textId="77777777" w:rsidR="000E0B74" w:rsidRPr="0084397D" w:rsidRDefault="000E0B74" w:rsidP="000E0B74">
      <w:r w:rsidRPr="0084397D">
        <w:t xml:space="preserve">If you have modified or transformed Treasury material, or derived new material from those of the Treasury in any way, then Treasury prefers the following attribution: </w:t>
      </w:r>
    </w:p>
    <w:p w14:paraId="12B12F3F" w14:textId="5EFAEB5A" w:rsidR="000E0B74" w:rsidRPr="0084397D" w:rsidRDefault="000E0B74" w:rsidP="000E0B74">
      <w:pPr>
        <w:ind w:firstLine="720"/>
      </w:pPr>
      <w:r w:rsidRPr="0084397D">
        <w:rPr>
          <w:i/>
        </w:rPr>
        <w:t>Based on The Australian Government the Treasury data</w:t>
      </w:r>
      <w:r w:rsidRPr="0084397D">
        <w:t>.</w:t>
      </w:r>
    </w:p>
    <w:p w14:paraId="326E502A" w14:textId="77777777" w:rsidR="000E0B74" w:rsidRPr="0084397D" w:rsidRDefault="000E0B74" w:rsidP="000E0B74">
      <w:pPr>
        <w:spacing w:before="240"/>
        <w:rPr>
          <w:b/>
        </w:rPr>
      </w:pPr>
      <w:r w:rsidRPr="0084397D">
        <w:rPr>
          <w:b/>
        </w:rPr>
        <w:t>Use of the Coat of Arms</w:t>
      </w:r>
    </w:p>
    <w:p w14:paraId="4D0631A6" w14:textId="6C9ACDE1" w:rsidR="000E0B74" w:rsidRPr="0084397D" w:rsidRDefault="004A7BC2" w:rsidP="000E0B74">
      <w:r w:rsidRPr="0084397D">
        <w:t xml:space="preserve">The terms under which the Coat of Arms can be used are set out on the Department of the Prime Minister and Cabinet website (see </w:t>
      </w:r>
      <w:hyperlink r:id="rId18" w:history="1">
        <w:r w:rsidR="002F55A3" w:rsidRPr="0084397D">
          <w:rPr>
            <w:rStyle w:val="Hyperlink"/>
          </w:rPr>
          <w:t>www.pmc.gov.au/government/commonwealth-coat-arms</w:t>
        </w:r>
      </w:hyperlink>
      <w:r w:rsidRPr="0084397D">
        <w:t>).</w:t>
      </w:r>
    </w:p>
    <w:p w14:paraId="01AB97B5" w14:textId="77777777" w:rsidR="000E0B74" w:rsidRPr="0084397D" w:rsidRDefault="000E0B74" w:rsidP="000E0B74">
      <w:pPr>
        <w:spacing w:before="240"/>
        <w:rPr>
          <w:b/>
        </w:rPr>
      </w:pPr>
      <w:r w:rsidRPr="0084397D">
        <w:rPr>
          <w:b/>
        </w:rPr>
        <w:t>Other uses</w:t>
      </w:r>
    </w:p>
    <w:p w14:paraId="2EE7AB89" w14:textId="77777777" w:rsidR="000E0B74" w:rsidRPr="0084397D" w:rsidRDefault="000E0B74" w:rsidP="000E0B74">
      <w:r w:rsidRPr="0084397D">
        <w:t>Enquiries regarding this licence and any other use of this document are welcome at:</w:t>
      </w:r>
    </w:p>
    <w:p w14:paraId="08AC63C4" w14:textId="45C7C945" w:rsidR="000E0B74" w:rsidRPr="0084397D" w:rsidRDefault="000E0B74" w:rsidP="000E0B74">
      <w:pPr>
        <w:ind w:left="720"/>
        <w:rPr>
          <w:rStyle w:val="Hyperlink"/>
        </w:rPr>
      </w:pPr>
      <w:r w:rsidRPr="0084397D">
        <w:t>Manager</w:t>
      </w:r>
      <w:r w:rsidR="009A668A" w:rsidRPr="0084397D">
        <w:br/>
      </w:r>
      <w:r w:rsidRPr="0084397D">
        <w:t>Media and Speeches Unit</w:t>
      </w:r>
      <w:r w:rsidRPr="0084397D">
        <w:br/>
        <w:t>The Treasury</w:t>
      </w:r>
      <w:r w:rsidRPr="0084397D">
        <w:br/>
        <w:t xml:space="preserve">Langton Crescent </w:t>
      </w:r>
      <w:r w:rsidRPr="0084397D">
        <w:br/>
        <w:t>Parkes ACT 2600</w:t>
      </w:r>
      <w:r w:rsidRPr="0084397D">
        <w:br/>
        <w:t xml:space="preserve">Email: </w:t>
      </w:r>
      <w:hyperlink r:id="rId19" w:history="1">
        <w:r w:rsidR="004A077D" w:rsidRPr="0084397D">
          <w:rPr>
            <w:rStyle w:val="Hyperlink"/>
          </w:rPr>
          <w:t>media@treasury.gov.au</w:t>
        </w:r>
      </w:hyperlink>
      <w:r w:rsidR="004A077D" w:rsidRPr="0084397D">
        <w:t xml:space="preserve"> </w:t>
      </w:r>
    </w:p>
    <w:p w14:paraId="587C1B23" w14:textId="77777777" w:rsidR="000E0B74" w:rsidRPr="0084397D" w:rsidRDefault="000E0B74" w:rsidP="000E0B74">
      <w:pPr>
        <w:pStyle w:val="SingleParagraph"/>
        <w:sectPr w:rsidR="000E0B74" w:rsidRPr="0084397D"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2C29EBC0" w14:textId="0B0824C9" w:rsidR="000E0B74" w:rsidRPr="0084397D" w:rsidRDefault="000E0B74" w:rsidP="005E5268">
      <w:pPr>
        <w:pStyle w:val="OutlineNumbered1"/>
        <w:numPr>
          <w:ilvl w:val="0"/>
          <w:numId w:val="0"/>
        </w:numPr>
        <w:ind w:left="522" w:hanging="522"/>
        <w:rPr>
          <w:color w:val="002C47"/>
          <w:sz w:val="48"/>
          <w:szCs w:val="48"/>
        </w:rPr>
      </w:pPr>
      <w:r w:rsidRPr="0084397D">
        <w:rPr>
          <w:color w:val="002C47"/>
          <w:sz w:val="48"/>
          <w:szCs w:val="48"/>
        </w:rPr>
        <w:lastRenderedPageBreak/>
        <w:t>Contents</w:t>
      </w:r>
    </w:p>
    <w:p w14:paraId="6DA285F0" w14:textId="71BE46A6" w:rsidR="00163CFB" w:rsidRDefault="00257AEE">
      <w:pPr>
        <w:pStyle w:val="TOC1"/>
        <w:rPr>
          <w:rFonts w:asciiTheme="minorHAnsi" w:eastAsiaTheme="minorEastAsia" w:hAnsiTheme="minorHAnsi" w:cstheme="minorBidi"/>
          <w:b w:val="0"/>
          <w:color w:val="auto"/>
        </w:rPr>
      </w:pPr>
      <w:r w:rsidRPr="0084397D">
        <w:fldChar w:fldCharType="begin"/>
      </w:r>
      <w:r w:rsidRPr="0084397D">
        <w:instrText xml:space="preserve"> TOC \o "1-2" \h \z \t "Heading 3,3,Chart Main Heading,3,Table Main Heading,3,Heading 3 Numbered,3,Table Heading Continued,3" </w:instrText>
      </w:r>
      <w:r w:rsidRPr="0084397D">
        <w:fldChar w:fldCharType="separate"/>
      </w:r>
      <w:hyperlink w:anchor="_Toc95490522" w:history="1">
        <w:r w:rsidR="00163CFB" w:rsidRPr="00B42485">
          <w:rPr>
            <w:rStyle w:val="Hyperlink"/>
          </w:rPr>
          <w:t>Consultation process</w:t>
        </w:r>
        <w:r w:rsidR="00163CFB">
          <w:rPr>
            <w:webHidden/>
          </w:rPr>
          <w:tab/>
        </w:r>
        <w:r w:rsidR="00163CFB">
          <w:rPr>
            <w:webHidden/>
          </w:rPr>
          <w:fldChar w:fldCharType="begin"/>
        </w:r>
        <w:r w:rsidR="00163CFB">
          <w:rPr>
            <w:webHidden/>
          </w:rPr>
          <w:instrText xml:space="preserve"> PAGEREF _Toc95490522 \h </w:instrText>
        </w:r>
        <w:r w:rsidR="00163CFB">
          <w:rPr>
            <w:webHidden/>
          </w:rPr>
        </w:r>
        <w:r w:rsidR="00163CFB">
          <w:rPr>
            <w:webHidden/>
          </w:rPr>
          <w:fldChar w:fldCharType="separate"/>
        </w:r>
        <w:r w:rsidR="00163CFB">
          <w:rPr>
            <w:webHidden/>
          </w:rPr>
          <w:t>1</w:t>
        </w:r>
        <w:r w:rsidR="00163CFB">
          <w:rPr>
            <w:webHidden/>
          </w:rPr>
          <w:fldChar w:fldCharType="end"/>
        </w:r>
      </w:hyperlink>
    </w:p>
    <w:p w14:paraId="0EF93E47" w14:textId="5E6682BD" w:rsidR="00163CFB" w:rsidRDefault="00194B9B">
      <w:pPr>
        <w:pStyle w:val="TOC2"/>
        <w:rPr>
          <w:rFonts w:asciiTheme="minorHAnsi" w:eastAsiaTheme="minorEastAsia" w:hAnsiTheme="minorHAnsi" w:cstheme="minorBidi"/>
          <w:color w:val="auto"/>
          <w:szCs w:val="22"/>
        </w:rPr>
      </w:pPr>
      <w:hyperlink w:anchor="_Toc95490523" w:history="1">
        <w:r w:rsidR="00163CFB" w:rsidRPr="00B42485">
          <w:rPr>
            <w:rStyle w:val="Hyperlink"/>
          </w:rPr>
          <w:t>Request for feedback and comments</w:t>
        </w:r>
        <w:r w:rsidR="00163CFB">
          <w:rPr>
            <w:webHidden/>
          </w:rPr>
          <w:tab/>
        </w:r>
        <w:r w:rsidR="00163CFB">
          <w:rPr>
            <w:webHidden/>
          </w:rPr>
          <w:fldChar w:fldCharType="begin"/>
        </w:r>
        <w:r w:rsidR="00163CFB">
          <w:rPr>
            <w:webHidden/>
          </w:rPr>
          <w:instrText xml:space="preserve"> PAGEREF _Toc95490523 \h </w:instrText>
        </w:r>
        <w:r w:rsidR="00163CFB">
          <w:rPr>
            <w:webHidden/>
          </w:rPr>
        </w:r>
        <w:r w:rsidR="00163CFB">
          <w:rPr>
            <w:webHidden/>
          </w:rPr>
          <w:fldChar w:fldCharType="separate"/>
        </w:r>
        <w:r w:rsidR="00163CFB">
          <w:rPr>
            <w:webHidden/>
          </w:rPr>
          <w:t>1</w:t>
        </w:r>
        <w:r w:rsidR="00163CFB">
          <w:rPr>
            <w:webHidden/>
          </w:rPr>
          <w:fldChar w:fldCharType="end"/>
        </w:r>
      </w:hyperlink>
    </w:p>
    <w:p w14:paraId="0AD6E776" w14:textId="3D6D14FD" w:rsidR="00163CFB" w:rsidRDefault="00194B9B">
      <w:pPr>
        <w:pStyle w:val="TOC1"/>
        <w:rPr>
          <w:rFonts w:asciiTheme="minorHAnsi" w:eastAsiaTheme="minorEastAsia" w:hAnsiTheme="minorHAnsi" w:cstheme="minorBidi"/>
          <w:b w:val="0"/>
          <w:color w:val="auto"/>
        </w:rPr>
      </w:pPr>
      <w:hyperlink w:anchor="_Toc95490524" w:history="1">
        <w:r w:rsidR="00163CFB" w:rsidRPr="00B42485">
          <w:rPr>
            <w:rStyle w:val="Hyperlink"/>
          </w:rPr>
          <w:t>Enhancing Australia’s foreign investment framework</w:t>
        </w:r>
        <w:r w:rsidR="00163CFB">
          <w:rPr>
            <w:webHidden/>
          </w:rPr>
          <w:tab/>
        </w:r>
        <w:r w:rsidR="00163CFB">
          <w:rPr>
            <w:webHidden/>
          </w:rPr>
          <w:fldChar w:fldCharType="begin"/>
        </w:r>
        <w:r w:rsidR="00163CFB">
          <w:rPr>
            <w:webHidden/>
          </w:rPr>
          <w:instrText xml:space="preserve"> PAGEREF _Toc95490524 \h </w:instrText>
        </w:r>
        <w:r w:rsidR="00163CFB">
          <w:rPr>
            <w:webHidden/>
          </w:rPr>
        </w:r>
        <w:r w:rsidR="00163CFB">
          <w:rPr>
            <w:webHidden/>
          </w:rPr>
          <w:fldChar w:fldCharType="separate"/>
        </w:r>
        <w:r w:rsidR="00163CFB">
          <w:rPr>
            <w:webHidden/>
          </w:rPr>
          <w:t>2</w:t>
        </w:r>
        <w:r w:rsidR="00163CFB">
          <w:rPr>
            <w:webHidden/>
          </w:rPr>
          <w:fldChar w:fldCharType="end"/>
        </w:r>
      </w:hyperlink>
    </w:p>
    <w:p w14:paraId="717A6026" w14:textId="6E8C5033" w:rsidR="00163CFB" w:rsidRDefault="00194B9B">
      <w:pPr>
        <w:pStyle w:val="TOC2"/>
        <w:rPr>
          <w:rFonts w:asciiTheme="minorHAnsi" w:eastAsiaTheme="minorEastAsia" w:hAnsiTheme="minorHAnsi" w:cstheme="minorBidi"/>
          <w:color w:val="auto"/>
          <w:szCs w:val="22"/>
        </w:rPr>
      </w:pPr>
      <w:hyperlink w:anchor="_Toc95490525" w:history="1">
        <w:r w:rsidR="00163CFB" w:rsidRPr="00B42485">
          <w:rPr>
            <w:rStyle w:val="Hyperlink"/>
          </w:rPr>
          <w:t>Evaluation of the reforms and key findings</w:t>
        </w:r>
        <w:r w:rsidR="00163CFB">
          <w:rPr>
            <w:webHidden/>
          </w:rPr>
          <w:tab/>
        </w:r>
        <w:r w:rsidR="00163CFB">
          <w:rPr>
            <w:webHidden/>
          </w:rPr>
          <w:fldChar w:fldCharType="begin"/>
        </w:r>
        <w:r w:rsidR="00163CFB">
          <w:rPr>
            <w:webHidden/>
          </w:rPr>
          <w:instrText xml:space="preserve"> PAGEREF _Toc95490525 \h </w:instrText>
        </w:r>
        <w:r w:rsidR="00163CFB">
          <w:rPr>
            <w:webHidden/>
          </w:rPr>
        </w:r>
        <w:r w:rsidR="00163CFB">
          <w:rPr>
            <w:webHidden/>
          </w:rPr>
          <w:fldChar w:fldCharType="separate"/>
        </w:r>
        <w:r w:rsidR="00163CFB">
          <w:rPr>
            <w:webHidden/>
          </w:rPr>
          <w:t>2</w:t>
        </w:r>
        <w:r w:rsidR="00163CFB">
          <w:rPr>
            <w:webHidden/>
          </w:rPr>
          <w:fldChar w:fldCharType="end"/>
        </w:r>
      </w:hyperlink>
    </w:p>
    <w:p w14:paraId="7EC77A2D" w14:textId="3B5FD076" w:rsidR="00163CFB" w:rsidRDefault="00194B9B">
      <w:pPr>
        <w:pStyle w:val="TOC2"/>
        <w:rPr>
          <w:rFonts w:asciiTheme="minorHAnsi" w:eastAsiaTheme="minorEastAsia" w:hAnsiTheme="minorHAnsi" w:cstheme="minorBidi"/>
          <w:color w:val="auto"/>
          <w:szCs w:val="22"/>
        </w:rPr>
      </w:pPr>
      <w:hyperlink w:anchor="_Toc95490526" w:history="1">
        <w:r w:rsidR="00163CFB" w:rsidRPr="00B42485">
          <w:rPr>
            <w:rStyle w:val="Hyperlink"/>
          </w:rPr>
          <w:t>Government response</w:t>
        </w:r>
        <w:r w:rsidR="00163CFB">
          <w:rPr>
            <w:webHidden/>
          </w:rPr>
          <w:tab/>
        </w:r>
        <w:r w:rsidR="00163CFB">
          <w:rPr>
            <w:webHidden/>
          </w:rPr>
          <w:fldChar w:fldCharType="begin"/>
        </w:r>
        <w:r w:rsidR="00163CFB">
          <w:rPr>
            <w:webHidden/>
          </w:rPr>
          <w:instrText xml:space="preserve"> PAGEREF _Toc95490526 \h </w:instrText>
        </w:r>
        <w:r w:rsidR="00163CFB">
          <w:rPr>
            <w:webHidden/>
          </w:rPr>
        </w:r>
        <w:r w:rsidR="00163CFB">
          <w:rPr>
            <w:webHidden/>
          </w:rPr>
          <w:fldChar w:fldCharType="separate"/>
        </w:r>
        <w:r w:rsidR="00163CFB">
          <w:rPr>
            <w:webHidden/>
          </w:rPr>
          <w:t>2</w:t>
        </w:r>
        <w:r w:rsidR="00163CFB">
          <w:rPr>
            <w:webHidden/>
          </w:rPr>
          <w:fldChar w:fldCharType="end"/>
        </w:r>
      </w:hyperlink>
    </w:p>
    <w:p w14:paraId="45A71199" w14:textId="5989076E" w:rsidR="00163CFB" w:rsidRDefault="00194B9B">
      <w:pPr>
        <w:pStyle w:val="TOC2"/>
        <w:rPr>
          <w:rFonts w:asciiTheme="minorHAnsi" w:eastAsiaTheme="minorEastAsia" w:hAnsiTheme="minorHAnsi" w:cstheme="minorBidi"/>
          <w:color w:val="auto"/>
          <w:szCs w:val="22"/>
        </w:rPr>
      </w:pPr>
      <w:hyperlink w:anchor="_Toc95490527" w:history="1">
        <w:r w:rsidR="00163CFB" w:rsidRPr="00B42485">
          <w:rPr>
            <w:rStyle w:val="Hyperlink"/>
          </w:rPr>
          <w:t>Tranche 1: proposed regulatory amendments</w:t>
        </w:r>
        <w:r w:rsidR="00163CFB">
          <w:rPr>
            <w:webHidden/>
          </w:rPr>
          <w:tab/>
        </w:r>
        <w:r w:rsidR="00163CFB">
          <w:rPr>
            <w:webHidden/>
          </w:rPr>
          <w:fldChar w:fldCharType="begin"/>
        </w:r>
        <w:r w:rsidR="00163CFB">
          <w:rPr>
            <w:webHidden/>
          </w:rPr>
          <w:instrText xml:space="preserve"> PAGEREF _Toc95490527 \h </w:instrText>
        </w:r>
        <w:r w:rsidR="00163CFB">
          <w:rPr>
            <w:webHidden/>
          </w:rPr>
        </w:r>
        <w:r w:rsidR="00163CFB">
          <w:rPr>
            <w:webHidden/>
          </w:rPr>
          <w:fldChar w:fldCharType="separate"/>
        </w:r>
        <w:r w:rsidR="00163CFB">
          <w:rPr>
            <w:webHidden/>
          </w:rPr>
          <w:t>2</w:t>
        </w:r>
        <w:r w:rsidR="00163CFB">
          <w:rPr>
            <w:webHidden/>
          </w:rPr>
          <w:fldChar w:fldCharType="end"/>
        </w:r>
      </w:hyperlink>
    </w:p>
    <w:p w14:paraId="355B0129" w14:textId="4F3D79F3" w:rsidR="00163CFB" w:rsidRDefault="00194B9B">
      <w:pPr>
        <w:pStyle w:val="TOC2"/>
        <w:rPr>
          <w:rFonts w:asciiTheme="minorHAnsi" w:eastAsiaTheme="minorEastAsia" w:hAnsiTheme="minorHAnsi" w:cstheme="minorBidi"/>
          <w:color w:val="auto"/>
          <w:szCs w:val="22"/>
        </w:rPr>
      </w:pPr>
      <w:hyperlink w:anchor="_Toc95490528" w:history="1">
        <w:r w:rsidR="00163CFB" w:rsidRPr="00B42485">
          <w:rPr>
            <w:rStyle w:val="Hyperlink"/>
          </w:rPr>
          <w:t>Tranche 2: broader legislative and regulatory reforms</w:t>
        </w:r>
        <w:r w:rsidR="00163CFB">
          <w:rPr>
            <w:webHidden/>
          </w:rPr>
          <w:tab/>
        </w:r>
        <w:r w:rsidR="00163CFB">
          <w:rPr>
            <w:webHidden/>
          </w:rPr>
          <w:fldChar w:fldCharType="begin"/>
        </w:r>
        <w:r w:rsidR="00163CFB">
          <w:rPr>
            <w:webHidden/>
          </w:rPr>
          <w:instrText xml:space="preserve"> PAGEREF _Toc95490528 \h </w:instrText>
        </w:r>
        <w:r w:rsidR="00163CFB">
          <w:rPr>
            <w:webHidden/>
          </w:rPr>
        </w:r>
        <w:r w:rsidR="00163CFB">
          <w:rPr>
            <w:webHidden/>
          </w:rPr>
          <w:fldChar w:fldCharType="separate"/>
        </w:r>
        <w:r w:rsidR="00163CFB">
          <w:rPr>
            <w:webHidden/>
          </w:rPr>
          <w:t>4</w:t>
        </w:r>
        <w:r w:rsidR="00163CFB">
          <w:rPr>
            <w:webHidden/>
          </w:rPr>
          <w:fldChar w:fldCharType="end"/>
        </w:r>
      </w:hyperlink>
    </w:p>
    <w:p w14:paraId="7F484EEB" w14:textId="4F4946BE" w:rsidR="00163CFB" w:rsidRDefault="00194B9B">
      <w:pPr>
        <w:pStyle w:val="TOC2"/>
        <w:rPr>
          <w:rFonts w:asciiTheme="minorHAnsi" w:eastAsiaTheme="minorEastAsia" w:hAnsiTheme="minorHAnsi" w:cstheme="minorBidi"/>
          <w:color w:val="auto"/>
          <w:szCs w:val="22"/>
        </w:rPr>
      </w:pPr>
      <w:hyperlink w:anchor="_Toc95490529" w:history="1">
        <w:r w:rsidR="00163CFB" w:rsidRPr="00B42485">
          <w:rPr>
            <w:rStyle w:val="Hyperlink"/>
          </w:rPr>
          <w:t>1. Areas to reduce regulatory burden</w:t>
        </w:r>
        <w:r w:rsidR="00163CFB">
          <w:rPr>
            <w:webHidden/>
          </w:rPr>
          <w:tab/>
        </w:r>
        <w:r w:rsidR="00163CFB">
          <w:rPr>
            <w:webHidden/>
          </w:rPr>
          <w:fldChar w:fldCharType="begin"/>
        </w:r>
        <w:r w:rsidR="00163CFB">
          <w:rPr>
            <w:webHidden/>
          </w:rPr>
          <w:instrText xml:space="preserve"> PAGEREF _Toc95490529 \h </w:instrText>
        </w:r>
        <w:r w:rsidR="00163CFB">
          <w:rPr>
            <w:webHidden/>
          </w:rPr>
        </w:r>
        <w:r w:rsidR="00163CFB">
          <w:rPr>
            <w:webHidden/>
          </w:rPr>
          <w:fldChar w:fldCharType="separate"/>
        </w:r>
        <w:r w:rsidR="00163CFB">
          <w:rPr>
            <w:webHidden/>
          </w:rPr>
          <w:t>4</w:t>
        </w:r>
        <w:r w:rsidR="00163CFB">
          <w:rPr>
            <w:webHidden/>
          </w:rPr>
          <w:fldChar w:fldCharType="end"/>
        </w:r>
      </w:hyperlink>
    </w:p>
    <w:p w14:paraId="14088316" w14:textId="546D009E" w:rsidR="00163CFB" w:rsidRDefault="00194B9B">
      <w:pPr>
        <w:pStyle w:val="TOC2"/>
        <w:rPr>
          <w:rFonts w:asciiTheme="minorHAnsi" w:eastAsiaTheme="minorEastAsia" w:hAnsiTheme="minorHAnsi" w:cstheme="minorBidi"/>
          <w:color w:val="auto"/>
          <w:szCs w:val="22"/>
        </w:rPr>
      </w:pPr>
      <w:hyperlink w:anchor="_Toc95490530" w:history="1">
        <w:r w:rsidR="00163CFB" w:rsidRPr="00B42485">
          <w:rPr>
            <w:rStyle w:val="Hyperlink"/>
          </w:rPr>
          <w:t>2. Investments requiring greater scrutiny</w:t>
        </w:r>
        <w:r w:rsidR="00163CFB">
          <w:rPr>
            <w:webHidden/>
          </w:rPr>
          <w:tab/>
        </w:r>
        <w:r w:rsidR="00163CFB">
          <w:rPr>
            <w:webHidden/>
          </w:rPr>
          <w:fldChar w:fldCharType="begin"/>
        </w:r>
        <w:r w:rsidR="00163CFB">
          <w:rPr>
            <w:webHidden/>
          </w:rPr>
          <w:instrText xml:space="preserve"> PAGEREF _Toc95490530 \h </w:instrText>
        </w:r>
        <w:r w:rsidR="00163CFB">
          <w:rPr>
            <w:webHidden/>
          </w:rPr>
        </w:r>
        <w:r w:rsidR="00163CFB">
          <w:rPr>
            <w:webHidden/>
          </w:rPr>
          <w:fldChar w:fldCharType="separate"/>
        </w:r>
        <w:r w:rsidR="00163CFB">
          <w:rPr>
            <w:webHidden/>
          </w:rPr>
          <w:t>5</w:t>
        </w:r>
        <w:r w:rsidR="00163CFB">
          <w:rPr>
            <w:webHidden/>
          </w:rPr>
          <w:fldChar w:fldCharType="end"/>
        </w:r>
      </w:hyperlink>
    </w:p>
    <w:p w14:paraId="2599A442" w14:textId="3B878D52" w:rsidR="00163CFB" w:rsidRDefault="00194B9B">
      <w:pPr>
        <w:pStyle w:val="TOC2"/>
        <w:rPr>
          <w:rFonts w:asciiTheme="minorHAnsi" w:eastAsiaTheme="minorEastAsia" w:hAnsiTheme="minorHAnsi" w:cstheme="minorBidi"/>
          <w:color w:val="auto"/>
          <w:szCs w:val="22"/>
        </w:rPr>
      </w:pPr>
      <w:hyperlink w:anchor="_Toc95490531" w:history="1">
        <w:r w:rsidR="00163CFB" w:rsidRPr="00B42485">
          <w:rPr>
            <w:rStyle w:val="Hyperlink"/>
          </w:rPr>
          <w:t>3. Exemption certificates</w:t>
        </w:r>
        <w:r w:rsidR="00163CFB">
          <w:rPr>
            <w:webHidden/>
          </w:rPr>
          <w:tab/>
        </w:r>
        <w:r w:rsidR="00163CFB">
          <w:rPr>
            <w:webHidden/>
          </w:rPr>
          <w:fldChar w:fldCharType="begin"/>
        </w:r>
        <w:r w:rsidR="00163CFB">
          <w:rPr>
            <w:webHidden/>
          </w:rPr>
          <w:instrText xml:space="preserve"> PAGEREF _Toc95490531 \h </w:instrText>
        </w:r>
        <w:r w:rsidR="00163CFB">
          <w:rPr>
            <w:webHidden/>
          </w:rPr>
        </w:r>
        <w:r w:rsidR="00163CFB">
          <w:rPr>
            <w:webHidden/>
          </w:rPr>
          <w:fldChar w:fldCharType="separate"/>
        </w:r>
        <w:r w:rsidR="00163CFB">
          <w:rPr>
            <w:webHidden/>
          </w:rPr>
          <w:t>5</w:t>
        </w:r>
        <w:r w:rsidR="00163CFB">
          <w:rPr>
            <w:webHidden/>
          </w:rPr>
          <w:fldChar w:fldCharType="end"/>
        </w:r>
      </w:hyperlink>
    </w:p>
    <w:p w14:paraId="123F3379" w14:textId="40FB5BE6" w:rsidR="00163CFB" w:rsidRDefault="00194B9B">
      <w:pPr>
        <w:pStyle w:val="TOC2"/>
        <w:rPr>
          <w:rFonts w:asciiTheme="minorHAnsi" w:eastAsiaTheme="minorEastAsia" w:hAnsiTheme="minorHAnsi" w:cstheme="minorBidi"/>
          <w:color w:val="auto"/>
          <w:szCs w:val="22"/>
        </w:rPr>
      </w:pPr>
      <w:hyperlink w:anchor="_Toc95490532" w:history="1">
        <w:r w:rsidR="00163CFB" w:rsidRPr="00B42485">
          <w:rPr>
            <w:rStyle w:val="Hyperlink"/>
          </w:rPr>
          <w:t>4. Compliance and enforcement</w:t>
        </w:r>
        <w:r w:rsidR="00163CFB">
          <w:rPr>
            <w:webHidden/>
          </w:rPr>
          <w:tab/>
        </w:r>
        <w:r w:rsidR="00163CFB">
          <w:rPr>
            <w:webHidden/>
          </w:rPr>
          <w:fldChar w:fldCharType="begin"/>
        </w:r>
        <w:r w:rsidR="00163CFB">
          <w:rPr>
            <w:webHidden/>
          </w:rPr>
          <w:instrText xml:space="preserve"> PAGEREF _Toc95490532 \h </w:instrText>
        </w:r>
        <w:r w:rsidR="00163CFB">
          <w:rPr>
            <w:webHidden/>
          </w:rPr>
        </w:r>
        <w:r w:rsidR="00163CFB">
          <w:rPr>
            <w:webHidden/>
          </w:rPr>
          <w:fldChar w:fldCharType="separate"/>
        </w:r>
        <w:r w:rsidR="00163CFB">
          <w:rPr>
            <w:webHidden/>
          </w:rPr>
          <w:t>7</w:t>
        </w:r>
        <w:r w:rsidR="00163CFB">
          <w:rPr>
            <w:webHidden/>
          </w:rPr>
          <w:fldChar w:fldCharType="end"/>
        </w:r>
      </w:hyperlink>
    </w:p>
    <w:p w14:paraId="1DA664FA" w14:textId="57FF1A61" w:rsidR="00163CFB" w:rsidRDefault="00194B9B">
      <w:pPr>
        <w:pStyle w:val="TOC2"/>
        <w:rPr>
          <w:rFonts w:asciiTheme="minorHAnsi" w:eastAsiaTheme="minorEastAsia" w:hAnsiTheme="minorHAnsi" w:cstheme="minorBidi"/>
          <w:color w:val="auto"/>
          <w:szCs w:val="22"/>
        </w:rPr>
      </w:pPr>
      <w:hyperlink w:anchor="_Toc95490533" w:history="1">
        <w:r w:rsidR="00163CFB" w:rsidRPr="00B42485">
          <w:rPr>
            <w:rStyle w:val="Hyperlink"/>
          </w:rPr>
          <w:t>5. Overall operation of the foreign investment framework</w:t>
        </w:r>
        <w:r w:rsidR="00163CFB">
          <w:rPr>
            <w:webHidden/>
          </w:rPr>
          <w:tab/>
        </w:r>
        <w:r w:rsidR="00163CFB">
          <w:rPr>
            <w:webHidden/>
          </w:rPr>
          <w:fldChar w:fldCharType="begin"/>
        </w:r>
        <w:r w:rsidR="00163CFB">
          <w:rPr>
            <w:webHidden/>
          </w:rPr>
          <w:instrText xml:space="preserve"> PAGEREF _Toc95490533 \h </w:instrText>
        </w:r>
        <w:r w:rsidR="00163CFB">
          <w:rPr>
            <w:webHidden/>
          </w:rPr>
        </w:r>
        <w:r w:rsidR="00163CFB">
          <w:rPr>
            <w:webHidden/>
          </w:rPr>
          <w:fldChar w:fldCharType="separate"/>
        </w:r>
        <w:r w:rsidR="00163CFB">
          <w:rPr>
            <w:webHidden/>
          </w:rPr>
          <w:t>7</w:t>
        </w:r>
        <w:r w:rsidR="00163CFB">
          <w:rPr>
            <w:webHidden/>
          </w:rPr>
          <w:fldChar w:fldCharType="end"/>
        </w:r>
      </w:hyperlink>
    </w:p>
    <w:p w14:paraId="137C9142" w14:textId="229E2459" w:rsidR="00163CFB" w:rsidRDefault="00194B9B">
      <w:pPr>
        <w:pStyle w:val="TOC1"/>
        <w:rPr>
          <w:rFonts w:asciiTheme="minorHAnsi" w:eastAsiaTheme="minorEastAsia" w:hAnsiTheme="minorHAnsi" w:cstheme="minorBidi"/>
          <w:b w:val="0"/>
          <w:color w:val="auto"/>
        </w:rPr>
      </w:pPr>
      <w:hyperlink w:anchor="_Toc95490534" w:history="1">
        <w:r w:rsidR="00163CFB" w:rsidRPr="00B42485">
          <w:rPr>
            <w:rStyle w:val="Hyperlink"/>
          </w:rPr>
          <w:t>Government response to the Evaluation</w:t>
        </w:r>
        <w:r w:rsidR="00163CFB">
          <w:rPr>
            <w:webHidden/>
          </w:rPr>
          <w:tab/>
        </w:r>
        <w:r w:rsidR="00163CFB">
          <w:rPr>
            <w:webHidden/>
          </w:rPr>
          <w:fldChar w:fldCharType="begin"/>
        </w:r>
        <w:r w:rsidR="00163CFB">
          <w:rPr>
            <w:webHidden/>
          </w:rPr>
          <w:instrText xml:space="preserve"> PAGEREF _Toc95490534 \h </w:instrText>
        </w:r>
        <w:r w:rsidR="00163CFB">
          <w:rPr>
            <w:webHidden/>
          </w:rPr>
        </w:r>
        <w:r w:rsidR="00163CFB">
          <w:rPr>
            <w:webHidden/>
          </w:rPr>
          <w:fldChar w:fldCharType="separate"/>
        </w:r>
        <w:r w:rsidR="00163CFB">
          <w:rPr>
            <w:webHidden/>
          </w:rPr>
          <w:t>8</w:t>
        </w:r>
        <w:r w:rsidR="00163CFB">
          <w:rPr>
            <w:webHidden/>
          </w:rPr>
          <w:fldChar w:fldCharType="end"/>
        </w:r>
      </w:hyperlink>
    </w:p>
    <w:p w14:paraId="16757969" w14:textId="2CDD3A90" w:rsidR="000E0B74" w:rsidRPr="0084397D" w:rsidRDefault="00257AEE" w:rsidP="00656356">
      <w:pPr>
        <w:pStyle w:val="SingleParagraph"/>
        <w:tabs>
          <w:tab w:val="right" w:leader="dot" w:pos="9072"/>
        </w:tabs>
        <w:ind w:right="-2"/>
        <w:sectPr w:rsidR="000E0B74" w:rsidRPr="0084397D" w:rsidSect="00475B7B">
          <w:pgSz w:w="11906" w:h="16838" w:code="9"/>
          <w:pgMar w:top="1418" w:right="1418" w:bottom="1418" w:left="1418" w:header="709" w:footer="709" w:gutter="0"/>
          <w:pgNumType w:fmt="lowerRoman"/>
          <w:cols w:space="708"/>
          <w:titlePg/>
          <w:docGrid w:linePitch="360"/>
        </w:sectPr>
      </w:pPr>
      <w:r w:rsidRPr="0084397D">
        <w:rPr>
          <w:noProof/>
          <w:color w:val="004A7F"/>
          <w:szCs w:val="22"/>
        </w:rPr>
        <w:fldChar w:fldCharType="end"/>
      </w:r>
    </w:p>
    <w:p w14:paraId="33BF6FA3" w14:textId="135C614E" w:rsidR="000E0B74" w:rsidRPr="0084397D" w:rsidRDefault="00BC5988" w:rsidP="005E5268">
      <w:pPr>
        <w:pStyle w:val="Heading1"/>
        <w:spacing w:before="0"/>
      </w:pPr>
      <w:bookmarkStart w:id="1" w:name="_Toc95490522"/>
      <w:bookmarkStart w:id="2" w:name="_Toc432067103"/>
      <w:r w:rsidRPr="0084397D">
        <w:lastRenderedPageBreak/>
        <w:t>Consultation process</w:t>
      </w:r>
      <w:bookmarkEnd w:id="1"/>
    </w:p>
    <w:p w14:paraId="0B9EC43B" w14:textId="360434EA" w:rsidR="00A6491F" w:rsidRPr="0084397D" w:rsidRDefault="005A5FB9" w:rsidP="00B62861">
      <w:r w:rsidRPr="0084397D">
        <w:t>Foreign investment play</w:t>
      </w:r>
      <w:r w:rsidR="0095294A" w:rsidRPr="0084397D">
        <w:t>s</w:t>
      </w:r>
      <w:r w:rsidRPr="0084397D">
        <w:t xml:space="preserve"> a vital role in Australia’s economic prosperity. </w:t>
      </w:r>
      <w:r w:rsidR="008D6040" w:rsidRPr="0084397D">
        <w:t xml:space="preserve">This role </w:t>
      </w:r>
      <w:r w:rsidR="00641B93" w:rsidRPr="0084397D">
        <w:t xml:space="preserve">is </w:t>
      </w:r>
      <w:r w:rsidR="005E41E8" w:rsidRPr="0084397D">
        <w:t>especially</w:t>
      </w:r>
      <w:r w:rsidR="008D6040" w:rsidRPr="0084397D">
        <w:t xml:space="preserve"> important </w:t>
      </w:r>
      <w:r w:rsidR="005E41E8" w:rsidRPr="0084397D">
        <w:t>as the</w:t>
      </w:r>
      <w:r w:rsidR="00B85339" w:rsidRPr="0084397D">
        <w:t xml:space="preserve"> </w:t>
      </w:r>
      <w:r w:rsidR="008D6040" w:rsidRPr="0084397D">
        <w:t>Australia</w:t>
      </w:r>
      <w:r w:rsidR="005E41E8" w:rsidRPr="0084397D">
        <w:t>n</w:t>
      </w:r>
      <w:r w:rsidR="00A91DE4" w:rsidRPr="0084397D">
        <w:t xml:space="preserve"> </w:t>
      </w:r>
      <w:r w:rsidR="008D6040" w:rsidRPr="0084397D">
        <w:t>econom</w:t>
      </w:r>
      <w:r w:rsidR="005E41E8" w:rsidRPr="0084397D">
        <w:t>y</w:t>
      </w:r>
      <w:r w:rsidR="008D6040" w:rsidRPr="0084397D">
        <w:t xml:space="preserve"> </w:t>
      </w:r>
      <w:r w:rsidR="00A91DE4" w:rsidRPr="0084397D">
        <w:t>recover</w:t>
      </w:r>
      <w:r w:rsidR="005E41E8" w:rsidRPr="0084397D">
        <w:t>s from</w:t>
      </w:r>
      <w:r w:rsidR="00A91DE4" w:rsidRPr="0084397D">
        <w:t xml:space="preserve"> </w:t>
      </w:r>
      <w:r w:rsidR="005E41E8" w:rsidRPr="0084397D">
        <w:t>the challenges presented by</w:t>
      </w:r>
      <w:r w:rsidR="00A91DE4" w:rsidRPr="0084397D">
        <w:t xml:space="preserve"> the COVID-19 pandemic.</w:t>
      </w:r>
    </w:p>
    <w:p w14:paraId="37559424" w14:textId="0213EB4E" w:rsidR="008D6040" w:rsidRPr="0084397D" w:rsidRDefault="00E91C16" w:rsidP="00A70151">
      <w:pPr>
        <w:spacing w:line="259" w:lineRule="auto"/>
      </w:pPr>
      <w:r w:rsidRPr="0084397D">
        <w:t xml:space="preserve">In response to the Secretary </w:t>
      </w:r>
      <w:r w:rsidR="00DF3E86" w:rsidRPr="0084397D">
        <w:t xml:space="preserve">to </w:t>
      </w:r>
      <w:r w:rsidRPr="0084397D">
        <w:t xml:space="preserve">the Treasury’s </w:t>
      </w:r>
      <w:r w:rsidR="00DF3E86" w:rsidRPr="0084397D">
        <w:t>e</w:t>
      </w:r>
      <w:r w:rsidRPr="0084397D">
        <w:t>valuation of the foreign investment reforms, t</w:t>
      </w:r>
      <w:r w:rsidR="00B62861" w:rsidRPr="0084397D">
        <w:t xml:space="preserve">his </w:t>
      </w:r>
      <w:r w:rsidR="00ED55DE" w:rsidRPr="0084397D">
        <w:t xml:space="preserve">discussion </w:t>
      </w:r>
      <w:r w:rsidR="00B62861" w:rsidRPr="0084397D">
        <w:t xml:space="preserve">paper seeks to </w:t>
      </w:r>
      <w:r w:rsidR="005A5FB9" w:rsidRPr="0084397D">
        <w:t>explor</w:t>
      </w:r>
      <w:r w:rsidR="00B62861" w:rsidRPr="0084397D">
        <w:t>e</w:t>
      </w:r>
      <w:r w:rsidR="005A5FB9" w:rsidRPr="0084397D">
        <w:t xml:space="preserve"> </w:t>
      </w:r>
      <w:r w:rsidR="00B62861" w:rsidRPr="0084397D">
        <w:t xml:space="preserve">how </w:t>
      </w:r>
      <w:r w:rsidR="00D85C35" w:rsidRPr="0084397D">
        <w:t>Australia’s</w:t>
      </w:r>
      <w:r w:rsidR="005A5FB9" w:rsidRPr="0084397D">
        <w:t xml:space="preserve"> foreign investment</w:t>
      </w:r>
      <w:r w:rsidR="00935B49" w:rsidRPr="0084397D">
        <w:t xml:space="preserve"> </w:t>
      </w:r>
      <w:r w:rsidR="005A5FB9" w:rsidRPr="0084397D">
        <w:t xml:space="preserve">framework </w:t>
      </w:r>
      <w:r w:rsidR="00935B49" w:rsidRPr="0084397D">
        <w:t>(</w:t>
      </w:r>
      <w:r w:rsidR="00935B49" w:rsidRPr="0084397D">
        <w:rPr>
          <w:b/>
          <w:bCs/>
        </w:rPr>
        <w:t>the</w:t>
      </w:r>
      <w:r w:rsidR="00814022" w:rsidRPr="0084397D">
        <w:rPr>
          <w:b/>
          <w:bCs/>
        </w:rPr>
        <w:t> </w:t>
      </w:r>
      <w:r w:rsidR="0014370D" w:rsidRPr="0084397D">
        <w:rPr>
          <w:b/>
          <w:bCs/>
        </w:rPr>
        <w:t>f</w:t>
      </w:r>
      <w:r w:rsidR="00935B49" w:rsidRPr="0084397D">
        <w:rPr>
          <w:b/>
          <w:bCs/>
        </w:rPr>
        <w:t>ramework</w:t>
      </w:r>
      <w:r w:rsidR="00935B49" w:rsidRPr="0084397D">
        <w:t xml:space="preserve">) </w:t>
      </w:r>
      <w:r w:rsidR="00B62861" w:rsidRPr="0084397D">
        <w:t xml:space="preserve">could be </w:t>
      </w:r>
      <w:r w:rsidR="000D5783" w:rsidRPr="0084397D">
        <w:t xml:space="preserve">further </w:t>
      </w:r>
      <w:r w:rsidR="0091455B" w:rsidRPr="0084397D">
        <w:t>enhanced</w:t>
      </w:r>
      <w:r w:rsidR="00B62861" w:rsidRPr="0084397D">
        <w:t>.</w:t>
      </w:r>
      <w:r w:rsidR="00282582" w:rsidRPr="0084397D">
        <w:t xml:space="preserve"> </w:t>
      </w:r>
    </w:p>
    <w:p w14:paraId="549086D9" w14:textId="44D69338" w:rsidR="00E40092" w:rsidRPr="0084397D" w:rsidRDefault="008D6040" w:rsidP="005A5FB9">
      <w:pPr>
        <w:spacing w:line="259" w:lineRule="auto"/>
      </w:pPr>
      <w:r w:rsidRPr="0084397D">
        <w:t>Th</w:t>
      </w:r>
      <w:r w:rsidR="00BA2F80" w:rsidRPr="0084397D">
        <w:t>e</w:t>
      </w:r>
      <w:r w:rsidRPr="0084397D">
        <w:t xml:space="preserve"> paper </w:t>
      </w:r>
      <w:r w:rsidR="00372358" w:rsidRPr="0084397D">
        <w:t xml:space="preserve">seeks </w:t>
      </w:r>
      <w:r w:rsidR="00B62861" w:rsidRPr="0084397D">
        <w:t xml:space="preserve">views from the public on options </w:t>
      </w:r>
      <w:r w:rsidR="00BA17C9" w:rsidRPr="0084397D">
        <w:t>to</w:t>
      </w:r>
      <w:r w:rsidR="00B62861" w:rsidRPr="0084397D">
        <w:t xml:space="preserve"> improv</w:t>
      </w:r>
      <w:r w:rsidR="00BA17C9" w:rsidRPr="0084397D">
        <w:t>e</w:t>
      </w:r>
      <w:r w:rsidR="00B62861" w:rsidRPr="0084397D">
        <w:t xml:space="preserve"> the overall design and operation of the framework, reduce regulatory burden, refine compliance and enforcement powers and, where appropriate, increase scrutiny of certain types of investment</w:t>
      </w:r>
      <w:r w:rsidR="00E91C16" w:rsidRPr="0084397D">
        <w:t>s</w:t>
      </w:r>
      <w:r w:rsidR="00B62861" w:rsidRPr="0084397D">
        <w:t xml:space="preserve">. </w:t>
      </w:r>
      <w:r w:rsidRPr="0084397D">
        <w:t>No part of t</w:t>
      </w:r>
      <w:r w:rsidR="00E40092" w:rsidRPr="0084397D">
        <w:t>h</w:t>
      </w:r>
      <w:r w:rsidR="005E41E8" w:rsidRPr="0084397D">
        <w:t>e</w:t>
      </w:r>
      <w:r w:rsidR="00E40092" w:rsidRPr="0084397D">
        <w:t xml:space="preserve"> paper </w:t>
      </w:r>
      <w:r w:rsidR="00043396" w:rsidRPr="0084397D">
        <w:t>represents</w:t>
      </w:r>
      <w:r w:rsidRPr="0084397D">
        <w:t xml:space="preserve"> </w:t>
      </w:r>
      <w:r w:rsidR="00E40092" w:rsidRPr="0084397D">
        <w:t>final Government views.</w:t>
      </w:r>
    </w:p>
    <w:p w14:paraId="522A866C" w14:textId="687E2928" w:rsidR="000E0B74" w:rsidRPr="0084397D" w:rsidRDefault="000E0B74" w:rsidP="005E5268">
      <w:pPr>
        <w:pStyle w:val="Heading2"/>
        <w:spacing w:before="120" w:line="460" w:lineRule="exact"/>
      </w:pPr>
      <w:bookmarkStart w:id="3" w:name="_Toc95490523"/>
      <w:r w:rsidRPr="0084397D">
        <w:t>Request for feedback and comments</w:t>
      </w:r>
      <w:bookmarkEnd w:id="3"/>
    </w:p>
    <w:p w14:paraId="14FF7925" w14:textId="431C8B3C" w:rsidR="001353C9" w:rsidRPr="0084397D" w:rsidRDefault="00B3634B" w:rsidP="00212B5A">
      <w:pPr>
        <w:spacing w:line="259" w:lineRule="auto"/>
      </w:pPr>
      <w:r w:rsidRPr="0084397D">
        <w:t>The Government is seeking feedback on the questions outlined in this discussion paper by</w:t>
      </w:r>
      <w:r w:rsidRPr="0084397D" w:rsidDel="00B3634B">
        <w:t xml:space="preserve"> </w:t>
      </w:r>
      <w:r w:rsidR="00F37F36">
        <w:t>11</w:t>
      </w:r>
      <w:r w:rsidR="0084397D" w:rsidRPr="0084397D">
        <w:t> March 2022</w:t>
      </w:r>
      <w:r w:rsidR="0087092C" w:rsidRPr="0084397D">
        <w:t xml:space="preserve">. Responses may be </w:t>
      </w:r>
      <w:r w:rsidR="001353C9" w:rsidRPr="0084397D">
        <w:t xml:space="preserve">submitted to </w:t>
      </w:r>
      <w:r w:rsidR="0087092C" w:rsidRPr="0084397D">
        <w:t>the Treasury</w:t>
      </w:r>
      <w:r w:rsidR="007A0428" w:rsidRPr="0084397D">
        <w:t xml:space="preserve"> in two ways. </w:t>
      </w:r>
    </w:p>
    <w:p w14:paraId="01FFFEEB" w14:textId="7E5118B8" w:rsidR="001353C9" w:rsidRPr="0084397D" w:rsidRDefault="0087092C" w:rsidP="00212B5A">
      <w:pPr>
        <w:spacing w:line="259" w:lineRule="auto"/>
      </w:pPr>
      <w:r w:rsidRPr="0084397D">
        <w:t xml:space="preserve">For written responses, </w:t>
      </w:r>
      <w:r w:rsidR="007A0428" w:rsidRPr="0084397D">
        <w:t>electronic</w:t>
      </w:r>
      <w:r w:rsidRPr="0084397D">
        <w:t xml:space="preserve"> submission in </w:t>
      </w:r>
      <w:r w:rsidR="007A0428" w:rsidRPr="0084397D">
        <w:t xml:space="preserve">Word or RTF format </w:t>
      </w:r>
      <w:r w:rsidRPr="0084397D">
        <w:t xml:space="preserve">is preferrable </w:t>
      </w:r>
      <w:r w:rsidR="007A0428" w:rsidRPr="0084397D">
        <w:t xml:space="preserve">for accessibility. Submissions </w:t>
      </w:r>
      <w:r w:rsidRPr="0084397D">
        <w:t xml:space="preserve">made </w:t>
      </w:r>
      <w:r w:rsidR="007A0428" w:rsidRPr="0084397D">
        <w:t>by post or in less accessible digital formats</w:t>
      </w:r>
      <w:r w:rsidR="001353C9" w:rsidRPr="0084397D">
        <w:t>,</w:t>
      </w:r>
      <w:r w:rsidR="007A0428" w:rsidRPr="0084397D">
        <w:t xml:space="preserve"> </w:t>
      </w:r>
      <w:r w:rsidRPr="0084397D">
        <w:t xml:space="preserve">such as </w:t>
      </w:r>
      <w:r w:rsidR="001353C9" w:rsidRPr="0084397D">
        <w:t xml:space="preserve">in PDF, </w:t>
      </w:r>
      <w:r w:rsidR="007A0428" w:rsidRPr="0084397D">
        <w:t xml:space="preserve">will also be accepted. </w:t>
      </w:r>
      <w:r w:rsidR="00B70D1E" w:rsidRPr="0084397D">
        <w:t xml:space="preserve">Written responses should be submitted by </w:t>
      </w:r>
      <w:r w:rsidR="00F37F36">
        <w:t>11</w:t>
      </w:r>
      <w:r w:rsidR="0084397D" w:rsidRPr="0084397D">
        <w:t xml:space="preserve"> March 2022 </w:t>
      </w:r>
      <w:r w:rsidR="00B70D1E" w:rsidRPr="0084397D">
        <w:t>using the addresses listed in the table below.</w:t>
      </w:r>
    </w:p>
    <w:p w14:paraId="1E68B161" w14:textId="1B4F78FE" w:rsidR="007A0428" w:rsidRPr="0084397D" w:rsidRDefault="001353C9" w:rsidP="00212B5A">
      <w:pPr>
        <w:spacing w:line="259" w:lineRule="auto"/>
      </w:pPr>
      <w:r w:rsidRPr="0084397D">
        <w:t>I</w:t>
      </w:r>
      <w:r w:rsidR="0087092C" w:rsidRPr="0084397D">
        <w:t xml:space="preserve">nformation in written responses, including names and address details, may be </w:t>
      </w:r>
      <w:r w:rsidRPr="0084397D">
        <w:t xml:space="preserve">published </w:t>
      </w:r>
      <w:r w:rsidR="0087092C" w:rsidRPr="0084397D">
        <w:t>on the Australian Treasury website</w:t>
      </w:r>
      <w:r w:rsidR="00B70D1E" w:rsidRPr="0084397D">
        <w:t xml:space="preserve">. This is </w:t>
      </w:r>
      <w:r w:rsidR="0087092C" w:rsidRPr="0084397D">
        <w:t xml:space="preserve">unless </w:t>
      </w:r>
      <w:r w:rsidR="00B70D1E" w:rsidRPr="0084397D">
        <w:t xml:space="preserve">a respondent </w:t>
      </w:r>
      <w:r w:rsidRPr="0084397D">
        <w:t xml:space="preserve">specifically </w:t>
      </w:r>
      <w:r w:rsidR="00B70D1E" w:rsidRPr="0084397D">
        <w:t xml:space="preserve">instructs </w:t>
      </w:r>
      <w:r w:rsidR="008F089A" w:rsidRPr="0084397D">
        <w:t>the</w:t>
      </w:r>
      <w:r w:rsidR="00B70D1E" w:rsidRPr="0084397D">
        <w:t xml:space="preserve"> Treasury at the time of </w:t>
      </w:r>
      <w:r w:rsidR="008F089A" w:rsidRPr="0084397D">
        <w:t>its</w:t>
      </w:r>
      <w:r w:rsidR="00B70D1E" w:rsidRPr="0084397D">
        <w:t xml:space="preserve"> submission that part of </w:t>
      </w:r>
      <w:r w:rsidR="008F089A" w:rsidRPr="0084397D">
        <w:t xml:space="preserve">or </w:t>
      </w:r>
      <w:r w:rsidR="00B70D1E" w:rsidRPr="0084397D">
        <w:t xml:space="preserve">all of </w:t>
      </w:r>
      <w:r w:rsidR="008F089A" w:rsidRPr="0084397D">
        <w:t>its</w:t>
      </w:r>
      <w:r w:rsidR="00B70D1E" w:rsidRPr="0084397D">
        <w:t xml:space="preserve"> written response is</w:t>
      </w:r>
      <w:r w:rsidR="0087092C" w:rsidRPr="0084397D">
        <w:t xml:space="preserve"> confidential and not for publication</w:t>
      </w:r>
      <w:r w:rsidRPr="0084397D">
        <w:t>.</w:t>
      </w:r>
    </w:p>
    <w:p w14:paraId="5C85400E" w14:textId="4D0A1F65" w:rsidR="00C14066" w:rsidRPr="0084397D" w:rsidRDefault="00C14066" w:rsidP="008D6472">
      <w:pPr>
        <w:spacing w:line="259" w:lineRule="auto"/>
      </w:pPr>
      <w:r w:rsidRPr="0084397D">
        <w:t xml:space="preserve">The Treasury will also consult broadly with industry representatives and other interested parties on the </w:t>
      </w:r>
      <w:r w:rsidR="00777F82" w:rsidRPr="0084397D">
        <w:t>issues</w:t>
      </w:r>
      <w:r w:rsidR="00372358" w:rsidRPr="0084397D">
        <w:t xml:space="preserve"> raised in </w:t>
      </w:r>
      <w:r w:rsidRPr="0084397D">
        <w:t xml:space="preserve">this </w:t>
      </w:r>
      <w:r w:rsidR="00372358" w:rsidRPr="0084397D">
        <w:t xml:space="preserve">discussion </w:t>
      </w:r>
      <w:r w:rsidRPr="0084397D">
        <w:t xml:space="preserve">paper. This may involve targeted consultation on specific issues where more information and views </w:t>
      </w:r>
      <w:r w:rsidR="00E40092" w:rsidRPr="0084397D">
        <w:t xml:space="preserve">would help shape </w:t>
      </w:r>
      <w:r w:rsidR="00556023" w:rsidRPr="0084397D">
        <w:t>future reforms</w:t>
      </w:r>
      <w:r w:rsidRPr="0084397D">
        <w:t>.</w:t>
      </w:r>
    </w:p>
    <w:p w14:paraId="27657884" w14:textId="43B15371" w:rsidR="000E0B74" w:rsidRPr="0084397D" w:rsidRDefault="000E0B74" w:rsidP="002B4552">
      <w:pPr>
        <w:pStyle w:val="Heading3noTOC"/>
      </w:pPr>
      <w:r w:rsidRPr="0084397D">
        <w:t xml:space="preserve">Closing date for submissions: </w:t>
      </w:r>
      <w:sdt>
        <w:sdtPr>
          <w:rPr>
            <w:rStyle w:val="Heading3Char"/>
          </w:rPr>
          <w:id w:val="1454836312"/>
          <w:placeholder>
            <w:docPart w:val="5F137F2647554CA08242A38CF7D9172F"/>
          </w:placeholder>
          <w:date w:fullDate="2022-03-11T00:00:00Z">
            <w:dateFormat w:val="dd MMMM yyyy"/>
            <w:lid w:val="en-AU"/>
            <w:storeMappedDataAs w:val="dateTime"/>
            <w:calendar w:val="gregorian"/>
          </w:date>
        </w:sdtPr>
        <w:sdtEndPr>
          <w:rPr>
            <w:rStyle w:val="DefaultParagraphFont"/>
            <w:rFonts w:cs="Calibri"/>
          </w:rPr>
        </w:sdtEndPr>
        <w:sdtContent>
          <w:r w:rsidR="00F37F36">
            <w:rPr>
              <w:rStyle w:val="Heading3Char"/>
            </w:rPr>
            <w:t>11 March 2022</w:t>
          </w:r>
        </w:sdtContent>
      </w:sdt>
    </w:p>
    <w:tbl>
      <w:tblPr>
        <w:tblStyle w:val="TableGrid"/>
        <w:tblW w:w="0" w:type="auto"/>
        <w:tblLook w:val="04A0" w:firstRow="1" w:lastRow="0" w:firstColumn="1" w:lastColumn="0" w:noHBand="0" w:noVBand="1"/>
      </w:tblPr>
      <w:tblGrid>
        <w:gridCol w:w="1515"/>
        <w:gridCol w:w="7555"/>
      </w:tblGrid>
      <w:tr w:rsidR="000E0B74" w:rsidRPr="0084397D" w14:paraId="62CA628D" w14:textId="77777777" w:rsidTr="00415FCD">
        <w:tc>
          <w:tcPr>
            <w:tcW w:w="1515" w:type="dxa"/>
            <w:shd w:val="clear" w:color="auto" w:fill="auto"/>
          </w:tcPr>
          <w:p w14:paraId="7ACD18BF" w14:textId="77777777" w:rsidR="000E0B74" w:rsidRPr="0084397D" w:rsidRDefault="000E0B74" w:rsidP="0017089D">
            <w:pPr>
              <w:rPr>
                <w:sz w:val="22"/>
                <w:szCs w:val="22"/>
              </w:rPr>
            </w:pPr>
            <w:r w:rsidRPr="0084397D">
              <w:rPr>
                <w:sz w:val="22"/>
                <w:szCs w:val="22"/>
              </w:rPr>
              <w:t>Email</w:t>
            </w:r>
          </w:p>
        </w:tc>
        <w:tc>
          <w:tcPr>
            <w:tcW w:w="7555" w:type="dxa"/>
            <w:shd w:val="clear" w:color="auto" w:fill="auto"/>
          </w:tcPr>
          <w:p w14:paraId="293B4B74" w14:textId="5F3EB01D" w:rsidR="000E0B74" w:rsidRPr="0084397D" w:rsidRDefault="00F03883" w:rsidP="00516785">
            <w:pPr>
              <w:rPr>
                <w:sz w:val="22"/>
                <w:szCs w:val="22"/>
              </w:rPr>
            </w:pPr>
            <w:r w:rsidRPr="0084397D">
              <w:rPr>
                <w:sz w:val="22"/>
                <w:szCs w:val="22"/>
              </w:rPr>
              <w:t>FIRBStakeholders@treasury.gov.au</w:t>
            </w:r>
          </w:p>
        </w:tc>
      </w:tr>
      <w:tr w:rsidR="000E0B74" w:rsidRPr="0084397D" w14:paraId="622411C0" w14:textId="77777777" w:rsidTr="00415FCD">
        <w:tc>
          <w:tcPr>
            <w:tcW w:w="1515" w:type="dxa"/>
            <w:shd w:val="clear" w:color="auto" w:fill="auto"/>
          </w:tcPr>
          <w:p w14:paraId="0933AB05" w14:textId="77777777" w:rsidR="000E0B74" w:rsidRPr="0084397D" w:rsidRDefault="000E0B74" w:rsidP="0017089D">
            <w:pPr>
              <w:rPr>
                <w:sz w:val="22"/>
                <w:szCs w:val="22"/>
              </w:rPr>
            </w:pPr>
            <w:r w:rsidRPr="0084397D">
              <w:rPr>
                <w:sz w:val="22"/>
                <w:szCs w:val="22"/>
              </w:rPr>
              <w:t>Mail</w:t>
            </w:r>
          </w:p>
          <w:p w14:paraId="1E349298" w14:textId="77777777" w:rsidR="008D7F38" w:rsidRPr="0084397D" w:rsidRDefault="008D7F38" w:rsidP="0017089D">
            <w:pPr>
              <w:rPr>
                <w:sz w:val="22"/>
                <w:szCs w:val="22"/>
              </w:rPr>
            </w:pPr>
          </w:p>
          <w:p w14:paraId="61E89866" w14:textId="77777777" w:rsidR="008D7F38" w:rsidRPr="0084397D" w:rsidRDefault="008D7F38" w:rsidP="0017089D">
            <w:pPr>
              <w:rPr>
                <w:sz w:val="22"/>
                <w:szCs w:val="22"/>
              </w:rPr>
            </w:pPr>
          </w:p>
        </w:tc>
        <w:tc>
          <w:tcPr>
            <w:tcW w:w="7555" w:type="dxa"/>
            <w:shd w:val="clear" w:color="auto" w:fill="auto"/>
          </w:tcPr>
          <w:p w14:paraId="332B7053" w14:textId="04A1C623" w:rsidR="000E0B74" w:rsidRPr="0084397D" w:rsidRDefault="00F03883" w:rsidP="00F03883">
            <w:pPr>
              <w:spacing w:after="0"/>
              <w:rPr>
                <w:sz w:val="22"/>
                <w:szCs w:val="22"/>
              </w:rPr>
            </w:pPr>
            <w:r w:rsidRPr="0084397D">
              <w:rPr>
                <w:sz w:val="22"/>
                <w:szCs w:val="22"/>
              </w:rPr>
              <w:t>Manager</w:t>
            </w:r>
          </w:p>
          <w:p w14:paraId="2480EFE1" w14:textId="4F7CDC25" w:rsidR="000E0B74" w:rsidRPr="0084397D" w:rsidRDefault="00F03883" w:rsidP="0017089D">
            <w:pPr>
              <w:pStyle w:val="SingleParagraph"/>
              <w:rPr>
                <w:rFonts w:cs="Arial"/>
                <w:sz w:val="22"/>
                <w:szCs w:val="22"/>
              </w:rPr>
            </w:pPr>
            <w:r w:rsidRPr="0084397D">
              <w:rPr>
                <w:rFonts w:cs="Arial"/>
                <w:sz w:val="22"/>
                <w:szCs w:val="22"/>
              </w:rPr>
              <w:t>Policy Framework Unit, Foreign Investment Division</w:t>
            </w:r>
          </w:p>
          <w:p w14:paraId="017F4869" w14:textId="77777777" w:rsidR="000E0B74" w:rsidRPr="0084397D" w:rsidRDefault="000E0B74" w:rsidP="0017089D">
            <w:pPr>
              <w:pStyle w:val="SingleParagraph"/>
              <w:rPr>
                <w:rFonts w:cs="Arial"/>
                <w:sz w:val="22"/>
                <w:szCs w:val="22"/>
              </w:rPr>
            </w:pPr>
            <w:r w:rsidRPr="0084397D">
              <w:rPr>
                <w:rFonts w:cs="Arial"/>
                <w:sz w:val="22"/>
                <w:szCs w:val="22"/>
              </w:rPr>
              <w:t>The Treasury</w:t>
            </w:r>
          </w:p>
          <w:p w14:paraId="0B098411" w14:textId="77777777" w:rsidR="000E0B74" w:rsidRPr="0084397D" w:rsidRDefault="000E0B74" w:rsidP="0017089D">
            <w:pPr>
              <w:pStyle w:val="SingleParagraph"/>
              <w:rPr>
                <w:rFonts w:cs="Arial"/>
                <w:sz w:val="22"/>
                <w:szCs w:val="22"/>
              </w:rPr>
            </w:pPr>
            <w:r w:rsidRPr="0084397D">
              <w:rPr>
                <w:rFonts w:cs="Arial"/>
                <w:sz w:val="22"/>
                <w:szCs w:val="22"/>
              </w:rPr>
              <w:t>Langton Crescent</w:t>
            </w:r>
          </w:p>
          <w:p w14:paraId="071C4231" w14:textId="77777777" w:rsidR="000E0B74" w:rsidRPr="0084397D" w:rsidRDefault="000E0B74" w:rsidP="0017089D">
            <w:pPr>
              <w:pStyle w:val="SingleParagraph"/>
              <w:rPr>
                <w:sz w:val="22"/>
                <w:szCs w:val="22"/>
              </w:rPr>
            </w:pPr>
            <w:r w:rsidRPr="0084397D">
              <w:rPr>
                <w:sz w:val="22"/>
                <w:szCs w:val="22"/>
              </w:rPr>
              <w:t>PARKES ACT 2600</w:t>
            </w:r>
          </w:p>
        </w:tc>
      </w:tr>
      <w:tr w:rsidR="000E0B74" w:rsidRPr="0084397D" w14:paraId="77A967AE" w14:textId="77777777" w:rsidTr="00415FCD">
        <w:tc>
          <w:tcPr>
            <w:tcW w:w="1515" w:type="dxa"/>
            <w:shd w:val="clear" w:color="auto" w:fill="auto"/>
          </w:tcPr>
          <w:p w14:paraId="1CC9E0EF" w14:textId="77777777" w:rsidR="000E0B74" w:rsidRPr="0084397D" w:rsidRDefault="000E0B74" w:rsidP="0017089D">
            <w:pPr>
              <w:rPr>
                <w:sz w:val="22"/>
                <w:szCs w:val="22"/>
              </w:rPr>
            </w:pPr>
            <w:r w:rsidRPr="0084397D">
              <w:rPr>
                <w:sz w:val="22"/>
                <w:szCs w:val="22"/>
              </w:rPr>
              <w:t>Enquiries</w:t>
            </w:r>
          </w:p>
        </w:tc>
        <w:tc>
          <w:tcPr>
            <w:tcW w:w="7555" w:type="dxa"/>
            <w:shd w:val="clear" w:color="auto" w:fill="auto"/>
          </w:tcPr>
          <w:p w14:paraId="07C6FB75" w14:textId="27D694FA" w:rsidR="000E0B74" w:rsidRPr="0084397D" w:rsidRDefault="00F03883" w:rsidP="0017089D">
            <w:pPr>
              <w:rPr>
                <w:sz w:val="22"/>
                <w:szCs w:val="22"/>
              </w:rPr>
            </w:pPr>
            <w:r w:rsidRPr="0084397D">
              <w:rPr>
                <w:rFonts w:cs="Arial"/>
                <w:sz w:val="22"/>
                <w:szCs w:val="22"/>
              </w:rPr>
              <w:t>FIRBStakeholders@treasury.gov.au</w:t>
            </w:r>
          </w:p>
        </w:tc>
      </w:tr>
      <w:tr w:rsidR="000E0B74" w:rsidRPr="0084397D" w14:paraId="67D96152" w14:textId="77777777" w:rsidTr="00415FCD">
        <w:tc>
          <w:tcPr>
            <w:tcW w:w="1515" w:type="dxa"/>
            <w:shd w:val="clear" w:color="auto" w:fill="auto"/>
          </w:tcPr>
          <w:p w14:paraId="38FB768C" w14:textId="77777777" w:rsidR="000E0B74" w:rsidRPr="0084397D" w:rsidRDefault="000E0B74" w:rsidP="002B4552">
            <w:pPr>
              <w:rPr>
                <w:sz w:val="22"/>
                <w:szCs w:val="22"/>
              </w:rPr>
            </w:pPr>
            <w:r w:rsidRPr="0084397D">
              <w:rPr>
                <w:sz w:val="22"/>
                <w:szCs w:val="22"/>
              </w:rPr>
              <w:t>Phone</w:t>
            </w:r>
          </w:p>
        </w:tc>
        <w:tc>
          <w:tcPr>
            <w:tcW w:w="7555" w:type="dxa"/>
            <w:shd w:val="clear" w:color="auto" w:fill="auto"/>
          </w:tcPr>
          <w:p w14:paraId="21FFA7E9" w14:textId="186334AB" w:rsidR="000E0B74" w:rsidRPr="0084397D" w:rsidRDefault="000E0B74" w:rsidP="002B4552">
            <w:pPr>
              <w:rPr>
                <w:sz w:val="22"/>
                <w:szCs w:val="22"/>
              </w:rPr>
            </w:pPr>
            <w:r w:rsidRPr="0084397D">
              <w:rPr>
                <w:rFonts w:cs="Arial"/>
                <w:sz w:val="22"/>
                <w:szCs w:val="22"/>
              </w:rPr>
              <w:t xml:space="preserve">02 6263 </w:t>
            </w:r>
            <w:r w:rsidR="005C4234" w:rsidRPr="0084397D">
              <w:rPr>
                <w:rFonts w:cs="Arial"/>
                <w:sz w:val="22"/>
                <w:szCs w:val="22"/>
              </w:rPr>
              <w:t>3148</w:t>
            </w:r>
          </w:p>
        </w:tc>
      </w:tr>
      <w:bookmarkEnd w:id="2"/>
    </w:tbl>
    <w:p w14:paraId="76EB6D91" w14:textId="77777777" w:rsidR="007B3407" w:rsidRPr="0084397D" w:rsidRDefault="007B3407" w:rsidP="0007135C">
      <w:pPr>
        <w:spacing w:after="0" w:line="259" w:lineRule="auto"/>
      </w:pPr>
    </w:p>
    <w:p w14:paraId="166373E7" w14:textId="76C3F050" w:rsidR="00A16E03" w:rsidRPr="0084397D" w:rsidRDefault="00A16E03" w:rsidP="0007135C">
      <w:pPr>
        <w:spacing w:after="0" w:line="259" w:lineRule="auto"/>
      </w:pPr>
    </w:p>
    <w:p w14:paraId="7E4FD57B" w14:textId="62362551" w:rsidR="000E0B74" w:rsidRPr="0084397D" w:rsidRDefault="00347019" w:rsidP="0007135C">
      <w:pPr>
        <w:pStyle w:val="Heading1"/>
        <w:spacing w:before="0" w:after="0"/>
      </w:pPr>
      <w:bookmarkStart w:id="4" w:name="_Toc95490524"/>
      <w:r w:rsidRPr="0084397D">
        <w:lastRenderedPageBreak/>
        <w:t>E</w:t>
      </w:r>
      <w:r w:rsidR="00555B96" w:rsidRPr="0084397D">
        <w:t>nhanc</w:t>
      </w:r>
      <w:r w:rsidRPr="0084397D">
        <w:t>ing</w:t>
      </w:r>
      <w:r w:rsidR="00555B96" w:rsidRPr="0084397D">
        <w:t xml:space="preserve"> Australia’s foreign </w:t>
      </w:r>
      <w:r w:rsidR="002074AE" w:rsidRPr="0084397D">
        <w:t>investment</w:t>
      </w:r>
      <w:r w:rsidR="00555B96" w:rsidRPr="0084397D">
        <w:t xml:space="preserve"> framework</w:t>
      </w:r>
      <w:bookmarkEnd w:id="4"/>
    </w:p>
    <w:p w14:paraId="060F983C" w14:textId="2AD5566A" w:rsidR="00EC530E" w:rsidRPr="0084397D" w:rsidRDefault="00EC530E" w:rsidP="005E5268">
      <w:pPr>
        <w:pStyle w:val="Heading2"/>
        <w:spacing w:before="120" w:line="460" w:lineRule="exact"/>
      </w:pPr>
      <w:bookmarkStart w:id="5" w:name="_Toc95490525"/>
      <w:r w:rsidRPr="0084397D">
        <w:t xml:space="preserve">Evaluation of </w:t>
      </w:r>
      <w:r w:rsidR="0098262B" w:rsidRPr="0084397D">
        <w:t xml:space="preserve">the </w:t>
      </w:r>
      <w:r w:rsidRPr="0084397D">
        <w:t>reforms</w:t>
      </w:r>
      <w:r w:rsidR="0063162A" w:rsidRPr="0084397D">
        <w:t xml:space="preserve"> and key findings</w:t>
      </w:r>
      <w:bookmarkEnd w:id="5"/>
    </w:p>
    <w:p w14:paraId="157F2757" w14:textId="55ABAA4F" w:rsidR="00A67C65" w:rsidRPr="0084397D" w:rsidRDefault="0098262B" w:rsidP="00AD0540">
      <w:pPr>
        <w:spacing w:line="259" w:lineRule="auto"/>
      </w:pPr>
      <w:r w:rsidRPr="0084397D">
        <w:t xml:space="preserve">As required by the </w:t>
      </w:r>
      <w:r w:rsidRPr="0084397D">
        <w:rPr>
          <w:i/>
        </w:rPr>
        <w:t>Foreign Investment Reform (Protecting Australia’s National Security) Act 2020</w:t>
      </w:r>
      <w:r w:rsidRPr="0084397D">
        <w:t xml:space="preserve">, the </w:t>
      </w:r>
      <w:r w:rsidR="00516292" w:rsidRPr="0084397D">
        <w:t xml:space="preserve">Secretary </w:t>
      </w:r>
      <w:r w:rsidR="00F06AB3" w:rsidRPr="0084397D">
        <w:t xml:space="preserve">to </w:t>
      </w:r>
      <w:r w:rsidR="00516292" w:rsidRPr="0084397D">
        <w:t xml:space="preserve">the </w:t>
      </w:r>
      <w:r w:rsidR="00492207" w:rsidRPr="0084397D">
        <w:t>Treasury</w:t>
      </w:r>
      <w:r w:rsidR="00794A84" w:rsidRPr="0084397D">
        <w:t xml:space="preserve"> </w:t>
      </w:r>
      <w:r w:rsidRPr="0084397D">
        <w:t>undertook an e</w:t>
      </w:r>
      <w:r w:rsidR="006B09C8" w:rsidRPr="0084397D">
        <w:t>valuat</w:t>
      </w:r>
      <w:r w:rsidRPr="0084397D">
        <w:t>ion of</w:t>
      </w:r>
      <w:r w:rsidR="006B09C8" w:rsidRPr="0084397D">
        <w:t xml:space="preserve"> </w:t>
      </w:r>
      <w:r w:rsidR="00492207" w:rsidRPr="0084397D">
        <w:t xml:space="preserve">the operation of the </w:t>
      </w:r>
      <w:r w:rsidR="0063162A" w:rsidRPr="0084397D">
        <w:t xml:space="preserve">foreign investment </w:t>
      </w:r>
      <w:r w:rsidR="00492207" w:rsidRPr="0084397D">
        <w:t>reforms</w:t>
      </w:r>
      <w:r w:rsidR="0063162A" w:rsidRPr="0084397D">
        <w:t>, which came into effect on 1 January 2021</w:t>
      </w:r>
      <w:r w:rsidR="00492207" w:rsidRPr="0084397D">
        <w:t xml:space="preserve"> </w:t>
      </w:r>
      <w:r w:rsidR="001564EF" w:rsidRPr="0084397D">
        <w:t>(</w:t>
      </w:r>
      <w:r w:rsidR="001564EF" w:rsidRPr="0084397D">
        <w:rPr>
          <w:b/>
        </w:rPr>
        <w:t>the Evaluation</w:t>
      </w:r>
      <w:r w:rsidR="001564EF" w:rsidRPr="0084397D">
        <w:t>)</w:t>
      </w:r>
      <w:r w:rsidRPr="0084397D">
        <w:t>.</w:t>
      </w:r>
      <w:r w:rsidR="00673ADA" w:rsidRPr="0084397D">
        <w:t xml:space="preserve"> </w:t>
      </w:r>
    </w:p>
    <w:p w14:paraId="046120D4" w14:textId="3F2C9EA8" w:rsidR="00A67C65" w:rsidRPr="0084397D" w:rsidRDefault="00A67C65" w:rsidP="00AD0540">
      <w:pPr>
        <w:spacing w:line="259" w:lineRule="auto"/>
      </w:pPr>
      <w:r w:rsidRPr="0084397D">
        <w:t xml:space="preserve">The </w:t>
      </w:r>
      <w:r w:rsidR="0063162A" w:rsidRPr="0084397D">
        <w:t>E</w:t>
      </w:r>
      <w:r w:rsidRPr="0084397D">
        <w:t>valuation considered the impact that the reforms and their implementation have had on foreign investment in Australia and the broader Australian economy, and whether the right balance is struck between welcoming foreign investment and protecting Australia’s national interests.</w:t>
      </w:r>
    </w:p>
    <w:p w14:paraId="265F5C6E" w14:textId="35B1790F" w:rsidR="00121D1B" w:rsidRPr="0084397D" w:rsidRDefault="004F0D1B" w:rsidP="00AD0540">
      <w:pPr>
        <w:spacing w:line="259" w:lineRule="auto"/>
      </w:pPr>
      <w:r w:rsidRPr="0084397D">
        <w:rPr>
          <w:iCs/>
        </w:rPr>
        <w:t>On 10 December 2021</w:t>
      </w:r>
      <w:r w:rsidR="00516292" w:rsidRPr="0084397D">
        <w:rPr>
          <w:iCs/>
        </w:rPr>
        <w:t xml:space="preserve">, the Secretary </w:t>
      </w:r>
      <w:r w:rsidR="00F06AB3" w:rsidRPr="0084397D">
        <w:rPr>
          <w:iCs/>
        </w:rPr>
        <w:t xml:space="preserve">to </w:t>
      </w:r>
      <w:r w:rsidR="00516292" w:rsidRPr="0084397D">
        <w:rPr>
          <w:iCs/>
        </w:rPr>
        <w:t>the Treasury</w:t>
      </w:r>
      <w:r w:rsidR="00121D1B" w:rsidRPr="0084397D">
        <w:rPr>
          <w:iCs/>
        </w:rPr>
        <w:t xml:space="preserve"> </w:t>
      </w:r>
      <w:r w:rsidR="00A36A35" w:rsidRPr="0084397D">
        <w:rPr>
          <w:iCs/>
        </w:rPr>
        <w:t>provid</w:t>
      </w:r>
      <w:r w:rsidR="00516292" w:rsidRPr="0084397D">
        <w:rPr>
          <w:iCs/>
        </w:rPr>
        <w:t>ed</w:t>
      </w:r>
      <w:r w:rsidR="00A36A35" w:rsidRPr="0084397D">
        <w:rPr>
          <w:iCs/>
        </w:rPr>
        <w:t xml:space="preserve"> </w:t>
      </w:r>
      <w:r w:rsidRPr="0084397D">
        <w:t xml:space="preserve">the </w:t>
      </w:r>
      <w:r w:rsidR="008155E4" w:rsidRPr="0084397D">
        <w:t>final</w:t>
      </w:r>
      <w:r w:rsidRPr="0084397D">
        <w:t xml:space="preserve"> report to the Treasurer. </w:t>
      </w:r>
      <w:r w:rsidR="00AD3A7C" w:rsidRPr="0084397D">
        <w:t xml:space="preserve">The </w:t>
      </w:r>
      <w:r w:rsidR="0047251C" w:rsidRPr="0084397D">
        <w:t>Evaluation</w:t>
      </w:r>
      <w:r w:rsidR="00AD3A7C" w:rsidRPr="0084397D">
        <w:t xml:space="preserve"> </w:t>
      </w:r>
      <w:r w:rsidR="00DD3E8F" w:rsidRPr="0084397D">
        <w:t xml:space="preserve">report </w:t>
      </w:r>
      <w:r w:rsidR="00E91C16" w:rsidRPr="0084397D">
        <w:t xml:space="preserve">and the submissions are </w:t>
      </w:r>
      <w:r w:rsidR="00A36A35" w:rsidRPr="0084397D">
        <w:t>available</w:t>
      </w:r>
      <w:r w:rsidR="00C445EC" w:rsidRPr="0084397D">
        <w:t xml:space="preserve"> </w:t>
      </w:r>
      <w:r w:rsidR="00A36A35" w:rsidRPr="0084397D">
        <w:t>on the Treasury website</w:t>
      </w:r>
      <w:r w:rsidR="00AD3A7C" w:rsidRPr="0084397D">
        <w:t>.</w:t>
      </w:r>
    </w:p>
    <w:p w14:paraId="66715315" w14:textId="0754E76C" w:rsidR="00790E9F" w:rsidRPr="0084397D" w:rsidRDefault="00121D1B" w:rsidP="00790E9F">
      <w:pPr>
        <w:spacing w:line="259" w:lineRule="auto"/>
      </w:pPr>
      <w:r w:rsidRPr="0084397D">
        <w:t>T</w:t>
      </w:r>
      <w:r w:rsidR="002B74FB" w:rsidRPr="0084397D">
        <w:t xml:space="preserve">he </w:t>
      </w:r>
      <w:r w:rsidR="00790E9F" w:rsidRPr="0084397D">
        <w:t xml:space="preserve">Evaluation found </w:t>
      </w:r>
      <w:r w:rsidR="00A36A35" w:rsidRPr="0084397D">
        <w:t xml:space="preserve">that the </w:t>
      </w:r>
      <w:r w:rsidR="002B74FB" w:rsidRPr="0084397D">
        <w:t>reforms ha</w:t>
      </w:r>
      <w:r w:rsidR="008155E4" w:rsidRPr="0084397D">
        <w:t>ve</w:t>
      </w:r>
      <w:r w:rsidR="002B74FB" w:rsidRPr="0084397D">
        <w:t xml:space="preserve"> achieved the Government’s stated policy objectives</w:t>
      </w:r>
      <w:r w:rsidR="00790E9F" w:rsidRPr="0084397D">
        <w:t xml:space="preserve">. </w:t>
      </w:r>
      <w:r w:rsidR="00F37AE8" w:rsidRPr="0084397D">
        <w:t xml:space="preserve">In the first year of operation, indications are that the reforms are striking the appropriate balance between supporting foreign investment into Australia and protecting the national interest. However, </w:t>
      </w:r>
      <w:r w:rsidR="00055D0C" w:rsidRPr="0084397D">
        <w:t xml:space="preserve">ongoing monitoring of </w:t>
      </w:r>
      <w:r w:rsidR="00F37AE8" w:rsidRPr="0084397D">
        <w:t xml:space="preserve">the framework should </w:t>
      </w:r>
      <w:r w:rsidR="00055D0C" w:rsidRPr="0084397D">
        <w:t xml:space="preserve">occur </w:t>
      </w:r>
      <w:r w:rsidR="00F37AE8" w:rsidRPr="0084397D">
        <w:t>to ensure it keeps pace with developments in the foreign investment landscape.</w:t>
      </w:r>
    </w:p>
    <w:p w14:paraId="3516A8F4" w14:textId="5BF9FC13" w:rsidR="007A73C8" w:rsidRPr="0084397D" w:rsidRDefault="00790E9F" w:rsidP="00EC77B4">
      <w:pPr>
        <w:pStyle w:val="Bullet"/>
        <w:numPr>
          <w:ilvl w:val="0"/>
          <w:numId w:val="0"/>
        </w:numPr>
        <w:spacing w:line="259" w:lineRule="auto"/>
      </w:pPr>
      <w:r w:rsidRPr="0084397D">
        <w:t xml:space="preserve">The Evaluation </w:t>
      </w:r>
      <w:r w:rsidR="00AB6A6E" w:rsidRPr="0084397D">
        <w:t>noted forward</w:t>
      </w:r>
      <w:r w:rsidRPr="0084397D">
        <w:t xml:space="preserve"> expectations of Australia’s ability to attract beneficial foreign investment were positive. </w:t>
      </w:r>
      <w:r w:rsidR="00AB6A6E" w:rsidRPr="0084397D">
        <w:t xml:space="preserve">However, </w:t>
      </w:r>
      <w:r w:rsidR="00F26839" w:rsidRPr="0084397D">
        <w:t>it identified a number of</w:t>
      </w:r>
      <w:r w:rsidR="00AB6A6E" w:rsidRPr="0084397D">
        <w:t xml:space="preserve"> areas where the</w:t>
      </w:r>
      <w:r w:rsidR="00F26839" w:rsidRPr="0084397D">
        <w:t>re is scope to explore further improvements to</w:t>
      </w:r>
      <w:r w:rsidR="00AB6A6E" w:rsidRPr="0084397D">
        <w:t xml:space="preserve"> framework</w:t>
      </w:r>
      <w:r w:rsidR="00F26839" w:rsidRPr="0084397D">
        <w:t>.</w:t>
      </w:r>
    </w:p>
    <w:p w14:paraId="686A4090" w14:textId="1917425A" w:rsidR="007A73C8" w:rsidRPr="0084397D" w:rsidRDefault="007A73C8">
      <w:pPr>
        <w:pStyle w:val="Bullet"/>
        <w:numPr>
          <w:ilvl w:val="0"/>
          <w:numId w:val="0"/>
        </w:numPr>
        <w:spacing w:line="259" w:lineRule="auto"/>
      </w:pPr>
      <w:r w:rsidRPr="0084397D">
        <w:t xml:space="preserve">The </w:t>
      </w:r>
      <w:r w:rsidR="0063162A" w:rsidRPr="0084397D">
        <w:t xml:space="preserve">Evaluation </w:t>
      </w:r>
      <w:r w:rsidR="002B09BA" w:rsidRPr="0084397D">
        <w:t xml:space="preserve">also </w:t>
      </w:r>
      <w:r w:rsidR="0063162A" w:rsidRPr="0084397D">
        <w:t>foreshadowed</w:t>
      </w:r>
      <w:r w:rsidRPr="0084397D">
        <w:t xml:space="preserve"> that</w:t>
      </w:r>
      <w:r w:rsidR="003011B1" w:rsidRPr="0084397D">
        <w:t xml:space="preserve"> the Treasury will seek to develop additional public performance reporting</w:t>
      </w:r>
      <w:r w:rsidRPr="0084397D">
        <w:t xml:space="preserve"> to increase the overall transparency of its operations. </w:t>
      </w:r>
    </w:p>
    <w:p w14:paraId="46C4FB07" w14:textId="726DBABB" w:rsidR="00905B12" w:rsidRPr="0084397D" w:rsidRDefault="00280BD9" w:rsidP="005E5268">
      <w:pPr>
        <w:pStyle w:val="Heading2"/>
        <w:spacing w:before="120" w:line="460" w:lineRule="exact"/>
      </w:pPr>
      <w:bookmarkStart w:id="6" w:name="_Toc95490526"/>
      <w:r w:rsidRPr="0084397D">
        <w:t xml:space="preserve">Government </w:t>
      </w:r>
      <w:r w:rsidR="009A637E" w:rsidRPr="0084397D">
        <w:t>response</w:t>
      </w:r>
      <w:bookmarkEnd w:id="6"/>
    </w:p>
    <w:p w14:paraId="5E265D19" w14:textId="747DFE8D" w:rsidR="000D3FD4" w:rsidRPr="0084397D" w:rsidRDefault="00012D77" w:rsidP="002D2F20">
      <w:pPr>
        <w:spacing w:line="259" w:lineRule="auto"/>
      </w:pPr>
      <w:r w:rsidRPr="0084397D">
        <w:t xml:space="preserve">The Government </w:t>
      </w:r>
      <w:r w:rsidR="0082065D" w:rsidRPr="0084397D">
        <w:t>accepts</w:t>
      </w:r>
      <w:r w:rsidRPr="0084397D">
        <w:t xml:space="preserve"> all seven of the Evaluation’s findings</w:t>
      </w:r>
      <w:r w:rsidR="00983D4A" w:rsidRPr="0084397D">
        <w:t xml:space="preserve"> (s</w:t>
      </w:r>
      <w:r w:rsidRPr="0084397D">
        <w:t xml:space="preserve">ee </w:t>
      </w:r>
      <w:r w:rsidRPr="0084397D">
        <w:rPr>
          <w:b/>
          <w:bCs/>
        </w:rPr>
        <w:t xml:space="preserve">Attachment </w:t>
      </w:r>
      <w:r w:rsidR="0095217B" w:rsidRPr="0084397D">
        <w:rPr>
          <w:b/>
          <w:bCs/>
        </w:rPr>
        <w:t>A</w:t>
      </w:r>
      <w:r w:rsidR="00983D4A" w:rsidRPr="0084397D">
        <w:rPr>
          <w:b/>
          <w:bCs/>
        </w:rPr>
        <w:t xml:space="preserve">) </w:t>
      </w:r>
      <w:r w:rsidR="00983D4A" w:rsidRPr="0084397D">
        <w:t>and in doing so</w:t>
      </w:r>
      <w:r w:rsidR="004B12A8" w:rsidRPr="0084397D">
        <w:t xml:space="preserve"> </w:t>
      </w:r>
      <w:r w:rsidR="000C0804" w:rsidRPr="0084397D">
        <w:t>commit</w:t>
      </w:r>
      <w:r w:rsidR="00983D4A" w:rsidRPr="0084397D">
        <w:t>s</w:t>
      </w:r>
      <w:r w:rsidR="000C0804" w:rsidRPr="0084397D">
        <w:t xml:space="preserve"> to making further </w:t>
      </w:r>
      <w:r w:rsidR="00CD0A9A" w:rsidRPr="0084397D">
        <w:t xml:space="preserve">refinements to the foreign investment </w:t>
      </w:r>
      <w:r w:rsidR="00151E5C" w:rsidRPr="0084397D">
        <w:t>framework to ensure it remains fit for purpose</w:t>
      </w:r>
      <w:r w:rsidR="00983D4A" w:rsidRPr="0084397D">
        <w:t xml:space="preserve">. </w:t>
      </w:r>
      <w:r w:rsidR="002B09BA" w:rsidRPr="0084397D">
        <w:t>This</w:t>
      </w:r>
      <w:r w:rsidR="00983D4A" w:rsidRPr="0084397D">
        <w:t xml:space="preserve"> will be undertaken in two tranches</w:t>
      </w:r>
      <w:r w:rsidR="00151E5C" w:rsidRPr="0084397D">
        <w:t>:</w:t>
      </w:r>
    </w:p>
    <w:p w14:paraId="533C0318" w14:textId="4DB27009" w:rsidR="00A12F9C" w:rsidRPr="0084397D" w:rsidRDefault="004B12A8" w:rsidP="002F519A">
      <w:pPr>
        <w:pStyle w:val="Bullet"/>
        <w:spacing w:line="259" w:lineRule="auto"/>
        <w:ind w:left="284" w:hanging="284"/>
      </w:pPr>
      <w:r w:rsidRPr="0084397D">
        <w:rPr>
          <w:b/>
          <w:bCs/>
        </w:rPr>
        <w:t>Tranche 1</w:t>
      </w:r>
      <w:r w:rsidRPr="0084397D">
        <w:t xml:space="preserve">: </w:t>
      </w:r>
      <w:r w:rsidR="00983D4A" w:rsidRPr="0084397D">
        <w:t>an initial package of regulatory</w:t>
      </w:r>
      <w:r w:rsidR="00012D77" w:rsidRPr="0084397D">
        <w:t xml:space="preserve"> </w:t>
      </w:r>
      <w:r w:rsidR="005F03AF" w:rsidRPr="0084397D">
        <w:t>amendments</w:t>
      </w:r>
      <w:r w:rsidR="000D3FD4" w:rsidRPr="0084397D">
        <w:t xml:space="preserve"> to the </w:t>
      </w:r>
      <w:r w:rsidR="000D3FD4" w:rsidRPr="0084397D">
        <w:rPr>
          <w:i/>
          <w:iCs/>
        </w:rPr>
        <w:t>Foreign</w:t>
      </w:r>
      <w:r w:rsidR="0088327A" w:rsidRPr="0084397D">
        <w:rPr>
          <w:i/>
          <w:iCs/>
        </w:rPr>
        <w:t> </w:t>
      </w:r>
      <w:r w:rsidR="000D3FD4" w:rsidRPr="0084397D">
        <w:rPr>
          <w:i/>
          <w:iCs/>
        </w:rPr>
        <w:t xml:space="preserve">Acquisitions and Takeovers Regulation 2015 </w:t>
      </w:r>
      <w:r w:rsidR="000D3FD4" w:rsidRPr="0084397D">
        <w:t>(the FATR)</w:t>
      </w:r>
      <w:r w:rsidR="00A12F9C" w:rsidRPr="0084397D">
        <w:t xml:space="preserve"> </w:t>
      </w:r>
      <w:r w:rsidR="00983D4A" w:rsidRPr="0084397D">
        <w:t>to support reducing the regulatory burden on investors;</w:t>
      </w:r>
      <w:r w:rsidR="00B67DE4" w:rsidRPr="0084397D">
        <w:t xml:space="preserve"> </w:t>
      </w:r>
      <w:r w:rsidR="007A73C8" w:rsidRPr="0084397D">
        <w:t>and</w:t>
      </w:r>
    </w:p>
    <w:p w14:paraId="70936075" w14:textId="746B0620" w:rsidR="00A6348D" w:rsidRPr="0084397D" w:rsidRDefault="004B12A8" w:rsidP="002F519A">
      <w:pPr>
        <w:pStyle w:val="Bullet"/>
        <w:spacing w:line="259" w:lineRule="auto"/>
        <w:ind w:left="284" w:hanging="284"/>
      </w:pPr>
      <w:r w:rsidRPr="0084397D">
        <w:rPr>
          <w:b/>
          <w:bCs/>
        </w:rPr>
        <w:t>Tranche 2</w:t>
      </w:r>
      <w:r w:rsidRPr="0084397D">
        <w:t xml:space="preserve">: </w:t>
      </w:r>
      <w:r w:rsidR="00DC035F" w:rsidRPr="0084397D">
        <w:t>develop</w:t>
      </w:r>
      <w:r w:rsidR="00151E5C" w:rsidRPr="0084397D">
        <w:t>ing</w:t>
      </w:r>
      <w:r w:rsidR="00DC035F" w:rsidRPr="0084397D">
        <w:t xml:space="preserve"> a </w:t>
      </w:r>
      <w:r w:rsidR="00983D4A" w:rsidRPr="0084397D">
        <w:t xml:space="preserve">broader </w:t>
      </w:r>
      <w:r w:rsidR="00EF1699" w:rsidRPr="0084397D">
        <w:t xml:space="preserve">package of </w:t>
      </w:r>
      <w:r w:rsidR="00DC035F" w:rsidRPr="0084397D">
        <w:t>legislative</w:t>
      </w:r>
      <w:r w:rsidR="00EF1699" w:rsidRPr="0084397D">
        <w:t xml:space="preserve"> and regulatory reforms</w:t>
      </w:r>
      <w:r w:rsidR="00DC035F" w:rsidRPr="0084397D">
        <w:t xml:space="preserve"> </w:t>
      </w:r>
      <w:r w:rsidR="00653A8A" w:rsidRPr="0084397D">
        <w:t>for</w:t>
      </w:r>
      <w:r w:rsidR="00DC035F" w:rsidRPr="0084397D">
        <w:t xml:space="preserve"> </w:t>
      </w:r>
      <w:r w:rsidR="00777A83" w:rsidRPr="0084397D">
        <w:t xml:space="preserve">implementation in </w:t>
      </w:r>
      <w:r w:rsidR="00EF1699" w:rsidRPr="0084397D">
        <w:t xml:space="preserve">the second half of </w:t>
      </w:r>
      <w:r w:rsidR="00DC035F" w:rsidRPr="0084397D">
        <w:t>2022</w:t>
      </w:r>
      <w:r w:rsidR="007A73C8" w:rsidRPr="0084397D">
        <w:t xml:space="preserve">. </w:t>
      </w:r>
    </w:p>
    <w:p w14:paraId="39BEB79B" w14:textId="0871C789" w:rsidR="008D2C6B" w:rsidRPr="0084397D" w:rsidRDefault="005E5268" w:rsidP="005E5268">
      <w:pPr>
        <w:pStyle w:val="Heading2"/>
        <w:spacing w:before="120" w:line="460" w:lineRule="exact"/>
      </w:pPr>
      <w:bookmarkStart w:id="7" w:name="_Toc95490527"/>
      <w:r w:rsidRPr="005E5268">
        <w:t>Tranche 1: proposed regulatory amendments</w:t>
      </w:r>
      <w:bookmarkEnd w:id="7"/>
    </w:p>
    <w:p w14:paraId="16AACCC4" w14:textId="1247F4F7" w:rsidR="0084397D" w:rsidRPr="0084397D" w:rsidRDefault="000C0804" w:rsidP="007B0ABC">
      <w:pPr>
        <w:pStyle w:val="Bullet"/>
        <w:numPr>
          <w:ilvl w:val="0"/>
          <w:numId w:val="0"/>
        </w:numPr>
        <w:spacing w:line="259" w:lineRule="auto"/>
      </w:pPr>
      <w:r w:rsidRPr="0084397D">
        <w:t>The</w:t>
      </w:r>
      <w:r w:rsidR="00012D77" w:rsidRPr="0084397D">
        <w:t xml:space="preserve"> proposed </w:t>
      </w:r>
      <w:r w:rsidR="009975FF" w:rsidRPr="0084397D">
        <w:t>amendments</w:t>
      </w:r>
      <w:r w:rsidR="00012D77" w:rsidRPr="0084397D">
        <w:t xml:space="preserve"> will contribute to </w:t>
      </w:r>
      <w:r w:rsidR="0008585B" w:rsidRPr="0084397D">
        <w:t>reduc</w:t>
      </w:r>
      <w:r w:rsidR="00012D77" w:rsidRPr="0084397D">
        <w:t>ing</w:t>
      </w:r>
      <w:r w:rsidR="0008585B" w:rsidRPr="0084397D">
        <w:t xml:space="preserve"> the regulatory burden faced by </w:t>
      </w:r>
      <w:r w:rsidR="00DF4860" w:rsidRPr="0084397D">
        <w:t>certain</w:t>
      </w:r>
      <w:r w:rsidR="0008585B" w:rsidRPr="0084397D">
        <w:t xml:space="preserve"> </w:t>
      </w:r>
      <w:r w:rsidR="00ED55DE" w:rsidRPr="0084397D">
        <w:t xml:space="preserve">foreign </w:t>
      </w:r>
      <w:r w:rsidR="0008585B" w:rsidRPr="0084397D">
        <w:t>investors</w:t>
      </w:r>
      <w:r w:rsidR="00012D77" w:rsidRPr="0084397D">
        <w:t>.</w:t>
      </w:r>
      <w:r w:rsidR="0008585B" w:rsidRPr="0084397D">
        <w:t xml:space="preserve"> </w:t>
      </w:r>
      <w:r w:rsidR="009975FF" w:rsidRPr="0084397D">
        <w:t xml:space="preserve">The exposure draft regulations that give effect to these changes are open for consultation on the Treasury website with feedback due by </w:t>
      </w:r>
      <w:r w:rsidR="00F37F36">
        <w:t>25</w:t>
      </w:r>
      <w:r w:rsidR="0084397D" w:rsidRPr="0084397D">
        <w:t xml:space="preserve"> February 2022</w:t>
      </w:r>
      <w:r w:rsidR="009975FF" w:rsidRPr="0084397D">
        <w:t xml:space="preserve">. </w:t>
      </w:r>
    </w:p>
    <w:p w14:paraId="0FE76C46" w14:textId="10E4851A" w:rsidR="003D47F6" w:rsidRDefault="00DF4860" w:rsidP="004D426A">
      <w:pPr>
        <w:pStyle w:val="Bullet"/>
        <w:numPr>
          <w:ilvl w:val="0"/>
          <w:numId w:val="0"/>
        </w:numPr>
      </w:pPr>
      <w:r w:rsidRPr="0084397D">
        <w:t>T</w:t>
      </w:r>
      <w:r w:rsidR="0008585B" w:rsidRPr="0084397D">
        <w:t xml:space="preserve">he </w:t>
      </w:r>
      <w:r w:rsidR="000C0804" w:rsidRPr="0084397D">
        <w:t>amendments include the following</w:t>
      </w:r>
      <w:r w:rsidR="005D3EAD" w:rsidRPr="0084397D">
        <w:t xml:space="preserve"> measures</w:t>
      </w:r>
      <w:r w:rsidR="0008585B" w:rsidRPr="0084397D">
        <w:t>:</w:t>
      </w:r>
    </w:p>
    <w:p w14:paraId="28FBECC7" w14:textId="7C32A0A9" w:rsidR="003D47F6" w:rsidRPr="0084397D" w:rsidRDefault="003D47F6" w:rsidP="003D47F6">
      <w:pPr>
        <w:pStyle w:val="Bullet"/>
        <w:spacing w:line="259" w:lineRule="auto"/>
        <w:ind w:left="284" w:hanging="284"/>
        <w:rPr>
          <w:i/>
          <w:iCs/>
        </w:rPr>
      </w:pPr>
      <w:r w:rsidRPr="0084397D">
        <w:rPr>
          <w:i/>
          <w:iCs/>
        </w:rPr>
        <w:t>Moneylending exemption – new entity</w:t>
      </w:r>
      <w:r w:rsidR="0008585B" w:rsidRPr="0084397D">
        <w:rPr>
          <w:i/>
          <w:iCs/>
        </w:rPr>
        <w:t xml:space="preserve"> </w:t>
      </w:r>
    </w:p>
    <w:p w14:paraId="3D4A72C6" w14:textId="0589BC13" w:rsidR="003D47F6" w:rsidRDefault="00263322" w:rsidP="00814022">
      <w:pPr>
        <w:pStyle w:val="Bullet"/>
        <w:numPr>
          <w:ilvl w:val="0"/>
          <w:numId w:val="0"/>
        </w:numPr>
        <w:spacing w:line="259" w:lineRule="auto"/>
        <w:ind w:left="284"/>
      </w:pPr>
      <w:r w:rsidRPr="0084397D">
        <w:t xml:space="preserve">This change would clarify that the moneylending exemption in section 27 of the FATR is available </w:t>
      </w:r>
      <w:r w:rsidR="00045CF5">
        <w:t>when</w:t>
      </w:r>
      <w:r w:rsidRPr="0084397D">
        <w:t xml:space="preserve"> foreign moneylenders establish a new entity</w:t>
      </w:r>
      <w:r w:rsidR="00045CF5">
        <w:t xml:space="preserve"> to</w:t>
      </w:r>
      <w:r w:rsidR="006206C1">
        <w:t xml:space="preserve"> enter </w:t>
      </w:r>
      <w:r w:rsidR="00EC0864">
        <w:t xml:space="preserve">into </w:t>
      </w:r>
      <w:r w:rsidR="006206C1">
        <w:t>a</w:t>
      </w:r>
      <w:r w:rsidR="00EC0864">
        <w:t xml:space="preserve">n </w:t>
      </w:r>
      <w:r w:rsidR="006206C1">
        <w:t>agreement</w:t>
      </w:r>
      <w:r w:rsidRPr="0084397D">
        <w:t xml:space="preserve"> for the purpose of lending.</w:t>
      </w:r>
      <w:r w:rsidR="005A7C33">
        <w:t xml:space="preserve"> </w:t>
      </w:r>
      <w:r w:rsidR="00E740C6" w:rsidRPr="00A86754">
        <w:t>This is a common industry practice</w:t>
      </w:r>
      <w:r w:rsidR="005A7C33">
        <w:t>,</w:t>
      </w:r>
      <w:r w:rsidR="00E740C6" w:rsidRPr="00A86754">
        <w:t xml:space="preserve"> but </w:t>
      </w:r>
      <w:r w:rsidR="00E740C6">
        <w:t xml:space="preserve">is </w:t>
      </w:r>
      <w:r w:rsidR="00E740C6" w:rsidRPr="00A86754">
        <w:t xml:space="preserve">not expressly </w:t>
      </w:r>
      <w:r w:rsidR="001B0409">
        <w:t>provided for</w:t>
      </w:r>
      <w:r w:rsidR="00045CF5">
        <w:t xml:space="preserve"> under</w:t>
      </w:r>
      <w:r w:rsidR="00401E79">
        <w:t xml:space="preserve"> </w:t>
      </w:r>
      <w:r w:rsidR="00E740C6">
        <w:t>the FATR</w:t>
      </w:r>
      <w:r w:rsidRPr="0084397D">
        <w:t>.</w:t>
      </w:r>
    </w:p>
    <w:p w14:paraId="1CE51F20" w14:textId="3F209292" w:rsidR="00481AA7" w:rsidRPr="007C519F" w:rsidRDefault="00481AA7" w:rsidP="00107BC7">
      <w:pPr>
        <w:pStyle w:val="Bullet"/>
        <w:spacing w:line="259" w:lineRule="auto"/>
        <w:ind w:left="284" w:hanging="284"/>
        <w:rPr>
          <w:i/>
          <w:iCs/>
        </w:rPr>
      </w:pPr>
      <w:bookmarkStart w:id="8" w:name="_Hlk95468299"/>
      <w:r w:rsidRPr="007C519F">
        <w:rPr>
          <w:i/>
          <w:iCs/>
        </w:rPr>
        <w:lastRenderedPageBreak/>
        <w:t xml:space="preserve">Moneylending exemption – </w:t>
      </w:r>
      <w:r w:rsidR="00440A94" w:rsidRPr="007C519F">
        <w:rPr>
          <w:i/>
          <w:iCs/>
        </w:rPr>
        <w:t xml:space="preserve">subsidiaries, holding entities and receivers </w:t>
      </w:r>
    </w:p>
    <w:p w14:paraId="24C6CD20" w14:textId="1DD9C31D" w:rsidR="00481AA7" w:rsidRPr="00481AA7" w:rsidRDefault="00840B03" w:rsidP="00814022">
      <w:pPr>
        <w:pStyle w:val="Bullet"/>
        <w:numPr>
          <w:ilvl w:val="0"/>
          <w:numId w:val="0"/>
        </w:numPr>
        <w:spacing w:line="259" w:lineRule="auto"/>
        <w:ind w:left="284"/>
      </w:pPr>
      <w:bookmarkStart w:id="9" w:name="_Hlk95474705"/>
      <w:bookmarkStart w:id="10" w:name="_Hlk95474162"/>
      <w:r w:rsidRPr="007C519F">
        <w:t>This change would clarify that the moneylending exemption can also generally apply to a moneylending interest acquired by a person capable of determining the investment policies of an exempt entity (including their subsidiary or holding entity); a security trustee</w:t>
      </w:r>
      <w:r w:rsidR="00EB405E" w:rsidRPr="007C519F">
        <w:t xml:space="preserve"> who</w:t>
      </w:r>
      <w:r w:rsidRPr="007C519F">
        <w:t xml:space="preserve"> hold</w:t>
      </w:r>
      <w:r w:rsidR="00EB405E" w:rsidRPr="007C519F">
        <w:t>s the interest</w:t>
      </w:r>
      <w:r w:rsidRPr="007C519F">
        <w:t xml:space="preserve"> on behalf of an exempt entity; or a receiver</w:t>
      </w:r>
      <w:r w:rsidR="00EB405E" w:rsidRPr="007C519F">
        <w:t xml:space="preserve"> that has been</w:t>
      </w:r>
      <w:r w:rsidRPr="007C519F">
        <w:t xml:space="preserve"> appointed by an exempt entity</w:t>
      </w:r>
      <w:r w:rsidR="00475A3B" w:rsidRPr="007C519F">
        <w:t>.</w:t>
      </w:r>
      <w:bookmarkEnd w:id="9"/>
      <w:r w:rsidR="00AA43A7">
        <w:t xml:space="preserve"> </w:t>
      </w:r>
      <w:r w:rsidR="000D60B4">
        <w:t xml:space="preserve"> </w:t>
      </w:r>
    </w:p>
    <w:bookmarkEnd w:id="8"/>
    <w:bookmarkEnd w:id="10"/>
    <w:p w14:paraId="7B92E3B8" w14:textId="227DD9DD" w:rsidR="003D47F6" w:rsidRPr="0084397D" w:rsidRDefault="00263322" w:rsidP="003D47F6">
      <w:pPr>
        <w:pStyle w:val="Bullet"/>
        <w:spacing w:line="259" w:lineRule="auto"/>
        <w:ind w:left="284" w:hanging="284"/>
        <w:rPr>
          <w:i/>
          <w:iCs/>
        </w:rPr>
      </w:pPr>
      <w:r w:rsidRPr="0084397D">
        <w:rPr>
          <w:i/>
          <w:iCs/>
        </w:rPr>
        <w:t>Moneylending exemption – large financial institutions</w:t>
      </w:r>
    </w:p>
    <w:p w14:paraId="353875F2" w14:textId="6712312C" w:rsidR="00263322" w:rsidRPr="0084397D" w:rsidRDefault="00263322" w:rsidP="00814022">
      <w:pPr>
        <w:pStyle w:val="Bullet"/>
        <w:numPr>
          <w:ilvl w:val="0"/>
          <w:numId w:val="0"/>
        </w:numPr>
        <w:spacing w:line="259" w:lineRule="auto"/>
        <w:ind w:left="284"/>
      </w:pPr>
      <w:r w:rsidRPr="0084397D">
        <w:t xml:space="preserve">This change would extend </w:t>
      </w:r>
      <w:r w:rsidR="0088327A" w:rsidRPr="0084397D">
        <w:t xml:space="preserve">the moneylending </w:t>
      </w:r>
      <w:r w:rsidRPr="0084397D">
        <w:t>exempt</w:t>
      </w:r>
      <w:r w:rsidR="0088327A" w:rsidRPr="0084397D">
        <w:t>ion to</w:t>
      </w:r>
      <w:r w:rsidRPr="0084397D">
        <w:t xml:space="preserve"> non-stock or mutual entities that are widely held (at least 100 members) and are licensed financial institutions (whether in Australia </w:t>
      </w:r>
      <w:r w:rsidR="000B0516" w:rsidRPr="00A86754">
        <w:t>or elsewhere)</w:t>
      </w:r>
      <w:r w:rsidR="000B0516">
        <w:t>. This would exempt moneylending businesses</w:t>
      </w:r>
      <w:r w:rsidR="000B0516" w:rsidRPr="00A86754">
        <w:t xml:space="preserve"> </w:t>
      </w:r>
      <w:r w:rsidR="000B0516">
        <w:t>which are owned by members</w:t>
      </w:r>
      <w:r w:rsidR="000B0516" w:rsidRPr="00A86754">
        <w:t xml:space="preserve"> from seeking foreign investment approval when they are involved in moneylending for residential land</w:t>
      </w:r>
      <w:r w:rsidRPr="0084397D">
        <w:t>.</w:t>
      </w:r>
    </w:p>
    <w:p w14:paraId="053489AA" w14:textId="7970283F" w:rsidR="00263322" w:rsidRPr="0084397D" w:rsidRDefault="0088327A" w:rsidP="003D47F6">
      <w:pPr>
        <w:pStyle w:val="Bullet"/>
        <w:spacing w:line="259" w:lineRule="auto"/>
        <w:ind w:left="284" w:hanging="284"/>
        <w:rPr>
          <w:i/>
          <w:iCs/>
        </w:rPr>
      </w:pPr>
      <w:r w:rsidRPr="0084397D">
        <w:rPr>
          <w:i/>
          <w:iCs/>
        </w:rPr>
        <w:t>Australian media business</w:t>
      </w:r>
    </w:p>
    <w:p w14:paraId="62EE0ACF" w14:textId="61E3FA25" w:rsidR="003B6D84" w:rsidRPr="0084397D" w:rsidRDefault="00814022" w:rsidP="00814022">
      <w:pPr>
        <w:pStyle w:val="Bullet"/>
        <w:numPr>
          <w:ilvl w:val="0"/>
          <w:numId w:val="0"/>
        </w:numPr>
        <w:spacing w:line="259" w:lineRule="auto"/>
        <w:ind w:left="284"/>
      </w:pPr>
      <w:r w:rsidRPr="0084397D">
        <w:t>This change would narrow the coverage of sections 13A and 55 of the</w:t>
      </w:r>
      <w:r w:rsidR="00CC647C" w:rsidRPr="0084397D">
        <w:t xml:space="preserve"> FATR</w:t>
      </w:r>
      <w:r w:rsidR="003B6D84" w:rsidRPr="0084397D">
        <w:t xml:space="preserve">, particularly </w:t>
      </w:r>
      <w:r w:rsidR="00CC647C" w:rsidRPr="0084397D">
        <w:t xml:space="preserve">in relation to </w:t>
      </w:r>
      <w:r w:rsidR="004A23B8" w:rsidRPr="0084397D">
        <w:t xml:space="preserve">investment in </w:t>
      </w:r>
      <w:r w:rsidR="003B6D84" w:rsidRPr="0084397D">
        <w:t>digital-only media businesses</w:t>
      </w:r>
      <w:r w:rsidR="00CC647C" w:rsidRPr="0084397D">
        <w:t xml:space="preserve">. </w:t>
      </w:r>
    </w:p>
    <w:p w14:paraId="605B76C3" w14:textId="3226DBE4" w:rsidR="003B6D84" w:rsidRPr="0084397D" w:rsidRDefault="00CC647C" w:rsidP="00814022">
      <w:pPr>
        <w:pStyle w:val="Bullet"/>
        <w:numPr>
          <w:ilvl w:val="0"/>
          <w:numId w:val="0"/>
        </w:numPr>
        <w:spacing w:line="259" w:lineRule="auto"/>
        <w:ind w:left="284"/>
      </w:pPr>
      <w:r w:rsidRPr="0084397D">
        <w:t xml:space="preserve">The </w:t>
      </w:r>
      <w:r w:rsidR="004A23B8" w:rsidRPr="0084397D">
        <w:t xml:space="preserve">refined </w:t>
      </w:r>
      <w:r w:rsidRPr="0084397D">
        <w:t xml:space="preserve">content requirement </w:t>
      </w:r>
      <w:r w:rsidR="004A23B8" w:rsidRPr="0084397D">
        <w:t xml:space="preserve">will </w:t>
      </w:r>
      <w:r w:rsidR="00ED5DF9" w:rsidRPr="0084397D">
        <w:t xml:space="preserve">provide a </w:t>
      </w:r>
      <w:r w:rsidR="004A23B8" w:rsidRPr="0084397D">
        <w:t xml:space="preserve">more </w:t>
      </w:r>
      <w:r w:rsidR="00ED5DF9" w:rsidRPr="0084397D">
        <w:t>targeted way to</w:t>
      </w:r>
      <w:r w:rsidR="004D7593" w:rsidRPr="0084397D">
        <w:t xml:space="preserve"> capture </w:t>
      </w:r>
      <w:r w:rsidR="00ED5DF9" w:rsidRPr="0084397D">
        <w:t xml:space="preserve">a </w:t>
      </w:r>
      <w:r w:rsidR="004D7593" w:rsidRPr="0084397D">
        <w:t>digital-only media business</w:t>
      </w:r>
      <w:r w:rsidR="00ED5DF9" w:rsidRPr="0084397D">
        <w:t>,</w:t>
      </w:r>
      <w:r w:rsidR="004D7593" w:rsidRPr="0084397D">
        <w:t xml:space="preserve"> </w:t>
      </w:r>
      <w:r w:rsidR="004A23B8" w:rsidRPr="0084397D">
        <w:t>based on</w:t>
      </w:r>
      <w:r w:rsidR="004D7593" w:rsidRPr="0084397D">
        <w:t xml:space="preserve"> </w:t>
      </w:r>
      <w:r w:rsidR="004A23B8" w:rsidRPr="0084397D">
        <w:t>whether</w:t>
      </w:r>
      <w:r w:rsidR="004D7593" w:rsidRPr="0084397D">
        <w:t xml:space="preserve"> its content covers ‘issues or events that are relevant in engaging Australians in public debate and in informing democratic decision</w:t>
      </w:r>
      <w:r w:rsidR="004D7593" w:rsidRPr="0084397D">
        <w:noBreakHyphen/>
        <w:t xml:space="preserve">making’ or ‘current issues or events of public significance for Australians at a local, regional or national level’. </w:t>
      </w:r>
    </w:p>
    <w:p w14:paraId="568B0FC8" w14:textId="37565918" w:rsidR="003B6D84" w:rsidRPr="0084397D" w:rsidRDefault="004D7593" w:rsidP="00814022">
      <w:pPr>
        <w:pStyle w:val="Bullet"/>
        <w:numPr>
          <w:ilvl w:val="0"/>
          <w:numId w:val="0"/>
        </w:numPr>
        <w:spacing w:line="259" w:lineRule="auto"/>
        <w:ind w:left="284"/>
      </w:pPr>
      <w:r w:rsidRPr="0084397D">
        <w:t xml:space="preserve">The </w:t>
      </w:r>
      <w:r w:rsidR="00CC647C" w:rsidRPr="0084397D">
        <w:t>audience threshold</w:t>
      </w:r>
      <w:r w:rsidRPr="0084397D">
        <w:t xml:space="preserve"> </w:t>
      </w:r>
      <w:r w:rsidR="003B6D84" w:rsidRPr="0084397D">
        <w:t xml:space="preserve">for digital-only media businesses </w:t>
      </w:r>
      <w:r w:rsidR="004A23B8" w:rsidRPr="0084397D">
        <w:t xml:space="preserve">will be narrowed from </w:t>
      </w:r>
      <w:r w:rsidR="003B6D84" w:rsidRPr="0084397D">
        <w:t>a daily</w:t>
      </w:r>
      <w:r w:rsidR="004A23B8" w:rsidRPr="0084397D">
        <w:t>, global</w:t>
      </w:r>
      <w:r w:rsidR="003B6D84" w:rsidRPr="0084397D">
        <w:t xml:space="preserve"> audience of 10,000 people </w:t>
      </w:r>
      <w:r w:rsidR="004A23B8" w:rsidRPr="0084397D">
        <w:t>to a daily audience</w:t>
      </w:r>
      <w:r w:rsidR="003B6D84" w:rsidRPr="0084397D">
        <w:t xml:space="preserve"> </w:t>
      </w:r>
      <w:r w:rsidR="002B09BA" w:rsidRPr="0084397D">
        <w:t xml:space="preserve">of </w:t>
      </w:r>
      <w:r w:rsidR="004A23B8" w:rsidRPr="0084397D">
        <w:t xml:space="preserve">10,000 </w:t>
      </w:r>
      <w:r w:rsidR="003B6D84" w:rsidRPr="0084397D">
        <w:t xml:space="preserve">in Australia. </w:t>
      </w:r>
    </w:p>
    <w:p w14:paraId="0E4EEBFE" w14:textId="12C2D5F7" w:rsidR="0088327A" w:rsidRPr="0084397D" w:rsidRDefault="00CC647C" w:rsidP="00814022">
      <w:pPr>
        <w:pStyle w:val="Bullet"/>
        <w:numPr>
          <w:ilvl w:val="0"/>
          <w:numId w:val="0"/>
        </w:numPr>
        <w:spacing w:line="259" w:lineRule="auto"/>
        <w:ind w:left="284"/>
      </w:pPr>
      <w:r w:rsidRPr="0084397D">
        <w:t xml:space="preserve">The control threshold </w:t>
      </w:r>
      <w:r w:rsidR="003B6D84" w:rsidRPr="0084397D">
        <w:t>for a foreign investor acquiring an interest in an Australian media business will be raised from 5 </w:t>
      </w:r>
      <w:r w:rsidR="00E477DC" w:rsidRPr="0084397D">
        <w:t xml:space="preserve">per cent </w:t>
      </w:r>
      <w:r w:rsidR="003B6D84" w:rsidRPr="0084397D">
        <w:t xml:space="preserve">to </w:t>
      </w:r>
      <w:r w:rsidR="00E477DC" w:rsidRPr="0084397D">
        <w:t xml:space="preserve">a direct interest (meaning </w:t>
      </w:r>
      <w:r w:rsidR="003B6D84" w:rsidRPr="0084397D">
        <w:t>10 per cent or a position to influence</w:t>
      </w:r>
      <w:r w:rsidR="00E477DC" w:rsidRPr="0084397D">
        <w:t>)</w:t>
      </w:r>
      <w:r w:rsidR="003B6D84" w:rsidRPr="0084397D">
        <w:t xml:space="preserve">, </w:t>
      </w:r>
      <w:r w:rsidR="00ED5DF9" w:rsidRPr="0084397D">
        <w:t>bringing it into line with the</w:t>
      </w:r>
      <w:r w:rsidR="003B6D84" w:rsidRPr="0084397D">
        <w:t xml:space="preserve"> control threshold </w:t>
      </w:r>
      <w:r w:rsidR="001F284D" w:rsidRPr="0084397D">
        <w:t>the framework</w:t>
      </w:r>
      <w:r w:rsidR="007A0D78" w:rsidRPr="0084397D">
        <w:t xml:space="preserve"> generally applies to </w:t>
      </w:r>
      <w:r w:rsidR="008F1BCF" w:rsidRPr="0084397D">
        <w:t>more</w:t>
      </w:r>
      <w:r w:rsidR="007A0D78" w:rsidRPr="0084397D">
        <w:t xml:space="preserve"> </w:t>
      </w:r>
      <w:r w:rsidR="008F1BCF" w:rsidRPr="0084397D">
        <w:t>sensitive</w:t>
      </w:r>
      <w:r w:rsidR="007A0D78" w:rsidRPr="0084397D">
        <w:t xml:space="preserve"> investments, including </w:t>
      </w:r>
      <w:r w:rsidR="003B6D84" w:rsidRPr="0084397D">
        <w:t>acquisitions of national security businesses</w:t>
      </w:r>
      <w:r w:rsidR="007A0D78" w:rsidRPr="0084397D">
        <w:t xml:space="preserve"> and acquisitions by foreign government investors</w:t>
      </w:r>
      <w:r w:rsidR="003B6D84" w:rsidRPr="0084397D">
        <w:t>.</w:t>
      </w:r>
    </w:p>
    <w:p w14:paraId="0679D7E1" w14:textId="7C3A8AA4" w:rsidR="0088327A" w:rsidRPr="0084397D" w:rsidRDefault="00BE7D1C" w:rsidP="003D47F6">
      <w:pPr>
        <w:pStyle w:val="Bullet"/>
        <w:spacing w:line="259" w:lineRule="auto"/>
        <w:ind w:left="284" w:hanging="284"/>
        <w:rPr>
          <w:i/>
          <w:iCs/>
        </w:rPr>
      </w:pPr>
      <w:r w:rsidRPr="0084397D">
        <w:rPr>
          <w:i/>
          <w:iCs/>
        </w:rPr>
        <w:t>Unlisted land entities</w:t>
      </w:r>
    </w:p>
    <w:p w14:paraId="1CFE15D3" w14:textId="3EE3D817" w:rsidR="00BE7D1C" w:rsidRPr="0084397D" w:rsidRDefault="00630952" w:rsidP="004A41CC">
      <w:pPr>
        <w:pStyle w:val="Bullet"/>
        <w:numPr>
          <w:ilvl w:val="0"/>
          <w:numId w:val="0"/>
        </w:numPr>
        <w:spacing w:line="259" w:lineRule="auto"/>
        <w:ind w:left="284"/>
      </w:pPr>
      <w:r w:rsidRPr="0084397D">
        <w:t xml:space="preserve">This change would </w:t>
      </w:r>
      <w:r w:rsidR="00A10EBE" w:rsidRPr="0084397D">
        <w:t xml:space="preserve">raise the control threshold </w:t>
      </w:r>
      <w:r w:rsidR="003B2557" w:rsidRPr="0084397D">
        <w:t xml:space="preserve">from 5 per cent to 10 per cent </w:t>
      </w:r>
      <w:r w:rsidR="00A10EBE" w:rsidRPr="0084397D">
        <w:t xml:space="preserve">for foreign investors who acquire an interest in an unlisted Australian land entity. This would </w:t>
      </w:r>
      <w:r w:rsidR="003B2557" w:rsidRPr="0084397D">
        <w:t xml:space="preserve">reduce regulatory burden by aligning with the control threshold for listed Australian land entities and </w:t>
      </w:r>
      <w:r w:rsidR="0076161B" w:rsidRPr="0084397D">
        <w:t xml:space="preserve">the control threshold that generally applies to </w:t>
      </w:r>
      <w:r w:rsidR="008F1BCF" w:rsidRPr="0084397D">
        <w:t>more sensitive</w:t>
      </w:r>
      <w:r w:rsidR="0076161B" w:rsidRPr="0084397D">
        <w:t xml:space="preserve"> investments. </w:t>
      </w:r>
    </w:p>
    <w:p w14:paraId="6CE5A91D" w14:textId="56D272CC" w:rsidR="00BE7D1C" w:rsidRPr="0084397D" w:rsidRDefault="00BE7D1C" w:rsidP="003D47F6">
      <w:pPr>
        <w:pStyle w:val="Bullet"/>
        <w:spacing w:line="259" w:lineRule="auto"/>
        <w:ind w:left="284" w:hanging="284"/>
        <w:rPr>
          <w:i/>
          <w:iCs/>
        </w:rPr>
      </w:pPr>
      <w:r w:rsidRPr="0084397D">
        <w:rPr>
          <w:i/>
          <w:iCs/>
        </w:rPr>
        <w:t xml:space="preserve">Acquisitions of interests in securities where the proportionate shareholding </w:t>
      </w:r>
      <w:r w:rsidR="007B0ABC">
        <w:rPr>
          <w:i/>
          <w:iCs/>
        </w:rPr>
        <w:t>does not increase</w:t>
      </w:r>
      <w:r w:rsidRPr="0084397D">
        <w:rPr>
          <w:i/>
          <w:iCs/>
        </w:rPr>
        <w:t xml:space="preserve"> post</w:t>
      </w:r>
      <w:r w:rsidR="007B0ABC">
        <w:rPr>
          <w:i/>
          <w:iCs/>
        </w:rPr>
        <w:noBreakHyphen/>
      </w:r>
      <w:r w:rsidRPr="0084397D">
        <w:rPr>
          <w:i/>
          <w:iCs/>
        </w:rPr>
        <w:t>acquisition</w:t>
      </w:r>
    </w:p>
    <w:p w14:paraId="6D2D5D3B" w14:textId="25BE4151" w:rsidR="00BE7D1C" w:rsidRPr="0084397D" w:rsidRDefault="000B0516" w:rsidP="004A41CC">
      <w:pPr>
        <w:pStyle w:val="Bullet"/>
        <w:numPr>
          <w:ilvl w:val="0"/>
          <w:numId w:val="0"/>
        </w:numPr>
        <w:spacing w:line="259" w:lineRule="auto"/>
        <w:ind w:left="284"/>
      </w:pPr>
      <w:r w:rsidRPr="00A86754">
        <w:t xml:space="preserve">This change </w:t>
      </w:r>
      <w:r>
        <w:t>will</w:t>
      </w:r>
      <w:r w:rsidRPr="00A86754">
        <w:t xml:space="preserve"> </w:t>
      </w:r>
      <w:r>
        <w:t xml:space="preserve">ensure that the following </w:t>
      </w:r>
      <w:r w:rsidRPr="00A86754">
        <w:t xml:space="preserve">foreign investment scenarios </w:t>
      </w:r>
      <w:r w:rsidR="00B5738B">
        <w:t xml:space="preserve">do not </w:t>
      </w:r>
      <w:r w:rsidR="001F4A78">
        <w:t xml:space="preserve">require notification </w:t>
      </w:r>
      <w:r>
        <w:t>provided</w:t>
      </w:r>
      <w:r w:rsidRPr="00A86754">
        <w:t xml:space="preserve"> the proportionate level of foreign ownership </w:t>
      </w:r>
      <w:r>
        <w:t xml:space="preserve">does </w:t>
      </w:r>
      <w:r w:rsidRPr="00A86754">
        <w:t xml:space="preserve">not </w:t>
      </w:r>
      <w:r>
        <w:t>increase</w:t>
      </w:r>
      <w:r w:rsidRPr="00A86754">
        <w:t xml:space="preserve"> following an investment: where a foreign investor increases their capital in a wholly-owned Australian subsidiary; where pursuant to a capital call, foreign investors contribute additional funding to an investment vehicle in their respective ownership proportions; </w:t>
      </w:r>
      <w:r>
        <w:t xml:space="preserve">and </w:t>
      </w:r>
      <w:r w:rsidRPr="00A86754">
        <w:t>where a foreign investor acquire</w:t>
      </w:r>
      <w:r>
        <w:t>s</w:t>
      </w:r>
      <w:r w:rsidRPr="00A86754">
        <w:t xml:space="preserve"> </w:t>
      </w:r>
      <w:r w:rsidR="00E847C2" w:rsidRPr="00A86754">
        <w:t>extra</w:t>
      </w:r>
      <w:r w:rsidRPr="00A86754">
        <w:t xml:space="preserve"> securities in an Australian entity under a rights issue </w:t>
      </w:r>
      <w:r>
        <w:t xml:space="preserve">that is consistent with the </w:t>
      </w:r>
      <w:r w:rsidRPr="00D16076">
        <w:rPr>
          <w:i/>
          <w:iCs/>
        </w:rPr>
        <w:t>Corporations Act 2001</w:t>
      </w:r>
      <w:r w:rsidR="00F86F90" w:rsidRPr="0084397D">
        <w:t>.</w:t>
      </w:r>
    </w:p>
    <w:p w14:paraId="2636B79D" w14:textId="73FA5ABD" w:rsidR="00BE7D1C" w:rsidRPr="0084397D" w:rsidRDefault="00BE7D1C" w:rsidP="003D47F6">
      <w:pPr>
        <w:pStyle w:val="Bullet"/>
        <w:spacing w:line="259" w:lineRule="auto"/>
        <w:ind w:left="284" w:hanging="284"/>
        <w:rPr>
          <w:i/>
          <w:iCs/>
        </w:rPr>
      </w:pPr>
      <w:r w:rsidRPr="0084397D">
        <w:rPr>
          <w:i/>
          <w:iCs/>
        </w:rPr>
        <w:t>Foreign custodian corporations</w:t>
      </w:r>
    </w:p>
    <w:p w14:paraId="2FC21D94" w14:textId="09A5952A" w:rsidR="005E5268" w:rsidRDefault="00F86F90" w:rsidP="00CF6C7F">
      <w:pPr>
        <w:pStyle w:val="Bullet"/>
        <w:numPr>
          <w:ilvl w:val="0"/>
          <w:numId w:val="0"/>
        </w:numPr>
        <w:spacing w:line="259" w:lineRule="auto"/>
        <w:ind w:left="284"/>
        <w:rPr>
          <w:rFonts w:cs="Arial"/>
          <w:iCs/>
          <w:color w:val="002C47"/>
          <w:kern w:val="32"/>
          <w:sz w:val="36"/>
          <w:szCs w:val="28"/>
        </w:rPr>
      </w:pPr>
      <w:r w:rsidRPr="0084397D">
        <w:t xml:space="preserve">This change </w:t>
      </w:r>
      <w:r w:rsidR="00980F23" w:rsidRPr="0084397D">
        <w:t>will ensure a foreign custodian does not require approval where it undertakes acquisitions in the course of providing custodia</w:t>
      </w:r>
      <w:r w:rsidR="000B0516">
        <w:t>n</w:t>
      </w:r>
      <w:r w:rsidR="00980F23" w:rsidRPr="0084397D">
        <w:t xml:space="preserve"> services on behalf of someone who is not a foreign person, including where the foreign custodian has a right to indemnification or is unable to exercise voting rights.</w:t>
      </w:r>
      <w:r w:rsidR="005E5268">
        <w:br w:type="page"/>
      </w:r>
    </w:p>
    <w:p w14:paraId="4DA36CAC" w14:textId="3973EFC5" w:rsidR="00D50F28" w:rsidRPr="0084397D" w:rsidRDefault="004B12A8" w:rsidP="005E5268">
      <w:pPr>
        <w:pStyle w:val="Heading2"/>
        <w:spacing w:before="0" w:line="460" w:lineRule="exact"/>
      </w:pPr>
      <w:bookmarkStart w:id="11" w:name="_Toc95490528"/>
      <w:r w:rsidRPr="0084397D">
        <w:lastRenderedPageBreak/>
        <w:t xml:space="preserve">Tranche 2: </w:t>
      </w:r>
      <w:bookmarkStart w:id="12" w:name="_Toc306887372"/>
      <w:bookmarkStart w:id="13" w:name="_Toc432064636"/>
      <w:r w:rsidRPr="0084397D">
        <w:t>b</w:t>
      </w:r>
      <w:r w:rsidR="00752100" w:rsidRPr="0084397D">
        <w:t xml:space="preserve">roader </w:t>
      </w:r>
      <w:r w:rsidR="00B80823" w:rsidRPr="0084397D">
        <w:t>legislative and regulatory reforms</w:t>
      </w:r>
      <w:bookmarkEnd w:id="11"/>
      <w:r w:rsidR="00B80823" w:rsidRPr="0084397D">
        <w:t xml:space="preserve"> </w:t>
      </w:r>
      <w:bookmarkEnd w:id="12"/>
      <w:bookmarkEnd w:id="13"/>
    </w:p>
    <w:p w14:paraId="3F3F5173" w14:textId="643B60C7" w:rsidR="00EB751A" w:rsidRPr="0084397D" w:rsidRDefault="00ED55DE" w:rsidP="0004556D">
      <w:pPr>
        <w:spacing w:line="259" w:lineRule="auto"/>
      </w:pPr>
      <w:r w:rsidRPr="0084397D">
        <w:t>A</w:t>
      </w:r>
      <w:r w:rsidR="007A6B3E" w:rsidRPr="0084397D">
        <w:t xml:space="preserve"> </w:t>
      </w:r>
      <w:r w:rsidR="002A7ADB" w:rsidRPr="0084397D">
        <w:t>further package of</w:t>
      </w:r>
      <w:r w:rsidR="00236C99" w:rsidRPr="0084397D">
        <w:t xml:space="preserve"> reforms </w:t>
      </w:r>
      <w:r w:rsidRPr="0084397D">
        <w:t xml:space="preserve">to be pursued in the second half of 2022 </w:t>
      </w:r>
      <w:r w:rsidR="00376A7E" w:rsidRPr="0084397D">
        <w:t>will</w:t>
      </w:r>
      <w:r w:rsidR="0004556D" w:rsidRPr="0084397D">
        <w:t xml:space="preserve"> focus on</w:t>
      </w:r>
      <w:r w:rsidR="00236C99" w:rsidRPr="0084397D">
        <w:t xml:space="preserve"> </w:t>
      </w:r>
      <w:r w:rsidR="0004556D" w:rsidRPr="0084397D">
        <w:t xml:space="preserve">ensuring Australia’s foreign investment framework continues to </w:t>
      </w:r>
      <w:r w:rsidR="0004556D" w:rsidRPr="0084397D">
        <w:rPr>
          <w:szCs w:val="22"/>
        </w:rPr>
        <w:t xml:space="preserve">strike </w:t>
      </w:r>
      <w:r w:rsidR="00EB751A" w:rsidRPr="0084397D">
        <w:rPr>
          <w:szCs w:val="22"/>
        </w:rPr>
        <w:t>a</w:t>
      </w:r>
      <w:r w:rsidR="0004556D" w:rsidRPr="0084397D">
        <w:rPr>
          <w:szCs w:val="22"/>
        </w:rPr>
        <w:t xml:space="preserve"> balance between facilitating investment and protecting the national interest</w:t>
      </w:r>
      <w:r w:rsidR="00EB751A" w:rsidRPr="0084397D">
        <w:rPr>
          <w:szCs w:val="22"/>
        </w:rPr>
        <w:t xml:space="preserve"> (including national security)</w:t>
      </w:r>
      <w:r w:rsidR="0004556D" w:rsidRPr="0084397D">
        <w:rPr>
          <w:szCs w:val="22"/>
        </w:rPr>
        <w:t xml:space="preserve">. </w:t>
      </w:r>
      <w:r w:rsidR="0004556D" w:rsidRPr="0084397D">
        <w:t xml:space="preserve">To achieve this, the </w:t>
      </w:r>
      <w:r w:rsidR="00236C99" w:rsidRPr="0084397D">
        <w:t xml:space="preserve">Government is seeking </w:t>
      </w:r>
      <w:r w:rsidR="007170F3" w:rsidRPr="0084397D">
        <w:t>views</w:t>
      </w:r>
      <w:r w:rsidR="00236C99" w:rsidRPr="0084397D">
        <w:t xml:space="preserve"> </w:t>
      </w:r>
      <w:r w:rsidR="0004556D" w:rsidRPr="0084397D">
        <w:t>for further</w:t>
      </w:r>
      <w:r w:rsidR="00236C99" w:rsidRPr="0084397D">
        <w:t xml:space="preserve"> reform</w:t>
      </w:r>
      <w:r w:rsidR="002A7ADB" w:rsidRPr="0084397D">
        <w:t xml:space="preserve"> options</w:t>
      </w:r>
      <w:r w:rsidR="00236C99" w:rsidRPr="0084397D">
        <w:t xml:space="preserve"> that</w:t>
      </w:r>
      <w:r w:rsidR="0000186E" w:rsidRPr="0084397D">
        <w:t xml:space="preserve"> </w:t>
      </w:r>
      <w:r w:rsidR="007170F3" w:rsidRPr="0084397D">
        <w:t>w</w:t>
      </w:r>
      <w:r w:rsidRPr="0084397D">
        <w:t>ould</w:t>
      </w:r>
      <w:r w:rsidR="00236C99" w:rsidRPr="0084397D">
        <w:t xml:space="preserve"> </w:t>
      </w:r>
      <w:r w:rsidR="007170F3" w:rsidRPr="0084397D">
        <w:t>clarify,</w:t>
      </w:r>
      <w:r w:rsidR="00D50F28" w:rsidRPr="0084397D">
        <w:t xml:space="preserve"> </w:t>
      </w:r>
      <w:r w:rsidR="007170F3" w:rsidRPr="0084397D">
        <w:t>liberal</w:t>
      </w:r>
      <w:r w:rsidR="00EB751A" w:rsidRPr="0084397D">
        <w:t>ise</w:t>
      </w:r>
      <w:r w:rsidR="00D50F28" w:rsidRPr="0084397D">
        <w:t>,</w:t>
      </w:r>
      <w:r w:rsidR="007170F3" w:rsidRPr="0084397D">
        <w:t xml:space="preserve"> simplify </w:t>
      </w:r>
      <w:r w:rsidR="00D50F28" w:rsidRPr="0084397D">
        <w:t xml:space="preserve">and </w:t>
      </w:r>
      <w:r w:rsidR="007170F3" w:rsidRPr="0084397D">
        <w:t xml:space="preserve">where </w:t>
      </w:r>
      <w:r w:rsidR="002A7ADB" w:rsidRPr="0084397D">
        <w:t>required</w:t>
      </w:r>
      <w:r w:rsidR="007170F3" w:rsidRPr="0084397D">
        <w:t xml:space="preserve"> strengthen </w:t>
      </w:r>
      <w:r w:rsidR="00D50F28" w:rsidRPr="0084397D">
        <w:t xml:space="preserve">parts of </w:t>
      </w:r>
      <w:r w:rsidR="00236C99" w:rsidRPr="0084397D">
        <w:t xml:space="preserve">the </w:t>
      </w:r>
      <w:r w:rsidR="00D50F28" w:rsidRPr="0084397D">
        <w:t>framework.</w:t>
      </w:r>
    </w:p>
    <w:p w14:paraId="6838E6A1" w14:textId="7E798A70" w:rsidR="00590392" w:rsidRPr="0084397D" w:rsidRDefault="00F441C7" w:rsidP="005E5268">
      <w:pPr>
        <w:pStyle w:val="Heading2"/>
        <w:spacing w:before="120" w:line="460" w:lineRule="exact"/>
      </w:pPr>
      <w:bookmarkStart w:id="14" w:name="_Toc95490529"/>
      <w:r w:rsidRPr="0084397D">
        <w:t>1</w:t>
      </w:r>
      <w:r w:rsidR="00D50F28" w:rsidRPr="0084397D">
        <w:t xml:space="preserve">. </w:t>
      </w:r>
      <w:r w:rsidR="00590392" w:rsidRPr="0084397D">
        <w:t>Areas to reduce regulatory burden</w:t>
      </w:r>
      <w:bookmarkEnd w:id="14"/>
    </w:p>
    <w:p w14:paraId="1B882D54" w14:textId="02CD89F1" w:rsidR="00E30464" w:rsidRPr="0084397D" w:rsidRDefault="009975FF" w:rsidP="00320EFC">
      <w:pPr>
        <w:spacing w:line="259" w:lineRule="auto"/>
      </w:pPr>
      <w:r w:rsidRPr="0084397D">
        <w:t>Finding 6 of the Evaluation</w:t>
      </w:r>
      <w:r w:rsidR="00CD6433" w:rsidRPr="0084397D">
        <w:t xml:space="preserve"> noted the importance of continuing to explore options to refine the foreign investment framework to better facilitate foreign investment while safeguarding the national interest and national security. </w:t>
      </w:r>
      <w:r w:rsidR="00C74B75" w:rsidRPr="0084397D">
        <w:t>The Government is committed to reducing regulatory burden wh</w:t>
      </w:r>
      <w:r w:rsidR="0095294A" w:rsidRPr="0084397D">
        <w:t>ile maintaining</w:t>
      </w:r>
      <w:r w:rsidR="00C74B75" w:rsidRPr="0084397D">
        <w:t xml:space="preserve"> appropriate</w:t>
      </w:r>
      <w:r w:rsidR="0095294A" w:rsidRPr="0084397D">
        <w:t xml:space="preserve"> safeguards</w:t>
      </w:r>
      <w:r w:rsidR="00C74B75" w:rsidRPr="0084397D">
        <w:t>.</w:t>
      </w:r>
    </w:p>
    <w:p w14:paraId="0805BCF9" w14:textId="07B8785B" w:rsidR="00C955DE" w:rsidRPr="0084397D" w:rsidRDefault="00CD6433" w:rsidP="00EC5F49">
      <w:pPr>
        <w:spacing w:line="259" w:lineRule="auto"/>
      </w:pPr>
      <w:r w:rsidRPr="0084397D">
        <w:t>During consultations to inform the Evaluation, stakeholders</w:t>
      </w:r>
      <w:r w:rsidR="00301E53" w:rsidRPr="0084397D">
        <w:t xml:space="preserve"> suggested further changes to clarify, liberalise and simplify the framework.</w:t>
      </w:r>
      <w:r w:rsidR="00CE3D4F" w:rsidRPr="0084397D">
        <w:t xml:space="preserve"> Examples of s</w:t>
      </w:r>
      <w:r w:rsidR="00DD70D2" w:rsidRPr="0084397D">
        <w:t xml:space="preserve">uggested changes </w:t>
      </w:r>
      <w:r w:rsidR="00C955DE" w:rsidRPr="0084397D">
        <w:t>intended to reduce regulatory burden includ</w:t>
      </w:r>
      <w:r w:rsidR="00DD70D2" w:rsidRPr="0084397D">
        <w:t>e:</w:t>
      </w:r>
    </w:p>
    <w:p w14:paraId="7CD88039" w14:textId="22318877" w:rsidR="00DD70D2" w:rsidRPr="0084397D" w:rsidRDefault="00DD70D2" w:rsidP="00DD70D2">
      <w:pPr>
        <w:pStyle w:val="Bullet"/>
        <w:spacing w:line="259" w:lineRule="auto"/>
        <w:ind w:left="284" w:hanging="284"/>
      </w:pPr>
      <w:r w:rsidRPr="0084397D">
        <w:t xml:space="preserve">expanding the types of transactions that can be voluntarily notified </w:t>
      </w:r>
      <w:r w:rsidR="00624938" w:rsidRPr="0084397D">
        <w:t xml:space="preserve">(similar to the treatment of reviewable national security actions) </w:t>
      </w:r>
      <w:r w:rsidRPr="0084397D">
        <w:t>or allowing some investments to be notified but not approved</w:t>
      </w:r>
      <w:r w:rsidR="00624938" w:rsidRPr="0084397D">
        <w:t xml:space="preserve"> (similar to a notifiable </w:t>
      </w:r>
      <w:r w:rsidR="006C0E50" w:rsidRPr="0084397D">
        <w:t>action that is</w:t>
      </w:r>
      <w:r w:rsidR="00624938" w:rsidRPr="0084397D">
        <w:t xml:space="preserve"> not </w:t>
      </w:r>
      <w:r w:rsidR="006C0E50" w:rsidRPr="0084397D">
        <w:t xml:space="preserve">a </w:t>
      </w:r>
      <w:r w:rsidR="00624938" w:rsidRPr="0084397D">
        <w:t>significant action)</w:t>
      </w:r>
      <w:r w:rsidR="00AE417E" w:rsidRPr="0084397D">
        <w:t>;</w:t>
      </w:r>
      <w:r w:rsidRPr="0084397D">
        <w:rPr>
          <w:rStyle w:val="FootnoteReference"/>
        </w:rPr>
        <w:footnoteReference w:id="2"/>
      </w:r>
    </w:p>
    <w:p w14:paraId="18BC1122" w14:textId="2BAD782F" w:rsidR="00DD70D2" w:rsidRPr="0084397D" w:rsidRDefault="00DD70D2" w:rsidP="00DD70D2">
      <w:pPr>
        <w:pStyle w:val="Bullet"/>
        <w:spacing w:line="259" w:lineRule="auto"/>
        <w:ind w:left="284" w:hanging="284"/>
      </w:pPr>
      <w:r w:rsidRPr="0084397D">
        <w:t xml:space="preserve">providing an exemption for </w:t>
      </w:r>
      <w:r w:rsidR="000B01B7" w:rsidRPr="0084397D">
        <w:t>‘</w:t>
      </w:r>
      <w:r w:rsidRPr="0084397D">
        <w:t>interfunding</w:t>
      </w:r>
      <w:r w:rsidR="000B01B7" w:rsidRPr="0084397D">
        <w:t>’</w:t>
      </w:r>
      <w:r w:rsidRPr="0084397D">
        <w:t xml:space="preserve"> activities</w:t>
      </w:r>
      <w:r w:rsidR="005A097B" w:rsidRPr="0084397D">
        <w:t>,</w:t>
      </w:r>
      <w:r w:rsidR="00E83A7B" w:rsidRPr="0084397D">
        <w:t xml:space="preserve"> </w:t>
      </w:r>
      <w:r w:rsidRPr="0084397D">
        <w:t xml:space="preserve">where a fund invests in a separate fund </w:t>
      </w:r>
      <w:r w:rsidR="005075E2" w:rsidRPr="0084397D">
        <w:t xml:space="preserve">and both funds are </w:t>
      </w:r>
      <w:r w:rsidRPr="0084397D">
        <w:t>controlled by the same responsible entity</w:t>
      </w:r>
      <w:r w:rsidR="005A097B" w:rsidRPr="0084397D">
        <w:t xml:space="preserve">, and </w:t>
      </w:r>
      <w:r w:rsidR="00B67DE4" w:rsidRPr="0084397D">
        <w:t xml:space="preserve">for </w:t>
      </w:r>
      <w:r w:rsidR="005A097B" w:rsidRPr="0084397D">
        <w:t>other passive-style investments</w:t>
      </w:r>
      <w:r w:rsidRPr="0084397D">
        <w:t>;</w:t>
      </w:r>
    </w:p>
    <w:p w14:paraId="0738377C" w14:textId="37857949" w:rsidR="00DD70D2" w:rsidRPr="0084397D" w:rsidRDefault="004E6888" w:rsidP="00DD70D2">
      <w:pPr>
        <w:pStyle w:val="Bullet"/>
        <w:spacing w:line="259" w:lineRule="auto"/>
        <w:ind w:left="284" w:hanging="284"/>
      </w:pPr>
      <w:r w:rsidRPr="0084397D">
        <w:t>improv</w:t>
      </w:r>
      <w:r w:rsidR="005D7637" w:rsidRPr="0084397D">
        <w:t>ing</w:t>
      </w:r>
      <w:r w:rsidRPr="0084397D">
        <w:t xml:space="preserve"> the treatment of </w:t>
      </w:r>
      <w:r w:rsidR="005D7637" w:rsidRPr="0084397D">
        <w:t xml:space="preserve">certain </w:t>
      </w:r>
      <w:r w:rsidRPr="0084397D">
        <w:t>funds</w:t>
      </w:r>
      <w:r w:rsidR="005D7637" w:rsidRPr="0084397D">
        <w:t xml:space="preserve"> and schemes (e.g. superannuation and insurance)</w:t>
      </w:r>
      <w:r w:rsidR="00DD70D2" w:rsidRPr="0084397D">
        <w:t>;</w:t>
      </w:r>
    </w:p>
    <w:p w14:paraId="2728748E" w14:textId="2D5CA3D7" w:rsidR="00DD70D2" w:rsidRPr="0084397D" w:rsidRDefault="00DD70D2" w:rsidP="00DD70D2">
      <w:pPr>
        <w:pStyle w:val="Bullet"/>
        <w:spacing w:line="259" w:lineRule="auto"/>
        <w:ind w:left="284" w:hanging="284"/>
      </w:pPr>
      <w:r w:rsidRPr="0084397D">
        <w:t xml:space="preserve">exempting subdivisions and amalgamations of land where </w:t>
      </w:r>
      <w:r w:rsidR="00A32EEE" w:rsidRPr="0084397D">
        <w:t>investors</w:t>
      </w:r>
      <w:r w:rsidRPr="0084397D">
        <w:t xml:space="preserve"> already hold an interest in </w:t>
      </w:r>
      <w:r w:rsidR="00A32EEE" w:rsidRPr="0084397D">
        <w:t xml:space="preserve">the </w:t>
      </w:r>
      <w:r w:rsidRPr="0084397D">
        <w:t xml:space="preserve">land </w:t>
      </w:r>
      <w:r w:rsidR="00A32EEE" w:rsidRPr="0084397D">
        <w:t xml:space="preserve">that is being </w:t>
      </w:r>
      <w:r w:rsidRPr="0084397D">
        <w:t>subdivi</w:t>
      </w:r>
      <w:r w:rsidR="00A32EEE" w:rsidRPr="0084397D">
        <w:t>ded</w:t>
      </w:r>
      <w:r w:rsidRPr="0084397D">
        <w:t xml:space="preserve"> or amalgamat</w:t>
      </w:r>
      <w:r w:rsidR="00A32EEE" w:rsidRPr="0084397D">
        <w:t>ed,</w:t>
      </w:r>
      <w:r w:rsidRPr="0084397D">
        <w:t xml:space="preserve"> and the</w:t>
      </w:r>
      <w:r w:rsidR="00BF4F29" w:rsidRPr="0084397D">
        <w:t>ir</w:t>
      </w:r>
      <w:r w:rsidRPr="0084397D">
        <w:t xml:space="preserve"> overall interest </w:t>
      </w:r>
      <w:r w:rsidR="00BF4F29" w:rsidRPr="0084397D">
        <w:t>would</w:t>
      </w:r>
      <w:r w:rsidRPr="0084397D">
        <w:t xml:space="preserve"> not change; and</w:t>
      </w:r>
    </w:p>
    <w:p w14:paraId="41A2C687" w14:textId="0F3D6737" w:rsidR="00AC315F" w:rsidRPr="0084397D" w:rsidRDefault="00DD70D2" w:rsidP="001C73EF">
      <w:pPr>
        <w:pStyle w:val="Bullet"/>
        <w:spacing w:after="180" w:line="259" w:lineRule="auto"/>
        <w:ind w:left="284" w:hanging="284"/>
      </w:pPr>
      <w:r w:rsidRPr="0084397D">
        <w:t xml:space="preserve">expanding the passive foreign government investor </w:t>
      </w:r>
      <w:r w:rsidR="00BF4F29" w:rsidRPr="0084397D">
        <w:t>streamlining</w:t>
      </w:r>
      <w:r w:rsidRPr="0084397D">
        <w:t xml:space="preserve"> measure,</w:t>
      </w:r>
      <w:r w:rsidR="00B56E9C" w:rsidRPr="0084397D">
        <w:rPr>
          <w:rStyle w:val="FootnoteReference"/>
        </w:rPr>
        <w:footnoteReference w:id="3"/>
      </w:r>
      <w:r w:rsidRPr="0084397D">
        <w:t xml:space="preserve"> which was introduced as part of the most recent reforms, to account for parallel funds and other investment vehicles.</w:t>
      </w:r>
    </w:p>
    <w:tbl>
      <w:tblPr>
        <w:tblStyle w:val="TableGrid"/>
        <w:tblW w:w="5000" w:type="pct"/>
        <w:tblBorders>
          <w:bottom w:val="single" w:sz="12" w:space="0" w:color="336E98"/>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AC315F" w:rsidRPr="0084397D" w14:paraId="245A1361" w14:textId="77777777" w:rsidTr="00AC315F">
        <w:tc>
          <w:tcPr>
            <w:tcW w:w="5000" w:type="pct"/>
            <w:shd w:val="clear" w:color="auto" w:fill="F2F2F2" w:themeFill="background1" w:themeFillShade="F2"/>
          </w:tcPr>
          <w:p w14:paraId="2B6E565D" w14:textId="18CD8BFA" w:rsidR="00AC315F" w:rsidRPr="0084397D" w:rsidRDefault="00AC315F" w:rsidP="0094197F">
            <w:pPr>
              <w:pStyle w:val="BoxHeading"/>
              <w:keepNext w:val="0"/>
              <w:spacing w:before="0"/>
              <w:rPr>
                <w:sz w:val="28"/>
                <w:szCs w:val="28"/>
                <w:lang w:eastAsia="en-US"/>
              </w:rPr>
            </w:pPr>
            <w:r w:rsidRPr="0084397D">
              <w:rPr>
                <w:sz w:val="28"/>
                <w:szCs w:val="28"/>
                <w:lang w:eastAsia="en-US"/>
              </w:rPr>
              <w:t>Consultation questions</w:t>
            </w:r>
          </w:p>
          <w:p w14:paraId="2D1D536F" w14:textId="028E4558" w:rsidR="00AC315F" w:rsidRPr="0084397D" w:rsidRDefault="00AC315F" w:rsidP="0094197F">
            <w:pPr>
              <w:pStyle w:val="BoxText"/>
              <w:spacing w:line="259" w:lineRule="auto"/>
              <w:rPr>
                <w:sz w:val="22"/>
                <w:szCs w:val="22"/>
              </w:rPr>
            </w:pPr>
            <w:r w:rsidRPr="0084397D">
              <w:rPr>
                <w:sz w:val="22"/>
                <w:szCs w:val="22"/>
              </w:rPr>
              <w:t>To</w:t>
            </w:r>
            <w:r w:rsidR="00070F79" w:rsidRPr="0084397D">
              <w:rPr>
                <w:sz w:val="22"/>
                <w:szCs w:val="22"/>
              </w:rPr>
              <w:t xml:space="preserve"> help</w:t>
            </w:r>
            <w:r w:rsidRPr="0084397D">
              <w:rPr>
                <w:sz w:val="22"/>
                <w:szCs w:val="22"/>
              </w:rPr>
              <w:t xml:space="preserve"> inform the Government’s consideration of further foreign investment reform</w:t>
            </w:r>
            <w:r w:rsidR="00070F79" w:rsidRPr="0084397D">
              <w:rPr>
                <w:sz w:val="22"/>
                <w:szCs w:val="22"/>
              </w:rPr>
              <w:t xml:space="preserve"> options</w:t>
            </w:r>
            <w:r w:rsidRPr="0084397D">
              <w:rPr>
                <w:sz w:val="22"/>
                <w:szCs w:val="22"/>
              </w:rPr>
              <w:t>, the Treasury is interested in hearing from stakeholders with regards to:</w:t>
            </w:r>
          </w:p>
          <w:p w14:paraId="0B0E0CD0" w14:textId="41E0FE0E" w:rsidR="00F441C7" w:rsidRPr="0084397D" w:rsidRDefault="003E7A53" w:rsidP="0094197F">
            <w:pPr>
              <w:pStyle w:val="OutlineNumbered1"/>
              <w:numPr>
                <w:ilvl w:val="1"/>
                <w:numId w:val="12"/>
              </w:numPr>
              <w:spacing w:line="259" w:lineRule="auto"/>
              <w:ind w:left="522" w:hanging="522"/>
              <w:rPr>
                <w:sz w:val="22"/>
                <w:szCs w:val="22"/>
              </w:rPr>
            </w:pPr>
            <w:r w:rsidRPr="0084397D">
              <w:rPr>
                <w:sz w:val="22"/>
                <w:szCs w:val="22"/>
              </w:rPr>
              <w:t>the</w:t>
            </w:r>
            <w:r w:rsidR="00A933AA" w:rsidRPr="0084397D">
              <w:rPr>
                <w:sz w:val="22"/>
                <w:szCs w:val="22"/>
              </w:rPr>
              <w:t xml:space="preserve"> types of </w:t>
            </w:r>
            <w:r w:rsidR="00D76161" w:rsidRPr="0084397D">
              <w:rPr>
                <w:sz w:val="22"/>
                <w:szCs w:val="22"/>
              </w:rPr>
              <w:t>less</w:t>
            </w:r>
            <w:r w:rsidR="00A933AA" w:rsidRPr="0084397D">
              <w:rPr>
                <w:sz w:val="22"/>
                <w:szCs w:val="22"/>
              </w:rPr>
              <w:t>-sensitive</w:t>
            </w:r>
            <w:r w:rsidR="00002D02" w:rsidRPr="0084397D">
              <w:rPr>
                <w:sz w:val="22"/>
                <w:szCs w:val="22"/>
              </w:rPr>
              <w:t xml:space="preserve"> </w:t>
            </w:r>
            <w:r w:rsidR="00A933AA" w:rsidRPr="0084397D">
              <w:rPr>
                <w:sz w:val="22"/>
                <w:szCs w:val="22"/>
              </w:rPr>
              <w:t>transactions that</w:t>
            </w:r>
            <w:r w:rsidR="00002D02" w:rsidRPr="0084397D">
              <w:rPr>
                <w:sz w:val="22"/>
                <w:szCs w:val="22"/>
              </w:rPr>
              <w:t xml:space="preserve"> could be exempted from </w:t>
            </w:r>
            <w:r w:rsidR="00A933AA" w:rsidRPr="0084397D">
              <w:rPr>
                <w:sz w:val="22"/>
                <w:szCs w:val="22"/>
              </w:rPr>
              <w:t xml:space="preserve">foreign investment </w:t>
            </w:r>
            <w:r w:rsidR="00002D02" w:rsidRPr="0084397D">
              <w:rPr>
                <w:sz w:val="22"/>
                <w:szCs w:val="22"/>
              </w:rPr>
              <w:t>screening without compromising the national interes</w:t>
            </w:r>
            <w:r w:rsidR="00CD6433" w:rsidRPr="0084397D">
              <w:rPr>
                <w:sz w:val="22"/>
                <w:szCs w:val="22"/>
              </w:rPr>
              <w:t>t, including how this would best be achieved</w:t>
            </w:r>
            <w:r w:rsidR="00320F69" w:rsidRPr="0084397D">
              <w:rPr>
                <w:sz w:val="22"/>
                <w:szCs w:val="22"/>
              </w:rPr>
              <w:t>;</w:t>
            </w:r>
          </w:p>
          <w:p w14:paraId="4A6E0FCB" w14:textId="5D3F7223" w:rsidR="00F441C7" w:rsidRPr="0084397D" w:rsidRDefault="003E7A53" w:rsidP="0094197F">
            <w:pPr>
              <w:pStyle w:val="OutlineNumbered1"/>
              <w:numPr>
                <w:ilvl w:val="1"/>
                <w:numId w:val="12"/>
              </w:numPr>
              <w:spacing w:line="259" w:lineRule="auto"/>
              <w:ind w:left="522" w:hanging="522"/>
              <w:rPr>
                <w:sz w:val="22"/>
                <w:szCs w:val="22"/>
              </w:rPr>
            </w:pPr>
            <w:r w:rsidRPr="0084397D">
              <w:rPr>
                <w:sz w:val="22"/>
                <w:szCs w:val="22"/>
              </w:rPr>
              <w:t xml:space="preserve">improving </w:t>
            </w:r>
            <w:r w:rsidR="004C111C" w:rsidRPr="0084397D">
              <w:rPr>
                <w:sz w:val="22"/>
                <w:szCs w:val="22"/>
              </w:rPr>
              <w:t xml:space="preserve">the </w:t>
            </w:r>
            <w:r w:rsidR="002604EB" w:rsidRPr="0084397D">
              <w:rPr>
                <w:sz w:val="22"/>
                <w:szCs w:val="22"/>
              </w:rPr>
              <w:t>treatment of</w:t>
            </w:r>
            <w:r w:rsidR="004C111C" w:rsidRPr="0084397D">
              <w:rPr>
                <w:sz w:val="22"/>
                <w:szCs w:val="22"/>
              </w:rPr>
              <w:t xml:space="preserve"> </w:t>
            </w:r>
            <w:r w:rsidR="004E6888" w:rsidRPr="0084397D">
              <w:rPr>
                <w:sz w:val="22"/>
                <w:szCs w:val="22"/>
              </w:rPr>
              <w:t xml:space="preserve">passive-style </w:t>
            </w:r>
            <w:r w:rsidR="002604EB" w:rsidRPr="0084397D">
              <w:rPr>
                <w:sz w:val="22"/>
                <w:szCs w:val="22"/>
              </w:rPr>
              <w:t>investment</w:t>
            </w:r>
            <w:r w:rsidR="004E6888" w:rsidRPr="0084397D">
              <w:rPr>
                <w:sz w:val="22"/>
                <w:szCs w:val="22"/>
              </w:rPr>
              <w:t>s</w:t>
            </w:r>
            <w:r w:rsidR="002604EB" w:rsidRPr="0084397D">
              <w:rPr>
                <w:sz w:val="22"/>
                <w:szCs w:val="22"/>
              </w:rPr>
              <w:t xml:space="preserve"> and superannuation funds under the </w:t>
            </w:r>
            <w:r w:rsidR="004C111C" w:rsidRPr="0084397D">
              <w:rPr>
                <w:sz w:val="22"/>
                <w:szCs w:val="22"/>
              </w:rPr>
              <w:t>framework</w:t>
            </w:r>
            <w:r w:rsidR="002604EB" w:rsidRPr="0084397D">
              <w:rPr>
                <w:sz w:val="22"/>
                <w:szCs w:val="22"/>
              </w:rPr>
              <w:t>,</w:t>
            </w:r>
            <w:r w:rsidR="004C111C" w:rsidRPr="0084397D">
              <w:rPr>
                <w:sz w:val="22"/>
                <w:szCs w:val="22"/>
              </w:rPr>
              <w:t xml:space="preserve"> </w:t>
            </w:r>
            <w:r w:rsidR="002604EB" w:rsidRPr="0084397D">
              <w:rPr>
                <w:sz w:val="22"/>
                <w:szCs w:val="22"/>
              </w:rPr>
              <w:t xml:space="preserve">including </w:t>
            </w:r>
            <w:r w:rsidR="00D54FF5" w:rsidRPr="0084397D">
              <w:rPr>
                <w:sz w:val="22"/>
                <w:szCs w:val="22"/>
              </w:rPr>
              <w:t xml:space="preserve">to </w:t>
            </w:r>
            <w:r w:rsidRPr="0084397D">
              <w:rPr>
                <w:sz w:val="22"/>
                <w:szCs w:val="22"/>
              </w:rPr>
              <w:t xml:space="preserve">better </w:t>
            </w:r>
            <w:r w:rsidR="001C2065" w:rsidRPr="0084397D">
              <w:rPr>
                <w:sz w:val="22"/>
                <w:szCs w:val="22"/>
              </w:rPr>
              <w:t xml:space="preserve">accommodate </w:t>
            </w:r>
            <w:r w:rsidRPr="0084397D">
              <w:rPr>
                <w:sz w:val="22"/>
                <w:szCs w:val="22"/>
              </w:rPr>
              <w:t>how</w:t>
            </w:r>
            <w:r w:rsidR="002604EB" w:rsidRPr="0084397D">
              <w:rPr>
                <w:sz w:val="22"/>
                <w:szCs w:val="22"/>
              </w:rPr>
              <w:t xml:space="preserve"> </w:t>
            </w:r>
            <w:r w:rsidR="00D1418B" w:rsidRPr="0084397D">
              <w:rPr>
                <w:sz w:val="22"/>
                <w:szCs w:val="22"/>
              </w:rPr>
              <w:t>entities in the financial sector operate and manage their affairs (e.g. interfunding)</w:t>
            </w:r>
            <w:r w:rsidR="004C111C" w:rsidRPr="0084397D">
              <w:rPr>
                <w:sz w:val="22"/>
                <w:szCs w:val="22"/>
              </w:rPr>
              <w:t>;</w:t>
            </w:r>
            <w:r w:rsidR="00C917D4" w:rsidRPr="0084397D">
              <w:rPr>
                <w:sz w:val="22"/>
                <w:szCs w:val="22"/>
              </w:rPr>
              <w:t xml:space="preserve"> and</w:t>
            </w:r>
          </w:p>
          <w:p w14:paraId="42F3F711" w14:textId="4DDB6F22" w:rsidR="00526013" w:rsidRPr="0084397D" w:rsidRDefault="000978B2" w:rsidP="0094197F">
            <w:pPr>
              <w:pStyle w:val="OutlineNumbered1"/>
              <w:numPr>
                <w:ilvl w:val="1"/>
                <w:numId w:val="12"/>
              </w:numPr>
              <w:spacing w:line="259" w:lineRule="auto"/>
              <w:ind w:left="522" w:hanging="522"/>
              <w:rPr>
                <w:sz w:val="22"/>
                <w:szCs w:val="22"/>
              </w:rPr>
            </w:pPr>
            <w:r w:rsidRPr="0084397D">
              <w:rPr>
                <w:sz w:val="22"/>
                <w:szCs w:val="22"/>
              </w:rPr>
              <w:lastRenderedPageBreak/>
              <w:t xml:space="preserve">other opportunities to simplify Australia’s foreign investment </w:t>
            </w:r>
            <w:r w:rsidR="00B236DC" w:rsidRPr="0084397D">
              <w:rPr>
                <w:sz w:val="22"/>
                <w:szCs w:val="22"/>
              </w:rPr>
              <w:t>framework</w:t>
            </w:r>
            <w:r w:rsidR="00DA2AFD" w:rsidRPr="0084397D">
              <w:rPr>
                <w:sz w:val="22"/>
                <w:szCs w:val="22"/>
              </w:rPr>
              <w:t xml:space="preserve"> or reduce regulatory burden</w:t>
            </w:r>
            <w:r w:rsidR="00EC66CA" w:rsidRPr="0084397D">
              <w:rPr>
                <w:sz w:val="22"/>
                <w:szCs w:val="22"/>
              </w:rPr>
              <w:t xml:space="preserve"> while maintaining appropriate safeguards</w:t>
            </w:r>
            <w:r w:rsidRPr="0084397D">
              <w:rPr>
                <w:sz w:val="22"/>
                <w:szCs w:val="22"/>
              </w:rPr>
              <w:t>, in line with the Government’s earlier reform packages.</w:t>
            </w:r>
          </w:p>
        </w:tc>
      </w:tr>
    </w:tbl>
    <w:p w14:paraId="5BEDD135" w14:textId="7D44DE73" w:rsidR="00A709E9" w:rsidRPr="0084397D" w:rsidRDefault="00A709E9" w:rsidP="0094197F">
      <w:pPr>
        <w:pStyle w:val="Heading2"/>
        <w:spacing w:before="240" w:line="460" w:lineRule="exact"/>
      </w:pPr>
      <w:bookmarkStart w:id="15" w:name="_Toc95490530"/>
      <w:r w:rsidRPr="0084397D">
        <w:lastRenderedPageBreak/>
        <w:t xml:space="preserve">2. </w:t>
      </w:r>
      <w:r w:rsidR="00700080" w:rsidRPr="0084397D">
        <w:t>Investments requiring</w:t>
      </w:r>
      <w:r w:rsidRPr="0084397D">
        <w:t xml:space="preserve"> greater scrutiny</w:t>
      </w:r>
      <w:bookmarkEnd w:id="15"/>
    </w:p>
    <w:p w14:paraId="4D7FB984" w14:textId="2B22BBCB" w:rsidR="00A709E9" w:rsidRPr="0084397D" w:rsidRDefault="00A709E9" w:rsidP="00A709E9">
      <w:pPr>
        <w:spacing w:line="259" w:lineRule="auto"/>
      </w:pPr>
      <w:r w:rsidRPr="0084397D">
        <w:t>Australia’s foreign investment framework ha</w:t>
      </w:r>
      <w:r w:rsidR="00624607" w:rsidRPr="0084397D">
        <w:t>s</w:t>
      </w:r>
      <w:r w:rsidRPr="0084397D">
        <w:t xml:space="preserve"> </w:t>
      </w:r>
      <w:r w:rsidR="00675B34" w:rsidRPr="0084397D">
        <w:t>developed</w:t>
      </w:r>
      <w:r w:rsidRPr="0084397D">
        <w:t xml:space="preserve"> </w:t>
      </w:r>
      <w:r w:rsidR="00C54FA6" w:rsidRPr="0084397D">
        <w:t xml:space="preserve">over time </w:t>
      </w:r>
      <w:r w:rsidRPr="0084397D">
        <w:t xml:space="preserve">to </w:t>
      </w:r>
      <w:r w:rsidR="00C54FA6" w:rsidRPr="0084397D">
        <w:t xml:space="preserve">better </w:t>
      </w:r>
      <w:r w:rsidR="00624607" w:rsidRPr="0084397D">
        <w:t>manage risks to</w:t>
      </w:r>
      <w:r w:rsidRPr="0084397D">
        <w:t xml:space="preserve"> the national interest, including national security</w:t>
      </w:r>
      <w:r w:rsidR="00C83F3A" w:rsidRPr="0084397D">
        <w:t xml:space="preserve">, and </w:t>
      </w:r>
      <w:r w:rsidR="00C954DF" w:rsidRPr="0084397D">
        <w:t xml:space="preserve">to address public concerns about </w:t>
      </w:r>
      <w:r w:rsidR="00C83F3A" w:rsidRPr="0084397D">
        <w:t>foreign investment</w:t>
      </w:r>
      <w:r w:rsidRPr="0084397D">
        <w:t xml:space="preserve">. </w:t>
      </w:r>
      <w:r w:rsidR="00C54FA6" w:rsidRPr="0084397D">
        <w:t>For example, the most recent</w:t>
      </w:r>
      <w:r w:rsidRPr="0084397D">
        <w:t xml:space="preserve"> reforms</w:t>
      </w:r>
      <w:r w:rsidR="000E148A" w:rsidRPr="0084397D">
        <w:t xml:space="preserve"> were </w:t>
      </w:r>
      <w:r w:rsidR="00DC4D45" w:rsidRPr="0084397D">
        <w:t>a response to a recognition, in Australia and around the world, that</w:t>
      </w:r>
      <w:r w:rsidRPr="0084397D">
        <w:t xml:space="preserve"> </w:t>
      </w:r>
      <w:r w:rsidR="000E148A" w:rsidRPr="0084397D">
        <w:t xml:space="preserve">changes in </w:t>
      </w:r>
      <w:r w:rsidRPr="0084397D">
        <w:t>technolog</w:t>
      </w:r>
      <w:r w:rsidR="00DC4D45" w:rsidRPr="0084397D">
        <w:t>y</w:t>
      </w:r>
      <w:r w:rsidRPr="0084397D">
        <w:t xml:space="preserve"> and </w:t>
      </w:r>
      <w:r w:rsidR="000E148A" w:rsidRPr="0084397D">
        <w:t xml:space="preserve">the </w:t>
      </w:r>
      <w:r w:rsidRPr="0084397D">
        <w:t>international security environment</w:t>
      </w:r>
      <w:r w:rsidR="00DC4D45" w:rsidRPr="0084397D">
        <w:t xml:space="preserve"> </w:t>
      </w:r>
      <w:r w:rsidR="000E148A" w:rsidRPr="0084397D">
        <w:t>have increased</w:t>
      </w:r>
      <w:r w:rsidR="00DC4D45" w:rsidRPr="0084397D">
        <w:t xml:space="preserve"> the national security risks associated with foreign investment.</w:t>
      </w:r>
    </w:p>
    <w:p w14:paraId="3FB7B51F" w14:textId="370C9A23" w:rsidR="00EF72DE" w:rsidRPr="0084397D" w:rsidRDefault="00C954DF" w:rsidP="00A709E9">
      <w:pPr>
        <w:spacing w:line="259" w:lineRule="auto"/>
      </w:pPr>
      <w:r w:rsidRPr="0084397D">
        <w:t xml:space="preserve">It is important the framework continues to </w:t>
      </w:r>
      <w:r w:rsidR="00675B34" w:rsidRPr="0084397D">
        <w:t xml:space="preserve">evolve in response to </w:t>
      </w:r>
      <w:r w:rsidR="009427B2" w:rsidRPr="0084397D">
        <w:t>domestic and global</w:t>
      </w:r>
      <w:r w:rsidR="00675B34" w:rsidRPr="0084397D">
        <w:t xml:space="preserve"> developments </w:t>
      </w:r>
      <w:r w:rsidR="009427B2" w:rsidRPr="0084397D">
        <w:t>and to ensure it continues to achieve an appropriate balance between attracting foreign investment and managing risks.</w:t>
      </w:r>
      <w:r w:rsidR="00675B34" w:rsidRPr="0084397D">
        <w:t xml:space="preserve">  </w:t>
      </w:r>
    </w:p>
    <w:p w14:paraId="0944B448" w14:textId="6CE47F35" w:rsidR="00B9042B" w:rsidRPr="0084397D" w:rsidRDefault="009427B2" w:rsidP="00A709E9">
      <w:pPr>
        <w:spacing w:line="259" w:lineRule="auto"/>
      </w:pPr>
      <w:r w:rsidRPr="0084397D">
        <w:t xml:space="preserve">In this context, </w:t>
      </w:r>
      <w:r w:rsidR="00406ECA" w:rsidRPr="0084397D">
        <w:t>one</w:t>
      </w:r>
      <w:r w:rsidR="000B6333" w:rsidRPr="0084397D">
        <w:t xml:space="preserve"> </w:t>
      </w:r>
      <w:r w:rsidR="00E900DE" w:rsidRPr="0084397D">
        <w:t>issue</w:t>
      </w:r>
      <w:r w:rsidRPr="0084397D">
        <w:t xml:space="preserve"> that warrants consideration </w:t>
      </w:r>
      <w:r w:rsidR="00E900DE" w:rsidRPr="0084397D">
        <w:t xml:space="preserve">is </w:t>
      </w:r>
      <w:r w:rsidR="00065316" w:rsidRPr="0084397D">
        <w:t>f</w:t>
      </w:r>
      <w:r w:rsidR="006F2C0A" w:rsidRPr="0084397D">
        <w:t>oreign</w:t>
      </w:r>
      <w:r w:rsidR="00A709E9" w:rsidRPr="0084397D">
        <w:t xml:space="preserve"> acquisitions of rural water entitlements</w:t>
      </w:r>
      <w:r w:rsidR="00E900DE" w:rsidRPr="0084397D">
        <w:t xml:space="preserve">. </w:t>
      </w:r>
      <w:r w:rsidR="000F11A9">
        <w:t>T</w:t>
      </w:r>
      <w:r w:rsidR="00A34A11" w:rsidRPr="0084397D">
        <w:t xml:space="preserve">hese </w:t>
      </w:r>
      <w:r w:rsidR="00E900DE" w:rsidRPr="0084397D">
        <w:t>acquisitions</w:t>
      </w:r>
      <w:r w:rsidR="00A709E9" w:rsidRPr="0084397D">
        <w:t xml:space="preserve"> </w:t>
      </w:r>
      <w:r w:rsidR="00E900DE" w:rsidRPr="0084397D">
        <w:t>are</w:t>
      </w:r>
      <w:r w:rsidR="00A709E9" w:rsidRPr="0084397D">
        <w:t xml:space="preserve"> </w:t>
      </w:r>
      <w:r w:rsidR="00E900DE" w:rsidRPr="0084397D">
        <w:t>generally</w:t>
      </w:r>
      <w:r w:rsidR="00A709E9" w:rsidRPr="0084397D">
        <w:t xml:space="preserve"> not </w:t>
      </w:r>
      <w:r w:rsidR="005E506D" w:rsidRPr="0084397D">
        <w:t xml:space="preserve">subject to </w:t>
      </w:r>
      <w:r w:rsidR="00A709E9" w:rsidRPr="0084397D">
        <w:t xml:space="preserve">foreign investment </w:t>
      </w:r>
      <w:r w:rsidR="005E506D" w:rsidRPr="0084397D">
        <w:t>screening</w:t>
      </w:r>
      <w:r w:rsidR="00A709E9" w:rsidRPr="0084397D">
        <w:t xml:space="preserve">, unless tied to a land or business transaction that </w:t>
      </w:r>
      <w:r w:rsidR="005E506D" w:rsidRPr="0084397D">
        <w:t>require</w:t>
      </w:r>
      <w:r w:rsidR="00B9042B" w:rsidRPr="0084397D">
        <w:t>s</w:t>
      </w:r>
      <w:r w:rsidR="005E506D" w:rsidRPr="0084397D">
        <w:t xml:space="preserve"> foreign investment approval</w:t>
      </w:r>
      <w:r w:rsidR="006F2C0A" w:rsidRPr="0084397D">
        <w:t>.</w:t>
      </w:r>
      <w:r w:rsidR="005E506D" w:rsidRPr="0084397D">
        <w:t xml:space="preserve"> </w:t>
      </w:r>
      <w:r w:rsidR="00D76D7D" w:rsidRPr="0084397D">
        <w:t xml:space="preserve">These acquisitions </w:t>
      </w:r>
      <w:r w:rsidR="00224ED3" w:rsidRPr="0084397D">
        <w:t>do</w:t>
      </w:r>
      <w:r w:rsidR="00D76D7D" w:rsidRPr="0084397D">
        <w:t xml:space="preserve"> however</w:t>
      </w:r>
      <w:r w:rsidR="003F7115" w:rsidRPr="0084397D">
        <w:t xml:space="preserve"> </w:t>
      </w:r>
      <w:r w:rsidR="00224ED3" w:rsidRPr="0084397D">
        <w:t xml:space="preserve">need to </w:t>
      </w:r>
      <w:r w:rsidR="00D76D7D" w:rsidRPr="0084397D">
        <w:t>be reported to</w:t>
      </w:r>
      <w:r w:rsidR="00B901CF" w:rsidRPr="0084397D">
        <w:t xml:space="preserve"> </w:t>
      </w:r>
      <w:r w:rsidR="00D76D7D" w:rsidRPr="0084397D">
        <w:t xml:space="preserve">the </w:t>
      </w:r>
      <w:r w:rsidR="003F7115" w:rsidRPr="0084397D">
        <w:t xml:space="preserve">Government’s </w:t>
      </w:r>
      <w:r w:rsidR="00B901CF" w:rsidRPr="0084397D">
        <w:t>Register of Foreign Ownership of Water Entitlements</w:t>
      </w:r>
      <w:r w:rsidR="00EF1481" w:rsidRPr="0084397D">
        <w:t xml:space="preserve"> (the Water Register)</w:t>
      </w:r>
      <w:r w:rsidR="004E4BBF">
        <w:t>. As at June 2020,</w:t>
      </w:r>
      <w:bookmarkStart w:id="16" w:name="_Hlk94268238"/>
      <w:r w:rsidR="003825A9" w:rsidRPr="0084397D">
        <w:t xml:space="preserve"> 1</w:t>
      </w:r>
      <w:r w:rsidR="002959B4" w:rsidRPr="0084397D">
        <w:t>0</w:t>
      </w:r>
      <w:r w:rsidR="003825A9" w:rsidRPr="0084397D">
        <w:t>.</w:t>
      </w:r>
      <w:r w:rsidR="002959B4" w:rsidRPr="0084397D">
        <w:t>9</w:t>
      </w:r>
      <w:r w:rsidR="00B901CF" w:rsidRPr="0084397D">
        <w:t> </w:t>
      </w:r>
      <w:r w:rsidR="003825A9" w:rsidRPr="0084397D">
        <w:t>per</w:t>
      </w:r>
      <w:r w:rsidR="00AB7254" w:rsidRPr="0084397D">
        <w:t> </w:t>
      </w:r>
      <w:r w:rsidR="003825A9" w:rsidRPr="0084397D">
        <w:t xml:space="preserve">cent of Australian water entitlements </w:t>
      </w:r>
      <w:r w:rsidR="00B75206">
        <w:t>had</w:t>
      </w:r>
      <w:r w:rsidR="003825A9" w:rsidRPr="0084397D">
        <w:t xml:space="preserve"> a level of foreign ownership</w:t>
      </w:r>
      <w:bookmarkEnd w:id="16"/>
      <w:r w:rsidR="003825A9" w:rsidRPr="0084397D">
        <w:t>.</w:t>
      </w:r>
      <w:r w:rsidR="003825A9" w:rsidRPr="0084397D">
        <w:rPr>
          <w:rStyle w:val="FootnoteReference"/>
        </w:rPr>
        <w:footnoteReference w:id="4"/>
      </w:r>
      <w:r w:rsidR="003F7115" w:rsidRPr="0084397D">
        <w:t xml:space="preserve"> </w:t>
      </w:r>
    </w:p>
    <w:p w14:paraId="37FCDFEF" w14:textId="2943730E" w:rsidR="00A709E9" w:rsidRPr="0084397D" w:rsidRDefault="005E506D" w:rsidP="001C73EF">
      <w:pPr>
        <w:spacing w:after="180" w:line="259" w:lineRule="auto"/>
      </w:pPr>
      <w:r w:rsidRPr="0084397D">
        <w:t>A</w:t>
      </w:r>
      <w:r w:rsidR="00065316" w:rsidRPr="0084397D">
        <w:t xml:space="preserve">s </w:t>
      </w:r>
      <w:r w:rsidR="00EF72DE" w:rsidRPr="0084397D">
        <w:t xml:space="preserve">other regulatory regimes </w:t>
      </w:r>
      <w:r w:rsidR="000B01B7" w:rsidRPr="0084397D">
        <w:t>update</w:t>
      </w:r>
      <w:r w:rsidR="00EF72DE" w:rsidRPr="0084397D">
        <w:t xml:space="preserve"> their treatment of </w:t>
      </w:r>
      <w:r w:rsidR="00065316" w:rsidRPr="0084397D">
        <w:t>a</w:t>
      </w:r>
      <w:r w:rsidR="006F2C0A" w:rsidRPr="0084397D">
        <w:t>ssets like water entitlements</w:t>
      </w:r>
      <w:r w:rsidR="00804CA7" w:rsidRPr="0084397D">
        <w:t xml:space="preserve"> accordingly</w:t>
      </w:r>
      <w:r w:rsidR="006F2C0A" w:rsidRPr="0084397D">
        <w:t>,</w:t>
      </w:r>
      <w:r w:rsidR="006F2C0A" w:rsidRPr="0084397D">
        <w:rPr>
          <w:rStyle w:val="FootnoteReference"/>
        </w:rPr>
        <w:footnoteReference w:id="5"/>
      </w:r>
      <w:r w:rsidR="006F2C0A" w:rsidRPr="0084397D">
        <w:t xml:space="preserve"> </w:t>
      </w:r>
      <w:r w:rsidRPr="0084397D">
        <w:t>it is timely</w:t>
      </w:r>
      <w:r w:rsidR="00A34A11" w:rsidRPr="0084397D">
        <w:t xml:space="preserve"> to consider whethe</w:t>
      </w:r>
      <w:r w:rsidRPr="0084397D">
        <w:t xml:space="preserve">r acquisitions of rural water entitlements </w:t>
      </w:r>
      <w:r w:rsidR="00B9042B" w:rsidRPr="0084397D">
        <w:t xml:space="preserve">or other areas </w:t>
      </w:r>
      <w:r w:rsidRPr="0084397D">
        <w:t xml:space="preserve">should be subject to greater scrutiny under the foreign investment framework. </w:t>
      </w:r>
    </w:p>
    <w:tbl>
      <w:tblPr>
        <w:tblStyle w:val="TableGrid"/>
        <w:tblW w:w="5000" w:type="pct"/>
        <w:tblBorders>
          <w:bottom w:val="single" w:sz="12" w:space="0" w:color="336E98"/>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A709E9" w:rsidRPr="0084397D" w14:paraId="18AFD532" w14:textId="77777777" w:rsidTr="00C727A5">
        <w:tc>
          <w:tcPr>
            <w:tcW w:w="5000" w:type="pct"/>
            <w:shd w:val="clear" w:color="auto" w:fill="F2F2F2" w:themeFill="background1" w:themeFillShade="F2"/>
          </w:tcPr>
          <w:p w14:paraId="7B27ABA3" w14:textId="77777777" w:rsidR="00A709E9" w:rsidRPr="0084397D" w:rsidRDefault="00A709E9" w:rsidP="0094197F">
            <w:pPr>
              <w:pStyle w:val="BoxHeading"/>
              <w:keepNext w:val="0"/>
              <w:spacing w:before="0"/>
              <w:rPr>
                <w:sz w:val="28"/>
                <w:szCs w:val="28"/>
                <w:lang w:eastAsia="en-US"/>
              </w:rPr>
            </w:pPr>
            <w:r w:rsidRPr="0084397D">
              <w:rPr>
                <w:sz w:val="28"/>
                <w:szCs w:val="28"/>
                <w:lang w:eastAsia="en-US"/>
              </w:rPr>
              <w:t>Consultation questions</w:t>
            </w:r>
          </w:p>
          <w:p w14:paraId="3BF087EC" w14:textId="77777777" w:rsidR="00A709E9" w:rsidRPr="0084397D" w:rsidRDefault="00A709E9" w:rsidP="0094197F">
            <w:pPr>
              <w:pStyle w:val="BoxText"/>
              <w:spacing w:line="259" w:lineRule="auto"/>
              <w:rPr>
                <w:sz w:val="22"/>
                <w:szCs w:val="22"/>
              </w:rPr>
            </w:pPr>
            <w:r w:rsidRPr="0084397D">
              <w:rPr>
                <w:sz w:val="22"/>
                <w:szCs w:val="22"/>
              </w:rPr>
              <w:t>To help inform the Government’s consideration of further foreign investment reform options, the Treasury is interested in hearing from stakeholders with regards to:</w:t>
            </w:r>
          </w:p>
          <w:p w14:paraId="159B3E61" w14:textId="399934B9" w:rsidR="00A709E9" w:rsidRPr="0084397D" w:rsidRDefault="00A709E9" w:rsidP="0094197F">
            <w:pPr>
              <w:pStyle w:val="OutlineNumbered1"/>
              <w:numPr>
                <w:ilvl w:val="1"/>
                <w:numId w:val="13"/>
              </w:numPr>
              <w:spacing w:line="259" w:lineRule="auto"/>
              <w:ind w:left="522" w:hanging="522"/>
              <w:rPr>
                <w:sz w:val="22"/>
                <w:szCs w:val="22"/>
              </w:rPr>
            </w:pPr>
            <w:r w:rsidRPr="0084397D">
              <w:rPr>
                <w:sz w:val="22"/>
                <w:szCs w:val="22"/>
              </w:rPr>
              <w:t xml:space="preserve">whether foreign investors should be required to obtain foreign investment approval before acquiring rural water entitlements, and if so, how this new policy </w:t>
            </w:r>
            <w:r w:rsidR="00EF72DE" w:rsidRPr="0084397D">
              <w:rPr>
                <w:sz w:val="22"/>
                <w:szCs w:val="22"/>
              </w:rPr>
              <w:t xml:space="preserve">should </w:t>
            </w:r>
            <w:r w:rsidRPr="0084397D">
              <w:rPr>
                <w:sz w:val="22"/>
                <w:szCs w:val="22"/>
              </w:rPr>
              <w:t>be designed;</w:t>
            </w:r>
            <w:r w:rsidR="00365EC5" w:rsidRPr="0084397D">
              <w:rPr>
                <w:sz w:val="22"/>
                <w:szCs w:val="22"/>
              </w:rPr>
              <w:t xml:space="preserve"> and</w:t>
            </w:r>
          </w:p>
          <w:p w14:paraId="58282F6A" w14:textId="77777777" w:rsidR="00A709E9" w:rsidRPr="0084397D" w:rsidRDefault="00A709E9" w:rsidP="0094197F">
            <w:pPr>
              <w:pStyle w:val="OutlineNumbered1"/>
              <w:numPr>
                <w:ilvl w:val="1"/>
                <w:numId w:val="13"/>
              </w:numPr>
              <w:spacing w:line="259" w:lineRule="auto"/>
              <w:ind w:left="522" w:hanging="522"/>
              <w:rPr>
                <w:sz w:val="22"/>
                <w:szCs w:val="22"/>
              </w:rPr>
            </w:pPr>
            <w:r w:rsidRPr="0084397D">
              <w:rPr>
                <w:sz w:val="22"/>
                <w:szCs w:val="22"/>
              </w:rPr>
              <w:t>whether there are other types of foreign investment that warrant greater scrutiny under Australia’s foreign investment framework.</w:t>
            </w:r>
          </w:p>
        </w:tc>
      </w:tr>
    </w:tbl>
    <w:p w14:paraId="72BAC302" w14:textId="07FE6BA5" w:rsidR="00590392" w:rsidRPr="0084397D" w:rsidRDefault="00A709E9" w:rsidP="0094197F">
      <w:pPr>
        <w:pStyle w:val="Heading2"/>
        <w:spacing w:before="240" w:line="460" w:lineRule="exact"/>
      </w:pPr>
      <w:bookmarkStart w:id="17" w:name="_Toc95490531"/>
      <w:r w:rsidRPr="0084397D">
        <w:t>3</w:t>
      </w:r>
      <w:r w:rsidR="0069568F" w:rsidRPr="0084397D">
        <w:t xml:space="preserve">. </w:t>
      </w:r>
      <w:r w:rsidR="00590392" w:rsidRPr="0084397D">
        <w:t>Exemption certificates</w:t>
      </w:r>
      <w:bookmarkEnd w:id="17"/>
    </w:p>
    <w:p w14:paraId="5C96DD9A" w14:textId="4E0399AC" w:rsidR="009657BB" w:rsidRPr="0084397D" w:rsidRDefault="009657BB" w:rsidP="00AA3DB8">
      <w:pPr>
        <w:spacing w:line="259" w:lineRule="auto"/>
      </w:pPr>
      <w:r w:rsidRPr="0084397D">
        <w:t xml:space="preserve">Exemption certificates are intended to reduce regulatory burden by enabling </w:t>
      </w:r>
      <w:r w:rsidR="00CA2BBA" w:rsidRPr="0084397D">
        <w:t>foreign investors</w:t>
      </w:r>
      <w:r w:rsidRPr="0084397D">
        <w:t xml:space="preserve"> to obtain up-front approval for a program of lower</w:t>
      </w:r>
      <w:r w:rsidR="00234A43" w:rsidRPr="0084397D">
        <w:noBreakHyphen/>
      </w:r>
      <w:r w:rsidRPr="0084397D">
        <w:t xml:space="preserve">risk investments over a </w:t>
      </w:r>
      <w:r w:rsidR="00B03DA9" w:rsidRPr="0084397D">
        <w:t>specified period</w:t>
      </w:r>
      <w:r w:rsidRPr="0084397D">
        <w:t xml:space="preserve">, rather than </w:t>
      </w:r>
      <w:r w:rsidR="007A297A" w:rsidRPr="0084397D">
        <w:t xml:space="preserve">seeking separate approval for each </w:t>
      </w:r>
      <w:r w:rsidRPr="0084397D">
        <w:t>investment.</w:t>
      </w:r>
    </w:p>
    <w:p w14:paraId="192B79A0" w14:textId="6B2C0EF0" w:rsidR="00694113" w:rsidRPr="0084397D" w:rsidRDefault="000B6E86" w:rsidP="00694113">
      <w:pPr>
        <w:spacing w:line="259" w:lineRule="auto"/>
      </w:pPr>
      <w:r w:rsidRPr="0084397D">
        <w:lastRenderedPageBreak/>
        <w:t>Broadly speaking, t</w:t>
      </w:r>
      <w:r w:rsidR="00694113" w:rsidRPr="0084397D">
        <w:t xml:space="preserve">here are five types of exemption certificates available: (1) business and entities certificates; (2) Australian land certificates; (3) exploration tenements and interests in mining, production and exploration entities certificates; (4) national security-related certificates; and (5) passive foreign government investor certificates. </w:t>
      </w:r>
    </w:p>
    <w:p w14:paraId="6EBFBA3A" w14:textId="0AEB0047" w:rsidR="00DA1BA5" w:rsidRPr="0084397D" w:rsidRDefault="00B339BE" w:rsidP="00DA1BA5">
      <w:pPr>
        <w:spacing w:line="259" w:lineRule="auto"/>
      </w:pPr>
      <w:r w:rsidRPr="0084397D">
        <w:t>E</w:t>
      </w:r>
      <w:r w:rsidR="002557A7" w:rsidRPr="0084397D">
        <w:t xml:space="preserve">xemption certificates provide efficiency benefits for investors as well as the Government. </w:t>
      </w:r>
      <w:r w:rsidR="00BE3E26" w:rsidRPr="0084397D">
        <w:t xml:space="preserve">However, </w:t>
      </w:r>
      <w:r w:rsidR="000B6E86" w:rsidRPr="0084397D">
        <w:t>in recognition that</w:t>
      </w:r>
      <w:r w:rsidR="00BE3E26" w:rsidRPr="0084397D">
        <w:t xml:space="preserve"> the Government cannot scrutinise the particular circumstances of each investment made under </w:t>
      </w:r>
      <w:r w:rsidR="006E4FF6" w:rsidRPr="0084397D">
        <w:t>them</w:t>
      </w:r>
      <w:r w:rsidR="00983197" w:rsidRPr="0084397D">
        <w:t xml:space="preserve">, </w:t>
      </w:r>
      <w:r w:rsidR="00BE3E26" w:rsidRPr="0084397D">
        <w:t>exemption certificate</w:t>
      </w:r>
      <w:r w:rsidR="006E4FF6" w:rsidRPr="0084397D">
        <w:t>s are</w:t>
      </w:r>
      <w:r w:rsidR="00BE3E26" w:rsidRPr="0084397D">
        <w:t xml:space="preserve"> typically granted subject to </w:t>
      </w:r>
      <w:r w:rsidR="006E4FF6" w:rsidRPr="0084397D">
        <w:t>defined</w:t>
      </w:r>
      <w:r w:rsidR="00BE3E26" w:rsidRPr="0084397D">
        <w:t xml:space="preserve"> timeframes, transaction limits and conditions</w:t>
      </w:r>
      <w:r w:rsidR="00F11C91" w:rsidRPr="0084397D">
        <w:t xml:space="preserve">. </w:t>
      </w:r>
      <w:r w:rsidR="00CD6433" w:rsidRPr="0084397D">
        <w:t>Finding 5 of t</w:t>
      </w:r>
      <w:r w:rsidR="00DA1BA5" w:rsidRPr="0084397D">
        <w:t xml:space="preserve">he Evaluation </w:t>
      </w:r>
      <w:r w:rsidR="00CD6433" w:rsidRPr="0084397D">
        <w:t xml:space="preserve">noted </w:t>
      </w:r>
      <w:r w:rsidR="00DA1BA5" w:rsidRPr="0084397D">
        <w:t xml:space="preserve">that investors </w:t>
      </w:r>
      <w:r w:rsidR="00983197" w:rsidRPr="0084397D">
        <w:t>w</w:t>
      </w:r>
      <w:r w:rsidR="000B6E86" w:rsidRPr="0084397D">
        <w:t>ould like</w:t>
      </w:r>
      <w:r w:rsidR="00983197" w:rsidRPr="0084397D">
        <w:t xml:space="preserve"> to</w:t>
      </w:r>
      <w:r w:rsidR="00DA1BA5" w:rsidRPr="0084397D">
        <w:t xml:space="preserve"> maximise the benefits that all types of exemption certificate</w:t>
      </w:r>
      <w:r w:rsidR="007D2A26" w:rsidRPr="0084397D">
        <w:t>s</w:t>
      </w:r>
      <w:r w:rsidR="003744F8" w:rsidRPr="0084397D">
        <w:t xml:space="preserve"> under the framework</w:t>
      </w:r>
      <w:r w:rsidR="00DA1BA5" w:rsidRPr="0084397D">
        <w:t xml:space="preserve"> can provide</w:t>
      </w:r>
      <w:r w:rsidR="00CD6433" w:rsidRPr="0084397D">
        <w:t>.</w:t>
      </w:r>
    </w:p>
    <w:p w14:paraId="66CACE9B" w14:textId="07B4335E" w:rsidR="002A1E36" w:rsidRPr="0084397D" w:rsidRDefault="00F06AB3" w:rsidP="00EC77B4">
      <w:pPr>
        <w:spacing w:line="259" w:lineRule="auto"/>
      </w:pPr>
      <w:r w:rsidRPr="0084397D">
        <w:t xml:space="preserve">The </w:t>
      </w:r>
      <w:r w:rsidR="002A1E36" w:rsidRPr="0084397D">
        <w:t xml:space="preserve">Treasury is aware </w:t>
      </w:r>
      <w:r w:rsidR="00ED3F95" w:rsidRPr="0084397D">
        <w:t>of s</w:t>
      </w:r>
      <w:r w:rsidR="00121936" w:rsidRPr="0084397D">
        <w:t xml:space="preserve">ome </w:t>
      </w:r>
      <w:r w:rsidR="002A1E36" w:rsidRPr="0084397D">
        <w:t>investors seeking to expand the terms under which exemption certificates are approved. For example, some investors have sought:</w:t>
      </w:r>
    </w:p>
    <w:p w14:paraId="0D64F444" w14:textId="19B32B78" w:rsidR="002A1E36" w:rsidRPr="0084397D" w:rsidRDefault="002A1E36" w:rsidP="00EC77B4">
      <w:pPr>
        <w:pStyle w:val="Bullet"/>
        <w:spacing w:line="259" w:lineRule="auto"/>
        <w:ind w:left="284" w:hanging="284"/>
      </w:pPr>
      <w:r w:rsidRPr="0084397D">
        <w:t xml:space="preserve">larger financial limits; </w:t>
      </w:r>
    </w:p>
    <w:p w14:paraId="74FB9404" w14:textId="77777777" w:rsidR="002A1E36" w:rsidRPr="0084397D" w:rsidRDefault="002A1E36" w:rsidP="00EC77B4">
      <w:pPr>
        <w:pStyle w:val="Bullet"/>
        <w:spacing w:line="259" w:lineRule="auto"/>
        <w:ind w:left="284" w:hanging="284"/>
      </w:pPr>
      <w:r w:rsidRPr="0084397D">
        <w:t>greater flexibility, including in scope and permitted purpose;</w:t>
      </w:r>
    </w:p>
    <w:p w14:paraId="726A49F2" w14:textId="77777777" w:rsidR="002A1E36" w:rsidRPr="0084397D" w:rsidRDefault="002A1E36" w:rsidP="00EC77B4">
      <w:pPr>
        <w:pStyle w:val="Bullet"/>
        <w:spacing w:line="259" w:lineRule="auto"/>
        <w:ind w:left="284" w:hanging="284"/>
      </w:pPr>
      <w:r w:rsidRPr="0084397D">
        <w:t xml:space="preserve">longer acquisition periods to execute investments; and </w:t>
      </w:r>
    </w:p>
    <w:p w14:paraId="72A3C9B7" w14:textId="6251D3AC" w:rsidR="002A1E36" w:rsidRPr="0084397D" w:rsidRDefault="002A1E36" w:rsidP="00EC77B4">
      <w:pPr>
        <w:pStyle w:val="Bullet"/>
        <w:spacing w:line="259" w:lineRule="auto"/>
        <w:ind w:left="284" w:hanging="284"/>
      </w:pPr>
      <w:r w:rsidRPr="0084397D">
        <w:t xml:space="preserve">lower average </w:t>
      </w:r>
      <w:r w:rsidR="007D2A26" w:rsidRPr="0084397D">
        <w:t>screening</w:t>
      </w:r>
      <w:r w:rsidRPr="0084397D">
        <w:t xml:space="preserve"> times for exemption certificates. </w:t>
      </w:r>
    </w:p>
    <w:p w14:paraId="2D672538" w14:textId="1E7850E0" w:rsidR="0067631C" w:rsidRPr="0084397D" w:rsidRDefault="0067631C" w:rsidP="00EC77B4">
      <w:pPr>
        <w:pStyle w:val="Bullet"/>
        <w:numPr>
          <w:ilvl w:val="0"/>
          <w:numId w:val="0"/>
        </w:numPr>
        <w:spacing w:line="259" w:lineRule="auto"/>
      </w:pPr>
      <w:r w:rsidRPr="0084397D">
        <w:t xml:space="preserve">The Summary </w:t>
      </w:r>
      <w:r w:rsidR="00F74F61" w:rsidRPr="0084397D">
        <w:t>B</w:t>
      </w:r>
      <w:r w:rsidRPr="0084397D">
        <w:t>ooklet that accompanied the announcement of the recent reforms signalled the introduction of an investor-specific exemption certificate.</w:t>
      </w:r>
      <w:r w:rsidRPr="0084397D">
        <w:rPr>
          <w:rStyle w:val="FootnoteReference"/>
        </w:rPr>
        <w:footnoteReference w:id="6"/>
      </w:r>
      <w:r w:rsidRPr="0084397D">
        <w:t xml:space="preserve"> </w:t>
      </w:r>
      <w:r w:rsidR="008F1BCF" w:rsidRPr="0084397D">
        <w:t>I</w:t>
      </w:r>
      <w:r w:rsidRPr="0084397D">
        <w:t>t was judged</w:t>
      </w:r>
      <w:r w:rsidR="008F1BCF" w:rsidRPr="0084397D">
        <w:t xml:space="preserve"> at that time</w:t>
      </w:r>
      <w:r w:rsidRPr="0084397D">
        <w:t xml:space="preserve"> that the policy intent </w:t>
      </w:r>
      <w:r w:rsidR="000B6E86" w:rsidRPr="0084397D">
        <w:t xml:space="preserve">of these types of exemption certificates </w:t>
      </w:r>
      <w:r w:rsidRPr="0084397D">
        <w:t>could be achieved by using the mix of existing exemption certificates</w:t>
      </w:r>
      <w:r w:rsidR="009234C2" w:rsidRPr="0084397D">
        <w:t xml:space="preserve">. </w:t>
      </w:r>
      <w:r w:rsidR="008F1BCF" w:rsidRPr="0084397D">
        <w:t xml:space="preserve">We would welcome the views of </w:t>
      </w:r>
      <w:r w:rsidR="009234C2" w:rsidRPr="0084397D">
        <w:t xml:space="preserve">Investors </w:t>
      </w:r>
      <w:r w:rsidR="008F1BCF" w:rsidRPr="0084397D">
        <w:t xml:space="preserve">in their experiences of using exemption certificates in this context. </w:t>
      </w:r>
    </w:p>
    <w:p w14:paraId="5F6F777B" w14:textId="051C3843" w:rsidR="002A1E36" w:rsidRPr="0084397D" w:rsidRDefault="006C0587" w:rsidP="001C73EF">
      <w:pPr>
        <w:pStyle w:val="Bullet"/>
        <w:numPr>
          <w:ilvl w:val="0"/>
          <w:numId w:val="0"/>
        </w:numPr>
        <w:spacing w:after="180" w:line="259" w:lineRule="auto"/>
      </w:pPr>
      <w:r w:rsidRPr="0084397D">
        <w:t>In light of the above, t</w:t>
      </w:r>
      <w:r w:rsidR="00300E2F" w:rsidRPr="0084397D">
        <w:t>here may be</w:t>
      </w:r>
      <w:r w:rsidR="00397CEF" w:rsidRPr="0084397D">
        <w:t xml:space="preserve"> </w:t>
      </w:r>
      <w:r w:rsidR="00300E2F" w:rsidRPr="0084397D">
        <w:t xml:space="preserve">opportunities </w:t>
      </w:r>
      <w:r w:rsidR="00397CEF" w:rsidRPr="0084397D">
        <w:t>to consider</w:t>
      </w:r>
      <w:r w:rsidR="00300E2F" w:rsidRPr="0084397D">
        <w:t xml:space="preserve"> </w:t>
      </w:r>
      <w:r w:rsidR="00397CEF" w:rsidRPr="0084397D">
        <w:t xml:space="preserve">further </w:t>
      </w:r>
      <w:r w:rsidR="00300E2F" w:rsidRPr="0084397D">
        <w:t>refinements</w:t>
      </w:r>
      <w:r w:rsidR="00A23419" w:rsidRPr="0084397D">
        <w:t xml:space="preserve">, including expanding the exemption certificate framework to </w:t>
      </w:r>
      <w:r w:rsidR="00DF44E3" w:rsidRPr="0084397D">
        <w:t>provide</w:t>
      </w:r>
      <w:r w:rsidR="0067631C" w:rsidRPr="0084397D">
        <w:t xml:space="preserve"> for</w:t>
      </w:r>
      <w:r w:rsidR="00DF44E3" w:rsidRPr="0084397D">
        <w:t xml:space="preserve"> </w:t>
      </w:r>
      <w:r w:rsidR="0067631C" w:rsidRPr="0084397D">
        <w:t>a</w:t>
      </w:r>
      <w:r w:rsidR="00121936" w:rsidRPr="0084397D">
        <w:t xml:space="preserve"> </w:t>
      </w:r>
      <w:r w:rsidR="00A23419" w:rsidRPr="0084397D">
        <w:t xml:space="preserve">more nuanced </w:t>
      </w:r>
      <w:r w:rsidR="00121936" w:rsidRPr="0084397D">
        <w:t>treatment of investors</w:t>
      </w:r>
      <w:r w:rsidR="00132F64" w:rsidRPr="0084397D">
        <w:t>, such as to specifically exclude certain legislative provisions from applying to a particular investor</w:t>
      </w:r>
      <w:r w:rsidR="00121936" w:rsidRPr="0084397D">
        <w:t xml:space="preserve">. </w:t>
      </w:r>
    </w:p>
    <w:tbl>
      <w:tblPr>
        <w:tblStyle w:val="TableGrid"/>
        <w:tblW w:w="5000" w:type="pct"/>
        <w:tblBorders>
          <w:bottom w:val="single" w:sz="12" w:space="0" w:color="336E98"/>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0E5495" w:rsidRPr="0084397D" w14:paraId="66DA66E7" w14:textId="77777777" w:rsidTr="00473C33">
        <w:tc>
          <w:tcPr>
            <w:tcW w:w="5000" w:type="pct"/>
            <w:shd w:val="clear" w:color="auto" w:fill="F2F2F2" w:themeFill="background1" w:themeFillShade="F2"/>
          </w:tcPr>
          <w:p w14:paraId="422CB740" w14:textId="77777777" w:rsidR="000E5495" w:rsidRPr="0084397D" w:rsidRDefault="000E5495" w:rsidP="0094197F">
            <w:pPr>
              <w:pStyle w:val="BoxHeading"/>
              <w:keepNext w:val="0"/>
              <w:spacing w:before="0"/>
              <w:rPr>
                <w:sz w:val="28"/>
                <w:szCs w:val="28"/>
                <w:lang w:eastAsia="en-US"/>
              </w:rPr>
            </w:pPr>
            <w:r w:rsidRPr="0084397D">
              <w:rPr>
                <w:sz w:val="28"/>
                <w:szCs w:val="28"/>
                <w:lang w:eastAsia="en-US"/>
              </w:rPr>
              <w:t>Consultation questions</w:t>
            </w:r>
          </w:p>
          <w:p w14:paraId="58229C94" w14:textId="77777777" w:rsidR="00070F79" w:rsidRPr="0084397D" w:rsidRDefault="00070F79" w:rsidP="0094197F">
            <w:pPr>
              <w:pStyle w:val="BoxText"/>
              <w:spacing w:line="259" w:lineRule="auto"/>
              <w:rPr>
                <w:sz w:val="22"/>
                <w:szCs w:val="22"/>
              </w:rPr>
            </w:pPr>
            <w:r w:rsidRPr="0084397D">
              <w:rPr>
                <w:sz w:val="22"/>
                <w:szCs w:val="22"/>
              </w:rPr>
              <w:t>To help inform the Government’s consideration of further foreign investment reform options, the Treasury is interested in hearing from stakeholders with regards to:</w:t>
            </w:r>
          </w:p>
          <w:p w14:paraId="681536AD" w14:textId="4EA0B8AC" w:rsidR="00FF06D0" w:rsidRPr="0084397D" w:rsidRDefault="009036EF" w:rsidP="0094197F">
            <w:pPr>
              <w:pStyle w:val="OutlineNumbered1"/>
              <w:numPr>
                <w:ilvl w:val="1"/>
                <w:numId w:val="15"/>
              </w:numPr>
              <w:spacing w:line="259" w:lineRule="auto"/>
              <w:ind w:left="522" w:hanging="522"/>
              <w:rPr>
                <w:sz w:val="22"/>
                <w:szCs w:val="22"/>
              </w:rPr>
            </w:pPr>
            <w:r w:rsidRPr="0084397D">
              <w:rPr>
                <w:sz w:val="22"/>
                <w:szCs w:val="22"/>
              </w:rPr>
              <w:t xml:space="preserve">whether exemption certificates </w:t>
            </w:r>
            <w:r w:rsidR="00602E99" w:rsidRPr="0084397D">
              <w:rPr>
                <w:sz w:val="22"/>
                <w:szCs w:val="22"/>
              </w:rPr>
              <w:t>are</w:t>
            </w:r>
            <w:r w:rsidRPr="0084397D">
              <w:rPr>
                <w:sz w:val="22"/>
                <w:szCs w:val="22"/>
              </w:rPr>
              <w:t xml:space="preserve"> strik</w:t>
            </w:r>
            <w:r w:rsidR="00602E99" w:rsidRPr="0084397D">
              <w:rPr>
                <w:sz w:val="22"/>
                <w:szCs w:val="22"/>
              </w:rPr>
              <w:t>ing</w:t>
            </w:r>
            <w:r w:rsidRPr="0084397D">
              <w:rPr>
                <w:sz w:val="22"/>
                <w:szCs w:val="22"/>
              </w:rPr>
              <w:t xml:space="preserve"> an appropriate balance between facilitating investment and protecting the national interest</w:t>
            </w:r>
            <w:r w:rsidR="000A46CE" w:rsidRPr="0084397D">
              <w:rPr>
                <w:sz w:val="22"/>
                <w:szCs w:val="22"/>
              </w:rPr>
              <w:t>, including whether the scope, timeframes and financial limits for exemption certificates are appropriately targeted</w:t>
            </w:r>
            <w:r w:rsidR="00B732B2" w:rsidRPr="0084397D">
              <w:rPr>
                <w:sz w:val="22"/>
                <w:szCs w:val="22"/>
              </w:rPr>
              <w:t>;</w:t>
            </w:r>
            <w:r w:rsidR="00056A22" w:rsidRPr="0084397D">
              <w:rPr>
                <w:sz w:val="22"/>
                <w:szCs w:val="22"/>
              </w:rPr>
              <w:t xml:space="preserve"> and</w:t>
            </w:r>
          </w:p>
          <w:p w14:paraId="3BA2927C" w14:textId="166DA5B6" w:rsidR="000E5495" w:rsidRPr="0084397D" w:rsidRDefault="000B6E86" w:rsidP="0094197F">
            <w:pPr>
              <w:pStyle w:val="OutlineNumbered1"/>
              <w:numPr>
                <w:ilvl w:val="1"/>
                <w:numId w:val="15"/>
              </w:numPr>
              <w:spacing w:line="259" w:lineRule="auto"/>
              <w:ind w:left="522" w:hanging="522"/>
            </w:pPr>
            <w:r w:rsidRPr="0084397D">
              <w:rPr>
                <w:sz w:val="22"/>
                <w:szCs w:val="22"/>
              </w:rPr>
              <w:t xml:space="preserve">whether there are </w:t>
            </w:r>
            <w:r w:rsidR="00F83CB4" w:rsidRPr="0084397D">
              <w:rPr>
                <w:sz w:val="22"/>
                <w:szCs w:val="22"/>
              </w:rPr>
              <w:t xml:space="preserve">other types of exemption </w:t>
            </w:r>
            <w:r w:rsidR="004002E3" w:rsidRPr="0084397D">
              <w:rPr>
                <w:sz w:val="22"/>
                <w:szCs w:val="22"/>
              </w:rPr>
              <w:t xml:space="preserve">mechanisms </w:t>
            </w:r>
            <w:r w:rsidR="00F83CB4" w:rsidRPr="0084397D">
              <w:rPr>
                <w:sz w:val="22"/>
                <w:szCs w:val="22"/>
              </w:rPr>
              <w:t>that could be valuable for investors.</w:t>
            </w:r>
          </w:p>
        </w:tc>
      </w:tr>
    </w:tbl>
    <w:p w14:paraId="669BB8FA" w14:textId="77777777" w:rsidR="000C47ED" w:rsidRDefault="000C47ED" w:rsidP="0094197F">
      <w:pPr>
        <w:pStyle w:val="Heading2"/>
        <w:spacing w:before="240" w:line="460" w:lineRule="exact"/>
      </w:pPr>
    </w:p>
    <w:p w14:paraId="48A430CD" w14:textId="77777777" w:rsidR="000C47ED" w:rsidRDefault="000C47ED">
      <w:pPr>
        <w:spacing w:before="0" w:after="160" w:line="259" w:lineRule="auto"/>
        <w:rPr>
          <w:rFonts w:cs="Arial"/>
          <w:iCs/>
          <w:color w:val="002C47"/>
          <w:kern w:val="32"/>
          <w:sz w:val="36"/>
          <w:szCs w:val="28"/>
        </w:rPr>
      </w:pPr>
      <w:r>
        <w:br w:type="page"/>
      </w:r>
    </w:p>
    <w:p w14:paraId="7B78837D" w14:textId="7F144B93" w:rsidR="00590392" w:rsidRPr="0084397D" w:rsidRDefault="00F441C7" w:rsidP="000C47ED">
      <w:pPr>
        <w:pStyle w:val="Heading2"/>
        <w:spacing w:before="0" w:line="460" w:lineRule="exact"/>
      </w:pPr>
      <w:bookmarkStart w:id="18" w:name="_Toc95490532"/>
      <w:r w:rsidRPr="0084397D">
        <w:lastRenderedPageBreak/>
        <w:t>4</w:t>
      </w:r>
      <w:r w:rsidR="0069568F" w:rsidRPr="0084397D">
        <w:t xml:space="preserve">. </w:t>
      </w:r>
      <w:r w:rsidR="00590392" w:rsidRPr="0084397D">
        <w:t>Compliance and enforcement</w:t>
      </w:r>
      <w:bookmarkEnd w:id="18"/>
    </w:p>
    <w:p w14:paraId="199697FD" w14:textId="6978D30C" w:rsidR="00566F35" w:rsidRPr="0084397D" w:rsidRDefault="00764401" w:rsidP="009B7769">
      <w:pPr>
        <w:spacing w:line="259" w:lineRule="auto"/>
      </w:pPr>
      <w:r w:rsidRPr="0084397D">
        <w:t>Maintaining strong compliance with Australia’s foreign investment framework is a priority for the Government. Foreign investors are expected to be aware of, understand and comply with their obligations under Australia’s foreign investment laws</w:t>
      </w:r>
      <w:r w:rsidR="00ED19B9" w:rsidRPr="0084397D">
        <w:t xml:space="preserve"> at all times.</w:t>
      </w:r>
      <w:r w:rsidR="006620C4" w:rsidRPr="0084397D">
        <w:t xml:space="preserve"> </w:t>
      </w:r>
      <w:r w:rsidR="009B7769" w:rsidRPr="0084397D">
        <w:t xml:space="preserve">The Evaluation noted that the Treasury </w:t>
      </w:r>
      <w:r w:rsidR="00A007C3" w:rsidRPr="0084397D">
        <w:t xml:space="preserve">has </w:t>
      </w:r>
      <w:r w:rsidR="009B7769" w:rsidRPr="0084397D">
        <w:t xml:space="preserve">established new processes and procedures to support the enhanced compliance and enforcement powers provided in the </w:t>
      </w:r>
      <w:r w:rsidR="00B4137D" w:rsidRPr="0084397D">
        <w:t>most recent reforms</w:t>
      </w:r>
      <w:r w:rsidR="006620C4" w:rsidRPr="0084397D">
        <w:t>, support</w:t>
      </w:r>
      <w:r w:rsidR="004538DC" w:rsidRPr="0084397D">
        <w:t xml:space="preserve">ed </w:t>
      </w:r>
      <w:r w:rsidR="006620C4" w:rsidRPr="0084397D">
        <w:t>by additional resourcing and staff for its compliance arm</w:t>
      </w:r>
      <w:r w:rsidR="00D32410" w:rsidRPr="0084397D">
        <w:t xml:space="preserve"> of the regime</w:t>
      </w:r>
      <w:r w:rsidR="006620C4" w:rsidRPr="0084397D">
        <w:t>.</w:t>
      </w:r>
    </w:p>
    <w:p w14:paraId="3C0A368B" w14:textId="3890B5E4" w:rsidR="000A29B4" w:rsidRPr="0084397D" w:rsidRDefault="00CD6433" w:rsidP="000C47ED">
      <w:pPr>
        <w:spacing w:after="180" w:line="259" w:lineRule="auto"/>
      </w:pPr>
      <w:r w:rsidRPr="0084397D">
        <w:t>Finding 4 of the</w:t>
      </w:r>
      <w:r w:rsidR="009B7769" w:rsidRPr="0084397D">
        <w:t xml:space="preserve"> Evaluation </w:t>
      </w:r>
      <w:r w:rsidRPr="0084397D">
        <w:t>noted that</w:t>
      </w:r>
      <w:r w:rsidR="00FE157A" w:rsidRPr="0084397D">
        <w:t xml:space="preserve"> </w:t>
      </w:r>
      <w:r w:rsidR="009B7769" w:rsidRPr="0084397D">
        <w:t xml:space="preserve">there </w:t>
      </w:r>
      <w:r w:rsidRPr="0084397D">
        <w:t xml:space="preserve">are </w:t>
      </w:r>
      <w:r w:rsidR="009B7769" w:rsidRPr="0084397D">
        <w:t xml:space="preserve">opportunities </w:t>
      </w:r>
      <w:r w:rsidR="005161FF" w:rsidRPr="0084397D">
        <w:t>to</w:t>
      </w:r>
      <w:r w:rsidR="009B7769" w:rsidRPr="0084397D">
        <w:t xml:space="preserve"> further refine</w:t>
      </w:r>
      <w:r w:rsidR="00FE157A" w:rsidRPr="0084397D">
        <w:t xml:space="preserve"> </w:t>
      </w:r>
      <w:r w:rsidR="009B7769" w:rsidRPr="0084397D">
        <w:t xml:space="preserve">these compliance and enforcement measures </w:t>
      </w:r>
      <w:r w:rsidR="005161FF" w:rsidRPr="0084397D">
        <w:t>to ensure proportionate and scalable responses are available for any contraventions of the framework</w:t>
      </w:r>
      <w:r w:rsidR="009B7769" w:rsidRPr="0084397D">
        <w:t>.</w:t>
      </w:r>
      <w:r w:rsidR="00D111C7" w:rsidRPr="0084397D">
        <w:t xml:space="preserve"> For example, some contraventions – such as failing to comply with record keeping obligations or not providing information when required – can only be responded to </w:t>
      </w:r>
      <w:r w:rsidR="00FD5B4F" w:rsidRPr="0084397D">
        <w:t xml:space="preserve">administratively or through criminal proceedings, and not via infringement notices and civil penalty provisions. </w:t>
      </w:r>
      <w:r w:rsidR="00065AEA" w:rsidRPr="0084397D">
        <w:t xml:space="preserve">On the other hand, </w:t>
      </w:r>
      <w:r w:rsidR="00C27F4D" w:rsidRPr="0084397D">
        <w:t xml:space="preserve">while the Treasurer’s general powers are enlivened </w:t>
      </w:r>
      <w:r w:rsidR="00065AEA" w:rsidRPr="0084397D">
        <w:t>by an investor employing a strategy to avoid the application of Australia’s foreign investment laws</w:t>
      </w:r>
      <w:r w:rsidR="00C27F4D" w:rsidRPr="0084397D">
        <w:t xml:space="preserve">, such behaviour </w:t>
      </w:r>
      <w:r w:rsidR="00065AEA" w:rsidRPr="0084397D">
        <w:t>is</w:t>
      </w:r>
      <w:r w:rsidR="00035441" w:rsidRPr="0084397D">
        <w:t xml:space="preserve"> currently</w:t>
      </w:r>
      <w:r w:rsidR="00065AEA" w:rsidRPr="0084397D">
        <w:t xml:space="preserve"> not a criminal offence or a breach of a civil penalty provision</w:t>
      </w:r>
      <w:r w:rsidR="009B48AB" w:rsidRPr="0084397D">
        <w:t xml:space="preserve">. </w:t>
      </w:r>
    </w:p>
    <w:tbl>
      <w:tblPr>
        <w:tblStyle w:val="TableGrid"/>
        <w:tblW w:w="5000" w:type="pct"/>
        <w:tblBorders>
          <w:bottom w:val="single" w:sz="12" w:space="0" w:color="336E98"/>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0E5495" w:rsidRPr="0084397D" w14:paraId="35CD236E" w14:textId="77777777" w:rsidTr="00473C33">
        <w:tc>
          <w:tcPr>
            <w:tcW w:w="5000" w:type="pct"/>
            <w:shd w:val="clear" w:color="auto" w:fill="F2F2F2" w:themeFill="background1" w:themeFillShade="F2"/>
          </w:tcPr>
          <w:p w14:paraId="35AED899" w14:textId="77777777" w:rsidR="000E5495" w:rsidRPr="0084397D" w:rsidRDefault="000E5495" w:rsidP="00473C33">
            <w:pPr>
              <w:pStyle w:val="BoxHeading"/>
              <w:spacing w:before="0"/>
              <w:rPr>
                <w:sz w:val="28"/>
                <w:szCs w:val="28"/>
                <w:lang w:eastAsia="en-US"/>
              </w:rPr>
            </w:pPr>
            <w:r w:rsidRPr="0084397D">
              <w:rPr>
                <w:sz w:val="28"/>
                <w:szCs w:val="28"/>
                <w:lang w:eastAsia="en-US"/>
              </w:rPr>
              <w:t>Consultation questions</w:t>
            </w:r>
          </w:p>
          <w:p w14:paraId="0FB82F17" w14:textId="41049BB8" w:rsidR="000E5495" w:rsidRPr="0084397D" w:rsidRDefault="00070F79" w:rsidP="00070F79">
            <w:pPr>
              <w:pStyle w:val="BoxText"/>
              <w:spacing w:line="259" w:lineRule="auto"/>
              <w:rPr>
                <w:sz w:val="22"/>
                <w:szCs w:val="22"/>
              </w:rPr>
            </w:pPr>
            <w:r w:rsidRPr="0084397D">
              <w:rPr>
                <w:sz w:val="22"/>
                <w:szCs w:val="22"/>
              </w:rPr>
              <w:t>To help inform the Government’s consideration of further foreign investment reform options, the Treasury is interested in hearing from stakeholders with regards to:</w:t>
            </w:r>
          </w:p>
          <w:p w14:paraId="6EDB8BB5" w14:textId="1D50EFA4" w:rsidR="002F2FBF" w:rsidRPr="0084397D" w:rsidRDefault="002F2FBF" w:rsidP="00680ACF">
            <w:pPr>
              <w:pStyle w:val="OutlineNumbered1"/>
              <w:numPr>
                <w:ilvl w:val="1"/>
                <w:numId w:val="14"/>
              </w:numPr>
              <w:spacing w:line="259" w:lineRule="auto"/>
              <w:ind w:left="522" w:hanging="522"/>
              <w:rPr>
                <w:sz w:val="22"/>
                <w:szCs w:val="22"/>
              </w:rPr>
            </w:pPr>
            <w:r w:rsidRPr="0084397D">
              <w:rPr>
                <w:sz w:val="22"/>
                <w:szCs w:val="22"/>
              </w:rPr>
              <w:t>whether the new compliance and enforcement powers ensure proportionate and scalable responses are available for any contravention;</w:t>
            </w:r>
          </w:p>
          <w:p w14:paraId="778B8F4B" w14:textId="0003CD91" w:rsidR="002F2FBF" w:rsidRPr="0084397D" w:rsidRDefault="002F2FBF" w:rsidP="00680ACF">
            <w:pPr>
              <w:pStyle w:val="OutlineNumbered1"/>
              <w:numPr>
                <w:ilvl w:val="1"/>
                <w:numId w:val="14"/>
              </w:numPr>
              <w:spacing w:line="259" w:lineRule="auto"/>
              <w:ind w:left="522" w:hanging="522"/>
              <w:rPr>
                <w:sz w:val="22"/>
                <w:szCs w:val="22"/>
              </w:rPr>
            </w:pPr>
            <w:r w:rsidRPr="0084397D">
              <w:rPr>
                <w:sz w:val="22"/>
                <w:szCs w:val="22"/>
              </w:rPr>
              <w:t>whether notification obligations under sections 98C, 98D and 98E are clear and reasonable;</w:t>
            </w:r>
          </w:p>
          <w:p w14:paraId="400529DB" w14:textId="5398C9FA" w:rsidR="002F2FBF" w:rsidRPr="0084397D" w:rsidRDefault="002F2FBF" w:rsidP="00680ACF">
            <w:pPr>
              <w:pStyle w:val="OutlineNumbered1"/>
              <w:numPr>
                <w:ilvl w:val="1"/>
                <w:numId w:val="14"/>
              </w:numPr>
              <w:spacing w:line="259" w:lineRule="auto"/>
              <w:ind w:left="522" w:hanging="522"/>
              <w:rPr>
                <w:sz w:val="22"/>
                <w:szCs w:val="22"/>
              </w:rPr>
            </w:pPr>
            <w:r w:rsidRPr="0084397D">
              <w:rPr>
                <w:sz w:val="22"/>
                <w:szCs w:val="22"/>
              </w:rPr>
              <w:t>whether existing reporting requirements, as specified in conditions, could be improved/streamlined; and</w:t>
            </w:r>
          </w:p>
          <w:p w14:paraId="1D5A8C82" w14:textId="14164BF1" w:rsidR="000E5495" w:rsidRPr="0084397D" w:rsidRDefault="002F2FBF" w:rsidP="00680ACF">
            <w:pPr>
              <w:pStyle w:val="OutlineNumbered1"/>
              <w:numPr>
                <w:ilvl w:val="1"/>
                <w:numId w:val="14"/>
              </w:numPr>
              <w:spacing w:line="259" w:lineRule="auto"/>
              <w:ind w:left="522" w:hanging="522"/>
              <w:rPr>
                <w:sz w:val="22"/>
                <w:szCs w:val="22"/>
              </w:rPr>
            </w:pPr>
            <w:r w:rsidRPr="0084397D">
              <w:rPr>
                <w:sz w:val="22"/>
                <w:szCs w:val="22"/>
              </w:rPr>
              <w:t xml:space="preserve">whether the introduction of infringement notices, monitoring and investigation powers and enforceable undertakings incentivise compliance.  </w:t>
            </w:r>
          </w:p>
        </w:tc>
      </w:tr>
    </w:tbl>
    <w:p w14:paraId="40398059" w14:textId="753380FA" w:rsidR="00590392" w:rsidRPr="0084397D" w:rsidRDefault="00F441C7" w:rsidP="0094197F">
      <w:pPr>
        <w:pStyle w:val="Heading2"/>
        <w:spacing w:before="240" w:line="460" w:lineRule="exact"/>
      </w:pPr>
      <w:bookmarkStart w:id="19" w:name="_Toc95490533"/>
      <w:r w:rsidRPr="0084397D">
        <w:t>5</w:t>
      </w:r>
      <w:r w:rsidR="0069568F" w:rsidRPr="0084397D">
        <w:t xml:space="preserve">. </w:t>
      </w:r>
      <w:r w:rsidR="00590392" w:rsidRPr="0084397D">
        <w:t>Overall operation of the foreign investment framework</w:t>
      </w:r>
      <w:bookmarkEnd w:id="19"/>
    </w:p>
    <w:p w14:paraId="15AB0A7F" w14:textId="197C30BE" w:rsidR="00000DFE" w:rsidRPr="0084397D" w:rsidRDefault="00000DFE" w:rsidP="001D634C">
      <w:pPr>
        <w:spacing w:line="259" w:lineRule="auto"/>
      </w:pPr>
      <w:r w:rsidRPr="0084397D">
        <w:t xml:space="preserve">The Government is committed to ensuring that the foreign investment framework remains fit for purpose, continues to be operationally sound and that it meets </w:t>
      </w:r>
      <w:r w:rsidR="004253D5" w:rsidRPr="0084397D">
        <w:t>community and investor</w:t>
      </w:r>
      <w:r w:rsidRPr="0084397D">
        <w:t xml:space="preserve"> </w:t>
      </w:r>
      <w:r w:rsidR="00DC1677" w:rsidRPr="0084397D">
        <w:t>expectations</w:t>
      </w:r>
      <w:r w:rsidR="00E836E8" w:rsidRPr="0084397D">
        <w:t>,</w:t>
      </w:r>
      <w:r w:rsidR="00DC1677" w:rsidRPr="0084397D">
        <w:t xml:space="preserve"> without </w:t>
      </w:r>
      <w:r w:rsidRPr="0084397D">
        <w:t>unintended consequences.</w:t>
      </w:r>
      <w:r w:rsidR="006518D0" w:rsidRPr="0084397D">
        <w:t xml:space="preserve"> </w:t>
      </w:r>
    </w:p>
    <w:p w14:paraId="59734F96" w14:textId="2A26739C" w:rsidR="000E5495" w:rsidRPr="0084397D" w:rsidRDefault="001D634C" w:rsidP="000C47ED">
      <w:pPr>
        <w:spacing w:after="180" w:line="259" w:lineRule="auto"/>
      </w:pPr>
      <w:r w:rsidRPr="0084397D">
        <w:t xml:space="preserve">Stakeholders are invited to </w:t>
      </w:r>
      <w:r w:rsidR="00C82FE7" w:rsidRPr="0084397D">
        <w:t xml:space="preserve">provide </w:t>
      </w:r>
      <w:r w:rsidRPr="0084397D">
        <w:t xml:space="preserve">other </w:t>
      </w:r>
      <w:r w:rsidR="004253D5" w:rsidRPr="0084397D">
        <w:t xml:space="preserve">reform </w:t>
      </w:r>
      <w:r w:rsidRPr="0084397D">
        <w:t xml:space="preserve">ideas that are not covered in this paper, including by drawing on </w:t>
      </w:r>
      <w:r w:rsidR="00E836E8" w:rsidRPr="0084397D">
        <w:t xml:space="preserve">their </w:t>
      </w:r>
      <w:r w:rsidRPr="0084397D">
        <w:t xml:space="preserve">interactions with the framework since the </w:t>
      </w:r>
      <w:r w:rsidR="00D32410" w:rsidRPr="0084397D">
        <w:t>most recent reforms</w:t>
      </w:r>
      <w:r w:rsidRPr="0084397D">
        <w:t xml:space="preserve">. </w:t>
      </w:r>
    </w:p>
    <w:tbl>
      <w:tblPr>
        <w:tblStyle w:val="TableGrid"/>
        <w:tblW w:w="5000" w:type="pct"/>
        <w:tblBorders>
          <w:bottom w:val="single" w:sz="12" w:space="0" w:color="336E98"/>
        </w:tblBorders>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0E5495" w:rsidRPr="0084397D" w14:paraId="6BFADB13" w14:textId="77777777" w:rsidTr="00473C33">
        <w:tc>
          <w:tcPr>
            <w:tcW w:w="5000" w:type="pct"/>
            <w:shd w:val="clear" w:color="auto" w:fill="F2F2F2" w:themeFill="background1" w:themeFillShade="F2"/>
          </w:tcPr>
          <w:p w14:paraId="2E424086" w14:textId="657446D3" w:rsidR="000E5495" w:rsidRPr="0084397D" w:rsidRDefault="000E5495" w:rsidP="0094197F">
            <w:pPr>
              <w:pStyle w:val="BoxHeading"/>
              <w:keepNext w:val="0"/>
              <w:spacing w:before="0"/>
              <w:rPr>
                <w:sz w:val="28"/>
                <w:szCs w:val="28"/>
                <w:lang w:eastAsia="en-US"/>
              </w:rPr>
            </w:pPr>
            <w:r w:rsidRPr="0084397D">
              <w:rPr>
                <w:sz w:val="28"/>
                <w:szCs w:val="28"/>
                <w:lang w:eastAsia="en-US"/>
              </w:rPr>
              <w:t>Consultation questions</w:t>
            </w:r>
          </w:p>
          <w:p w14:paraId="4E108CEA" w14:textId="7D6E18B2" w:rsidR="000E5495" w:rsidRPr="0084397D" w:rsidRDefault="00070F79" w:rsidP="0094197F">
            <w:pPr>
              <w:pStyle w:val="OutlineNumbered1"/>
              <w:numPr>
                <w:ilvl w:val="1"/>
                <w:numId w:val="16"/>
              </w:numPr>
              <w:spacing w:line="259" w:lineRule="auto"/>
              <w:rPr>
                <w:sz w:val="22"/>
                <w:szCs w:val="22"/>
              </w:rPr>
            </w:pPr>
            <w:r w:rsidRPr="0084397D">
              <w:rPr>
                <w:sz w:val="22"/>
                <w:szCs w:val="22"/>
              </w:rPr>
              <w:t>To help inform the Government’s consideration of further foreign investment reform options, the Treasury is interested in hearing from stakeholders with regards to</w:t>
            </w:r>
            <w:r w:rsidR="004253D5" w:rsidRPr="0084397D">
              <w:rPr>
                <w:sz w:val="22"/>
                <w:szCs w:val="22"/>
              </w:rPr>
              <w:t xml:space="preserve"> </w:t>
            </w:r>
            <w:r w:rsidR="001D634C" w:rsidRPr="0084397D">
              <w:rPr>
                <w:sz w:val="22"/>
                <w:szCs w:val="22"/>
              </w:rPr>
              <w:t xml:space="preserve">whether there are any other ways to improve the overall design and operation of </w:t>
            </w:r>
            <w:r w:rsidR="00A44598" w:rsidRPr="0084397D">
              <w:rPr>
                <w:sz w:val="22"/>
                <w:szCs w:val="22"/>
              </w:rPr>
              <w:t xml:space="preserve">Australia’s </w:t>
            </w:r>
            <w:r w:rsidR="001D634C" w:rsidRPr="0084397D">
              <w:rPr>
                <w:sz w:val="22"/>
                <w:szCs w:val="22"/>
              </w:rPr>
              <w:t>foreign investment framework</w:t>
            </w:r>
            <w:r w:rsidR="004253D5" w:rsidRPr="0084397D">
              <w:rPr>
                <w:sz w:val="22"/>
                <w:szCs w:val="22"/>
              </w:rPr>
              <w:t>.</w:t>
            </w:r>
          </w:p>
        </w:tc>
      </w:tr>
    </w:tbl>
    <w:p w14:paraId="28364F07" w14:textId="77777777" w:rsidR="001A05D0" w:rsidRPr="0084397D" w:rsidRDefault="001A05D0" w:rsidP="001A05D0">
      <w:pPr>
        <w:pStyle w:val="Heading1"/>
        <w:sectPr w:rsidR="001A05D0" w:rsidRPr="0084397D" w:rsidSect="00E1136B">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9" w:footer="709" w:gutter="0"/>
          <w:pgNumType w:start="1"/>
          <w:cols w:space="708"/>
          <w:docGrid w:linePitch="360"/>
        </w:sectPr>
      </w:pPr>
    </w:p>
    <w:p w14:paraId="4E3A7DB8" w14:textId="1DC2958F" w:rsidR="00F90D79" w:rsidRPr="0084397D" w:rsidRDefault="004A5C5F" w:rsidP="005342FD">
      <w:pPr>
        <w:pStyle w:val="Heading1"/>
        <w:spacing w:before="0"/>
      </w:pPr>
      <w:bookmarkStart w:id="20" w:name="_Toc95490534"/>
      <w:r w:rsidRPr="0084397D">
        <w:lastRenderedPageBreak/>
        <w:t xml:space="preserve">Government response to the </w:t>
      </w:r>
      <w:r w:rsidR="004B12A8" w:rsidRPr="0084397D">
        <w:t>E</w:t>
      </w:r>
      <w:r w:rsidRPr="0084397D">
        <w:t>valuation</w:t>
      </w:r>
      <w:bookmarkEnd w:id="20"/>
    </w:p>
    <w:tbl>
      <w:tblPr>
        <w:tblW w:w="0" w:type="auto"/>
        <w:tblLook w:val="01E0" w:firstRow="1" w:lastRow="1" w:firstColumn="1" w:lastColumn="1" w:noHBand="0" w:noVBand="0"/>
      </w:tblPr>
      <w:tblGrid>
        <w:gridCol w:w="5407"/>
        <w:gridCol w:w="4339"/>
      </w:tblGrid>
      <w:tr w:rsidR="00A17518" w:rsidRPr="0084397D" w14:paraId="309F4B6C" w14:textId="77777777" w:rsidTr="00C72C18">
        <w:trPr>
          <w:trHeight w:val="270"/>
          <w:tblHeader/>
        </w:trPr>
        <w:tc>
          <w:tcPr>
            <w:tcW w:w="0" w:type="auto"/>
            <w:shd w:val="clear" w:color="auto" w:fill="E5E5E5"/>
          </w:tcPr>
          <w:p w14:paraId="228B1C07" w14:textId="77777777" w:rsidR="00A17518" w:rsidRPr="0084397D" w:rsidRDefault="00A17518" w:rsidP="00C72C18">
            <w:pPr>
              <w:spacing w:before="40" w:after="40" w:line="256" w:lineRule="auto"/>
              <w:rPr>
                <w:rFonts w:ascii="Calibri Light" w:hAnsi="Calibri Light"/>
                <w:b/>
                <w:color w:val="004A7F"/>
                <w:sz w:val="20"/>
              </w:rPr>
            </w:pPr>
            <w:r w:rsidRPr="0084397D">
              <w:rPr>
                <w:rFonts w:ascii="Calibri Light" w:hAnsi="Calibri Light"/>
                <w:b/>
                <w:color w:val="004A7F"/>
                <w:sz w:val="20"/>
              </w:rPr>
              <w:t>List of findings</w:t>
            </w:r>
          </w:p>
        </w:tc>
        <w:tc>
          <w:tcPr>
            <w:tcW w:w="0" w:type="auto"/>
            <w:shd w:val="clear" w:color="auto" w:fill="E5E5E5"/>
            <w:hideMark/>
          </w:tcPr>
          <w:p w14:paraId="4DBEED38" w14:textId="77777777" w:rsidR="00A17518" w:rsidRPr="0084397D" w:rsidRDefault="00A17518" w:rsidP="00C72C18">
            <w:pPr>
              <w:spacing w:before="40" w:after="40" w:line="256" w:lineRule="auto"/>
              <w:rPr>
                <w:rFonts w:ascii="Calibri Light" w:hAnsi="Calibri Light"/>
                <w:b/>
                <w:color w:val="004A7F"/>
                <w:sz w:val="20"/>
              </w:rPr>
            </w:pPr>
            <w:r w:rsidRPr="0084397D">
              <w:rPr>
                <w:rFonts w:ascii="Calibri Light" w:hAnsi="Calibri Light"/>
                <w:b/>
                <w:color w:val="004A7F"/>
                <w:sz w:val="20"/>
              </w:rPr>
              <w:t>Australian Government Response</w:t>
            </w:r>
          </w:p>
        </w:tc>
      </w:tr>
      <w:tr w:rsidR="00A17518" w:rsidRPr="0084397D" w14:paraId="2F240714" w14:textId="77777777" w:rsidTr="00C72C18">
        <w:trPr>
          <w:trHeight w:val="270"/>
        </w:trPr>
        <w:tc>
          <w:tcPr>
            <w:tcW w:w="0" w:type="auto"/>
            <w:tcBorders>
              <w:bottom w:val="single" w:sz="4" w:space="0" w:color="E5E5E5"/>
            </w:tcBorders>
          </w:tcPr>
          <w:p w14:paraId="6A1D2C0C"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1</w:t>
            </w:r>
          </w:p>
          <w:p w14:paraId="7C2FC2F0"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The reforms have been implemented and investors are adjusting to the new framework. Work on establishing the Register of Foreign Ownership of Australian Assets and the Treasury’s enhanced foreign investment case management system is well progressed. To increase transparency of its operations, the Treasury is developing additional public performance reporting.</w:t>
            </w:r>
          </w:p>
        </w:tc>
        <w:tc>
          <w:tcPr>
            <w:tcW w:w="0" w:type="auto"/>
            <w:tcBorders>
              <w:bottom w:val="single" w:sz="4" w:space="0" w:color="E5E5E5"/>
            </w:tcBorders>
            <w:hideMark/>
          </w:tcPr>
          <w:p w14:paraId="4F5677AF"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p>
          <w:p w14:paraId="433A5036" w14:textId="08C3582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 xml:space="preserve">The Government notes </w:t>
            </w:r>
            <w:r w:rsidR="002F519A" w:rsidRPr="0084397D">
              <w:rPr>
                <w:rFonts w:ascii="Calibri Light" w:hAnsi="Calibri Light"/>
                <w:color w:val="000000"/>
                <w:sz w:val="18"/>
              </w:rPr>
              <w:t xml:space="preserve">the </w:t>
            </w:r>
            <w:r w:rsidRPr="0084397D">
              <w:rPr>
                <w:rFonts w:ascii="Calibri Light" w:hAnsi="Calibri Light"/>
                <w:color w:val="000000"/>
                <w:sz w:val="18"/>
              </w:rPr>
              <w:t xml:space="preserve">Treasury’s administration of the 2021 foreign investment reforms is now well established, with ongoing progress being delivered through a digital transformation agenda. </w:t>
            </w:r>
          </w:p>
        </w:tc>
      </w:tr>
      <w:tr w:rsidR="00A17518" w:rsidRPr="0084397D" w14:paraId="14638855" w14:textId="77777777" w:rsidTr="00C72C18">
        <w:trPr>
          <w:trHeight w:val="270"/>
        </w:trPr>
        <w:tc>
          <w:tcPr>
            <w:tcW w:w="0" w:type="auto"/>
            <w:tcBorders>
              <w:top w:val="single" w:sz="4" w:space="0" w:color="E5E5E5"/>
              <w:bottom w:val="single" w:sz="4" w:space="0" w:color="E5E5E5"/>
            </w:tcBorders>
          </w:tcPr>
          <w:p w14:paraId="14304D7B"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2</w:t>
            </w:r>
          </w:p>
          <w:p w14:paraId="1C19188A"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It is too early to determine whether the reforms have had a singular impact on foreign investment inflows, given the short time period and significant impact that COVID-19 has had on foreign investment flows globally, including into Australia. Australia’s attractiveness to foreign investment will continue to be underpinned by our stable democracy, strong rule of law, highly skilled workforce, proximity to dynamic and fast-growing markets, abundant natural resources, world class industrial capabilities, and strong and well managed economy.</w:t>
            </w:r>
          </w:p>
        </w:tc>
        <w:tc>
          <w:tcPr>
            <w:tcW w:w="0" w:type="auto"/>
            <w:tcBorders>
              <w:top w:val="single" w:sz="4" w:space="0" w:color="E5E5E5"/>
              <w:bottom w:val="single" w:sz="4" w:space="0" w:color="E5E5E5"/>
            </w:tcBorders>
          </w:tcPr>
          <w:p w14:paraId="09CF2A19"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p>
          <w:p w14:paraId="6B8EAAE4" w14:textId="7CCD661C"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 xml:space="preserve">This finding reaffirms that the Government’s reforms have not changed the </w:t>
            </w:r>
            <w:r w:rsidR="00192BF6" w:rsidRPr="0084397D">
              <w:rPr>
                <w:rFonts w:ascii="Calibri Light" w:hAnsi="Calibri Light"/>
                <w:color w:val="000000"/>
                <w:sz w:val="18"/>
              </w:rPr>
              <w:t xml:space="preserve">fundamental </w:t>
            </w:r>
            <w:r w:rsidRPr="0084397D">
              <w:rPr>
                <w:rFonts w:ascii="Calibri Light" w:hAnsi="Calibri Light"/>
                <w:color w:val="000000"/>
                <w:sz w:val="18"/>
              </w:rPr>
              <w:t>attributes that make Australia attractive to foreign investors. The Government will continue to monitor foreign investment inflows and overall investment conditions.</w:t>
            </w:r>
          </w:p>
          <w:p w14:paraId="5B3ED44E" w14:textId="77777777" w:rsidR="00A17518" w:rsidRPr="0084397D" w:rsidRDefault="00A17518" w:rsidP="00C72C18">
            <w:pPr>
              <w:spacing w:before="40" w:after="40" w:line="256" w:lineRule="auto"/>
              <w:jc w:val="both"/>
              <w:rPr>
                <w:rFonts w:ascii="Calibri Light" w:hAnsi="Calibri Light"/>
                <w:color w:val="000000"/>
                <w:sz w:val="18"/>
              </w:rPr>
            </w:pPr>
          </w:p>
        </w:tc>
      </w:tr>
      <w:tr w:rsidR="00A17518" w:rsidRPr="0084397D" w14:paraId="461EEE98" w14:textId="77777777" w:rsidTr="00C72C18">
        <w:trPr>
          <w:trHeight w:val="270"/>
        </w:trPr>
        <w:tc>
          <w:tcPr>
            <w:tcW w:w="0" w:type="auto"/>
            <w:tcBorders>
              <w:top w:val="single" w:sz="4" w:space="0" w:color="E5E5E5"/>
              <w:bottom w:val="single" w:sz="4" w:space="0" w:color="E5E5E5"/>
            </w:tcBorders>
          </w:tcPr>
          <w:p w14:paraId="4971F01B"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3</w:t>
            </w:r>
          </w:p>
          <w:p w14:paraId="331523BC"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The new national security measures are working as intended by identifying transactions that raise national security concerns. Investors would welcome greater clarity on the application of the national security test, which the Treasury will consider in future updates to investor guidance material.</w:t>
            </w:r>
          </w:p>
        </w:tc>
        <w:tc>
          <w:tcPr>
            <w:tcW w:w="0" w:type="auto"/>
            <w:tcBorders>
              <w:top w:val="single" w:sz="4" w:space="0" w:color="E5E5E5"/>
              <w:bottom w:val="single" w:sz="4" w:space="0" w:color="E5E5E5"/>
            </w:tcBorders>
          </w:tcPr>
          <w:p w14:paraId="4D08BAAA"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p>
          <w:p w14:paraId="62EDDDA7" w14:textId="7AD54EE8"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 xml:space="preserve">The Government </w:t>
            </w:r>
            <w:r w:rsidR="00F06AB3" w:rsidRPr="0084397D">
              <w:rPr>
                <w:rFonts w:ascii="Calibri Light" w:hAnsi="Calibri Light"/>
                <w:color w:val="000000"/>
                <w:sz w:val="18"/>
              </w:rPr>
              <w:t xml:space="preserve">notes the </w:t>
            </w:r>
            <w:r w:rsidRPr="0084397D">
              <w:rPr>
                <w:rFonts w:ascii="Calibri Light" w:hAnsi="Calibri Light"/>
                <w:color w:val="000000"/>
                <w:sz w:val="18"/>
              </w:rPr>
              <w:t xml:space="preserve">Treasury’s commitment to </w:t>
            </w:r>
            <w:r w:rsidR="00F06AB3" w:rsidRPr="0084397D">
              <w:rPr>
                <w:rFonts w:ascii="Calibri Light" w:hAnsi="Calibri Light"/>
                <w:color w:val="000000"/>
                <w:sz w:val="18"/>
              </w:rPr>
              <w:t xml:space="preserve">provide </w:t>
            </w:r>
            <w:r w:rsidRPr="0084397D">
              <w:rPr>
                <w:rFonts w:ascii="Calibri Light" w:hAnsi="Calibri Light"/>
                <w:color w:val="000000"/>
                <w:sz w:val="18"/>
              </w:rPr>
              <w:t xml:space="preserve">greater clarity </w:t>
            </w:r>
            <w:r w:rsidR="00F06AB3" w:rsidRPr="0084397D">
              <w:rPr>
                <w:rFonts w:ascii="Calibri Light" w:hAnsi="Calibri Light"/>
                <w:color w:val="000000"/>
                <w:sz w:val="18"/>
              </w:rPr>
              <w:t xml:space="preserve">to </w:t>
            </w:r>
            <w:r w:rsidRPr="0084397D">
              <w:rPr>
                <w:rFonts w:ascii="Calibri Light" w:hAnsi="Calibri Light"/>
                <w:color w:val="000000"/>
                <w:sz w:val="18"/>
              </w:rPr>
              <w:t xml:space="preserve">investors via its guidance material. </w:t>
            </w:r>
          </w:p>
          <w:p w14:paraId="5A5D3DF6" w14:textId="77777777" w:rsidR="00A17518" w:rsidRPr="0084397D" w:rsidRDefault="00A17518" w:rsidP="00C72C18">
            <w:pPr>
              <w:spacing w:before="40" w:after="40" w:line="256" w:lineRule="auto"/>
              <w:jc w:val="both"/>
              <w:rPr>
                <w:rFonts w:ascii="Calibri Light" w:hAnsi="Calibri Light"/>
                <w:color w:val="000000"/>
                <w:sz w:val="18"/>
              </w:rPr>
            </w:pPr>
          </w:p>
        </w:tc>
      </w:tr>
      <w:tr w:rsidR="00A17518" w:rsidRPr="0084397D" w14:paraId="1A50A01C" w14:textId="77777777" w:rsidTr="00C72C18">
        <w:trPr>
          <w:trHeight w:val="270"/>
        </w:trPr>
        <w:tc>
          <w:tcPr>
            <w:tcW w:w="0" w:type="auto"/>
            <w:tcBorders>
              <w:top w:val="single" w:sz="4" w:space="0" w:color="E5E5E5"/>
              <w:bottom w:val="single" w:sz="4" w:space="0" w:color="E5E5E5"/>
            </w:tcBorders>
          </w:tcPr>
          <w:p w14:paraId="2BB40A19"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4</w:t>
            </w:r>
          </w:p>
          <w:p w14:paraId="34F4227F"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The Treasury has established new processes and procedures to support the enhanced compliance and enforcement powers provided for in the reforms. There are opportunities for further refinements of the compliance and enforcement measures to ensure proportionate and scalable responses are available for any contravention of the foreign investment framework.</w:t>
            </w:r>
          </w:p>
        </w:tc>
        <w:tc>
          <w:tcPr>
            <w:tcW w:w="0" w:type="auto"/>
            <w:tcBorders>
              <w:top w:val="single" w:sz="4" w:space="0" w:color="E5E5E5"/>
              <w:bottom w:val="single" w:sz="4" w:space="0" w:color="E5E5E5"/>
            </w:tcBorders>
          </w:tcPr>
          <w:p w14:paraId="14DC2B92"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p>
          <w:p w14:paraId="5D8033D0"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 xml:space="preserve">The Government will consider options to refine its compliance and enforcement powers to ensure it can address contraventions in a proportionate and scalable manner.  </w:t>
            </w:r>
          </w:p>
        </w:tc>
      </w:tr>
      <w:tr w:rsidR="00A17518" w:rsidRPr="0084397D" w14:paraId="571A50C1" w14:textId="77777777" w:rsidTr="00C72C18">
        <w:trPr>
          <w:trHeight w:val="270"/>
        </w:trPr>
        <w:tc>
          <w:tcPr>
            <w:tcW w:w="0" w:type="auto"/>
            <w:tcBorders>
              <w:top w:val="single" w:sz="4" w:space="0" w:color="E5E5E5"/>
              <w:bottom w:val="single" w:sz="4" w:space="0" w:color="E5E5E5"/>
            </w:tcBorders>
          </w:tcPr>
          <w:p w14:paraId="221B1B14"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5</w:t>
            </w:r>
          </w:p>
          <w:p w14:paraId="04EA9DFE"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Stakeholders welcomed the streamlining measures in the reforms. While more time is required to fully assess the effectiveness of the passive foreign government investor exemption certificate, investors are keen to ensure they can maximise the benefits that all types of exemption certificates can provide.</w:t>
            </w:r>
          </w:p>
        </w:tc>
        <w:tc>
          <w:tcPr>
            <w:tcW w:w="0" w:type="auto"/>
            <w:tcBorders>
              <w:top w:val="single" w:sz="4" w:space="0" w:color="E5E5E5"/>
              <w:bottom w:val="single" w:sz="4" w:space="0" w:color="E5E5E5"/>
            </w:tcBorders>
          </w:tcPr>
          <w:p w14:paraId="37BBD6F1"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p>
          <w:p w14:paraId="3C31A1D6"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The Government will immediately seek further public and investor views on ways exemption certificates can be improved.</w:t>
            </w:r>
          </w:p>
        </w:tc>
      </w:tr>
      <w:tr w:rsidR="00A17518" w:rsidRPr="0084397D" w14:paraId="60DB16B2" w14:textId="77777777" w:rsidTr="00C72C18">
        <w:trPr>
          <w:trHeight w:val="270"/>
        </w:trPr>
        <w:tc>
          <w:tcPr>
            <w:tcW w:w="0" w:type="auto"/>
            <w:tcBorders>
              <w:top w:val="single" w:sz="4" w:space="0" w:color="E5E5E5"/>
              <w:bottom w:val="single" w:sz="4" w:space="0" w:color="E5E5E5"/>
            </w:tcBorders>
          </w:tcPr>
          <w:p w14:paraId="2798D6EE"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6</w:t>
            </w:r>
          </w:p>
          <w:p w14:paraId="2D7A21A2"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Stakeholders suggested changes to further clarify, liberalise and simplify the framework. As the economy recovers from COVID-19, it is important to continue exploring options to refine the framework to better facilitate the foreign investment that has been and remains critical to Australia’s economic prosperity, while continuing to manage risks to the national interest and national security.</w:t>
            </w:r>
          </w:p>
        </w:tc>
        <w:tc>
          <w:tcPr>
            <w:tcW w:w="0" w:type="auto"/>
            <w:tcBorders>
              <w:top w:val="single" w:sz="4" w:space="0" w:color="E5E5E5"/>
              <w:bottom w:val="single" w:sz="4" w:space="0" w:color="E5E5E5"/>
            </w:tcBorders>
          </w:tcPr>
          <w:p w14:paraId="41690E08"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p>
          <w:p w14:paraId="764C1C00"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The Government will immediately commence consultation on further refinements to the framework. This process will proceed in two tranches: an initial package of regulation measures in early 2022; and a broader package of legislative and regulation changes in late 2022.</w:t>
            </w:r>
          </w:p>
        </w:tc>
      </w:tr>
      <w:tr w:rsidR="00A17518" w:rsidRPr="00393C56" w14:paraId="116D0F00" w14:textId="77777777" w:rsidTr="00C72C18">
        <w:trPr>
          <w:trHeight w:val="270"/>
        </w:trPr>
        <w:tc>
          <w:tcPr>
            <w:tcW w:w="0" w:type="auto"/>
            <w:tcBorders>
              <w:top w:val="single" w:sz="4" w:space="0" w:color="E5E5E5"/>
              <w:bottom w:val="single" w:sz="4" w:space="0" w:color="E5E5E5"/>
            </w:tcBorders>
          </w:tcPr>
          <w:p w14:paraId="50029DAE"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b/>
                <w:bCs/>
                <w:color w:val="000000"/>
                <w:sz w:val="18"/>
              </w:rPr>
              <w:t>Finding 7</w:t>
            </w:r>
          </w:p>
          <w:p w14:paraId="0F67EF16" w14:textId="77777777" w:rsidR="00A17518" w:rsidRPr="0084397D"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The new fee structure introduced as part of the reforms has ensured the cost of administering the foreign investment framework continues to be borne by foreign investors, and not Australian taxpayers. Aggregate fees collected in the first nine months of 2021 were $13 million higher than in the corresponding period in 2020, reflecting the revised fees framework – where each fee is more closely linked to the transaction size – and an increase in the value of notified investments.</w:t>
            </w:r>
          </w:p>
        </w:tc>
        <w:tc>
          <w:tcPr>
            <w:tcW w:w="0" w:type="auto"/>
            <w:tcBorders>
              <w:top w:val="single" w:sz="4" w:space="0" w:color="E5E5E5"/>
              <w:bottom w:val="single" w:sz="4" w:space="0" w:color="E5E5E5"/>
            </w:tcBorders>
          </w:tcPr>
          <w:p w14:paraId="214BCE6D" w14:textId="77777777" w:rsidR="00A17518" w:rsidRPr="0084397D" w:rsidRDefault="00A17518" w:rsidP="00C72C18">
            <w:pPr>
              <w:spacing w:before="40" w:after="40" w:line="256" w:lineRule="auto"/>
              <w:jc w:val="both"/>
              <w:rPr>
                <w:rFonts w:ascii="Calibri Light" w:hAnsi="Calibri Light"/>
                <w:b/>
                <w:bCs/>
                <w:color w:val="000000"/>
                <w:sz w:val="18"/>
              </w:rPr>
            </w:pPr>
            <w:r w:rsidRPr="0084397D">
              <w:rPr>
                <w:rFonts w:ascii="Calibri Light" w:hAnsi="Calibri Light"/>
                <w:color w:val="000000"/>
                <w:sz w:val="18"/>
              </w:rPr>
              <w:t xml:space="preserve">The Government </w:t>
            </w:r>
            <w:r w:rsidRPr="0084397D">
              <w:rPr>
                <w:rFonts w:ascii="Calibri Light" w:hAnsi="Calibri Light"/>
                <w:b/>
                <w:bCs/>
                <w:color w:val="000000"/>
                <w:sz w:val="18"/>
              </w:rPr>
              <w:t>accepts</w:t>
            </w:r>
            <w:r w:rsidRPr="0084397D">
              <w:rPr>
                <w:rFonts w:ascii="Calibri Light" w:hAnsi="Calibri Light"/>
                <w:color w:val="000000"/>
                <w:sz w:val="18"/>
              </w:rPr>
              <w:t xml:space="preserve"> this finding</w:t>
            </w:r>
            <w:r w:rsidRPr="0084397D">
              <w:rPr>
                <w:rFonts w:ascii="Calibri Light" w:hAnsi="Calibri Light"/>
                <w:b/>
                <w:bCs/>
                <w:color w:val="000000"/>
                <w:sz w:val="18"/>
              </w:rPr>
              <w:t>.</w:t>
            </w:r>
          </w:p>
          <w:p w14:paraId="743ADE3F" w14:textId="77777777" w:rsidR="00A17518" w:rsidRPr="00393C56" w:rsidRDefault="00A17518" w:rsidP="00C72C18">
            <w:pPr>
              <w:spacing w:before="40" w:after="40" w:line="256" w:lineRule="auto"/>
              <w:jc w:val="both"/>
              <w:rPr>
                <w:rFonts w:ascii="Calibri Light" w:hAnsi="Calibri Light"/>
                <w:color w:val="000000"/>
                <w:sz w:val="18"/>
              </w:rPr>
            </w:pPr>
            <w:r w:rsidRPr="0084397D">
              <w:rPr>
                <w:rFonts w:ascii="Calibri Light" w:hAnsi="Calibri Light"/>
                <w:color w:val="000000"/>
                <w:sz w:val="18"/>
              </w:rPr>
              <w:t>The Government maintains that the cost of administering the foreign investment framework should be borne by foreign investors, not Australian taxpayers. It notes that Australia’s continued attractiveness as a destination for foreign investment indicates that fees are not a material deterrent to incoming direct investment.</w:t>
            </w:r>
          </w:p>
        </w:tc>
      </w:tr>
    </w:tbl>
    <w:p w14:paraId="4CF042E0" w14:textId="77777777" w:rsidR="00A17518" w:rsidRPr="00D97841" w:rsidRDefault="00A17518" w:rsidP="00A17518">
      <w:pPr>
        <w:rPr>
          <w:sz w:val="2"/>
          <w:szCs w:val="2"/>
        </w:rPr>
      </w:pPr>
    </w:p>
    <w:sectPr w:rsidR="00A17518" w:rsidRPr="00D97841" w:rsidSect="0084397D">
      <w:headerReference w:type="default" r:id="rId29"/>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1EEFF" w14:textId="77777777" w:rsidR="00194B9B" w:rsidRDefault="00194B9B">
      <w:pPr>
        <w:spacing w:before="0" w:after="0"/>
      </w:pPr>
      <w:r>
        <w:separator/>
      </w:r>
    </w:p>
  </w:endnote>
  <w:endnote w:type="continuationSeparator" w:id="0">
    <w:p w14:paraId="3A229741" w14:textId="77777777" w:rsidR="00194B9B" w:rsidRDefault="00194B9B">
      <w:pPr>
        <w:spacing w:before="0" w:after="0"/>
      </w:pPr>
      <w:r>
        <w:continuationSeparator/>
      </w:r>
    </w:p>
  </w:endnote>
  <w:endnote w:type="continuationNotice" w:id="1">
    <w:p w14:paraId="2272340F" w14:textId="77777777" w:rsidR="00194B9B" w:rsidRDefault="00194B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F29C4" w14:textId="77777777" w:rsidR="00486449" w:rsidRPr="00E77C89" w:rsidRDefault="00486449"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6C819" w14:textId="77777777" w:rsidR="001A05D0" w:rsidRPr="00E77C89" w:rsidRDefault="001A05D0"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F7EFB" w14:textId="77777777" w:rsidR="001A05D0" w:rsidRPr="00E1136B" w:rsidRDefault="001A05D0"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3909B" w14:textId="77777777" w:rsidR="001A05D0" w:rsidRDefault="001A0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239E2" w14:textId="77777777" w:rsidR="00194B9B" w:rsidRDefault="00194B9B">
      <w:pPr>
        <w:spacing w:before="0" w:after="0"/>
      </w:pPr>
      <w:r>
        <w:separator/>
      </w:r>
    </w:p>
  </w:footnote>
  <w:footnote w:type="continuationSeparator" w:id="0">
    <w:p w14:paraId="5429A9AB" w14:textId="77777777" w:rsidR="00194B9B" w:rsidRDefault="00194B9B">
      <w:pPr>
        <w:spacing w:before="0" w:after="0"/>
      </w:pPr>
      <w:r>
        <w:continuationSeparator/>
      </w:r>
    </w:p>
  </w:footnote>
  <w:footnote w:type="continuationNotice" w:id="1">
    <w:p w14:paraId="1FA166BE" w14:textId="77777777" w:rsidR="00194B9B" w:rsidRDefault="00194B9B">
      <w:pPr>
        <w:spacing w:before="0" w:after="0"/>
      </w:pPr>
    </w:p>
  </w:footnote>
  <w:footnote w:id="2">
    <w:p w14:paraId="78AEA701" w14:textId="689AA4C0" w:rsidR="00486449" w:rsidRDefault="00486449" w:rsidP="00DD70D2">
      <w:pPr>
        <w:pStyle w:val="FootnoteText"/>
      </w:pPr>
      <w:r>
        <w:rPr>
          <w:rStyle w:val="FootnoteReference"/>
        </w:rPr>
        <w:footnoteRef/>
      </w:r>
      <w:r>
        <w:t xml:space="preserve"> </w:t>
      </w:r>
      <w:r w:rsidRPr="009801E8">
        <w:t xml:space="preserve">That is, instead of requiring </w:t>
      </w:r>
      <w:r>
        <w:t>a</w:t>
      </w:r>
      <w:r w:rsidRPr="009801E8">
        <w:t xml:space="preserve"> notification to be accompanied by a full application and screening process, </w:t>
      </w:r>
      <w:r>
        <w:t>less</w:t>
      </w:r>
      <w:r>
        <w:noBreakHyphen/>
      </w:r>
      <w:r w:rsidRPr="009801E8">
        <w:t>sensitive investments could be registered to ensure the Government has visibility of the proposed transaction</w:t>
      </w:r>
      <w:r>
        <w:t>.</w:t>
      </w:r>
    </w:p>
  </w:footnote>
  <w:footnote w:id="3">
    <w:p w14:paraId="29C5288F" w14:textId="77777777" w:rsidR="00486449" w:rsidRPr="008310CC" w:rsidRDefault="00486449" w:rsidP="00B56E9C">
      <w:pPr>
        <w:pStyle w:val="FootnoteText"/>
      </w:pPr>
      <w:r>
        <w:rPr>
          <w:rStyle w:val="FootnoteReference"/>
        </w:rPr>
        <w:footnoteRef/>
      </w:r>
      <w:r>
        <w:t xml:space="preserve"> See section 17(2) of the </w:t>
      </w:r>
      <w:r>
        <w:rPr>
          <w:i/>
          <w:iCs/>
        </w:rPr>
        <w:t>Foreign Acquisitions and Takeovers Regulation 2015</w:t>
      </w:r>
      <w:r>
        <w:t xml:space="preserve"> for further information. </w:t>
      </w:r>
    </w:p>
  </w:footnote>
  <w:footnote w:id="4">
    <w:p w14:paraId="545EC183" w14:textId="076C4B97" w:rsidR="00486449" w:rsidRDefault="00486449">
      <w:pPr>
        <w:pStyle w:val="FootnoteText"/>
      </w:pPr>
      <w:r>
        <w:rPr>
          <w:rStyle w:val="FootnoteReference"/>
        </w:rPr>
        <w:footnoteRef/>
      </w:r>
      <w:r>
        <w:t xml:space="preserve"> Based on the most </w:t>
      </w:r>
      <w:r w:rsidR="002959B4">
        <w:t>recent Water Register Report</w:t>
      </w:r>
      <w:r>
        <w:t xml:space="preserve"> (</w:t>
      </w:r>
      <w:r w:rsidR="002959B4">
        <w:t xml:space="preserve">as of </w:t>
      </w:r>
      <w:r>
        <w:t>30 June 202</w:t>
      </w:r>
      <w:r w:rsidR="002959B4">
        <w:t>0</w:t>
      </w:r>
      <w:r>
        <w:t>).</w:t>
      </w:r>
    </w:p>
  </w:footnote>
  <w:footnote w:id="5">
    <w:p w14:paraId="2FC7CE89" w14:textId="77777777" w:rsidR="00486449" w:rsidRDefault="00486449" w:rsidP="006F2C0A">
      <w:pPr>
        <w:pStyle w:val="FootnoteText"/>
      </w:pPr>
      <w:r>
        <w:rPr>
          <w:rStyle w:val="FootnoteReference"/>
        </w:rPr>
        <w:footnoteRef/>
      </w:r>
      <w:r>
        <w:t xml:space="preserve"> </w:t>
      </w:r>
      <w:r w:rsidRPr="00EC77B4">
        <w:t xml:space="preserve">For example, the Australian Taxation Office is investigating whether water entitlements are taxable Australian real property under Division 855 of the </w:t>
      </w:r>
      <w:r w:rsidRPr="00EC77B4">
        <w:rPr>
          <w:i/>
          <w:iCs/>
        </w:rPr>
        <w:t>Income Tax Assessment Act 1997</w:t>
      </w:r>
      <w:r w:rsidRPr="00EC77B4">
        <w:t>, and therefore whether they are subject to Australia’s capital gains tax regime.</w:t>
      </w:r>
    </w:p>
  </w:footnote>
  <w:footnote w:id="6">
    <w:p w14:paraId="690B9B40" w14:textId="731DF871" w:rsidR="00486449" w:rsidRDefault="00486449" w:rsidP="0067631C">
      <w:pPr>
        <w:pStyle w:val="FootnoteText"/>
      </w:pPr>
      <w:r>
        <w:rPr>
          <w:rStyle w:val="FootnoteReference"/>
        </w:rPr>
        <w:footnoteRef/>
      </w:r>
      <w:r>
        <w:t xml:space="preserve"> The Treasury</w:t>
      </w:r>
      <w:r w:rsidRPr="00E04986">
        <w:t xml:space="preserve">, </w:t>
      </w:r>
      <w:r>
        <w:t>“</w:t>
      </w:r>
      <w:hyperlink r:id="rId1" w:history="1">
        <w:r w:rsidRPr="002F519A">
          <w:t>Foreign investment reforms: June 2020</w:t>
        </w:r>
      </w:hyperlink>
      <w:r w:rsidRPr="00E04986">
        <w:t>,</w:t>
      </w:r>
      <w:r>
        <w:t xml:space="preserve">” June 5, 2020, </w:t>
      </w:r>
      <w:r w:rsidRPr="003A2DC5">
        <w:t>https://treasury.gov.au/sites/default/files/2020-06/p2020-87595_0.pdf</w:t>
      </w:r>
      <w:r>
        <w:t xml:space="preserve">, page 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4C1F9" w14:textId="77777777" w:rsidR="00486449" w:rsidRDefault="00486449">
    <w:pPr>
      <w:pStyle w:val="Header"/>
    </w:pPr>
    <w:r>
      <w:rPr>
        <w:noProof/>
        <w:lang w:eastAsia="zh-CN"/>
      </w:rPr>
      <w:drawing>
        <wp:anchor distT="0" distB="0" distL="114300" distR="114300" simplePos="0" relativeHeight="251658240" behindDoc="1" locked="0" layoutInCell="1" allowOverlap="1" wp14:anchorId="4BC4A178" wp14:editId="51736324">
          <wp:simplePos x="0" y="0"/>
          <wp:positionH relativeFrom="page">
            <wp:posOffset>182880</wp:posOffset>
          </wp:positionH>
          <wp:positionV relativeFrom="page">
            <wp:posOffset>320040</wp:posOffset>
          </wp:positionV>
          <wp:extent cx="7198995" cy="100203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5856" w14:textId="77777777" w:rsidR="00486449" w:rsidRPr="001F3912" w:rsidRDefault="00486449"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DBA60" w14:textId="77777777" w:rsidR="00486449" w:rsidRPr="001F3912" w:rsidRDefault="00486449"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8800" w14:textId="77777777" w:rsidR="001A05D0" w:rsidRPr="001F3912" w:rsidRDefault="001A05D0"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5E30" w14:textId="23627E48" w:rsidR="001A05D0" w:rsidRPr="001F3912" w:rsidRDefault="00EC0864" w:rsidP="001606CF">
    <w:pPr>
      <w:pStyle w:val="Header"/>
    </w:pPr>
    <w:fldSimple w:instr=" STYLEREF  Title  \* MERGEFORMAT ">
      <w:r w:rsidR="00811582">
        <w:rPr>
          <w:noProof/>
        </w:rPr>
        <w:t>Enhancing Australia’s foreign investment framework</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A9F7" w14:textId="77777777" w:rsidR="001A05D0" w:rsidRDefault="001A05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2A0B" w14:textId="1C5B3FA4" w:rsidR="00486449" w:rsidRDefault="00194B9B" w:rsidP="001606CF">
    <w:pPr>
      <w:pStyle w:val="Header"/>
    </w:pPr>
    <w:r>
      <w:fldChar w:fldCharType="begin"/>
    </w:r>
    <w:r>
      <w:instrText xml:space="preserve"> STYLEREF  Title  \* MERGEFORMAT </w:instrText>
    </w:r>
    <w:r>
      <w:fldChar w:fldCharType="separate"/>
    </w:r>
    <w:r w:rsidR="00811582">
      <w:rPr>
        <w:noProof/>
      </w:rPr>
      <w:t>Enhancing Australia’s foreign investment framework</w:t>
    </w:r>
    <w:r>
      <w:rPr>
        <w:noProof/>
      </w:rPr>
      <w:fldChar w:fldCharType="end"/>
    </w:r>
  </w:p>
  <w:p w14:paraId="3C618E90" w14:textId="64411AB5" w:rsidR="00486449" w:rsidRPr="00752100" w:rsidRDefault="00486449" w:rsidP="001606CF">
    <w:pPr>
      <w:pStyle w:val="Header"/>
      <w:rPr>
        <w:b/>
        <w:bCs/>
        <w:sz w:val="28"/>
        <w:szCs w:val="28"/>
      </w:rPr>
    </w:pPr>
    <w:r w:rsidRPr="004E4BBF">
      <w:rPr>
        <w:b/>
        <w:bCs/>
        <w:sz w:val="28"/>
        <w:szCs w:val="28"/>
      </w:rPr>
      <w:t xml:space="preserve">Attachment </w:t>
    </w:r>
    <w:r>
      <w:rPr>
        <w:b/>
        <w:bCs/>
        <w:sz w:val="28"/>
        <w:szCs w:val="28"/>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CC4E5D"/>
    <w:multiLevelType w:val="multilevel"/>
    <w:tmpl w:val="D10E9CF6"/>
    <w:numStyleLink w:val="OneLevelList"/>
  </w:abstractNum>
  <w:abstractNum w:abstractNumId="3"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1D4978"/>
    <w:multiLevelType w:val="multilevel"/>
    <w:tmpl w:val="D0AA893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CB169DE"/>
    <w:multiLevelType w:val="multilevel"/>
    <w:tmpl w:val="20D84B18"/>
    <w:lvl w:ilvl="0">
      <w:start w:val="5"/>
      <w:numFmt w:val="decimal"/>
      <w:lvlText w:val="%1"/>
      <w:lvlJc w:val="left"/>
      <w:pPr>
        <w:ind w:left="360" w:hanging="360"/>
      </w:pPr>
      <w:rPr>
        <w:rFonts w:hint="default"/>
      </w:rPr>
    </w:lvl>
    <w:lvl w:ilvl="1">
      <w:start w:val="1"/>
      <w:numFmt w:val="decimal"/>
      <w:lvlText w:val="5.%2"/>
      <w:lvlJc w:val="left"/>
      <w:pPr>
        <w:ind w:left="522" w:hanging="522"/>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05299A"/>
    <w:multiLevelType w:val="multilevel"/>
    <w:tmpl w:val="F5E4D92C"/>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4962"/>
        </w:tabs>
        <w:ind w:left="-4962" w:hanging="284"/>
      </w:pPr>
      <w:rPr>
        <w:rFonts w:ascii="Times New Roman" w:hAnsi="Times New Roman" w:cs="Times New Roman" w:hint="default"/>
        <w:b w:val="0"/>
        <w:i w:val="0"/>
      </w:rPr>
    </w:lvl>
    <w:lvl w:ilvl="2">
      <w:start w:val="1"/>
      <w:numFmt w:val="bullet"/>
      <w:pStyle w:val="DoubleDot"/>
      <w:lvlText w:val=":"/>
      <w:lvlJc w:val="left"/>
      <w:pPr>
        <w:tabs>
          <w:tab w:val="num" w:pos="-4679"/>
        </w:tabs>
        <w:ind w:left="-4679" w:hanging="283"/>
      </w:pPr>
      <w:rPr>
        <w:rFonts w:ascii="Times New Roman" w:hAnsi="Times New Roman" w:cs="Times New Roman" w:hint="default"/>
        <w:b w:val="0"/>
        <w:i w:val="0"/>
      </w:rPr>
    </w:lvl>
    <w:lvl w:ilvl="3">
      <w:start w:val="1"/>
      <w:numFmt w:val="decimal"/>
      <w:lvlText w:val="(%4)"/>
      <w:lvlJc w:val="left"/>
      <w:pPr>
        <w:tabs>
          <w:tab w:val="num" w:pos="-4089"/>
        </w:tabs>
        <w:ind w:left="-4089" w:hanging="360"/>
      </w:pPr>
      <w:rPr>
        <w:rFonts w:hint="default"/>
        <w:b w:val="0"/>
        <w:i w:val="0"/>
      </w:rPr>
    </w:lvl>
    <w:lvl w:ilvl="4">
      <w:start w:val="1"/>
      <w:numFmt w:val="lowerLetter"/>
      <w:lvlText w:val="(%5)"/>
      <w:lvlJc w:val="left"/>
      <w:pPr>
        <w:tabs>
          <w:tab w:val="num" w:pos="-3729"/>
        </w:tabs>
        <w:ind w:left="-3729" w:hanging="360"/>
      </w:pPr>
      <w:rPr>
        <w:rFonts w:hint="default"/>
        <w:b w:val="0"/>
        <w:i w:val="0"/>
      </w:rPr>
    </w:lvl>
    <w:lvl w:ilvl="5">
      <w:start w:val="1"/>
      <w:numFmt w:val="lowerRoman"/>
      <w:lvlText w:val="(%6)"/>
      <w:lvlJc w:val="left"/>
      <w:pPr>
        <w:tabs>
          <w:tab w:val="num" w:pos="-3369"/>
        </w:tabs>
        <w:ind w:left="-3369" w:hanging="360"/>
      </w:pPr>
      <w:rPr>
        <w:rFonts w:hint="default"/>
        <w:b w:val="0"/>
        <w:i w:val="0"/>
      </w:rPr>
    </w:lvl>
    <w:lvl w:ilvl="6">
      <w:start w:val="1"/>
      <w:numFmt w:val="decimal"/>
      <w:lvlText w:val="%7."/>
      <w:lvlJc w:val="left"/>
      <w:pPr>
        <w:tabs>
          <w:tab w:val="num" w:pos="-3009"/>
        </w:tabs>
        <w:ind w:left="-3009" w:hanging="360"/>
      </w:pPr>
      <w:rPr>
        <w:rFonts w:hint="default"/>
        <w:b w:val="0"/>
        <w:i w:val="0"/>
      </w:rPr>
    </w:lvl>
    <w:lvl w:ilvl="7">
      <w:start w:val="1"/>
      <w:numFmt w:val="lowerLetter"/>
      <w:lvlText w:val="%8."/>
      <w:lvlJc w:val="left"/>
      <w:pPr>
        <w:tabs>
          <w:tab w:val="num" w:pos="-2649"/>
        </w:tabs>
        <w:ind w:left="-2649" w:hanging="360"/>
      </w:pPr>
      <w:rPr>
        <w:rFonts w:hint="default"/>
        <w:b w:val="0"/>
        <w:i w:val="0"/>
      </w:rPr>
    </w:lvl>
    <w:lvl w:ilvl="8">
      <w:start w:val="1"/>
      <w:numFmt w:val="lowerRoman"/>
      <w:lvlText w:val="%9."/>
      <w:lvlJc w:val="left"/>
      <w:pPr>
        <w:tabs>
          <w:tab w:val="num" w:pos="-2289"/>
        </w:tabs>
        <w:ind w:left="-2289" w:hanging="360"/>
      </w:pPr>
      <w:rPr>
        <w:rFonts w:hint="default"/>
        <w:b w:val="0"/>
        <w:i w:val="0"/>
      </w:rPr>
    </w:lvl>
  </w:abstractNum>
  <w:abstractNum w:abstractNumId="9"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26C1B57"/>
    <w:multiLevelType w:val="multilevel"/>
    <w:tmpl w:val="78A48ADE"/>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b/>
        <w:bCs/>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BB378A3"/>
    <w:multiLevelType w:val="multilevel"/>
    <w:tmpl w:val="5FA816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9E0E17"/>
    <w:multiLevelType w:val="multilevel"/>
    <w:tmpl w:val="AD66CD82"/>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B104FCE"/>
    <w:multiLevelType w:val="hybridMultilevel"/>
    <w:tmpl w:val="9348C6FC"/>
    <w:lvl w:ilvl="0" w:tplc="81D66E90">
      <w:start w:val="1"/>
      <w:numFmt w:val="decimal"/>
      <w:pStyle w:val="MBPoint"/>
      <w:lvlText w:val="%1."/>
      <w:lvlJc w:val="left"/>
      <w:pPr>
        <w:ind w:left="360" w:hanging="360"/>
      </w:pPr>
      <w:rPr>
        <w:rFonts w:hint="default"/>
      </w:rPr>
    </w:lvl>
    <w:lvl w:ilvl="1" w:tplc="E3EC96A0">
      <w:start w:val="1"/>
      <w:numFmt w:val="lowerLetter"/>
      <w:pStyle w:val="MBPointSub"/>
      <w:lvlText w:val="%2."/>
      <w:lvlJc w:val="left"/>
      <w:pPr>
        <w:ind w:left="1080" w:hanging="360"/>
      </w:pPr>
    </w:lvl>
    <w:lvl w:ilvl="2" w:tplc="F6AEF3F2">
      <w:start w:val="1"/>
      <w:numFmt w:val="lowerRoman"/>
      <w:lvlText w:val="%3."/>
      <w:lvlJc w:val="right"/>
      <w:pPr>
        <w:ind w:left="1800" w:hanging="180"/>
      </w:pPr>
    </w:lvl>
    <w:lvl w:ilvl="3" w:tplc="47E8F86A" w:tentative="1">
      <w:start w:val="1"/>
      <w:numFmt w:val="decimal"/>
      <w:lvlText w:val="%4."/>
      <w:lvlJc w:val="left"/>
      <w:pPr>
        <w:ind w:left="2520" w:hanging="360"/>
      </w:pPr>
    </w:lvl>
    <w:lvl w:ilvl="4" w:tplc="C4AA36C6" w:tentative="1">
      <w:start w:val="1"/>
      <w:numFmt w:val="lowerLetter"/>
      <w:lvlText w:val="%5."/>
      <w:lvlJc w:val="left"/>
      <w:pPr>
        <w:ind w:left="3240" w:hanging="360"/>
      </w:pPr>
    </w:lvl>
    <w:lvl w:ilvl="5" w:tplc="CF80FE26" w:tentative="1">
      <w:start w:val="1"/>
      <w:numFmt w:val="lowerRoman"/>
      <w:lvlText w:val="%6."/>
      <w:lvlJc w:val="right"/>
      <w:pPr>
        <w:ind w:left="3960" w:hanging="180"/>
      </w:pPr>
    </w:lvl>
    <w:lvl w:ilvl="6" w:tplc="A928CD78" w:tentative="1">
      <w:start w:val="1"/>
      <w:numFmt w:val="decimal"/>
      <w:lvlText w:val="%7."/>
      <w:lvlJc w:val="left"/>
      <w:pPr>
        <w:ind w:left="4680" w:hanging="360"/>
      </w:pPr>
    </w:lvl>
    <w:lvl w:ilvl="7" w:tplc="F8E8A22E" w:tentative="1">
      <w:start w:val="1"/>
      <w:numFmt w:val="lowerLetter"/>
      <w:lvlText w:val="%8."/>
      <w:lvlJc w:val="left"/>
      <w:pPr>
        <w:ind w:left="5400" w:hanging="360"/>
      </w:pPr>
    </w:lvl>
    <w:lvl w:ilvl="8" w:tplc="466E61D4" w:tentative="1">
      <w:start w:val="1"/>
      <w:numFmt w:val="lowerRoman"/>
      <w:lvlText w:val="%9."/>
      <w:lvlJc w:val="right"/>
      <w:pPr>
        <w:ind w:left="6120" w:hanging="180"/>
      </w:pPr>
    </w:lvl>
  </w:abstractNum>
  <w:abstractNum w:abstractNumId="15" w15:restartNumberingAfterBreak="0">
    <w:nsid w:val="720B6F05"/>
    <w:multiLevelType w:val="multilevel"/>
    <w:tmpl w:val="0450EA7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num w:numId="1">
    <w:abstractNumId w:val="8"/>
  </w:num>
  <w:num w:numId="2">
    <w:abstractNumId w:val="0"/>
  </w:num>
  <w:num w:numId="3">
    <w:abstractNumId w:val="11"/>
  </w:num>
  <w:num w:numId="4">
    <w:abstractNumId w:val="1"/>
  </w:num>
  <w:num w:numId="5">
    <w:abstractNumId w:val="2"/>
  </w:num>
  <w:num w:numId="6">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3"/>
  </w:num>
  <w:num w:numId="8">
    <w:abstractNumId w:val="7"/>
  </w:num>
  <w:num w:numId="9">
    <w:abstractNumId w:val="9"/>
  </w:num>
  <w:num w:numId="10">
    <w:abstractNumId w:val="6"/>
  </w:num>
  <w:num w:numId="11">
    <w:abstractNumId w:val="14"/>
  </w:num>
  <w:num w:numId="12">
    <w:abstractNumId w:val="10"/>
  </w:num>
  <w:num w:numId="13">
    <w:abstractNumId w:val="4"/>
  </w:num>
  <w:num w:numId="14">
    <w:abstractNumId w:val="13"/>
  </w:num>
  <w:num w:numId="15">
    <w:abstractNumId w:val="12"/>
  </w:num>
  <w:num w:numId="16">
    <w:abstractNumId w:val="5"/>
  </w:num>
  <w:num w:numId="1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883"/>
    <w:rsid w:val="00000DFE"/>
    <w:rsid w:val="000011AF"/>
    <w:rsid w:val="000012C9"/>
    <w:rsid w:val="0000186E"/>
    <w:rsid w:val="00001B12"/>
    <w:rsid w:val="00002D02"/>
    <w:rsid w:val="00004124"/>
    <w:rsid w:val="0000789E"/>
    <w:rsid w:val="0001037D"/>
    <w:rsid w:val="00011725"/>
    <w:rsid w:val="000122D1"/>
    <w:rsid w:val="00012C62"/>
    <w:rsid w:val="00012D77"/>
    <w:rsid w:val="0001375C"/>
    <w:rsid w:val="0001494B"/>
    <w:rsid w:val="00016680"/>
    <w:rsid w:val="00020CFA"/>
    <w:rsid w:val="00024281"/>
    <w:rsid w:val="000242F3"/>
    <w:rsid w:val="000244B8"/>
    <w:rsid w:val="0002544D"/>
    <w:rsid w:val="000255D7"/>
    <w:rsid w:val="00026875"/>
    <w:rsid w:val="000310FA"/>
    <w:rsid w:val="00032F58"/>
    <w:rsid w:val="00035441"/>
    <w:rsid w:val="0004173B"/>
    <w:rsid w:val="00041A8B"/>
    <w:rsid w:val="0004274D"/>
    <w:rsid w:val="00043396"/>
    <w:rsid w:val="00044335"/>
    <w:rsid w:val="00044C0A"/>
    <w:rsid w:val="0004556D"/>
    <w:rsid w:val="00045CF5"/>
    <w:rsid w:val="00050578"/>
    <w:rsid w:val="000518EC"/>
    <w:rsid w:val="00054457"/>
    <w:rsid w:val="00055D0C"/>
    <w:rsid w:val="00055E7A"/>
    <w:rsid w:val="00056880"/>
    <w:rsid w:val="00056A22"/>
    <w:rsid w:val="00062BE1"/>
    <w:rsid w:val="00064845"/>
    <w:rsid w:val="00065316"/>
    <w:rsid w:val="00065AEA"/>
    <w:rsid w:val="00067447"/>
    <w:rsid w:val="000675D1"/>
    <w:rsid w:val="00070D15"/>
    <w:rsid w:val="00070F79"/>
    <w:rsid w:val="0007102C"/>
    <w:rsid w:val="0007135C"/>
    <w:rsid w:val="00072159"/>
    <w:rsid w:val="00072352"/>
    <w:rsid w:val="00073521"/>
    <w:rsid w:val="0007504F"/>
    <w:rsid w:val="000775DE"/>
    <w:rsid w:val="00081562"/>
    <w:rsid w:val="000821A7"/>
    <w:rsid w:val="0008585B"/>
    <w:rsid w:val="000858F2"/>
    <w:rsid w:val="00086BF4"/>
    <w:rsid w:val="00087FAF"/>
    <w:rsid w:val="000932F6"/>
    <w:rsid w:val="000942FC"/>
    <w:rsid w:val="000959FC"/>
    <w:rsid w:val="00095F0D"/>
    <w:rsid w:val="00096BF1"/>
    <w:rsid w:val="000978B2"/>
    <w:rsid w:val="000A18FD"/>
    <w:rsid w:val="000A29B4"/>
    <w:rsid w:val="000A46CE"/>
    <w:rsid w:val="000A5F5F"/>
    <w:rsid w:val="000A77EF"/>
    <w:rsid w:val="000B01B7"/>
    <w:rsid w:val="000B0516"/>
    <w:rsid w:val="000B083F"/>
    <w:rsid w:val="000B1FAC"/>
    <w:rsid w:val="000B311E"/>
    <w:rsid w:val="000B3982"/>
    <w:rsid w:val="000B3A14"/>
    <w:rsid w:val="000B3C26"/>
    <w:rsid w:val="000B6333"/>
    <w:rsid w:val="000B6BDB"/>
    <w:rsid w:val="000B6E86"/>
    <w:rsid w:val="000C0804"/>
    <w:rsid w:val="000C38C8"/>
    <w:rsid w:val="000C390F"/>
    <w:rsid w:val="000C3EF4"/>
    <w:rsid w:val="000C47ED"/>
    <w:rsid w:val="000C5AC5"/>
    <w:rsid w:val="000C5F40"/>
    <w:rsid w:val="000D2B17"/>
    <w:rsid w:val="000D3FD4"/>
    <w:rsid w:val="000D5783"/>
    <w:rsid w:val="000D60AF"/>
    <w:rsid w:val="000D60B4"/>
    <w:rsid w:val="000D63AE"/>
    <w:rsid w:val="000D7E2B"/>
    <w:rsid w:val="000E0B74"/>
    <w:rsid w:val="000E148A"/>
    <w:rsid w:val="000E2BE1"/>
    <w:rsid w:val="000E3C5A"/>
    <w:rsid w:val="000E4B5B"/>
    <w:rsid w:val="000E5495"/>
    <w:rsid w:val="000E60E1"/>
    <w:rsid w:val="000E6547"/>
    <w:rsid w:val="000F0BF8"/>
    <w:rsid w:val="000F11A9"/>
    <w:rsid w:val="000F2AA1"/>
    <w:rsid w:val="000F7517"/>
    <w:rsid w:val="000F7748"/>
    <w:rsid w:val="001021DC"/>
    <w:rsid w:val="001039C3"/>
    <w:rsid w:val="0010587A"/>
    <w:rsid w:val="001065FB"/>
    <w:rsid w:val="00107BC7"/>
    <w:rsid w:val="00107E02"/>
    <w:rsid w:val="00114B55"/>
    <w:rsid w:val="00115F37"/>
    <w:rsid w:val="001167F9"/>
    <w:rsid w:val="00117E3A"/>
    <w:rsid w:val="001203F3"/>
    <w:rsid w:val="0012159B"/>
    <w:rsid w:val="0012185E"/>
    <w:rsid w:val="00121936"/>
    <w:rsid w:val="00121BF1"/>
    <w:rsid w:val="00121D1B"/>
    <w:rsid w:val="00121F14"/>
    <w:rsid w:val="001229BF"/>
    <w:rsid w:val="001317FF"/>
    <w:rsid w:val="00131DA3"/>
    <w:rsid w:val="00132F64"/>
    <w:rsid w:val="0013517C"/>
    <w:rsid w:val="001353C9"/>
    <w:rsid w:val="001355BF"/>
    <w:rsid w:val="00135A78"/>
    <w:rsid w:val="00135B8B"/>
    <w:rsid w:val="001360DA"/>
    <w:rsid w:val="0014091C"/>
    <w:rsid w:val="0014237E"/>
    <w:rsid w:val="001432A3"/>
    <w:rsid w:val="0014370D"/>
    <w:rsid w:val="0014593D"/>
    <w:rsid w:val="00147DA3"/>
    <w:rsid w:val="00150219"/>
    <w:rsid w:val="00151E5C"/>
    <w:rsid w:val="00154199"/>
    <w:rsid w:val="001563D4"/>
    <w:rsid w:val="001564EF"/>
    <w:rsid w:val="00156774"/>
    <w:rsid w:val="001606CF"/>
    <w:rsid w:val="0016128D"/>
    <w:rsid w:val="00162AEC"/>
    <w:rsid w:val="001632ED"/>
    <w:rsid w:val="00163758"/>
    <w:rsid w:val="00163CFB"/>
    <w:rsid w:val="00164301"/>
    <w:rsid w:val="0017089D"/>
    <w:rsid w:val="001738D6"/>
    <w:rsid w:val="00174CFA"/>
    <w:rsid w:val="00174FEA"/>
    <w:rsid w:val="00176BFC"/>
    <w:rsid w:val="001849A1"/>
    <w:rsid w:val="00185C1D"/>
    <w:rsid w:val="0019101A"/>
    <w:rsid w:val="001921BA"/>
    <w:rsid w:val="00192BF6"/>
    <w:rsid w:val="00194B9B"/>
    <w:rsid w:val="00194F97"/>
    <w:rsid w:val="001965A5"/>
    <w:rsid w:val="001A05D0"/>
    <w:rsid w:val="001A180B"/>
    <w:rsid w:val="001A28D7"/>
    <w:rsid w:val="001A4F0E"/>
    <w:rsid w:val="001B0409"/>
    <w:rsid w:val="001B1CB4"/>
    <w:rsid w:val="001B34FF"/>
    <w:rsid w:val="001B359D"/>
    <w:rsid w:val="001B4633"/>
    <w:rsid w:val="001B477B"/>
    <w:rsid w:val="001B5504"/>
    <w:rsid w:val="001B7AD7"/>
    <w:rsid w:val="001C17E5"/>
    <w:rsid w:val="001C2065"/>
    <w:rsid w:val="001C3167"/>
    <w:rsid w:val="001C358D"/>
    <w:rsid w:val="001C493B"/>
    <w:rsid w:val="001C4B25"/>
    <w:rsid w:val="001C4D2A"/>
    <w:rsid w:val="001C5668"/>
    <w:rsid w:val="001C6353"/>
    <w:rsid w:val="001C65DF"/>
    <w:rsid w:val="001C73EF"/>
    <w:rsid w:val="001C7B4B"/>
    <w:rsid w:val="001C7DE6"/>
    <w:rsid w:val="001D1C96"/>
    <w:rsid w:val="001D252B"/>
    <w:rsid w:val="001D4EAA"/>
    <w:rsid w:val="001D5A99"/>
    <w:rsid w:val="001D634C"/>
    <w:rsid w:val="001E222F"/>
    <w:rsid w:val="001E4713"/>
    <w:rsid w:val="001E4B10"/>
    <w:rsid w:val="001E69F8"/>
    <w:rsid w:val="001E7076"/>
    <w:rsid w:val="001F284D"/>
    <w:rsid w:val="001F4A78"/>
    <w:rsid w:val="00204D2C"/>
    <w:rsid w:val="002074AE"/>
    <w:rsid w:val="002079EF"/>
    <w:rsid w:val="002117E6"/>
    <w:rsid w:val="0021229B"/>
    <w:rsid w:val="00212B5A"/>
    <w:rsid w:val="00213FD9"/>
    <w:rsid w:val="0021455F"/>
    <w:rsid w:val="00216FAF"/>
    <w:rsid w:val="002202D1"/>
    <w:rsid w:val="0022190E"/>
    <w:rsid w:val="00224ED3"/>
    <w:rsid w:val="002253AB"/>
    <w:rsid w:val="00225E55"/>
    <w:rsid w:val="00226B51"/>
    <w:rsid w:val="00231016"/>
    <w:rsid w:val="00231049"/>
    <w:rsid w:val="002314D2"/>
    <w:rsid w:val="00232ADD"/>
    <w:rsid w:val="00234699"/>
    <w:rsid w:val="00234A43"/>
    <w:rsid w:val="00235554"/>
    <w:rsid w:val="00236C39"/>
    <w:rsid w:val="00236C99"/>
    <w:rsid w:val="00236EF2"/>
    <w:rsid w:val="002372A6"/>
    <w:rsid w:val="00244AA4"/>
    <w:rsid w:val="00247C8A"/>
    <w:rsid w:val="002514E7"/>
    <w:rsid w:val="00252158"/>
    <w:rsid w:val="00252B34"/>
    <w:rsid w:val="00252CEC"/>
    <w:rsid w:val="002557A7"/>
    <w:rsid w:val="00257811"/>
    <w:rsid w:val="00257AEE"/>
    <w:rsid w:val="002604EB"/>
    <w:rsid w:val="00262186"/>
    <w:rsid w:val="00263322"/>
    <w:rsid w:val="00263B6C"/>
    <w:rsid w:val="00270651"/>
    <w:rsid w:val="00271A77"/>
    <w:rsid w:val="002752E7"/>
    <w:rsid w:val="0027590B"/>
    <w:rsid w:val="00280BD9"/>
    <w:rsid w:val="00281161"/>
    <w:rsid w:val="00282582"/>
    <w:rsid w:val="00282D95"/>
    <w:rsid w:val="00283723"/>
    <w:rsid w:val="00285067"/>
    <w:rsid w:val="00285969"/>
    <w:rsid w:val="00286393"/>
    <w:rsid w:val="002907B5"/>
    <w:rsid w:val="00292961"/>
    <w:rsid w:val="002940EC"/>
    <w:rsid w:val="002959B4"/>
    <w:rsid w:val="002A1CBB"/>
    <w:rsid w:val="002A1E36"/>
    <w:rsid w:val="002A799A"/>
    <w:rsid w:val="002A7ADB"/>
    <w:rsid w:val="002B09BA"/>
    <w:rsid w:val="002B1ED6"/>
    <w:rsid w:val="002B3829"/>
    <w:rsid w:val="002B4552"/>
    <w:rsid w:val="002B4866"/>
    <w:rsid w:val="002B4D4D"/>
    <w:rsid w:val="002B5C39"/>
    <w:rsid w:val="002B6D2B"/>
    <w:rsid w:val="002B74FB"/>
    <w:rsid w:val="002C01F7"/>
    <w:rsid w:val="002C1F95"/>
    <w:rsid w:val="002C4A84"/>
    <w:rsid w:val="002D1E0D"/>
    <w:rsid w:val="002D2F20"/>
    <w:rsid w:val="002D488F"/>
    <w:rsid w:val="002D5006"/>
    <w:rsid w:val="002D5504"/>
    <w:rsid w:val="002D6051"/>
    <w:rsid w:val="002E129A"/>
    <w:rsid w:val="002E14FD"/>
    <w:rsid w:val="002E2F04"/>
    <w:rsid w:val="002F2525"/>
    <w:rsid w:val="002F2DB7"/>
    <w:rsid w:val="002F2FBF"/>
    <w:rsid w:val="002F478B"/>
    <w:rsid w:val="002F4AA8"/>
    <w:rsid w:val="002F519A"/>
    <w:rsid w:val="002F55A3"/>
    <w:rsid w:val="002F617F"/>
    <w:rsid w:val="003001C7"/>
    <w:rsid w:val="003006CC"/>
    <w:rsid w:val="003009B5"/>
    <w:rsid w:val="00300E2F"/>
    <w:rsid w:val="003011B1"/>
    <w:rsid w:val="00301E53"/>
    <w:rsid w:val="003037AB"/>
    <w:rsid w:val="00303FA8"/>
    <w:rsid w:val="0030413F"/>
    <w:rsid w:val="00304BF5"/>
    <w:rsid w:val="00305A8B"/>
    <w:rsid w:val="00305E71"/>
    <w:rsid w:val="003076AB"/>
    <w:rsid w:val="0031170C"/>
    <w:rsid w:val="00311866"/>
    <w:rsid w:val="003122F4"/>
    <w:rsid w:val="003127D2"/>
    <w:rsid w:val="00313408"/>
    <w:rsid w:val="00313B7D"/>
    <w:rsid w:val="003158BC"/>
    <w:rsid w:val="00320EFC"/>
    <w:rsid w:val="00320F69"/>
    <w:rsid w:val="0032153A"/>
    <w:rsid w:val="0032296D"/>
    <w:rsid w:val="003261E2"/>
    <w:rsid w:val="003268D5"/>
    <w:rsid w:val="003326B8"/>
    <w:rsid w:val="00333558"/>
    <w:rsid w:val="003350EC"/>
    <w:rsid w:val="00335427"/>
    <w:rsid w:val="00340FC1"/>
    <w:rsid w:val="003430DC"/>
    <w:rsid w:val="003441A7"/>
    <w:rsid w:val="00344779"/>
    <w:rsid w:val="00346380"/>
    <w:rsid w:val="00347004"/>
    <w:rsid w:val="00347019"/>
    <w:rsid w:val="0034780D"/>
    <w:rsid w:val="00353F46"/>
    <w:rsid w:val="00353FD5"/>
    <w:rsid w:val="003543B5"/>
    <w:rsid w:val="00354D27"/>
    <w:rsid w:val="00354FBB"/>
    <w:rsid w:val="00356D86"/>
    <w:rsid w:val="0036126E"/>
    <w:rsid w:val="00363234"/>
    <w:rsid w:val="00364216"/>
    <w:rsid w:val="003655CD"/>
    <w:rsid w:val="00365E3D"/>
    <w:rsid w:val="00365EC5"/>
    <w:rsid w:val="003722B2"/>
    <w:rsid w:val="00372358"/>
    <w:rsid w:val="00373E02"/>
    <w:rsid w:val="00374331"/>
    <w:rsid w:val="003744F8"/>
    <w:rsid w:val="00376690"/>
    <w:rsid w:val="00376A7E"/>
    <w:rsid w:val="00376BF1"/>
    <w:rsid w:val="003813F2"/>
    <w:rsid w:val="003825A9"/>
    <w:rsid w:val="003839F0"/>
    <w:rsid w:val="00383AC3"/>
    <w:rsid w:val="00384BAD"/>
    <w:rsid w:val="003857C3"/>
    <w:rsid w:val="003858A6"/>
    <w:rsid w:val="0038731D"/>
    <w:rsid w:val="00392DCC"/>
    <w:rsid w:val="00392EE5"/>
    <w:rsid w:val="00393F62"/>
    <w:rsid w:val="00397373"/>
    <w:rsid w:val="00397CD5"/>
    <w:rsid w:val="00397CEF"/>
    <w:rsid w:val="003A09CB"/>
    <w:rsid w:val="003A0C9B"/>
    <w:rsid w:val="003A2DC5"/>
    <w:rsid w:val="003A3147"/>
    <w:rsid w:val="003A51A8"/>
    <w:rsid w:val="003A534E"/>
    <w:rsid w:val="003B041F"/>
    <w:rsid w:val="003B1392"/>
    <w:rsid w:val="003B1687"/>
    <w:rsid w:val="003B2557"/>
    <w:rsid w:val="003B4B7C"/>
    <w:rsid w:val="003B4C5C"/>
    <w:rsid w:val="003B6D84"/>
    <w:rsid w:val="003C0D07"/>
    <w:rsid w:val="003C18EF"/>
    <w:rsid w:val="003C346F"/>
    <w:rsid w:val="003C392C"/>
    <w:rsid w:val="003C5D90"/>
    <w:rsid w:val="003C7011"/>
    <w:rsid w:val="003D1948"/>
    <w:rsid w:val="003D1D34"/>
    <w:rsid w:val="003D47F6"/>
    <w:rsid w:val="003D5C92"/>
    <w:rsid w:val="003D7121"/>
    <w:rsid w:val="003E0F95"/>
    <w:rsid w:val="003E2427"/>
    <w:rsid w:val="003E38B0"/>
    <w:rsid w:val="003E44E8"/>
    <w:rsid w:val="003E4A0E"/>
    <w:rsid w:val="003E4D87"/>
    <w:rsid w:val="003E7A53"/>
    <w:rsid w:val="003F0A71"/>
    <w:rsid w:val="003F2E27"/>
    <w:rsid w:val="003F39AC"/>
    <w:rsid w:val="003F3DDE"/>
    <w:rsid w:val="003F448E"/>
    <w:rsid w:val="003F5729"/>
    <w:rsid w:val="003F6D90"/>
    <w:rsid w:val="003F7115"/>
    <w:rsid w:val="003F71F2"/>
    <w:rsid w:val="004002E3"/>
    <w:rsid w:val="00400C7D"/>
    <w:rsid w:val="004014B8"/>
    <w:rsid w:val="00401E79"/>
    <w:rsid w:val="0040230D"/>
    <w:rsid w:val="004031DB"/>
    <w:rsid w:val="00404F10"/>
    <w:rsid w:val="004051E7"/>
    <w:rsid w:val="004063A7"/>
    <w:rsid w:val="00406ECA"/>
    <w:rsid w:val="00407BDA"/>
    <w:rsid w:val="00410106"/>
    <w:rsid w:val="00410F09"/>
    <w:rsid w:val="0041333B"/>
    <w:rsid w:val="00414D6C"/>
    <w:rsid w:val="00415FCD"/>
    <w:rsid w:val="00416762"/>
    <w:rsid w:val="00420B1F"/>
    <w:rsid w:val="00421351"/>
    <w:rsid w:val="004229BF"/>
    <w:rsid w:val="00423D23"/>
    <w:rsid w:val="00424387"/>
    <w:rsid w:val="00424CEB"/>
    <w:rsid w:val="004253D5"/>
    <w:rsid w:val="00425DDB"/>
    <w:rsid w:val="00431D78"/>
    <w:rsid w:val="00432BCE"/>
    <w:rsid w:val="00432F17"/>
    <w:rsid w:val="0043356D"/>
    <w:rsid w:val="00434493"/>
    <w:rsid w:val="004409E4"/>
    <w:rsid w:val="00440A94"/>
    <w:rsid w:val="00441F46"/>
    <w:rsid w:val="0044220B"/>
    <w:rsid w:val="00442CAF"/>
    <w:rsid w:val="00445265"/>
    <w:rsid w:val="004518E0"/>
    <w:rsid w:val="00451D3B"/>
    <w:rsid w:val="004538DC"/>
    <w:rsid w:val="00454626"/>
    <w:rsid w:val="004559CE"/>
    <w:rsid w:val="00457AC4"/>
    <w:rsid w:val="00457CA7"/>
    <w:rsid w:val="004617A7"/>
    <w:rsid w:val="00461BC3"/>
    <w:rsid w:val="004625D5"/>
    <w:rsid w:val="004627D9"/>
    <w:rsid w:val="004631A0"/>
    <w:rsid w:val="004635FF"/>
    <w:rsid w:val="00465201"/>
    <w:rsid w:val="004669B3"/>
    <w:rsid w:val="004714AA"/>
    <w:rsid w:val="0047251C"/>
    <w:rsid w:val="0047282A"/>
    <w:rsid w:val="00472EFF"/>
    <w:rsid w:val="00473C33"/>
    <w:rsid w:val="0047405F"/>
    <w:rsid w:val="00474910"/>
    <w:rsid w:val="00475A3B"/>
    <w:rsid w:val="00475B7B"/>
    <w:rsid w:val="00475CB9"/>
    <w:rsid w:val="00475F4D"/>
    <w:rsid w:val="00480C20"/>
    <w:rsid w:val="00481AA7"/>
    <w:rsid w:val="004829F8"/>
    <w:rsid w:val="00482AD1"/>
    <w:rsid w:val="00483049"/>
    <w:rsid w:val="0048320A"/>
    <w:rsid w:val="00486449"/>
    <w:rsid w:val="00487722"/>
    <w:rsid w:val="004919FE"/>
    <w:rsid w:val="00492207"/>
    <w:rsid w:val="00492FCB"/>
    <w:rsid w:val="004938D1"/>
    <w:rsid w:val="00493C08"/>
    <w:rsid w:val="004951A8"/>
    <w:rsid w:val="00496809"/>
    <w:rsid w:val="00497525"/>
    <w:rsid w:val="00497E15"/>
    <w:rsid w:val="004A077D"/>
    <w:rsid w:val="004A23B8"/>
    <w:rsid w:val="004A2C0B"/>
    <w:rsid w:val="004A41CC"/>
    <w:rsid w:val="004A4BFC"/>
    <w:rsid w:val="004A56C1"/>
    <w:rsid w:val="004A5C5F"/>
    <w:rsid w:val="004A5FA5"/>
    <w:rsid w:val="004A7BC2"/>
    <w:rsid w:val="004B06A6"/>
    <w:rsid w:val="004B12A8"/>
    <w:rsid w:val="004C063A"/>
    <w:rsid w:val="004C111C"/>
    <w:rsid w:val="004C42B5"/>
    <w:rsid w:val="004C52D0"/>
    <w:rsid w:val="004C5313"/>
    <w:rsid w:val="004C6B8A"/>
    <w:rsid w:val="004D306A"/>
    <w:rsid w:val="004D426A"/>
    <w:rsid w:val="004D555B"/>
    <w:rsid w:val="004D7593"/>
    <w:rsid w:val="004E393F"/>
    <w:rsid w:val="004E4BBF"/>
    <w:rsid w:val="004E4F7F"/>
    <w:rsid w:val="004E6888"/>
    <w:rsid w:val="004F0D1B"/>
    <w:rsid w:val="004F1164"/>
    <w:rsid w:val="004F1F6A"/>
    <w:rsid w:val="004F2150"/>
    <w:rsid w:val="004F22FF"/>
    <w:rsid w:val="0050316B"/>
    <w:rsid w:val="00503D24"/>
    <w:rsid w:val="005062CA"/>
    <w:rsid w:val="005075E2"/>
    <w:rsid w:val="00510E02"/>
    <w:rsid w:val="00511586"/>
    <w:rsid w:val="00511972"/>
    <w:rsid w:val="00511EBE"/>
    <w:rsid w:val="00513382"/>
    <w:rsid w:val="005161FF"/>
    <w:rsid w:val="00516292"/>
    <w:rsid w:val="00516785"/>
    <w:rsid w:val="005202A3"/>
    <w:rsid w:val="0052338F"/>
    <w:rsid w:val="0052419D"/>
    <w:rsid w:val="00524EED"/>
    <w:rsid w:val="0052547C"/>
    <w:rsid w:val="00526013"/>
    <w:rsid w:val="005301F8"/>
    <w:rsid w:val="005312FC"/>
    <w:rsid w:val="00531733"/>
    <w:rsid w:val="00531BD4"/>
    <w:rsid w:val="00532F6F"/>
    <w:rsid w:val="005333A0"/>
    <w:rsid w:val="005342FD"/>
    <w:rsid w:val="00535F71"/>
    <w:rsid w:val="0053603D"/>
    <w:rsid w:val="00536AD6"/>
    <w:rsid w:val="0054253B"/>
    <w:rsid w:val="005449F8"/>
    <w:rsid w:val="0054510B"/>
    <w:rsid w:val="005463E8"/>
    <w:rsid w:val="00550D81"/>
    <w:rsid w:val="005536FA"/>
    <w:rsid w:val="0055478D"/>
    <w:rsid w:val="00555B96"/>
    <w:rsid w:val="00556023"/>
    <w:rsid w:val="00556404"/>
    <w:rsid w:val="0056000A"/>
    <w:rsid w:val="00566F35"/>
    <w:rsid w:val="005679C0"/>
    <w:rsid w:val="005733C9"/>
    <w:rsid w:val="00575E93"/>
    <w:rsid w:val="00583720"/>
    <w:rsid w:val="005868DE"/>
    <w:rsid w:val="00586A80"/>
    <w:rsid w:val="005900E3"/>
    <w:rsid w:val="00590392"/>
    <w:rsid w:val="00596F3E"/>
    <w:rsid w:val="0059724D"/>
    <w:rsid w:val="005A097B"/>
    <w:rsid w:val="005A1508"/>
    <w:rsid w:val="005A563A"/>
    <w:rsid w:val="005A59A0"/>
    <w:rsid w:val="005A5FB9"/>
    <w:rsid w:val="005A7C33"/>
    <w:rsid w:val="005B3DBE"/>
    <w:rsid w:val="005B4379"/>
    <w:rsid w:val="005B7B6F"/>
    <w:rsid w:val="005C1399"/>
    <w:rsid w:val="005C4234"/>
    <w:rsid w:val="005C563F"/>
    <w:rsid w:val="005D01A6"/>
    <w:rsid w:val="005D11C7"/>
    <w:rsid w:val="005D3EAD"/>
    <w:rsid w:val="005D4825"/>
    <w:rsid w:val="005D4C08"/>
    <w:rsid w:val="005D6B66"/>
    <w:rsid w:val="005D6E53"/>
    <w:rsid w:val="005D7637"/>
    <w:rsid w:val="005D76E2"/>
    <w:rsid w:val="005E2C3F"/>
    <w:rsid w:val="005E2C81"/>
    <w:rsid w:val="005E41E8"/>
    <w:rsid w:val="005E4EDC"/>
    <w:rsid w:val="005E506D"/>
    <w:rsid w:val="005E5268"/>
    <w:rsid w:val="005E582F"/>
    <w:rsid w:val="005E7049"/>
    <w:rsid w:val="005F03AF"/>
    <w:rsid w:val="005F0F91"/>
    <w:rsid w:val="005F280F"/>
    <w:rsid w:val="005F69FA"/>
    <w:rsid w:val="005F7113"/>
    <w:rsid w:val="005F7EC6"/>
    <w:rsid w:val="006010E7"/>
    <w:rsid w:val="00602E99"/>
    <w:rsid w:val="00603E40"/>
    <w:rsid w:val="0060595B"/>
    <w:rsid w:val="00605AFD"/>
    <w:rsid w:val="00607A32"/>
    <w:rsid w:val="00607C7C"/>
    <w:rsid w:val="00611E65"/>
    <w:rsid w:val="006123D4"/>
    <w:rsid w:val="006206C1"/>
    <w:rsid w:val="00620D06"/>
    <w:rsid w:val="006220B9"/>
    <w:rsid w:val="00623C90"/>
    <w:rsid w:val="00624607"/>
    <w:rsid w:val="00624938"/>
    <w:rsid w:val="006266BB"/>
    <w:rsid w:val="00626FDF"/>
    <w:rsid w:val="00627CA2"/>
    <w:rsid w:val="00630952"/>
    <w:rsid w:val="0063162A"/>
    <w:rsid w:val="00631B36"/>
    <w:rsid w:val="00632FF6"/>
    <w:rsid w:val="00637C14"/>
    <w:rsid w:val="00640958"/>
    <w:rsid w:val="00641642"/>
    <w:rsid w:val="00641B93"/>
    <w:rsid w:val="00643DA8"/>
    <w:rsid w:val="00644A13"/>
    <w:rsid w:val="00646290"/>
    <w:rsid w:val="006518D0"/>
    <w:rsid w:val="00652BF0"/>
    <w:rsid w:val="006530EA"/>
    <w:rsid w:val="00653A8A"/>
    <w:rsid w:val="00654B47"/>
    <w:rsid w:val="0065564E"/>
    <w:rsid w:val="00656356"/>
    <w:rsid w:val="00657A6E"/>
    <w:rsid w:val="00660AD6"/>
    <w:rsid w:val="006616E6"/>
    <w:rsid w:val="006620C4"/>
    <w:rsid w:val="006628C4"/>
    <w:rsid w:val="00663425"/>
    <w:rsid w:val="006650A7"/>
    <w:rsid w:val="0066561D"/>
    <w:rsid w:val="00665D73"/>
    <w:rsid w:val="00673ADA"/>
    <w:rsid w:val="006753A0"/>
    <w:rsid w:val="006755BF"/>
    <w:rsid w:val="00675B34"/>
    <w:rsid w:val="0067631C"/>
    <w:rsid w:val="00680622"/>
    <w:rsid w:val="0068091C"/>
    <w:rsid w:val="00680ACF"/>
    <w:rsid w:val="00682418"/>
    <w:rsid w:val="006839F5"/>
    <w:rsid w:val="00686165"/>
    <w:rsid w:val="00686167"/>
    <w:rsid w:val="00687DB1"/>
    <w:rsid w:val="00691105"/>
    <w:rsid w:val="00691CB5"/>
    <w:rsid w:val="00694113"/>
    <w:rsid w:val="00695626"/>
    <w:rsid w:val="0069568F"/>
    <w:rsid w:val="00696D9D"/>
    <w:rsid w:val="006972CB"/>
    <w:rsid w:val="006A0BE0"/>
    <w:rsid w:val="006A36E3"/>
    <w:rsid w:val="006A3A67"/>
    <w:rsid w:val="006A56AE"/>
    <w:rsid w:val="006A5D70"/>
    <w:rsid w:val="006A6EE1"/>
    <w:rsid w:val="006A793D"/>
    <w:rsid w:val="006A7D82"/>
    <w:rsid w:val="006B09C8"/>
    <w:rsid w:val="006B1184"/>
    <w:rsid w:val="006B1BD0"/>
    <w:rsid w:val="006B2CEF"/>
    <w:rsid w:val="006B403F"/>
    <w:rsid w:val="006B40A9"/>
    <w:rsid w:val="006B5E7C"/>
    <w:rsid w:val="006B7AB6"/>
    <w:rsid w:val="006C0587"/>
    <w:rsid w:val="006C0E50"/>
    <w:rsid w:val="006C1B9E"/>
    <w:rsid w:val="006C46A6"/>
    <w:rsid w:val="006C51C5"/>
    <w:rsid w:val="006C645D"/>
    <w:rsid w:val="006D0D3A"/>
    <w:rsid w:val="006D1B5C"/>
    <w:rsid w:val="006D2123"/>
    <w:rsid w:val="006D42C7"/>
    <w:rsid w:val="006D5242"/>
    <w:rsid w:val="006E16DF"/>
    <w:rsid w:val="006E2131"/>
    <w:rsid w:val="006E3648"/>
    <w:rsid w:val="006E3CC3"/>
    <w:rsid w:val="006E4131"/>
    <w:rsid w:val="006E4FF6"/>
    <w:rsid w:val="006E6DF3"/>
    <w:rsid w:val="006F2C0A"/>
    <w:rsid w:val="006F3CC6"/>
    <w:rsid w:val="006F42B8"/>
    <w:rsid w:val="006F4718"/>
    <w:rsid w:val="006F54FF"/>
    <w:rsid w:val="006F656C"/>
    <w:rsid w:val="00700080"/>
    <w:rsid w:val="007004C7"/>
    <w:rsid w:val="00701C6E"/>
    <w:rsid w:val="0070351D"/>
    <w:rsid w:val="00707014"/>
    <w:rsid w:val="007074AE"/>
    <w:rsid w:val="00710B6E"/>
    <w:rsid w:val="007120F5"/>
    <w:rsid w:val="00712BC5"/>
    <w:rsid w:val="007170F3"/>
    <w:rsid w:val="00721539"/>
    <w:rsid w:val="007251B8"/>
    <w:rsid w:val="00733A55"/>
    <w:rsid w:val="007344EC"/>
    <w:rsid w:val="007358D6"/>
    <w:rsid w:val="00737E22"/>
    <w:rsid w:val="00740320"/>
    <w:rsid w:val="007412A7"/>
    <w:rsid w:val="007440BC"/>
    <w:rsid w:val="007445ED"/>
    <w:rsid w:val="00745A87"/>
    <w:rsid w:val="00746A28"/>
    <w:rsid w:val="00752100"/>
    <w:rsid w:val="007559A0"/>
    <w:rsid w:val="00757020"/>
    <w:rsid w:val="0075704B"/>
    <w:rsid w:val="00757816"/>
    <w:rsid w:val="0076161B"/>
    <w:rsid w:val="00762D96"/>
    <w:rsid w:val="00764401"/>
    <w:rsid w:val="00765108"/>
    <w:rsid w:val="007709A0"/>
    <w:rsid w:val="00771605"/>
    <w:rsid w:val="00772786"/>
    <w:rsid w:val="007734B9"/>
    <w:rsid w:val="007739DC"/>
    <w:rsid w:val="00773EB1"/>
    <w:rsid w:val="00777903"/>
    <w:rsid w:val="00777A83"/>
    <w:rsid w:val="00777F82"/>
    <w:rsid w:val="00781B19"/>
    <w:rsid w:val="0078509F"/>
    <w:rsid w:val="00786890"/>
    <w:rsid w:val="00787077"/>
    <w:rsid w:val="00790E9F"/>
    <w:rsid w:val="0079415B"/>
    <w:rsid w:val="0079448E"/>
    <w:rsid w:val="00794499"/>
    <w:rsid w:val="00794A84"/>
    <w:rsid w:val="00794DDC"/>
    <w:rsid w:val="007A0428"/>
    <w:rsid w:val="007A0ADD"/>
    <w:rsid w:val="007A0D78"/>
    <w:rsid w:val="007A297A"/>
    <w:rsid w:val="007A3F0C"/>
    <w:rsid w:val="007A6B3E"/>
    <w:rsid w:val="007A73C8"/>
    <w:rsid w:val="007B0ABC"/>
    <w:rsid w:val="007B3407"/>
    <w:rsid w:val="007B5117"/>
    <w:rsid w:val="007B6F18"/>
    <w:rsid w:val="007B734C"/>
    <w:rsid w:val="007B7D3B"/>
    <w:rsid w:val="007C1243"/>
    <w:rsid w:val="007C1BE5"/>
    <w:rsid w:val="007C44AF"/>
    <w:rsid w:val="007C4606"/>
    <w:rsid w:val="007C519F"/>
    <w:rsid w:val="007C5E4A"/>
    <w:rsid w:val="007C5F98"/>
    <w:rsid w:val="007D1B61"/>
    <w:rsid w:val="007D2A26"/>
    <w:rsid w:val="007D5AA6"/>
    <w:rsid w:val="007D786A"/>
    <w:rsid w:val="007E2AB9"/>
    <w:rsid w:val="007E30E9"/>
    <w:rsid w:val="007E3E10"/>
    <w:rsid w:val="007E605D"/>
    <w:rsid w:val="007E6456"/>
    <w:rsid w:val="007F00AC"/>
    <w:rsid w:val="007F1ECA"/>
    <w:rsid w:val="007F27FB"/>
    <w:rsid w:val="007F2E36"/>
    <w:rsid w:val="007F4652"/>
    <w:rsid w:val="007F6788"/>
    <w:rsid w:val="00804262"/>
    <w:rsid w:val="00804CA7"/>
    <w:rsid w:val="00811582"/>
    <w:rsid w:val="00812BC1"/>
    <w:rsid w:val="00814022"/>
    <w:rsid w:val="008155E4"/>
    <w:rsid w:val="0082065D"/>
    <w:rsid w:val="008220DF"/>
    <w:rsid w:val="008222FA"/>
    <w:rsid w:val="00822BC3"/>
    <w:rsid w:val="008253D0"/>
    <w:rsid w:val="0082643F"/>
    <w:rsid w:val="00826B5F"/>
    <w:rsid w:val="00830619"/>
    <w:rsid w:val="00830C4E"/>
    <w:rsid w:val="00832776"/>
    <w:rsid w:val="00834243"/>
    <w:rsid w:val="008361B4"/>
    <w:rsid w:val="008369E0"/>
    <w:rsid w:val="00840B03"/>
    <w:rsid w:val="008418B7"/>
    <w:rsid w:val="0084397D"/>
    <w:rsid w:val="008454C5"/>
    <w:rsid w:val="00852A18"/>
    <w:rsid w:val="00854DDF"/>
    <w:rsid w:val="00855618"/>
    <w:rsid w:val="008560D0"/>
    <w:rsid w:val="00856988"/>
    <w:rsid w:val="00857969"/>
    <w:rsid w:val="00861A4F"/>
    <w:rsid w:val="0086346A"/>
    <w:rsid w:val="00863F10"/>
    <w:rsid w:val="00864436"/>
    <w:rsid w:val="00864F49"/>
    <w:rsid w:val="00865BA8"/>
    <w:rsid w:val="00865C8A"/>
    <w:rsid w:val="0086712B"/>
    <w:rsid w:val="0087092C"/>
    <w:rsid w:val="008720B5"/>
    <w:rsid w:val="00872B1E"/>
    <w:rsid w:val="008755E2"/>
    <w:rsid w:val="00882E95"/>
    <w:rsid w:val="0088327A"/>
    <w:rsid w:val="0088480B"/>
    <w:rsid w:val="0088542A"/>
    <w:rsid w:val="00891F45"/>
    <w:rsid w:val="00892B3B"/>
    <w:rsid w:val="00894107"/>
    <w:rsid w:val="00897294"/>
    <w:rsid w:val="008A0C77"/>
    <w:rsid w:val="008A1187"/>
    <w:rsid w:val="008A24F4"/>
    <w:rsid w:val="008A453E"/>
    <w:rsid w:val="008A484B"/>
    <w:rsid w:val="008A5B51"/>
    <w:rsid w:val="008B1499"/>
    <w:rsid w:val="008B296D"/>
    <w:rsid w:val="008B2F16"/>
    <w:rsid w:val="008B42C5"/>
    <w:rsid w:val="008B452F"/>
    <w:rsid w:val="008B5E35"/>
    <w:rsid w:val="008B6F66"/>
    <w:rsid w:val="008C0470"/>
    <w:rsid w:val="008C4A29"/>
    <w:rsid w:val="008C5A3C"/>
    <w:rsid w:val="008C5B57"/>
    <w:rsid w:val="008C6D66"/>
    <w:rsid w:val="008C7120"/>
    <w:rsid w:val="008D04AD"/>
    <w:rsid w:val="008D1525"/>
    <w:rsid w:val="008D1705"/>
    <w:rsid w:val="008D271B"/>
    <w:rsid w:val="008D2C6B"/>
    <w:rsid w:val="008D339F"/>
    <w:rsid w:val="008D3CCC"/>
    <w:rsid w:val="008D4836"/>
    <w:rsid w:val="008D5939"/>
    <w:rsid w:val="008D6040"/>
    <w:rsid w:val="008D6472"/>
    <w:rsid w:val="008D6F46"/>
    <w:rsid w:val="008D7F38"/>
    <w:rsid w:val="008E15A9"/>
    <w:rsid w:val="008E29F0"/>
    <w:rsid w:val="008E6292"/>
    <w:rsid w:val="008E7151"/>
    <w:rsid w:val="008E71D6"/>
    <w:rsid w:val="008F089A"/>
    <w:rsid w:val="008F1673"/>
    <w:rsid w:val="008F1BCF"/>
    <w:rsid w:val="008F214E"/>
    <w:rsid w:val="008F2995"/>
    <w:rsid w:val="008F5F84"/>
    <w:rsid w:val="0090341E"/>
    <w:rsid w:val="009036EF"/>
    <w:rsid w:val="00905B12"/>
    <w:rsid w:val="00907610"/>
    <w:rsid w:val="00912D56"/>
    <w:rsid w:val="0091455B"/>
    <w:rsid w:val="0092218F"/>
    <w:rsid w:val="00922542"/>
    <w:rsid w:val="0092300E"/>
    <w:rsid w:val="009234C2"/>
    <w:rsid w:val="009234E5"/>
    <w:rsid w:val="00924917"/>
    <w:rsid w:val="00925AA5"/>
    <w:rsid w:val="00925D19"/>
    <w:rsid w:val="00935B49"/>
    <w:rsid w:val="0094019D"/>
    <w:rsid w:val="00941902"/>
    <w:rsid w:val="0094197F"/>
    <w:rsid w:val="009423C0"/>
    <w:rsid w:val="009427B2"/>
    <w:rsid w:val="00942C11"/>
    <w:rsid w:val="009443F9"/>
    <w:rsid w:val="00946FB0"/>
    <w:rsid w:val="00947351"/>
    <w:rsid w:val="009507CD"/>
    <w:rsid w:val="0095217B"/>
    <w:rsid w:val="0095294A"/>
    <w:rsid w:val="00963A7F"/>
    <w:rsid w:val="009651F9"/>
    <w:rsid w:val="009653EC"/>
    <w:rsid w:val="009657BB"/>
    <w:rsid w:val="00967442"/>
    <w:rsid w:val="009732EC"/>
    <w:rsid w:val="00974BD5"/>
    <w:rsid w:val="009801E8"/>
    <w:rsid w:val="00980B11"/>
    <w:rsid w:val="00980F23"/>
    <w:rsid w:val="009821CE"/>
    <w:rsid w:val="0098262B"/>
    <w:rsid w:val="00983197"/>
    <w:rsid w:val="00983D4A"/>
    <w:rsid w:val="009852CF"/>
    <w:rsid w:val="00987943"/>
    <w:rsid w:val="00990286"/>
    <w:rsid w:val="00991298"/>
    <w:rsid w:val="009948CB"/>
    <w:rsid w:val="009958FB"/>
    <w:rsid w:val="00996BBE"/>
    <w:rsid w:val="009975FF"/>
    <w:rsid w:val="009A00CC"/>
    <w:rsid w:val="009A2177"/>
    <w:rsid w:val="009A4A34"/>
    <w:rsid w:val="009A637E"/>
    <w:rsid w:val="009A658F"/>
    <w:rsid w:val="009A668A"/>
    <w:rsid w:val="009B107B"/>
    <w:rsid w:val="009B48AB"/>
    <w:rsid w:val="009B7769"/>
    <w:rsid w:val="009B78B0"/>
    <w:rsid w:val="009B7CF6"/>
    <w:rsid w:val="009C08CA"/>
    <w:rsid w:val="009C1D5E"/>
    <w:rsid w:val="009D1041"/>
    <w:rsid w:val="009D261F"/>
    <w:rsid w:val="009D4649"/>
    <w:rsid w:val="009D4F79"/>
    <w:rsid w:val="009D7C3B"/>
    <w:rsid w:val="009D7D4B"/>
    <w:rsid w:val="009E591C"/>
    <w:rsid w:val="009F08A3"/>
    <w:rsid w:val="009F1F45"/>
    <w:rsid w:val="009F34EC"/>
    <w:rsid w:val="009F5065"/>
    <w:rsid w:val="00A007C3"/>
    <w:rsid w:val="00A02C67"/>
    <w:rsid w:val="00A04831"/>
    <w:rsid w:val="00A049B6"/>
    <w:rsid w:val="00A05BAD"/>
    <w:rsid w:val="00A107A0"/>
    <w:rsid w:val="00A10EBE"/>
    <w:rsid w:val="00A11F35"/>
    <w:rsid w:val="00A12F9C"/>
    <w:rsid w:val="00A13E8F"/>
    <w:rsid w:val="00A13F27"/>
    <w:rsid w:val="00A1451B"/>
    <w:rsid w:val="00A15BD3"/>
    <w:rsid w:val="00A16E03"/>
    <w:rsid w:val="00A17518"/>
    <w:rsid w:val="00A203CE"/>
    <w:rsid w:val="00A20EBA"/>
    <w:rsid w:val="00A220BE"/>
    <w:rsid w:val="00A23419"/>
    <w:rsid w:val="00A260CD"/>
    <w:rsid w:val="00A27679"/>
    <w:rsid w:val="00A32D28"/>
    <w:rsid w:val="00A32EEE"/>
    <w:rsid w:val="00A34A11"/>
    <w:rsid w:val="00A34A83"/>
    <w:rsid w:val="00A36A35"/>
    <w:rsid w:val="00A3749B"/>
    <w:rsid w:val="00A37B38"/>
    <w:rsid w:val="00A44598"/>
    <w:rsid w:val="00A448CC"/>
    <w:rsid w:val="00A4562D"/>
    <w:rsid w:val="00A457FE"/>
    <w:rsid w:val="00A459C4"/>
    <w:rsid w:val="00A46B2B"/>
    <w:rsid w:val="00A46CE8"/>
    <w:rsid w:val="00A50421"/>
    <w:rsid w:val="00A51783"/>
    <w:rsid w:val="00A518D0"/>
    <w:rsid w:val="00A562ED"/>
    <w:rsid w:val="00A57FDC"/>
    <w:rsid w:val="00A60EA4"/>
    <w:rsid w:val="00A62E42"/>
    <w:rsid w:val="00A6348D"/>
    <w:rsid w:val="00A634BD"/>
    <w:rsid w:val="00A641A6"/>
    <w:rsid w:val="00A6491F"/>
    <w:rsid w:val="00A64A71"/>
    <w:rsid w:val="00A667B0"/>
    <w:rsid w:val="00A67C65"/>
    <w:rsid w:val="00A70151"/>
    <w:rsid w:val="00A709E9"/>
    <w:rsid w:val="00A75E2B"/>
    <w:rsid w:val="00A77EB0"/>
    <w:rsid w:val="00A810F7"/>
    <w:rsid w:val="00A834BC"/>
    <w:rsid w:val="00A83EE0"/>
    <w:rsid w:val="00A85A09"/>
    <w:rsid w:val="00A910E1"/>
    <w:rsid w:val="00A91537"/>
    <w:rsid w:val="00A91DE4"/>
    <w:rsid w:val="00A933AA"/>
    <w:rsid w:val="00A95D35"/>
    <w:rsid w:val="00A96900"/>
    <w:rsid w:val="00A96EF8"/>
    <w:rsid w:val="00A96FDB"/>
    <w:rsid w:val="00AA1D03"/>
    <w:rsid w:val="00AA3DB8"/>
    <w:rsid w:val="00AA43A7"/>
    <w:rsid w:val="00AB5A1A"/>
    <w:rsid w:val="00AB5C28"/>
    <w:rsid w:val="00AB6A6E"/>
    <w:rsid w:val="00AB6B25"/>
    <w:rsid w:val="00AB7254"/>
    <w:rsid w:val="00AC25FE"/>
    <w:rsid w:val="00AC2868"/>
    <w:rsid w:val="00AC315F"/>
    <w:rsid w:val="00AC45B5"/>
    <w:rsid w:val="00AC47AD"/>
    <w:rsid w:val="00AC771D"/>
    <w:rsid w:val="00AC7BC3"/>
    <w:rsid w:val="00AD0540"/>
    <w:rsid w:val="00AD377F"/>
    <w:rsid w:val="00AD3A7C"/>
    <w:rsid w:val="00AD4525"/>
    <w:rsid w:val="00AD692E"/>
    <w:rsid w:val="00AE026D"/>
    <w:rsid w:val="00AE0813"/>
    <w:rsid w:val="00AE2F90"/>
    <w:rsid w:val="00AE417E"/>
    <w:rsid w:val="00AE52D9"/>
    <w:rsid w:val="00AE5767"/>
    <w:rsid w:val="00AE602D"/>
    <w:rsid w:val="00AF2CA8"/>
    <w:rsid w:val="00AF54AA"/>
    <w:rsid w:val="00AF5E56"/>
    <w:rsid w:val="00AF6D85"/>
    <w:rsid w:val="00B0172D"/>
    <w:rsid w:val="00B03DA9"/>
    <w:rsid w:val="00B052F7"/>
    <w:rsid w:val="00B06B13"/>
    <w:rsid w:val="00B0743B"/>
    <w:rsid w:val="00B105E0"/>
    <w:rsid w:val="00B10B99"/>
    <w:rsid w:val="00B11E82"/>
    <w:rsid w:val="00B13BB8"/>
    <w:rsid w:val="00B13F1A"/>
    <w:rsid w:val="00B171CA"/>
    <w:rsid w:val="00B2006F"/>
    <w:rsid w:val="00B21C31"/>
    <w:rsid w:val="00B23244"/>
    <w:rsid w:val="00B236DC"/>
    <w:rsid w:val="00B24475"/>
    <w:rsid w:val="00B25DB3"/>
    <w:rsid w:val="00B3149D"/>
    <w:rsid w:val="00B316C7"/>
    <w:rsid w:val="00B31C87"/>
    <w:rsid w:val="00B339BE"/>
    <w:rsid w:val="00B343E4"/>
    <w:rsid w:val="00B34476"/>
    <w:rsid w:val="00B34AD8"/>
    <w:rsid w:val="00B362DD"/>
    <w:rsid w:val="00B3634B"/>
    <w:rsid w:val="00B36B1A"/>
    <w:rsid w:val="00B36DB0"/>
    <w:rsid w:val="00B41238"/>
    <w:rsid w:val="00B4137D"/>
    <w:rsid w:val="00B41A89"/>
    <w:rsid w:val="00B4398E"/>
    <w:rsid w:val="00B43C6F"/>
    <w:rsid w:val="00B455D3"/>
    <w:rsid w:val="00B4712E"/>
    <w:rsid w:val="00B508D4"/>
    <w:rsid w:val="00B519AB"/>
    <w:rsid w:val="00B5270F"/>
    <w:rsid w:val="00B54252"/>
    <w:rsid w:val="00B56E9C"/>
    <w:rsid w:val="00B5738B"/>
    <w:rsid w:val="00B57AED"/>
    <w:rsid w:val="00B61824"/>
    <w:rsid w:val="00B62861"/>
    <w:rsid w:val="00B6531A"/>
    <w:rsid w:val="00B67DE4"/>
    <w:rsid w:val="00B70D1E"/>
    <w:rsid w:val="00B732B2"/>
    <w:rsid w:val="00B741A4"/>
    <w:rsid w:val="00B75206"/>
    <w:rsid w:val="00B770FF"/>
    <w:rsid w:val="00B772DB"/>
    <w:rsid w:val="00B80823"/>
    <w:rsid w:val="00B82CFB"/>
    <w:rsid w:val="00B82EF9"/>
    <w:rsid w:val="00B85339"/>
    <w:rsid w:val="00B85D98"/>
    <w:rsid w:val="00B85F47"/>
    <w:rsid w:val="00B8621A"/>
    <w:rsid w:val="00B87927"/>
    <w:rsid w:val="00B901CF"/>
    <w:rsid w:val="00B90232"/>
    <w:rsid w:val="00B9042B"/>
    <w:rsid w:val="00B9161F"/>
    <w:rsid w:val="00B92619"/>
    <w:rsid w:val="00B92CB4"/>
    <w:rsid w:val="00B95039"/>
    <w:rsid w:val="00B954DD"/>
    <w:rsid w:val="00B9739D"/>
    <w:rsid w:val="00BA17C9"/>
    <w:rsid w:val="00BA2417"/>
    <w:rsid w:val="00BA2ACF"/>
    <w:rsid w:val="00BA2F80"/>
    <w:rsid w:val="00BA3055"/>
    <w:rsid w:val="00BA6126"/>
    <w:rsid w:val="00BA62FC"/>
    <w:rsid w:val="00BB1300"/>
    <w:rsid w:val="00BB1CF3"/>
    <w:rsid w:val="00BB36C0"/>
    <w:rsid w:val="00BB4F35"/>
    <w:rsid w:val="00BC031D"/>
    <w:rsid w:val="00BC163C"/>
    <w:rsid w:val="00BC4440"/>
    <w:rsid w:val="00BC5988"/>
    <w:rsid w:val="00BC7D40"/>
    <w:rsid w:val="00BD15E3"/>
    <w:rsid w:val="00BD4383"/>
    <w:rsid w:val="00BD4CA3"/>
    <w:rsid w:val="00BD5650"/>
    <w:rsid w:val="00BE1231"/>
    <w:rsid w:val="00BE3E26"/>
    <w:rsid w:val="00BE51AA"/>
    <w:rsid w:val="00BE7D1C"/>
    <w:rsid w:val="00BF1C9C"/>
    <w:rsid w:val="00BF4F29"/>
    <w:rsid w:val="00BF525F"/>
    <w:rsid w:val="00C025AC"/>
    <w:rsid w:val="00C03B17"/>
    <w:rsid w:val="00C05A42"/>
    <w:rsid w:val="00C06DB1"/>
    <w:rsid w:val="00C077B2"/>
    <w:rsid w:val="00C133EA"/>
    <w:rsid w:val="00C14066"/>
    <w:rsid w:val="00C148A5"/>
    <w:rsid w:val="00C150A9"/>
    <w:rsid w:val="00C15E32"/>
    <w:rsid w:val="00C16A1C"/>
    <w:rsid w:val="00C22C82"/>
    <w:rsid w:val="00C22E86"/>
    <w:rsid w:val="00C247C8"/>
    <w:rsid w:val="00C2751E"/>
    <w:rsid w:val="00C27C0B"/>
    <w:rsid w:val="00C27F4D"/>
    <w:rsid w:val="00C30297"/>
    <w:rsid w:val="00C31427"/>
    <w:rsid w:val="00C317D7"/>
    <w:rsid w:val="00C32D5C"/>
    <w:rsid w:val="00C3392C"/>
    <w:rsid w:val="00C40E21"/>
    <w:rsid w:val="00C445EC"/>
    <w:rsid w:val="00C44E36"/>
    <w:rsid w:val="00C45C94"/>
    <w:rsid w:val="00C52370"/>
    <w:rsid w:val="00C54096"/>
    <w:rsid w:val="00C54E4E"/>
    <w:rsid w:val="00C54FA6"/>
    <w:rsid w:val="00C56C5E"/>
    <w:rsid w:val="00C64861"/>
    <w:rsid w:val="00C663AB"/>
    <w:rsid w:val="00C708FF"/>
    <w:rsid w:val="00C727A5"/>
    <w:rsid w:val="00C72C18"/>
    <w:rsid w:val="00C74B75"/>
    <w:rsid w:val="00C82FE7"/>
    <w:rsid w:val="00C83F3A"/>
    <w:rsid w:val="00C846AC"/>
    <w:rsid w:val="00C85314"/>
    <w:rsid w:val="00C8684C"/>
    <w:rsid w:val="00C87162"/>
    <w:rsid w:val="00C917D4"/>
    <w:rsid w:val="00C92D86"/>
    <w:rsid w:val="00C92F05"/>
    <w:rsid w:val="00C94127"/>
    <w:rsid w:val="00C949F6"/>
    <w:rsid w:val="00C954DF"/>
    <w:rsid w:val="00C955DE"/>
    <w:rsid w:val="00C95F16"/>
    <w:rsid w:val="00CA2BBA"/>
    <w:rsid w:val="00CA317E"/>
    <w:rsid w:val="00CA46D6"/>
    <w:rsid w:val="00CA4BC0"/>
    <w:rsid w:val="00CA5177"/>
    <w:rsid w:val="00CA5CA2"/>
    <w:rsid w:val="00CA6CA9"/>
    <w:rsid w:val="00CB08DF"/>
    <w:rsid w:val="00CB45E7"/>
    <w:rsid w:val="00CB4CAA"/>
    <w:rsid w:val="00CB4E61"/>
    <w:rsid w:val="00CB4FB5"/>
    <w:rsid w:val="00CB5723"/>
    <w:rsid w:val="00CB5B03"/>
    <w:rsid w:val="00CB72F1"/>
    <w:rsid w:val="00CC3EC0"/>
    <w:rsid w:val="00CC506C"/>
    <w:rsid w:val="00CC559D"/>
    <w:rsid w:val="00CC6282"/>
    <w:rsid w:val="00CC647C"/>
    <w:rsid w:val="00CC64E1"/>
    <w:rsid w:val="00CC654D"/>
    <w:rsid w:val="00CC7814"/>
    <w:rsid w:val="00CD0A9A"/>
    <w:rsid w:val="00CD1BEC"/>
    <w:rsid w:val="00CD2515"/>
    <w:rsid w:val="00CD336D"/>
    <w:rsid w:val="00CD404E"/>
    <w:rsid w:val="00CD52A5"/>
    <w:rsid w:val="00CD62A6"/>
    <w:rsid w:val="00CD6433"/>
    <w:rsid w:val="00CD654B"/>
    <w:rsid w:val="00CD692C"/>
    <w:rsid w:val="00CD6BD4"/>
    <w:rsid w:val="00CE223E"/>
    <w:rsid w:val="00CE3D4F"/>
    <w:rsid w:val="00CE4471"/>
    <w:rsid w:val="00CE497A"/>
    <w:rsid w:val="00CE5B0C"/>
    <w:rsid w:val="00CE5BF2"/>
    <w:rsid w:val="00CE6188"/>
    <w:rsid w:val="00CE7405"/>
    <w:rsid w:val="00CF18FE"/>
    <w:rsid w:val="00CF5254"/>
    <w:rsid w:val="00CF56D0"/>
    <w:rsid w:val="00CF6C7F"/>
    <w:rsid w:val="00D01C8A"/>
    <w:rsid w:val="00D02873"/>
    <w:rsid w:val="00D02B09"/>
    <w:rsid w:val="00D05DC9"/>
    <w:rsid w:val="00D06137"/>
    <w:rsid w:val="00D067A8"/>
    <w:rsid w:val="00D0791F"/>
    <w:rsid w:val="00D111C7"/>
    <w:rsid w:val="00D11900"/>
    <w:rsid w:val="00D12474"/>
    <w:rsid w:val="00D135A5"/>
    <w:rsid w:val="00D1418B"/>
    <w:rsid w:val="00D145F5"/>
    <w:rsid w:val="00D158CA"/>
    <w:rsid w:val="00D200B0"/>
    <w:rsid w:val="00D20DEF"/>
    <w:rsid w:val="00D23515"/>
    <w:rsid w:val="00D237C2"/>
    <w:rsid w:val="00D273D2"/>
    <w:rsid w:val="00D31F83"/>
    <w:rsid w:val="00D32410"/>
    <w:rsid w:val="00D327A1"/>
    <w:rsid w:val="00D342A0"/>
    <w:rsid w:val="00D346A0"/>
    <w:rsid w:val="00D355F0"/>
    <w:rsid w:val="00D4292B"/>
    <w:rsid w:val="00D45AF8"/>
    <w:rsid w:val="00D478FF"/>
    <w:rsid w:val="00D50F28"/>
    <w:rsid w:val="00D51C05"/>
    <w:rsid w:val="00D53029"/>
    <w:rsid w:val="00D5410F"/>
    <w:rsid w:val="00D54178"/>
    <w:rsid w:val="00D54FF5"/>
    <w:rsid w:val="00D5715E"/>
    <w:rsid w:val="00D608CF"/>
    <w:rsid w:val="00D63A76"/>
    <w:rsid w:val="00D65EA1"/>
    <w:rsid w:val="00D668B0"/>
    <w:rsid w:val="00D66FD0"/>
    <w:rsid w:val="00D7326B"/>
    <w:rsid w:val="00D73B1F"/>
    <w:rsid w:val="00D74BC5"/>
    <w:rsid w:val="00D7523A"/>
    <w:rsid w:val="00D76161"/>
    <w:rsid w:val="00D7637E"/>
    <w:rsid w:val="00D767C0"/>
    <w:rsid w:val="00D76D7D"/>
    <w:rsid w:val="00D77AD5"/>
    <w:rsid w:val="00D80A51"/>
    <w:rsid w:val="00D8173C"/>
    <w:rsid w:val="00D81DC3"/>
    <w:rsid w:val="00D82029"/>
    <w:rsid w:val="00D83BD9"/>
    <w:rsid w:val="00D85C35"/>
    <w:rsid w:val="00D85E32"/>
    <w:rsid w:val="00D85FC4"/>
    <w:rsid w:val="00D939CD"/>
    <w:rsid w:val="00D95FB9"/>
    <w:rsid w:val="00D97841"/>
    <w:rsid w:val="00DA1059"/>
    <w:rsid w:val="00DA1BA5"/>
    <w:rsid w:val="00DA2AFD"/>
    <w:rsid w:val="00DA51DA"/>
    <w:rsid w:val="00DA5E2E"/>
    <w:rsid w:val="00DA686B"/>
    <w:rsid w:val="00DA6E1D"/>
    <w:rsid w:val="00DB06E5"/>
    <w:rsid w:val="00DB0F32"/>
    <w:rsid w:val="00DB1AC9"/>
    <w:rsid w:val="00DB28FC"/>
    <w:rsid w:val="00DB3B57"/>
    <w:rsid w:val="00DB43A0"/>
    <w:rsid w:val="00DB725E"/>
    <w:rsid w:val="00DB7F09"/>
    <w:rsid w:val="00DC00E8"/>
    <w:rsid w:val="00DC035F"/>
    <w:rsid w:val="00DC1677"/>
    <w:rsid w:val="00DC4D45"/>
    <w:rsid w:val="00DC52D5"/>
    <w:rsid w:val="00DC5489"/>
    <w:rsid w:val="00DC7DC7"/>
    <w:rsid w:val="00DD2008"/>
    <w:rsid w:val="00DD2B3F"/>
    <w:rsid w:val="00DD3E8F"/>
    <w:rsid w:val="00DD5F25"/>
    <w:rsid w:val="00DD70D2"/>
    <w:rsid w:val="00DD7203"/>
    <w:rsid w:val="00DE0B8E"/>
    <w:rsid w:val="00DE130C"/>
    <w:rsid w:val="00DE6874"/>
    <w:rsid w:val="00DE6BC1"/>
    <w:rsid w:val="00DE6D67"/>
    <w:rsid w:val="00DF251E"/>
    <w:rsid w:val="00DF3E86"/>
    <w:rsid w:val="00DF44E3"/>
    <w:rsid w:val="00DF4860"/>
    <w:rsid w:val="00DF7440"/>
    <w:rsid w:val="00DF78A8"/>
    <w:rsid w:val="00E007FC"/>
    <w:rsid w:val="00E00A54"/>
    <w:rsid w:val="00E01032"/>
    <w:rsid w:val="00E028A0"/>
    <w:rsid w:val="00E04986"/>
    <w:rsid w:val="00E05392"/>
    <w:rsid w:val="00E1006F"/>
    <w:rsid w:val="00E10385"/>
    <w:rsid w:val="00E10C1B"/>
    <w:rsid w:val="00E10D39"/>
    <w:rsid w:val="00E11343"/>
    <w:rsid w:val="00E1136B"/>
    <w:rsid w:val="00E1257F"/>
    <w:rsid w:val="00E1286E"/>
    <w:rsid w:val="00E16AE0"/>
    <w:rsid w:val="00E17393"/>
    <w:rsid w:val="00E22D51"/>
    <w:rsid w:val="00E25A8A"/>
    <w:rsid w:val="00E30464"/>
    <w:rsid w:val="00E328C2"/>
    <w:rsid w:val="00E32E43"/>
    <w:rsid w:val="00E33292"/>
    <w:rsid w:val="00E336DF"/>
    <w:rsid w:val="00E34497"/>
    <w:rsid w:val="00E35FA1"/>
    <w:rsid w:val="00E367FD"/>
    <w:rsid w:val="00E3701C"/>
    <w:rsid w:val="00E37F16"/>
    <w:rsid w:val="00E40092"/>
    <w:rsid w:val="00E436A5"/>
    <w:rsid w:val="00E44BDA"/>
    <w:rsid w:val="00E477DC"/>
    <w:rsid w:val="00E47DD5"/>
    <w:rsid w:val="00E47E9C"/>
    <w:rsid w:val="00E50E7C"/>
    <w:rsid w:val="00E51545"/>
    <w:rsid w:val="00E52E26"/>
    <w:rsid w:val="00E531B9"/>
    <w:rsid w:val="00E5465A"/>
    <w:rsid w:val="00E55326"/>
    <w:rsid w:val="00E562B9"/>
    <w:rsid w:val="00E60C24"/>
    <w:rsid w:val="00E624F2"/>
    <w:rsid w:val="00E6309F"/>
    <w:rsid w:val="00E6383B"/>
    <w:rsid w:val="00E70F93"/>
    <w:rsid w:val="00E711D7"/>
    <w:rsid w:val="00E740C6"/>
    <w:rsid w:val="00E748D1"/>
    <w:rsid w:val="00E77484"/>
    <w:rsid w:val="00E77FD7"/>
    <w:rsid w:val="00E80DF4"/>
    <w:rsid w:val="00E836E8"/>
    <w:rsid w:val="00E83A7B"/>
    <w:rsid w:val="00E83FD2"/>
    <w:rsid w:val="00E847C2"/>
    <w:rsid w:val="00E860F5"/>
    <w:rsid w:val="00E86190"/>
    <w:rsid w:val="00E867F8"/>
    <w:rsid w:val="00E86A24"/>
    <w:rsid w:val="00E900DE"/>
    <w:rsid w:val="00E902B0"/>
    <w:rsid w:val="00E902E8"/>
    <w:rsid w:val="00E91C16"/>
    <w:rsid w:val="00E976F0"/>
    <w:rsid w:val="00EA0485"/>
    <w:rsid w:val="00EA4BA6"/>
    <w:rsid w:val="00EA7D9D"/>
    <w:rsid w:val="00EB030F"/>
    <w:rsid w:val="00EB0DB3"/>
    <w:rsid w:val="00EB405E"/>
    <w:rsid w:val="00EB4E10"/>
    <w:rsid w:val="00EB66AD"/>
    <w:rsid w:val="00EB751A"/>
    <w:rsid w:val="00EB7D5C"/>
    <w:rsid w:val="00EC02E1"/>
    <w:rsid w:val="00EC0864"/>
    <w:rsid w:val="00EC0B90"/>
    <w:rsid w:val="00EC1A76"/>
    <w:rsid w:val="00EC1AAC"/>
    <w:rsid w:val="00EC530E"/>
    <w:rsid w:val="00EC5810"/>
    <w:rsid w:val="00EC5F49"/>
    <w:rsid w:val="00EC66CA"/>
    <w:rsid w:val="00EC6B16"/>
    <w:rsid w:val="00EC763E"/>
    <w:rsid w:val="00EC77B4"/>
    <w:rsid w:val="00ED0271"/>
    <w:rsid w:val="00ED19B9"/>
    <w:rsid w:val="00ED19F1"/>
    <w:rsid w:val="00ED1BA7"/>
    <w:rsid w:val="00ED1E4B"/>
    <w:rsid w:val="00ED3F95"/>
    <w:rsid w:val="00ED44F0"/>
    <w:rsid w:val="00ED55DE"/>
    <w:rsid w:val="00ED5DF9"/>
    <w:rsid w:val="00EE05FA"/>
    <w:rsid w:val="00EE412C"/>
    <w:rsid w:val="00EE5923"/>
    <w:rsid w:val="00EE5950"/>
    <w:rsid w:val="00EE5979"/>
    <w:rsid w:val="00EE677F"/>
    <w:rsid w:val="00EF0909"/>
    <w:rsid w:val="00EF1075"/>
    <w:rsid w:val="00EF137E"/>
    <w:rsid w:val="00EF1481"/>
    <w:rsid w:val="00EF1699"/>
    <w:rsid w:val="00EF2FBF"/>
    <w:rsid w:val="00EF2FCD"/>
    <w:rsid w:val="00EF411A"/>
    <w:rsid w:val="00EF49B7"/>
    <w:rsid w:val="00EF72DE"/>
    <w:rsid w:val="00EF77B8"/>
    <w:rsid w:val="00EF7B81"/>
    <w:rsid w:val="00F0082D"/>
    <w:rsid w:val="00F00CB2"/>
    <w:rsid w:val="00F03883"/>
    <w:rsid w:val="00F03F88"/>
    <w:rsid w:val="00F06034"/>
    <w:rsid w:val="00F06513"/>
    <w:rsid w:val="00F06AB3"/>
    <w:rsid w:val="00F07C90"/>
    <w:rsid w:val="00F11C91"/>
    <w:rsid w:val="00F141DB"/>
    <w:rsid w:val="00F1621C"/>
    <w:rsid w:val="00F20469"/>
    <w:rsid w:val="00F20D8B"/>
    <w:rsid w:val="00F2192F"/>
    <w:rsid w:val="00F257DA"/>
    <w:rsid w:val="00F25DF6"/>
    <w:rsid w:val="00F26839"/>
    <w:rsid w:val="00F30DF6"/>
    <w:rsid w:val="00F32730"/>
    <w:rsid w:val="00F327E9"/>
    <w:rsid w:val="00F34C1E"/>
    <w:rsid w:val="00F353F0"/>
    <w:rsid w:val="00F37AE8"/>
    <w:rsid w:val="00F37F36"/>
    <w:rsid w:val="00F4249F"/>
    <w:rsid w:val="00F42B4B"/>
    <w:rsid w:val="00F441C7"/>
    <w:rsid w:val="00F52AD7"/>
    <w:rsid w:val="00F55C60"/>
    <w:rsid w:val="00F645C5"/>
    <w:rsid w:val="00F65A3B"/>
    <w:rsid w:val="00F66B9F"/>
    <w:rsid w:val="00F71A0E"/>
    <w:rsid w:val="00F72BB8"/>
    <w:rsid w:val="00F74F61"/>
    <w:rsid w:val="00F75272"/>
    <w:rsid w:val="00F828D4"/>
    <w:rsid w:val="00F83CB4"/>
    <w:rsid w:val="00F840FA"/>
    <w:rsid w:val="00F85878"/>
    <w:rsid w:val="00F86F90"/>
    <w:rsid w:val="00F87AE9"/>
    <w:rsid w:val="00F90D79"/>
    <w:rsid w:val="00F92279"/>
    <w:rsid w:val="00F92533"/>
    <w:rsid w:val="00F93E81"/>
    <w:rsid w:val="00F97937"/>
    <w:rsid w:val="00FA0851"/>
    <w:rsid w:val="00FA0E3E"/>
    <w:rsid w:val="00FA4BDD"/>
    <w:rsid w:val="00FB0E75"/>
    <w:rsid w:val="00FB0E8D"/>
    <w:rsid w:val="00FB0F62"/>
    <w:rsid w:val="00FB13BA"/>
    <w:rsid w:val="00FB30DE"/>
    <w:rsid w:val="00FB4C9C"/>
    <w:rsid w:val="00FB518D"/>
    <w:rsid w:val="00FB54EE"/>
    <w:rsid w:val="00FB6276"/>
    <w:rsid w:val="00FB64AA"/>
    <w:rsid w:val="00FB7234"/>
    <w:rsid w:val="00FC03BC"/>
    <w:rsid w:val="00FC4C8D"/>
    <w:rsid w:val="00FC6ADA"/>
    <w:rsid w:val="00FC6BF3"/>
    <w:rsid w:val="00FC6F05"/>
    <w:rsid w:val="00FD058F"/>
    <w:rsid w:val="00FD10F0"/>
    <w:rsid w:val="00FD40EF"/>
    <w:rsid w:val="00FD5B4F"/>
    <w:rsid w:val="00FE1133"/>
    <w:rsid w:val="00FE157A"/>
    <w:rsid w:val="00FE269E"/>
    <w:rsid w:val="00FE3708"/>
    <w:rsid w:val="00FF06D0"/>
    <w:rsid w:val="00FF0842"/>
    <w:rsid w:val="00FF144E"/>
    <w:rsid w:val="00FF589A"/>
    <w:rsid w:val="00FF5931"/>
    <w:rsid w:val="00FF61A1"/>
    <w:rsid w:val="00FF71C5"/>
    <w:rsid w:val="1246601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376A5"/>
  <w15:docId w15:val="{A495DFD4-334F-4960-B177-2ACB5BA8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8"/>
      </w:numPr>
      <w:tabs>
        <w:tab w:val="num" w:pos="360"/>
      </w:tabs>
      <w:spacing w:before="0"/>
      <w:ind w:left="0" w:firstLin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link w:val="BoxTextChar"/>
    <w:rsid w:val="000E0B74"/>
  </w:style>
  <w:style w:type="paragraph" w:customStyle="1" w:styleId="Bullet">
    <w:name w:val="Bullet"/>
    <w:aliases w:val="b,b1,b + line,Body,level 1,Bullet + line,CG-Bullet"/>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pPr>
  </w:style>
  <w:style w:type="paragraph" w:customStyle="1" w:styleId="DoubleDot">
    <w:name w:val="Double Dot"/>
    <w:basedOn w:val="Normal"/>
    <w:qFormat/>
    <w:rsid w:val="000E0B74"/>
    <w:pPr>
      <w:numPr>
        <w:ilvl w:val="2"/>
        <w:numId w:val="1"/>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10"/>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10"/>
      </w:numPr>
      <w:spacing w:before="0"/>
    </w:pPr>
  </w:style>
  <w:style w:type="paragraph" w:customStyle="1" w:styleId="OutlineNumbered3">
    <w:name w:val="Outline Numbered 3"/>
    <w:basedOn w:val="Normal"/>
    <w:rsid w:val="000E0B74"/>
    <w:pPr>
      <w:numPr>
        <w:ilvl w:val="2"/>
        <w:numId w:val="10"/>
      </w:numPr>
      <w:spacing w:before="0"/>
    </w:pPr>
  </w:style>
  <w:style w:type="paragraph" w:customStyle="1" w:styleId="Romannumeral">
    <w:name w:val="Roman numeral"/>
    <w:basedOn w:val="Normal"/>
    <w:rsid w:val="00E35FA1"/>
    <w:pPr>
      <w:numPr>
        <w:numId w:val="8"/>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qFormat/>
    <w:rsid w:val="000E0B74"/>
    <w:pPr>
      <w:numPr>
        <w:ilvl w:val="2"/>
        <w:numId w:val="7"/>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OutlineNumbered1Char">
    <w:name w:val="Outline Numbered 1 Char"/>
    <w:basedOn w:val="DefaultParagraphFont"/>
    <w:link w:val="OutlineNumbered1"/>
    <w:rsid w:val="005C563F"/>
    <w:rPr>
      <w:rFonts w:ascii="Calibri" w:eastAsia="Times New Roman" w:hAnsi="Calibri" w:cs="Times New Roman"/>
      <w:szCs w:val="20"/>
      <w:lang w:eastAsia="en-AU"/>
    </w:rPr>
  </w:style>
  <w:style w:type="paragraph" w:styleId="CommentText">
    <w:name w:val="annotation text"/>
    <w:basedOn w:val="Normal"/>
    <w:link w:val="CommentTextChar"/>
    <w:uiPriority w:val="99"/>
    <w:unhideWhenUsed/>
    <w:rsid w:val="006C1B9E"/>
    <w:pPr>
      <w:spacing w:before="0" w:after="0"/>
    </w:pPr>
    <w:rPr>
      <w:rFonts w:ascii="Times New Roman" w:hAnsi="Times New Roman"/>
      <w:sz w:val="20"/>
      <w:lang w:eastAsia="en-US"/>
    </w:rPr>
  </w:style>
  <w:style w:type="character" w:customStyle="1" w:styleId="CommentTextChar">
    <w:name w:val="Comment Text Char"/>
    <w:basedOn w:val="DefaultParagraphFont"/>
    <w:link w:val="CommentText"/>
    <w:uiPriority w:val="99"/>
    <w:rsid w:val="006C1B9E"/>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5478D"/>
    <w:rPr>
      <w:sz w:val="16"/>
      <w:szCs w:val="16"/>
    </w:rPr>
  </w:style>
  <w:style w:type="paragraph" w:customStyle="1" w:styleId="MBPoint">
    <w:name w:val="MB Point"/>
    <w:basedOn w:val="ListParagraph"/>
    <w:qFormat/>
    <w:rsid w:val="0055478D"/>
    <w:pPr>
      <w:numPr>
        <w:numId w:val="11"/>
      </w:numPr>
      <w:tabs>
        <w:tab w:val="num" w:pos="283"/>
      </w:tabs>
      <w:spacing w:before="0" w:after="60"/>
      <w:ind w:left="283" w:hanging="283"/>
      <w:contextualSpacing w:val="0"/>
    </w:pPr>
    <w:rPr>
      <w:rFonts w:ascii="Times New Roman" w:eastAsiaTheme="minorHAnsi" w:hAnsi="Times New Roman"/>
      <w:sz w:val="24"/>
      <w:szCs w:val="24"/>
      <w:lang w:eastAsia="en-US"/>
    </w:rPr>
  </w:style>
  <w:style w:type="paragraph" w:customStyle="1" w:styleId="MBPointSub">
    <w:name w:val="MB Point Sub"/>
    <w:basedOn w:val="ListParagraph"/>
    <w:qFormat/>
    <w:rsid w:val="0055478D"/>
    <w:pPr>
      <w:numPr>
        <w:ilvl w:val="1"/>
        <w:numId w:val="11"/>
      </w:numPr>
      <w:tabs>
        <w:tab w:val="num" w:pos="567"/>
      </w:tabs>
      <w:spacing w:before="0" w:after="60"/>
      <w:ind w:left="567" w:hanging="284"/>
      <w:contextualSpacing w:val="0"/>
    </w:pPr>
    <w:rPr>
      <w:rFonts w:ascii="Times New Roman" w:eastAsiaTheme="minorHAnsi" w:hAnsi="Times New Roman"/>
      <w:sz w:val="24"/>
      <w:szCs w:val="24"/>
      <w:lang w:eastAsia="en-US"/>
    </w:rPr>
  </w:style>
  <w:style w:type="paragraph" w:styleId="ListParagraph">
    <w:name w:val="List Paragraph"/>
    <w:basedOn w:val="Normal"/>
    <w:uiPriority w:val="34"/>
    <w:qFormat/>
    <w:rsid w:val="0055478D"/>
    <w:pPr>
      <w:ind w:left="720"/>
      <w:contextualSpacing/>
    </w:pPr>
  </w:style>
  <w:style w:type="paragraph" w:styleId="CommentSubject">
    <w:name w:val="annotation subject"/>
    <w:basedOn w:val="CommentText"/>
    <w:next w:val="CommentText"/>
    <w:link w:val="CommentSubjectChar"/>
    <w:uiPriority w:val="99"/>
    <w:semiHidden/>
    <w:unhideWhenUsed/>
    <w:rsid w:val="0055478D"/>
    <w:pPr>
      <w:spacing w:before="120" w:after="120"/>
    </w:pPr>
    <w:rPr>
      <w:rFonts w:ascii="Calibri" w:hAnsi="Calibri"/>
      <w:b/>
      <w:bCs/>
      <w:lang w:eastAsia="en-AU"/>
    </w:rPr>
  </w:style>
  <w:style w:type="character" w:customStyle="1" w:styleId="CommentSubjectChar">
    <w:name w:val="Comment Subject Char"/>
    <w:basedOn w:val="CommentTextChar"/>
    <w:link w:val="CommentSubject"/>
    <w:uiPriority w:val="99"/>
    <w:semiHidden/>
    <w:rsid w:val="0055478D"/>
    <w:rPr>
      <w:rFonts w:ascii="Calibri" w:eastAsia="Times New Roman" w:hAnsi="Calibri" w:cs="Times New Roman"/>
      <w:b/>
      <w:bCs/>
      <w:sz w:val="20"/>
      <w:szCs w:val="20"/>
      <w:lang w:eastAsia="en-AU"/>
    </w:rPr>
  </w:style>
  <w:style w:type="character" w:styleId="UnresolvedMention">
    <w:name w:val="Unresolved Mention"/>
    <w:basedOn w:val="DefaultParagraphFont"/>
    <w:uiPriority w:val="99"/>
    <w:semiHidden/>
    <w:unhideWhenUsed/>
    <w:rsid w:val="004919FE"/>
    <w:rPr>
      <w:color w:val="605E5C"/>
      <w:shd w:val="clear" w:color="auto" w:fill="E1DFDD"/>
    </w:rPr>
  </w:style>
  <w:style w:type="character" w:styleId="FollowedHyperlink">
    <w:name w:val="FollowedHyperlink"/>
    <w:basedOn w:val="DefaultParagraphFont"/>
    <w:uiPriority w:val="99"/>
    <w:semiHidden/>
    <w:unhideWhenUsed/>
    <w:rsid w:val="004919FE"/>
    <w:rPr>
      <w:color w:val="E61E26" w:themeColor="followedHyperlink"/>
      <w:u w:val="single"/>
    </w:rPr>
  </w:style>
  <w:style w:type="character" w:customStyle="1" w:styleId="BoxTextChar">
    <w:name w:val="Box Text Char"/>
    <w:basedOn w:val="DefaultParagraphFont"/>
    <w:link w:val="BoxText"/>
    <w:locked/>
    <w:rsid w:val="00AC315F"/>
    <w:rPr>
      <w:rFonts w:ascii="Calibri" w:eastAsia="Times New Roman" w:hAnsi="Calibri" w:cs="Times New Roman"/>
      <w:szCs w:val="20"/>
      <w:lang w:eastAsia="en-AU"/>
    </w:rPr>
  </w:style>
  <w:style w:type="paragraph" w:styleId="Revision">
    <w:name w:val="Revision"/>
    <w:hidden/>
    <w:uiPriority w:val="99"/>
    <w:semiHidden/>
    <w:rsid w:val="000122D1"/>
    <w:pPr>
      <w:spacing w:after="0" w:line="240" w:lineRule="auto"/>
    </w:pPr>
    <w:rPr>
      <w:rFonts w:ascii="Calibri" w:eastAsia="Times New Roman" w:hAnsi="Calibri" w:cs="Times New Roman"/>
      <w:szCs w:val="20"/>
      <w:lang w:eastAsia="en-AU"/>
    </w:rPr>
  </w:style>
  <w:style w:type="character" w:customStyle="1" w:styleId="BulletChar">
    <w:name w:val="Bullet Char"/>
    <w:aliases w:val="b Char,b + line Char Char,b Char Char,b1 Char,b + line Char,Body Char,level 1 Char,Bulleted Para Char,Bullets Char,FooterText Char,L Char,List Paragraph Char,List Paragraph1 Char,List Paragraph11 Char,List Paragraph2 Char,Number Char,&amp; Char"/>
    <w:basedOn w:val="DefaultParagraphFont"/>
    <w:link w:val="Bullet"/>
    <w:qFormat/>
    <w:rsid w:val="002A1E36"/>
    <w:rPr>
      <w:rFonts w:ascii="Calibri" w:eastAsia="Times New Roman" w:hAnsi="Calibri" w:cs="Times New Roman"/>
      <w:szCs w:val="20"/>
      <w:lang w:eastAsia="en-AU"/>
    </w:rPr>
  </w:style>
  <w:style w:type="character" w:customStyle="1" w:styleId="DashChar">
    <w:name w:val="Dash Char"/>
    <w:basedOn w:val="DefaultParagraphFont"/>
    <w:link w:val="Dash"/>
    <w:rsid w:val="002A1E36"/>
    <w:rPr>
      <w:rFonts w:ascii="Calibri" w:eastAsia="Times New Roman" w:hAnsi="Calibri" w:cs="Times New Roman"/>
      <w:szCs w:val="20"/>
      <w:lang w:eastAsia="en-AU"/>
    </w:rPr>
  </w:style>
  <w:style w:type="table" w:customStyle="1" w:styleId="TableGrid1">
    <w:name w:val="Table Grid1"/>
    <w:basedOn w:val="TableNormal"/>
    <w:next w:val="TableGrid"/>
    <w:rsid w:val="009A4A34"/>
    <w:pPr>
      <w:spacing w:after="240" w:line="260" w:lineRule="exact"/>
      <w:jc w:val="both"/>
    </w:pPr>
    <w:rPr>
      <w:rFonts w:ascii="Times New Roman" w:eastAsia="Times New Roman" w:hAnsi="Times New Roman" w:cs="Times New Roman"/>
      <w:sz w:val="20"/>
      <w:szCs w:val="20"/>
    </w:rPr>
    <w:tblPr>
      <w:tblInd w:w="0" w:type="nil"/>
    </w:tblPr>
    <w:tcPr>
      <w:shd w:val="clear" w:color="auto" w:fill="E6E6E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3554">
      <w:bodyDiv w:val="1"/>
      <w:marLeft w:val="0"/>
      <w:marRight w:val="0"/>
      <w:marTop w:val="0"/>
      <w:marBottom w:val="0"/>
      <w:divBdr>
        <w:top w:val="none" w:sz="0" w:space="0" w:color="auto"/>
        <w:left w:val="none" w:sz="0" w:space="0" w:color="auto"/>
        <w:bottom w:val="none" w:sz="0" w:space="0" w:color="auto"/>
        <w:right w:val="none" w:sz="0" w:space="0" w:color="auto"/>
      </w:divBdr>
    </w:div>
    <w:div w:id="530072714">
      <w:bodyDiv w:val="1"/>
      <w:marLeft w:val="0"/>
      <w:marRight w:val="0"/>
      <w:marTop w:val="0"/>
      <w:marBottom w:val="0"/>
      <w:divBdr>
        <w:top w:val="none" w:sz="0" w:space="0" w:color="auto"/>
        <w:left w:val="none" w:sz="0" w:space="0" w:color="auto"/>
        <w:bottom w:val="none" w:sz="0" w:space="0" w:color="auto"/>
        <w:right w:val="none" w:sz="0" w:space="0" w:color="auto"/>
      </w:divBdr>
    </w:div>
    <w:div w:id="608583619">
      <w:bodyDiv w:val="1"/>
      <w:marLeft w:val="0"/>
      <w:marRight w:val="0"/>
      <w:marTop w:val="0"/>
      <w:marBottom w:val="0"/>
      <w:divBdr>
        <w:top w:val="none" w:sz="0" w:space="0" w:color="auto"/>
        <w:left w:val="none" w:sz="0" w:space="0" w:color="auto"/>
        <w:bottom w:val="none" w:sz="0" w:space="0" w:color="auto"/>
        <w:right w:val="none" w:sz="0" w:space="0" w:color="auto"/>
      </w:divBdr>
    </w:div>
    <w:div w:id="682827257">
      <w:bodyDiv w:val="1"/>
      <w:marLeft w:val="0"/>
      <w:marRight w:val="0"/>
      <w:marTop w:val="0"/>
      <w:marBottom w:val="0"/>
      <w:divBdr>
        <w:top w:val="none" w:sz="0" w:space="0" w:color="auto"/>
        <w:left w:val="none" w:sz="0" w:space="0" w:color="auto"/>
        <w:bottom w:val="none" w:sz="0" w:space="0" w:color="auto"/>
        <w:right w:val="none" w:sz="0" w:space="0" w:color="auto"/>
      </w:divBdr>
    </w:div>
    <w:div w:id="735402206">
      <w:bodyDiv w:val="1"/>
      <w:marLeft w:val="0"/>
      <w:marRight w:val="0"/>
      <w:marTop w:val="0"/>
      <w:marBottom w:val="0"/>
      <w:divBdr>
        <w:top w:val="none" w:sz="0" w:space="0" w:color="auto"/>
        <w:left w:val="none" w:sz="0" w:space="0" w:color="auto"/>
        <w:bottom w:val="none" w:sz="0" w:space="0" w:color="auto"/>
        <w:right w:val="none" w:sz="0" w:space="0" w:color="auto"/>
      </w:divBdr>
    </w:div>
    <w:div w:id="1394310489">
      <w:bodyDiv w:val="1"/>
      <w:marLeft w:val="0"/>
      <w:marRight w:val="0"/>
      <w:marTop w:val="0"/>
      <w:marBottom w:val="0"/>
      <w:divBdr>
        <w:top w:val="none" w:sz="0" w:space="0" w:color="auto"/>
        <w:left w:val="none" w:sz="0" w:space="0" w:color="auto"/>
        <w:bottom w:val="none" w:sz="0" w:space="0" w:color="auto"/>
        <w:right w:val="none" w:sz="0" w:space="0" w:color="auto"/>
      </w:divBdr>
    </w:div>
    <w:div w:id="1638755647">
      <w:bodyDiv w:val="1"/>
      <w:marLeft w:val="0"/>
      <w:marRight w:val="0"/>
      <w:marTop w:val="0"/>
      <w:marBottom w:val="0"/>
      <w:divBdr>
        <w:top w:val="none" w:sz="0" w:space="0" w:color="auto"/>
        <w:left w:val="none" w:sz="0" w:space="0" w:color="auto"/>
        <w:bottom w:val="none" w:sz="0" w:space="0" w:color="auto"/>
        <w:right w:val="none" w:sz="0" w:space="0" w:color="auto"/>
      </w:divBdr>
    </w:div>
    <w:div w:id="1670711174">
      <w:bodyDiv w:val="1"/>
      <w:marLeft w:val="0"/>
      <w:marRight w:val="0"/>
      <w:marTop w:val="0"/>
      <w:marBottom w:val="0"/>
      <w:divBdr>
        <w:top w:val="none" w:sz="0" w:space="0" w:color="auto"/>
        <w:left w:val="none" w:sz="0" w:space="0" w:color="auto"/>
        <w:bottom w:val="none" w:sz="0" w:space="0" w:color="auto"/>
        <w:right w:val="none" w:sz="0" w:space="0" w:color="auto"/>
      </w:divBdr>
    </w:div>
    <w:div w:id="1785690601">
      <w:bodyDiv w:val="1"/>
      <w:marLeft w:val="0"/>
      <w:marRight w:val="0"/>
      <w:marTop w:val="0"/>
      <w:marBottom w:val="0"/>
      <w:divBdr>
        <w:top w:val="none" w:sz="0" w:space="0" w:color="auto"/>
        <w:left w:val="none" w:sz="0" w:space="0" w:color="auto"/>
        <w:bottom w:val="none" w:sz="0" w:space="0" w:color="auto"/>
        <w:right w:val="none" w:sz="0" w:space="0" w:color="auto"/>
      </w:divBdr>
    </w:div>
    <w:div w:id="1829901080">
      <w:bodyDiv w:val="1"/>
      <w:marLeft w:val="0"/>
      <w:marRight w:val="0"/>
      <w:marTop w:val="0"/>
      <w:marBottom w:val="0"/>
      <w:divBdr>
        <w:top w:val="none" w:sz="0" w:space="0" w:color="auto"/>
        <w:left w:val="none" w:sz="0" w:space="0" w:color="auto"/>
        <w:bottom w:val="none" w:sz="0" w:space="0" w:color="auto"/>
        <w:right w:val="none" w:sz="0" w:space="0" w:color="auto"/>
      </w:divBdr>
    </w:div>
    <w:div w:id="1868641425">
      <w:bodyDiv w:val="1"/>
      <w:marLeft w:val="0"/>
      <w:marRight w:val="0"/>
      <w:marTop w:val="0"/>
      <w:marBottom w:val="0"/>
      <w:divBdr>
        <w:top w:val="none" w:sz="0" w:space="0" w:color="auto"/>
        <w:left w:val="none" w:sz="0" w:space="0" w:color="auto"/>
        <w:bottom w:val="none" w:sz="0" w:space="0" w:color="auto"/>
        <w:right w:val="none" w:sz="0" w:space="0" w:color="auto"/>
      </w:divBdr>
    </w:div>
    <w:div w:id="1949580025">
      <w:bodyDiv w:val="1"/>
      <w:marLeft w:val="0"/>
      <w:marRight w:val="0"/>
      <w:marTop w:val="0"/>
      <w:marBottom w:val="0"/>
      <w:divBdr>
        <w:top w:val="none" w:sz="0" w:space="0" w:color="auto"/>
        <w:left w:val="none" w:sz="0" w:space="0" w:color="auto"/>
        <w:bottom w:val="none" w:sz="0" w:space="0" w:color="auto"/>
        <w:right w:val="none" w:sz="0" w:space="0" w:color="auto"/>
      </w:divBdr>
    </w:div>
    <w:div w:id="2051999834">
      <w:bodyDiv w:val="1"/>
      <w:marLeft w:val="0"/>
      <w:marRight w:val="0"/>
      <w:marTop w:val="0"/>
      <w:marBottom w:val="0"/>
      <w:divBdr>
        <w:top w:val="none" w:sz="0" w:space="0" w:color="auto"/>
        <w:left w:val="none" w:sz="0" w:space="0" w:color="auto"/>
        <w:bottom w:val="none" w:sz="0" w:space="0" w:color="auto"/>
        <w:right w:val="none" w:sz="0" w:space="0" w:color="auto"/>
      </w:divBdr>
    </w:div>
    <w:div w:id="214022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gov.au/sites/default/files/2020-06/p2020-87595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37F2647554CA08242A38CF7D9172F"/>
        <w:category>
          <w:name w:val="General"/>
          <w:gallery w:val="placeholder"/>
        </w:category>
        <w:types>
          <w:type w:val="bbPlcHdr"/>
        </w:types>
        <w:behaviors>
          <w:behavior w:val="content"/>
        </w:behaviors>
        <w:guid w:val="{5C91E287-9334-49A3-B347-F659FD448FC7}"/>
      </w:docPartPr>
      <w:docPartBody>
        <w:p w:rsidR="00B320A4" w:rsidRDefault="00B320A4">
          <w:pPr>
            <w:pStyle w:val="5F137F2647554CA08242A38CF7D9172F"/>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0A4"/>
    <w:rsid w:val="00001620"/>
    <w:rsid w:val="0001265F"/>
    <w:rsid w:val="00263A74"/>
    <w:rsid w:val="00424432"/>
    <w:rsid w:val="00437348"/>
    <w:rsid w:val="0044440E"/>
    <w:rsid w:val="00620443"/>
    <w:rsid w:val="007C7D1D"/>
    <w:rsid w:val="007D6D82"/>
    <w:rsid w:val="008B49F4"/>
    <w:rsid w:val="008E22C4"/>
    <w:rsid w:val="00AB4D94"/>
    <w:rsid w:val="00AD7F70"/>
    <w:rsid w:val="00B320A4"/>
    <w:rsid w:val="00BF320D"/>
    <w:rsid w:val="00C21249"/>
    <w:rsid w:val="00C62758"/>
    <w:rsid w:val="00C62E94"/>
    <w:rsid w:val="00CB5853"/>
    <w:rsid w:val="00D13938"/>
    <w:rsid w:val="00DB6211"/>
    <w:rsid w:val="00E665C1"/>
    <w:rsid w:val="00F37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F137F2647554CA08242A38CF7D9172F">
    <w:name w:val="5F137F2647554CA08242A38CF7D91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n748a1c17def4c93b413435c48ea6417 xmlns="d4dd4adf-ddb3-46a3-8d7c-fab3fb2a6bc7">
      <Terms xmlns="http://schemas.microsoft.com/office/infopath/2007/PartnerControls"/>
    </n748a1c17def4c93b413435c48ea6417>
    <IconOverlay xmlns="http://schemas.microsoft.com/sharepoint/v4" xsi:nil="true"/>
    <TaxCatchAll xmlns="0f563589-9cf9-4143-b1eb-fb0534803d38">
      <Value>16</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_dlc_DocId xmlns="0f563589-9cf9-4143-b1eb-fb0534803d38">2022MG-107-23429</_dlc_DocId>
    <_dlc_DocIdUrl xmlns="0f563589-9cf9-4143-b1eb-fb0534803d38">
      <Url>http://tweb/sites/mg/fitpd/_layouts/15/DocIdRedir.aspx?ID=2022MG-107-23429</Url>
      <Description>2022MG-107-23429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B296F03498E9448202E36B7829D846" ma:contentTypeVersion="44532" ma:contentTypeDescription=" " ma:contentTypeScope="" ma:versionID="053471cf9af658e28409b63ccd7e5e8a">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b6adf4ea4ad40bf87645bb3a4547c7d0"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element ref="ns3:n748a1c17def4c93b413435c48ea6417"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1DF14-3E6A-42BC-9908-8AEC9AD758D7}">
  <ds:schemaRefs>
    <ds:schemaRef ds:uri="office.server.policy"/>
  </ds:schemaRefs>
</ds:datastoreItem>
</file>

<file path=customXml/itemProps2.xml><?xml version="1.0" encoding="utf-8"?>
<ds:datastoreItem xmlns:ds="http://schemas.openxmlformats.org/officeDocument/2006/customXml" ds:itemID="{095D7EC0-5C0A-4A1D-A56F-859C7A3C13A5}">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customXml/itemProps3.xml><?xml version="1.0" encoding="utf-8"?>
<ds:datastoreItem xmlns:ds="http://schemas.openxmlformats.org/officeDocument/2006/customXml" ds:itemID="{2FE2053F-C1E2-4C34-A94B-9405569CCE10}">
  <ds:schemaRefs>
    <ds:schemaRef ds:uri="http://schemas.microsoft.com/sharepoint/v3/contenttype/forms"/>
  </ds:schemaRefs>
</ds:datastoreItem>
</file>

<file path=customXml/itemProps4.xml><?xml version="1.0" encoding="utf-8"?>
<ds:datastoreItem xmlns:ds="http://schemas.openxmlformats.org/officeDocument/2006/customXml" ds:itemID="{15CCCC82-E88F-4BD7-A82D-8FEA69847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DE800F-F54A-4081-9EA4-51A6B0E2EF9B}">
  <ds:schemaRefs>
    <ds:schemaRef ds:uri="http://schemas.microsoft.com/sharepoint/events"/>
  </ds:schemaRefs>
</ds:datastoreItem>
</file>

<file path=customXml/itemProps6.xml><?xml version="1.0" encoding="utf-8"?>
<ds:datastoreItem xmlns:ds="http://schemas.openxmlformats.org/officeDocument/2006/customXml" ds:itemID="{3E623CCA-E10C-4B73-866E-7DCD9EEF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551</TotalTime>
  <Pages>11</Pages>
  <Words>3841</Words>
  <Characters>23049</Characters>
  <Application>Microsoft Office Word</Application>
  <DocSecurity>0</DocSecurity>
  <Lines>434</Lines>
  <Paragraphs>206</Paragraphs>
  <ScaleCrop>false</ScaleCrop>
  <HeadingPairs>
    <vt:vector size="2" baseType="variant">
      <vt:variant>
        <vt:lpstr>Title</vt:lpstr>
      </vt:variant>
      <vt:variant>
        <vt:i4>1</vt:i4>
      </vt:variant>
    </vt:vector>
  </HeadingPairs>
  <TitlesOfParts>
    <vt:vector size="1" baseType="lpstr">
      <vt:lpstr>Enhancing Australia's foreign investment framework - Government response to the evaluation of the foreign investment reforms and discussion paper</vt:lpstr>
    </vt:vector>
  </TitlesOfParts>
  <Company>Australian Government - The Treasury</Company>
  <LinksUpToDate>false</LinksUpToDate>
  <CharactersWithSpaces>26684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Australia's foreign investment framework - Government response to the evaluation of the foreign investment reforms and discussion paper</dc:title>
  <dc:subject/>
  <dc:creator>Treasury</dc:creator>
  <cp:keywords/>
  <dc:description/>
  <cp:lastModifiedBy>Christine</cp:lastModifiedBy>
  <cp:revision>67</cp:revision>
  <dcterms:created xsi:type="dcterms:W3CDTF">2022-01-19T05:56:00Z</dcterms:created>
  <dcterms:modified xsi:type="dcterms:W3CDTF">2022-02-13T22:09:00Z</dcterms:modified>
  <cp:category/>
</cp:coreProperties>
</file>