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BC0127" w14:paraId="4B51F4EA" w14:textId="77777777" w:rsidTr="00BC0127">
        <w:tc>
          <w:tcPr>
            <w:tcW w:w="5000" w:type="pct"/>
            <w:shd w:val="clear" w:color="auto" w:fill="auto"/>
          </w:tcPr>
          <w:p w14:paraId="4B51F4E8" w14:textId="77777777" w:rsidR="00BC0127" w:rsidRDefault="00BC0127" w:rsidP="00BC0127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14:paraId="4B51F4E9" w14:textId="77777777" w:rsidR="00BC0127" w:rsidRPr="00BC0127" w:rsidRDefault="00BC0127" w:rsidP="00BC0127">
            <w:pPr>
              <w:rPr>
                <w:b/>
                <w:sz w:val="20"/>
              </w:rPr>
            </w:pPr>
          </w:p>
        </w:tc>
      </w:tr>
    </w:tbl>
    <w:p w14:paraId="4B51F4EB" w14:textId="77777777" w:rsidR="00BC0127" w:rsidRDefault="00BC0127" w:rsidP="00CA2A42">
      <w:pPr>
        <w:rPr>
          <w:sz w:val="32"/>
          <w:szCs w:val="32"/>
        </w:rPr>
      </w:pPr>
    </w:p>
    <w:p w14:paraId="4B51F4EC" w14:textId="77777777" w:rsidR="00664C63" w:rsidRPr="00CA2A42" w:rsidRDefault="00664C63" w:rsidP="00CA2A42">
      <w:pPr>
        <w:rPr>
          <w:sz w:val="32"/>
          <w:szCs w:val="32"/>
        </w:rPr>
      </w:pPr>
      <w:r w:rsidRPr="00CA2A42">
        <w:rPr>
          <w:sz w:val="32"/>
          <w:szCs w:val="32"/>
        </w:rPr>
        <w:t>Inserts for</w:t>
      </w:r>
    </w:p>
    <w:p w14:paraId="4B51F4ED" w14:textId="77777777" w:rsidR="00664C63" w:rsidRPr="00CA2A42" w:rsidRDefault="004C069B" w:rsidP="00CA2A42">
      <w:pPr>
        <w:pStyle w:val="ShortT"/>
      </w:pPr>
      <w:r w:rsidRPr="004C069B">
        <w:t>Treasury Laws Amendment (Measures for Consultation) Bill 2022</w:t>
      </w:r>
      <w:r w:rsidR="00F44DC3" w:rsidRPr="00CA2A42">
        <w:t xml:space="preserve">: Increased </w:t>
      </w:r>
      <w:r w:rsidR="007B179B" w:rsidRPr="00CA2A42">
        <w:t>Tribunal</w:t>
      </w:r>
      <w:r w:rsidR="00F44DC3" w:rsidRPr="00CA2A42">
        <w:t xml:space="preserve"> powers for small business taxation decisions</w:t>
      </w:r>
    </w:p>
    <w:p w14:paraId="4B51F4EE" w14:textId="77777777" w:rsidR="00664C63" w:rsidRPr="00CA2A42" w:rsidRDefault="00664C63" w:rsidP="00CA2A42">
      <w:pPr>
        <w:jc w:val="center"/>
      </w:pPr>
    </w:p>
    <w:p w14:paraId="4B51F4EF" w14:textId="77777777" w:rsidR="00664C63" w:rsidRPr="00CA2A42" w:rsidRDefault="00664C63" w:rsidP="00CA2A4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CA2A42" w14:paraId="4B51F4F1" w14:textId="77777777" w:rsidTr="00D70CB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B51F4F0" w14:textId="77777777" w:rsidR="00664C63" w:rsidRPr="00CA2A42" w:rsidRDefault="00664C63" w:rsidP="00CA2A42">
            <w:pPr>
              <w:pStyle w:val="TableHeading"/>
            </w:pPr>
            <w:r w:rsidRPr="00CA2A42">
              <w:t>Commencement information</w:t>
            </w:r>
          </w:p>
        </w:tc>
      </w:tr>
      <w:tr w:rsidR="00664C63" w:rsidRPr="00CA2A42" w14:paraId="4B51F4F5" w14:textId="77777777" w:rsidTr="00D70CB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1F4F2" w14:textId="77777777" w:rsidR="00664C63" w:rsidRPr="00CA2A42" w:rsidRDefault="00664C63" w:rsidP="00CA2A42">
            <w:pPr>
              <w:pStyle w:val="TableHeading"/>
            </w:pPr>
            <w:r w:rsidRPr="00CA2A42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1F4F3" w14:textId="77777777" w:rsidR="00664C63" w:rsidRPr="00CA2A42" w:rsidRDefault="00664C63" w:rsidP="00CA2A42">
            <w:pPr>
              <w:pStyle w:val="TableHeading"/>
            </w:pPr>
            <w:r w:rsidRPr="00CA2A42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1F4F4" w14:textId="77777777" w:rsidR="00664C63" w:rsidRPr="00CA2A42" w:rsidRDefault="00664C63" w:rsidP="00CA2A42">
            <w:pPr>
              <w:pStyle w:val="TableHeading"/>
            </w:pPr>
            <w:r w:rsidRPr="00CA2A42">
              <w:t>Column 3</w:t>
            </w:r>
          </w:p>
        </w:tc>
      </w:tr>
      <w:tr w:rsidR="00664C63" w:rsidRPr="00CA2A42" w14:paraId="4B51F4F9" w14:textId="77777777" w:rsidTr="00D70CB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B51F4F6" w14:textId="77777777" w:rsidR="00664C63" w:rsidRPr="00CA2A42" w:rsidRDefault="00664C63" w:rsidP="00CA2A42">
            <w:pPr>
              <w:pStyle w:val="TableHeading"/>
            </w:pPr>
            <w:r w:rsidRPr="00CA2A42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B51F4F7" w14:textId="77777777" w:rsidR="00664C63" w:rsidRPr="00CA2A42" w:rsidRDefault="00664C63" w:rsidP="00CA2A42">
            <w:pPr>
              <w:pStyle w:val="TableHeading"/>
            </w:pPr>
            <w:r w:rsidRPr="00CA2A42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B51F4F8" w14:textId="77777777" w:rsidR="00664C63" w:rsidRPr="00CA2A42" w:rsidRDefault="00664C63" w:rsidP="00CA2A42">
            <w:pPr>
              <w:pStyle w:val="TableHeading"/>
            </w:pPr>
            <w:r w:rsidRPr="00CA2A42">
              <w:t>Date/Details</w:t>
            </w:r>
          </w:p>
        </w:tc>
      </w:tr>
      <w:tr w:rsidR="00664C63" w:rsidRPr="00CA2A42" w14:paraId="4B51F4FD" w14:textId="77777777" w:rsidTr="00D70CB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51F4FA" w14:textId="77777777" w:rsidR="00664C63" w:rsidRPr="00CA2A42" w:rsidRDefault="00664C63" w:rsidP="00CA2A42">
            <w:pPr>
              <w:pStyle w:val="Tabletext"/>
            </w:pPr>
            <w:r w:rsidRPr="00CA2A42">
              <w:t xml:space="preserve">1.  </w:t>
            </w:r>
            <w:r w:rsidR="002300C8" w:rsidRPr="00CA2A42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51F4FB" w14:textId="77777777" w:rsidR="00664C63" w:rsidRPr="00CA2A42" w:rsidRDefault="005C345F" w:rsidP="00CA2A42">
            <w:pPr>
              <w:pStyle w:val="Tabletext"/>
            </w:pPr>
            <w:r w:rsidRPr="00CA2A42">
              <w:t>The day after this Act receives the Royal Assent</w:t>
            </w:r>
            <w:bookmarkStart w:id="1" w:name="BK_S1P1L25C7"/>
            <w:bookmarkEnd w:id="1"/>
            <w:r w:rsidRPr="00CA2A42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51F4FC" w14:textId="77777777" w:rsidR="00664C63" w:rsidRPr="00CA2A42" w:rsidRDefault="00664C63" w:rsidP="00CA2A42">
            <w:pPr>
              <w:pStyle w:val="Tabletext"/>
            </w:pPr>
          </w:p>
        </w:tc>
      </w:tr>
    </w:tbl>
    <w:p w14:paraId="4B51F4FE" w14:textId="77777777" w:rsidR="0033411C" w:rsidRPr="00CA2A42" w:rsidRDefault="002300C8" w:rsidP="00CA2A42">
      <w:pPr>
        <w:pStyle w:val="ActHead6"/>
        <w:pageBreakBefore/>
      </w:pPr>
      <w:r w:rsidRPr="00BC0127">
        <w:rPr>
          <w:rStyle w:val="CharAmSchNo"/>
        </w:rPr>
        <w:lastRenderedPageBreak/>
        <w:t>Schedule 1</w:t>
      </w:r>
      <w:r w:rsidR="005C345F" w:rsidRPr="00CA2A42">
        <w:t>—</w:t>
      </w:r>
      <w:r w:rsidR="005C345F" w:rsidRPr="00BC0127">
        <w:rPr>
          <w:rStyle w:val="CharAmSchText"/>
        </w:rPr>
        <w:t>Increased Tribunal powers for small business tax decisions</w:t>
      </w:r>
    </w:p>
    <w:p w14:paraId="4B51F4FF" w14:textId="77777777" w:rsidR="005C345F" w:rsidRPr="00BC0127" w:rsidRDefault="005C345F" w:rsidP="00CA2A42">
      <w:pPr>
        <w:pStyle w:val="Header"/>
      </w:pPr>
      <w:r w:rsidRPr="00BC0127">
        <w:rPr>
          <w:rStyle w:val="CharAmPartNo"/>
        </w:rPr>
        <w:t xml:space="preserve"> </w:t>
      </w:r>
      <w:r w:rsidRPr="00BC0127">
        <w:rPr>
          <w:rStyle w:val="CharAmPartText"/>
        </w:rPr>
        <w:t xml:space="preserve"> </w:t>
      </w:r>
    </w:p>
    <w:p w14:paraId="4B51F500" w14:textId="77777777" w:rsidR="005C345F" w:rsidRPr="00CA2A42" w:rsidRDefault="005C345F" w:rsidP="00CA2A42">
      <w:pPr>
        <w:pStyle w:val="ActHead9"/>
      </w:pPr>
      <w:r w:rsidRPr="00CA2A42">
        <w:t>Taxation Administration Act 1953</w:t>
      </w:r>
      <w:bookmarkStart w:id="2" w:name="BK_S1P2L4C33"/>
      <w:bookmarkEnd w:id="2"/>
    </w:p>
    <w:p w14:paraId="4B51F501" w14:textId="77777777" w:rsidR="005C345F" w:rsidRPr="00CA2A42" w:rsidRDefault="00E54D5F" w:rsidP="00CA2A42">
      <w:pPr>
        <w:pStyle w:val="ItemHead"/>
      </w:pPr>
      <w:proofErr w:type="gramStart"/>
      <w:r w:rsidRPr="00CA2A42">
        <w:t>1</w:t>
      </w:r>
      <w:r w:rsidR="00DA32A8" w:rsidRPr="00CA2A42">
        <w:t xml:space="preserve">  </w:t>
      </w:r>
      <w:r w:rsidR="002300C8" w:rsidRPr="00CA2A42">
        <w:t>Section</w:t>
      </w:r>
      <w:proofErr w:type="gramEnd"/>
      <w:r w:rsidR="002300C8" w:rsidRPr="00CA2A42">
        <w:t> 1</w:t>
      </w:r>
      <w:r w:rsidR="00DA32A8" w:rsidRPr="00CA2A42">
        <w:t>4ZQ</w:t>
      </w:r>
    </w:p>
    <w:p w14:paraId="4B51F502" w14:textId="77777777" w:rsidR="00DA32A8" w:rsidRPr="00CA2A42" w:rsidRDefault="00DA32A8" w:rsidP="00CA2A42">
      <w:pPr>
        <w:pStyle w:val="Item"/>
      </w:pPr>
      <w:r w:rsidRPr="00CA2A42">
        <w:t>Insert:</w:t>
      </w:r>
    </w:p>
    <w:p w14:paraId="4B51F503" w14:textId="77777777" w:rsidR="00C3768C" w:rsidRPr="00CA2A42" w:rsidRDefault="00DA32A8" w:rsidP="00CA2A42">
      <w:pPr>
        <w:pStyle w:val="Definition"/>
      </w:pPr>
      <w:r w:rsidRPr="00CA2A42">
        <w:rPr>
          <w:b/>
          <w:i/>
        </w:rPr>
        <w:t xml:space="preserve">small business taxation </w:t>
      </w:r>
      <w:r w:rsidR="005628CC" w:rsidRPr="00CA2A42">
        <w:rPr>
          <w:b/>
          <w:i/>
        </w:rPr>
        <w:t xml:space="preserve">assessment </w:t>
      </w:r>
      <w:r w:rsidRPr="00CA2A42">
        <w:rPr>
          <w:b/>
          <w:i/>
        </w:rPr>
        <w:t>decision</w:t>
      </w:r>
      <w:r w:rsidRPr="00CA2A42">
        <w:t xml:space="preserve"> means a</w:t>
      </w:r>
      <w:r w:rsidR="00295F93" w:rsidRPr="00CA2A42">
        <w:t xml:space="preserve"> taxation decision that</w:t>
      </w:r>
      <w:r w:rsidR="00F22D76" w:rsidRPr="00CA2A42">
        <w:t xml:space="preserve"> is</w:t>
      </w:r>
      <w:r w:rsidR="00295F93" w:rsidRPr="00CA2A42">
        <w:t>:</w:t>
      </w:r>
    </w:p>
    <w:p w14:paraId="4B51F504" w14:textId="77777777" w:rsidR="00C3768C" w:rsidRPr="00CA2A42" w:rsidRDefault="00C3768C" w:rsidP="00CA2A42">
      <w:pPr>
        <w:pStyle w:val="paragraph"/>
      </w:pPr>
      <w:r w:rsidRPr="00CA2A42">
        <w:tab/>
        <w:t>(a)</w:t>
      </w:r>
      <w:r w:rsidRPr="00CA2A42">
        <w:tab/>
        <w:t>a</w:t>
      </w:r>
      <w:r w:rsidR="003402E4" w:rsidRPr="00CA2A42">
        <w:t>n assessment of tax</w:t>
      </w:r>
      <w:r w:rsidR="00CA2A42">
        <w:noBreakHyphen/>
      </w:r>
      <w:r w:rsidR="003402E4" w:rsidRPr="00CA2A42">
        <w:t xml:space="preserve">related liabilities (as defined in </w:t>
      </w:r>
      <w:r w:rsidR="002300C8" w:rsidRPr="00CA2A42">
        <w:t>section 2</w:t>
      </w:r>
      <w:r w:rsidR="003402E4" w:rsidRPr="00CA2A42">
        <w:t>55</w:t>
      </w:r>
      <w:r w:rsidR="00CA2A42">
        <w:noBreakHyphen/>
      </w:r>
      <w:r w:rsidR="003402E4" w:rsidRPr="00CA2A42">
        <w:t xml:space="preserve">1 </w:t>
      </w:r>
      <w:r w:rsidR="00D9086F" w:rsidRPr="00CA2A42">
        <w:t>in</w:t>
      </w:r>
      <w:r w:rsidR="003402E4" w:rsidRPr="00CA2A42">
        <w:t xml:space="preserve"> </w:t>
      </w:r>
      <w:r w:rsidR="002300C8" w:rsidRPr="00CA2A42">
        <w:t>Schedule 1</w:t>
      </w:r>
      <w:r w:rsidR="003402E4" w:rsidRPr="00CA2A42">
        <w:t>)</w:t>
      </w:r>
      <w:r w:rsidR="00F22D76" w:rsidRPr="00CA2A42">
        <w:t xml:space="preserve"> relating in whole or in part to carrying on a business</w:t>
      </w:r>
      <w:r w:rsidRPr="00CA2A42">
        <w:t>; and</w:t>
      </w:r>
    </w:p>
    <w:p w14:paraId="4B51F505" w14:textId="77777777" w:rsidR="00F22D76" w:rsidRPr="00CA2A42" w:rsidRDefault="00C3768C" w:rsidP="00CA2A42">
      <w:pPr>
        <w:pStyle w:val="paragraph"/>
      </w:pPr>
      <w:r w:rsidRPr="00CA2A42">
        <w:tab/>
        <w:t>(b)</w:t>
      </w:r>
      <w:r w:rsidRPr="00CA2A42">
        <w:tab/>
        <w:t xml:space="preserve">made in relation to a small business entity (within the meaning of the </w:t>
      </w:r>
      <w:r w:rsidRPr="00CA2A42">
        <w:rPr>
          <w:i/>
        </w:rPr>
        <w:t>Income Tax Assessment Act 1997</w:t>
      </w:r>
      <w:r w:rsidRPr="00CA2A42">
        <w:t>)</w:t>
      </w:r>
      <w:r w:rsidR="00F22D76" w:rsidRPr="00CA2A42">
        <w:t>.</w:t>
      </w:r>
    </w:p>
    <w:p w14:paraId="4B51F506" w14:textId="77777777" w:rsidR="002B3138" w:rsidRPr="00CA2A42" w:rsidRDefault="00E54D5F" w:rsidP="00CA2A42">
      <w:pPr>
        <w:pStyle w:val="ItemHead"/>
      </w:pPr>
      <w:proofErr w:type="gramStart"/>
      <w:r w:rsidRPr="00CA2A42">
        <w:t>2</w:t>
      </w:r>
      <w:r w:rsidR="002B3138" w:rsidRPr="00CA2A42">
        <w:t xml:space="preserve">  At</w:t>
      </w:r>
      <w:proofErr w:type="gramEnd"/>
      <w:r w:rsidR="002B3138" w:rsidRPr="00CA2A42">
        <w:t xml:space="preserve"> the end of </w:t>
      </w:r>
      <w:r w:rsidR="00B02A49" w:rsidRPr="00CA2A42">
        <w:t>section 1</w:t>
      </w:r>
      <w:r w:rsidR="002B3138" w:rsidRPr="00CA2A42">
        <w:t>4ZZB</w:t>
      </w:r>
    </w:p>
    <w:p w14:paraId="4B51F507" w14:textId="77777777" w:rsidR="002B3138" w:rsidRPr="00CA2A42" w:rsidRDefault="002B3138" w:rsidP="00CA2A42">
      <w:pPr>
        <w:pStyle w:val="Item"/>
      </w:pPr>
      <w:r w:rsidRPr="00CA2A42">
        <w:t>Add:</w:t>
      </w:r>
    </w:p>
    <w:p w14:paraId="4B51F508" w14:textId="77777777" w:rsidR="00241268" w:rsidRPr="00CA2A42" w:rsidRDefault="002B3138" w:rsidP="00CA2A42">
      <w:pPr>
        <w:pStyle w:val="subsection"/>
      </w:pPr>
      <w:r w:rsidRPr="00CA2A42">
        <w:tab/>
        <w:t>(3)</w:t>
      </w:r>
      <w:r w:rsidRPr="00CA2A42">
        <w:tab/>
        <w:t xml:space="preserve">However, </w:t>
      </w:r>
      <w:r w:rsidR="000B30C5" w:rsidRPr="00CA2A42">
        <w:t xml:space="preserve">despite </w:t>
      </w:r>
      <w:r w:rsidR="00CA2A42">
        <w:t>subsection (</w:t>
      </w:r>
      <w:r w:rsidR="000B30C5" w:rsidRPr="00CA2A42">
        <w:t xml:space="preserve">1), </w:t>
      </w:r>
      <w:r w:rsidR="00B02A49" w:rsidRPr="00CA2A42">
        <w:t>section 4</w:t>
      </w:r>
      <w:r w:rsidRPr="00CA2A42">
        <w:t>1 of the AAT Act appl</w:t>
      </w:r>
      <w:r w:rsidR="00D70CBA" w:rsidRPr="00CA2A42">
        <w:t>ies</w:t>
      </w:r>
      <w:r w:rsidR="00D11853" w:rsidRPr="00CA2A42">
        <w:t xml:space="preserve"> in relation to a reviewable objection decision that relates to a small business taxation assessment decision, subject to the modifications set out in </w:t>
      </w:r>
      <w:r w:rsidR="00B02A49" w:rsidRPr="00CA2A42">
        <w:t>section 1</w:t>
      </w:r>
      <w:r w:rsidR="00D11853" w:rsidRPr="00CA2A42">
        <w:t>4ZZH.</w:t>
      </w:r>
    </w:p>
    <w:p w14:paraId="4B51F509" w14:textId="77777777" w:rsidR="00BD3A21" w:rsidRPr="00CA2A42" w:rsidRDefault="00E54D5F" w:rsidP="00CA2A42">
      <w:pPr>
        <w:pStyle w:val="ItemHead"/>
      </w:pPr>
      <w:proofErr w:type="gramStart"/>
      <w:r w:rsidRPr="00CA2A42">
        <w:t>3</w:t>
      </w:r>
      <w:r w:rsidR="00BD3A21" w:rsidRPr="00CA2A42">
        <w:t xml:space="preserve">  After</w:t>
      </w:r>
      <w:proofErr w:type="gramEnd"/>
      <w:r w:rsidR="00BD3A21" w:rsidRPr="00CA2A42">
        <w:t xml:space="preserve"> </w:t>
      </w:r>
      <w:r w:rsidR="00B02A49" w:rsidRPr="00CA2A42">
        <w:t>section 1</w:t>
      </w:r>
      <w:r w:rsidR="00BD3A21" w:rsidRPr="00CA2A42">
        <w:t>4ZZG</w:t>
      </w:r>
    </w:p>
    <w:p w14:paraId="4B51F50A" w14:textId="77777777" w:rsidR="00BD3A21" w:rsidRPr="00CA2A42" w:rsidRDefault="00BD3A21" w:rsidP="00CA2A42">
      <w:pPr>
        <w:pStyle w:val="Item"/>
      </w:pPr>
      <w:r w:rsidRPr="00CA2A42">
        <w:t>Insert:</w:t>
      </w:r>
    </w:p>
    <w:p w14:paraId="4B51F50B" w14:textId="77777777" w:rsidR="00BD3A21" w:rsidRPr="00CA2A42" w:rsidRDefault="00BD3A21" w:rsidP="00CA2A42">
      <w:pPr>
        <w:pStyle w:val="ActHead5"/>
      </w:pPr>
      <w:r w:rsidRPr="00BC0127">
        <w:rPr>
          <w:rStyle w:val="CharSectno"/>
        </w:rPr>
        <w:t>14</w:t>
      </w:r>
      <w:proofErr w:type="gramStart"/>
      <w:r w:rsidRPr="00BC0127">
        <w:rPr>
          <w:rStyle w:val="CharSectno"/>
        </w:rPr>
        <w:t>ZZH</w:t>
      </w:r>
      <w:r w:rsidRPr="00CA2A42">
        <w:t xml:space="preserve">  Modification</w:t>
      </w:r>
      <w:proofErr w:type="gramEnd"/>
      <w:r w:rsidRPr="00CA2A42">
        <w:t xml:space="preserve"> of </w:t>
      </w:r>
      <w:r w:rsidR="00B02A49" w:rsidRPr="00CA2A42">
        <w:t>section 4</w:t>
      </w:r>
      <w:r w:rsidRPr="00CA2A42">
        <w:t>1 of the AAT Act</w:t>
      </w:r>
    </w:p>
    <w:p w14:paraId="4B51F50C" w14:textId="77777777" w:rsidR="00BD3A21" w:rsidRPr="00CA2A42" w:rsidRDefault="00BD3A21" w:rsidP="00CA2A42">
      <w:pPr>
        <w:pStyle w:val="subsection"/>
      </w:pPr>
      <w:r w:rsidRPr="00CA2A42">
        <w:tab/>
      </w:r>
      <w:r w:rsidRPr="00CA2A42">
        <w:tab/>
      </w:r>
      <w:r w:rsidR="0034728B" w:rsidRPr="00CA2A42">
        <w:t>Section 41 of the AAT Act applies in relation to a reviewable objection decision that relates to a small business taxation assessment decision as if</w:t>
      </w:r>
      <w:r w:rsidR="00A16078" w:rsidRPr="00CA2A42">
        <w:t xml:space="preserve"> </w:t>
      </w:r>
      <w:r w:rsidR="00F80191" w:rsidRPr="00CA2A42">
        <w:t xml:space="preserve">the following </w:t>
      </w:r>
      <w:r w:rsidR="00A16078" w:rsidRPr="00CA2A42">
        <w:t xml:space="preserve">subsection were </w:t>
      </w:r>
      <w:r w:rsidR="00F80191" w:rsidRPr="00CA2A42">
        <w:t xml:space="preserve">inserted after </w:t>
      </w:r>
      <w:r w:rsidR="00CA2A42">
        <w:t>subsection (</w:t>
      </w:r>
      <w:r w:rsidR="00F80191" w:rsidRPr="00CA2A42">
        <w:t>3):</w:t>
      </w:r>
    </w:p>
    <w:p w14:paraId="4B51F50D" w14:textId="77777777" w:rsidR="00D11853" w:rsidRPr="00CA2A42" w:rsidRDefault="00BD3A21" w:rsidP="00CA2A42">
      <w:pPr>
        <w:pStyle w:val="subsection"/>
      </w:pPr>
      <w:r w:rsidRPr="00CA2A42">
        <w:tab/>
      </w:r>
      <w:r w:rsidR="00F80191" w:rsidRPr="00CA2A42">
        <w:t>“</w:t>
      </w:r>
      <w:r w:rsidRPr="00CA2A42">
        <w:t>(</w:t>
      </w:r>
      <w:r w:rsidR="00F80191" w:rsidRPr="00CA2A42">
        <w:t>3A</w:t>
      </w:r>
      <w:r w:rsidRPr="00CA2A42">
        <w:t>)</w:t>
      </w:r>
      <w:r w:rsidRPr="00CA2A42">
        <w:tab/>
      </w:r>
      <w:r w:rsidR="00F80191" w:rsidRPr="00CA2A42">
        <w:t>T</w:t>
      </w:r>
      <w:r w:rsidR="00C3768C" w:rsidRPr="00CA2A42">
        <w:t xml:space="preserve">he Tribunal </w:t>
      </w:r>
      <w:r w:rsidR="00324516" w:rsidRPr="00CA2A42">
        <w:t xml:space="preserve">must not </w:t>
      </w:r>
      <w:r w:rsidR="00C3768C" w:rsidRPr="00CA2A42">
        <w:t xml:space="preserve">make </w:t>
      </w:r>
      <w:r w:rsidRPr="00CA2A42">
        <w:t>an order</w:t>
      </w:r>
      <w:r w:rsidR="00F80191" w:rsidRPr="00CA2A42">
        <w:t xml:space="preserve"> under </w:t>
      </w:r>
      <w:r w:rsidR="00CA2A42">
        <w:t>subsection (</w:t>
      </w:r>
      <w:r w:rsidR="00F80191" w:rsidRPr="00CA2A42">
        <w:t>2)</w:t>
      </w:r>
      <w:r w:rsidR="002F49A3" w:rsidRPr="00CA2A42">
        <w:t>,</w:t>
      </w:r>
      <w:r w:rsidR="00F80191" w:rsidRPr="00CA2A42">
        <w:t xml:space="preserve"> or </w:t>
      </w:r>
      <w:r w:rsidR="001E0260" w:rsidRPr="00CA2A42">
        <w:t xml:space="preserve">an order varying or revoking </w:t>
      </w:r>
      <w:r w:rsidR="007457F4" w:rsidRPr="00CA2A42">
        <w:t xml:space="preserve">an order in force under </w:t>
      </w:r>
      <w:r w:rsidR="00CA2A42">
        <w:t>subsection (</w:t>
      </w:r>
      <w:r w:rsidR="007457F4" w:rsidRPr="00CA2A42">
        <w:t>2</w:t>
      </w:r>
      <w:r w:rsidR="001E0260" w:rsidRPr="00CA2A42">
        <w:t>)</w:t>
      </w:r>
      <w:r w:rsidR="002F49A3" w:rsidRPr="00CA2A42">
        <w:t>,</w:t>
      </w:r>
      <w:r w:rsidR="001E0260" w:rsidRPr="00CA2A42">
        <w:t xml:space="preserve"> </w:t>
      </w:r>
      <w:r w:rsidR="00324516" w:rsidRPr="00CA2A42">
        <w:t>unless</w:t>
      </w:r>
      <w:r w:rsidR="00D11853" w:rsidRPr="00CA2A42">
        <w:t>:</w:t>
      </w:r>
    </w:p>
    <w:p w14:paraId="4B51F50E" w14:textId="77777777" w:rsidR="00D11853" w:rsidRPr="00CA2A42" w:rsidRDefault="00D11853" w:rsidP="00CA2A42">
      <w:pPr>
        <w:pStyle w:val="paragraph"/>
      </w:pPr>
      <w:r w:rsidRPr="00CA2A42">
        <w:tab/>
        <w:t>(a)</w:t>
      </w:r>
      <w:r w:rsidRPr="00CA2A42">
        <w:tab/>
        <w:t xml:space="preserve">the proceeding before the Tribunal is in the Small Business Taxation Division </w:t>
      </w:r>
      <w:r w:rsidR="005F1494" w:rsidRPr="00CA2A42">
        <w:t>of the Tribunal</w:t>
      </w:r>
      <w:r w:rsidRPr="00CA2A42">
        <w:t>; and</w:t>
      </w:r>
    </w:p>
    <w:p w14:paraId="4B51F50F" w14:textId="77777777" w:rsidR="00BD3A21" w:rsidRPr="00CA2A42" w:rsidRDefault="00D11853" w:rsidP="00CA2A42">
      <w:pPr>
        <w:pStyle w:val="paragraph"/>
      </w:pPr>
      <w:r w:rsidRPr="00CA2A42">
        <w:tab/>
        <w:t>(b)</w:t>
      </w:r>
      <w:r w:rsidRPr="00CA2A42">
        <w:tab/>
      </w:r>
      <w:r w:rsidR="00324516" w:rsidRPr="00CA2A42">
        <w:t xml:space="preserve">if </w:t>
      </w:r>
      <w:r w:rsidR="0092611D" w:rsidRPr="00CA2A42">
        <w:t xml:space="preserve">the </w:t>
      </w:r>
      <w:r w:rsidR="00B74BCD" w:rsidRPr="00CA2A42">
        <w:t>party requesting</w:t>
      </w:r>
      <w:r w:rsidR="0092611D" w:rsidRPr="00CA2A42">
        <w:t xml:space="preserve"> the order is not the Commissioner—</w:t>
      </w:r>
      <w:r w:rsidRPr="00CA2A42">
        <w:t xml:space="preserve">the </w:t>
      </w:r>
      <w:r w:rsidR="00B74BCD" w:rsidRPr="00CA2A42">
        <w:t xml:space="preserve">party </w:t>
      </w:r>
      <w:r w:rsidR="007A49BD" w:rsidRPr="00CA2A42">
        <w:t xml:space="preserve">satisfies the </w:t>
      </w:r>
      <w:r w:rsidRPr="00CA2A42">
        <w:t xml:space="preserve">Tribunal </w:t>
      </w:r>
      <w:r w:rsidR="00324516" w:rsidRPr="00CA2A42">
        <w:t xml:space="preserve">of all the following matters in </w:t>
      </w:r>
      <w:r w:rsidR="00324516" w:rsidRPr="00CA2A42">
        <w:lastRenderedPageBreak/>
        <w:t>relation to the making of the order, when considered in the context of both the particular circumstances of</w:t>
      </w:r>
      <w:r w:rsidR="00324516" w:rsidRPr="00CA2A42">
        <w:rPr>
          <w:i/>
        </w:rPr>
        <w:t xml:space="preserve"> </w:t>
      </w:r>
      <w:r w:rsidR="00324516" w:rsidRPr="00CA2A42">
        <w:t>the decision under review and the overall taxation system</w:t>
      </w:r>
      <w:r w:rsidR="00BD3A21" w:rsidRPr="00CA2A42">
        <w:t>:</w:t>
      </w:r>
    </w:p>
    <w:p w14:paraId="4B51F510" w14:textId="77777777" w:rsidR="00BD3A21" w:rsidRPr="00CA2A42" w:rsidRDefault="00BD3A21" w:rsidP="00CA2A42">
      <w:pPr>
        <w:pStyle w:val="paragraphsub"/>
      </w:pPr>
      <w:r w:rsidRPr="00CA2A42">
        <w:tab/>
        <w:t>(</w:t>
      </w:r>
      <w:proofErr w:type="spellStart"/>
      <w:r w:rsidR="00D11853" w:rsidRPr="00CA2A42">
        <w:t>i</w:t>
      </w:r>
      <w:proofErr w:type="spellEnd"/>
      <w:r w:rsidRPr="00CA2A42">
        <w:t>)</w:t>
      </w:r>
      <w:r w:rsidRPr="00CA2A42">
        <w:tab/>
        <w:t>the order</w:t>
      </w:r>
      <w:r w:rsidR="001E0260" w:rsidRPr="00CA2A42">
        <w:t xml:space="preserve"> </w:t>
      </w:r>
      <w:r w:rsidR="00C3768C" w:rsidRPr="00CA2A42">
        <w:t xml:space="preserve">is unlikely to </w:t>
      </w:r>
      <w:r w:rsidRPr="00CA2A42">
        <w:t>prejudice or unduly restrict the Commissioner’s administration of a taxation law;</w:t>
      </w:r>
    </w:p>
    <w:p w14:paraId="4B51F511" w14:textId="77777777" w:rsidR="00BD3A21" w:rsidRPr="00CA2A42" w:rsidRDefault="00BD3A21" w:rsidP="00CA2A42">
      <w:pPr>
        <w:pStyle w:val="paragraphsub"/>
      </w:pPr>
      <w:r w:rsidRPr="00CA2A42">
        <w:tab/>
        <w:t>(</w:t>
      </w:r>
      <w:r w:rsidR="00D11853" w:rsidRPr="00CA2A42">
        <w:t>ii</w:t>
      </w:r>
      <w:r w:rsidRPr="00CA2A42">
        <w:t>)</w:t>
      </w:r>
      <w:r w:rsidRPr="00CA2A42">
        <w:tab/>
        <w:t xml:space="preserve">the order </w:t>
      </w:r>
      <w:r w:rsidR="007A49BD" w:rsidRPr="00CA2A42">
        <w:t xml:space="preserve">is unlikely to </w:t>
      </w:r>
      <w:r w:rsidRPr="00CA2A42">
        <w:t>undermine the objective or purpose of a taxation law or a provision of a taxation law, or the integrity of the taxation system as administered by the Commissioner;</w:t>
      </w:r>
    </w:p>
    <w:p w14:paraId="4B51F512" w14:textId="77777777" w:rsidR="00BD3A21" w:rsidRPr="00CA2A42" w:rsidRDefault="00BD3A21" w:rsidP="00CA2A42">
      <w:pPr>
        <w:pStyle w:val="paragraphsub"/>
      </w:pPr>
      <w:r w:rsidRPr="00CA2A42">
        <w:tab/>
        <w:t>(</w:t>
      </w:r>
      <w:r w:rsidR="00D11853" w:rsidRPr="00CA2A42">
        <w:t>iii</w:t>
      </w:r>
      <w:r w:rsidRPr="00CA2A42">
        <w:t>)</w:t>
      </w:r>
      <w:r w:rsidRPr="00CA2A42">
        <w:tab/>
        <w:t>the application for review</w:t>
      </w:r>
      <w:r w:rsidR="00C3768C" w:rsidRPr="00CA2A42">
        <w:t xml:space="preserve"> and </w:t>
      </w:r>
      <w:r w:rsidRPr="00CA2A42">
        <w:t xml:space="preserve">the request for making the order is </w:t>
      </w:r>
      <w:r w:rsidR="00C3768C" w:rsidRPr="00CA2A42">
        <w:t xml:space="preserve">not </w:t>
      </w:r>
      <w:r w:rsidRPr="00CA2A42">
        <w:t>frivolous, vexatious, misconceived, lacking in substance or otherwise intended to impede the proper administration of a taxation law.</w:t>
      </w:r>
      <w:r w:rsidR="007457F4" w:rsidRPr="00CA2A42">
        <w:t>”.</w:t>
      </w:r>
    </w:p>
    <w:p w14:paraId="4B51F513" w14:textId="77777777" w:rsidR="004E26AD" w:rsidRPr="00CA2A42" w:rsidRDefault="00E54D5F" w:rsidP="00CA2A42">
      <w:pPr>
        <w:pStyle w:val="ItemHead"/>
      </w:pPr>
      <w:proofErr w:type="gramStart"/>
      <w:r w:rsidRPr="00CA2A42">
        <w:t>4</w:t>
      </w:r>
      <w:r w:rsidR="00194A50" w:rsidRPr="00CA2A42">
        <w:t xml:space="preserve">  </w:t>
      </w:r>
      <w:r w:rsidR="002300C8" w:rsidRPr="00CA2A42">
        <w:t>Section</w:t>
      </w:r>
      <w:proofErr w:type="gramEnd"/>
      <w:r w:rsidR="002300C8" w:rsidRPr="00CA2A42">
        <w:t> 1</w:t>
      </w:r>
      <w:r w:rsidR="004E26AD" w:rsidRPr="00CA2A42">
        <w:t>4ZZM</w:t>
      </w:r>
    </w:p>
    <w:p w14:paraId="4B51F514" w14:textId="77777777" w:rsidR="004E26AD" w:rsidRPr="00CA2A42" w:rsidRDefault="0095105F" w:rsidP="00CA2A42">
      <w:pPr>
        <w:pStyle w:val="Item"/>
      </w:pPr>
      <w:r w:rsidRPr="00CA2A42">
        <w:t>Before “The”, insert “(1)”.</w:t>
      </w:r>
    </w:p>
    <w:p w14:paraId="4B51F515" w14:textId="77777777" w:rsidR="0095105F" w:rsidRPr="00CA2A42" w:rsidRDefault="0095105F" w:rsidP="00CA2A42">
      <w:pPr>
        <w:pStyle w:val="ItemHead"/>
      </w:pPr>
      <w:proofErr w:type="gramStart"/>
      <w:r w:rsidRPr="00CA2A42">
        <w:t>5  At</w:t>
      </w:r>
      <w:proofErr w:type="gramEnd"/>
      <w:r w:rsidRPr="00CA2A42">
        <w:t xml:space="preserve"> the end of </w:t>
      </w:r>
      <w:r w:rsidR="00B02A49" w:rsidRPr="00CA2A42">
        <w:t>section 1</w:t>
      </w:r>
      <w:r w:rsidRPr="00CA2A42">
        <w:t>4ZZM</w:t>
      </w:r>
    </w:p>
    <w:p w14:paraId="4B51F516" w14:textId="77777777" w:rsidR="0095105F" w:rsidRPr="00CA2A42" w:rsidRDefault="0095105F" w:rsidP="00CA2A42">
      <w:pPr>
        <w:pStyle w:val="Item"/>
      </w:pPr>
      <w:r w:rsidRPr="00CA2A42">
        <w:t>Add:</w:t>
      </w:r>
    </w:p>
    <w:p w14:paraId="4B51F517" w14:textId="77777777" w:rsidR="0095105F" w:rsidRPr="00CA2A42" w:rsidRDefault="0095105F" w:rsidP="00CA2A42">
      <w:pPr>
        <w:pStyle w:val="subsection"/>
      </w:pPr>
      <w:r w:rsidRPr="00CA2A42">
        <w:tab/>
        <w:t>(2)</w:t>
      </w:r>
      <w:r w:rsidRPr="00CA2A42">
        <w:tab/>
        <w:t xml:space="preserve">However, </w:t>
      </w:r>
      <w:r w:rsidR="00D1522F" w:rsidRPr="00CA2A42">
        <w:t xml:space="preserve">the application of </w:t>
      </w:r>
      <w:r w:rsidR="00CA2A42">
        <w:t>subsection (</w:t>
      </w:r>
      <w:r w:rsidRPr="00CA2A42">
        <w:t xml:space="preserve">1) </w:t>
      </w:r>
      <w:r w:rsidR="008C7AA4" w:rsidRPr="00CA2A42">
        <w:t xml:space="preserve">in relation to a small business taxation assessment decision </w:t>
      </w:r>
      <w:r w:rsidRPr="00CA2A42">
        <w:t xml:space="preserve">is subject to </w:t>
      </w:r>
      <w:r w:rsidR="008C7AA4" w:rsidRPr="00CA2A42">
        <w:t xml:space="preserve">any order made under </w:t>
      </w:r>
      <w:r w:rsidR="00B02A49" w:rsidRPr="00CA2A42">
        <w:t>section 4</w:t>
      </w:r>
      <w:r w:rsidR="00590CF4" w:rsidRPr="00CA2A42">
        <w:t xml:space="preserve">1 of the AAT Act (as modified by </w:t>
      </w:r>
      <w:r w:rsidR="00B02A49" w:rsidRPr="00CA2A42">
        <w:t>section 1</w:t>
      </w:r>
      <w:r w:rsidR="00590CF4" w:rsidRPr="00CA2A42">
        <w:t>4ZZH</w:t>
      </w:r>
      <w:r w:rsidR="00AC4578" w:rsidRPr="00CA2A42">
        <w:t xml:space="preserve"> of this Act</w:t>
      </w:r>
      <w:r w:rsidR="00590CF4" w:rsidRPr="00CA2A42">
        <w:t>)</w:t>
      </w:r>
      <w:r w:rsidR="008C7AA4" w:rsidRPr="00CA2A42">
        <w:t xml:space="preserve"> in relation to the decision</w:t>
      </w:r>
      <w:r w:rsidR="00590CF4" w:rsidRPr="00CA2A42">
        <w:t>.</w:t>
      </w:r>
    </w:p>
    <w:p w14:paraId="4B51F518" w14:textId="77777777" w:rsidR="00194A50" w:rsidRPr="00CA2A42" w:rsidRDefault="0095105F" w:rsidP="00CA2A42">
      <w:pPr>
        <w:pStyle w:val="Transitional"/>
      </w:pPr>
      <w:proofErr w:type="gramStart"/>
      <w:r w:rsidRPr="00CA2A42">
        <w:t>6</w:t>
      </w:r>
      <w:r w:rsidR="00194A50" w:rsidRPr="00CA2A42">
        <w:t xml:space="preserve">  Application</w:t>
      </w:r>
      <w:proofErr w:type="gramEnd"/>
    </w:p>
    <w:p w14:paraId="4B51F519" w14:textId="77777777" w:rsidR="00194A50" w:rsidRPr="00CA2A42" w:rsidRDefault="00194A50" w:rsidP="00CA2A42">
      <w:pPr>
        <w:pStyle w:val="Item"/>
      </w:pPr>
      <w:r w:rsidRPr="00CA2A42">
        <w:t>The amendments made by this Schedule apply in relation to applications for review made on or after the commencement of this Schedule.</w:t>
      </w:r>
    </w:p>
    <w:sectPr w:rsidR="00194A50" w:rsidRPr="00CA2A42" w:rsidSect="00CA2A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1F51C" w14:textId="77777777" w:rsidR="000B30C5" w:rsidRDefault="000B30C5" w:rsidP="00664C63">
      <w:pPr>
        <w:spacing w:line="240" w:lineRule="auto"/>
      </w:pPr>
      <w:r>
        <w:separator/>
      </w:r>
    </w:p>
  </w:endnote>
  <w:endnote w:type="continuationSeparator" w:id="0">
    <w:p w14:paraId="4B51F51D" w14:textId="77777777" w:rsidR="000B30C5" w:rsidRDefault="000B30C5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1F522" w14:textId="77777777" w:rsidR="000B30C5" w:rsidRPr="00BB4623" w:rsidRDefault="000B30C5" w:rsidP="00CA2A42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B51F531" wp14:editId="4B51F532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1F53B" w14:textId="77777777" w:rsidR="000B30C5" w:rsidRPr="00D67311" w:rsidRDefault="000B30C5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A2A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A2A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F5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Vo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CG2VaK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4B51F53B" w14:textId="77777777" w:rsidR="000B30C5" w:rsidRPr="00D67311" w:rsidRDefault="000B30C5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A2A4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A2A4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B51F523" w14:textId="77777777" w:rsidR="000B30C5" w:rsidRPr="00BB4623" w:rsidRDefault="000B30C5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4B51F524" w14:textId="77777777" w:rsidR="000B30C5" w:rsidRPr="00BB4623" w:rsidRDefault="000B30C5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1F525" w14:textId="77777777" w:rsidR="000B30C5" w:rsidRDefault="000B30C5" w:rsidP="00CA2A42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51F533" wp14:editId="4B51F534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1F53C" w14:textId="71382245" w:rsidR="000B30C5" w:rsidRPr="00D67311" w:rsidRDefault="000B30C5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A2A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A2A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64F0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F5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0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" stroked="f" strokeweight=".5pt">
              <v:path arrowok="t"/>
              <v:textbox>
                <w:txbxContent>
                  <w:p w14:paraId="4B51F53C" w14:textId="71382245" w:rsidR="000B30C5" w:rsidRPr="00D67311" w:rsidRDefault="000B30C5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A2A4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A2A4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64F0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0B30C5" w:rsidRPr="00B3608C" w14:paraId="4B51F527" w14:textId="77777777" w:rsidTr="000B30C5">
      <w:trPr>
        <w:trHeight w:val="280"/>
      </w:trPr>
      <w:tc>
        <w:tcPr>
          <w:tcW w:w="7087" w:type="dxa"/>
        </w:tcPr>
        <w:p w14:paraId="4B51F526" w14:textId="77777777" w:rsidR="000B30C5" w:rsidRPr="00B3608C" w:rsidRDefault="000B30C5" w:rsidP="000B30C5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0B30C5" w:rsidRPr="00B3608C" w14:paraId="4B51F529" w14:textId="77777777" w:rsidTr="000B30C5">
      <w:tc>
        <w:tcPr>
          <w:tcW w:w="7087" w:type="dxa"/>
        </w:tcPr>
        <w:p w14:paraId="4B51F528" w14:textId="77777777" w:rsidR="000B30C5" w:rsidRPr="00B3608C" w:rsidRDefault="000B30C5" w:rsidP="000B30C5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4B51F52A" w14:textId="77777777" w:rsidR="000B30C5" w:rsidRPr="00BB4623" w:rsidRDefault="000B30C5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1F52C" w14:textId="77777777" w:rsidR="000B30C5" w:rsidRPr="00BB4623" w:rsidRDefault="000B30C5" w:rsidP="00CA2A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51F537" wp14:editId="4B51F53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1F53E" w14:textId="77777777" w:rsidR="000B30C5" w:rsidRPr="00D67311" w:rsidRDefault="000B30C5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A2A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A2A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F5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IV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smt1YuXX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HesIhW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4B51F53E" w14:textId="77777777" w:rsidR="000B30C5" w:rsidRPr="00D67311" w:rsidRDefault="000B30C5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A2A4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A2A4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1F51A" w14:textId="77777777" w:rsidR="000B30C5" w:rsidRDefault="000B30C5" w:rsidP="00664C63">
      <w:pPr>
        <w:spacing w:line="240" w:lineRule="auto"/>
      </w:pPr>
      <w:r>
        <w:separator/>
      </w:r>
    </w:p>
  </w:footnote>
  <w:footnote w:type="continuationSeparator" w:id="0">
    <w:p w14:paraId="4B51F51B" w14:textId="77777777" w:rsidR="000B30C5" w:rsidRDefault="000B30C5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1F51E" w14:textId="77777777" w:rsidR="000B30C5" w:rsidRPr="00BB4623" w:rsidRDefault="000B30C5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B51F52D" wp14:editId="4B51F52E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1F539" w14:textId="77777777" w:rsidR="000B30C5" w:rsidRPr="00D67311" w:rsidRDefault="000B30C5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A2A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A2A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F5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LBpA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" stroked="f" strokeweight=".5pt">
              <v:path arrowok="t"/>
              <v:textbox>
                <w:txbxContent>
                  <w:p w14:paraId="4B51F539" w14:textId="77777777" w:rsidR="000B30C5" w:rsidRPr="00D67311" w:rsidRDefault="000B30C5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A2A4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A2A4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B51F51F" w14:textId="77777777" w:rsidR="000B30C5" w:rsidRPr="00BB4623" w:rsidRDefault="000B30C5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1F520" w14:textId="77777777" w:rsidR="000B30C5" w:rsidRPr="00BB4623" w:rsidRDefault="000B30C5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B51F52F" wp14:editId="4B51F53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1F53A" w14:textId="5CD27E23" w:rsidR="000B30C5" w:rsidRPr="00D67311" w:rsidRDefault="000B30C5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A2A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A2A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64F0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F5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lA2Cb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4B51F53A" w14:textId="5CD27E23" w:rsidR="000B30C5" w:rsidRPr="00D67311" w:rsidRDefault="000B30C5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A2A4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A2A4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64F0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B51F521" w14:textId="77777777" w:rsidR="000B30C5" w:rsidRPr="00BB4623" w:rsidRDefault="000B30C5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1F52B" w14:textId="77777777" w:rsidR="000B30C5" w:rsidRPr="00BB4623" w:rsidRDefault="000B30C5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51F535" wp14:editId="4B51F53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1F53D" w14:textId="77777777" w:rsidR="000B30C5" w:rsidRPr="00D67311" w:rsidRDefault="000B30C5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A2A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A2A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7C7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F5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Bci225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4B51F53D" w14:textId="77777777" w:rsidR="000B30C5" w:rsidRPr="00D67311" w:rsidRDefault="000B30C5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A2A4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A2A4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7C7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4DC3"/>
    <w:rsid w:val="000136AF"/>
    <w:rsid w:val="00014B9A"/>
    <w:rsid w:val="00027C7B"/>
    <w:rsid w:val="00044CDA"/>
    <w:rsid w:val="00053517"/>
    <w:rsid w:val="00054520"/>
    <w:rsid w:val="00055D20"/>
    <w:rsid w:val="000614BF"/>
    <w:rsid w:val="00073C5A"/>
    <w:rsid w:val="00087033"/>
    <w:rsid w:val="000B30C5"/>
    <w:rsid w:val="000C74F9"/>
    <w:rsid w:val="000D05EF"/>
    <w:rsid w:val="000D3899"/>
    <w:rsid w:val="000F21C1"/>
    <w:rsid w:val="000F4126"/>
    <w:rsid w:val="00100537"/>
    <w:rsid w:val="001016D1"/>
    <w:rsid w:val="0010240E"/>
    <w:rsid w:val="00107161"/>
    <w:rsid w:val="0010745C"/>
    <w:rsid w:val="0011206D"/>
    <w:rsid w:val="0011685E"/>
    <w:rsid w:val="00116D0C"/>
    <w:rsid w:val="001336DB"/>
    <w:rsid w:val="001450E8"/>
    <w:rsid w:val="0016022F"/>
    <w:rsid w:val="00166C2F"/>
    <w:rsid w:val="00182C9A"/>
    <w:rsid w:val="0018435F"/>
    <w:rsid w:val="001939E1"/>
    <w:rsid w:val="00194A50"/>
    <w:rsid w:val="00195382"/>
    <w:rsid w:val="001A1C58"/>
    <w:rsid w:val="001A77AD"/>
    <w:rsid w:val="001B0F61"/>
    <w:rsid w:val="001B4BA3"/>
    <w:rsid w:val="001C69C4"/>
    <w:rsid w:val="001D1196"/>
    <w:rsid w:val="001E0260"/>
    <w:rsid w:val="001E3590"/>
    <w:rsid w:val="001E7407"/>
    <w:rsid w:val="0021250A"/>
    <w:rsid w:val="00222DB1"/>
    <w:rsid w:val="002277A0"/>
    <w:rsid w:val="00227BE5"/>
    <w:rsid w:val="002300C8"/>
    <w:rsid w:val="00240749"/>
    <w:rsid w:val="00241268"/>
    <w:rsid w:val="0026720B"/>
    <w:rsid w:val="00295F93"/>
    <w:rsid w:val="00296415"/>
    <w:rsid w:val="0029677A"/>
    <w:rsid w:val="00297206"/>
    <w:rsid w:val="00297ECB"/>
    <w:rsid w:val="002B3138"/>
    <w:rsid w:val="002C085A"/>
    <w:rsid w:val="002D043A"/>
    <w:rsid w:val="002E4515"/>
    <w:rsid w:val="002F08B3"/>
    <w:rsid w:val="002F49A3"/>
    <w:rsid w:val="00313C6F"/>
    <w:rsid w:val="00324516"/>
    <w:rsid w:val="0033411C"/>
    <w:rsid w:val="00334771"/>
    <w:rsid w:val="003402E4"/>
    <w:rsid w:val="003415D3"/>
    <w:rsid w:val="0034728B"/>
    <w:rsid w:val="00352B0F"/>
    <w:rsid w:val="00367B26"/>
    <w:rsid w:val="00367EDA"/>
    <w:rsid w:val="003A0228"/>
    <w:rsid w:val="003B0F1E"/>
    <w:rsid w:val="003D0317"/>
    <w:rsid w:val="003D0BFE"/>
    <w:rsid w:val="003D2D96"/>
    <w:rsid w:val="003D5700"/>
    <w:rsid w:val="003E3A21"/>
    <w:rsid w:val="003F60D2"/>
    <w:rsid w:val="00402376"/>
    <w:rsid w:val="004043EE"/>
    <w:rsid w:val="0040616D"/>
    <w:rsid w:val="004116CD"/>
    <w:rsid w:val="004168B4"/>
    <w:rsid w:val="00424CA9"/>
    <w:rsid w:val="00427D10"/>
    <w:rsid w:val="0044291A"/>
    <w:rsid w:val="00450849"/>
    <w:rsid w:val="0045088D"/>
    <w:rsid w:val="00496F97"/>
    <w:rsid w:val="004C069B"/>
    <w:rsid w:val="004E26AD"/>
    <w:rsid w:val="004E3680"/>
    <w:rsid w:val="004F2816"/>
    <w:rsid w:val="005104CE"/>
    <w:rsid w:val="00516B8D"/>
    <w:rsid w:val="00537FBC"/>
    <w:rsid w:val="00543850"/>
    <w:rsid w:val="00545AA5"/>
    <w:rsid w:val="005628CC"/>
    <w:rsid w:val="00584052"/>
    <w:rsid w:val="00584811"/>
    <w:rsid w:val="00590CF4"/>
    <w:rsid w:val="00593AA6"/>
    <w:rsid w:val="00594161"/>
    <w:rsid w:val="00594749"/>
    <w:rsid w:val="005A6F34"/>
    <w:rsid w:val="005B4067"/>
    <w:rsid w:val="005B617D"/>
    <w:rsid w:val="005C345F"/>
    <w:rsid w:val="005C3F41"/>
    <w:rsid w:val="005C5800"/>
    <w:rsid w:val="005D4DEA"/>
    <w:rsid w:val="005E1155"/>
    <w:rsid w:val="005E33DE"/>
    <w:rsid w:val="005F1494"/>
    <w:rsid w:val="00600219"/>
    <w:rsid w:val="00611C2E"/>
    <w:rsid w:val="00640C49"/>
    <w:rsid w:val="006444FB"/>
    <w:rsid w:val="0065106B"/>
    <w:rsid w:val="006527A6"/>
    <w:rsid w:val="00664C63"/>
    <w:rsid w:val="00677CC2"/>
    <w:rsid w:val="00681A4A"/>
    <w:rsid w:val="0069207B"/>
    <w:rsid w:val="006B0D0F"/>
    <w:rsid w:val="006B39CB"/>
    <w:rsid w:val="006B51F1"/>
    <w:rsid w:val="006C7F8C"/>
    <w:rsid w:val="006D3764"/>
    <w:rsid w:val="006D7395"/>
    <w:rsid w:val="006E4AB2"/>
    <w:rsid w:val="00700B2C"/>
    <w:rsid w:val="00713084"/>
    <w:rsid w:val="007173B8"/>
    <w:rsid w:val="00731E00"/>
    <w:rsid w:val="00732A85"/>
    <w:rsid w:val="00743915"/>
    <w:rsid w:val="007440B7"/>
    <w:rsid w:val="007457F4"/>
    <w:rsid w:val="0075226A"/>
    <w:rsid w:val="007550C5"/>
    <w:rsid w:val="007568B0"/>
    <w:rsid w:val="00760A56"/>
    <w:rsid w:val="007627F4"/>
    <w:rsid w:val="00767F6B"/>
    <w:rsid w:val="007715C9"/>
    <w:rsid w:val="00774EDD"/>
    <w:rsid w:val="007757EC"/>
    <w:rsid w:val="00781FFF"/>
    <w:rsid w:val="007845BF"/>
    <w:rsid w:val="007857B8"/>
    <w:rsid w:val="00795FCE"/>
    <w:rsid w:val="007A49BD"/>
    <w:rsid w:val="007A659A"/>
    <w:rsid w:val="007B081F"/>
    <w:rsid w:val="007B179B"/>
    <w:rsid w:val="007E0CD6"/>
    <w:rsid w:val="007E4CC8"/>
    <w:rsid w:val="007E6318"/>
    <w:rsid w:val="0080731B"/>
    <w:rsid w:val="00830815"/>
    <w:rsid w:val="008471E6"/>
    <w:rsid w:val="00856A31"/>
    <w:rsid w:val="008602CF"/>
    <w:rsid w:val="008754D0"/>
    <w:rsid w:val="00883892"/>
    <w:rsid w:val="00891E9D"/>
    <w:rsid w:val="008A6470"/>
    <w:rsid w:val="008C7AA4"/>
    <w:rsid w:val="008D0EE0"/>
    <w:rsid w:val="008D3FDA"/>
    <w:rsid w:val="008D6595"/>
    <w:rsid w:val="008E03DB"/>
    <w:rsid w:val="008E05CA"/>
    <w:rsid w:val="008E1CF1"/>
    <w:rsid w:val="0092611D"/>
    <w:rsid w:val="00932377"/>
    <w:rsid w:val="00932FA3"/>
    <w:rsid w:val="0095105F"/>
    <w:rsid w:val="0095602D"/>
    <w:rsid w:val="009620C2"/>
    <w:rsid w:val="00983B11"/>
    <w:rsid w:val="009B53A9"/>
    <w:rsid w:val="00A120DD"/>
    <w:rsid w:val="00A16078"/>
    <w:rsid w:val="00A231E2"/>
    <w:rsid w:val="00A25627"/>
    <w:rsid w:val="00A34C9E"/>
    <w:rsid w:val="00A415B9"/>
    <w:rsid w:val="00A64912"/>
    <w:rsid w:val="00A70A74"/>
    <w:rsid w:val="00AA011E"/>
    <w:rsid w:val="00AA5445"/>
    <w:rsid w:val="00AB5A90"/>
    <w:rsid w:val="00AC3E34"/>
    <w:rsid w:val="00AC4578"/>
    <w:rsid w:val="00AD27B3"/>
    <w:rsid w:val="00AD5641"/>
    <w:rsid w:val="00AE59F7"/>
    <w:rsid w:val="00AE7BD7"/>
    <w:rsid w:val="00B02A49"/>
    <w:rsid w:val="00B05DED"/>
    <w:rsid w:val="00B07C32"/>
    <w:rsid w:val="00B20BEF"/>
    <w:rsid w:val="00B25CD4"/>
    <w:rsid w:val="00B26413"/>
    <w:rsid w:val="00B30956"/>
    <w:rsid w:val="00B30BBF"/>
    <w:rsid w:val="00B33B3C"/>
    <w:rsid w:val="00B340B6"/>
    <w:rsid w:val="00B3608C"/>
    <w:rsid w:val="00B372A6"/>
    <w:rsid w:val="00B429C2"/>
    <w:rsid w:val="00B50437"/>
    <w:rsid w:val="00B61C25"/>
    <w:rsid w:val="00B70E56"/>
    <w:rsid w:val="00B73B51"/>
    <w:rsid w:val="00B74BCD"/>
    <w:rsid w:val="00B77395"/>
    <w:rsid w:val="00B80E89"/>
    <w:rsid w:val="00B820F9"/>
    <w:rsid w:val="00BB7FB9"/>
    <w:rsid w:val="00BC0127"/>
    <w:rsid w:val="00BC30F2"/>
    <w:rsid w:val="00BC70B9"/>
    <w:rsid w:val="00BD1655"/>
    <w:rsid w:val="00BD3A21"/>
    <w:rsid w:val="00BE719A"/>
    <w:rsid w:val="00BE720A"/>
    <w:rsid w:val="00BF37B5"/>
    <w:rsid w:val="00C32C85"/>
    <w:rsid w:val="00C3768C"/>
    <w:rsid w:val="00C42BF8"/>
    <w:rsid w:val="00C50043"/>
    <w:rsid w:val="00C53114"/>
    <w:rsid w:val="00C723B9"/>
    <w:rsid w:val="00C7573B"/>
    <w:rsid w:val="00C77955"/>
    <w:rsid w:val="00C77D10"/>
    <w:rsid w:val="00C91DD9"/>
    <w:rsid w:val="00CA2A42"/>
    <w:rsid w:val="00CB0EA8"/>
    <w:rsid w:val="00CC7649"/>
    <w:rsid w:val="00CC7A09"/>
    <w:rsid w:val="00CF0BB2"/>
    <w:rsid w:val="00CF4975"/>
    <w:rsid w:val="00D11853"/>
    <w:rsid w:val="00D13441"/>
    <w:rsid w:val="00D1522F"/>
    <w:rsid w:val="00D17B1C"/>
    <w:rsid w:val="00D3213F"/>
    <w:rsid w:val="00D374CE"/>
    <w:rsid w:val="00D40252"/>
    <w:rsid w:val="00D467B9"/>
    <w:rsid w:val="00D64F0B"/>
    <w:rsid w:val="00D67311"/>
    <w:rsid w:val="00D70CBA"/>
    <w:rsid w:val="00D70DFB"/>
    <w:rsid w:val="00D7186F"/>
    <w:rsid w:val="00D766DF"/>
    <w:rsid w:val="00D82467"/>
    <w:rsid w:val="00D9086F"/>
    <w:rsid w:val="00D9284D"/>
    <w:rsid w:val="00D94B5F"/>
    <w:rsid w:val="00DA32A8"/>
    <w:rsid w:val="00DA3366"/>
    <w:rsid w:val="00DB46DD"/>
    <w:rsid w:val="00DC14C7"/>
    <w:rsid w:val="00DD314D"/>
    <w:rsid w:val="00DE30DD"/>
    <w:rsid w:val="00DE5A61"/>
    <w:rsid w:val="00E05704"/>
    <w:rsid w:val="00E1363F"/>
    <w:rsid w:val="00E35506"/>
    <w:rsid w:val="00E54CAB"/>
    <w:rsid w:val="00E54D5F"/>
    <w:rsid w:val="00E74DC7"/>
    <w:rsid w:val="00E85CB9"/>
    <w:rsid w:val="00E94998"/>
    <w:rsid w:val="00EB5C8D"/>
    <w:rsid w:val="00ED1A6C"/>
    <w:rsid w:val="00EE2045"/>
    <w:rsid w:val="00EE25A8"/>
    <w:rsid w:val="00EE370B"/>
    <w:rsid w:val="00EE6DCC"/>
    <w:rsid w:val="00EF2E3A"/>
    <w:rsid w:val="00F0132A"/>
    <w:rsid w:val="00F078DC"/>
    <w:rsid w:val="00F22D76"/>
    <w:rsid w:val="00F43ADC"/>
    <w:rsid w:val="00F44DC3"/>
    <w:rsid w:val="00F5076A"/>
    <w:rsid w:val="00F64860"/>
    <w:rsid w:val="00F71234"/>
    <w:rsid w:val="00F80191"/>
    <w:rsid w:val="00F8033A"/>
    <w:rsid w:val="00F8103A"/>
    <w:rsid w:val="00F818F8"/>
    <w:rsid w:val="00FA3991"/>
    <w:rsid w:val="00FB3B90"/>
    <w:rsid w:val="00FC104F"/>
    <w:rsid w:val="00FF02B0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4B51F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2A4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4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4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4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4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4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4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4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4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4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A2A42"/>
  </w:style>
  <w:style w:type="paragraph" w:customStyle="1" w:styleId="OPCParaBase">
    <w:name w:val="OPCParaBase"/>
    <w:qFormat/>
    <w:rsid w:val="00CA2A4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A2A4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A2A4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A2A4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A2A4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A2A4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A2A4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A2A4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A2A4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A2A4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A2A4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A2A42"/>
  </w:style>
  <w:style w:type="paragraph" w:customStyle="1" w:styleId="Blocks">
    <w:name w:val="Blocks"/>
    <w:aliases w:val="bb"/>
    <w:basedOn w:val="OPCParaBase"/>
    <w:qFormat/>
    <w:rsid w:val="00CA2A4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A2A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A2A4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A2A42"/>
    <w:rPr>
      <w:i/>
    </w:rPr>
  </w:style>
  <w:style w:type="paragraph" w:customStyle="1" w:styleId="BoxList">
    <w:name w:val="BoxList"/>
    <w:aliases w:val="bl"/>
    <w:basedOn w:val="BoxText"/>
    <w:qFormat/>
    <w:rsid w:val="00CA2A4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A2A4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A2A4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A2A42"/>
    <w:pPr>
      <w:ind w:left="1985" w:hanging="851"/>
    </w:pPr>
  </w:style>
  <w:style w:type="character" w:customStyle="1" w:styleId="CharAmPartNo">
    <w:name w:val="CharAmPartNo"/>
    <w:basedOn w:val="OPCCharBase"/>
    <w:qFormat/>
    <w:rsid w:val="00CA2A42"/>
  </w:style>
  <w:style w:type="character" w:customStyle="1" w:styleId="CharAmPartText">
    <w:name w:val="CharAmPartText"/>
    <w:basedOn w:val="OPCCharBase"/>
    <w:qFormat/>
    <w:rsid w:val="00CA2A42"/>
  </w:style>
  <w:style w:type="character" w:customStyle="1" w:styleId="CharAmSchNo">
    <w:name w:val="CharAmSchNo"/>
    <w:basedOn w:val="OPCCharBase"/>
    <w:qFormat/>
    <w:rsid w:val="00CA2A42"/>
  </w:style>
  <w:style w:type="character" w:customStyle="1" w:styleId="CharAmSchText">
    <w:name w:val="CharAmSchText"/>
    <w:basedOn w:val="OPCCharBase"/>
    <w:qFormat/>
    <w:rsid w:val="00CA2A42"/>
  </w:style>
  <w:style w:type="character" w:customStyle="1" w:styleId="CharBoldItalic">
    <w:name w:val="CharBoldItalic"/>
    <w:basedOn w:val="OPCCharBase"/>
    <w:uiPriority w:val="1"/>
    <w:qFormat/>
    <w:rsid w:val="00CA2A42"/>
    <w:rPr>
      <w:b/>
      <w:i/>
    </w:rPr>
  </w:style>
  <w:style w:type="character" w:customStyle="1" w:styleId="CharChapNo">
    <w:name w:val="CharChapNo"/>
    <w:basedOn w:val="OPCCharBase"/>
    <w:uiPriority w:val="1"/>
    <w:qFormat/>
    <w:rsid w:val="00CA2A42"/>
  </w:style>
  <w:style w:type="character" w:customStyle="1" w:styleId="CharChapText">
    <w:name w:val="CharChapText"/>
    <w:basedOn w:val="OPCCharBase"/>
    <w:uiPriority w:val="1"/>
    <w:qFormat/>
    <w:rsid w:val="00CA2A42"/>
  </w:style>
  <w:style w:type="character" w:customStyle="1" w:styleId="CharDivNo">
    <w:name w:val="CharDivNo"/>
    <w:basedOn w:val="OPCCharBase"/>
    <w:uiPriority w:val="1"/>
    <w:qFormat/>
    <w:rsid w:val="00CA2A42"/>
  </w:style>
  <w:style w:type="character" w:customStyle="1" w:styleId="CharDivText">
    <w:name w:val="CharDivText"/>
    <w:basedOn w:val="OPCCharBase"/>
    <w:uiPriority w:val="1"/>
    <w:qFormat/>
    <w:rsid w:val="00CA2A42"/>
  </w:style>
  <w:style w:type="character" w:customStyle="1" w:styleId="CharItalic">
    <w:name w:val="CharItalic"/>
    <w:basedOn w:val="OPCCharBase"/>
    <w:uiPriority w:val="1"/>
    <w:qFormat/>
    <w:rsid w:val="00CA2A42"/>
    <w:rPr>
      <w:i/>
    </w:rPr>
  </w:style>
  <w:style w:type="character" w:customStyle="1" w:styleId="CharPartNo">
    <w:name w:val="CharPartNo"/>
    <w:basedOn w:val="OPCCharBase"/>
    <w:uiPriority w:val="1"/>
    <w:qFormat/>
    <w:rsid w:val="00CA2A42"/>
  </w:style>
  <w:style w:type="character" w:customStyle="1" w:styleId="CharPartText">
    <w:name w:val="CharPartText"/>
    <w:basedOn w:val="OPCCharBase"/>
    <w:uiPriority w:val="1"/>
    <w:qFormat/>
    <w:rsid w:val="00CA2A42"/>
  </w:style>
  <w:style w:type="character" w:customStyle="1" w:styleId="CharSectno">
    <w:name w:val="CharSectno"/>
    <w:basedOn w:val="OPCCharBase"/>
    <w:qFormat/>
    <w:rsid w:val="00CA2A42"/>
  </w:style>
  <w:style w:type="character" w:customStyle="1" w:styleId="CharSubdNo">
    <w:name w:val="CharSubdNo"/>
    <w:basedOn w:val="OPCCharBase"/>
    <w:uiPriority w:val="1"/>
    <w:qFormat/>
    <w:rsid w:val="00CA2A42"/>
  </w:style>
  <w:style w:type="character" w:customStyle="1" w:styleId="CharSubdText">
    <w:name w:val="CharSubdText"/>
    <w:basedOn w:val="OPCCharBase"/>
    <w:uiPriority w:val="1"/>
    <w:qFormat/>
    <w:rsid w:val="00CA2A42"/>
  </w:style>
  <w:style w:type="paragraph" w:customStyle="1" w:styleId="CTA--">
    <w:name w:val="CTA --"/>
    <w:basedOn w:val="OPCParaBase"/>
    <w:next w:val="Normal"/>
    <w:rsid w:val="00CA2A4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A2A4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A2A4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A2A4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A2A4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A2A4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A2A4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A2A4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A2A4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A2A4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A2A4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A2A4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A2A4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A2A4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A2A4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A2A4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A2A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A2A4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A2A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A2A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A2A4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A2A4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A2A4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A2A4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A2A4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A2A4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A2A4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A2A4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A2A4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A2A4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A2A4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A2A4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A2A4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A2A4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A2A4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A2A4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A2A4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A2A4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A2A4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A2A4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A2A4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A2A4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A2A4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A2A4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A2A4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A2A4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A2A4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A2A4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A2A4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A2A4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A2A4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A2A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A2A4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A2A4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A2A4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A2A4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A2A4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A2A4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A2A4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CA2A4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CA2A4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A2A4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A2A4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CA2A4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A2A4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A2A4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A2A4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A2A4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A2A4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A2A4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A2A4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A2A4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A2A42"/>
    <w:rPr>
      <w:sz w:val="16"/>
    </w:rPr>
  </w:style>
  <w:style w:type="table" w:customStyle="1" w:styleId="CFlag">
    <w:name w:val="CFlag"/>
    <w:basedOn w:val="TableNormal"/>
    <w:uiPriority w:val="99"/>
    <w:rsid w:val="00CA2A42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CA2A4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A2A42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A2A42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CA2A4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A2A4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A2A4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A2A4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A2A4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A2A4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A2A4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A2A4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A2A4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A2A4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A2A42"/>
  </w:style>
  <w:style w:type="character" w:customStyle="1" w:styleId="CharSubPartNoCASA">
    <w:name w:val="CharSubPartNo(CASA)"/>
    <w:basedOn w:val="OPCCharBase"/>
    <w:uiPriority w:val="1"/>
    <w:rsid w:val="00CA2A42"/>
  </w:style>
  <w:style w:type="paragraph" w:customStyle="1" w:styleId="ENoteTTIndentHeadingSub">
    <w:name w:val="ENoteTTIndentHeadingSub"/>
    <w:aliases w:val="enTTHis"/>
    <w:basedOn w:val="OPCParaBase"/>
    <w:rsid w:val="00CA2A4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2A4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A2A4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A2A4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A2A4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A2A4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A2A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A2A42"/>
    <w:rPr>
      <w:sz w:val="22"/>
    </w:rPr>
  </w:style>
  <w:style w:type="paragraph" w:customStyle="1" w:styleId="SOTextNote">
    <w:name w:val="SO TextNote"/>
    <w:aliases w:val="sont"/>
    <w:basedOn w:val="SOText"/>
    <w:qFormat/>
    <w:rsid w:val="00CA2A4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A2A4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A2A42"/>
    <w:rPr>
      <w:sz w:val="22"/>
    </w:rPr>
  </w:style>
  <w:style w:type="paragraph" w:customStyle="1" w:styleId="FileName">
    <w:name w:val="FileName"/>
    <w:basedOn w:val="Normal"/>
    <w:rsid w:val="00CA2A42"/>
  </w:style>
  <w:style w:type="paragraph" w:customStyle="1" w:styleId="TableHeading">
    <w:name w:val="TableHeading"/>
    <w:aliases w:val="th"/>
    <w:basedOn w:val="OPCParaBase"/>
    <w:next w:val="Tabletext"/>
    <w:rsid w:val="00CA2A4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A2A4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A2A4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A2A4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A2A4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A2A4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A2A4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A2A4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A2A4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A2A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A2A4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A2A4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CA2A4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A2A4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A2A4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A2A4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CA2A4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A2A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A2A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A2A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A2A42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CA2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CA2A42"/>
  </w:style>
  <w:style w:type="character" w:customStyle="1" w:styleId="Heading1Char">
    <w:name w:val="Heading 1 Char"/>
    <w:basedOn w:val="DefaultParagraphFont"/>
    <w:link w:val="Heading1"/>
    <w:uiPriority w:val="9"/>
    <w:rsid w:val="005C34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4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4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45F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45F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45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45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4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4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EA2486CCAF28647B3AC041DEB0540D7" ma:contentTypeVersion="" ma:contentTypeDescription="PDMS Document Site Content Type" ma:contentTypeScope="" ma:versionID="391b5363fb790fb94b8ddfb4881d2f2f">
  <xsd:schema xmlns:xsd="http://www.w3.org/2001/XMLSchema" xmlns:xs="http://www.w3.org/2001/XMLSchema" xmlns:p="http://schemas.microsoft.com/office/2006/metadata/properties" xmlns:ns2="7C39B204-A6DC-4085-957B-EA39E99DE185" targetNamespace="http://schemas.microsoft.com/office/2006/metadata/properties" ma:root="true" ma:fieldsID="37816c1155dd9aa1f719375199fbf254" ns2:_="">
    <xsd:import namespace="7C39B204-A6DC-4085-957B-EA39E99DE18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9B204-A6DC-4085-957B-EA39E99DE18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C39B204-A6DC-4085-957B-EA39E99DE1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9FCDF-6D67-4C94-8D53-7C0BF9871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9B204-A6DC-4085-957B-EA39E99DE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34E44-3535-4F26-AF50-9CBA022EDD8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C39B204-A6DC-4085-957B-EA39E99DE185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E65E3D-086C-4C67-9EA9-C420577F9C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3</Pages>
  <Words>468</Words>
  <Characters>2420</Characters>
  <Application>Microsoft Office Word</Application>
  <DocSecurity>2</DocSecurity>
  <PresentationFormat/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</vt:lpstr>
    </vt:vector>
  </TitlesOfParts>
  <Manager/>
  <Company/>
  <LinksUpToDate>false</LinksUpToDate>
  <CharactersWithSpaces>2870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</dc:title>
  <dc:subject>Treasury Laws Amendment (Measures for Consultation) Bill 2022: Increased Tribunal powers for small business taxation decisions</dc:subject>
  <dc:creator/>
  <cp:keywords/>
  <dc:description/>
  <cp:lastModifiedBy/>
  <cp:revision>1</cp:revision>
  <cp:lastPrinted>2014-02-19T03:48:00Z</cp:lastPrinted>
  <dcterms:created xsi:type="dcterms:W3CDTF">2022-01-11T01:59:00Z</dcterms:created>
  <dcterms:modified xsi:type="dcterms:W3CDTF">2022-01-11T02:36:00Z</dcterms:modified>
  <cp:category/>
  <cp:contentStatus/>
  <dc:language/>
  <cp:version/>
</cp:coreProperties>
</file>