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C04F9" w14:textId="22D68203" w:rsidR="00F012EA" w:rsidRPr="007A6A8F" w:rsidRDefault="00B66E65" w:rsidP="008027CA">
      <w:pPr>
        <w:pStyle w:val="Title"/>
      </w:pPr>
      <w:r w:rsidRPr="007A6A8F">
        <w:t xml:space="preserve">the </w:t>
      </w:r>
      <w:r w:rsidR="00796389">
        <w:t xml:space="preserve">lifetime </w:t>
      </w:r>
      <w:r w:rsidRPr="007A6A8F">
        <w:t xml:space="preserve">fiscal impact of the </w:t>
      </w:r>
      <w:r w:rsidR="00EC2D8E" w:rsidRPr="007A6A8F">
        <w:t>Australian</w:t>
      </w:r>
      <w:r w:rsidRPr="007A6A8F">
        <w:t xml:space="preserve"> permanent migration program</w:t>
      </w:r>
    </w:p>
    <w:p w14:paraId="372788CB" w14:textId="319DC6BC" w:rsidR="00F012EA" w:rsidRDefault="00C408A3" w:rsidP="008027CA">
      <w:pPr>
        <w:pStyle w:val="AuthorName"/>
        <w:rPr>
          <w:szCs w:val="24"/>
        </w:rPr>
      </w:pPr>
      <w:r>
        <w:rPr>
          <w:szCs w:val="24"/>
        </w:rPr>
        <w:t>Peter Varela, Nicholas Husek, Thom Williams</w:t>
      </w:r>
      <w:r w:rsidR="0037244B">
        <w:rPr>
          <w:szCs w:val="24"/>
        </w:rPr>
        <w:t xml:space="preserve">, </w:t>
      </w:r>
      <w:r>
        <w:rPr>
          <w:szCs w:val="24"/>
        </w:rPr>
        <w:t>Richard Maher</w:t>
      </w:r>
      <w:r w:rsidR="0037244B">
        <w:rPr>
          <w:szCs w:val="24"/>
        </w:rPr>
        <w:t xml:space="preserve"> </w:t>
      </w:r>
      <w:r w:rsidR="00A7344B">
        <w:rPr>
          <w:szCs w:val="24"/>
        </w:rPr>
        <w:t>&amp;</w:t>
      </w:r>
      <w:r w:rsidR="0037244B">
        <w:rPr>
          <w:szCs w:val="24"/>
        </w:rPr>
        <w:t xml:space="preserve"> Darren Kennedy</w:t>
      </w:r>
      <w:r w:rsidR="00F012EA" w:rsidRPr="00D447BD">
        <w:rPr>
          <w:rStyle w:val="FootnoteReference"/>
          <w:szCs w:val="24"/>
        </w:rPr>
        <w:footnoteReference w:id="1"/>
      </w:r>
    </w:p>
    <w:p w14:paraId="02B7A067" w14:textId="3BF05DBA" w:rsidR="00F012EA" w:rsidRPr="00F8009C" w:rsidRDefault="00F012EA" w:rsidP="008027CA">
      <w:pPr>
        <w:pStyle w:val="Subtitle"/>
        <w:tabs>
          <w:tab w:val="left" w:pos="1985"/>
        </w:tabs>
        <w:rPr>
          <w:szCs w:val="40"/>
        </w:rPr>
      </w:pPr>
      <w:bookmarkStart w:id="0" w:name="_Toc77152975"/>
      <w:bookmarkStart w:id="1" w:name="_Toc77153507"/>
      <w:bookmarkStart w:id="2" w:name="_Toc77153720"/>
      <w:bookmarkStart w:id="3" w:name="_Toc77154880"/>
      <w:bookmarkStart w:id="4" w:name="_Toc77175206"/>
      <w:r>
        <w:rPr>
          <w:szCs w:val="40"/>
        </w:rPr>
        <w:t>Treasury</w:t>
      </w:r>
      <w:r w:rsidR="00904EA8">
        <w:rPr>
          <w:szCs w:val="40"/>
        </w:rPr>
        <w:t xml:space="preserve"> </w:t>
      </w:r>
      <w:r>
        <w:rPr>
          <w:szCs w:val="40"/>
        </w:rPr>
        <w:t>Paper</w:t>
      </w:r>
      <w:r w:rsidR="00904EA8">
        <w:rPr>
          <w:rStyle w:val="FootnoteReference"/>
          <w:szCs w:val="40"/>
        </w:rPr>
        <w:footnoteReference w:id="2"/>
      </w:r>
      <w:bookmarkEnd w:id="0"/>
      <w:bookmarkEnd w:id="1"/>
      <w:bookmarkEnd w:id="2"/>
      <w:bookmarkEnd w:id="3"/>
      <w:bookmarkEnd w:id="4"/>
    </w:p>
    <w:p w14:paraId="59913BED" w14:textId="54308EEC" w:rsidR="00F012EA" w:rsidRPr="00F8009C" w:rsidRDefault="00F012EA" w:rsidP="008027CA">
      <w:pPr>
        <w:pStyle w:val="Subtitle"/>
        <w:rPr>
          <w:szCs w:val="36"/>
        </w:rPr>
      </w:pPr>
      <w:bookmarkStart w:id="5" w:name="_Toc77152976"/>
      <w:bookmarkStart w:id="6" w:name="_Toc77153508"/>
      <w:bookmarkStart w:id="7" w:name="_Toc77153721"/>
      <w:bookmarkStart w:id="8" w:name="_Toc77154881"/>
      <w:bookmarkStart w:id="9" w:name="_Toc77175207"/>
      <w:r>
        <w:rPr>
          <w:szCs w:val="36"/>
        </w:rPr>
        <w:t>20</w:t>
      </w:r>
      <w:r w:rsidR="003A6C14">
        <w:rPr>
          <w:szCs w:val="36"/>
        </w:rPr>
        <w:t>21</w:t>
      </w:r>
      <w:bookmarkEnd w:id="5"/>
      <w:bookmarkEnd w:id="6"/>
      <w:bookmarkEnd w:id="7"/>
      <w:bookmarkEnd w:id="8"/>
      <w:bookmarkEnd w:id="9"/>
    </w:p>
    <w:p w14:paraId="33B4C8E5" w14:textId="0CAE51B0" w:rsidR="00F012EA" w:rsidRDefault="00F012EA" w:rsidP="008027CA">
      <w:pPr>
        <w:pStyle w:val="SeriesNumber"/>
        <w:spacing w:before="120" w:after="120"/>
        <w:rPr>
          <w:sz w:val="24"/>
          <w:szCs w:val="24"/>
        </w:rPr>
      </w:pPr>
      <w:r w:rsidRPr="0018497C">
        <w:rPr>
          <w:sz w:val="24"/>
          <w:szCs w:val="24"/>
        </w:rPr>
        <w:t xml:space="preserve">Date created: </w:t>
      </w:r>
      <w:r w:rsidR="00A613D5">
        <w:rPr>
          <w:sz w:val="24"/>
          <w:szCs w:val="24"/>
        </w:rPr>
        <w:t>December</w:t>
      </w:r>
      <w:r w:rsidR="003A6C14">
        <w:rPr>
          <w:sz w:val="24"/>
          <w:szCs w:val="24"/>
        </w:rPr>
        <w:t xml:space="preserve"> 2021</w:t>
      </w:r>
    </w:p>
    <w:p w14:paraId="2B5A9ECC" w14:textId="77777777" w:rsidR="00904EA8" w:rsidRDefault="00904EA8" w:rsidP="008027CA">
      <w:pPr>
        <w:pStyle w:val="SeriesNumber"/>
        <w:spacing w:before="120" w:after="120"/>
        <w:rPr>
          <w:sz w:val="24"/>
          <w:szCs w:val="24"/>
        </w:rPr>
      </w:pPr>
    </w:p>
    <w:p w14:paraId="1BDCA966" w14:textId="77777777" w:rsidR="00904EA8" w:rsidRPr="0018497C" w:rsidRDefault="00904EA8" w:rsidP="008027CA">
      <w:pPr>
        <w:pStyle w:val="SeriesNumber"/>
        <w:spacing w:before="120" w:after="120"/>
        <w:rPr>
          <w:sz w:val="24"/>
          <w:szCs w:val="24"/>
        </w:rPr>
      </w:pPr>
    </w:p>
    <w:p w14:paraId="398BC2D9" w14:textId="77777777" w:rsidR="000464B6" w:rsidRDefault="000464B6" w:rsidP="008027CA">
      <w:pPr>
        <w:pStyle w:val="AuthorName"/>
        <w:rPr>
          <w:szCs w:val="24"/>
        </w:rPr>
      </w:pPr>
    </w:p>
    <w:p w14:paraId="41BEC783" w14:textId="77777777" w:rsidR="006C066C" w:rsidRDefault="006C066C" w:rsidP="008027CA">
      <w:pPr>
        <w:pStyle w:val="AuthorName"/>
        <w:rPr>
          <w:szCs w:val="24"/>
        </w:rPr>
        <w:sectPr w:rsidR="006C066C" w:rsidSect="008027CA">
          <w:footerReference w:type="even" r:id="rId8"/>
          <w:footerReference w:type="default" r:id="rId9"/>
          <w:headerReference w:type="first" r:id="rId10"/>
          <w:pgSz w:w="11906" w:h="16838" w:code="9"/>
          <w:pgMar w:top="1418" w:right="1304" w:bottom="1418" w:left="1304" w:header="567" w:footer="567" w:gutter="0"/>
          <w:cols w:space="708"/>
          <w:titlePg/>
          <w:docGrid w:linePitch="360"/>
        </w:sectPr>
      </w:pPr>
    </w:p>
    <w:p w14:paraId="4EF8CDC5" w14:textId="58DB5FA4" w:rsidR="000464B6" w:rsidRDefault="000464B6" w:rsidP="008027CA">
      <w:r w:rsidRPr="00661BF0">
        <w:lastRenderedPageBreak/>
        <w:t xml:space="preserve">© Commonwealth of Australia </w:t>
      </w:r>
      <w:r w:rsidRPr="0073469E">
        <w:t>20</w:t>
      </w:r>
      <w:r w:rsidR="0073469E" w:rsidRPr="0073469E">
        <w:t>21</w:t>
      </w:r>
    </w:p>
    <w:p w14:paraId="23AC265A" w14:textId="45B5D474" w:rsidR="00E61D1D" w:rsidRDefault="00E61D1D" w:rsidP="008027CA">
      <w:pPr>
        <w:tabs>
          <w:tab w:val="left" w:pos="1650"/>
        </w:tabs>
      </w:pPr>
      <w:r>
        <w:t>ISBN</w:t>
      </w:r>
      <w:r w:rsidR="00E079FB">
        <w:t xml:space="preserve"> </w:t>
      </w:r>
      <w:r w:rsidR="00E079FB" w:rsidRPr="00E079FB">
        <w:t>978-1-925832-39-6</w:t>
      </w:r>
    </w:p>
    <w:p w14:paraId="39FAEEF6" w14:textId="0D30C96E" w:rsidR="000464B6" w:rsidRPr="00086F82" w:rsidRDefault="000464B6" w:rsidP="008027CA">
      <w:pPr>
        <w:tabs>
          <w:tab w:val="left" w:pos="1650"/>
        </w:tabs>
        <w:rPr>
          <w:rStyle w:val="A5"/>
          <w:rFonts w:cstheme="minorBidi"/>
          <w:sz w:val="24"/>
          <w:szCs w:val="24"/>
        </w:rPr>
      </w:pPr>
      <w:r w:rsidRPr="002F1BC2">
        <w:t>This publication is available for your use under a</w:t>
      </w:r>
      <w:r w:rsidRPr="00476F09">
        <w:rPr>
          <w:rStyle w:val="A5"/>
          <w:rFonts w:cstheme="minorHAnsi"/>
          <w:sz w:val="24"/>
          <w:szCs w:val="24"/>
        </w:rPr>
        <w:t xml:space="preserve"> </w:t>
      </w:r>
      <w:hyperlink r:id="rId11" w:history="1">
        <w:r w:rsidRPr="00973FA6">
          <w:rPr>
            <w:rStyle w:val="Hyperlink"/>
            <w:color w:val="0070C0"/>
          </w:rPr>
          <w:t>Creative Commons BY Attribution 3.0 Australia</w:t>
        </w:r>
      </w:hyperlink>
      <w:r w:rsidRPr="00476F09">
        <w:rPr>
          <w:rStyle w:val="A5"/>
          <w:rFonts w:cstheme="minorHAnsi"/>
          <w:sz w:val="24"/>
          <w:szCs w:val="24"/>
        </w:rPr>
        <w:t xml:space="preserve"> </w:t>
      </w:r>
      <w:r w:rsidRPr="002F1BC2">
        <w:t xml:space="preserve">licence, </w:t>
      </w:r>
      <w:proofErr w:type="gramStart"/>
      <w:r w:rsidRPr="002F1BC2">
        <w:t>with the exception of</w:t>
      </w:r>
      <w:proofErr w:type="gramEnd"/>
      <w:r w:rsidRPr="002F1BC2">
        <w:t xml:space="preserve"> the Commonwealth Coat of Arms, the Treasury logo</w:t>
      </w:r>
      <w:r>
        <w:t>, photographs, images, signatures and where otherwise stated</w:t>
      </w:r>
      <w:r w:rsidRPr="002F1BC2">
        <w:t>. The full licence terms are available from</w:t>
      </w:r>
      <w:r w:rsidRPr="00476F09">
        <w:rPr>
          <w:rStyle w:val="A5"/>
          <w:rFonts w:cstheme="minorHAnsi"/>
          <w:sz w:val="24"/>
          <w:szCs w:val="24"/>
        </w:rPr>
        <w:t xml:space="preserve"> </w:t>
      </w:r>
      <w:hyperlink r:id="rId12" w:history="1">
        <w:r w:rsidRPr="00973FA6">
          <w:rPr>
            <w:rStyle w:val="Hyperlink"/>
            <w:color w:val="0070C0"/>
          </w:rPr>
          <w:t>http://creativecommons.org/licenses/by/3.0/au/legalcode</w:t>
        </w:r>
      </w:hyperlink>
      <w:r w:rsidRPr="006627B4">
        <w:rPr>
          <w:rStyle w:val="Hyperlink"/>
        </w:rPr>
        <w:t>.</w:t>
      </w:r>
      <w:r w:rsidRPr="00D06A21">
        <w:rPr>
          <w:sz w:val="24"/>
          <w:szCs w:val="24"/>
        </w:rPr>
        <w:t xml:space="preserve"> </w:t>
      </w:r>
    </w:p>
    <w:p w14:paraId="6AAE1886" w14:textId="77777777" w:rsidR="000464B6" w:rsidRDefault="000464B6" w:rsidP="008027CA">
      <w:pPr>
        <w:tabs>
          <w:tab w:val="left" w:pos="1650"/>
        </w:tabs>
        <w:spacing w:before="100" w:beforeAutospacing="1" w:after="100" w:afterAutospacing="1"/>
        <w:rPr>
          <w:rFonts w:cstheme="minorHAnsi"/>
          <w:sz w:val="24"/>
          <w:szCs w:val="24"/>
        </w:rPr>
      </w:pPr>
      <w:r w:rsidRPr="00E56DFB">
        <w:rPr>
          <w:rFonts w:cstheme="minorHAnsi"/>
          <w:noProof/>
          <w:sz w:val="24"/>
          <w:szCs w:val="24"/>
          <w:lang w:eastAsia="en-AU"/>
        </w:rPr>
        <w:drawing>
          <wp:inline distT="0" distB="0" distL="0" distR="0" wp14:anchorId="30E4D07B" wp14:editId="551EDD2B">
            <wp:extent cx="809625" cy="285750"/>
            <wp:effectExtent l="19050" t="0" r="9525" b="0"/>
            <wp:docPr id="6" name="Picture 1"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3" cstate="print"/>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3EFBF9F" w14:textId="77777777" w:rsidR="000464B6" w:rsidRPr="006627B4" w:rsidRDefault="000464B6" w:rsidP="008027CA">
      <w:pPr>
        <w:tabs>
          <w:tab w:val="left" w:pos="1650"/>
        </w:tabs>
      </w:pPr>
      <w:r w:rsidRPr="006627B4">
        <w:t>Use of Treasury material under a</w:t>
      </w:r>
      <w:r w:rsidRPr="00476F09">
        <w:rPr>
          <w:rFonts w:cstheme="minorHAnsi"/>
          <w:sz w:val="24"/>
          <w:szCs w:val="24"/>
        </w:rPr>
        <w:t xml:space="preserve"> </w:t>
      </w:r>
      <w:hyperlink r:id="rId14" w:history="1">
        <w:r w:rsidRPr="004E006C">
          <w:rPr>
            <w:rStyle w:val="Hyperlink"/>
            <w:color w:val="0070C0"/>
          </w:rPr>
          <w:t>Creative Commons BY Attribution 3.0 Australia</w:t>
        </w:r>
      </w:hyperlink>
      <w:r w:rsidRPr="002F1BC2">
        <w:rPr>
          <w:rStyle w:val="Hyperlink"/>
        </w:rPr>
        <w:t xml:space="preserve"> </w:t>
      </w:r>
      <w:r w:rsidRPr="006627B4">
        <w:t xml:space="preserve">licence requires you to attribute the work (but not in any way that suggests that the Treasury endorses you or your use of the work). </w:t>
      </w:r>
    </w:p>
    <w:p w14:paraId="0F9702AB" w14:textId="77777777" w:rsidR="000464B6" w:rsidRPr="002F1BC2" w:rsidRDefault="000464B6" w:rsidP="009D4240">
      <w:pPr>
        <w:spacing w:after="120"/>
        <w:rPr>
          <w:i/>
        </w:rPr>
      </w:pPr>
      <w:r w:rsidRPr="002F1BC2">
        <w:rPr>
          <w:i/>
        </w:rPr>
        <w:t>Treasury material used 'as supplied'</w:t>
      </w:r>
    </w:p>
    <w:p w14:paraId="2F4E0DAC" w14:textId="77777777" w:rsidR="000464B6" w:rsidRPr="00476F09" w:rsidRDefault="000464B6" w:rsidP="008027CA">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606F581F" w14:textId="77777777" w:rsidR="000464B6" w:rsidRPr="00A13A11" w:rsidRDefault="000464B6" w:rsidP="009D4240">
      <w:pPr>
        <w:spacing w:after="120"/>
        <w:ind w:firstLine="720"/>
      </w:pPr>
      <w:r w:rsidRPr="002F1BC2">
        <w:rPr>
          <w:i/>
        </w:rPr>
        <w:t xml:space="preserve">Source: The </w:t>
      </w:r>
      <w:r w:rsidRPr="002F1BC2">
        <w:rPr>
          <w:i/>
          <w:iCs/>
        </w:rPr>
        <w:t>Australian Government the Treasury</w:t>
      </w:r>
    </w:p>
    <w:p w14:paraId="2A9498E5" w14:textId="77777777" w:rsidR="000464B6" w:rsidRPr="006627B4" w:rsidRDefault="000464B6" w:rsidP="009D4240">
      <w:pPr>
        <w:spacing w:after="120"/>
      </w:pPr>
      <w:r w:rsidRPr="006627B4">
        <w:t>Derivative material</w:t>
      </w:r>
    </w:p>
    <w:p w14:paraId="21BA57CB" w14:textId="77777777" w:rsidR="000464B6" w:rsidRPr="006627B4" w:rsidRDefault="000464B6" w:rsidP="008027CA">
      <w:r w:rsidRPr="006627B4">
        <w:t xml:space="preserve">If you have modified or transformed Treasury material, or derived new material from those of the Treasury in any way, then Treasury prefers the following attribution: </w:t>
      </w:r>
    </w:p>
    <w:p w14:paraId="04C6CEFB" w14:textId="77777777" w:rsidR="000464B6" w:rsidRPr="006627B4" w:rsidRDefault="000464B6" w:rsidP="008027CA">
      <w:pPr>
        <w:ind w:firstLine="720"/>
      </w:pPr>
      <w:r w:rsidRPr="002F1BC2">
        <w:rPr>
          <w:i/>
        </w:rPr>
        <w:t>Based on The Australian Government the Treasury data</w:t>
      </w:r>
    </w:p>
    <w:p w14:paraId="59FF2A8E" w14:textId="77777777" w:rsidR="000464B6" w:rsidRPr="006627B4" w:rsidRDefault="000464B6" w:rsidP="008027CA">
      <w:pPr>
        <w:spacing w:after="40"/>
        <w:rPr>
          <w:b/>
        </w:rPr>
      </w:pPr>
      <w:r w:rsidRPr="006627B4">
        <w:rPr>
          <w:b/>
        </w:rPr>
        <w:t>Use of the Coat of Arms</w:t>
      </w:r>
    </w:p>
    <w:p w14:paraId="2D106C58" w14:textId="77777777" w:rsidR="000464B6" w:rsidRPr="006627B4" w:rsidRDefault="000A12BC" w:rsidP="008027CA">
      <w:r w:rsidRPr="000A12BC">
        <w:t>The terms under which the Coat of Arms can be used are set out</w:t>
      </w:r>
      <w:r>
        <w:t xml:space="preserve"> on the Department of the Prime </w:t>
      </w:r>
      <w:r w:rsidRPr="000A12BC">
        <w:t xml:space="preserve">Minister and Cabinet website (see </w:t>
      </w:r>
      <w:hyperlink r:id="rId15" w:history="1">
        <w:r w:rsidRPr="004E006C">
          <w:rPr>
            <w:rStyle w:val="Hyperlink"/>
            <w:color w:val="0070C0"/>
          </w:rPr>
          <w:t>www.pmc.gov.au/government/commonwealth-coat-arms</w:t>
        </w:r>
      </w:hyperlink>
      <w:r w:rsidRPr="000A12BC">
        <w:t>).</w:t>
      </w:r>
    </w:p>
    <w:p w14:paraId="6A192EE1" w14:textId="77777777" w:rsidR="000464B6" w:rsidRPr="006627B4" w:rsidRDefault="00A57848" w:rsidP="008027CA">
      <w:pPr>
        <w:spacing w:after="40"/>
        <w:rPr>
          <w:b/>
        </w:rPr>
      </w:pPr>
      <w:r>
        <w:rPr>
          <w:b/>
        </w:rPr>
        <w:t>Other u</w:t>
      </w:r>
      <w:r w:rsidR="000464B6" w:rsidRPr="006627B4">
        <w:rPr>
          <w:b/>
        </w:rPr>
        <w:t>ses</w:t>
      </w:r>
    </w:p>
    <w:p w14:paraId="63284F71" w14:textId="77777777" w:rsidR="000464B6" w:rsidRPr="006627B4" w:rsidRDefault="00A57848" w:rsidP="008027CA">
      <w:pPr>
        <w:spacing w:after="120"/>
      </w:pPr>
      <w:r>
        <w:t>E</w:t>
      </w:r>
      <w:r w:rsidR="000464B6" w:rsidRPr="006627B4">
        <w:t>nquiries regarding this licence and any other use of this document are welcome at:</w:t>
      </w:r>
    </w:p>
    <w:p w14:paraId="1C7C9CDC" w14:textId="77777777" w:rsidR="000464B6" w:rsidRPr="006627B4" w:rsidRDefault="000464B6" w:rsidP="008027CA">
      <w:pPr>
        <w:spacing w:after="0"/>
        <w:ind w:left="720"/>
      </w:pPr>
      <w:r w:rsidRPr="006627B4">
        <w:t>Manager</w:t>
      </w:r>
    </w:p>
    <w:p w14:paraId="739A7298" w14:textId="77777777" w:rsidR="000464B6" w:rsidRPr="006627B4" w:rsidRDefault="00A57848" w:rsidP="008027CA">
      <w:pPr>
        <w:spacing w:after="0"/>
        <w:ind w:left="720"/>
      </w:pPr>
      <w:r>
        <w:t>Media Unit</w:t>
      </w:r>
    </w:p>
    <w:p w14:paraId="072B26C9" w14:textId="77777777" w:rsidR="000464B6" w:rsidRPr="006627B4" w:rsidRDefault="000464B6" w:rsidP="008027CA">
      <w:pPr>
        <w:spacing w:after="0"/>
        <w:ind w:left="720"/>
      </w:pPr>
      <w:r w:rsidRPr="006627B4">
        <w:t>The Treasury</w:t>
      </w:r>
    </w:p>
    <w:p w14:paraId="1D7BA059" w14:textId="77777777" w:rsidR="000464B6" w:rsidRPr="006627B4" w:rsidRDefault="000464B6" w:rsidP="008027CA">
      <w:pPr>
        <w:spacing w:after="0"/>
        <w:ind w:left="720"/>
      </w:pPr>
      <w:r w:rsidRPr="006627B4">
        <w:t xml:space="preserve">Langton Crescent </w:t>
      </w:r>
      <w:r w:rsidR="00A57848">
        <w:br/>
      </w:r>
      <w:r w:rsidRPr="006627B4">
        <w:t>Parkes ACT 2600</w:t>
      </w:r>
    </w:p>
    <w:p w14:paraId="2AC33A12" w14:textId="2D0591EE" w:rsidR="000464B6" w:rsidRDefault="000464B6" w:rsidP="008027CA">
      <w:pPr>
        <w:spacing w:after="0"/>
        <w:ind w:left="720"/>
        <w:rPr>
          <w:rStyle w:val="Hyperlink"/>
        </w:rPr>
      </w:pPr>
      <w:r w:rsidRPr="006627B4">
        <w:t xml:space="preserve">Email: </w:t>
      </w:r>
      <w:hyperlink r:id="rId16" w:history="1">
        <w:r w:rsidR="00E61D1D">
          <w:rPr>
            <w:rStyle w:val="Hyperlink"/>
          </w:rPr>
          <w:t>medialiaison@treasury.gov.au</w:t>
        </w:r>
      </w:hyperlink>
      <w:r w:rsidRPr="002F1BC2">
        <w:rPr>
          <w:rStyle w:val="Hyperlink"/>
        </w:rPr>
        <w:t xml:space="preserve"> </w:t>
      </w:r>
      <w:r w:rsidR="0099283B">
        <w:rPr>
          <w:rStyle w:val="Hyperlink"/>
        </w:rPr>
        <w:t xml:space="preserve"> </w:t>
      </w:r>
    </w:p>
    <w:p w14:paraId="3C84A750" w14:textId="7016EDFF" w:rsidR="00747CAB" w:rsidRPr="006627B4" w:rsidRDefault="00747CAB" w:rsidP="009D4240">
      <w:pPr>
        <w:spacing w:before="120" w:after="40"/>
        <w:rPr>
          <w:b/>
        </w:rPr>
      </w:pPr>
      <w:r>
        <w:rPr>
          <w:b/>
        </w:rPr>
        <w:t xml:space="preserve">Use of administrative </w:t>
      </w:r>
      <w:r w:rsidR="009D4240">
        <w:rPr>
          <w:b/>
        </w:rPr>
        <w:t xml:space="preserve">migration </w:t>
      </w:r>
      <w:r>
        <w:rPr>
          <w:b/>
        </w:rPr>
        <w:t>data in this paper</w:t>
      </w:r>
    </w:p>
    <w:p w14:paraId="59C43693" w14:textId="6485F3A6" w:rsidR="00747CAB" w:rsidRPr="009D4240" w:rsidRDefault="00747CAB" w:rsidP="00747CAB">
      <w:pPr>
        <w:pStyle w:val="Default"/>
        <w:rPr>
          <w:spacing w:val="-2"/>
          <w:sz w:val="20"/>
          <w:szCs w:val="20"/>
        </w:rPr>
      </w:pPr>
      <w:r w:rsidRPr="009D4240">
        <w:rPr>
          <w:spacing w:val="-2"/>
          <w:sz w:val="20"/>
          <w:szCs w:val="20"/>
        </w:rPr>
        <w:t xml:space="preserve">Results in this paper are based, in part, on migration data supplied by Home Affairs to the ABS under the </w:t>
      </w:r>
      <w:r w:rsidRPr="009D4240">
        <w:rPr>
          <w:i/>
          <w:iCs/>
          <w:spacing w:val="-2"/>
          <w:sz w:val="20"/>
          <w:szCs w:val="20"/>
        </w:rPr>
        <w:t>Australian Border Force Act 2015</w:t>
      </w:r>
      <w:r w:rsidRPr="009D4240">
        <w:rPr>
          <w:spacing w:val="-2"/>
          <w:sz w:val="20"/>
          <w:szCs w:val="20"/>
        </w:rPr>
        <w:t xml:space="preserve">, which requires that such data is only used for the purposes of the </w:t>
      </w:r>
      <w:r w:rsidRPr="009D4240">
        <w:rPr>
          <w:i/>
          <w:iCs/>
          <w:spacing w:val="-2"/>
          <w:sz w:val="20"/>
          <w:szCs w:val="20"/>
        </w:rPr>
        <w:t xml:space="preserve">Census and Statistics Act 1905 </w:t>
      </w:r>
      <w:r w:rsidRPr="009D4240">
        <w:rPr>
          <w:spacing w:val="-2"/>
          <w:sz w:val="20"/>
          <w:szCs w:val="20"/>
        </w:rPr>
        <w:t xml:space="preserve">or performance of functions of the ABS as set out in section 6 of the </w:t>
      </w:r>
      <w:r w:rsidRPr="009D4240">
        <w:rPr>
          <w:i/>
          <w:iCs/>
          <w:spacing w:val="-2"/>
          <w:sz w:val="20"/>
          <w:szCs w:val="20"/>
        </w:rPr>
        <w:t>Australian Bureau of Statistics Act 1975</w:t>
      </w:r>
      <w:r w:rsidRPr="009D4240">
        <w:rPr>
          <w:spacing w:val="-2"/>
          <w:sz w:val="20"/>
          <w:szCs w:val="20"/>
        </w:rPr>
        <w:t xml:space="preserve">. Any discussion of data limitations or weaknesses is in the context of using the data for statistical purposes, and not related to the ability of the data to support Home Affairs’ core operational requirements. </w:t>
      </w:r>
    </w:p>
    <w:p w14:paraId="01E11A8C" w14:textId="6B1F1F21" w:rsidR="009D4240" w:rsidRDefault="00AA3AA9" w:rsidP="00AA3AA9">
      <w:pPr>
        <w:pStyle w:val="Default"/>
        <w:spacing w:before="120"/>
        <w:rPr>
          <w:sz w:val="22"/>
          <w:szCs w:val="22"/>
        </w:rPr>
      </w:pPr>
      <w:r w:rsidRPr="00AA3AA9">
        <w:rPr>
          <w:spacing w:val="-2"/>
          <w:sz w:val="20"/>
          <w:szCs w:val="20"/>
        </w:rPr>
        <w:t>Legislative requirements ensure privacy and secrecy of these data are followed. For access to MADIP data under Section 16A of the ABS Act 1975 or enabled by section 15 of the Census and Statistics (Information Release and Access) Determination 2018, source data are de-identified and so data about specific individuals has not been viewed in conducting this analysis. In accordance with the Census and Statistics Act 1905, results have been treated where necessary to ensure that they are not likely to enable identification of a particular person or organisation.</w:t>
      </w:r>
    </w:p>
    <w:p w14:paraId="19F3C0A5" w14:textId="095AC63F" w:rsidR="00F012EA" w:rsidRDefault="006C066C" w:rsidP="008027CA">
      <w:pPr>
        <w:pStyle w:val="Heading1"/>
      </w:pPr>
      <w:bookmarkStart w:id="10" w:name="_Toc74042830"/>
      <w:bookmarkStart w:id="11" w:name="_Toc77152977"/>
      <w:bookmarkStart w:id="12" w:name="_Toc77175208"/>
      <w:r>
        <w:lastRenderedPageBreak/>
        <w:t xml:space="preserve">Executive </w:t>
      </w:r>
      <w:r w:rsidR="008F5C15">
        <w:t>S</w:t>
      </w:r>
      <w:r>
        <w:t>ummary</w:t>
      </w:r>
      <w:bookmarkEnd w:id="10"/>
      <w:bookmarkEnd w:id="11"/>
      <w:bookmarkEnd w:id="12"/>
    </w:p>
    <w:p w14:paraId="13B95F13" w14:textId="4AA01E44" w:rsidR="00B8155F" w:rsidRDefault="00B8155F" w:rsidP="00BA689B">
      <w:pPr>
        <w:spacing w:after="120"/>
      </w:pPr>
      <w:r>
        <w:t>The Fiscal Impact of New Australians model (FIONA) has been developed by The Treasury to estimate the fiscal impact of permanent migrant</w:t>
      </w:r>
      <w:r w:rsidR="000C3135">
        <w:t xml:space="preserve">s </w:t>
      </w:r>
      <w:r>
        <w:t>over their remaining lifetimes in Australia. This estimate captures tax revenues and government expenses incurred by Commonwealth</w:t>
      </w:r>
      <w:r w:rsidR="00E113AB">
        <w:t>,</w:t>
      </w:r>
      <w:r w:rsidR="006F1B55">
        <w:t xml:space="preserve"> </w:t>
      </w:r>
      <w:r>
        <w:t>State</w:t>
      </w:r>
      <w:r w:rsidR="006C6BCB">
        <w:t xml:space="preserve"> and</w:t>
      </w:r>
      <w:r>
        <w:t xml:space="preserve"> Territory</w:t>
      </w:r>
      <w:r w:rsidR="0037384A">
        <w:rPr>
          <w:rStyle w:val="FootnoteReference"/>
        </w:rPr>
        <w:footnoteReference w:id="3"/>
      </w:r>
      <w:r>
        <w:t xml:space="preserve"> Governments</w:t>
      </w:r>
      <w:r w:rsidR="0037384A">
        <w:t xml:space="preserve"> </w:t>
      </w:r>
      <w:r w:rsidR="00EB31F1">
        <w:t>that are directly attributable to migrants</w:t>
      </w:r>
      <w:r w:rsidR="008915EC">
        <w:t>.</w:t>
      </w:r>
      <w:r w:rsidR="00D67101" w:rsidRPr="00D67101">
        <w:t xml:space="preserve"> </w:t>
      </w:r>
      <w:r w:rsidR="00D67101">
        <w:t xml:space="preserve">FIONA adopts a lifetime perspective because migration typically results in a period of net fiscal benefit (while migrants are of working age) followed by a period of net fiscal cost (after migrants retire). Therefore, a lifetime perspective is required to fairly reflect the overall fiscal impact of </w:t>
      </w:r>
      <w:r w:rsidR="00FD161A">
        <w:t>permanent migrants</w:t>
      </w:r>
      <w:r w:rsidR="00D67101">
        <w:t xml:space="preserve">. </w:t>
      </w:r>
      <w:r w:rsidR="00D67101" w:rsidRPr="00691A08">
        <w:t>The model also estimates the</w:t>
      </w:r>
      <w:r w:rsidR="00F520C0">
        <w:t xml:space="preserve"> lifetime</w:t>
      </w:r>
      <w:r w:rsidR="00D67101" w:rsidRPr="00691A08">
        <w:t xml:space="preserve"> value of taxes paid and the costs of services received by the general Australian population</w:t>
      </w:r>
      <w:r w:rsidR="0005483C">
        <w:rPr>
          <w:rStyle w:val="FootnoteReference"/>
        </w:rPr>
        <w:footnoteReference w:id="4"/>
      </w:r>
      <w:r w:rsidR="00D67101">
        <w:t xml:space="preserve"> </w:t>
      </w:r>
      <w:r w:rsidR="00D67101" w:rsidRPr="00691A08">
        <w:t>to enable comparison to the permanent migrant cohort.</w:t>
      </w:r>
    </w:p>
    <w:p w14:paraId="78AE1CA1" w14:textId="7300F921" w:rsidR="00E55AEE" w:rsidRDefault="00E55AEE" w:rsidP="00BA689B">
      <w:pPr>
        <w:spacing w:after="120"/>
      </w:pPr>
      <w:r>
        <w:t xml:space="preserve">The fiscal outcome of migration is an important </w:t>
      </w:r>
      <w:r w:rsidR="0020609E">
        <w:t>consideration when assessing the operation</w:t>
      </w:r>
      <w:r>
        <w:t xml:space="preserve"> of the migration program. Where migrants pay more in taxes than they receive in government services, it </w:t>
      </w:r>
      <w:r w:rsidR="00EB31F1">
        <w:t>benefits</w:t>
      </w:r>
      <w:r>
        <w:t xml:space="preserve"> the</w:t>
      </w:r>
      <w:r w:rsidR="00EB31F1">
        <w:t xml:space="preserve"> incumbent</w:t>
      </w:r>
      <w:r>
        <w:t xml:space="preserve"> Australian population. However,</w:t>
      </w:r>
      <w:r w:rsidR="004037A0">
        <w:t xml:space="preserve"> it is only one, partial metric. </w:t>
      </w:r>
      <w:r w:rsidR="0005299F">
        <w:t xml:space="preserve">Australia’s </w:t>
      </w:r>
      <w:r w:rsidR="004037A0">
        <w:t>migration</w:t>
      </w:r>
      <w:r>
        <w:t xml:space="preserve"> program exists for a variety of reasons</w:t>
      </w:r>
      <w:r w:rsidR="004037A0">
        <w:t xml:space="preserve"> and results in many benefits and costs </w:t>
      </w:r>
      <w:r w:rsidR="00466635">
        <w:t>that go beyond fiscal outcomes</w:t>
      </w:r>
      <w:r w:rsidR="004037A0">
        <w:t>. Accordingly, the</w:t>
      </w:r>
      <w:r>
        <w:t xml:space="preserve"> results from this paper </w:t>
      </w:r>
      <w:r w:rsidR="007F1509">
        <w:t>should</w:t>
      </w:r>
      <w:r w:rsidR="004037A0">
        <w:t xml:space="preserve"> not</w:t>
      </w:r>
      <w:r>
        <w:t xml:space="preserve"> be used</w:t>
      </w:r>
      <w:r w:rsidR="004037A0">
        <w:t xml:space="preserve"> in isolation</w:t>
      </w:r>
      <w:r>
        <w:t xml:space="preserve"> to evaluate the migration program without consideration of these broader social</w:t>
      </w:r>
      <w:r w:rsidR="004037A0">
        <w:t xml:space="preserve">, </w:t>
      </w:r>
      <w:r w:rsidR="005F4629">
        <w:t>economic,</w:t>
      </w:r>
      <w:r w:rsidR="004037A0">
        <w:t xml:space="preserve"> and environmental </w:t>
      </w:r>
      <w:r w:rsidR="00466635">
        <w:t>outcomes</w:t>
      </w:r>
      <w:r>
        <w:t xml:space="preserve">. </w:t>
      </w:r>
    </w:p>
    <w:p w14:paraId="187CF1C8" w14:textId="047E63DC" w:rsidR="00BF57C8" w:rsidRDefault="006542FE" w:rsidP="00BA689B">
      <w:pPr>
        <w:spacing w:after="120"/>
      </w:pPr>
      <w:r>
        <w:t>FIONA</w:t>
      </w:r>
      <w:r w:rsidR="00BF57C8">
        <w:t xml:space="preserve"> builds upon previous </w:t>
      </w:r>
      <w:r w:rsidR="0039315F">
        <w:t>Australian research</w:t>
      </w:r>
      <w:r w:rsidR="0005299F">
        <w:t xml:space="preserve">, including </w:t>
      </w:r>
      <w:r w:rsidR="00BF57C8">
        <w:t>by the Productivity Commission</w:t>
      </w:r>
      <w:r w:rsidR="00BF57C8">
        <w:rPr>
          <w:rStyle w:val="FootnoteReference"/>
        </w:rPr>
        <w:footnoteReference w:id="5"/>
      </w:r>
      <w:r w:rsidR="00BF57C8">
        <w:t xml:space="preserve"> and Deloitte</w:t>
      </w:r>
      <w:r w:rsidR="00E113AB">
        <w:t xml:space="preserve"> Access Economics</w:t>
      </w:r>
      <w:r w:rsidR="00BF57C8">
        <w:t>.</w:t>
      </w:r>
      <w:r w:rsidR="000003AC">
        <w:rPr>
          <w:rStyle w:val="FootnoteReference"/>
        </w:rPr>
        <w:footnoteReference w:id="6"/>
      </w:r>
      <w:r w:rsidR="00BF57C8">
        <w:t xml:space="preserve"> While following a similar conceptual framework to these studies, FIONA incorporates a variety of additional datasets that were not available when these earlier works were produced. </w:t>
      </w:r>
      <w:proofErr w:type="gramStart"/>
      <w:r w:rsidR="000E6F08">
        <w:t>In particular, F</w:t>
      </w:r>
      <w:r w:rsidR="00BF57C8">
        <w:t>IONA</w:t>
      </w:r>
      <w:proofErr w:type="gramEnd"/>
      <w:r w:rsidR="00BF57C8">
        <w:t xml:space="preserve"> incorporates information from the Multi</w:t>
      </w:r>
      <w:r w:rsidR="006E5E41">
        <w:t>-</w:t>
      </w:r>
      <w:r w:rsidR="00BF57C8">
        <w:t xml:space="preserve">Agency Data Integration </w:t>
      </w:r>
      <w:r w:rsidR="00427462">
        <w:t xml:space="preserve">Project </w:t>
      </w:r>
      <w:r w:rsidR="00BF57C8">
        <w:t>(MADIP)</w:t>
      </w:r>
      <w:r w:rsidR="00735080">
        <w:rPr>
          <w:rStyle w:val="FootnoteReference"/>
        </w:rPr>
        <w:footnoteReference w:id="7"/>
      </w:r>
      <w:r w:rsidR="00BF57C8">
        <w:t xml:space="preserve"> that links visa application data with a variety of administrative datasets.</w:t>
      </w:r>
      <w:r w:rsidR="005F3F9A">
        <w:t xml:space="preserve"> Th</w:t>
      </w:r>
      <w:r w:rsidR="004074FA">
        <w:t xml:space="preserve">ese new datasets </w:t>
      </w:r>
      <w:r w:rsidR="00A20469">
        <w:t>facilitate</w:t>
      </w:r>
      <w:r w:rsidR="004074FA">
        <w:t xml:space="preserve"> a more accurate estimate of the</w:t>
      </w:r>
      <w:r w:rsidR="008E2D0C">
        <w:t xml:space="preserve"> direct</w:t>
      </w:r>
      <w:r w:rsidR="004074FA">
        <w:t xml:space="preserve"> fiscal impact of migra</w:t>
      </w:r>
      <w:r w:rsidR="008E2D0C">
        <w:t>nts</w:t>
      </w:r>
      <w:r w:rsidR="004074FA">
        <w:t xml:space="preserve"> </w:t>
      </w:r>
      <w:r w:rsidR="000B412D">
        <w:t>and</w:t>
      </w:r>
      <w:r w:rsidR="004074FA">
        <w:t xml:space="preserve"> allow </w:t>
      </w:r>
      <w:r w:rsidR="00A20469">
        <w:t>FIONA</w:t>
      </w:r>
      <w:r w:rsidR="004074FA">
        <w:t xml:space="preserve"> </w:t>
      </w:r>
      <w:r w:rsidR="00517460">
        <w:t xml:space="preserve">results to be disaggregated into </w:t>
      </w:r>
      <w:r w:rsidR="00E52B58">
        <w:t xml:space="preserve">more </w:t>
      </w:r>
      <w:r w:rsidR="00F9330B">
        <w:t xml:space="preserve">visa </w:t>
      </w:r>
      <w:r w:rsidR="00517460">
        <w:t>categories</w:t>
      </w:r>
      <w:r w:rsidR="00A20469">
        <w:t xml:space="preserve"> than was</w:t>
      </w:r>
      <w:r w:rsidR="004037A0">
        <w:t xml:space="preserve"> previously</w:t>
      </w:r>
      <w:r w:rsidR="00A20469">
        <w:t xml:space="preserve"> possible</w:t>
      </w:r>
      <w:r w:rsidR="00517460">
        <w:t>.</w:t>
      </w:r>
    </w:p>
    <w:p w14:paraId="0C020907" w14:textId="5332D132" w:rsidR="00A81207" w:rsidRPr="00830CE1" w:rsidRDefault="006542FE" w:rsidP="00BA689B">
      <w:pPr>
        <w:spacing w:after="120"/>
      </w:pPr>
      <w:r>
        <w:t>FIONA</w:t>
      </w:r>
      <w:r w:rsidR="00C218B9">
        <w:t xml:space="preserve"> is </w:t>
      </w:r>
      <w:r w:rsidR="00DF6304">
        <w:t>based on</w:t>
      </w:r>
      <w:r w:rsidR="00C218B9">
        <w:t xml:space="preserve"> a demographic projection of the </w:t>
      </w:r>
      <w:r w:rsidR="00732A67">
        <w:t>2018</w:t>
      </w:r>
      <w:r w:rsidR="00F62807">
        <w:t>–</w:t>
      </w:r>
      <w:r w:rsidR="00732A67">
        <w:t>19</w:t>
      </w:r>
      <w:r w:rsidR="00644EC0">
        <w:t xml:space="preserve"> permanent</w:t>
      </w:r>
      <w:r w:rsidR="00732A67">
        <w:t xml:space="preserve"> migration cohort </w:t>
      </w:r>
      <w:r w:rsidR="007A6A8F">
        <w:t>which</w:t>
      </w:r>
      <w:r w:rsidR="00732A67">
        <w:t xml:space="preserve"> </w:t>
      </w:r>
      <w:r w:rsidR="00E113AB">
        <w:t xml:space="preserve">includes </w:t>
      </w:r>
      <w:r w:rsidR="00732A67">
        <w:t xml:space="preserve">mortality, emigration </w:t>
      </w:r>
      <w:r w:rsidR="0039315F">
        <w:t>away from Australia</w:t>
      </w:r>
      <w:r w:rsidR="00732A67">
        <w:t xml:space="preserve"> and net inter</w:t>
      </w:r>
      <w:r w:rsidR="000067F7">
        <w:t xml:space="preserve">state </w:t>
      </w:r>
      <w:r w:rsidR="00732A67">
        <w:t xml:space="preserve">migration. </w:t>
      </w:r>
      <w:r w:rsidR="0078437A">
        <w:t>The model</w:t>
      </w:r>
      <w:r w:rsidR="00732A67">
        <w:t xml:space="preserve"> then</w:t>
      </w:r>
      <w:r w:rsidR="0078437A">
        <w:t xml:space="preserve"> </w:t>
      </w:r>
      <w:r w:rsidR="00E73DCD">
        <w:t xml:space="preserve">uses a variety of approaches to </w:t>
      </w:r>
      <w:r w:rsidR="0097555F">
        <w:t xml:space="preserve">identify </w:t>
      </w:r>
      <w:r w:rsidR="00E73DCD">
        <w:t>taxes</w:t>
      </w:r>
      <w:r w:rsidR="0097555F">
        <w:t xml:space="preserve"> individuals pay, and </w:t>
      </w:r>
      <w:r w:rsidR="0075454E">
        <w:t>the cost of services that the</w:t>
      </w:r>
      <w:r w:rsidR="000B412D">
        <w:t>y</w:t>
      </w:r>
      <w:r w:rsidR="0075454E">
        <w:t xml:space="preserve"> use</w:t>
      </w:r>
      <w:r w:rsidR="00E73DCD">
        <w:t xml:space="preserve">. Where possible, </w:t>
      </w:r>
      <w:r w:rsidR="001B0870">
        <w:t xml:space="preserve">administrative data </w:t>
      </w:r>
      <w:r w:rsidR="005020B9">
        <w:t>are</w:t>
      </w:r>
      <w:r w:rsidR="001B0870">
        <w:t xml:space="preserve"> used</w:t>
      </w:r>
      <w:r w:rsidR="00080689">
        <w:t xml:space="preserve"> that directly links the tax or government service to </w:t>
      </w:r>
      <w:proofErr w:type="gramStart"/>
      <w:r w:rsidR="004037A0">
        <w:t>particular migrants</w:t>
      </w:r>
      <w:proofErr w:type="gramEnd"/>
      <w:r w:rsidR="00080689">
        <w:t xml:space="preserve">. </w:t>
      </w:r>
      <w:r w:rsidR="00A342DB">
        <w:t>In other cases, FIONA models the fiscal impact of migrants using</w:t>
      </w:r>
      <w:r w:rsidR="00504B9A">
        <w:t xml:space="preserve"> tax rates </w:t>
      </w:r>
      <w:r w:rsidR="00B66E65">
        <w:t xml:space="preserve">and expenses </w:t>
      </w:r>
      <w:r w:rsidR="00504B9A">
        <w:t xml:space="preserve">observed in </w:t>
      </w:r>
      <w:r w:rsidR="00A342DB">
        <w:t>survey data.</w:t>
      </w:r>
      <w:r w:rsidR="00110A48">
        <w:t xml:space="preserve"> </w:t>
      </w:r>
      <w:r w:rsidR="00E903B3" w:rsidRPr="00830CE1">
        <w:t>The additional infrastructure costs incurred as the population increases are also included in FIONA results, which is an extension from previous estimates of lifetime fiscal impact.</w:t>
      </w:r>
    </w:p>
    <w:p w14:paraId="5F4E85FC" w14:textId="6A36E473" w:rsidR="00170663" w:rsidRDefault="00C532C9" w:rsidP="00BA689B">
      <w:pPr>
        <w:spacing w:after="120"/>
      </w:pPr>
      <w:r>
        <w:t xml:space="preserve">The </w:t>
      </w:r>
      <w:r w:rsidR="001E3671">
        <w:t>main</w:t>
      </w:r>
      <w:r>
        <w:t xml:space="preserve"> drivers of</w:t>
      </w:r>
      <w:r w:rsidR="001E3671">
        <w:t xml:space="preserve"> the</w:t>
      </w:r>
      <w:r>
        <w:t xml:space="preserve"> lifetime fiscal impact </w:t>
      </w:r>
      <w:r w:rsidR="001E3671">
        <w:t>of the permanent migration cohort are the age profile and labour market outcomes of migrants.</w:t>
      </w:r>
      <w:r w:rsidR="009B2AE6">
        <w:t xml:space="preserve"> </w:t>
      </w:r>
      <w:r w:rsidR="00940F7A">
        <w:t>P</w:t>
      </w:r>
      <w:r w:rsidR="00EF745D">
        <w:t xml:space="preserve">ermanent </w:t>
      </w:r>
      <w:r w:rsidR="007B6551">
        <w:t xml:space="preserve">visas </w:t>
      </w:r>
      <w:r w:rsidR="00EF745D">
        <w:t xml:space="preserve">are </w:t>
      </w:r>
      <w:r w:rsidR="001B2EB9">
        <w:t>usually</w:t>
      </w:r>
      <w:r w:rsidR="007B6551">
        <w:t xml:space="preserve"> granted to people</w:t>
      </w:r>
      <w:r w:rsidR="00EF745D">
        <w:t xml:space="preserve"> </w:t>
      </w:r>
      <w:r w:rsidR="00FF130B">
        <w:t xml:space="preserve">between the ages of 25 and 35 </w:t>
      </w:r>
      <w:r w:rsidR="00940F7A">
        <w:t xml:space="preserve">who spend a high proportion of their life </w:t>
      </w:r>
      <w:r w:rsidR="00B8216F">
        <w:t>in the labour force before reaching retirement age</w:t>
      </w:r>
      <w:r w:rsidR="00603D97">
        <w:t xml:space="preserve"> relative to the Australian population</w:t>
      </w:r>
      <w:r w:rsidR="00B8216F">
        <w:t>.</w:t>
      </w:r>
      <w:r w:rsidR="00EF745D">
        <w:t xml:space="preserve"> Permanent migrants also have, on average, </w:t>
      </w:r>
      <w:r w:rsidR="001B2EB9">
        <w:t>strong</w:t>
      </w:r>
      <w:r w:rsidR="00940F7A">
        <w:t>er</w:t>
      </w:r>
      <w:r w:rsidR="001B2EB9">
        <w:t xml:space="preserve"> </w:t>
      </w:r>
      <w:r w:rsidR="00EF745D">
        <w:t>labour market outcomes</w:t>
      </w:r>
      <w:r w:rsidR="00940F7A">
        <w:t xml:space="preserve"> compared to the Australian population</w:t>
      </w:r>
      <w:r w:rsidR="00EF745D">
        <w:t xml:space="preserve">. FIONA </w:t>
      </w:r>
      <w:r w:rsidR="00B8216F">
        <w:t>also</w:t>
      </w:r>
      <w:r w:rsidR="00EF745D">
        <w:t xml:space="preserve"> capture</w:t>
      </w:r>
      <w:r w:rsidR="00B8216F">
        <w:t>s</w:t>
      </w:r>
      <w:r w:rsidR="00EF745D">
        <w:t xml:space="preserve"> differen</w:t>
      </w:r>
      <w:r w:rsidR="001B2EB9">
        <w:t xml:space="preserve">ces across </w:t>
      </w:r>
      <w:r w:rsidR="001B2EB9">
        <w:lastRenderedPageBreak/>
        <w:t>groups relating to</w:t>
      </w:r>
      <w:r w:rsidR="00EF745D">
        <w:t xml:space="preserve"> </w:t>
      </w:r>
      <w:r w:rsidR="001B2EB9">
        <w:t>receipts of</w:t>
      </w:r>
      <w:r w:rsidR="00EF745D">
        <w:t xml:space="preserve"> transfer payments, visa application</w:t>
      </w:r>
      <w:r w:rsidR="009843D7">
        <w:t xml:space="preserve"> charges</w:t>
      </w:r>
      <w:r w:rsidR="001B2EB9">
        <w:t xml:space="preserve">, </w:t>
      </w:r>
      <w:r w:rsidR="00FF130B">
        <w:t>settlement services</w:t>
      </w:r>
      <w:r w:rsidR="00EF745D">
        <w:t>, emigration rates</w:t>
      </w:r>
      <w:r w:rsidR="00134665">
        <w:t xml:space="preserve"> and the use of </w:t>
      </w:r>
      <w:r w:rsidR="00EF745D">
        <w:t xml:space="preserve">health </w:t>
      </w:r>
      <w:r w:rsidR="00134665">
        <w:t xml:space="preserve">and aged care </w:t>
      </w:r>
      <w:r w:rsidR="00EF745D">
        <w:t>services</w:t>
      </w:r>
      <w:r w:rsidR="00FF130B">
        <w:t xml:space="preserve">. However, </w:t>
      </w:r>
      <w:r w:rsidR="008F4348">
        <w:t xml:space="preserve">demography and labour market outcomes play a much </w:t>
      </w:r>
      <w:r w:rsidR="00ED779B">
        <w:t>larger</w:t>
      </w:r>
      <w:r w:rsidR="00451D40">
        <w:t xml:space="preserve"> </w:t>
      </w:r>
      <w:r w:rsidR="008F4348">
        <w:t xml:space="preserve">role in </w:t>
      </w:r>
      <w:r w:rsidR="00E52B58">
        <w:t xml:space="preserve">explaining differences in FIONA estimates between migrant groups </w:t>
      </w:r>
      <w:r w:rsidR="0088411D">
        <w:t>than</w:t>
      </w:r>
      <w:r w:rsidR="00E52B58">
        <w:t xml:space="preserve"> </w:t>
      </w:r>
      <w:r w:rsidR="008F4348">
        <w:t xml:space="preserve">these </w:t>
      </w:r>
      <w:r w:rsidR="00940F7A">
        <w:t xml:space="preserve">other </w:t>
      </w:r>
      <w:r w:rsidR="008F4348">
        <w:t>factors.</w:t>
      </w:r>
    </w:p>
    <w:p w14:paraId="5BF25F01" w14:textId="0D59F62B" w:rsidR="004508EB" w:rsidRDefault="004508EB" w:rsidP="00BA689B">
      <w:pPr>
        <w:spacing w:after="120"/>
      </w:pPr>
      <w:r>
        <w:t xml:space="preserve">While it is important to use a lifetime perspective to </w:t>
      </w:r>
      <w:r w:rsidR="00134665">
        <w:t>fairly</w:t>
      </w:r>
      <w:r>
        <w:t xml:space="preserve"> capture the fiscal impact of migration, such an approach </w:t>
      </w:r>
      <w:r w:rsidR="00134665">
        <w:t xml:space="preserve">unavoidably </w:t>
      </w:r>
      <w:r>
        <w:t xml:space="preserve">introduces </w:t>
      </w:r>
      <w:r w:rsidR="0066395A">
        <w:t>empirical uncertainty</w:t>
      </w:r>
      <w:r>
        <w:t xml:space="preserve">. For instance, estimates in FIONA are built on assumptions about how the </w:t>
      </w:r>
      <w:bookmarkStart w:id="13" w:name="_Hlk72931526"/>
      <w:r>
        <w:t>Australian economy, tax system, and system of government services will evolve over the coming century</w:t>
      </w:r>
      <w:r w:rsidR="00E52B58">
        <w:t>. Such things</w:t>
      </w:r>
      <w:r w:rsidR="003A0043">
        <w:t xml:space="preserve"> are inherently difficult to predict</w:t>
      </w:r>
      <w:bookmarkEnd w:id="13"/>
      <w:r>
        <w:t xml:space="preserve">. The best approach to managing this empirical uncertainty is to compare estimates of fiscal impact between groups of migrants, or between migrants </w:t>
      </w:r>
      <w:r w:rsidR="00134665">
        <w:t>and</w:t>
      </w:r>
      <w:r>
        <w:t xml:space="preserve"> the Australian population</w:t>
      </w:r>
      <w:r w:rsidR="0088411D">
        <w:t xml:space="preserve"> overall.  </w:t>
      </w:r>
    </w:p>
    <w:p w14:paraId="519A689D" w14:textId="49488AE0" w:rsidR="00C62A7F" w:rsidRDefault="004508EB" w:rsidP="00825E78">
      <w:r>
        <w:t xml:space="preserve">For instance, </w:t>
      </w:r>
      <w:r w:rsidR="0088411D">
        <w:t xml:space="preserve">across the three main elements of </w:t>
      </w:r>
      <w:r w:rsidR="006352CF">
        <w:t>the Australian permanent migration program FIONA finds that</w:t>
      </w:r>
      <w:r w:rsidR="00B8216F">
        <w:t>:</w:t>
      </w:r>
    </w:p>
    <w:p w14:paraId="7AC03F24" w14:textId="015E0C98" w:rsidR="00AB44F0" w:rsidRDefault="00E70920" w:rsidP="008027CA">
      <w:pPr>
        <w:pStyle w:val="Bullet"/>
      </w:pPr>
      <w:r>
        <w:t>M</w:t>
      </w:r>
      <w:r w:rsidR="00AB44F0">
        <w:t>igrants from the Skill stream (61 per cent of the 2018</w:t>
      </w:r>
      <w:r w:rsidR="00F62807">
        <w:t>–</w:t>
      </w:r>
      <w:r w:rsidR="00AB44F0">
        <w:t xml:space="preserve">19 permanent migrant cohort) </w:t>
      </w:r>
      <w:r w:rsidR="00466635">
        <w:t>have a more positive lifetime fiscal impact</w:t>
      </w:r>
      <w:r w:rsidR="00517339">
        <w:t>,</w:t>
      </w:r>
      <w:r w:rsidR="007062F0">
        <w:t xml:space="preserve"> on average</w:t>
      </w:r>
      <w:r w:rsidR="00517339">
        <w:t>,</w:t>
      </w:r>
      <w:r w:rsidR="007062F0">
        <w:t xml:space="preserve"> </w:t>
      </w:r>
      <w:r w:rsidR="00AB44F0">
        <w:t xml:space="preserve">than </w:t>
      </w:r>
      <w:r w:rsidR="00517339">
        <w:t xml:space="preserve">migrants from </w:t>
      </w:r>
      <w:r w:rsidR="00AB44F0">
        <w:t>the other streams. Within the Skill stream, employer sponsored visa holders are estimated to have the most positive lifetime fiscal impact.</w:t>
      </w:r>
    </w:p>
    <w:p w14:paraId="29607248" w14:textId="0D2E0266" w:rsidR="002D7BE4" w:rsidRPr="00825E78" w:rsidRDefault="002D7BE4" w:rsidP="00825E78">
      <w:pPr>
        <w:pStyle w:val="Bullet"/>
      </w:pPr>
      <w:r w:rsidRPr="00825E78">
        <w:t>Migrants from the Family stream have</w:t>
      </w:r>
      <w:r w:rsidR="00166531" w:rsidRPr="00825E78">
        <w:t>,</w:t>
      </w:r>
      <w:r w:rsidRPr="00825E78">
        <w:t xml:space="preserve"> on average, a slightly lower lifetime fiscal impact than the Australian population. Within the </w:t>
      </w:r>
      <w:r w:rsidR="007062F0" w:rsidRPr="00825E78">
        <w:t xml:space="preserve">family </w:t>
      </w:r>
      <w:r w:rsidRPr="00825E78">
        <w:t xml:space="preserve">migrant stream, partner visa holders (22 per cent of </w:t>
      </w:r>
      <w:r w:rsidR="00CB12B6" w:rsidRPr="00825E78">
        <w:t>the 2018</w:t>
      </w:r>
      <w:r w:rsidR="00F62807" w:rsidRPr="00825E78">
        <w:t>–</w:t>
      </w:r>
      <w:r w:rsidR="00CB12B6" w:rsidRPr="00825E78">
        <w:t>19 permanent migrant cohort</w:t>
      </w:r>
      <w:r w:rsidRPr="00825E78">
        <w:t>) have a lifetime fiscal impact that is broadly comparable to the Australian population while parent visa holders (4 per cent of the 2018</w:t>
      </w:r>
      <w:r w:rsidR="00F62807" w:rsidRPr="00825E78">
        <w:t>–</w:t>
      </w:r>
      <w:r w:rsidRPr="00825E78">
        <w:t xml:space="preserve">19 permanent migrant cohort) have a </w:t>
      </w:r>
      <w:r w:rsidR="00466635">
        <w:t>lower</w:t>
      </w:r>
      <w:r w:rsidRPr="00825E78">
        <w:t xml:space="preserve"> fiscal impact.</w:t>
      </w:r>
    </w:p>
    <w:p w14:paraId="78A3AFA8" w14:textId="6995595A" w:rsidR="006355FD" w:rsidRPr="00825E78" w:rsidRDefault="00B111A7" w:rsidP="00825E78">
      <w:pPr>
        <w:pStyle w:val="Bullet"/>
      </w:pPr>
      <w:r w:rsidRPr="00825E78">
        <w:t xml:space="preserve">Humanitarian </w:t>
      </w:r>
      <w:r w:rsidR="004F76CF" w:rsidRPr="00825E78">
        <w:t>visa holders</w:t>
      </w:r>
      <w:r w:rsidR="002D7BE4" w:rsidRPr="00825E78">
        <w:t xml:space="preserve"> (10 per cent of </w:t>
      </w:r>
      <w:r w:rsidR="00CB12B6" w:rsidRPr="00825E78">
        <w:t>the 2018</w:t>
      </w:r>
      <w:r w:rsidR="00F62807" w:rsidRPr="00825E78">
        <w:t>–</w:t>
      </w:r>
      <w:r w:rsidR="00CB12B6" w:rsidRPr="00825E78">
        <w:t>19 permanent migrant cohort</w:t>
      </w:r>
      <w:r w:rsidR="002D7BE4" w:rsidRPr="00825E78">
        <w:t>)</w:t>
      </w:r>
      <w:r w:rsidR="004F76CF" w:rsidRPr="00825E78">
        <w:t xml:space="preserve"> </w:t>
      </w:r>
      <w:r w:rsidR="00466635">
        <w:t>have the lowest</w:t>
      </w:r>
      <w:r w:rsidR="00B43148" w:rsidRPr="00825E78">
        <w:t xml:space="preserve"> fiscal impact over their lifetimes</w:t>
      </w:r>
      <w:r w:rsidR="00863076">
        <w:t>, reflecting the significant disadvantages faced by this group</w:t>
      </w:r>
      <w:r w:rsidR="00B43148" w:rsidRPr="00825E78">
        <w:t xml:space="preserve">. </w:t>
      </w:r>
    </w:p>
    <w:p w14:paraId="2761C1AE" w14:textId="64CCC8DB" w:rsidR="005D5555" w:rsidRDefault="007A6A8F" w:rsidP="00FB0712">
      <w:pPr>
        <w:pStyle w:val="ChartMainHeading"/>
      </w:pPr>
      <w:r w:rsidRPr="0093250E">
        <w:t>Chart 1</w:t>
      </w:r>
      <w:r w:rsidR="0093250E" w:rsidRPr="0093250E">
        <w:t>:</w:t>
      </w:r>
      <w:r w:rsidRPr="0093250E">
        <w:t xml:space="preserve"> </w:t>
      </w:r>
      <w:r w:rsidR="009E37A9">
        <w:t xml:space="preserve">Estimated lifetime </w:t>
      </w:r>
      <w:r w:rsidR="009E37A9" w:rsidRPr="0093250E">
        <w:t xml:space="preserve">fiscal impact of </w:t>
      </w:r>
      <w:r w:rsidR="009E37A9">
        <w:t>the 2018</w:t>
      </w:r>
      <w:r w:rsidR="00F62807">
        <w:t>–</w:t>
      </w:r>
      <w:r w:rsidR="009E37A9">
        <w:t xml:space="preserve">19 permanent migrant </w:t>
      </w:r>
      <w:r w:rsidR="00CB12B6">
        <w:t>population</w:t>
      </w:r>
    </w:p>
    <w:p w14:paraId="675A960F" w14:textId="449FF298" w:rsidR="005903A2" w:rsidRPr="008B264E" w:rsidRDefault="00027FBF" w:rsidP="008B264E">
      <w:r>
        <w:rPr>
          <w:noProof/>
          <w:sz w:val="18"/>
          <w:szCs w:val="18"/>
        </w:rPr>
        <w:drawing>
          <wp:inline distT="0" distB="0" distL="0" distR="0" wp14:anchorId="69EEFB24" wp14:editId="712E818B">
            <wp:extent cx="5904230" cy="2256790"/>
            <wp:effectExtent l="0" t="0" r="1270" b="0"/>
            <wp:docPr id="3" name="Picture 3" descr="This charts shows the lifetime fiscal impact of Skill, Family and Humanitarian migrants, as well as the average migrant and Australian population. The average migrant is more positive than the Australian population as Skill migrants have a very positiv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charts shows the lifetime fiscal impact of Skill, Family and Humanitarian migrants, as well as the average migrant and Australian population. The average migrant is more positive than the Australian population as Skill migrants have a very positive impa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4230" cy="2256790"/>
                    </a:xfrm>
                    <a:prstGeom prst="rect">
                      <a:avLst/>
                    </a:prstGeom>
                    <a:noFill/>
                    <a:ln>
                      <a:noFill/>
                    </a:ln>
                  </pic:spPr>
                </pic:pic>
              </a:graphicData>
            </a:graphic>
          </wp:inline>
        </w:drawing>
      </w:r>
      <w:r w:rsidR="005903A2">
        <w:rPr>
          <w:sz w:val="18"/>
          <w:szCs w:val="18"/>
        </w:rPr>
        <w:t>Note: Estimates i</w:t>
      </w:r>
      <w:r w:rsidR="005903A2" w:rsidRPr="00451D40">
        <w:rPr>
          <w:sz w:val="18"/>
          <w:szCs w:val="18"/>
        </w:rPr>
        <w:t xml:space="preserve">nclude </w:t>
      </w:r>
      <w:r w:rsidR="0039315F">
        <w:rPr>
          <w:sz w:val="18"/>
          <w:szCs w:val="18"/>
        </w:rPr>
        <w:t>both</w:t>
      </w:r>
      <w:r w:rsidR="005903A2" w:rsidRPr="00451D40">
        <w:rPr>
          <w:sz w:val="18"/>
          <w:szCs w:val="18"/>
        </w:rPr>
        <w:t xml:space="preserve"> primary and secondary applicants.</w:t>
      </w:r>
    </w:p>
    <w:p w14:paraId="4373D0D1" w14:textId="4ADF80AB" w:rsidR="005A6030" w:rsidRDefault="00116348" w:rsidP="00714345">
      <w:r>
        <w:t>FIONA shows that the 2018</w:t>
      </w:r>
      <w:r w:rsidR="00F62807">
        <w:t>–</w:t>
      </w:r>
      <w:r>
        <w:t>19 permanent migrant cohort is fiscally positive at both the Commonwealth</w:t>
      </w:r>
      <w:r w:rsidR="0037384A">
        <w:t>,</w:t>
      </w:r>
      <w:r>
        <w:t xml:space="preserve"> and State</w:t>
      </w:r>
      <w:r w:rsidR="0037384A">
        <w:t xml:space="preserve"> and Territory</w:t>
      </w:r>
      <w:r>
        <w:t xml:space="preserve"> levels. </w:t>
      </w:r>
      <w:r w:rsidR="009E37A9">
        <w:t>Chart 1 shows that the estimated fiscal impact of the 2018</w:t>
      </w:r>
      <w:r w:rsidR="00F62807">
        <w:t>–</w:t>
      </w:r>
      <w:r w:rsidR="009E37A9">
        <w:t>19 permanent migrant cohort is $12</w:t>
      </w:r>
      <w:r w:rsidR="00166531">
        <w:t>7</w:t>
      </w:r>
      <w:r w:rsidR="009E37A9">
        <w:t>,000 per person more positive than that of the 2018</w:t>
      </w:r>
      <w:r w:rsidR="00F62807">
        <w:t>–</w:t>
      </w:r>
      <w:r w:rsidR="009E37A9">
        <w:t xml:space="preserve">19 population overall. </w:t>
      </w:r>
      <w:r w:rsidR="004630C0">
        <w:t xml:space="preserve">This </w:t>
      </w:r>
      <w:r w:rsidR="007F1509">
        <w:t>difference is relatively robust to modelling assumptions used in FIONA and provides strong evidence that the permanent migration program generates significant fiscal benefits, in aggregate, to Australia.</w:t>
      </w:r>
      <w:r w:rsidR="005A6030">
        <w:br w:type="page"/>
      </w:r>
    </w:p>
    <w:sdt>
      <w:sdtPr>
        <w:rPr>
          <w:rFonts w:ascii="Calibri" w:eastAsiaTheme="minorHAnsi" w:hAnsi="Calibri" w:cstheme="minorBidi"/>
          <w:color w:val="000000" w:themeColor="text1"/>
          <w:sz w:val="22"/>
          <w:szCs w:val="22"/>
          <w:lang w:val="en-AU"/>
        </w:rPr>
        <w:id w:val="1876196807"/>
        <w:docPartObj>
          <w:docPartGallery w:val="Table of Contents"/>
          <w:docPartUnique/>
        </w:docPartObj>
      </w:sdtPr>
      <w:sdtEndPr>
        <w:rPr>
          <w:rFonts w:asciiTheme="minorHAnsi" w:hAnsiTheme="minorHAnsi"/>
          <w:b/>
          <w:bCs/>
          <w:noProof/>
          <w:color w:val="auto"/>
        </w:rPr>
      </w:sdtEndPr>
      <w:sdtContent>
        <w:p w14:paraId="709FC67C" w14:textId="377B1F00" w:rsidR="008B5F2C" w:rsidRDefault="008B5F2C" w:rsidP="008027CA">
          <w:pPr>
            <w:pStyle w:val="TOCHeading"/>
            <w:spacing w:line="240" w:lineRule="auto"/>
            <w:rPr>
              <w:rFonts w:ascii="Arial Bold" w:eastAsiaTheme="minorHAnsi" w:hAnsi="Arial Bold" w:cstheme="minorBidi"/>
              <w:b/>
              <w:smallCaps/>
              <w:color w:val="003157"/>
              <w:kern w:val="28"/>
              <w:sz w:val="36"/>
              <w:szCs w:val="22"/>
              <w:lang w:val="en-AU"/>
            </w:rPr>
          </w:pPr>
          <w:r w:rsidRPr="00254C91">
            <w:rPr>
              <w:rFonts w:ascii="Arial Bold" w:eastAsiaTheme="minorHAnsi" w:hAnsi="Arial Bold" w:cstheme="minorBidi"/>
              <w:b/>
              <w:smallCaps/>
              <w:color w:val="003157"/>
              <w:kern w:val="28"/>
              <w:sz w:val="36"/>
              <w:szCs w:val="22"/>
              <w:lang w:val="en-AU"/>
            </w:rPr>
            <w:t>Contents</w:t>
          </w:r>
        </w:p>
        <w:p w14:paraId="09611520" w14:textId="77777777" w:rsidR="00254C91" w:rsidRPr="00254C91" w:rsidRDefault="00254C91" w:rsidP="008027CA"/>
        <w:p w14:paraId="007ADE90" w14:textId="20C9DDC6" w:rsidR="00025888" w:rsidRDefault="008B5F2C" w:rsidP="00025888">
          <w:pPr>
            <w:pStyle w:val="TOC2"/>
            <w:rPr>
              <w:rFonts w:eastAsiaTheme="minorEastAsia"/>
              <w:noProof/>
              <w:sz w:val="22"/>
              <w:lang w:eastAsia="en-AU"/>
            </w:rPr>
          </w:pPr>
          <w:r w:rsidRPr="007C7071">
            <w:rPr>
              <w:color w:val="004672" w:themeColor="accent1" w:themeTint="E6"/>
            </w:rPr>
            <w:fldChar w:fldCharType="begin"/>
          </w:r>
          <w:r w:rsidRPr="007C7071">
            <w:rPr>
              <w:color w:val="004672" w:themeColor="accent1" w:themeTint="E6"/>
            </w:rPr>
            <w:instrText xml:space="preserve"> TOC \o "1-3" \h \z \u </w:instrText>
          </w:r>
          <w:r w:rsidRPr="007C7071">
            <w:rPr>
              <w:color w:val="004672" w:themeColor="accent1" w:themeTint="E6"/>
            </w:rPr>
            <w:fldChar w:fldCharType="separate"/>
          </w:r>
        </w:p>
        <w:p w14:paraId="04B8EE9E" w14:textId="0CCC1E8E" w:rsidR="00025888" w:rsidRPr="00025888" w:rsidRDefault="00EF60FE" w:rsidP="00025888">
          <w:pPr>
            <w:pStyle w:val="TOC1"/>
            <w:tabs>
              <w:tab w:val="clear" w:pos="567"/>
              <w:tab w:val="clear" w:pos="9299"/>
              <w:tab w:val="left" w:pos="340"/>
              <w:tab w:val="right" w:leader="dot" w:pos="8930"/>
            </w:tabs>
            <w:spacing w:before="100" w:after="60"/>
            <w:ind w:left="340" w:hanging="340"/>
            <w:jc w:val="both"/>
            <w:rPr>
              <w:rStyle w:val="Hyperlink"/>
              <w:rFonts w:ascii="Arial Bold" w:hAnsi="Arial Bold" w:cs="Arial"/>
              <w:b/>
              <w:caps/>
              <w:noProof/>
              <w:color w:val="004672" w:themeColor="accent1" w:themeTint="E6"/>
              <w:sz w:val="21"/>
              <w:lang w:val="en-US"/>
            </w:rPr>
          </w:pPr>
          <w:hyperlink w:anchor="_Toc77175208" w:history="1">
            <w:r w:rsidR="00025888" w:rsidRPr="00025888">
              <w:rPr>
                <w:rStyle w:val="Hyperlink"/>
                <w:rFonts w:ascii="Arial Bold" w:hAnsi="Arial Bold" w:cs="Arial"/>
                <w:b/>
                <w:caps/>
                <w:smallCaps w:val="0"/>
                <w:noProof/>
                <w:color w:val="004672" w:themeColor="accent1" w:themeTint="E6"/>
                <w:sz w:val="21"/>
                <w:lang w:val="en-US" w:eastAsia="en-AU"/>
              </w:rPr>
              <w:t>Executive Summary</w:t>
            </w:r>
            <w:r w:rsidR="00025888" w:rsidRPr="00025888">
              <w:rPr>
                <w:rStyle w:val="Hyperlink"/>
                <w:rFonts w:ascii="Arial Bold" w:hAnsi="Arial Bold" w:cs="Arial"/>
                <w:b/>
                <w:caps/>
                <w:smallCaps w:val="0"/>
                <w:noProof/>
                <w:webHidden/>
                <w:color w:val="004672" w:themeColor="accent1" w:themeTint="E6"/>
                <w:sz w:val="21"/>
                <w:lang w:val="en-US" w:eastAsia="en-AU"/>
              </w:rPr>
              <w:tab/>
            </w:r>
            <w:r w:rsidR="00025888" w:rsidRPr="00025888">
              <w:rPr>
                <w:rStyle w:val="Hyperlink"/>
                <w:rFonts w:ascii="Arial Bold" w:hAnsi="Arial Bold" w:cs="Arial"/>
                <w:b/>
                <w:caps/>
                <w:smallCaps w:val="0"/>
                <w:noProof/>
                <w:webHidden/>
                <w:color w:val="004672" w:themeColor="accent1" w:themeTint="E6"/>
                <w:sz w:val="21"/>
                <w:lang w:val="en-US" w:eastAsia="en-AU"/>
              </w:rPr>
              <w:fldChar w:fldCharType="begin"/>
            </w:r>
            <w:r w:rsidR="00025888" w:rsidRPr="00025888">
              <w:rPr>
                <w:rStyle w:val="Hyperlink"/>
                <w:rFonts w:ascii="Arial Bold" w:hAnsi="Arial Bold" w:cs="Arial"/>
                <w:b/>
                <w:caps/>
                <w:smallCaps w:val="0"/>
                <w:noProof/>
                <w:webHidden/>
                <w:color w:val="004672" w:themeColor="accent1" w:themeTint="E6"/>
                <w:sz w:val="21"/>
                <w:lang w:val="en-US" w:eastAsia="en-AU"/>
              </w:rPr>
              <w:instrText xml:space="preserve"> PAGEREF _Toc77175208 \h </w:instrText>
            </w:r>
            <w:r w:rsidR="00025888" w:rsidRPr="00025888">
              <w:rPr>
                <w:rStyle w:val="Hyperlink"/>
                <w:rFonts w:ascii="Arial Bold" w:hAnsi="Arial Bold" w:cs="Arial"/>
                <w:b/>
                <w:caps/>
                <w:smallCaps w:val="0"/>
                <w:noProof/>
                <w:webHidden/>
                <w:color w:val="004672" w:themeColor="accent1" w:themeTint="E6"/>
                <w:sz w:val="21"/>
                <w:lang w:val="en-US" w:eastAsia="en-AU"/>
              </w:rPr>
            </w:r>
            <w:r w:rsidR="00025888" w:rsidRPr="00025888">
              <w:rPr>
                <w:rStyle w:val="Hyperlink"/>
                <w:rFonts w:ascii="Arial Bold" w:hAnsi="Arial Bold" w:cs="Arial"/>
                <w:b/>
                <w:caps/>
                <w:smallCaps w:val="0"/>
                <w:noProof/>
                <w:webHidden/>
                <w:color w:val="004672" w:themeColor="accent1" w:themeTint="E6"/>
                <w:sz w:val="21"/>
                <w:lang w:val="en-US" w:eastAsia="en-AU"/>
              </w:rPr>
              <w:fldChar w:fldCharType="separate"/>
            </w:r>
            <w:r w:rsidR="00524834">
              <w:rPr>
                <w:rStyle w:val="Hyperlink"/>
                <w:rFonts w:ascii="Arial Bold" w:hAnsi="Arial Bold" w:cs="Arial"/>
                <w:b/>
                <w:caps/>
                <w:smallCaps w:val="0"/>
                <w:noProof/>
                <w:webHidden/>
                <w:color w:val="004672" w:themeColor="accent1" w:themeTint="E6"/>
                <w:sz w:val="21"/>
                <w:lang w:val="en-US" w:eastAsia="en-AU"/>
              </w:rPr>
              <w:t>iii</w:t>
            </w:r>
            <w:r w:rsidR="00025888" w:rsidRPr="00025888">
              <w:rPr>
                <w:rStyle w:val="Hyperlink"/>
                <w:rFonts w:ascii="Arial Bold" w:hAnsi="Arial Bold" w:cs="Arial"/>
                <w:b/>
                <w:caps/>
                <w:smallCaps w:val="0"/>
                <w:noProof/>
                <w:webHidden/>
                <w:color w:val="004672" w:themeColor="accent1" w:themeTint="E6"/>
                <w:sz w:val="21"/>
                <w:lang w:val="en-US" w:eastAsia="en-AU"/>
              </w:rPr>
              <w:fldChar w:fldCharType="end"/>
            </w:r>
          </w:hyperlink>
        </w:p>
        <w:p w14:paraId="45A6CEA2" w14:textId="2E0A9EB6" w:rsidR="00025888" w:rsidRPr="00025888" w:rsidRDefault="00EF60FE" w:rsidP="00025888">
          <w:pPr>
            <w:pStyle w:val="TOC1"/>
            <w:tabs>
              <w:tab w:val="clear" w:pos="567"/>
              <w:tab w:val="clear" w:pos="9299"/>
              <w:tab w:val="left" w:pos="340"/>
              <w:tab w:val="right" w:leader="dot" w:pos="8930"/>
            </w:tabs>
            <w:spacing w:before="100" w:after="60"/>
            <w:ind w:left="340" w:hanging="340"/>
            <w:jc w:val="both"/>
            <w:rPr>
              <w:rStyle w:val="Hyperlink"/>
              <w:rFonts w:ascii="Arial Bold" w:hAnsi="Arial Bold" w:cs="Arial"/>
              <w:b/>
              <w:caps/>
              <w:smallCaps w:val="0"/>
              <w:noProof/>
              <w:color w:val="004672" w:themeColor="accent1" w:themeTint="E6"/>
              <w:sz w:val="21"/>
              <w:lang w:val="en-US"/>
            </w:rPr>
          </w:pPr>
          <w:hyperlink w:anchor="_Toc77175209" w:history="1">
            <w:r w:rsidR="00025888" w:rsidRPr="00025888">
              <w:rPr>
                <w:rStyle w:val="Hyperlink"/>
                <w:rFonts w:ascii="Arial Bold" w:hAnsi="Arial Bold" w:cs="Arial"/>
                <w:b/>
                <w:caps/>
                <w:smallCaps w:val="0"/>
                <w:noProof/>
                <w:color w:val="004672" w:themeColor="accent1" w:themeTint="E6"/>
                <w:sz w:val="21"/>
                <w:lang w:val="en-US" w:eastAsia="en-AU"/>
              </w:rPr>
              <w:t>1.</w:t>
            </w:r>
            <w:r w:rsidR="00025888" w:rsidRPr="00025888">
              <w:rPr>
                <w:rStyle w:val="Hyperlink"/>
                <w:rFonts w:ascii="Arial Bold" w:hAnsi="Arial Bold" w:cs="Arial"/>
                <w:b/>
                <w:caps/>
                <w:smallCaps w:val="0"/>
                <w:noProof/>
                <w:color w:val="004672" w:themeColor="accent1" w:themeTint="E6"/>
                <w:sz w:val="21"/>
                <w:lang w:val="en-US"/>
              </w:rPr>
              <w:tab/>
            </w:r>
            <w:r w:rsidR="00025888" w:rsidRPr="00025888">
              <w:rPr>
                <w:rStyle w:val="Hyperlink"/>
                <w:rFonts w:ascii="Arial Bold" w:hAnsi="Arial Bold" w:cs="Arial"/>
                <w:b/>
                <w:caps/>
                <w:smallCaps w:val="0"/>
                <w:noProof/>
                <w:color w:val="004672" w:themeColor="accent1" w:themeTint="E6"/>
                <w:sz w:val="21"/>
                <w:lang w:val="en-US" w:eastAsia="en-AU"/>
              </w:rPr>
              <w:t>Introduction</w:t>
            </w:r>
            <w:r w:rsidR="00025888" w:rsidRPr="00025888">
              <w:rPr>
                <w:rStyle w:val="Hyperlink"/>
                <w:rFonts w:ascii="Arial Bold" w:hAnsi="Arial Bold" w:cs="Arial"/>
                <w:b/>
                <w:caps/>
                <w:smallCaps w:val="0"/>
                <w:noProof/>
                <w:webHidden/>
                <w:color w:val="004672" w:themeColor="accent1" w:themeTint="E6"/>
                <w:sz w:val="21"/>
                <w:lang w:val="en-US" w:eastAsia="en-AU"/>
              </w:rPr>
              <w:tab/>
            </w:r>
            <w:r w:rsidR="00025888" w:rsidRPr="00025888">
              <w:rPr>
                <w:rStyle w:val="Hyperlink"/>
                <w:rFonts w:ascii="Arial Bold" w:hAnsi="Arial Bold" w:cs="Arial"/>
                <w:b/>
                <w:caps/>
                <w:smallCaps w:val="0"/>
                <w:noProof/>
                <w:webHidden/>
                <w:color w:val="004672" w:themeColor="accent1" w:themeTint="E6"/>
                <w:sz w:val="21"/>
                <w:lang w:val="en-US" w:eastAsia="en-AU"/>
              </w:rPr>
              <w:fldChar w:fldCharType="begin"/>
            </w:r>
            <w:r w:rsidR="00025888" w:rsidRPr="00025888">
              <w:rPr>
                <w:rStyle w:val="Hyperlink"/>
                <w:rFonts w:ascii="Arial Bold" w:hAnsi="Arial Bold" w:cs="Arial"/>
                <w:b/>
                <w:caps/>
                <w:smallCaps w:val="0"/>
                <w:noProof/>
                <w:webHidden/>
                <w:color w:val="004672" w:themeColor="accent1" w:themeTint="E6"/>
                <w:sz w:val="21"/>
                <w:lang w:val="en-US" w:eastAsia="en-AU"/>
              </w:rPr>
              <w:instrText xml:space="preserve"> PAGEREF _Toc77175209 \h </w:instrText>
            </w:r>
            <w:r w:rsidR="00025888" w:rsidRPr="00025888">
              <w:rPr>
                <w:rStyle w:val="Hyperlink"/>
                <w:rFonts w:ascii="Arial Bold" w:hAnsi="Arial Bold" w:cs="Arial"/>
                <w:b/>
                <w:caps/>
                <w:smallCaps w:val="0"/>
                <w:noProof/>
                <w:webHidden/>
                <w:color w:val="004672" w:themeColor="accent1" w:themeTint="E6"/>
                <w:sz w:val="21"/>
                <w:lang w:val="en-US" w:eastAsia="en-AU"/>
              </w:rPr>
            </w:r>
            <w:r w:rsidR="00025888" w:rsidRPr="00025888">
              <w:rPr>
                <w:rStyle w:val="Hyperlink"/>
                <w:rFonts w:ascii="Arial Bold" w:hAnsi="Arial Bold" w:cs="Arial"/>
                <w:b/>
                <w:caps/>
                <w:smallCaps w:val="0"/>
                <w:noProof/>
                <w:webHidden/>
                <w:color w:val="004672" w:themeColor="accent1" w:themeTint="E6"/>
                <w:sz w:val="21"/>
                <w:lang w:val="en-US" w:eastAsia="en-AU"/>
              </w:rPr>
              <w:fldChar w:fldCharType="separate"/>
            </w:r>
            <w:r w:rsidR="00524834">
              <w:rPr>
                <w:rStyle w:val="Hyperlink"/>
                <w:rFonts w:ascii="Arial Bold" w:hAnsi="Arial Bold" w:cs="Arial"/>
                <w:b/>
                <w:caps/>
                <w:smallCaps w:val="0"/>
                <w:noProof/>
                <w:webHidden/>
                <w:color w:val="004672" w:themeColor="accent1" w:themeTint="E6"/>
                <w:sz w:val="21"/>
                <w:lang w:val="en-US" w:eastAsia="en-AU"/>
              </w:rPr>
              <w:t>1</w:t>
            </w:r>
            <w:r w:rsidR="00025888" w:rsidRPr="00025888">
              <w:rPr>
                <w:rStyle w:val="Hyperlink"/>
                <w:rFonts w:ascii="Arial Bold" w:hAnsi="Arial Bold" w:cs="Arial"/>
                <w:b/>
                <w:caps/>
                <w:smallCaps w:val="0"/>
                <w:noProof/>
                <w:webHidden/>
                <w:color w:val="004672" w:themeColor="accent1" w:themeTint="E6"/>
                <w:sz w:val="21"/>
                <w:lang w:val="en-US" w:eastAsia="en-AU"/>
              </w:rPr>
              <w:fldChar w:fldCharType="end"/>
            </w:r>
          </w:hyperlink>
        </w:p>
        <w:p w14:paraId="2B51FAC5" w14:textId="48026BBA"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10" w:history="1">
            <w:r w:rsidR="00025888" w:rsidRPr="00025888">
              <w:rPr>
                <w:rStyle w:val="Hyperlink"/>
                <w:rFonts w:ascii="Arial" w:hAnsi="Arial" w:cstheme="minorHAnsi"/>
                <w:noProof/>
                <w:color w:val="004672" w:themeColor="accent1" w:themeTint="E6"/>
                <w:sz w:val="20"/>
                <w:szCs w:val="20"/>
              </w:rPr>
              <w:t>1.1.</w:t>
            </w:r>
            <w:r w:rsidR="00025888" w:rsidRPr="00025888">
              <w:rPr>
                <w:rStyle w:val="Hyperlink"/>
                <w:rFonts w:ascii="Arial" w:hAnsi="Arial" w:cstheme="minorHAnsi"/>
                <w:noProof/>
                <w:color w:val="004672" w:themeColor="accent1" w:themeTint="E6"/>
                <w:sz w:val="20"/>
                <w:szCs w:val="20"/>
              </w:rPr>
              <w:tab/>
              <w:t>Fiscal impact is only one aspect of the permanent migration program</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_Toc77175210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2</w:t>
            </w:r>
            <w:r w:rsidR="00025888" w:rsidRPr="00025888">
              <w:rPr>
                <w:rStyle w:val="Hyperlink"/>
                <w:rFonts w:ascii="Arial" w:hAnsi="Arial" w:cstheme="minorHAnsi"/>
                <w:noProof/>
                <w:webHidden/>
                <w:color w:val="004672" w:themeColor="accent1" w:themeTint="E6"/>
                <w:sz w:val="20"/>
                <w:szCs w:val="20"/>
              </w:rPr>
              <w:fldChar w:fldCharType="end"/>
            </w:r>
          </w:hyperlink>
        </w:p>
        <w:p w14:paraId="030E30F6" w14:textId="29BC02EB"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11" w:history="1">
            <w:r w:rsidR="00025888" w:rsidRPr="00025888">
              <w:rPr>
                <w:rStyle w:val="Hyperlink"/>
                <w:rFonts w:ascii="Arial" w:hAnsi="Arial" w:cstheme="minorHAnsi"/>
                <w:noProof/>
                <w:color w:val="004672" w:themeColor="accent1" w:themeTint="E6"/>
                <w:sz w:val="20"/>
                <w:szCs w:val="20"/>
              </w:rPr>
              <w:t>1.2.</w:t>
            </w:r>
            <w:r w:rsidR="00025888" w:rsidRPr="00025888">
              <w:rPr>
                <w:rStyle w:val="Hyperlink"/>
                <w:rFonts w:ascii="Arial" w:hAnsi="Arial" w:cstheme="minorHAnsi"/>
                <w:noProof/>
                <w:color w:val="004672" w:themeColor="accent1" w:themeTint="E6"/>
                <w:sz w:val="20"/>
                <w:szCs w:val="20"/>
              </w:rPr>
              <w:tab/>
              <w:t>FIONA results complement shorter</w:t>
            </w:r>
            <w:r w:rsidR="00F62807">
              <w:rPr>
                <w:rStyle w:val="Hyperlink"/>
                <w:rFonts w:ascii="Arial" w:hAnsi="Arial" w:cstheme="minorHAnsi"/>
                <w:noProof/>
                <w:color w:val="004672" w:themeColor="accent1" w:themeTint="E6"/>
                <w:sz w:val="20"/>
                <w:szCs w:val="20"/>
              </w:rPr>
              <w:t>–</w:t>
            </w:r>
            <w:r w:rsidR="00025888" w:rsidRPr="00025888">
              <w:rPr>
                <w:rStyle w:val="Hyperlink"/>
                <w:rFonts w:ascii="Arial" w:hAnsi="Arial" w:cstheme="minorHAnsi"/>
                <w:noProof/>
                <w:color w:val="004672" w:themeColor="accent1" w:themeTint="E6"/>
                <w:sz w:val="20"/>
                <w:szCs w:val="20"/>
              </w:rPr>
              <w:t>term fiscal estimates</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_Toc77175211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3</w:t>
            </w:r>
            <w:r w:rsidR="00025888" w:rsidRPr="00025888">
              <w:rPr>
                <w:rStyle w:val="Hyperlink"/>
                <w:rFonts w:ascii="Arial" w:hAnsi="Arial" w:cstheme="minorHAnsi"/>
                <w:noProof/>
                <w:webHidden/>
                <w:color w:val="004672" w:themeColor="accent1" w:themeTint="E6"/>
                <w:sz w:val="20"/>
                <w:szCs w:val="20"/>
              </w:rPr>
              <w:fldChar w:fldCharType="end"/>
            </w:r>
          </w:hyperlink>
        </w:p>
        <w:p w14:paraId="5278F53A" w14:textId="2951C008"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12" w:history="1">
            <w:r w:rsidR="00025888" w:rsidRPr="00025888">
              <w:rPr>
                <w:rStyle w:val="Hyperlink"/>
                <w:rFonts w:ascii="Arial" w:hAnsi="Arial" w:cstheme="minorHAnsi"/>
                <w:noProof/>
                <w:color w:val="004672" w:themeColor="accent1" w:themeTint="E6"/>
                <w:sz w:val="20"/>
                <w:szCs w:val="20"/>
              </w:rPr>
              <w:t>1.3.</w:t>
            </w:r>
            <w:r w:rsidR="00025888" w:rsidRPr="00025888">
              <w:rPr>
                <w:rStyle w:val="Hyperlink"/>
                <w:rFonts w:ascii="Arial" w:hAnsi="Arial" w:cstheme="minorHAnsi"/>
                <w:noProof/>
                <w:color w:val="004672" w:themeColor="accent1" w:themeTint="E6"/>
                <w:sz w:val="20"/>
                <w:szCs w:val="20"/>
              </w:rPr>
              <w:tab/>
              <w:t>FIONA results are designed to compare between visa streams</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_Toc77175212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3</w:t>
            </w:r>
            <w:r w:rsidR="00025888" w:rsidRPr="00025888">
              <w:rPr>
                <w:rStyle w:val="Hyperlink"/>
                <w:rFonts w:ascii="Arial" w:hAnsi="Arial" w:cstheme="minorHAnsi"/>
                <w:noProof/>
                <w:webHidden/>
                <w:color w:val="004672" w:themeColor="accent1" w:themeTint="E6"/>
                <w:sz w:val="20"/>
                <w:szCs w:val="20"/>
              </w:rPr>
              <w:fldChar w:fldCharType="end"/>
            </w:r>
          </w:hyperlink>
        </w:p>
        <w:p w14:paraId="0564A431" w14:textId="0CE25C44"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Fonts w:eastAsiaTheme="minorEastAsia"/>
              <w:noProof/>
              <w:color w:val="004672" w:themeColor="accent1" w:themeTint="E6"/>
              <w:lang w:eastAsia="en-AU"/>
            </w:rPr>
          </w:pPr>
          <w:hyperlink w:anchor="_Toc77175213" w:history="1">
            <w:r w:rsidR="00025888" w:rsidRPr="00025888">
              <w:rPr>
                <w:rStyle w:val="Hyperlink"/>
                <w:rFonts w:ascii="Arial" w:hAnsi="Arial" w:cstheme="minorHAnsi"/>
                <w:noProof/>
                <w:color w:val="004672" w:themeColor="accent1" w:themeTint="E6"/>
                <w:sz w:val="20"/>
                <w:szCs w:val="20"/>
              </w:rPr>
              <w:t>1.4.</w:t>
            </w:r>
            <w:r w:rsidR="00025888" w:rsidRPr="00025888">
              <w:rPr>
                <w:rStyle w:val="Hyperlink"/>
                <w:rFonts w:ascii="Arial" w:hAnsi="Arial" w:cstheme="minorHAnsi"/>
                <w:noProof/>
                <w:color w:val="004672" w:themeColor="accent1" w:themeTint="E6"/>
                <w:sz w:val="20"/>
                <w:szCs w:val="20"/>
              </w:rPr>
              <w:tab/>
              <w:t>FIONA only considers permanent migrants</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_Toc77175213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4</w:t>
            </w:r>
            <w:r w:rsidR="00025888" w:rsidRPr="00025888">
              <w:rPr>
                <w:rStyle w:val="Hyperlink"/>
                <w:rFonts w:ascii="Arial" w:hAnsi="Arial" w:cstheme="minorHAnsi"/>
                <w:noProof/>
                <w:webHidden/>
                <w:color w:val="004672" w:themeColor="accent1" w:themeTint="E6"/>
                <w:sz w:val="20"/>
                <w:szCs w:val="20"/>
              </w:rPr>
              <w:fldChar w:fldCharType="end"/>
            </w:r>
          </w:hyperlink>
        </w:p>
        <w:p w14:paraId="00FBA86C" w14:textId="39051952" w:rsidR="00025888" w:rsidRPr="00025888" w:rsidRDefault="00EF60FE" w:rsidP="00025888">
          <w:pPr>
            <w:pStyle w:val="TOC1"/>
            <w:tabs>
              <w:tab w:val="clear" w:pos="567"/>
              <w:tab w:val="clear" w:pos="9299"/>
              <w:tab w:val="left" w:pos="340"/>
              <w:tab w:val="right" w:leader="dot" w:pos="8930"/>
            </w:tabs>
            <w:spacing w:before="100" w:after="60"/>
            <w:ind w:left="340" w:hanging="340"/>
            <w:jc w:val="both"/>
            <w:rPr>
              <w:rStyle w:val="Hyperlink"/>
              <w:rFonts w:ascii="Arial Bold" w:hAnsi="Arial Bold" w:cs="Arial"/>
              <w:b/>
              <w:caps/>
              <w:smallCaps w:val="0"/>
              <w:noProof/>
              <w:color w:val="004672" w:themeColor="accent1" w:themeTint="E6"/>
              <w:sz w:val="21"/>
              <w:lang w:val="en-US"/>
            </w:rPr>
          </w:pPr>
          <w:hyperlink w:anchor="_Toc77175214" w:history="1">
            <w:r w:rsidR="00025888" w:rsidRPr="00025888">
              <w:rPr>
                <w:rStyle w:val="Hyperlink"/>
                <w:rFonts w:ascii="Arial Bold" w:hAnsi="Arial Bold" w:cs="Arial"/>
                <w:b/>
                <w:caps/>
                <w:smallCaps w:val="0"/>
                <w:noProof/>
                <w:color w:val="004672" w:themeColor="accent1" w:themeTint="E6"/>
                <w:sz w:val="21"/>
                <w:lang w:val="en-US" w:eastAsia="en-AU"/>
              </w:rPr>
              <w:t>2.</w:t>
            </w:r>
            <w:r w:rsidR="00025888" w:rsidRPr="00025888">
              <w:rPr>
                <w:rStyle w:val="Hyperlink"/>
                <w:rFonts w:ascii="Arial Bold" w:hAnsi="Arial Bold" w:cs="Arial"/>
                <w:b/>
                <w:caps/>
                <w:smallCaps w:val="0"/>
                <w:noProof/>
                <w:color w:val="004672" w:themeColor="accent1" w:themeTint="E6"/>
                <w:sz w:val="21"/>
                <w:lang w:val="en-US"/>
              </w:rPr>
              <w:tab/>
            </w:r>
            <w:r w:rsidR="00025888" w:rsidRPr="00025888">
              <w:rPr>
                <w:rStyle w:val="Hyperlink"/>
                <w:rFonts w:ascii="Arial Bold" w:hAnsi="Arial Bold" w:cs="Arial"/>
                <w:b/>
                <w:caps/>
                <w:smallCaps w:val="0"/>
                <w:noProof/>
                <w:color w:val="004672" w:themeColor="accent1" w:themeTint="E6"/>
                <w:sz w:val="21"/>
                <w:lang w:val="en-US" w:eastAsia="en-AU"/>
              </w:rPr>
              <w:t>Modelling the lifetime fiscal impact of migration</w:t>
            </w:r>
            <w:r w:rsidR="00025888" w:rsidRPr="00025888">
              <w:rPr>
                <w:rStyle w:val="Hyperlink"/>
                <w:rFonts w:ascii="Arial Bold" w:hAnsi="Arial Bold" w:cs="Arial"/>
                <w:b/>
                <w:caps/>
                <w:smallCaps w:val="0"/>
                <w:noProof/>
                <w:webHidden/>
                <w:color w:val="004672" w:themeColor="accent1" w:themeTint="E6"/>
                <w:sz w:val="21"/>
                <w:lang w:val="en-US" w:eastAsia="en-AU"/>
              </w:rPr>
              <w:tab/>
            </w:r>
            <w:r w:rsidR="00025888" w:rsidRPr="00025888">
              <w:rPr>
                <w:rStyle w:val="Hyperlink"/>
                <w:rFonts w:ascii="Arial Bold" w:hAnsi="Arial Bold" w:cs="Arial"/>
                <w:b/>
                <w:caps/>
                <w:smallCaps w:val="0"/>
                <w:noProof/>
                <w:webHidden/>
                <w:color w:val="004672" w:themeColor="accent1" w:themeTint="E6"/>
                <w:sz w:val="21"/>
                <w:lang w:val="en-US" w:eastAsia="en-AU"/>
              </w:rPr>
              <w:fldChar w:fldCharType="begin"/>
            </w:r>
            <w:r w:rsidR="00025888" w:rsidRPr="00025888">
              <w:rPr>
                <w:rStyle w:val="Hyperlink"/>
                <w:rFonts w:ascii="Arial Bold" w:hAnsi="Arial Bold" w:cs="Arial"/>
                <w:b/>
                <w:caps/>
                <w:smallCaps w:val="0"/>
                <w:noProof/>
                <w:webHidden/>
                <w:color w:val="004672" w:themeColor="accent1" w:themeTint="E6"/>
                <w:sz w:val="21"/>
                <w:lang w:val="en-US" w:eastAsia="en-AU"/>
              </w:rPr>
              <w:instrText xml:space="preserve"> PAGEREF _Toc77175214 \h </w:instrText>
            </w:r>
            <w:r w:rsidR="00025888" w:rsidRPr="00025888">
              <w:rPr>
                <w:rStyle w:val="Hyperlink"/>
                <w:rFonts w:ascii="Arial Bold" w:hAnsi="Arial Bold" w:cs="Arial"/>
                <w:b/>
                <w:caps/>
                <w:smallCaps w:val="0"/>
                <w:noProof/>
                <w:webHidden/>
                <w:color w:val="004672" w:themeColor="accent1" w:themeTint="E6"/>
                <w:sz w:val="21"/>
                <w:lang w:val="en-US" w:eastAsia="en-AU"/>
              </w:rPr>
            </w:r>
            <w:r w:rsidR="00025888" w:rsidRPr="00025888">
              <w:rPr>
                <w:rStyle w:val="Hyperlink"/>
                <w:rFonts w:ascii="Arial Bold" w:hAnsi="Arial Bold" w:cs="Arial"/>
                <w:b/>
                <w:caps/>
                <w:smallCaps w:val="0"/>
                <w:noProof/>
                <w:webHidden/>
                <w:color w:val="004672" w:themeColor="accent1" w:themeTint="E6"/>
                <w:sz w:val="21"/>
                <w:lang w:val="en-US" w:eastAsia="en-AU"/>
              </w:rPr>
              <w:fldChar w:fldCharType="separate"/>
            </w:r>
            <w:r w:rsidR="00524834">
              <w:rPr>
                <w:rStyle w:val="Hyperlink"/>
                <w:rFonts w:ascii="Arial Bold" w:hAnsi="Arial Bold" w:cs="Arial"/>
                <w:b/>
                <w:caps/>
                <w:smallCaps w:val="0"/>
                <w:noProof/>
                <w:webHidden/>
                <w:color w:val="004672" w:themeColor="accent1" w:themeTint="E6"/>
                <w:sz w:val="21"/>
                <w:lang w:val="en-US" w:eastAsia="en-AU"/>
              </w:rPr>
              <w:t>5</w:t>
            </w:r>
            <w:r w:rsidR="00025888" w:rsidRPr="00025888">
              <w:rPr>
                <w:rStyle w:val="Hyperlink"/>
                <w:rFonts w:ascii="Arial Bold" w:hAnsi="Arial Bold" w:cs="Arial"/>
                <w:b/>
                <w:caps/>
                <w:smallCaps w:val="0"/>
                <w:noProof/>
                <w:webHidden/>
                <w:color w:val="004672" w:themeColor="accent1" w:themeTint="E6"/>
                <w:sz w:val="21"/>
                <w:lang w:val="en-US" w:eastAsia="en-AU"/>
              </w:rPr>
              <w:fldChar w:fldCharType="end"/>
            </w:r>
          </w:hyperlink>
        </w:p>
        <w:p w14:paraId="5178E8B0" w14:textId="5EBA60FA"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15" w:history="1">
            <w:r w:rsidR="00025888" w:rsidRPr="00025888">
              <w:rPr>
                <w:rStyle w:val="Hyperlink"/>
                <w:rFonts w:ascii="Arial" w:hAnsi="Arial" w:cstheme="minorHAnsi"/>
                <w:noProof/>
                <w:color w:val="004672" w:themeColor="accent1" w:themeTint="E6"/>
                <w:sz w:val="20"/>
                <w:szCs w:val="20"/>
              </w:rPr>
              <w:t>2.1.</w:t>
            </w:r>
            <w:r w:rsidR="00025888" w:rsidRPr="00025888">
              <w:rPr>
                <w:rStyle w:val="Hyperlink"/>
                <w:rFonts w:ascii="Arial" w:hAnsi="Arial" w:cstheme="minorHAnsi"/>
                <w:noProof/>
                <w:color w:val="004672" w:themeColor="accent1" w:themeTint="E6"/>
                <w:sz w:val="20"/>
                <w:szCs w:val="20"/>
              </w:rPr>
              <w:tab/>
              <w:t>Demographic projection</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_Toc77175215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5</w:t>
            </w:r>
            <w:r w:rsidR="00025888" w:rsidRPr="00025888">
              <w:rPr>
                <w:rStyle w:val="Hyperlink"/>
                <w:rFonts w:ascii="Arial" w:hAnsi="Arial" w:cstheme="minorHAnsi"/>
                <w:noProof/>
                <w:webHidden/>
                <w:color w:val="004672" w:themeColor="accent1" w:themeTint="E6"/>
                <w:sz w:val="20"/>
                <w:szCs w:val="20"/>
              </w:rPr>
              <w:fldChar w:fldCharType="end"/>
            </w:r>
          </w:hyperlink>
        </w:p>
        <w:p w14:paraId="26837D49" w14:textId="0F965D25"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16" w:history="1">
            <w:r w:rsidR="00025888" w:rsidRPr="00025888">
              <w:rPr>
                <w:rStyle w:val="Hyperlink"/>
                <w:rFonts w:ascii="Arial" w:hAnsi="Arial" w:cstheme="minorHAnsi"/>
                <w:noProof/>
                <w:color w:val="004672" w:themeColor="accent1" w:themeTint="E6"/>
                <w:sz w:val="20"/>
                <w:szCs w:val="20"/>
              </w:rPr>
              <w:t>2.2.</w:t>
            </w:r>
            <w:r w:rsidR="00025888" w:rsidRPr="00025888">
              <w:rPr>
                <w:rStyle w:val="Hyperlink"/>
                <w:rFonts w:ascii="Arial" w:hAnsi="Arial" w:cstheme="minorHAnsi"/>
                <w:noProof/>
                <w:color w:val="004672" w:themeColor="accent1" w:themeTint="E6"/>
                <w:sz w:val="20"/>
                <w:szCs w:val="20"/>
              </w:rPr>
              <w:tab/>
              <w:t>Estimating revenues and expenses</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_Toc77175216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6</w:t>
            </w:r>
            <w:r w:rsidR="00025888" w:rsidRPr="00025888">
              <w:rPr>
                <w:rStyle w:val="Hyperlink"/>
                <w:rFonts w:ascii="Arial" w:hAnsi="Arial" w:cstheme="minorHAnsi"/>
                <w:noProof/>
                <w:webHidden/>
                <w:color w:val="004672" w:themeColor="accent1" w:themeTint="E6"/>
                <w:sz w:val="20"/>
                <w:szCs w:val="20"/>
              </w:rPr>
              <w:fldChar w:fldCharType="end"/>
            </w:r>
          </w:hyperlink>
        </w:p>
        <w:p w14:paraId="1D6A1431" w14:textId="49662C6A"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Fonts w:eastAsiaTheme="minorEastAsia"/>
              <w:noProof/>
              <w:color w:val="004672" w:themeColor="accent1" w:themeTint="E6"/>
              <w:lang w:eastAsia="en-AU"/>
            </w:rPr>
          </w:pPr>
          <w:hyperlink w:anchor="_Toc77175217" w:history="1">
            <w:r w:rsidR="00025888" w:rsidRPr="00025888">
              <w:rPr>
                <w:rStyle w:val="Hyperlink"/>
                <w:rFonts w:ascii="Arial" w:hAnsi="Arial" w:cstheme="minorHAnsi"/>
                <w:noProof/>
                <w:color w:val="004672" w:themeColor="accent1" w:themeTint="E6"/>
                <w:sz w:val="20"/>
                <w:szCs w:val="20"/>
              </w:rPr>
              <w:t>2.3.</w:t>
            </w:r>
            <w:r w:rsidR="00025888" w:rsidRPr="00025888">
              <w:rPr>
                <w:rStyle w:val="Hyperlink"/>
                <w:rFonts w:ascii="Arial" w:hAnsi="Arial" w:cstheme="minorHAnsi"/>
                <w:noProof/>
                <w:color w:val="004672" w:themeColor="accent1" w:themeTint="E6"/>
                <w:sz w:val="20"/>
                <w:szCs w:val="20"/>
              </w:rPr>
              <w:tab/>
              <w:t>Aggregating FIONA estimates to a net present value</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_Toc77175217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7</w:t>
            </w:r>
            <w:r w:rsidR="00025888" w:rsidRPr="00025888">
              <w:rPr>
                <w:rStyle w:val="Hyperlink"/>
                <w:rFonts w:ascii="Arial" w:hAnsi="Arial" w:cstheme="minorHAnsi"/>
                <w:noProof/>
                <w:webHidden/>
                <w:color w:val="004672" w:themeColor="accent1" w:themeTint="E6"/>
                <w:sz w:val="20"/>
                <w:szCs w:val="20"/>
              </w:rPr>
              <w:fldChar w:fldCharType="end"/>
            </w:r>
          </w:hyperlink>
        </w:p>
        <w:p w14:paraId="099557E6" w14:textId="1A247728" w:rsidR="00025888" w:rsidRPr="00025888" w:rsidRDefault="00EF60FE" w:rsidP="00025888">
          <w:pPr>
            <w:pStyle w:val="TOC1"/>
            <w:tabs>
              <w:tab w:val="clear" w:pos="567"/>
              <w:tab w:val="clear" w:pos="9299"/>
              <w:tab w:val="left" w:pos="340"/>
              <w:tab w:val="right" w:leader="dot" w:pos="8930"/>
            </w:tabs>
            <w:spacing w:before="100" w:after="60"/>
            <w:ind w:left="340" w:hanging="340"/>
            <w:jc w:val="both"/>
            <w:rPr>
              <w:rStyle w:val="Hyperlink"/>
              <w:rFonts w:ascii="Arial Bold" w:hAnsi="Arial Bold" w:cs="Arial"/>
              <w:b/>
              <w:caps/>
              <w:smallCaps w:val="0"/>
              <w:noProof/>
              <w:color w:val="004672" w:themeColor="accent1" w:themeTint="E6"/>
              <w:sz w:val="21"/>
              <w:lang w:val="en-US"/>
            </w:rPr>
          </w:pPr>
          <w:hyperlink w:anchor="_Toc77175218" w:history="1">
            <w:r w:rsidR="00025888" w:rsidRPr="00025888">
              <w:rPr>
                <w:rStyle w:val="Hyperlink"/>
                <w:rFonts w:ascii="Arial Bold" w:hAnsi="Arial Bold" w:cs="Arial"/>
                <w:b/>
                <w:caps/>
                <w:smallCaps w:val="0"/>
                <w:noProof/>
                <w:color w:val="004672" w:themeColor="accent1" w:themeTint="E6"/>
                <w:sz w:val="21"/>
                <w:lang w:val="en-US" w:eastAsia="en-AU"/>
              </w:rPr>
              <w:t>3.</w:t>
            </w:r>
            <w:r w:rsidR="00025888" w:rsidRPr="00025888">
              <w:rPr>
                <w:rStyle w:val="Hyperlink"/>
                <w:rFonts w:ascii="Arial Bold" w:hAnsi="Arial Bold" w:cs="Arial"/>
                <w:b/>
                <w:caps/>
                <w:smallCaps w:val="0"/>
                <w:noProof/>
                <w:color w:val="004672" w:themeColor="accent1" w:themeTint="E6"/>
                <w:sz w:val="21"/>
                <w:lang w:val="en-US"/>
              </w:rPr>
              <w:tab/>
            </w:r>
            <w:r w:rsidR="00025888" w:rsidRPr="00025888">
              <w:rPr>
                <w:rStyle w:val="Hyperlink"/>
                <w:rFonts w:ascii="Arial Bold" w:hAnsi="Arial Bold" w:cs="Arial"/>
                <w:b/>
                <w:caps/>
                <w:smallCaps w:val="0"/>
                <w:noProof/>
                <w:color w:val="004672" w:themeColor="accent1" w:themeTint="E6"/>
                <w:sz w:val="21"/>
                <w:lang w:val="en-US" w:eastAsia="en-AU"/>
              </w:rPr>
              <w:t>Estimates of lifetime fiscal impact</w:t>
            </w:r>
            <w:r w:rsidR="00025888" w:rsidRPr="00025888">
              <w:rPr>
                <w:rStyle w:val="Hyperlink"/>
                <w:rFonts w:ascii="Arial Bold" w:hAnsi="Arial Bold" w:cs="Arial"/>
                <w:b/>
                <w:caps/>
                <w:smallCaps w:val="0"/>
                <w:noProof/>
                <w:webHidden/>
                <w:color w:val="004672" w:themeColor="accent1" w:themeTint="E6"/>
                <w:sz w:val="21"/>
                <w:lang w:val="en-US" w:eastAsia="en-AU"/>
              </w:rPr>
              <w:tab/>
            </w:r>
            <w:r w:rsidR="00025888" w:rsidRPr="00025888">
              <w:rPr>
                <w:rStyle w:val="Hyperlink"/>
                <w:rFonts w:ascii="Arial Bold" w:hAnsi="Arial Bold" w:cs="Arial"/>
                <w:b/>
                <w:caps/>
                <w:smallCaps w:val="0"/>
                <w:noProof/>
                <w:webHidden/>
                <w:color w:val="004672" w:themeColor="accent1" w:themeTint="E6"/>
                <w:sz w:val="21"/>
                <w:lang w:val="en-US" w:eastAsia="en-AU"/>
              </w:rPr>
              <w:fldChar w:fldCharType="begin"/>
            </w:r>
            <w:r w:rsidR="00025888" w:rsidRPr="00025888">
              <w:rPr>
                <w:rStyle w:val="Hyperlink"/>
                <w:rFonts w:ascii="Arial Bold" w:hAnsi="Arial Bold" w:cs="Arial"/>
                <w:b/>
                <w:caps/>
                <w:smallCaps w:val="0"/>
                <w:noProof/>
                <w:webHidden/>
                <w:color w:val="004672" w:themeColor="accent1" w:themeTint="E6"/>
                <w:sz w:val="21"/>
                <w:lang w:val="en-US" w:eastAsia="en-AU"/>
              </w:rPr>
              <w:instrText xml:space="preserve"> PAGEREF _Toc77175218 \h </w:instrText>
            </w:r>
            <w:r w:rsidR="00025888" w:rsidRPr="00025888">
              <w:rPr>
                <w:rStyle w:val="Hyperlink"/>
                <w:rFonts w:ascii="Arial Bold" w:hAnsi="Arial Bold" w:cs="Arial"/>
                <w:b/>
                <w:caps/>
                <w:smallCaps w:val="0"/>
                <w:noProof/>
                <w:webHidden/>
                <w:color w:val="004672" w:themeColor="accent1" w:themeTint="E6"/>
                <w:sz w:val="21"/>
                <w:lang w:val="en-US" w:eastAsia="en-AU"/>
              </w:rPr>
            </w:r>
            <w:r w:rsidR="00025888" w:rsidRPr="00025888">
              <w:rPr>
                <w:rStyle w:val="Hyperlink"/>
                <w:rFonts w:ascii="Arial Bold" w:hAnsi="Arial Bold" w:cs="Arial"/>
                <w:b/>
                <w:caps/>
                <w:smallCaps w:val="0"/>
                <w:noProof/>
                <w:webHidden/>
                <w:color w:val="004672" w:themeColor="accent1" w:themeTint="E6"/>
                <w:sz w:val="21"/>
                <w:lang w:val="en-US" w:eastAsia="en-AU"/>
              </w:rPr>
              <w:fldChar w:fldCharType="separate"/>
            </w:r>
            <w:r w:rsidR="00524834">
              <w:rPr>
                <w:rStyle w:val="Hyperlink"/>
                <w:rFonts w:ascii="Arial Bold" w:hAnsi="Arial Bold" w:cs="Arial"/>
                <w:b/>
                <w:caps/>
                <w:smallCaps w:val="0"/>
                <w:noProof/>
                <w:webHidden/>
                <w:color w:val="004672" w:themeColor="accent1" w:themeTint="E6"/>
                <w:sz w:val="21"/>
                <w:lang w:val="en-US" w:eastAsia="en-AU"/>
              </w:rPr>
              <w:t>7</w:t>
            </w:r>
            <w:r w:rsidR="00025888" w:rsidRPr="00025888">
              <w:rPr>
                <w:rStyle w:val="Hyperlink"/>
                <w:rFonts w:ascii="Arial Bold" w:hAnsi="Arial Bold" w:cs="Arial"/>
                <w:b/>
                <w:caps/>
                <w:smallCaps w:val="0"/>
                <w:noProof/>
                <w:webHidden/>
                <w:color w:val="004672" w:themeColor="accent1" w:themeTint="E6"/>
                <w:sz w:val="21"/>
                <w:lang w:val="en-US" w:eastAsia="en-AU"/>
              </w:rPr>
              <w:fldChar w:fldCharType="end"/>
            </w:r>
          </w:hyperlink>
        </w:p>
        <w:p w14:paraId="4159B998" w14:textId="740228E9"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19" w:history="1">
            <w:r w:rsidR="00025888" w:rsidRPr="00025888">
              <w:rPr>
                <w:rStyle w:val="Hyperlink"/>
                <w:rFonts w:ascii="Arial" w:hAnsi="Arial" w:cstheme="minorHAnsi"/>
                <w:noProof/>
                <w:color w:val="004672" w:themeColor="accent1" w:themeTint="E6"/>
                <w:sz w:val="20"/>
                <w:szCs w:val="20"/>
              </w:rPr>
              <w:t>3.1.</w:t>
            </w:r>
            <w:r w:rsidR="00025888" w:rsidRPr="00025888">
              <w:rPr>
                <w:rStyle w:val="Hyperlink"/>
                <w:rFonts w:ascii="Arial" w:hAnsi="Arial" w:cstheme="minorHAnsi"/>
                <w:noProof/>
                <w:color w:val="004672" w:themeColor="accent1" w:themeTint="E6"/>
                <w:sz w:val="20"/>
                <w:szCs w:val="20"/>
              </w:rPr>
              <w:tab/>
              <w:t>Skill stream results</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_Toc77175219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7</w:t>
            </w:r>
            <w:r w:rsidR="00025888" w:rsidRPr="00025888">
              <w:rPr>
                <w:rStyle w:val="Hyperlink"/>
                <w:rFonts w:ascii="Arial" w:hAnsi="Arial" w:cstheme="minorHAnsi"/>
                <w:noProof/>
                <w:webHidden/>
                <w:color w:val="004672" w:themeColor="accent1" w:themeTint="E6"/>
                <w:sz w:val="20"/>
                <w:szCs w:val="20"/>
              </w:rPr>
              <w:fldChar w:fldCharType="end"/>
            </w:r>
          </w:hyperlink>
        </w:p>
        <w:p w14:paraId="2A31C80C" w14:textId="1D4B836D"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20" w:history="1">
            <w:r w:rsidR="00025888" w:rsidRPr="00025888">
              <w:rPr>
                <w:rStyle w:val="Hyperlink"/>
                <w:rFonts w:ascii="Arial" w:hAnsi="Arial" w:cstheme="minorHAnsi"/>
                <w:noProof/>
                <w:color w:val="004672" w:themeColor="accent1" w:themeTint="E6"/>
                <w:sz w:val="20"/>
                <w:szCs w:val="20"/>
              </w:rPr>
              <w:t>3.2.</w:t>
            </w:r>
            <w:r w:rsidR="00025888" w:rsidRPr="00025888">
              <w:rPr>
                <w:rStyle w:val="Hyperlink"/>
                <w:rFonts w:ascii="Arial" w:hAnsi="Arial" w:cstheme="minorHAnsi"/>
                <w:noProof/>
                <w:color w:val="004672" w:themeColor="accent1" w:themeTint="E6"/>
                <w:sz w:val="20"/>
                <w:szCs w:val="20"/>
              </w:rPr>
              <w:tab/>
              <w:t>Family stream results</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_Toc77175220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8</w:t>
            </w:r>
            <w:r w:rsidR="00025888" w:rsidRPr="00025888">
              <w:rPr>
                <w:rStyle w:val="Hyperlink"/>
                <w:rFonts w:ascii="Arial" w:hAnsi="Arial" w:cstheme="minorHAnsi"/>
                <w:noProof/>
                <w:webHidden/>
                <w:color w:val="004672" w:themeColor="accent1" w:themeTint="E6"/>
                <w:sz w:val="20"/>
                <w:szCs w:val="20"/>
              </w:rPr>
              <w:fldChar w:fldCharType="end"/>
            </w:r>
          </w:hyperlink>
        </w:p>
        <w:p w14:paraId="52D4474E" w14:textId="44038745"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21" w:history="1">
            <w:r w:rsidR="00025888" w:rsidRPr="00025888">
              <w:rPr>
                <w:rStyle w:val="Hyperlink"/>
                <w:rFonts w:ascii="Arial" w:hAnsi="Arial" w:cstheme="minorHAnsi"/>
                <w:noProof/>
                <w:color w:val="004672" w:themeColor="accent1" w:themeTint="E6"/>
                <w:sz w:val="20"/>
                <w:szCs w:val="20"/>
              </w:rPr>
              <w:t>3.3.</w:t>
            </w:r>
            <w:r w:rsidR="00025888" w:rsidRPr="00025888">
              <w:rPr>
                <w:rStyle w:val="Hyperlink"/>
                <w:rFonts w:ascii="Arial" w:hAnsi="Arial" w:cstheme="minorHAnsi"/>
                <w:noProof/>
                <w:color w:val="004672" w:themeColor="accent1" w:themeTint="E6"/>
                <w:sz w:val="20"/>
                <w:szCs w:val="20"/>
              </w:rPr>
              <w:tab/>
              <w:t>Humanitarian program fiscal outcomes</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_Toc77175221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9</w:t>
            </w:r>
            <w:r w:rsidR="00025888" w:rsidRPr="00025888">
              <w:rPr>
                <w:rStyle w:val="Hyperlink"/>
                <w:rFonts w:ascii="Arial" w:hAnsi="Arial" w:cstheme="minorHAnsi"/>
                <w:noProof/>
                <w:webHidden/>
                <w:color w:val="004672" w:themeColor="accent1" w:themeTint="E6"/>
                <w:sz w:val="20"/>
                <w:szCs w:val="20"/>
              </w:rPr>
              <w:fldChar w:fldCharType="end"/>
            </w:r>
          </w:hyperlink>
        </w:p>
        <w:p w14:paraId="34C05819" w14:textId="1C3D9B33"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22" w:history="1">
            <w:r w:rsidR="00025888" w:rsidRPr="00025888">
              <w:rPr>
                <w:rStyle w:val="Hyperlink"/>
                <w:rFonts w:ascii="Arial" w:hAnsi="Arial" w:cstheme="minorHAnsi"/>
                <w:noProof/>
                <w:color w:val="004672" w:themeColor="accent1" w:themeTint="E6"/>
                <w:sz w:val="20"/>
                <w:szCs w:val="20"/>
              </w:rPr>
              <w:t>3.4.</w:t>
            </w:r>
            <w:r w:rsidR="00025888" w:rsidRPr="00025888">
              <w:rPr>
                <w:rStyle w:val="Hyperlink"/>
                <w:rFonts w:ascii="Arial" w:hAnsi="Arial" w:cstheme="minorHAnsi"/>
                <w:noProof/>
                <w:color w:val="004672" w:themeColor="accent1" w:themeTint="E6"/>
                <w:sz w:val="20"/>
                <w:szCs w:val="20"/>
              </w:rPr>
              <w:tab/>
              <w:t>Fiscal impact of the 2018</w:t>
            </w:r>
            <w:r w:rsidR="00F62807">
              <w:rPr>
                <w:rStyle w:val="Hyperlink"/>
                <w:rFonts w:ascii="Arial" w:hAnsi="Arial" w:cstheme="minorHAnsi"/>
                <w:noProof/>
                <w:color w:val="004672" w:themeColor="accent1" w:themeTint="E6"/>
                <w:sz w:val="20"/>
                <w:szCs w:val="20"/>
              </w:rPr>
              <w:t>–</w:t>
            </w:r>
            <w:r w:rsidR="00025888" w:rsidRPr="00025888">
              <w:rPr>
                <w:rStyle w:val="Hyperlink"/>
                <w:rFonts w:ascii="Arial" w:hAnsi="Arial" w:cstheme="minorHAnsi"/>
                <w:noProof/>
                <w:color w:val="004672" w:themeColor="accent1" w:themeTint="E6"/>
                <w:sz w:val="20"/>
                <w:szCs w:val="20"/>
              </w:rPr>
              <w:t>19 permanent migrant cohort overall</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_Toc77175222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9</w:t>
            </w:r>
            <w:r w:rsidR="00025888" w:rsidRPr="00025888">
              <w:rPr>
                <w:rStyle w:val="Hyperlink"/>
                <w:rFonts w:ascii="Arial" w:hAnsi="Arial" w:cstheme="minorHAnsi"/>
                <w:noProof/>
                <w:webHidden/>
                <w:color w:val="004672" w:themeColor="accent1" w:themeTint="E6"/>
                <w:sz w:val="20"/>
                <w:szCs w:val="20"/>
              </w:rPr>
              <w:fldChar w:fldCharType="end"/>
            </w:r>
          </w:hyperlink>
        </w:p>
        <w:p w14:paraId="52008BFA" w14:textId="45FAC441"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Fonts w:eastAsiaTheme="minorEastAsia"/>
              <w:noProof/>
              <w:color w:val="004672" w:themeColor="accent1" w:themeTint="E6"/>
              <w:lang w:eastAsia="en-AU"/>
            </w:rPr>
          </w:pPr>
          <w:hyperlink w:anchor="_Toc77175223" w:history="1">
            <w:r w:rsidR="00025888" w:rsidRPr="00025888">
              <w:rPr>
                <w:rStyle w:val="Hyperlink"/>
                <w:rFonts w:ascii="Arial" w:hAnsi="Arial" w:cstheme="minorHAnsi"/>
                <w:noProof/>
                <w:color w:val="004672" w:themeColor="accent1" w:themeTint="E6"/>
                <w:sz w:val="20"/>
                <w:szCs w:val="20"/>
              </w:rPr>
              <w:t>3.5.</w:t>
            </w:r>
            <w:r w:rsidR="00025888" w:rsidRPr="00025888">
              <w:rPr>
                <w:rStyle w:val="Hyperlink"/>
                <w:rFonts w:ascii="Arial" w:hAnsi="Arial" w:cstheme="minorHAnsi"/>
                <w:noProof/>
                <w:color w:val="004672" w:themeColor="accent1" w:themeTint="E6"/>
                <w:sz w:val="20"/>
                <w:szCs w:val="20"/>
              </w:rPr>
              <w:tab/>
              <w:t>FIONA outcomes by level of government</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_Toc77175223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10</w:t>
            </w:r>
            <w:r w:rsidR="00025888" w:rsidRPr="00025888">
              <w:rPr>
                <w:rStyle w:val="Hyperlink"/>
                <w:rFonts w:ascii="Arial" w:hAnsi="Arial" w:cstheme="minorHAnsi"/>
                <w:noProof/>
                <w:webHidden/>
                <w:color w:val="004672" w:themeColor="accent1" w:themeTint="E6"/>
                <w:sz w:val="20"/>
                <w:szCs w:val="20"/>
              </w:rPr>
              <w:fldChar w:fldCharType="end"/>
            </w:r>
          </w:hyperlink>
        </w:p>
        <w:p w14:paraId="7A06C7F0" w14:textId="1FC1EDE2" w:rsidR="00025888" w:rsidRPr="00025888" w:rsidRDefault="00EF60FE" w:rsidP="00025888">
          <w:pPr>
            <w:pStyle w:val="TOC1"/>
            <w:tabs>
              <w:tab w:val="clear" w:pos="567"/>
              <w:tab w:val="clear" w:pos="9299"/>
              <w:tab w:val="left" w:pos="340"/>
              <w:tab w:val="right" w:leader="dot" w:pos="8930"/>
            </w:tabs>
            <w:spacing w:before="100" w:after="60"/>
            <w:ind w:left="340" w:hanging="340"/>
            <w:jc w:val="both"/>
            <w:rPr>
              <w:rFonts w:asciiTheme="minorHAnsi" w:eastAsiaTheme="minorEastAsia" w:hAnsiTheme="minorHAnsi"/>
              <w:noProof/>
              <w:color w:val="004672" w:themeColor="accent1" w:themeTint="E6"/>
              <w:lang w:eastAsia="en-AU"/>
            </w:rPr>
          </w:pPr>
          <w:hyperlink w:anchor="_Toc77175224" w:history="1">
            <w:r w:rsidR="00025888" w:rsidRPr="00025888">
              <w:rPr>
                <w:rStyle w:val="Hyperlink"/>
                <w:rFonts w:ascii="Arial Bold" w:hAnsi="Arial Bold" w:cs="Arial"/>
                <w:b/>
                <w:caps/>
                <w:smallCaps w:val="0"/>
                <w:noProof/>
                <w:color w:val="004672" w:themeColor="accent1" w:themeTint="E6"/>
                <w:sz w:val="21"/>
                <w:lang w:val="en-US" w:eastAsia="en-AU"/>
              </w:rPr>
              <w:t>4.</w:t>
            </w:r>
            <w:r w:rsidR="00025888" w:rsidRPr="00025888">
              <w:rPr>
                <w:rStyle w:val="Hyperlink"/>
                <w:rFonts w:ascii="Arial Bold" w:hAnsi="Arial Bold" w:cs="Arial"/>
                <w:b/>
                <w:caps/>
                <w:smallCaps w:val="0"/>
                <w:noProof/>
                <w:color w:val="004672" w:themeColor="accent1" w:themeTint="E6"/>
                <w:sz w:val="21"/>
                <w:lang w:val="en-US"/>
              </w:rPr>
              <w:tab/>
            </w:r>
            <w:r w:rsidR="00025888" w:rsidRPr="00025888">
              <w:rPr>
                <w:rStyle w:val="Hyperlink"/>
                <w:rFonts w:ascii="Arial Bold" w:hAnsi="Arial Bold" w:cs="Arial"/>
                <w:b/>
                <w:caps/>
                <w:smallCaps w:val="0"/>
                <w:noProof/>
                <w:color w:val="004672" w:themeColor="accent1" w:themeTint="E6"/>
                <w:sz w:val="21"/>
                <w:lang w:val="en-US" w:eastAsia="en-AU"/>
              </w:rPr>
              <w:t>Major drivers of FIONA results</w:t>
            </w:r>
            <w:r w:rsidR="00025888" w:rsidRPr="00025888">
              <w:rPr>
                <w:rStyle w:val="Hyperlink"/>
                <w:rFonts w:ascii="Arial Bold" w:hAnsi="Arial Bold" w:cs="Arial"/>
                <w:b/>
                <w:caps/>
                <w:smallCaps w:val="0"/>
                <w:noProof/>
                <w:webHidden/>
                <w:color w:val="004672" w:themeColor="accent1" w:themeTint="E6"/>
                <w:sz w:val="21"/>
                <w:lang w:val="en-US" w:eastAsia="en-AU"/>
              </w:rPr>
              <w:tab/>
            </w:r>
            <w:r w:rsidR="00025888" w:rsidRPr="00025888">
              <w:rPr>
                <w:rStyle w:val="Hyperlink"/>
                <w:rFonts w:ascii="Arial Bold" w:hAnsi="Arial Bold" w:cs="Arial"/>
                <w:b/>
                <w:caps/>
                <w:smallCaps w:val="0"/>
                <w:noProof/>
                <w:webHidden/>
                <w:color w:val="004672" w:themeColor="accent1" w:themeTint="E6"/>
                <w:sz w:val="21"/>
                <w:lang w:val="en-US" w:eastAsia="en-AU"/>
              </w:rPr>
              <w:fldChar w:fldCharType="begin"/>
            </w:r>
            <w:r w:rsidR="00025888" w:rsidRPr="00025888">
              <w:rPr>
                <w:rStyle w:val="Hyperlink"/>
                <w:rFonts w:ascii="Arial Bold" w:hAnsi="Arial Bold" w:cs="Arial"/>
                <w:b/>
                <w:caps/>
                <w:smallCaps w:val="0"/>
                <w:noProof/>
                <w:webHidden/>
                <w:color w:val="004672" w:themeColor="accent1" w:themeTint="E6"/>
                <w:sz w:val="21"/>
                <w:lang w:val="en-US" w:eastAsia="en-AU"/>
              </w:rPr>
              <w:instrText xml:space="preserve"> PAGEREF _Toc77175224 \h </w:instrText>
            </w:r>
            <w:r w:rsidR="00025888" w:rsidRPr="00025888">
              <w:rPr>
                <w:rStyle w:val="Hyperlink"/>
                <w:rFonts w:ascii="Arial Bold" w:hAnsi="Arial Bold" w:cs="Arial"/>
                <w:b/>
                <w:caps/>
                <w:smallCaps w:val="0"/>
                <w:noProof/>
                <w:webHidden/>
                <w:color w:val="004672" w:themeColor="accent1" w:themeTint="E6"/>
                <w:sz w:val="21"/>
                <w:lang w:val="en-US" w:eastAsia="en-AU"/>
              </w:rPr>
            </w:r>
            <w:r w:rsidR="00025888" w:rsidRPr="00025888">
              <w:rPr>
                <w:rStyle w:val="Hyperlink"/>
                <w:rFonts w:ascii="Arial Bold" w:hAnsi="Arial Bold" w:cs="Arial"/>
                <w:b/>
                <w:caps/>
                <w:smallCaps w:val="0"/>
                <w:noProof/>
                <w:webHidden/>
                <w:color w:val="004672" w:themeColor="accent1" w:themeTint="E6"/>
                <w:sz w:val="21"/>
                <w:lang w:val="en-US" w:eastAsia="en-AU"/>
              </w:rPr>
              <w:fldChar w:fldCharType="separate"/>
            </w:r>
            <w:r w:rsidR="00524834">
              <w:rPr>
                <w:rStyle w:val="Hyperlink"/>
                <w:rFonts w:ascii="Arial Bold" w:hAnsi="Arial Bold" w:cs="Arial"/>
                <w:b/>
                <w:caps/>
                <w:smallCaps w:val="0"/>
                <w:noProof/>
                <w:webHidden/>
                <w:color w:val="004672" w:themeColor="accent1" w:themeTint="E6"/>
                <w:sz w:val="21"/>
                <w:lang w:val="en-US" w:eastAsia="en-AU"/>
              </w:rPr>
              <w:t>11</w:t>
            </w:r>
            <w:r w:rsidR="00025888" w:rsidRPr="00025888">
              <w:rPr>
                <w:rStyle w:val="Hyperlink"/>
                <w:rFonts w:ascii="Arial Bold" w:hAnsi="Arial Bold" w:cs="Arial"/>
                <w:b/>
                <w:caps/>
                <w:smallCaps w:val="0"/>
                <w:noProof/>
                <w:webHidden/>
                <w:color w:val="004672" w:themeColor="accent1" w:themeTint="E6"/>
                <w:sz w:val="21"/>
                <w:lang w:val="en-US" w:eastAsia="en-AU"/>
              </w:rPr>
              <w:fldChar w:fldCharType="end"/>
            </w:r>
          </w:hyperlink>
        </w:p>
        <w:p w14:paraId="71314562" w14:textId="55F77D19"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25" w:history="1">
            <w:r w:rsidR="00025888" w:rsidRPr="00025888">
              <w:rPr>
                <w:rStyle w:val="Hyperlink"/>
                <w:rFonts w:ascii="Arial" w:hAnsi="Arial" w:cstheme="minorHAnsi"/>
                <w:noProof/>
                <w:color w:val="004672" w:themeColor="accent1" w:themeTint="E6"/>
                <w:sz w:val="20"/>
                <w:szCs w:val="20"/>
              </w:rPr>
              <w:t>4.1.</w:t>
            </w:r>
            <w:r w:rsidR="00025888" w:rsidRPr="00025888">
              <w:rPr>
                <w:rStyle w:val="Hyperlink"/>
                <w:rFonts w:ascii="Arial" w:hAnsi="Arial" w:cstheme="minorHAnsi"/>
                <w:noProof/>
                <w:color w:val="004672" w:themeColor="accent1" w:themeTint="E6"/>
                <w:sz w:val="20"/>
                <w:szCs w:val="20"/>
              </w:rPr>
              <w:tab/>
              <w:t>Migrants are younger on average than the Australian population</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_Toc77175225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11</w:t>
            </w:r>
            <w:r w:rsidR="00025888" w:rsidRPr="00025888">
              <w:rPr>
                <w:rStyle w:val="Hyperlink"/>
                <w:rFonts w:ascii="Arial" w:hAnsi="Arial" w:cstheme="minorHAnsi"/>
                <w:noProof/>
                <w:webHidden/>
                <w:color w:val="004672" w:themeColor="accent1" w:themeTint="E6"/>
                <w:sz w:val="20"/>
                <w:szCs w:val="20"/>
              </w:rPr>
              <w:fldChar w:fldCharType="end"/>
            </w:r>
          </w:hyperlink>
        </w:p>
        <w:p w14:paraId="0A3FC2E8" w14:textId="5F421956"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26" w:history="1">
            <w:r w:rsidR="00025888" w:rsidRPr="00025888">
              <w:rPr>
                <w:rStyle w:val="Hyperlink"/>
                <w:rFonts w:ascii="Arial" w:hAnsi="Arial" w:cstheme="minorHAnsi"/>
                <w:noProof/>
                <w:color w:val="004672" w:themeColor="accent1" w:themeTint="E6"/>
                <w:sz w:val="20"/>
                <w:szCs w:val="20"/>
              </w:rPr>
              <w:t>4.2.</w:t>
            </w:r>
            <w:r w:rsidR="00025888" w:rsidRPr="00025888">
              <w:rPr>
                <w:rStyle w:val="Hyperlink"/>
                <w:rFonts w:ascii="Arial" w:hAnsi="Arial" w:cstheme="minorHAnsi"/>
                <w:noProof/>
                <w:color w:val="004672" w:themeColor="accent1" w:themeTint="E6"/>
                <w:sz w:val="20"/>
                <w:szCs w:val="20"/>
              </w:rPr>
              <w:tab/>
              <w:t>Skilled migrants have strong labour market outcomes</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_Toc77175226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13</w:t>
            </w:r>
            <w:r w:rsidR="00025888" w:rsidRPr="00025888">
              <w:rPr>
                <w:rStyle w:val="Hyperlink"/>
                <w:rFonts w:ascii="Arial" w:hAnsi="Arial" w:cstheme="minorHAnsi"/>
                <w:noProof/>
                <w:webHidden/>
                <w:color w:val="004672" w:themeColor="accent1" w:themeTint="E6"/>
                <w:sz w:val="20"/>
                <w:szCs w:val="20"/>
              </w:rPr>
              <w:fldChar w:fldCharType="end"/>
            </w:r>
          </w:hyperlink>
        </w:p>
        <w:p w14:paraId="4B24ECF6" w14:textId="080550F0"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27" w:history="1">
            <w:r w:rsidR="00025888" w:rsidRPr="00025888">
              <w:rPr>
                <w:rStyle w:val="Hyperlink"/>
                <w:rFonts w:ascii="Arial" w:hAnsi="Arial" w:cstheme="minorHAnsi"/>
                <w:noProof/>
                <w:color w:val="004672" w:themeColor="accent1" w:themeTint="E6"/>
                <w:sz w:val="20"/>
                <w:szCs w:val="20"/>
              </w:rPr>
              <w:t>4.3.</w:t>
            </w:r>
            <w:r w:rsidR="00025888" w:rsidRPr="00025888">
              <w:rPr>
                <w:rStyle w:val="Hyperlink"/>
                <w:rFonts w:ascii="Arial" w:hAnsi="Arial" w:cstheme="minorHAnsi"/>
                <w:noProof/>
                <w:color w:val="004672" w:themeColor="accent1" w:themeTint="E6"/>
                <w:sz w:val="20"/>
                <w:szCs w:val="20"/>
              </w:rPr>
              <w:tab/>
              <w:t>The interaction between age and income in FIONA</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_Toc77175227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14</w:t>
            </w:r>
            <w:r w:rsidR="00025888" w:rsidRPr="00025888">
              <w:rPr>
                <w:rStyle w:val="Hyperlink"/>
                <w:rFonts w:ascii="Arial" w:hAnsi="Arial" w:cstheme="minorHAnsi"/>
                <w:noProof/>
                <w:webHidden/>
                <w:color w:val="004672" w:themeColor="accent1" w:themeTint="E6"/>
                <w:sz w:val="20"/>
                <w:szCs w:val="20"/>
              </w:rPr>
              <w:fldChar w:fldCharType="end"/>
            </w:r>
          </w:hyperlink>
        </w:p>
        <w:p w14:paraId="62A3796C" w14:textId="1C37E9D9"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28" w:history="1">
            <w:r w:rsidR="00025888" w:rsidRPr="00025888">
              <w:rPr>
                <w:rStyle w:val="Hyperlink"/>
                <w:rFonts w:ascii="Arial" w:hAnsi="Arial" w:cstheme="minorHAnsi"/>
                <w:noProof/>
                <w:color w:val="004672" w:themeColor="accent1" w:themeTint="E6"/>
                <w:sz w:val="20"/>
                <w:szCs w:val="20"/>
              </w:rPr>
              <w:t>4.4.</w:t>
            </w:r>
            <w:r w:rsidR="00025888" w:rsidRPr="00025888">
              <w:rPr>
                <w:rStyle w:val="Hyperlink"/>
                <w:rFonts w:ascii="Arial" w:hAnsi="Arial" w:cstheme="minorHAnsi"/>
                <w:noProof/>
                <w:color w:val="004672" w:themeColor="accent1" w:themeTint="E6"/>
                <w:sz w:val="20"/>
                <w:szCs w:val="20"/>
              </w:rPr>
              <w:tab/>
              <w:t>Quantifying the major drivers of FIONA results</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_Toc77175228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15</w:t>
            </w:r>
            <w:r w:rsidR="00025888" w:rsidRPr="00025888">
              <w:rPr>
                <w:rStyle w:val="Hyperlink"/>
                <w:rFonts w:ascii="Arial" w:hAnsi="Arial" w:cstheme="minorHAnsi"/>
                <w:noProof/>
                <w:webHidden/>
                <w:color w:val="004672" w:themeColor="accent1" w:themeTint="E6"/>
                <w:sz w:val="20"/>
                <w:szCs w:val="20"/>
              </w:rPr>
              <w:fldChar w:fldCharType="end"/>
            </w:r>
          </w:hyperlink>
        </w:p>
        <w:p w14:paraId="34761F31" w14:textId="787B9D74"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Fonts w:eastAsiaTheme="minorEastAsia"/>
              <w:noProof/>
              <w:color w:val="004672" w:themeColor="accent1" w:themeTint="E6"/>
              <w:lang w:eastAsia="en-AU"/>
            </w:rPr>
          </w:pPr>
          <w:hyperlink w:anchor="_Toc77175229" w:history="1">
            <w:r w:rsidR="00025888" w:rsidRPr="00025888">
              <w:rPr>
                <w:rStyle w:val="Hyperlink"/>
                <w:rFonts w:ascii="Arial" w:hAnsi="Arial" w:cstheme="minorHAnsi"/>
                <w:noProof/>
                <w:color w:val="004672" w:themeColor="accent1" w:themeTint="E6"/>
                <w:sz w:val="20"/>
                <w:szCs w:val="20"/>
              </w:rPr>
              <w:t>4.5.</w:t>
            </w:r>
            <w:r w:rsidR="00025888" w:rsidRPr="00025888">
              <w:rPr>
                <w:rStyle w:val="Hyperlink"/>
                <w:rFonts w:ascii="Arial" w:hAnsi="Arial" w:cstheme="minorHAnsi"/>
                <w:noProof/>
                <w:color w:val="004672" w:themeColor="accent1" w:themeTint="E6"/>
                <w:sz w:val="20"/>
                <w:szCs w:val="20"/>
              </w:rPr>
              <w:tab/>
              <w:t>Comparing Commonwealth and State level results</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_Toc77175229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16</w:t>
            </w:r>
            <w:r w:rsidR="00025888" w:rsidRPr="00025888">
              <w:rPr>
                <w:rStyle w:val="Hyperlink"/>
                <w:rFonts w:ascii="Arial" w:hAnsi="Arial" w:cstheme="minorHAnsi"/>
                <w:noProof/>
                <w:webHidden/>
                <w:color w:val="004672" w:themeColor="accent1" w:themeTint="E6"/>
                <w:sz w:val="20"/>
                <w:szCs w:val="20"/>
              </w:rPr>
              <w:fldChar w:fldCharType="end"/>
            </w:r>
          </w:hyperlink>
        </w:p>
        <w:p w14:paraId="3297776A" w14:textId="73768571" w:rsidR="00025888" w:rsidRPr="00025888" w:rsidRDefault="00EF60FE" w:rsidP="00025888">
          <w:pPr>
            <w:pStyle w:val="TOC1"/>
            <w:tabs>
              <w:tab w:val="clear" w:pos="567"/>
              <w:tab w:val="clear" w:pos="9299"/>
              <w:tab w:val="left" w:pos="340"/>
              <w:tab w:val="right" w:leader="dot" w:pos="8930"/>
            </w:tabs>
            <w:spacing w:before="100" w:after="60"/>
            <w:ind w:left="340" w:hanging="340"/>
            <w:jc w:val="both"/>
            <w:rPr>
              <w:rStyle w:val="Hyperlink"/>
              <w:rFonts w:ascii="Arial Bold" w:hAnsi="Arial Bold" w:cs="Arial"/>
              <w:b/>
              <w:caps/>
              <w:smallCaps w:val="0"/>
              <w:noProof/>
              <w:color w:val="004672" w:themeColor="accent1" w:themeTint="E6"/>
              <w:sz w:val="21"/>
              <w:lang w:val="en-US"/>
            </w:rPr>
          </w:pPr>
          <w:hyperlink w:anchor="_Toc77175230" w:history="1">
            <w:r w:rsidR="00025888" w:rsidRPr="00025888">
              <w:rPr>
                <w:rStyle w:val="Hyperlink"/>
                <w:rFonts w:ascii="Arial Bold" w:hAnsi="Arial Bold" w:cs="Arial"/>
                <w:b/>
                <w:caps/>
                <w:smallCaps w:val="0"/>
                <w:noProof/>
                <w:color w:val="004672" w:themeColor="accent1" w:themeTint="E6"/>
                <w:sz w:val="21"/>
                <w:lang w:val="en-US" w:eastAsia="en-AU"/>
              </w:rPr>
              <w:t>5.</w:t>
            </w:r>
            <w:r w:rsidR="00025888" w:rsidRPr="00025888">
              <w:rPr>
                <w:rStyle w:val="Hyperlink"/>
                <w:rFonts w:ascii="Arial Bold" w:hAnsi="Arial Bold" w:cs="Arial"/>
                <w:b/>
                <w:caps/>
                <w:smallCaps w:val="0"/>
                <w:noProof/>
                <w:color w:val="004672" w:themeColor="accent1" w:themeTint="E6"/>
                <w:sz w:val="21"/>
                <w:lang w:val="en-US"/>
              </w:rPr>
              <w:tab/>
            </w:r>
            <w:r w:rsidR="00025888" w:rsidRPr="00025888">
              <w:rPr>
                <w:rStyle w:val="Hyperlink"/>
                <w:rFonts w:ascii="Arial Bold" w:hAnsi="Arial Bold" w:cs="Arial"/>
                <w:b/>
                <w:caps/>
                <w:smallCaps w:val="0"/>
                <w:noProof/>
                <w:color w:val="004672" w:themeColor="accent1" w:themeTint="E6"/>
                <w:sz w:val="21"/>
                <w:lang w:val="en-US" w:eastAsia="en-AU"/>
              </w:rPr>
              <w:t>Robustness of key results to modelling assumptions</w:t>
            </w:r>
            <w:r w:rsidR="00025888" w:rsidRPr="00025888">
              <w:rPr>
                <w:rStyle w:val="Hyperlink"/>
                <w:rFonts w:ascii="Arial Bold" w:hAnsi="Arial Bold" w:cs="Arial"/>
                <w:b/>
                <w:caps/>
                <w:smallCaps w:val="0"/>
                <w:noProof/>
                <w:webHidden/>
                <w:color w:val="004672" w:themeColor="accent1" w:themeTint="E6"/>
                <w:sz w:val="21"/>
                <w:lang w:val="en-US" w:eastAsia="en-AU"/>
              </w:rPr>
              <w:tab/>
            </w:r>
            <w:r w:rsidR="00025888" w:rsidRPr="00025888">
              <w:rPr>
                <w:rStyle w:val="Hyperlink"/>
                <w:rFonts w:ascii="Arial Bold" w:hAnsi="Arial Bold" w:cs="Arial"/>
                <w:b/>
                <w:caps/>
                <w:smallCaps w:val="0"/>
                <w:noProof/>
                <w:webHidden/>
                <w:color w:val="004672" w:themeColor="accent1" w:themeTint="E6"/>
                <w:sz w:val="21"/>
                <w:lang w:val="en-US" w:eastAsia="en-AU"/>
              </w:rPr>
              <w:fldChar w:fldCharType="begin"/>
            </w:r>
            <w:r w:rsidR="00025888" w:rsidRPr="00025888">
              <w:rPr>
                <w:rStyle w:val="Hyperlink"/>
                <w:rFonts w:ascii="Arial Bold" w:hAnsi="Arial Bold" w:cs="Arial"/>
                <w:b/>
                <w:caps/>
                <w:smallCaps w:val="0"/>
                <w:noProof/>
                <w:webHidden/>
                <w:color w:val="004672" w:themeColor="accent1" w:themeTint="E6"/>
                <w:sz w:val="21"/>
                <w:lang w:val="en-US" w:eastAsia="en-AU"/>
              </w:rPr>
              <w:instrText xml:space="preserve"> PAGEREF _Toc77175230 \h </w:instrText>
            </w:r>
            <w:r w:rsidR="00025888" w:rsidRPr="00025888">
              <w:rPr>
                <w:rStyle w:val="Hyperlink"/>
                <w:rFonts w:ascii="Arial Bold" w:hAnsi="Arial Bold" w:cs="Arial"/>
                <w:b/>
                <w:caps/>
                <w:smallCaps w:val="0"/>
                <w:noProof/>
                <w:webHidden/>
                <w:color w:val="004672" w:themeColor="accent1" w:themeTint="E6"/>
                <w:sz w:val="21"/>
                <w:lang w:val="en-US" w:eastAsia="en-AU"/>
              </w:rPr>
            </w:r>
            <w:r w:rsidR="00025888" w:rsidRPr="00025888">
              <w:rPr>
                <w:rStyle w:val="Hyperlink"/>
                <w:rFonts w:ascii="Arial Bold" w:hAnsi="Arial Bold" w:cs="Arial"/>
                <w:b/>
                <w:caps/>
                <w:smallCaps w:val="0"/>
                <w:noProof/>
                <w:webHidden/>
                <w:color w:val="004672" w:themeColor="accent1" w:themeTint="E6"/>
                <w:sz w:val="21"/>
                <w:lang w:val="en-US" w:eastAsia="en-AU"/>
              </w:rPr>
              <w:fldChar w:fldCharType="separate"/>
            </w:r>
            <w:r w:rsidR="00524834">
              <w:rPr>
                <w:rStyle w:val="Hyperlink"/>
                <w:rFonts w:ascii="Arial Bold" w:hAnsi="Arial Bold" w:cs="Arial"/>
                <w:b/>
                <w:caps/>
                <w:smallCaps w:val="0"/>
                <w:noProof/>
                <w:webHidden/>
                <w:color w:val="004672" w:themeColor="accent1" w:themeTint="E6"/>
                <w:sz w:val="21"/>
                <w:lang w:val="en-US" w:eastAsia="en-AU"/>
              </w:rPr>
              <w:t>17</w:t>
            </w:r>
            <w:r w:rsidR="00025888" w:rsidRPr="00025888">
              <w:rPr>
                <w:rStyle w:val="Hyperlink"/>
                <w:rFonts w:ascii="Arial Bold" w:hAnsi="Arial Bold" w:cs="Arial"/>
                <w:b/>
                <w:caps/>
                <w:smallCaps w:val="0"/>
                <w:noProof/>
                <w:webHidden/>
                <w:color w:val="004672" w:themeColor="accent1" w:themeTint="E6"/>
                <w:sz w:val="21"/>
                <w:lang w:val="en-US" w:eastAsia="en-AU"/>
              </w:rPr>
              <w:fldChar w:fldCharType="end"/>
            </w:r>
          </w:hyperlink>
        </w:p>
        <w:p w14:paraId="77CCE476" w14:textId="47D584C6"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31" w:history="1">
            <w:r w:rsidR="00025888" w:rsidRPr="00025888">
              <w:rPr>
                <w:rStyle w:val="Hyperlink"/>
                <w:rFonts w:ascii="Arial" w:hAnsi="Arial" w:cstheme="minorHAnsi"/>
                <w:noProof/>
                <w:color w:val="004672" w:themeColor="accent1" w:themeTint="E6"/>
                <w:sz w:val="20"/>
                <w:szCs w:val="20"/>
              </w:rPr>
              <w:t>5.1.</w:t>
            </w:r>
            <w:r w:rsidR="00025888" w:rsidRPr="00025888">
              <w:rPr>
                <w:rStyle w:val="Hyperlink"/>
                <w:rFonts w:ascii="Arial" w:hAnsi="Arial" w:cstheme="minorHAnsi"/>
                <w:noProof/>
                <w:color w:val="004672" w:themeColor="accent1" w:themeTint="E6"/>
                <w:sz w:val="20"/>
                <w:szCs w:val="20"/>
              </w:rPr>
              <w:tab/>
              <w:t>Impact of changing the discount rate</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_Toc77175231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18</w:t>
            </w:r>
            <w:r w:rsidR="00025888" w:rsidRPr="00025888">
              <w:rPr>
                <w:rStyle w:val="Hyperlink"/>
                <w:rFonts w:ascii="Arial" w:hAnsi="Arial" w:cstheme="minorHAnsi"/>
                <w:noProof/>
                <w:webHidden/>
                <w:color w:val="004672" w:themeColor="accent1" w:themeTint="E6"/>
                <w:sz w:val="20"/>
                <w:szCs w:val="20"/>
              </w:rPr>
              <w:fldChar w:fldCharType="end"/>
            </w:r>
          </w:hyperlink>
        </w:p>
        <w:p w14:paraId="0A658399" w14:textId="4EE36732"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32" w:history="1">
            <w:r w:rsidR="00025888" w:rsidRPr="00025888">
              <w:rPr>
                <w:rStyle w:val="Hyperlink"/>
                <w:rFonts w:ascii="Arial" w:hAnsi="Arial" w:cstheme="minorHAnsi"/>
                <w:noProof/>
                <w:color w:val="004672" w:themeColor="accent1" w:themeTint="E6"/>
                <w:sz w:val="20"/>
                <w:szCs w:val="20"/>
              </w:rPr>
              <w:t>5.2.</w:t>
            </w:r>
            <w:r w:rsidR="00025888" w:rsidRPr="00025888">
              <w:rPr>
                <w:rStyle w:val="Hyperlink"/>
                <w:rFonts w:ascii="Arial" w:hAnsi="Arial" w:cstheme="minorHAnsi"/>
                <w:noProof/>
                <w:color w:val="004672" w:themeColor="accent1" w:themeTint="E6"/>
                <w:sz w:val="20"/>
                <w:szCs w:val="20"/>
              </w:rPr>
              <w:tab/>
              <w:t>Including all Commonwealth and State revenue and expenses</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_Toc77175232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18</w:t>
            </w:r>
            <w:r w:rsidR="00025888" w:rsidRPr="00025888">
              <w:rPr>
                <w:rStyle w:val="Hyperlink"/>
                <w:rFonts w:ascii="Arial" w:hAnsi="Arial" w:cstheme="minorHAnsi"/>
                <w:noProof/>
                <w:webHidden/>
                <w:color w:val="004672" w:themeColor="accent1" w:themeTint="E6"/>
                <w:sz w:val="20"/>
                <w:szCs w:val="20"/>
              </w:rPr>
              <w:fldChar w:fldCharType="end"/>
            </w:r>
          </w:hyperlink>
        </w:p>
        <w:p w14:paraId="73763A74" w14:textId="21EFBC5C"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33" w:history="1">
            <w:r w:rsidR="00025888" w:rsidRPr="00025888">
              <w:rPr>
                <w:rStyle w:val="Hyperlink"/>
                <w:rFonts w:ascii="Arial" w:hAnsi="Arial" w:cstheme="minorHAnsi"/>
                <w:noProof/>
                <w:color w:val="004672" w:themeColor="accent1" w:themeTint="E6"/>
                <w:sz w:val="20"/>
                <w:szCs w:val="20"/>
              </w:rPr>
              <w:t>5.3.</w:t>
            </w:r>
            <w:r w:rsidR="00025888" w:rsidRPr="00025888">
              <w:rPr>
                <w:rStyle w:val="Hyperlink"/>
                <w:rFonts w:ascii="Arial" w:hAnsi="Arial" w:cstheme="minorHAnsi"/>
                <w:noProof/>
                <w:color w:val="004672" w:themeColor="accent1" w:themeTint="E6"/>
                <w:sz w:val="20"/>
                <w:szCs w:val="20"/>
              </w:rPr>
              <w:tab/>
              <w:t>Higher Health and Aged Care costs in the very long</w:t>
            </w:r>
            <w:r w:rsidR="00F62807">
              <w:rPr>
                <w:rStyle w:val="Hyperlink"/>
                <w:rFonts w:ascii="Arial" w:hAnsi="Arial" w:cstheme="minorHAnsi"/>
                <w:noProof/>
                <w:color w:val="004672" w:themeColor="accent1" w:themeTint="E6"/>
                <w:sz w:val="20"/>
                <w:szCs w:val="20"/>
              </w:rPr>
              <w:t>–</w:t>
            </w:r>
            <w:r w:rsidR="00025888" w:rsidRPr="00025888">
              <w:rPr>
                <w:rStyle w:val="Hyperlink"/>
                <w:rFonts w:ascii="Arial" w:hAnsi="Arial" w:cstheme="minorHAnsi"/>
                <w:noProof/>
                <w:color w:val="004672" w:themeColor="accent1" w:themeTint="E6"/>
                <w:sz w:val="20"/>
                <w:szCs w:val="20"/>
              </w:rPr>
              <w:t>run</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_Toc77175233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20</w:t>
            </w:r>
            <w:r w:rsidR="00025888" w:rsidRPr="00025888">
              <w:rPr>
                <w:rStyle w:val="Hyperlink"/>
                <w:rFonts w:ascii="Arial" w:hAnsi="Arial" w:cstheme="minorHAnsi"/>
                <w:noProof/>
                <w:webHidden/>
                <w:color w:val="004672" w:themeColor="accent1" w:themeTint="E6"/>
                <w:sz w:val="20"/>
                <w:szCs w:val="20"/>
              </w:rPr>
              <w:fldChar w:fldCharType="end"/>
            </w:r>
          </w:hyperlink>
        </w:p>
        <w:p w14:paraId="19AD64FC" w14:textId="498A8DBC"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Fonts w:eastAsiaTheme="minorEastAsia"/>
              <w:noProof/>
              <w:color w:val="004672" w:themeColor="accent1" w:themeTint="E6"/>
              <w:lang w:eastAsia="en-AU"/>
            </w:rPr>
          </w:pPr>
          <w:hyperlink w:anchor="_Toc77175234" w:history="1">
            <w:r w:rsidR="00025888" w:rsidRPr="00025888">
              <w:rPr>
                <w:rStyle w:val="Hyperlink"/>
                <w:rFonts w:ascii="Arial" w:hAnsi="Arial" w:cstheme="minorHAnsi"/>
                <w:noProof/>
                <w:color w:val="004672" w:themeColor="accent1" w:themeTint="E6"/>
                <w:sz w:val="20"/>
                <w:szCs w:val="20"/>
              </w:rPr>
              <w:t>5.4.</w:t>
            </w:r>
            <w:r w:rsidR="00025888" w:rsidRPr="00025888">
              <w:rPr>
                <w:rStyle w:val="Hyperlink"/>
                <w:rFonts w:ascii="Arial" w:hAnsi="Arial" w:cstheme="minorHAnsi"/>
                <w:noProof/>
                <w:color w:val="004672" w:themeColor="accent1" w:themeTint="E6"/>
                <w:sz w:val="20"/>
                <w:szCs w:val="20"/>
              </w:rPr>
              <w:tab/>
              <w:t>Effects of COVID</w:t>
            </w:r>
            <w:r w:rsidR="00F62807">
              <w:rPr>
                <w:rStyle w:val="Hyperlink"/>
                <w:rFonts w:ascii="Arial" w:hAnsi="Arial" w:cstheme="minorHAnsi"/>
                <w:noProof/>
                <w:color w:val="004672" w:themeColor="accent1" w:themeTint="E6"/>
                <w:sz w:val="20"/>
                <w:szCs w:val="20"/>
              </w:rPr>
              <w:t>–</w:t>
            </w:r>
            <w:r w:rsidR="00025888" w:rsidRPr="00025888">
              <w:rPr>
                <w:rStyle w:val="Hyperlink"/>
                <w:rFonts w:ascii="Arial" w:hAnsi="Arial" w:cstheme="minorHAnsi"/>
                <w:noProof/>
                <w:color w:val="004672" w:themeColor="accent1" w:themeTint="E6"/>
                <w:sz w:val="20"/>
                <w:szCs w:val="20"/>
              </w:rPr>
              <w:t>19</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_Toc77175234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20</w:t>
            </w:r>
            <w:r w:rsidR="00025888" w:rsidRPr="00025888">
              <w:rPr>
                <w:rStyle w:val="Hyperlink"/>
                <w:rFonts w:ascii="Arial" w:hAnsi="Arial" w:cstheme="minorHAnsi"/>
                <w:noProof/>
                <w:webHidden/>
                <w:color w:val="004672" w:themeColor="accent1" w:themeTint="E6"/>
                <w:sz w:val="20"/>
                <w:szCs w:val="20"/>
              </w:rPr>
              <w:fldChar w:fldCharType="end"/>
            </w:r>
          </w:hyperlink>
        </w:p>
        <w:p w14:paraId="2C07E04E" w14:textId="4B404D91" w:rsidR="00025888" w:rsidRPr="00025888" w:rsidRDefault="00EF60FE" w:rsidP="00025888">
          <w:pPr>
            <w:pStyle w:val="TOC1"/>
            <w:tabs>
              <w:tab w:val="clear" w:pos="567"/>
              <w:tab w:val="clear" w:pos="9299"/>
              <w:tab w:val="left" w:pos="340"/>
              <w:tab w:val="right" w:leader="dot" w:pos="8930"/>
            </w:tabs>
            <w:spacing w:before="100" w:after="60"/>
            <w:ind w:left="340" w:hanging="340"/>
            <w:jc w:val="both"/>
            <w:rPr>
              <w:rFonts w:asciiTheme="minorHAnsi" w:eastAsiaTheme="minorEastAsia" w:hAnsiTheme="minorHAnsi"/>
              <w:noProof/>
              <w:color w:val="004672" w:themeColor="accent1" w:themeTint="E6"/>
              <w:lang w:eastAsia="en-AU"/>
            </w:rPr>
          </w:pPr>
          <w:hyperlink w:anchor="_Toc77175235" w:history="1">
            <w:r w:rsidR="00025888" w:rsidRPr="00025888">
              <w:rPr>
                <w:rStyle w:val="Hyperlink"/>
                <w:rFonts w:ascii="Arial Bold" w:hAnsi="Arial Bold" w:cs="Arial"/>
                <w:b/>
                <w:caps/>
                <w:smallCaps w:val="0"/>
                <w:noProof/>
                <w:color w:val="004672" w:themeColor="accent1" w:themeTint="E6"/>
                <w:sz w:val="21"/>
                <w:lang w:val="en-US" w:eastAsia="en-AU"/>
              </w:rPr>
              <w:t>6.</w:t>
            </w:r>
            <w:r w:rsidR="00025888" w:rsidRPr="00025888">
              <w:rPr>
                <w:rStyle w:val="Hyperlink"/>
                <w:rFonts w:ascii="Arial Bold" w:hAnsi="Arial Bold" w:cs="Arial"/>
                <w:b/>
                <w:caps/>
                <w:smallCaps w:val="0"/>
                <w:noProof/>
                <w:color w:val="004672" w:themeColor="accent1" w:themeTint="E6"/>
                <w:sz w:val="21"/>
                <w:lang w:val="en-US"/>
              </w:rPr>
              <w:tab/>
            </w:r>
            <w:r w:rsidR="00025888" w:rsidRPr="00025888">
              <w:rPr>
                <w:rStyle w:val="Hyperlink"/>
                <w:rFonts w:ascii="Arial Bold" w:hAnsi="Arial Bold" w:cs="Arial"/>
                <w:b/>
                <w:caps/>
                <w:smallCaps w:val="0"/>
                <w:noProof/>
                <w:color w:val="004672" w:themeColor="accent1" w:themeTint="E6"/>
                <w:sz w:val="21"/>
                <w:lang w:val="en-US" w:eastAsia="en-AU"/>
              </w:rPr>
              <w:t>Future directions</w:t>
            </w:r>
            <w:r w:rsidR="00025888" w:rsidRPr="00025888">
              <w:rPr>
                <w:rStyle w:val="Hyperlink"/>
                <w:rFonts w:ascii="Arial Bold" w:hAnsi="Arial Bold" w:cs="Arial"/>
                <w:b/>
                <w:caps/>
                <w:smallCaps w:val="0"/>
                <w:noProof/>
                <w:webHidden/>
                <w:color w:val="004672" w:themeColor="accent1" w:themeTint="E6"/>
                <w:sz w:val="21"/>
                <w:lang w:val="en-US" w:eastAsia="en-AU"/>
              </w:rPr>
              <w:tab/>
            </w:r>
            <w:r w:rsidR="00025888" w:rsidRPr="00025888">
              <w:rPr>
                <w:rStyle w:val="Hyperlink"/>
                <w:rFonts w:ascii="Arial Bold" w:hAnsi="Arial Bold" w:cs="Arial"/>
                <w:b/>
                <w:caps/>
                <w:smallCaps w:val="0"/>
                <w:noProof/>
                <w:webHidden/>
                <w:color w:val="004672" w:themeColor="accent1" w:themeTint="E6"/>
                <w:sz w:val="21"/>
                <w:lang w:val="en-US" w:eastAsia="en-AU"/>
              </w:rPr>
              <w:fldChar w:fldCharType="begin"/>
            </w:r>
            <w:r w:rsidR="00025888" w:rsidRPr="00025888">
              <w:rPr>
                <w:rStyle w:val="Hyperlink"/>
                <w:rFonts w:ascii="Arial Bold" w:hAnsi="Arial Bold" w:cs="Arial"/>
                <w:b/>
                <w:caps/>
                <w:smallCaps w:val="0"/>
                <w:noProof/>
                <w:webHidden/>
                <w:color w:val="004672" w:themeColor="accent1" w:themeTint="E6"/>
                <w:sz w:val="21"/>
                <w:lang w:val="en-US" w:eastAsia="en-AU"/>
              </w:rPr>
              <w:instrText xml:space="preserve"> PAGEREF _Toc77175235 \h </w:instrText>
            </w:r>
            <w:r w:rsidR="00025888" w:rsidRPr="00025888">
              <w:rPr>
                <w:rStyle w:val="Hyperlink"/>
                <w:rFonts w:ascii="Arial Bold" w:hAnsi="Arial Bold" w:cs="Arial"/>
                <w:b/>
                <w:caps/>
                <w:smallCaps w:val="0"/>
                <w:noProof/>
                <w:webHidden/>
                <w:color w:val="004672" w:themeColor="accent1" w:themeTint="E6"/>
                <w:sz w:val="21"/>
                <w:lang w:val="en-US" w:eastAsia="en-AU"/>
              </w:rPr>
            </w:r>
            <w:r w:rsidR="00025888" w:rsidRPr="00025888">
              <w:rPr>
                <w:rStyle w:val="Hyperlink"/>
                <w:rFonts w:ascii="Arial Bold" w:hAnsi="Arial Bold" w:cs="Arial"/>
                <w:b/>
                <w:caps/>
                <w:smallCaps w:val="0"/>
                <w:noProof/>
                <w:webHidden/>
                <w:color w:val="004672" w:themeColor="accent1" w:themeTint="E6"/>
                <w:sz w:val="21"/>
                <w:lang w:val="en-US" w:eastAsia="en-AU"/>
              </w:rPr>
              <w:fldChar w:fldCharType="separate"/>
            </w:r>
            <w:r w:rsidR="00524834">
              <w:rPr>
                <w:rStyle w:val="Hyperlink"/>
                <w:rFonts w:ascii="Arial Bold" w:hAnsi="Arial Bold" w:cs="Arial"/>
                <w:b/>
                <w:caps/>
                <w:smallCaps w:val="0"/>
                <w:noProof/>
                <w:webHidden/>
                <w:color w:val="004672" w:themeColor="accent1" w:themeTint="E6"/>
                <w:sz w:val="21"/>
                <w:lang w:val="en-US" w:eastAsia="en-AU"/>
              </w:rPr>
              <w:t>21</w:t>
            </w:r>
            <w:r w:rsidR="00025888" w:rsidRPr="00025888">
              <w:rPr>
                <w:rStyle w:val="Hyperlink"/>
                <w:rFonts w:ascii="Arial Bold" w:hAnsi="Arial Bold" w:cs="Arial"/>
                <w:b/>
                <w:caps/>
                <w:smallCaps w:val="0"/>
                <w:noProof/>
                <w:webHidden/>
                <w:color w:val="004672" w:themeColor="accent1" w:themeTint="E6"/>
                <w:sz w:val="21"/>
                <w:lang w:val="en-US" w:eastAsia="en-AU"/>
              </w:rPr>
              <w:fldChar w:fldCharType="end"/>
            </w:r>
          </w:hyperlink>
        </w:p>
        <w:p w14:paraId="4534D21F" w14:textId="1AE0E869" w:rsidR="00025888" w:rsidRPr="00025888" w:rsidRDefault="00EF60FE" w:rsidP="00025888">
          <w:pPr>
            <w:pStyle w:val="TOC1"/>
            <w:tabs>
              <w:tab w:val="clear" w:pos="567"/>
              <w:tab w:val="clear" w:pos="9299"/>
              <w:tab w:val="left" w:pos="340"/>
              <w:tab w:val="right" w:leader="dot" w:pos="8930"/>
            </w:tabs>
            <w:spacing w:before="100" w:after="60"/>
            <w:ind w:left="340" w:hanging="340"/>
            <w:jc w:val="both"/>
            <w:rPr>
              <w:rStyle w:val="Hyperlink"/>
              <w:rFonts w:ascii="Arial Bold" w:hAnsi="Arial Bold" w:cs="Arial"/>
              <w:b/>
              <w:caps/>
              <w:smallCaps w:val="0"/>
              <w:noProof/>
              <w:color w:val="004672" w:themeColor="accent1" w:themeTint="E6"/>
              <w:sz w:val="21"/>
              <w:lang w:val="en-US"/>
            </w:rPr>
          </w:pPr>
          <w:hyperlink w:anchor="_Toc77175236" w:history="1">
            <w:r w:rsidR="00025888" w:rsidRPr="00025888">
              <w:rPr>
                <w:rStyle w:val="Hyperlink"/>
                <w:rFonts w:ascii="Arial Bold" w:hAnsi="Arial Bold" w:cs="Arial"/>
                <w:b/>
                <w:caps/>
                <w:smallCaps w:val="0"/>
                <w:noProof/>
                <w:color w:val="004672" w:themeColor="accent1" w:themeTint="E6"/>
                <w:sz w:val="21"/>
                <w:lang w:val="en-US" w:eastAsia="en-AU"/>
              </w:rPr>
              <w:t>7.</w:t>
            </w:r>
            <w:r w:rsidR="00025888" w:rsidRPr="00025888">
              <w:rPr>
                <w:rStyle w:val="Hyperlink"/>
                <w:rFonts w:ascii="Arial Bold" w:hAnsi="Arial Bold" w:cs="Arial"/>
                <w:b/>
                <w:caps/>
                <w:smallCaps w:val="0"/>
                <w:noProof/>
                <w:color w:val="004672" w:themeColor="accent1" w:themeTint="E6"/>
                <w:sz w:val="21"/>
                <w:lang w:val="en-US"/>
              </w:rPr>
              <w:tab/>
            </w:r>
            <w:r w:rsidR="00025888" w:rsidRPr="00025888">
              <w:rPr>
                <w:rStyle w:val="Hyperlink"/>
                <w:rFonts w:ascii="Arial Bold" w:hAnsi="Arial Bold" w:cs="Arial"/>
                <w:b/>
                <w:caps/>
                <w:smallCaps w:val="0"/>
                <w:noProof/>
                <w:color w:val="004672" w:themeColor="accent1" w:themeTint="E6"/>
                <w:sz w:val="21"/>
                <w:lang w:val="en-US" w:eastAsia="en-AU"/>
              </w:rPr>
              <w:t>Appendix A: detailed FIONA methodologies</w:t>
            </w:r>
            <w:r w:rsidR="00025888" w:rsidRPr="00025888">
              <w:rPr>
                <w:rStyle w:val="Hyperlink"/>
                <w:rFonts w:ascii="Arial Bold" w:hAnsi="Arial Bold" w:cs="Arial"/>
                <w:b/>
                <w:caps/>
                <w:smallCaps w:val="0"/>
                <w:noProof/>
                <w:webHidden/>
                <w:color w:val="004672" w:themeColor="accent1" w:themeTint="E6"/>
                <w:sz w:val="21"/>
                <w:lang w:val="en-US" w:eastAsia="en-AU"/>
              </w:rPr>
              <w:tab/>
            </w:r>
            <w:r w:rsidR="00025888" w:rsidRPr="00025888">
              <w:rPr>
                <w:rStyle w:val="Hyperlink"/>
                <w:rFonts w:ascii="Arial Bold" w:hAnsi="Arial Bold" w:cs="Arial"/>
                <w:b/>
                <w:caps/>
                <w:smallCaps w:val="0"/>
                <w:noProof/>
                <w:webHidden/>
                <w:color w:val="004672" w:themeColor="accent1" w:themeTint="E6"/>
                <w:sz w:val="21"/>
                <w:lang w:val="en-US" w:eastAsia="en-AU"/>
              </w:rPr>
              <w:fldChar w:fldCharType="begin"/>
            </w:r>
            <w:r w:rsidR="00025888" w:rsidRPr="00025888">
              <w:rPr>
                <w:rStyle w:val="Hyperlink"/>
                <w:rFonts w:ascii="Arial Bold" w:hAnsi="Arial Bold" w:cs="Arial"/>
                <w:b/>
                <w:caps/>
                <w:smallCaps w:val="0"/>
                <w:noProof/>
                <w:webHidden/>
                <w:color w:val="004672" w:themeColor="accent1" w:themeTint="E6"/>
                <w:sz w:val="21"/>
                <w:lang w:val="en-US" w:eastAsia="en-AU"/>
              </w:rPr>
              <w:instrText xml:space="preserve"> PAGEREF _Toc77175236 \h </w:instrText>
            </w:r>
            <w:r w:rsidR="00025888" w:rsidRPr="00025888">
              <w:rPr>
                <w:rStyle w:val="Hyperlink"/>
                <w:rFonts w:ascii="Arial Bold" w:hAnsi="Arial Bold" w:cs="Arial"/>
                <w:b/>
                <w:caps/>
                <w:smallCaps w:val="0"/>
                <w:noProof/>
                <w:webHidden/>
                <w:color w:val="004672" w:themeColor="accent1" w:themeTint="E6"/>
                <w:sz w:val="21"/>
                <w:lang w:val="en-US" w:eastAsia="en-AU"/>
              </w:rPr>
            </w:r>
            <w:r w:rsidR="00025888" w:rsidRPr="00025888">
              <w:rPr>
                <w:rStyle w:val="Hyperlink"/>
                <w:rFonts w:ascii="Arial Bold" w:hAnsi="Arial Bold" w:cs="Arial"/>
                <w:b/>
                <w:caps/>
                <w:smallCaps w:val="0"/>
                <w:noProof/>
                <w:webHidden/>
                <w:color w:val="004672" w:themeColor="accent1" w:themeTint="E6"/>
                <w:sz w:val="21"/>
                <w:lang w:val="en-US" w:eastAsia="en-AU"/>
              </w:rPr>
              <w:fldChar w:fldCharType="separate"/>
            </w:r>
            <w:r w:rsidR="00524834">
              <w:rPr>
                <w:rStyle w:val="Hyperlink"/>
                <w:rFonts w:ascii="Arial Bold" w:hAnsi="Arial Bold" w:cs="Arial"/>
                <w:b/>
                <w:caps/>
                <w:smallCaps w:val="0"/>
                <w:noProof/>
                <w:webHidden/>
                <w:color w:val="004672" w:themeColor="accent1" w:themeTint="E6"/>
                <w:sz w:val="21"/>
                <w:lang w:val="en-US" w:eastAsia="en-AU"/>
              </w:rPr>
              <w:t>23</w:t>
            </w:r>
            <w:r w:rsidR="00025888" w:rsidRPr="00025888">
              <w:rPr>
                <w:rStyle w:val="Hyperlink"/>
                <w:rFonts w:ascii="Arial Bold" w:hAnsi="Arial Bold" w:cs="Arial"/>
                <w:b/>
                <w:caps/>
                <w:smallCaps w:val="0"/>
                <w:noProof/>
                <w:webHidden/>
                <w:color w:val="004672" w:themeColor="accent1" w:themeTint="E6"/>
                <w:sz w:val="21"/>
                <w:lang w:val="en-US" w:eastAsia="en-AU"/>
              </w:rPr>
              <w:fldChar w:fldCharType="end"/>
            </w:r>
          </w:hyperlink>
        </w:p>
        <w:p w14:paraId="166DDB89" w14:textId="6DB6BF11"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37" w:history="1">
            <w:r w:rsidR="00025888" w:rsidRPr="00025888">
              <w:rPr>
                <w:rStyle w:val="Hyperlink"/>
                <w:rFonts w:ascii="Arial" w:hAnsi="Arial" w:cstheme="minorHAnsi"/>
                <w:noProof/>
                <w:color w:val="004672" w:themeColor="accent1" w:themeTint="E6"/>
                <w:sz w:val="20"/>
                <w:szCs w:val="20"/>
              </w:rPr>
              <w:t>7.1.</w:t>
            </w:r>
            <w:r w:rsidR="00025888" w:rsidRPr="00025888">
              <w:rPr>
                <w:rStyle w:val="Hyperlink"/>
                <w:rFonts w:ascii="Arial" w:hAnsi="Arial" w:cstheme="minorHAnsi"/>
                <w:noProof/>
                <w:color w:val="004672" w:themeColor="accent1" w:themeTint="E6"/>
                <w:sz w:val="20"/>
                <w:szCs w:val="20"/>
              </w:rPr>
              <w:tab/>
              <w:t>Demography</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_Toc77175237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23</w:t>
            </w:r>
            <w:r w:rsidR="00025888" w:rsidRPr="00025888">
              <w:rPr>
                <w:rStyle w:val="Hyperlink"/>
                <w:rFonts w:ascii="Arial" w:hAnsi="Arial" w:cstheme="minorHAnsi"/>
                <w:noProof/>
                <w:webHidden/>
                <w:color w:val="004672" w:themeColor="accent1" w:themeTint="E6"/>
                <w:sz w:val="20"/>
                <w:szCs w:val="20"/>
              </w:rPr>
              <w:fldChar w:fldCharType="end"/>
            </w:r>
          </w:hyperlink>
        </w:p>
        <w:p w14:paraId="0F8BDC4E" w14:textId="4ADADE18"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38" w:history="1">
            <w:r w:rsidR="00025888" w:rsidRPr="00025888">
              <w:rPr>
                <w:rStyle w:val="Hyperlink"/>
                <w:rFonts w:ascii="Arial" w:hAnsi="Arial" w:cstheme="minorHAnsi"/>
                <w:noProof/>
                <w:color w:val="004672" w:themeColor="accent1" w:themeTint="E6"/>
                <w:sz w:val="20"/>
                <w:szCs w:val="20"/>
              </w:rPr>
              <w:t>7.2.</w:t>
            </w:r>
            <w:r w:rsidR="00025888" w:rsidRPr="00025888">
              <w:rPr>
                <w:rStyle w:val="Hyperlink"/>
                <w:rFonts w:ascii="Arial" w:hAnsi="Arial" w:cstheme="minorHAnsi"/>
                <w:noProof/>
                <w:color w:val="004672" w:themeColor="accent1" w:themeTint="E6"/>
                <w:sz w:val="20"/>
                <w:szCs w:val="20"/>
              </w:rPr>
              <w:tab/>
              <w:t>Approach to estimating revenues and expenses</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_Toc77175238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26</w:t>
            </w:r>
            <w:r w:rsidR="00025888" w:rsidRPr="00025888">
              <w:rPr>
                <w:rStyle w:val="Hyperlink"/>
                <w:rFonts w:ascii="Arial" w:hAnsi="Arial" w:cstheme="minorHAnsi"/>
                <w:noProof/>
                <w:webHidden/>
                <w:color w:val="004672" w:themeColor="accent1" w:themeTint="E6"/>
                <w:sz w:val="20"/>
                <w:szCs w:val="20"/>
              </w:rPr>
              <w:fldChar w:fldCharType="end"/>
            </w:r>
          </w:hyperlink>
        </w:p>
        <w:p w14:paraId="038F6565" w14:textId="5F868EF4" w:rsidR="00025888" w:rsidRPr="00025888" w:rsidRDefault="00EF60FE" w:rsidP="00025888">
          <w:pPr>
            <w:pStyle w:val="TOC2"/>
            <w:widowControl/>
            <w:tabs>
              <w:tab w:val="clear" w:pos="9299"/>
              <w:tab w:val="left" w:pos="851"/>
              <w:tab w:val="right" w:leader="dot" w:pos="8931"/>
            </w:tabs>
            <w:adjustRightInd/>
            <w:spacing w:before="40" w:after="40"/>
            <w:ind w:left="340" w:right="0"/>
            <w:textAlignment w:val="auto"/>
            <w:rPr>
              <w:rStyle w:val="Hyperlink"/>
              <w:rFonts w:ascii="Arial" w:hAnsi="Arial" w:cstheme="minorHAnsi"/>
              <w:noProof/>
              <w:color w:val="004672" w:themeColor="accent1" w:themeTint="E6"/>
              <w:sz w:val="20"/>
              <w:szCs w:val="20"/>
            </w:rPr>
          </w:pPr>
          <w:hyperlink w:anchor="_Toc77175239" w:history="1">
            <w:r w:rsidR="00025888" w:rsidRPr="00025888">
              <w:rPr>
                <w:rStyle w:val="Hyperlink"/>
                <w:rFonts w:ascii="Arial" w:hAnsi="Arial" w:cstheme="minorHAnsi"/>
                <w:noProof/>
                <w:color w:val="004672" w:themeColor="accent1" w:themeTint="E6"/>
                <w:sz w:val="20"/>
                <w:szCs w:val="20"/>
              </w:rPr>
              <w:t>7.3.</w:t>
            </w:r>
            <w:r w:rsidR="00025888" w:rsidRPr="00025888">
              <w:rPr>
                <w:rStyle w:val="Hyperlink"/>
                <w:rFonts w:ascii="Arial" w:hAnsi="Arial" w:cstheme="minorHAnsi"/>
                <w:noProof/>
                <w:color w:val="004672" w:themeColor="accent1" w:themeTint="E6"/>
                <w:sz w:val="20"/>
                <w:szCs w:val="20"/>
              </w:rPr>
              <w:tab/>
              <w:t>Revenue and expense calculations</w:t>
            </w:r>
            <w:r w:rsidR="00025888" w:rsidRPr="00025888">
              <w:rPr>
                <w:rStyle w:val="Hyperlink"/>
                <w:rFonts w:ascii="Arial" w:hAnsi="Arial" w:cstheme="minorHAnsi"/>
                <w:noProof/>
                <w:webHidden/>
                <w:color w:val="004672" w:themeColor="accent1" w:themeTint="E6"/>
                <w:sz w:val="20"/>
                <w:szCs w:val="20"/>
              </w:rPr>
              <w:tab/>
            </w:r>
            <w:r w:rsidR="00025888" w:rsidRPr="00025888">
              <w:rPr>
                <w:rStyle w:val="Hyperlink"/>
                <w:rFonts w:ascii="Arial" w:hAnsi="Arial" w:cstheme="minorHAnsi"/>
                <w:noProof/>
                <w:webHidden/>
                <w:color w:val="004672" w:themeColor="accent1" w:themeTint="E6"/>
                <w:sz w:val="20"/>
                <w:szCs w:val="20"/>
              </w:rPr>
              <w:fldChar w:fldCharType="begin"/>
            </w:r>
            <w:r w:rsidR="00025888" w:rsidRPr="00025888">
              <w:rPr>
                <w:rStyle w:val="Hyperlink"/>
                <w:rFonts w:ascii="Arial" w:hAnsi="Arial" w:cstheme="minorHAnsi"/>
                <w:noProof/>
                <w:webHidden/>
                <w:color w:val="004672" w:themeColor="accent1" w:themeTint="E6"/>
                <w:sz w:val="20"/>
                <w:szCs w:val="20"/>
              </w:rPr>
              <w:instrText xml:space="preserve"> PAGEREF _Toc77175239 \h </w:instrText>
            </w:r>
            <w:r w:rsidR="00025888" w:rsidRPr="00025888">
              <w:rPr>
                <w:rStyle w:val="Hyperlink"/>
                <w:rFonts w:ascii="Arial" w:hAnsi="Arial" w:cstheme="minorHAnsi"/>
                <w:noProof/>
                <w:webHidden/>
                <w:color w:val="004672" w:themeColor="accent1" w:themeTint="E6"/>
                <w:sz w:val="20"/>
                <w:szCs w:val="20"/>
              </w:rPr>
            </w:r>
            <w:r w:rsidR="00025888" w:rsidRPr="00025888">
              <w:rPr>
                <w:rStyle w:val="Hyperlink"/>
                <w:rFonts w:ascii="Arial" w:hAnsi="Arial" w:cstheme="minorHAnsi"/>
                <w:noProof/>
                <w:webHidden/>
                <w:color w:val="004672" w:themeColor="accent1" w:themeTint="E6"/>
                <w:sz w:val="20"/>
                <w:szCs w:val="20"/>
              </w:rPr>
              <w:fldChar w:fldCharType="separate"/>
            </w:r>
            <w:r w:rsidR="00524834">
              <w:rPr>
                <w:rStyle w:val="Hyperlink"/>
                <w:rFonts w:ascii="Arial" w:hAnsi="Arial" w:cstheme="minorHAnsi"/>
                <w:noProof/>
                <w:webHidden/>
                <w:color w:val="004672" w:themeColor="accent1" w:themeTint="E6"/>
                <w:sz w:val="20"/>
                <w:szCs w:val="20"/>
              </w:rPr>
              <w:t>27</w:t>
            </w:r>
            <w:r w:rsidR="00025888" w:rsidRPr="00025888">
              <w:rPr>
                <w:rStyle w:val="Hyperlink"/>
                <w:rFonts w:ascii="Arial" w:hAnsi="Arial" w:cstheme="minorHAnsi"/>
                <w:noProof/>
                <w:webHidden/>
                <w:color w:val="004672" w:themeColor="accent1" w:themeTint="E6"/>
                <w:sz w:val="20"/>
                <w:szCs w:val="20"/>
              </w:rPr>
              <w:fldChar w:fldCharType="end"/>
            </w:r>
          </w:hyperlink>
        </w:p>
        <w:p w14:paraId="2F318AFD" w14:textId="1FD66BFB" w:rsidR="00025888" w:rsidRPr="00025888" w:rsidRDefault="00EF60FE" w:rsidP="00025888">
          <w:pPr>
            <w:pStyle w:val="TOC1"/>
            <w:tabs>
              <w:tab w:val="clear" w:pos="567"/>
              <w:tab w:val="clear" w:pos="9299"/>
              <w:tab w:val="left" w:pos="340"/>
              <w:tab w:val="right" w:leader="dot" w:pos="8930"/>
            </w:tabs>
            <w:spacing w:before="100" w:after="60"/>
            <w:ind w:left="340" w:hanging="340"/>
            <w:jc w:val="both"/>
            <w:rPr>
              <w:rStyle w:val="Hyperlink"/>
              <w:rFonts w:ascii="Arial Bold" w:hAnsi="Arial Bold" w:cs="Arial"/>
              <w:b/>
              <w:caps/>
              <w:smallCaps w:val="0"/>
              <w:noProof/>
              <w:color w:val="004672" w:themeColor="accent1" w:themeTint="E6"/>
              <w:sz w:val="21"/>
              <w:lang w:val="en-US"/>
            </w:rPr>
          </w:pPr>
          <w:hyperlink w:anchor="_Toc77175240" w:history="1">
            <w:r w:rsidR="00025888" w:rsidRPr="00025888">
              <w:rPr>
                <w:rStyle w:val="Hyperlink"/>
                <w:rFonts w:ascii="Arial Bold" w:hAnsi="Arial Bold" w:cs="Arial"/>
                <w:b/>
                <w:caps/>
                <w:smallCaps w:val="0"/>
                <w:noProof/>
                <w:color w:val="004672" w:themeColor="accent1" w:themeTint="E6"/>
                <w:sz w:val="21"/>
                <w:lang w:val="en-US" w:eastAsia="en-AU"/>
              </w:rPr>
              <w:t>8.</w:t>
            </w:r>
            <w:r w:rsidR="00025888" w:rsidRPr="00025888">
              <w:rPr>
                <w:rStyle w:val="Hyperlink"/>
                <w:rFonts w:ascii="Arial Bold" w:hAnsi="Arial Bold" w:cs="Arial"/>
                <w:b/>
                <w:caps/>
                <w:smallCaps w:val="0"/>
                <w:noProof/>
                <w:color w:val="004672" w:themeColor="accent1" w:themeTint="E6"/>
                <w:sz w:val="21"/>
                <w:lang w:val="en-US"/>
              </w:rPr>
              <w:tab/>
            </w:r>
            <w:r w:rsidR="00025888" w:rsidRPr="00025888">
              <w:rPr>
                <w:rStyle w:val="Hyperlink"/>
                <w:rFonts w:ascii="Arial Bold" w:hAnsi="Arial Bold" w:cs="Arial"/>
                <w:b/>
                <w:caps/>
                <w:smallCaps w:val="0"/>
                <w:noProof/>
                <w:color w:val="004672" w:themeColor="accent1" w:themeTint="E6"/>
                <w:sz w:val="21"/>
                <w:lang w:val="en-US" w:eastAsia="en-AU"/>
              </w:rPr>
              <w:t>Appendix B: Fiscal impact of temporary migrants</w:t>
            </w:r>
            <w:r w:rsidR="00025888" w:rsidRPr="00025888">
              <w:rPr>
                <w:rStyle w:val="Hyperlink"/>
                <w:rFonts w:ascii="Arial Bold" w:hAnsi="Arial Bold" w:cs="Arial"/>
                <w:b/>
                <w:caps/>
                <w:smallCaps w:val="0"/>
                <w:noProof/>
                <w:webHidden/>
                <w:color w:val="004672" w:themeColor="accent1" w:themeTint="E6"/>
                <w:sz w:val="21"/>
                <w:lang w:val="en-US" w:eastAsia="en-AU"/>
              </w:rPr>
              <w:tab/>
            </w:r>
            <w:r w:rsidR="00025888" w:rsidRPr="00025888">
              <w:rPr>
                <w:rStyle w:val="Hyperlink"/>
                <w:rFonts w:ascii="Arial Bold" w:hAnsi="Arial Bold" w:cs="Arial"/>
                <w:b/>
                <w:caps/>
                <w:smallCaps w:val="0"/>
                <w:noProof/>
                <w:webHidden/>
                <w:color w:val="004672" w:themeColor="accent1" w:themeTint="E6"/>
                <w:sz w:val="21"/>
                <w:lang w:val="en-US" w:eastAsia="en-AU"/>
              </w:rPr>
              <w:fldChar w:fldCharType="begin"/>
            </w:r>
            <w:r w:rsidR="00025888" w:rsidRPr="00025888">
              <w:rPr>
                <w:rStyle w:val="Hyperlink"/>
                <w:rFonts w:ascii="Arial Bold" w:hAnsi="Arial Bold" w:cs="Arial"/>
                <w:b/>
                <w:caps/>
                <w:smallCaps w:val="0"/>
                <w:noProof/>
                <w:webHidden/>
                <w:color w:val="004672" w:themeColor="accent1" w:themeTint="E6"/>
                <w:sz w:val="21"/>
                <w:lang w:val="en-US" w:eastAsia="en-AU"/>
              </w:rPr>
              <w:instrText xml:space="preserve"> PAGEREF _Toc77175240 \h </w:instrText>
            </w:r>
            <w:r w:rsidR="00025888" w:rsidRPr="00025888">
              <w:rPr>
                <w:rStyle w:val="Hyperlink"/>
                <w:rFonts w:ascii="Arial Bold" w:hAnsi="Arial Bold" w:cs="Arial"/>
                <w:b/>
                <w:caps/>
                <w:smallCaps w:val="0"/>
                <w:noProof/>
                <w:webHidden/>
                <w:color w:val="004672" w:themeColor="accent1" w:themeTint="E6"/>
                <w:sz w:val="21"/>
                <w:lang w:val="en-US" w:eastAsia="en-AU"/>
              </w:rPr>
            </w:r>
            <w:r w:rsidR="00025888" w:rsidRPr="00025888">
              <w:rPr>
                <w:rStyle w:val="Hyperlink"/>
                <w:rFonts w:ascii="Arial Bold" w:hAnsi="Arial Bold" w:cs="Arial"/>
                <w:b/>
                <w:caps/>
                <w:smallCaps w:val="0"/>
                <w:noProof/>
                <w:webHidden/>
                <w:color w:val="004672" w:themeColor="accent1" w:themeTint="E6"/>
                <w:sz w:val="21"/>
                <w:lang w:val="en-US" w:eastAsia="en-AU"/>
              </w:rPr>
              <w:fldChar w:fldCharType="separate"/>
            </w:r>
            <w:r w:rsidR="00524834">
              <w:rPr>
                <w:rStyle w:val="Hyperlink"/>
                <w:rFonts w:ascii="Arial Bold" w:hAnsi="Arial Bold" w:cs="Arial"/>
                <w:b/>
                <w:caps/>
                <w:smallCaps w:val="0"/>
                <w:noProof/>
                <w:webHidden/>
                <w:color w:val="004672" w:themeColor="accent1" w:themeTint="E6"/>
                <w:sz w:val="21"/>
                <w:lang w:val="en-US" w:eastAsia="en-AU"/>
              </w:rPr>
              <w:t>38</w:t>
            </w:r>
            <w:r w:rsidR="00025888" w:rsidRPr="00025888">
              <w:rPr>
                <w:rStyle w:val="Hyperlink"/>
                <w:rFonts w:ascii="Arial Bold" w:hAnsi="Arial Bold" w:cs="Arial"/>
                <w:b/>
                <w:caps/>
                <w:smallCaps w:val="0"/>
                <w:noProof/>
                <w:webHidden/>
                <w:color w:val="004672" w:themeColor="accent1" w:themeTint="E6"/>
                <w:sz w:val="21"/>
                <w:lang w:val="en-US" w:eastAsia="en-AU"/>
              </w:rPr>
              <w:fldChar w:fldCharType="end"/>
            </w:r>
          </w:hyperlink>
        </w:p>
        <w:p w14:paraId="7D33184A" w14:textId="3224703F" w:rsidR="00F012EA" w:rsidRDefault="008B5F2C" w:rsidP="008027CA">
          <w:pPr>
            <w:sectPr w:rsidR="00F012EA" w:rsidSect="008027CA">
              <w:headerReference w:type="even" r:id="rId18"/>
              <w:headerReference w:type="default" r:id="rId19"/>
              <w:headerReference w:type="first" r:id="rId20"/>
              <w:footerReference w:type="first" r:id="rId21"/>
              <w:pgSz w:w="11906" w:h="16838" w:code="9"/>
              <w:pgMar w:top="1418" w:right="1304" w:bottom="1418" w:left="1304" w:header="567" w:footer="567" w:gutter="0"/>
              <w:pgNumType w:fmt="lowerRoman"/>
              <w:cols w:space="708"/>
              <w:docGrid w:linePitch="360"/>
            </w:sectPr>
          </w:pPr>
          <w:r w:rsidRPr="007C7071">
            <w:rPr>
              <w:b/>
              <w:bCs/>
              <w:noProof/>
              <w:color w:val="004672" w:themeColor="accent1" w:themeTint="E6"/>
            </w:rPr>
            <w:fldChar w:fldCharType="end"/>
          </w:r>
        </w:p>
      </w:sdtContent>
    </w:sdt>
    <w:p w14:paraId="2C37D65B" w14:textId="4DD6BF9B" w:rsidR="00F012EA" w:rsidRPr="00807A66" w:rsidRDefault="00F012EA" w:rsidP="00E079FB">
      <w:pPr>
        <w:pStyle w:val="Heading2"/>
        <w:numPr>
          <w:ilvl w:val="0"/>
          <w:numId w:val="22"/>
        </w:numPr>
      </w:pPr>
      <w:bookmarkStart w:id="14" w:name="_Toc271526783"/>
      <w:bookmarkStart w:id="15" w:name="_Toc320810314"/>
      <w:bookmarkStart w:id="16" w:name="_Toc77175209"/>
      <w:r w:rsidRPr="00807A66">
        <w:lastRenderedPageBreak/>
        <w:t>Introduction</w:t>
      </w:r>
      <w:bookmarkEnd w:id="14"/>
      <w:bookmarkEnd w:id="15"/>
      <w:bookmarkEnd w:id="16"/>
    </w:p>
    <w:p w14:paraId="02C97CB3" w14:textId="0F2CF499" w:rsidR="00FD684A" w:rsidRDefault="00FF6FEC" w:rsidP="00825E78">
      <w:r>
        <w:t>The Australian permanent migration pr</w:t>
      </w:r>
      <w:r w:rsidR="009F5F01">
        <w:t>ogram comprise</w:t>
      </w:r>
      <w:r w:rsidR="006E0FB9">
        <w:t>s</w:t>
      </w:r>
      <w:r w:rsidR="009F5F01">
        <w:t xml:space="preserve"> the </w:t>
      </w:r>
      <w:r w:rsidR="004F76CF">
        <w:t>S</w:t>
      </w:r>
      <w:r w:rsidR="009F5F01">
        <w:t>kill</w:t>
      </w:r>
      <w:r>
        <w:t xml:space="preserve">, </w:t>
      </w:r>
      <w:r w:rsidR="004F76CF">
        <w:t>F</w:t>
      </w:r>
      <w:r>
        <w:t xml:space="preserve">amily and </w:t>
      </w:r>
      <w:r w:rsidR="004F76CF">
        <w:t>H</w:t>
      </w:r>
      <w:r>
        <w:t xml:space="preserve">umanitarian </w:t>
      </w:r>
      <w:r w:rsidR="00806F48">
        <w:t xml:space="preserve">programs </w:t>
      </w:r>
      <w:r w:rsidR="00DE73BA">
        <w:t>which each have different</w:t>
      </w:r>
      <w:r w:rsidR="0004274F">
        <w:t xml:space="preserve"> application</w:t>
      </w:r>
      <w:r w:rsidR="00DE73BA">
        <w:t xml:space="preserve"> requirements and purposes</w:t>
      </w:r>
      <w:r w:rsidR="00F70FC8">
        <w:t xml:space="preserve">. </w:t>
      </w:r>
    </w:p>
    <w:p w14:paraId="480D73D8" w14:textId="479A9DD9" w:rsidR="00FD684A" w:rsidRPr="00825E78" w:rsidRDefault="002F424F" w:rsidP="000472BB">
      <w:pPr>
        <w:pStyle w:val="Bullet"/>
        <w:ind w:left="612" w:hanging="612"/>
      </w:pPr>
      <w:r w:rsidRPr="00825E78">
        <w:t>The Skill stream</w:t>
      </w:r>
      <w:r w:rsidR="00CB5FB5" w:rsidRPr="00825E78">
        <w:t xml:space="preserve"> </w:t>
      </w:r>
      <w:r w:rsidR="00080ECC" w:rsidRPr="00825E78">
        <w:t>is</w:t>
      </w:r>
      <w:r w:rsidR="0011287A" w:rsidRPr="00825E78">
        <w:t xml:space="preserve"> intended to contribute to economic development and meet labour</w:t>
      </w:r>
      <w:r w:rsidR="00806F48" w:rsidRPr="00825E78">
        <w:t xml:space="preserve"> market</w:t>
      </w:r>
      <w:r w:rsidR="0011287A" w:rsidRPr="00825E78">
        <w:t xml:space="preserve"> needs within the broader</w:t>
      </w:r>
      <w:r w:rsidR="00A031F3" w:rsidRPr="00825E78">
        <w:t xml:space="preserve"> context of meeting the national interest</w:t>
      </w:r>
      <w:r w:rsidR="00945349" w:rsidRPr="00825E78">
        <w:t>.</w:t>
      </w:r>
      <w:r w:rsidR="00A031F3" w:rsidRPr="00BB7916">
        <w:rPr>
          <w:rStyle w:val="FootnoteReference"/>
        </w:rPr>
        <w:footnoteReference w:id="8"/>
      </w:r>
      <w:r w:rsidR="00A031F3" w:rsidRPr="00825E78">
        <w:t xml:space="preserve"> </w:t>
      </w:r>
    </w:p>
    <w:p w14:paraId="498AF9B1" w14:textId="6AA0E470" w:rsidR="00926058" w:rsidRPr="00825E78" w:rsidRDefault="00926058" w:rsidP="000472BB">
      <w:pPr>
        <w:pStyle w:val="Bullet"/>
        <w:ind w:left="612" w:hanging="612"/>
      </w:pPr>
      <w:r w:rsidRPr="00825E78">
        <w:t xml:space="preserve">The Family stream provides for migration of immediate family members of Australian citizens, permanent </w:t>
      </w:r>
      <w:r w:rsidR="003170BA" w:rsidRPr="00825E78">
        <w:t>residents,</w:t>
      </w:r>
      <w:r w:rsidRPr="00825E78">
        <w:t xml:space="preserve"> or eligible New Zealand Citizens. This stream has requirements for both health and character, but no skills test or </w:t>
      </w:r>
      <w:r w:rsidR="00467DBE" w:rsidRPr="00825E78">
        <w:t xml:space="preserve">English </w:t>
      </w:r>
      <w:r w:rsidRPr="00825E78">
        <w:t>language requirements.</w:t>
      </w:r>
    </w:p>
    <w:p w14:paraId="7399D2E4" w14:textId="11829AD4" w:rsidR="00926058" w:rsidRPr="00825E78" w:rsidRDefault="00926058" w:rsidP="000472BB">
      <w:pPr>
        <w:pStyle w:val="Bullet"/>
        <w:ind w:left="612" w:hanging="612"/>
      </w:pPr>
      <w:r w:rsidRPr="00825E78">
        <w:t xml:space="preserve">The Humanitarian </w:t>
      </w:r>
      <w:r w:rsidR="00205918" w:rsidRPr="00825E78">
        <w:t xml:space="preserve">program </w:t>
      </w:r>
      <w:r w:rsidRPr="00825E78">
        <w:t xml:space="preserve">provides protection and resettlement to refugees and others in humanitarian need from all parts of the world. This stream </w:t>
      </w:r>
      <w:r w:rsidR="006F1B55" w:rsidRPr="00825E78">
        <w:t xml:space="preserve">includes an </w:t>
      </w:r>
      <w:r w:rsidRPr="00825E78">
        <w:t xml:space="preserve">offshore component that offers resettlement in Australia to refugees and humanitarian entrants from overseas, and an onshore component </w:t>
      </w:r>
      <w:r w:rsidR="008F6108" w:rsidRPr="00825E78">
        <w:t>that</w:t>
      </w:r>
      <w:r w:rsidRPr="00825E78">
        <w:t xml:space="preserve"> offers protection to those who </w:t>
      </w:r>
      <w:r w:rsidR="008F6108" w:rsidRPr="00825E78">
        <w:t>lodge an asylum claim after arrival in Australia</w:t>
      </w:r>
      <w:r w:rsidRPr="00825E78">
        <w:t>.</w:t>
      </w:r>
    </w:p>
    <w:p w14:paraId="265A99B0" w14:textId="72440E78" w:rsidR="00CC579F" w:rsidRDefault="00CC579F" w:rsidP="000472BB">
      <w:pPr>
        <w:spacing w:after="120"/>
      </w:pPr>
      <w:r>
        <w:t xml:space="preserve">Within each stream, </w:t>
      </w:r>
      <w:r w:rsidR="00871C09">
        <w:t>there exist various visa categories</w:t>
      </w:r>
      <w:r w:rsidR="006B46EB">
        <w:t>, which in turn comprise visa</w:t>
      </w:r>
      <w:r w:rsidR="00830CE1">
        <w:t xml:space="preserve"> </w:t>
      </w:r>
      <w:r w:rsidR="006B46EB">
        <w:t>subclasses</w:t>
      </w:r>
      <w:r w:rsidR="00871C09">
        <w:t xml:space="preserve"> (a full mapping of visa </w:t>
      </w:r>
      <w:r w:rsidR="006B46EB">
        <w:t xml:space="preserve">subclass </w:t>
      </w:r>
      <w:r w:rsidR="00871C09">
        <w:t xml:space="preserve">to categories used in this paper can be found in Appendix A). In addition, </w:t>
      </w:r>
      <w:r>
        <w:t>migrants who are granted</w:t>
      </w:r>
      <w:r w:rsidR="00DF0079">
        <w:t xml:space="preserve"> a</w:t>
      </w:r>
      <w:r>
        <w:t xml:space="preserve"> primary visa </w:t>
      </w:r>
      <w:r w:rsidR="000D47AE">
        <w:t>can</w:t>
      </w:r>
      <w:r>
        <w:t xml:space="preserve"> bring their </w:t>
      </w:r>
      <w:r w:rsidR="00006326">
        <w:t xml:space="preserve">immediate </w:t>
      </w:r>
      <w:r>
        <w:t xml:space="preserve">family members </w:t>
      </w:r>
      <w:r w:rsidR="00006326">
        <w:t>on secondary</w:t>
      </w:r>
      <w:r>
        <w:t xml:space="preserve"> visas, who are counted within the visa cap for that program</w:t>
      </w:r>
      <w:r w:rsidR="002D6D95">
        <w:t xml:space="preserve">. </w:t>
      </w:r>
      <w:r w:rsidR="00467DBE">
        <w:t xml:space="preserve">Some </w:t>
      </w:r>
      <w:r w:rsidR="00B67D91">
        <w:t xml:space="preserve">visa recipients </w:t>
      </w:r>
      <w:r w:rsidR="004F76CF">
        <w:t>do</w:t>
      </w:r>
      <w:r w:rsidR="00467DBE">
        <w:t xml:space="preserve"> not</w:t>
      </w:r>
      <w:r w:rsidR="00B67D91">
        <w:t xml:space="preserve"> </w:t>
      </w:r>
      <w:r w:rsidR="007062F0">
        <w:t xml:space="preserve">ultimately </w:t>
      </w:r>
      <w:r w:rsidR="00B67D91">
        <w:t xml:space="preserve">arrive in Australia. </w:t>
      </w:r>
      <w:r>
        <w:t>The composition of the 2018</w:t>
      </w:r>
      <w:r w:rsidR="00F62807">
        <w:t>–</w:t>
      </w:r>
      <w:r>
        <w:t xml:space="preserve">19 permanent migration program, along with the </w:t>
      </w:r>
      <w:r w:rsidR="00FF476C">
        <w:t xml:space="preserve">share </w:t>
      </w:r>
      <w:r>
        <w:t xml:space="preserve">of primary/secondary visa holders and </w:t>
      </w:r>
      <w:r w:rsidR="00B67D91">
        <w:t>the</w:t>
      </w:r>
      <w:r w:rsidR="00940F7A">
        <w:t xml:space="preserve"> estimated</w:t>
      </w:r>
      <w:r w:rsidR="00B67D91">
        <w:t xml:space="preserve"> proportion of migrants that arrive in Australia</w:t>
      </w:r>
      <w:r>
        <w:t xml:space="preserve"> is shown in </w:t>
      </w:r>
      <w:r w:rsidR="00141DD3">
        <w:t>T</w:t>
      </w:r>
      <w:r>
        <w:t xml:space="preserve">able </w:t>
      </w:r>
      <w:r w:rsidR="00141DD3">
        <w:t>1</w:t>
      </w:r>
      <w:r>
        <w:t>.</w:t>
      </w:r>
    </w:p>
    <w:p w14:paraId="4D106F00" w14:textId="0EF555D7" w:rsidR="009B2AE6" w:rsidRDefault="009B2AE6" w:rsidP="0023028F">
      <w:pPr>
        <w:pStyle w:val="TableHeading1"/>
      </w:pPr>
      <w:r w:rsidRPr="00830CE1">
        <w:t>Table 1: Overview of the 2018</w:t>
      </w:r>
      <w:r w:rsidR="00F62807" w:rsidRPr="00830CE1">
        <w:t>–</w:t>
      </w:r>
      <w:r w:rsidRPr="00830CE1">
        <w:t>19 permanent migrant cohort</w:t>
      </w:r>
    </w:p>
    <w:tbl>
      <w:tblPr>
        <w:tblW w:w="9187" w:type="dxa"/>
        <w:tblLook w:val="04E0" w:firstRow="1" w:lastRow="1" w:firstColumn="1" w:lastColumn="0" w:noHBand="0" w:noVBand="1"/>
      </w:tblPr>
      <w:tblGrid>
        <w:gridCol w:w="3822"/>
        <w:gridCol w:w="1232"/>
        <w:gridCol w:w="1545"/>
        <w:gridCol w:w="918"/>
        <w:gridCol w:w="1670"/>
      </w:tblGrid>
      <w:tr w:rsidR="00983FED" w:rsidRPr="00983FED" w14:paraId="5F2F3B3C" w14:textId="77777777" w:rsidTr="006C184F">
        <w:trPr>
          <w:trHeight w:val="439"/>
        </w:trPr>
        <w:tc>
          <w:tcPr>
            <w:tcW w:w="3822" w:type="dxa"/>
            <w:tcBorders>
              <w:top w:val="single" w:sz="4" w:space="0" w:color="auto"/>
              <w:left w:val="single" w:sz="4" w:space="0" w:color="auto"/>
              <w:bottom w:val="single" w:sz="4" w:space="0" w:color="auto"/>
              <w:right w:val="single" w:sz="4" w:space="0" w:color="auto"/>
            </w:tcBorders>
            <w:shd w:val="clear" w:color="000000" w:fill="CFDCEA"/>
            <w:vAlign w:val="center"/>
            <w:hideMark/>
          </w:tcPr>
          <w:p w14:paraId="7B48AC68" w14:textId="77777777" w:rsidR="00983FED" w:rsidRPr="00983FED" w:rsidRDefault="00983FED" w:rsidP="00983FED">
            <w:pPr>
              <w:spacing w:after="0"/>
              <w:jc w:val="center"/>
              <w:rPr>
                <w:rFonts w:ascii="Arial" w:eastAsia="Times New Roman" w:hAnsi="Arial" w:cs="Arial"/>
                <w:b/>
                <w:bCs/>
                <w:sz w:val="16"/>
                <w:szCs w:val="16"/>
                <w:lang w:eastAsia="en-AU"/>
              </w:rPr>
            </w:pPr>
            <w:r w:rsidRPr="00983FED">
              <w:rPr>
                <w:rFonts w:ascii="Arial" w:eastAsia="Times New Roman" w:hAnsi="Arial" w:cs="Arial"/>
                <w:b/>
                <w:bCs/>
                <w:sz w:val="16"/>
                <w:szCs w:val="16"/>
                <w:lang w:eastAsia="en-AU"/>
              </w:rPr>
              <w:t>Visa category</w:t>
            </w:r>
          </w:p>
        </w:tc>
        <w:tc>
          <w:tcPr>
            <w:tcW w:w="1232" w:type="dxa"/>
            <w:tcBorders>
              <w:top w:val="single" w:sz="4" w:space="0" w:color="auto"/>
              <w:left w:val="nil"/>
              <w:bottom w:val="single" w:sz="4" w:space="0" w:color="auto"/>
              <w:right w:val="single" w:sz="4" w:space="0" w:color="auto"/>
            </w:tcBorders>
            <w:shd w:val="clear" w:color="000000" w:fill="CFDCEA"/>
            <w:vAlign w:val="center"/>
            <w:hideMark/>
          </w:tcPr>
          <w:p w14:paraId="2E0B0758" w14:textId="400402E2" w:rsidR="00983FED" w:rsidRPr="00983FED" w:rsidRDefault="00983FED" w:rsidP="00983FED">
            <w:pPr>
              <w:spacing w:after="0"/>
              <w:rPr>
                <w:rFonts w:ascii="Arial" w:eastAsia="Times New Roman" w:hAnsi="Arial" w:cs="Arial"/>
                <w:b/>
                <w:bCs/>
                <w:sz w:val="16"/>
                <w:szCs w:val="16"/>
                <w:lang w:eastAsia="en-AU"/>
              </w:rPr>
            </w:pPr>
            <w:r w:rsidRPr="00983FED">
              <w:rPr>
                <w:rFonts w:ascii="Arial" w:eastAsia="Times New Roman" w:hAnsi="Arial" w:cs="Arial"/>
                <w:b/>
                <w:bCs/>
                <w:sz w:val="16"/>
                <w:szCs w:val="16"/>
                <w:lang w:eastAsia="en-AU"/>
              </w:rPr>
              <w:t xml:space="preserve">2018–19 Visa </w:t>
            </w:r>
            <w:r w:rsidR="005020B9">
              <w:rPr>
                <w:rFonts w:ascii="Arial" w:eastAsia="Times New Roman" w:hAnsi="Arial" w:cs="Arial"/>
                <w:b/>
                <w:bCs/>
                <w:sz w:val="16"/>
                <w:szCs w:val="16"/>
                <w:lang w:eastAsia="en-AU"/>
              </w:rPr>
              <w:t>g</w:t>
            </w:r>
            <w:r w:rsidRPr="00983FED">
              <w:rPr>
                <w:rFonts w:ascii="Arial" w:eastAsia="Times New Roman" w:hAnsi="Arial" w:cs="Arial"/>
                <w:b/>
                <w:bCs/>
                <w:sz w:val="16"/>
                <w:szCs w:val="16"/>
                <w:lang w:eastAsia="en-AU"/>
              </w:rPr>
              <w:t xml:space="preserve">rants </w:t>
            </w:r>
          </w:p>
        </w:tc>
        <w:tc>
          <w:tcPr>
            <w:tcW w:w="1545" w:type="dxa"/>
            <w:tcBorders>
              <w:top w:val="single" w:sz="4" w:space="0" w:color="auto"/>
              <w:left w:val="nil"/>
              <w:bottom w:val="single" w:sz="4" w:space="0" w:color="auto"/>
              <w:right w:val="single" w:sz="4" w:space="0" w:color="auto"/>
            </w:tcBorders>
            <w:shd w:val="clear" w:color="000000" w:fill="CFDCEA"/>
            <w:vAlign w:val="center"/>
            <w:hideMark/>
          </w:tcPr>
          <w:p w14:paraId="782594A8" w14:textId="77777777" w:rsidR="00983FED" w:rsidRPr="00983FED" w:rsidRDefault="00983FED" w:rsidP="00983FED">
            <w:pPr>
              <w:spacing w:after="0"/>
              <w:rPr>
                <w:rFonts w:ascii="Arial" w:eastAsia="Times New Roman" w:hAnsi="Arial" w:cs="Arial"/>
                <w:b/>
                <w:bCs/>
                <w:sz w:val="16"/>
                <w:szCs w:val="16"/>
                <w:lang w:eastAsia="en-AU"/>
              </w:rPr>
            </w:pPr>
            <w:r w:rsidRPr="00983FED">
              <w:rPr>
                <w:rFonts w:ascii="Arial" w:eastAsia="Times New Roman" w:hAnsi="Arial" w:cs="Arial"/>
                <w:b/>
                <w:bCs/>
                <w:sz w:val="16"/>
                <w:szCs w:val="16"/>
                <w:lang w:eastAsia="en-AU"/>
              </w:rPr>
              <w:t xml:space="preserve">Proportion who </w:t>
            </w:r>
            <w:proofErr w:type="gramStart"/>
            <w:r w:rsidRPr="00983FED">
              <w:rPr>
                <w:rFonts w:ascii="Arial" w:eastAsia="Times New Roman" w:hAnsi="Arial" w:cs="Arial"/>
                <w:b/>
                <w:bCs/>
                <w:sz w:val="16"/>
                <w:szCs w:val="16"/>
                <w:lang w:eastAsia="en-AU"/>
              </w:rPr>
              <w:t>arrive</w:t>
            </w:r>
            <w:proofErr w:type="gramEnd"/>
            <w:r w:rsidRPr="00983FED">
              <w:rPr>
                <w:rFonts w:ascii="Arial" w:eastAsia="Times New Roman" w:hAnsi="Arial" w:cs="Arial"/>
                <w:b/>
                <w:bCs/>
                <w:sz w:val="16"/>
                <w:szCs w:val="16"/>
                <w:lang w:eastAsia="en-AU"/>
              </w:rPr>
              <w:t xml:space="preserve"> (%)</w:t>
            </w:r>
          </w:p>
        </w:tc>
        <w:tc>
          <w:tcPr>
            <w:tcW w:w="918" w:type="dxa"/>
            <w:tcBorders>
              <w:top w:val="single" w:sz="4" w:space="0" w:color="auto"/>
              <w:left w:val="nil"/>
              <w:bottom w:val="single" w:sz="4" w:space="0" w:color="auto"/>
              <w:right w:val="single" w:sz="4" w:space="0" w:color="auto"/>
            </w:tcBorders>
            <w:shd w:val="clear" w:color="000000" w:fill="CFDCEA"/>
            <w:vAlign w:val="center"/>
            <w:hideMark/>
          </w:tcPr>
          <w:p w14:paraId="54C4DB21" w14:textId="77777777" w:rsidR="00983FED" w:rsidRPr="00983FED" w:rsidRDefault="00983FED" w:rsidP="00983FED">
            <w:pPr>
              <w:spacing w:after="0"/>
              <w:rPr>
                <w:rFonts w:ascii="Arial" w:eastAsia="Times New Roman" w:hAnsi="Arial" w:cs="Arial"/>
                <w:b/>
                <w:bCs/>
                <w:sz w:val="16"/>
                <w:szCs w:val="16"/>
                <w:lang w:eastAsia="en-AU"/>
              </w:rPr>
            </w:pPr>
            <w:r w:rsidRPr="00983FED">
              <w:rPr>
                <w:rFonts w:ascii="Arial" w:eastAsia="Times New Roman" w:hAnsi="Arial" w:cs="Arial"/>
                <w:b/>
                <w:bCs/>
                <w:sz w:val="16"/>
                <w:szCs w:val="16"/>
                <w:lang w:eastAsia="en-AU"/>
              </w:rPr>
              <w:t>2018–19 Arrivals</w:t>
            </w:r>
          </w:p>
        </w:tc>
        <w:tc>
          <w:tcPr>
            <w:tcW w:w="1670" w:type="dxa"/>
            <w:tcBorders>
              <w:top w:val="single" w:sz="4" w:space="0" w:color="auto"/>
              <w:left w:val="nil"/>
              <w:bottom w:val="single" w:sz="4" w:space="0" w:color="auto"/>
              <w:right w:val="single" w:sz="4" w:space="0" w:color="auto"/>
            </w:tcBorders>
            <w:shd w:val="clear" w:color="000000" w:fill="CFDCEA"/>
            <w:vAlign w:val="center"/>
            <w:hideMark/>
          </w:tcPr>
          <w:p w14:paraId="1F17629F" w14:textId="77777777" w:rsidR="00983FED" w:rsidRPr="00983FED" w:rsidRDefault="00983FED" w:rsidP="00983FED">
            <w:pPr>
              <w:spacing w:after="0"/>
              <w:rPr>
                <w:rFonts w:ascii="Arial" w:eastAsia="Times New Roman" w:hAnsi="Arial" w:cs="Arial"/>
                <w:b/>
                <w:bCs/>
                <w:sz w:val="16"/>
                <w:szCs w:val="16"/>
                <w:lang w:eastAsia="en-AU"/>
              </w:rPr>
            </w:pPr>
            <w:r w:rsidRPr="00983FED">
              <w:rPr>
                <w:rFonts w:ascii="Arial" w:eastAsia="Times New Roman" w:hAnsi="Arial" w:cs="Arial"/>
                <w:b/>
                <w:bCs/>
                <w:sz w:val="16"/>
                <w:szCs w:val="16"/>
                <w:lang w:eastAsia="en-AU"/>
              </w:rPr>
              <w:t xml:space="preserve">Share primary visa holders (%) </w:t>
            </w:r>
          </w:p>
        </w:tc>
      </w:tr>
      <w:tr w:rsidR="00983FED" w:rsidRPr="00983FED" w14:paraId="78404CCC" w14:textId="77777777" w:rsidTr="006C184F">
        <w:trPr>
          <w:trHeight w:val="307"/>
        </w:trPr>
        <w:tc>
          <w:tcPr>
            <w:tcW w:w="3822" w:type="dxa"/>
            <w:tcBorders>
              <w:top w:val="nil"/>
              <w:left w:val="single" w:sz="4" w:space="0" w:color="auto"/>
              <w:bottom w:val="single" w:sz="4" w:space="0" w:color="auto"/>
              <w:right w:val="single" w:sz="4" w:space="0" w:color="auto"/>
            </w:tcBorders>
            <w:shd w:val="clear" w:color="auto" w:fill="auto"/>
            <w:hideMark/>
          </w:tcPr>
          <w:p w14:paraId="320065F5" w14:textId="77777777" w:rsidR="00983FED" w:rsidRPr="00983FED" w:rsidRDefault="00983FED" w:rsidP="00983FED">
            <w:pPr>
              <w:spacing w:after="0"/>
              <w:rPr>
                <w:rFonts w:ascii="Arial" w:eastAsia="Times New Roman" w:hAnsi="Arial" w:cs="Arial"/>
                <w:b/>
                <w:bCs/>
                <w:sz w:val="16"/>
                <w:szCs w:val="16"/>
                <w:lang w:eastAsia="en-AU"/>
              </w:rPr>
            </w:pPr>
            <w:r w:rsidRPr="00983FED">
              <w:rPr>
                <w:rFonts w:ascii="Arial" w:eastAsia="Times New Roman" w:hAnsi="Arial" w:cs="Arial"/>
                <w:b/>
                <w:bCs/>
                <w:sz w:val="16"/>
                <w:szCs w:val="16"/>
                <w:lang w:eastAsia="en-AU"/>
              </w:rPr>
              <w:t>Skill</w:t>
            </w:r>
          </w:p>
        </w:tc>
        <w:tc>
          <w:tcPr>
            <w:tcW w:w="1232" w:type="dxa"/>
            <w:tcBorders>
              <w:top w:val="nil"/>
              <w:left w:val="nil"/>
              <w:bottom w:val="single" w:sz="4" w:space="0" w:color="auto"/>
              <w:right w:val="single" w:sz="4" w:space="0" w:color="auto"/>
            </w:tcBorders>
            <w:shd w:val="clear" w:color="auto" w:fill="auto"/>
            <w:hideMark/>
          </w:tcPr>
          <w:p w14:paraId="545436D4"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109,688</w:t>
            </w:r>
          </w:p>
        </w:tc>
        <w:tc>
          <w:tcPr>
            <w:tcW w:w="1545" w:type="dxa"/>
            <w:tcBorders>
              <w:top w:val="nil"/>
              <w:left w:val="nil"/>
              <w:bottom w:val="single" w:sz="4" w:space="0" w:color="auto"/>
              <w:right w:val="single" w:sz="4" w:space="0" w:color="auto"/>
            </w:tcBorders>
            <w:shd w:val="clear" w:color="auto" w:fill="auto"/>
            <w:hideMark/>
          </w:tcPr>
          <w:p w14:paraId="3DC84027"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93</w:t>
            </w:r>
          </w:p>
        </w:tc>
        <w:tc>
          <w:tcPr>
            <w:tcW w:w="918" w:type="dxa"/>
            <w:tcBorders>
              <w:top w:val="nil"/>
              <w:left w:val="nil"/>
              <w:bottom w:val="single" w:sz="4" w:space="0" w:color="auto"/>
              <w:right w:val="single" w:sz="4" w:space="0" w:color="auto"/>
            </w:tcBorders>
            <w:shd w:val="clear" w:color="auto" w:fill="auto"/>
            <w:hideMark/>
          </w:tcPr>
          <w:p w14:paraId="4651E98A"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101,695</w:t>
            </w:r>
          </w:p>
        </w:tc>
        <w:tc>
          <w:tcPr>
            <w:tcW w:w="1670" w:type="dxa"/>
            <w:tcBorders>
              <w:top w:val="nil"/>
              <w:left w:val="nil"/>
              <w:bottom w:val="single" w:sz="4" w:space="0" w:color="auto"/>
              <w:right w:val="single" w:sz="4" w:space="0" w:color="auto"/>
            </w:tcBorders>
            <w:shd w:val="clear" w:color="auto" w:fill="auto"/>
            <w:hideMark/>
          </w:tcPr>
          <w:p w14:paraId="4F793703"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46</w:t>
            </w:r>
          </w:p>
        </w:tc>
      </w:tr>
      <w:tr w:rsidR="00983FED" w:rsidRPr="00983FED" w14:paraId="72170FE5" w14:textId="77777777" w:rsidTr="006C184F">
        <w:trPr>
          <w:trHeight w:val="307"/>
        </w:trPr>
        <w:tc>
          <w:tcPr>
            <w:tcW w:w="3822" w:type="dxa"/>
            <w:tcBorders>
              <w:top w:val="nil"/>
              <w:left w:val="single" w:sz="4" w:space="0" w:color="auto"/>
              <w:bottom w:val="single" w:sz="4" w:space="0" w:color="auto"/>
              <w:right w:val="single" w:sz="4" w:space="0" w:color="auto"/>
            </w:tcBorders>
            <w:shd w:val="clear" w:color="auto" w:fill="auto"/>
            <w:hideMark/>
          </w:tcPr>
          <w:p w14:paraId="55CF1EBA" w14:textId="77777777" w:rsidR="00983FED" w:rsidRPr="00983FED" w:rsidRDefault="00983FED" w:rsidP="00983FED">
            <w:pPr>
              <w:spacing w:after="0"/>
              <w:rPr>
                <w:rFonts w:ascii="Arial" w:eastAsia="Times New Roman" w:hAnsi="Arial" w:cs="Arial"/>
                <w:sz w:val="16"/>
                <w:szCs w:val="16"/>
                <w:lang w:eastAsia="en-AU"/>
              </w:rPr>
            </w:pPr>
            <w:r w:rsidRPr="00983FED">
              <w:rPr>
                <w:rFonts w:ascii="Arial" w:eastAsia="Times New Roman" w:hAnsi="Arial" w:cs="Arial"/>
                <w:sz w:val="16"/>
                <w:szCs w:val="16"/>
                <w:lang w:eastAsia="en-AU"/>
              </w:rPr>
              <w:t>Employer Sponsored</w:t>
            </w:r>
          </w:p>
        </w:tc>
        <w:tc>
          <w:tcPr>
            <w:tcW w:w="1232" w:type="dxa"/>
            <w:tcBorders>
              <w:top w:val="nil"/>
              <w:left w:val="nil"/>
              <w:bottom w:val="single" w:sz="4" w:space="0" w:color="auto"/>
              <w:right w:val="single" w:sz="4" w:space="0" w:color="auto"/>
            </w:tcBorders>
            <w:shd w:val="clear" w:color="auto" w:fill="auto"/>
            <w:hideMark/>
          </w:tcPr>
          <w:p w14:paraId="05DA9FB7"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41,995</w:t>
            </w:r>
          </w:p>
        </w:tc>
        <w:tc>
          <w:tcPr>
            <w:tcW w:w="1545" w:type="dxa"/>
            <w:tcBorders>
              <w:top w:val="nil"/>
              <w:left w:val="nil"/>
              <w:bottom w:val="single" w:sz="4" w:space="0" w:color="auto"/>
              <w:right w:val="single" w:sz="4" w:space="0" w:color="auto"/>
            </w:tcBorders>
            <w:shd w:val="clear" w:color="auto" w:fill="auto"/>
            <w:hideMark/>
          </w:tcPr>
          <w:p w14:paraId="2F2DD04D"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97</w:t>
            </w:r>
          </w:p>
        </w:tc>
        <w:tc>
          <w:tcPr>
            <w:tcW w:w="918" w:type="dxa"/>
            <w:tcBorders>
              <w:top w:val="nil"/>
              <w:left w:val="nil"/>
              <w:bottom w:val="single" w:sz="4" w:space="0" w:color="auto"/>
              <w:right w:val="single" w:sz="4" w:space="0" w:color="auto"/>
            </w:tcBorders>
            <w:shd w:val="clear" w:color="auto" w:fill="auto"/>
            <w:hideMark/>
          </w:tcPr>
          <w:p w14:paraId="0B9CE2E2"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40,609</w:t>
            </w:r>
          </w:p>
        </w:tc>
        <w:tc>
          <w:tcPr>
            <w:tcW w:w="1670" w:type="dxa"/>
            <w:tcBorders>
              <w:top w:val="nil"/>
              <w:left w:val="nil"/>
              <w:bottom w:val="single" w:sz="4" w:space="0" w:color="auto"/>
              <w:right w:val="single" w:sz="4" w:space="0" w:color="auto"/>
            </w:tcBorders>
            <w:shd w:val="clear" w:color="auto" w:fill="auto"/>
            <w:hideMark/>
          </w:tcPr>
          <w:p w14:paraId="1CB8A177"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48</w:t>
            </w:r>
          </w:p>
        </w:tc>
      </w:tr>
      <w:tr w:rsidR="00983FED" w:rsidRPr="00983FED" w14:paraId="2B587AB0" w14:textId="77777777" w:rsidTr="006C184F">
        <w:trPr>
          <w:trHeight w:val="307"/>
        </w:trPr>
        <w:tc>
          <w:tcPr>
            <w:tcW w:w="3822" w:type="dxa"/>
            <w:tcBorders>
              <w:top w:val="nil"/>
              <w:left w:val="single" w:sz="4" w:space="0" w:color="auto"/>
              <w:bottom w:val="single" w:sz="4" w:space="0" w:color="auto"/>
              <w:right w:val="single" w:sz="4" w:space="0" w:color="auto"/>
            </w:tcBorders>
            <w:shd w:val="clear" w:color="auto" w:fill="auto"/>
            <w:hideMark/>
          </w:tcPr>
          <w:p w14:paraId="79C9B0D6" w14:textId="77777777" w:rsidR="00983FED" w:rsidRPr="00983FED" w:rsidRDefault="00983FED" w:rsidP="00983FED">
            <w:pPr>
              <w:spacing w:after="0"/>
              <w:rPr>
                <w:rFonts w:ascii="Arial" w:eastAsia="Times New Roman" w:hAnsi="Arial" w:cs="Arial"/>
                <w:sz w:val="16"/>
                <w:szCs w:val="16"/>
                <w:lang w:eastAsia="en-AU"/>
              </w:rPr>
            </w:pPr>
            <w:r w:rsidRPr="00983FED">
              <w:rPr>
                <w:rFonts w:ascii="Arial" w:eastAsia="Times New Roman" w:hAnsi="Arial" w:cs="Arial"/>
                <w:sz w:val="16"/>
                <w:szCs w:val="16"/>
                <w:lang w:eastAsia="en-AU"/>
              </w:rPr>
              <w:t>Independent</w:t>
            </w:r>
          </w:p>
        </w:tc>
        <w:tc>
          <w:tcPr>
            <w:tcW w:w="1232" w:type="dxa"/>
            <w:tcBorders>
              <w:top w:val="nil"/>
              <w:left w:val="nil"/>
              <w:bottom w:val="single" w:sz="4" w:space="0" w:color="auto"/>
              <w:right w:val="single" w:sz="4" w:space="0" w:color="auto"/>
            </w:tcBorders>
            <w:shd w:val="clear" w:color="auto" w:fill="auto"/>
            <w:hideMark/>
          </w:tcPr>
          <w:p w14:paraId="4991EA44"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34,240</w:t>
            </w:r>
          </w:p>
        </w:tc>
        <w:tc>
          <w:tcPr>
            <w:tcW w:w="1545" w:type="dxa"/>
            <w:tcBorders>
              <w:top w:val="nil"/>
              <w:left w:val="nil"/>
              <w:bottom w:val="single" w:sz="4" w:space="0" w:color="auto"/>
              <w:right w:val="single" w:sz="4" w:space="0" w:color="auto"/>
            </w:tcBorders>
            <w:shd w:val="clear" w:color="auto" w:fill="auto"/>
            <w:hideMark/>
          </w:tcPr>
          <w:p w14:paraId="7DD51B86"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92</w:t>
            </w:r>
          </w:p>
        </w:tc>
        <w:tc>
          <w:tcPr>
            <w:tcW w:w="918" w:type="dxa"/>
            <w:tcBorders>
              <w:top w:val="nil"/>
              <w:left w:val="nil"/>
              <w:bottom w:val="single" w:sz="4" w:space="0" w:color="auto"/>
              <w:right w:val="single" w:sz="4" w:space="0" w:color="auto"/>
            </w:tcBorders>
            <w:shd w:val="clear" w:color="auto" w:fill="auto"/>
            <w:hideMark/>
          </w:tcPr>
          <w:p w14:paraId="738DE84D"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35,135</w:t>
            </w:r>
          </w:p>
        </w:tc>
        <w:tc>
          <w:tcPr>
            <w:tcW w:w="1670" w:type="dxa"/>
            <w:tcBorders>
              <w:top w:val="nil"/>
              <w:left w:val="nil"/>
              <w:bottom w:val="single" w:sz="4" w:space="0" w:color="auto"/>
              <w:right w:val="single" w:sz="4" w:space="0" w:color="auto"/>
            </w:tcBorders>
            <w:shd w:val="clear" w:color="auto" w:fill="auto"/>
            <w:hideMark/>
          </w:tcPr>
          <w:p w14:paraId="2615BF4C"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50</w:t>
            </w:r>
          </w:p>
        </w:tc>
      </w:tr>
      <w:tr w:rsidR="00983FED" w:rsidRPr="00983FED" w14:paraId="1C0925D6" w14:textId="77777777" w:rsidTr="006C184F">
        <w:trPr>
          <w:trHeight w:val="307"/>
        </w:trPr>
        <w:tc>
          <w:tcPr>
            <w:tcW w:w="3822" w:type="dxa"/>
            <w:tcBorders>
              <w:top w:val="nil"/>
              <w:left w:val="single" w:sz="4" w:space="0" w:color="auto"/>
              <w:bottom w:val="single" w:sz="4" w:space="0" w:color="auto"/>
              <w:right w:val="single" w:sz="4" w:space="0" w:color="auto"/>
            </w:tcBorders>
            <w:shd w:val="clear" w:color="auto" w:fill="auto"/>
            <w:hideMark/>
          </w:tcPr>
          <w:p w14:paraId="7C676EA0" w14:textId="77777777" w:rsidR="00983FED" w:rsidRPr="00983FED" w:rsidRDefault="00983FED" w:rsidP="00983FED">
            <w:pPr>
              <w:spacing w:after="0"/>
              <w:rPr>
                <w:rFonts w:ascii="Arial" w:eastAsia="Times New Roman" w:hAnsi="Arial" w:cs="Arial"/>
                <w:sz w:val="16"/>
                <w:szCs w:val="16"/>
                <w:lang w:eastAsia="en-AU"/>
              </w:rPr>
            </w:pPr>
            <w:r w:rsidRPr="00983FED">
              <w:rPr>
                <w:rFonts w:ascii="Arial" w:eastAsia="Times New Roman" w:hAnsi="Arial" w:cs="Arial"/>
                <w:sz w:val="16"/>
                <w:szCs w:val="16"/>
                <w:lang w:eastAsia="en-AU"/>
              </w:rPr>
              <w:t>State/Territory/Regional nominated</w:t>
            </w:r>
          </w:p>
        </w:tc>
        <w:tc>
          <w:tcPr>
            <w:tcW w:w="1232" w:type="dxa"/>
            <w:tcBorders>
              <w:top w:val="nil"/>
              <w:left w:val="nil"/>
              <w:bottom w:val="single" w:sz="4" w:space="0" w:color="auto"/>
              <w:right w:val="single" w:sz="4" w:space="0" w:color="auto"/>
            </w:tcBorders>
            <w:shd w:val="clear" w:color="auto" w:fill="auto"/>
            <w:hideMark/>
          </w:tcPr>
          <w:p w14:paraId="270BF546"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25,991</w:t>
            </w:r>
          </w:p>
        </w:tc>
        <w:tc>
          <w:tcPr>
            <w:tcW w:w="1545" w:type="dxa"/>
            <w:tcBorders>
              <w:top w:val="nil"/>
              <w:left w:val="nil"/>
              <w:bottom w:val="single" w:sz="4" w:space="0" w:color="auto"/>
              <w:right w:val="single" w:sz="4" w:space="0" w:color="auto"/>
            </w:tcBorders>
            <w:shd w:val="clear" w:color="auto" w:fill="auto"/>
            <w:hideMark/>
          </w:tcPr>
          <w:p w14:paraId="10CD4FBB"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91</w:t>
            </w:r>
          </w:p>
        </w:tc>
        <w:tc>
          <w:tcPr>
            <w:tcW w:w="918" w:type="dxa"/>
            <w:tcBorders>
              <w:top w:val="nil"/>
              <w:left w:val="nil"/>
              <w:bottom w:val="single" w:sz="4" w:space="0" w:color="auto"/>
              <w:right w:val="single" w:sz="4" w:space="0" w:color="auto"/>
            </w:tcBorders>
            <w:shd w:val="clear" w:color="auto" w:fill="auto"/>
            <w:hideMark/>
          </w:tcPr>
          <w:p w14:paraId="2F786F7C"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23,678</w:t>
            </w:r>
          </w:p>
        </w:tc>
        <w:tc>
          <w:tcPr>
            <w:tcW w:w="1670" w:type="dxa"/>
            <w:tcBorders>
              <w:top w:val="nil"/>
              <w:left w:val="nil"/>
              <w:bottom w:val="single" w:sz="4" w:space="0" w:color="auto"/>
              <w:right w:val="single" w:sz="4" w:space="0" w:color="auto"/>
            </w:tcBorders>
            <w:shd w:val="clear" w:color="auto" w:fill="auto"/>
            <w:hideMark/>
          </w:tcPr>
          <w:p w14:paraId="3A59A484"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44</w:t>
            </w:r>
          </w:p>
        </w:tc>
      </w:tr>
      <w:tr w:rsidR="00983FED" w:rsidRPr="00983FED" w14:paraId="20E7C210" w14:textId="77777777" w:rsidTr="006C184F">
        <w:trPr>
          <w:trHeight w:val="307"/>
        </w:trPr>
        <w:tc>
          <w:tcPr>
            <w:tcW w:w="3822" w:type="dxa"/>
            <w:tcBorders>
              <w:top w:val="nil"/>
              <w:left w:val="single" w:sz="4" w:space="0" w:color="auto"/>
              <w:bottom w:val="single" w:sz="4" w:space="0" w:color="auto"/>
              <w:right w:val="single" w:sz="4" w:space="0" w:color="auto"/>
            </w:tcBorders>
            <w:shd w:val="clear" w:color="auto" w:fill="auto"/>
            <w:hideMark/>
          </w:tcPr>
          <w:p w14:paraId="25FD39F7" w14:textId="77777777" w:rsidR="00983FED" w:rsidRPr="00983FED" w:rsidRDefault="00983FED" w:rsidP="00983FED">
            <w:pPr>
              <w:spacing w:after="0"/>
              <w:rPr>
                <w:rFonts w:ascii="Arial" w:eastAsia="Times New Roman" w:hAnsi="Arial" w:cs="Arial"/>
                <w:sz w:val="16"/>
                <w:szCs w:val="16"/>
                <w:lang w:eastAsia="en-AU"/>
              </w:rPr>
            </w:pPr>
            <w:r w:rsidRPr="00983FED">
              <w:rPr>
                <w:rFonts w:ascii="Arial" w:eastAsia="Times New Roman" w:hAnsi="Arial" w:cs="Arial"/>
                <w:sz w:val="16"/>
                <w:szCs w:val="16"/>
                <w:lang w:eastAsia="en-AU"/>
              </w:rPr>
              <w:t>Business Innovation and Investment Program</w:t>
            </w:r>
          </w:p>
        </w:tc>
        <w:tc>
          <w:tcPr>
            <w:tcW w:w="1232" w:type="dxa"/>
            <w:tcBorders>
              <w:top w:val="nil"/>
              <w:left w:val="nil"/>
              <w:bottom w:val="single" w:sz="4" w:space="0" w:color="auto"/>
              <w:right w:val="single" w:sz="4" w:space="0" w:color="auto"/>
            </w:tcBorders>
            <w:shd w:val="clear" w:color="auto" w:fill="auto"/>
            <w:hideMark/>
          </w:tcPr>
          <w:p w14:paraId="7EA58D8C"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7,262</w:t>
            </w:r>
          </w:p>
        </w:tc>
        <w:tc>
          <w:tcPr>
            <w:tcW w:w="1545" w:type="dxa"/>
            <w:tcBorders>
              <w:top w:val="nil"/>
              <w:left w:val="nil"/>
              <w:bottom w:val="single" w:sz="4" w:space="0" w:color="auto"/>
              <w:right w:val="single" w:sz="4" w:space="0" w:color="auto"/>
            </w:tcBorders>
            <w:shd w:val="clear" w:color="auto" w:fill="auto"/>
            <w:hideMark/>
          </w:tcPr>
          <w:p w14:paraId="30342561"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77</w:t>
            </w:r>
          </w:p>
        </w:tc>
        <w:tc>
          <w:tcPr>
            <w:tcW w:w="918" w:type="dxa"/>
            <w:tcBorders>
              <w:top w:val="nil"/>
              <w:left w:val="nil"/>
              <w:bottom w:val="single" w:sz="4" w:space="0" w:color="auto"/>
              <w:right w:val="single" w:sz="4" w:space="0" w:color="auto"/>
            </w:tcBorders>
            <w:shd w:val="clear" w:color="auto" w:fill="auto"/>
            <w:hideMark/>
          </w:tcPr>
          <w:p w14:paraId="5B8AB4E8"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5,715</w:t>
            </w:r>
          </w:p>
        </w:tc>
        <w:tc>
          <w:tcPr>
            <w:tcW w:w="1670" w:type="dxa"/>
            <w:tcBorders>
              <w:top w:val="nil"/>
              <w:left w:val="nil"/>
              <w:bottom w:val="single" w:sz="4" w:space="0" w:color="auto"/>
              <w:right w:val="single" w:sz="4" w:space="0" w:color="auto"/>
            </w:tcBorders>
            <w:shd w:val="clear" w:color="auto" w:fill="auto"/>
            <w:hideMark/>
          </w:tcPr>
          <w:p w14:paraId="734B0ABC"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28</w:t>
            </w:r>
          </w:p>
        </w:tc>
      </w:tr>
      <w:tr w:rsidR="00983FED" w:rsidRPr="00983FED" w14:paraId="7BAFDC02" w14:textId="77777777" w:rsidTr="006C184F">
        <w:trPr>
          <w:trHeight w:val="307"/>
        </w:trPr>
        <w:tc>
          <w:tcPr>
            <w:tcW w:w="3822" w:type="dxa"/>
            <w:tcBorders>
              <w:top w:val="nil"/>
              <w:left w:val="single" w:sz="4" w:space="0" w:color="auto"/>
              <w:bottom w:val="single" w:sz="4" w:space="0" w:color="auto"/>
              <w:right w:val="single" w:sz="4" w:space="0" w:color="auto"/>
            </w:tcBorders>
            <w:shd w:val="clear" w:color="auto" w:fill="auto"/>
            <w:hideMark/>
          </w:tcPr>
          <w:p w14:paraId="760CABB6" w14:textId="77777777" w:rsidR="00983FED" w:rsidRPr="00983FED" w:rsidRDefault="00983FED" w:rsidP="00983FED">
            <w:pPr>
              <w:spacing w:after="0"/>
              <w:rPr>
                <w:rFonts w:ascii="Arial" w:eastAsia="Times New Roman" w:hAnsi="Arial" w:cs="Arial"/>
                <w:sz w:val="16"/>
                <w:szCs w:val="16"/>
                <w:lang w:eastAsia="en-AU"/>
              </w:rPr>
            </w:pPr>
            <w:r w:rsidRPr="00983FED">
              <w:rPr>
                <w:rFonts w:ascii="Arial" w:eastAsia="Times New Roman" w:hAnsi="Arial" w:cs="Arial"/>
                <w:sz w:val="16"/>
                <w:szCs w:val="16"/>
                <w:lang w:eastAsia="en-AU"/>
              </w:rPr>
              <w:t>Distinguished Talent</w:t>
            </w:r>
          </w:p>
        </w:tc>
        <w:tc>
          <w:tcPr>
            <w:tcW w:w="1232" w:type="dxa"/>
            <w:tcBorders>
              <w:top w:val="nil"/>
              <w:left w:val="nil"/>
              <w:bottom w:val="single" w:sz="4" w:space="0" w:color="auto"/>
              <w:right w:val="single" w:sz="4" w:space="0" w:color="auto"/>
            </w:tcBorders>
            <w:shd w:val="clear" w:color="auto" w:fill="auto"/>
            <w:hideMark/>
          </w:tcPr>
          <w:p w14:paraId="5F246565"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200</w:t>
            </w:r>
          </w:p>
        </w:tc>
        <w:tc>
          <w:tcPr>
            <w:tcW w:w="1545" w:type="dxa"/>
            <w:tcBorders>
              <w:top w:val="nil"/>
              <w:left w:val="nil"/>
              <w:bottom w:val="single" w:sz="4" w:space="0" w:color="auto"/>
              <w:right w:val="single" w:sz="4" w:space="0" w:color="auto"/>
            </w:tcBorders>
            <w:shd w:val="clear" w:color="auto" w:fill="auto"/>
            <w:hideMark/>
          </w:tcPr>
          <w:p w14:paraId="1252AC56"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79</w:t>
            </w:r>
          </w:p>
        </w:tc>
        <w:tc>
          <w:tcPr>
            <w:tcW w:w="918" w:type="dxa"/>
            <w:tcBorders>
              <w:top w:val="nil"/>
              <w:left w:val="nil"/>
              <w:bottom w:val="single" w:sz="4" w:space="0" w:color="auto"/>
              <w:right w:val="single" w:sz="4" w:space="0" w:color="auto"/>
            </w:tcBorders>
            <w:shd w:val="clear" w:color="auto" w:fill="auto"/>
            <w:hideMark/>
          </w:tcPr>
          <w:p w14:paraId="08AA0E27"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157</w:t>
            </w:r>
          </w:p>
        </w:tc>
        <w:tc>
          <w:tcPr>
            <w:tcW w:w="1670" w:type="dxa"/>
            <w:tcBorders>
              <w:top w:val="nil"/>
              <w:left w:val="nil"/>
              <w:bottom w:val="single" w:sz="4" w:space="0" w:color="auto"/>
              <w:right w:val="single" w:sz="4" w:space="0" w:color="auto"/>
            </w:tcBorders>
            <w:shd w:val="clear" w:color="auto" w:fill="auto"/>
            <w:hideMark/>
          </w:tcPr>
          <w:p w14:paraId="7EED9667"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43</w:t>
            </w:r>
          </w:p>
        </w:tc>
      </w:tr>
      <w:tr w:rsidR="00983FED" w:rsidRPr="00983FED" w14:paraId="3FD1937F" w14:textId="77777777" w:rsidTr="006C184F">
        <w:trPr>
          <w:trHeight w:val="307"/>
        </w:trPr>
        <w:tc>
          <w:tcPr>
            <w:tcW w:w="3822" w:type="dxa"/>
            <w:tcBorders>
              <w:top w:val="nil"/>
              <w:left w:val="single" w:sz="4" w:space="0" w:color="auto"/>
              <w:bottom w:val="single" w:sz="4" w:space="0" w:color="auto"/>
              <w:right w:val="single" w:sz="4" w:space="0" w:color="auto"/>
            </w:tcBorders>
            <w:shd w:val="clear" w:color="auto" w:fill="auto"/>
            <w:hideMark/>
          </w:tcPr>
          <w:p w14:paraId="24983CD4" w14:textId="77777777" w:rsidR="00983FED" w:rsidRPr="00983FED" w:rsidRDefault="00983FED" w:rsidP="00983FED">
            <w:pPr>
              <w:spacing w:after="0"/>
              <w:rPr>
                <w:rFonts w:ascii="Arial" w:eastAsia="Times New Roman" w:hAnsi="Arial" w:cs="Arial"/>
                <w:b/>
                <w:bCs/>
                <w:sz w:val="16"/>
                <w:szCs w:val="16"/>
                <w:lang w:eastAsia="en-AU"/>
              </w:rPr>
            </w:pPr>
            <w:r w:rsidRPr="00983FED">
              <w:rPr>
                <w:rFonts w:ascii="Arial" w:eastAsia="Times New Roman" w:hAnsi="Arial" w:cs="Arial"/>
                <w:b/>
                <w:bCs/>
                <w:sz w:val="16"/>
                <w:szCs w:val="16"/>
                <w:lang w:eastAsia="en-AU"/>
              </w:rPr>
              <w:t>Family</w:t>
            </w:r>
          </w:p>
        </w:tc>
        <w:tc>
          <w:tcPr>
            <w:tcW w:w="1232" w:type="dxa"/>
            <w:tcBorders>
              <w:top w:val="nil"/>
              <w:left w:val="nil"/>
              <w:bottom w:val="single" w:sz="4" w:space="0" w:color="auto"/>
              <w:right w:val="single" w:sz="4" w:space="0" w:color="auto"/>
            </w:tcBorders>
            <w:shd w:val="clear" w:color="auto" w:fill="auto"/>
            <w:hideMark/>
          </w:tcPr>
          <w:p w14:paraId="7F624D7B"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50,472</w:t>
            </w:r>
          </w:p>
        </w:tc>
        <w:tc>
          <w:tcPr>
            <w:tcW w:w="1545" w:type="dxa"/>
            <w:tcBorders>
              <w:top w:val="nil"/>
              <w:left w:val="nil"/>
              <w:bottom w:val="single" w:sz="4" w:space="0" w:color="auto"/>
              <w:right w:val="single" w:sz="4" w:space="0" w:color="auto"/>
            </w:tcBorders>
            <w:shd w:val="clear" w:color="auto" w:fill="auto"/>
            <w:hideMark/>
          </w:tcPr>
          <w:p w14:paraId="794357EC"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95</w:t>
            </w:r>
          </w:p>
        </w:tc>
        <w:tc>
          <w:tcPr>
            <w:tcW w:w="918" w:type="dxa"/>
            <w:tcBorders>
              <w:top w:val="nil"/>
              <w:left w:val="nil"/>
              <w:bottom w:val="single" w:sz="4" w:space="0" w:color="auto"/>
              <w:right w:val="single" w:sz="4" w:space="0" w:color="auto"/>
            </w:tcBorders>
            <w:shd w:val="clear" w:color="auto" w:fill="auto"/>
            <w:hideMark/>
          </w:tcPr>
          <w:p w14:paraId="2790FCD6"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47,716</w:t>
            </w:r>
          </w:p>
        </w:tc>
        <w:tc>
          <w:tcPr>
            <w:tcW w:w="1670" w:type="dxa"/>
            <w:tcBorders>
              <w:top w:val="nil"/>
              <w:left w:val="nil"/>
              <w:bottom w:val="single" w:sz="4" w:space="0" w:color="auto"/>
              <w:right w:val="single" w:sz="4" w:space="0" w:color="auto"/>
            </w:tcBorders>
            <w:shd w:val="clear" w:color="auto" w:fill="auto"/>
            <w:hideMark/>
          </w:tcPr>
          <w:p w14:paraId="00405A37"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85</w:t>
            </w:r>
          </w:p>
        </w:tc>
      </w:tr>
      <w:tr w:rsidR="00983FED" w:rsidRPr="00983FED" w14:paraId="7441B49E" w14:textId="77777777" w:rsidTr="006C184F">
        <w:trPr>
          <w:trHeight w:val="307"/>
        </w:trPr>
        <w:tc>
          <w:tcPr>
            <w:tcW w:w="3822" w:type="dxa"/>
            <w:tcBorders>
              <w:top w:val="nil"/>
              <w:left w:val="single" w:sz="4" w:space="0" w:color="auto"/>
              <w:bottom w:val="single" w:sz="4" w:space="0" w:color="auto"/>
              <w:right w:val="single" w:sz="4" w:space="0" w:color="auto"/>
            </w:tcBorders>
            <w:shd w:val="clear" w:color="auto" w:fill="auto"/>
            <w:hideMark/>
          </w:tcPr>
          <w:p w14:paraId="66144CB9" w14:textId="77777777" w:rsidR="00983FED" w:rsidRPr="00983FED" w:rsidRDefault="00983FED" w:rsidP="00983FED">
            <w:pPr>
              <w:spacing w:after="0"/>
              <w:rPr>
                <w:rFonts w:ascii="Arial" w:eastAsia="Times New Roman" w:hAnsi="Arial" w:cs="Arial"/>
                <w:sz w:val="16"/>
                <w:szCs w:val="16"/>
                <w:lang w:eastAsia="en-AU"/>
              </w:rPr>
            </w:pPr>
            <w:r w:rsidRPr="00983FED">
              <w:rPr>
                <w:rFonts w:ascii="Arial" w:eastAsia="Times New Roman" w:hAnsi="Arial" w:cs="Arial"/>
                <w:sz w:val="16"/>
                <w:szCs w:val="16"/>
                <w:lang w:eastAsia="en-AU"/>
              </w:rPr>
              <w:t>Partner</w:t>
            </w:r>
          </w:p>
        </w:tc>
        <w:tc>
          <w:tcPr>
            <w:tcW w:w="1232" w:type="dxa"/>
            <w:tcBorders>
              <w:top w:val="nil"/>
              <w:left w:val="nil"/>
              <w:bottom w:val="single" w:sz="4" w:space="0" w:color="auto"/>
              <w:right w:val="single" w:sz="4" w:space="0" w:color="auto"/>
            </w:tcBorders>
            <w:shd w:val="clear" w:color="auto" w:fill="auto"/>
            <w:hideMark/>
          </w:tcPr>
          <w:p w14:paraId="33D0386A"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39,902</w:t>
            </w:r>
          </w:p>
        </w:tc>
        <w:tc>
          <w:tcPr>
            <w:tcW w:w="1545" w:type="dxa"/>
            <w:tcBorders>
              <w:top w:val="nil"/>
              <w:left w:val="nil"/>
              <w:bottom w:val="single" w:sz="4" w:space="0" w:color="auto"/>
              <w:right w:val="single" w:sz="4" w:space="0" w:color="auto"/>
            </w:tcBorders>
            <w:shd w:val="clear" w:color="auto" w:fill="auto"/>
            <w:hideMark/>
          </w:tcPr>
          <w:p w14:paraId="561100DD"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95</w:t>
            </w:r>
          </w:p>
        </w:tc>
        <w:tc>
          <w:tcPr>
            <w:tcW w:w="918" w:type="dxa"/>
            <w:tcBorders>
              <w:top w:val="nil"/>
              <w:left w:val="nil"/>
              <w:bottom w:val="single" w:sz="4" w:space="0" w:color="auto"/>
              <w:right w:val="single" w:sz="4" w:space="0" w:color="auto"/>
            </w:tcBorders>
            <w:shd w:val="clear" w:color="auto" w:fill="auto"/>
            <w:hideMark/>
          </w:tcPr>
          <w:p w14:paraId="655B0DA0"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37,947</w:t>
            </w:r>
          </w:p>
        </w:tc>
        <w:tc>
          <w:tcPr>
            <w:tcW w:w="1670" w:type="dxa"/>
            <w:tcBorders>
              <w:top w:val="nil"/>
              <w:left w:val="nil"/>
              <w:bottom w:val="single" w:sz="4" w:space="0" w:color="auto"/>
              <w:right w:val="single" w:sz="4" w:space="0" w:color="auto"/>
            </w:tcBorders>
            <w:shd w:val="clear" w:color="auto" w:fill="auto"/>
            <w:hideMark/>
          </w:tcPr>
          <w:p w14:paraId="7126B02D"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87</w:t>
            </w:r>
          </w:p>
        </w:tc>
      </w:tr>
      <w:tr w:rsidR="00983FED" w:rsidRPr="00983FED" w14:paraId="4411FB8C" w14:textId="77777777" w:rsidTr="006C184F">
        <w:trPr>
          <w:trHeight w:val="292"/>
        </w:trPr>
        <w:tc>
          <w:tcPr>
            <w:tcW w:w="3822" w:type="dxa"/>
            <w:tcBorders>
              <w:top w:val="nil"/>
              <w:left w:val="single" w:sz="4" w:space="0" w:color="auto"/>
              <w:bottom w:val="single" w:sz="4" w:space="0" w:color="auto"/>
              <w:right w:val="single" w:sz="4" w:space="0" w:color="auto"/>
            </w:tcBorders>
            <w:shd w:val="clear" w:color="auto" w:fill="auto"/>
            <w:hideMark/>
          </w:tcPr>
          <w:p w14:paraId="17BAFE6C" w14:textId="77777777" w:rsidR="00983FED" w:rsidRPr="00983FED" w:rsidRDefault="00983FED" w:rsidP="00983FED">
            <w:pPr>
              <w:spacing w:after="0"/>
              <w:rPr>
                <w:rFonts w:ascii="Arial" w:eastAsia="Times New Roman" w:hAnsi="Arial" w:cs="Arial"/>
                <w:sz w:val="16"/>
                <w:szCs w:val="16"/>
                <w:lang w:eastAsia="en-AU"/>
              </w:rPr>
            </w:pPr>
            <w:r w:rsidRPr="00983FED">
              <w:rPr>
                <w:rFonts w:ascii="Arial" w:eastAsia="Times New Roman" w:hAnsi="Arial" w:cs="Arial"/>
                <w:sz w:val="16"/>
                <w:szCs w:val="16"/>
                <w:lang w:eastAsia="en-AU"/>
              </w:rPr>
              <w:t>Parent</w:t>
            </w:r>
          </w:p>
        </w:tc>
        <w:tc>
          <w:tcPr>
            <w:tcW w:w="1232" w:type="dxa"/>
            <w:tcBorders>
              <w:top w:val="nil"/>
              <w:left w:val="nil"/>
              <w:bottom w:val="single" w:sz="4" w:space="0" w:color="auto"/>
              <w:right w:val="single" w:sz="4" w:space="0" w:color="auto"/>
            </w:tcBorders>
            <w:shd w:val="clear" w:color="auto" w:fill="auto"/>
            <w:hideMark/>
          </w:tcPr>
          <w:p w14:paraId="7BBF33CC"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6,798</w:t>
            </w:r>
          </w:p>
        </w:tc>
        <w:tc>
          <w:tcPr>
            <w:tcW w:w="1545" w:type="dxa"/>
            <w:tcBorders>
              <w:top w:val="nil"/>
              <w:left w:val="nil"/>
              <w:bottom w:val="single" w:sz="4" w:space="0" w:color="auto"/>
              <w:right w:val="single" w:sz="4" w:space="0" w:color="auto"/>
            </w:tcBorders>
            <w:shd w:val="clear" w:color="auto" w:fill="auto"/>
            <w:hideMark/>
          </w:tcPr>
          <w:p w14:paraId="71330CA5"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92</w:t>
            </w:r>
          </w:p>
        </w:tc>
        <w:tc>
          <w:tcPr>
            <w:tcW w:w="918" w:type="dxa"/>
            <w:tcBorders>
              <w:top w:val="nil"/>
              <w:left w:val="nil"/>
              <w:bottom w:val="single" w:sz="4" w:space="0" w:color="auto"/>
              <w:right w:val="single" w:sz="4" w:space="0" w:color="auto"/>
            </w:tcBorders>
            <w:shd w:val="clear" w:color="auto" w:fill="auto"/>
            <w:hideMark/>
          </w:tcPr>
          <w:p w14:paraId="4E7919BD"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6,254</w:t>
            </w:r>
          </w:p>
        </w:tc>
        <w:tc>
          <w:tcPr>
            <w:tcW w:w="1670" w:type="dxa"/>
            <w:tcBorders>
              <w:top w:val="nil"/>
              <w:left w:val="nil"/>
              <w:bottom w:val="single" w:sz="4" w:space="0" w:color="auto"/>
              <w:right w:val="single" w:sz="4" w:space="0" w:color="auto"/>
            </w:tcBorders>
            <w:shd w:val="clear" w:color="auto" w:fill="auto"/>
            <w:hideMark/>
          </w:tcPr>
          <w:p w14:paraId="16DD54FC"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64</w:t>
            </w:r>
          </w:p>
        </w:tc>
      </w:tr>
      <w:tr w:rsidR="00983FED" w:rsidRPr="00983FED" w14:paraId="41DDA9D6" w14:textId="77777777" w:rsidTr="006C184F">
        <w:trPr>
          <w:trHeight w:val="292"/>
        </w:trPr>
        <w:tc>
          <w:tcPr>
            <w:tcW w:w="3822" w:type="dxa"/>
            <w:tcBorders>
              <w:top w:val="nil"/>
              <w:left w:val="single" w:sz="4" w:space="0" w:color="auto"/>
              <w:bottom w:val="single" w:sz="4" w:space="0" w:color="auto"/>
              <w:right w:val="single" w:sz="4" w:space="0" w:color="auto"/>
            </w:tcBorders>
            <w:shd w:val="clear" w:color="auto" w:fill="auto"/>
            <w:hideMark/>
          </w:tcPr>
          <w:p w14:paraId="00EC05F3" w14:textId="77777777" w:rsidR="00983FED" w:rsidRPr="00983FED" w:rsidRDefault="00983FED" w:rsidP="00983FED">
            <w:pPr>
              <w:spacing w:after="0"/>
              <w:rPr>
                <w:rFonts w:ascii="Arial" w:eastAsia="Times New Roman" w:hAnsi="Arial" w:cs="Arial"/>
                <w:sz w:val="16"/>
                <w:szCs w:val="16"/>
                <w:lang w:eastAsia="en-AU"/>
              </w:rPr>
            </w:pPr>
            <w:r w:rsidRPr="00983FED">
              <w:rPr>
                <w:rFonts w:ascii="Arial" w:eastAsia="Times New Roman" w:hAnsi="Arial" w:cs="Arial"/>
                <w:sz w:val="16"/>
                <w:szCs w:val="16"/>
                <w:lang w:eastAsia="en-AU"/>
              </w:rPr>
              <w:t>Other Family</w:t>
            </w:r>
          </w:p>
        </w:tc>
        <w:tc>
          <w:tcPr>
            <w:tcW w:w="1232" w:type="dxa"/>
            <w:tcBorders>
              <w:top w:val="nil"/>
              <w:left w:val="nil"/>
              <w:bottom w:val="single" w:sz="4" w:space="0" w:color="auto"/>
              <w:right w:val="single" w:sz="4" w:space="0" w:color="auto"/>
            </w:tcBorders>
            <w:shd w:val="clear" w:color="auto" w:fill="auto"/>
            <w:hideMark/>
          </w:tcPr>
          <w:p w14:paraId="79ACF7D1"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3,772</w:t>
            </w:r>
          </w:p>
        </w:tc>
        <w:tc>
          <w:tcPr>
            <w:tcW w:w="1545" w:type="dxa"/>
            <w:tcBorders>
              <w:top w:val="nil"/>
              <w:left w:val="nil"/>
              <w:bottom w:val="single" w:sz="4" w:space="0" w:color="auto"/>
              <w:right w:val="single" w:sz="4" w:space="0" w:color="auto"/>
            </w:tcBorders>
            <w:shd w:val="clear" w:color="auto" w:fill="auto"/>
            <w:hideMark/>
          </w:tcPr>
          <w:p w14:paraId="7BAC0422"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93</w:t>
            </w:r>
          </w:p>
        </w:tc>
        <w:tc>
          <w:tcPr>
            <w:tcW w:w="918" w:type="dxa"/>
            <w:tcBorders>
              <w:top w:val="nil"/>
              <w:left w:val="nil"/>
              <w:bottom w:val="single" w:sz="4" w:space="0" w:color="auto"/>
              <w:right w:val="single" w:sz="4" w:space="0" w:color="auto"/>
            </w:tcBorders>
            <w:shd w:val="clear" w:color="auto" w:fill="auto"/>
            <w:hideMark/>
          </w:tcPr>
          <w:p w14:paraId="112797CC"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3,515</w:t>
            </w:r>
          </w:p>
        </w:tc>
        <w:tc>
          <w:tcPr>
            <w:tcW w:w="1670" w:type="dxa"/>
            <w:tcBorders>
              <w:top w:val="nil"/>
              <w:left w:val="nil"/>
              <w:bottom w:val="single" w:sz="4" w:space="0" w:color="auto"/>
              <w:right w:val="single" w:sz="4" w:space="0" w:color="auto"/>
            </w:tcBorders>
            <w:shd w:val="clear" w:color="auto" w:fill="auto"/>
            <w:hideMark/>
          </w:tcPr>
          <w:p w14:paraId="36F721EF"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95</w:t>
            </w:r>
          </w:p>
        </w:tc>
      </w:tr>
      <w:tr w:rsidR="00983FED" w:rsidRPr="00983FED" w14:paraId="3DF6ECBB" w14:textId="77777777" w:rsidTr="006C184F">
        <w:trPr>
          <w:trHeight w:val="292"/>
        </w:trPr>
        <w:tc>
          <w:tcPr>
            <w:tcW w:w="3822" w:type="dxa"/>
            <w:tcBorders>
              <w:top w:val="nil"/>
              <w:left w:val="single" w:sz="4" w:space="0" w:color="auto"/>
              <w:bottom w:val="single" w:sz="4" w:space="0" w:color="auto"/>
              <w:right w:val="single" w:sz="4" w:space="0" w:color="auto"/>
            </w:tcBorders>
            <w:shd w:val="clear" w:color="auto" w:fill="auto"/>
            <w:hideMark/>
          </w:tcPr>
          <w:p w14:paraId="6FC952AD" w14:textId="77777777" w:rsidR="00983FED" w:rsidRPr="00983FED" w:rsidRDefault="00983FED" w:rsidP="00983FED">
            <w:pPr>
              <w:spacing w:after="0"/>
              <w:rPr>
                <w:rFonts w:ascii="Arial" w:eastAsia="Times New Roman" w:hAnsi="Arial" w:cs="Arial"/>
                <w:sz w:val="16"/>
                <w:szCs w:val="16"/>
                <w:lang w:eastAsia="en-AU"/>
              </w:rPr>
            </w:pPr>
            <w:r w:rsidRPr="00983FED">
              <w:rPr>
                <w:rFonts w:ascii="Arial" w:eastAsia="Times New Roman" w:hAnsi="Arial" w:cs="Arial"/>
                <w:sz w:val="16"/>
                <w:szCs w:val="16"/>
                <w:lang w:eastAsia="en-AU"/>
              </w:rPr>
              <w:t>Humanitarian</w:t>
            </w:r>
          </w:p>
        </w:tc>
        <w:tc>
          <w:tcPr>
            <w:tcW w:w="1232" w:type="dxa"/>
            <w:tcBorders>
              <w:top w:val="nil"/>
              <w:left w:val="nil"/>
              <w:bottom w:val="single" w:sz="4" w:space="0" w:color="auto"/>
              <w:right w:val="single" w:sz="4" w:space="0" w:color="auto"/>
            </w:tcBorders>
            <w:shd w:val="clear" w:color="auto" w:fill="auto"/>
            <w:hideMark/>
          </w:tcPr>
          <w:p w14:paraId="1975B22F"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18,131</w:t>
            </w:r>
          </w:p>
        </w:tc>
        <w:tc>
          <w:tcPr>
            <w:tcW w:w="1545" w:type="dxa"/>
            <w:tcBorders>
              <w:top w:val="nil"/>
              <w:left w:val="nil"/>
              <w:bottom w:val="single" w:sz="4" w:space="0" w:color="auto"/>
              <w:right w:val="single" w:sz="4" w:space="0" w:color="auto"/>
            </w:tcBorders>
            <w:shd w:val="clear" w:color="auto" w:fill="auto"/>
            <w:hideMark/>
          </w:tcPr>
          <w:p w14:paraId="534167F3"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99</w:t>
            </w:r>
          </w:p>
        </w:tc>
        <w:tc>
          <w:tcPr>
            <w:tcW w:w="918" w:type="dxa"/>
            <w:tcBorders>
              <w:top w:val="nil"/>
              <w:left w:val="nil"/>
              <w:bottom w:val="single" w:sz="4" w:space="0" w:color="auto"/>
              <w:right w:val="single" w:sz="4" w:space="0" w:color="auto"/>
            </w:tcBorders>
            <w:shd w:val="clear" w:color="auto" w:fill="auto"/>
            <w:hideMark/>
          </w:tcPr>
          <w:p w14:paraId="0F3DBBEF"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17,968</w:t>
            </w:r>
          </w:p>
        </w:tc>
        <w:tc>
          <w:tcPr>
            <w:tcW w:w="1670" w:type="dxa"/>
            <w:tcBorders>
              <w:top w:val="nil"/>
              <w:left w:val="nil"/>
              <w:bottom w:val="single" w:sz="4" w:space="0" w:color="auto"/>
              <w:right w:val="single" w:sz="4" w:space="0" w:color="auto"/>
            </w:tcBorders>
            <w:shd w:val="clear" w:color="auto" w:fill="auto"/>
            <w:hideMark/>
          </w:tcPr>
          <w:p w14:paraId="4E5F6D74"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31</w:t>
            </w:r>
          </w:p>
        </w:tc>
      </w:tr>
      <w:tr w:rsidR="00983FED" w:rsidRPr="00983FED" w14:paraId="5912B5B8" w14:textId="77777777" w:rsidTr="006C184F">
        <w:trPr>
          <w:trHeight w:val="292"/>
        </w:trPr>
        <w:tc>
          <w:tcPr>
            <w:tcW w:w="3822" w:type="dxa"/>
            <w:tcBorders>
              <w:top w:val="nil"/>
              <w:left w:val="single" w:sz="4" w:space="0" w:color="auto"/>
              <w:bottom w:val="single" w:sz="4" w:space="0" w:color="auto"/>
              <w:right w:val="single" w:sz="4" w:space="0" w:color="auto"/>
            </w:tcBorders>
            <w:shd w:val="clear" w:color="auto" w:fill="auto"/>
            <w:hideMark/>
          </w:tcPr>
          <w:p w14:paraId="44E4A9DC" w14:textId="77777777" w:rsidR="00983FED" w:rsidRPr="00983FED" w:rsidRDefault="00983FED" w:rsidP="00983FED">
            <w:pPr>
              <w:spacing w:after="0"/>
              <w:rPr>
                <w:rFonts w:ascii="Arial" w:eastAsia="Times New Roman" w:hAnsi="Arial" w:cs="Arial"/>
                <w:b/>
                <w:bCs/>
                <w:sz w:val="16"/>
                <w:szCs w:val="16"/>
                <w:lang w:eastAsia="en-AU"/>
              </w:rPr>
            </w:pPr>
            <w:r w:rsidRPr="00983FED">
              <w:rPr>
                <w:rFonts w:ascii="Arial" w:eastAsia="Times New Roman" w:hAnsi="Arial" w:cs="Arial"/>
                <w:b/>
                <w:bCs/>
                <w:sz w:val="16"/>
                <w:szCs w:val="16"/>
                <w:lang w:eastAsia="en-AU"/>
              </w:rPr>
              <w:t>Other</w:t>
            </w:r>
          </w:p>
        </w:tc>
        <w:tc>
          <w:tcPr>
            <w:tcW w:w="1232" w:type="dxa"/>
            <w:tcBorders>
              <w:top w:val="nil"/>
              <w:left w:val="nil"/>
              <w:bottom w:val="single" w:sz="4" w:space="0" w:color="auto"/>
              <w:right w:val="single" w:sz="4" w:space="0" w:color="auto"/>
            </w:tcBorders>
            <w:shd w:val="clear" w:color="auto" w:fill="auto"/>
            <w:hideMark/>
          </w:tcPr>
          <w:p w14:paraId="1355344B"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115</w:t>
            </w:r>
          </w:p>
        </w:tc>
        <w:tc>
          <w:tcPr>
            <w:tcW w:w="1545" w:type="dxa"/>
            <w:tcBorders>
              <w:top w:val="nil"/>
              <w:left w:val="nil"/>
              <w:bottom w:val="single" w:sz="4" w:space="0" w:color="auto"/>
              <w:right w:val="single" w:sz="4" w:space="0" w:color="auto"/>
            </w:tcBorders>
            <w:shd w:val="clear" w:color="auto" w:fill="auto"/>
            <w:hideMark/>
          </w:tcPr>
          <w:p w14:paraId="46C3CCC8"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95</w:t>
            </w:r>
          </w:p>
        </w:tc>
        <w:tc>
          <w:tcPr>
            <w:tcW w:w="918" w:type="dxa"/>
            <w:tcBorders>
              <w:top w:val="nil"/>
              <w:left w:val="nil"/>
              <w:bottom w:val="single" w:sz="4" w:space="0" w:color="auto"/>
              <w:right w:val="single" w:sz="4" w:space="0" w:color="auto"/>
            </w:tcBorders>
            <w:shd w:val="clear" w:color="auto" w:fill="auto"/>
            <w:hideMark/>
          </w:tcPr>
          <w:p w14:paraId="6093DC96"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109</w:t>
            </w:r>
          </w:p>
        </w:tc>
        <w:tc>
          <w:tcPr>
            <w:tcW w:w="1670" w:type="dxa"/>
            <w:tcBorders>
              <w:top w:val="nil"/>
              <w:left w:val="nil"/>
              <w:bottom w:val="single" w:sz="4" w:space="0" w:color="auto"/>
              <w:right w:val="single" w:sz="4" w:space="0" w:color="auto"/>
            </w:tcBorders>
            <w:shd w:val="clear" w:color="auto" w:fill="auto"/>
            <w:hideMark/>
          </w:tcPr>
          <w:p w14:paraId="23824EB8" w14:textId="77777777" w:rsidR="00983FED" w:rsidRPr="00983FED" w:rsidRDefault="00983FED" w:rsidP="00983FED">
            <w:pPr>
              <w:spacing w:after="0"/>
              <w:jc w:val="right"/>
              <w:rPr>
                <w:rFonts w:ascii="Arial" w:eastAsia="Times New Roman" w:hAnsi="Arial" w:cs="Arial"/>
                <w:sz w:val="16"/>
                <w:szCs w:val="16"/>
                <w:lang w:eastAsia="en-AU"/>
              </w:rPr>
            </w:pPr>
            <w:r w:rsidRPr="00983FED">
              <w:rPr>
                <w:rFonts w:ascii="Arial" w:eastAsia="Times New Roman" w:hAnsi="Arial" w:cs="Arial"/>
                <w:sz w:val="16"/>
                <w:szCs w:val="16"/>
                <w:lang w:eastAsia="en-AU"/>
              </w:rPr>
              <w:t>55</w:t>
            </w:r>
          </w:p>
        </w:tc>
      </w:tr>
      <w:tr w:rsidR="00983FED" w:rsidRPr="00983FED" w14:paraId="08BB60B1" w14:textId="77777777" w:rsidTr="006C184F">
        <w:trPr>
          <w:trHeight w:val="292"/>
        </w:trPr>
        <w:tc>
          <w:tcPr>
            <w:tcW w:w="3822" w:type="dxa"/>
            <w:tcBorders>
              <w:top w:val="nil"/>
              <w:left w:val="single" w:sz="4" w:space="0" w:color="auto"/>
              <w:bottom w:val="single" w:sz="4" w:space="0" w:color="auto"/>
              <w:right w:val="single" w:sz="4" w:space="0" w:color="auto"/>
            </w:tcBorders>
            <w:shd w:val="clear" w:color="auto" w:fill="auto"/>
            <w:hideMark/>
          </w:tcPr>
          <w:p w14:paraId="3DD23B9F" w14:textId="77777777" w:rsidR="00983FED" w:rsidRPr="00983FED" w:rsidRDefault="00983FED" w:rsidP="00983FED">
            <w:pPr>
              <w:spacing w:after="0"/>
              <w:rPr>
                <w:rFonts w:ascii="Arial" w:eastAsia="Times New Roman" w:hAnsi="Arial" w:cs="Arial"/>
                <w:b/>
                <w:bCs/>
                <w:sz w:val="16"/>
                <w:szCs w:val="16"/>
                <w:lang w:eastAsia="en-AU"/>
              </w:rPr>
            </w:pPr>
            <w:r w:rsidRPr="00983FED">
              <w:rPr>
                <w:rFonts w:ascii="Arial" w:eastAsia="Times New Roman" w:hAnsi="Arial" w:cs="Arial"/>
                <w:b/>
                <w:bCs/>
                <w:sz w:val="16"/>
                <w:szCs w:val="16"/>
                <w:lang w:eastAsia="en-AU"/>
              </w:rPr>
              <w:t>Total</w:t>
            </w:r>
          </w:p>
        </w:tc>
        <w:tc>
          <w:tcPr>
            <w:tcW w:w="1232" w:type="dxa"/>
            <w:tcBorders>
              <w:top w:val="nil"/>
              <w:left w:val="nil"/>
              <w:bottom w:val="single" w:sz="4" w:space="0" w:color="auto"/>
              <w:right w:val="single" w:sz="4" w:space="0" w:color="auto"/>
            </w:tcBorders>
            <w:shd w:val="clear" w:color="auto" w:fill="auto"/>
            <w:hideMark/>
          </w:tcPr>
          <w:p w14:paraId="45460C31" w14:textId="77777777" w:rsidR="00983FED" w:rsidRPr="00983FED" w:rsidRDefault="00983FED" w:rsidP="00983FED">
            <w:pPr>
              <w:spacing w:after="0"/>
              <w:jc w:val="right"/>
              <w:rPr>
                <w:rFonts w:ascii="Arial" w:eastAsia="Times New Roman" w:hAnsi="Arial" w:cs="Arial"/>
                <w:b/>
                <w:bCs/>
                <w:sz w:val="16"/>
                <w:szCs w:val="16"/>
                <w:lang w:eastAsia="en-AU"/>
              </w:rPr>
            </w:pPr>
            <w:r w:rsidRPr="00983FED">
              <w:rPr>
                <w:rFonts w:ascii="Arial" w:eastAsia="Times New Roman" w:hAnsi="Arial" w:cs="Arial"/>
                <w:b/>
                <w:bCs/>
                <w:sz w:val="16"/>
                <w:szCs w:val="16"/>
                <w:lang w:eastAsia="en-AU"/>
              </w:rPr>
              <w:t>178,406</w:t>
            </w:r>
          </w:p>
        </w:tc>
        <w:tc>
          <w:tcPr>
            <w:tcW w:w="1545" w:type="dxa"/>
            <w:tcBorders>
              <w:top w:val="nil"/>
              <w:left w:val="nil"/>
              <w:bottom w:val="single" w:sz="4" w:space="0" w:color="auto"/>
              <w:right w:val="single" w:sz="4" w:space="0" w:color="auto"/>
            </w:tcBorders>
            <w:shd w:val="clear" w:color="auto" w:fill="auto"/>
            <w:hideMark/>
          </w:tcPr>
          <w:p w14:paraId="2B4E8DF1" w14:textId="77777777" w:rsidR="00983FED" w:rsidRPr="00983FED" w:rsidRDefault="00983FED" w:rsidP="00983FED">
            <w:pPr>
              <w:spacing w:after="0"/>
              <w:jc w:val="right"/>
              <w:rPr>
                <w:rFonts w:ascii="Arial" w:eastAsia="Times New Roman" w:hAnsi="Arial" w:cs="Arial"/>
                <w:b/>
                <w:bCs/>
                <w:sz w:val="16"/>
                <w:szCs w:val="16"/>
                <w:lang w:eastAsia="en-AU"/>
              </w:rPr>
            </w:pPr>
            <w:r w:rsidRPr="00983FED">
              <w:rPr>
                <w:rFonts w:ascii="Arial" w:eastAsia="Times New Roman" w:hAnsi="Arial" w:cs="Arial"/>
                <w:b/>
                <w:bCs/>
                <w:sz w:val="16"/>
                <w:szCs w:val="16"/>
                <w:lang w:eastAsia="en-AU"/>
              </w:rPr>
              <w:t>94</w:t>
            </w:r>
          </w:p>
        </w:tc>
        <w:tc>
          <w:tcPr>
            <w:tcW w:w="918" w:type="dxa"/>
            <w:tcBorders>
              <w:top w:val="nil"/>
              <w:left w:val="nil"/>
              <w:bottom w:val="single" w:sz="4" w:space="0" w:color="auto"/>
              <w:right w:val="single" w:sz="4" w:space="0" w:color="auto"/>
            </w:tcBorders>
            <w:shd w:val="clear" w:color="auto" w:fill="auto"/>
            <w:hideMark/>
          </w:tcPr>
          <w:p w14:paraId="7FA81DBB" w14:textId="77777777" w:rsidR="00983FED" w:rsidRPr="00983FED" w:rsidRDefault="00983FED" w:rsidP="00983FED">
            <w:pPr>
              <w:spacing w:after="0"/>
              <w:jc w:val="right"/>
              <w:rPr>
                <w:rFonts w:ascii="Arial" w:eastAsia="Times New Roman" w:hAnsi="Arial" w:cs="Arial"/>
                <w:b/>
                <w:bCs/>
                <w:sz w:val="16"/>
                <w:szCs w:val="16"/>
                <w:lang w:eastAsia="en-AU"/>
              </w:rPr>
            </w:pPr>
            <w:r w:rsidRPr="00983FED">
              <w:rPr>
                <w:rFonts w:ascii="Arial" w:eastAsia="Times New Roman" w:hAnsi="Arial" w:cs="Arial"/>
                <w:b/>
                <w:bCs/>
                <w:sz w:val="16"/>
                <w:szCs w:val="16"/>
                <w:lang w:eastAsia="en-AU"/>
              </w:rPr>
              <w:t>167,487</w:t>
            </w:r>
          </w:p>
        </w:tc>
        <w:tc>
          <w:tcPr>
            <w:tcW w:w="1670" w:type="dxa"/>
            <w:tcBorders>
              <w:top w:val="nil"/>
              <w:left w:val="nil"/>
              <w:bottom w:val="single" w:sz="4" w:space="0" w:color="auto"/>
              <w:right w:val="single" w:sz="4" w:space="0" w:color="auto"/>
            </w:tcBorders>
            <w:shd w:val="clear" w:color="auto" w:fill="auto"/>
            <w:hideMark/>
          </w:tcPr>
          <w:p w14:paraId="6F897E33" w14:textId="77777777" w:rsidR="00983FED" w:rsidRPr="00983FED" w:rsidRDefault="00983FED" w:rsidP="00983FED">
            <w:pPr>
              <w:spacing w:after="0"/>
              <w:jc w:val="right"/>
              <w:rPr>
                <w:rFonts w:ascii="Arial" w:eastAsia="Times New Roman" w:hAnsi="Arial" w:cs="Arial"/>
                <w:b/>
                <w:bCs/>
                <w:sz w:val="16"/>
                <w:szCs w:val="16"/>
                <w:lang w:eastAsia="en-AU"/>
              </w:rPr>
            </w:pPr>
            <w:r w:rsidRPr="00983FED">
              <w:rPr>
                <w:rFonts w:ascii="Arial" w:eastAsia="Times New Roman" w:hAnsi="Arial" w:cs="Arial"/>
                <w:b/>
                <w:bCs/>
                <w:sz w:val="16"/>
                <w:szCs w:val="16"/>
                <w:lang w:eastAsia="en-AU"/>
              </w:rPr>
              <w:t>56</w:t>
            </w:r>
          </w:p>
        </w:tc>
      </w:tr>
    </w:tbl>
    <w:p w14:paraId="20E93100" w14:textId="2CF21A99" w:rsidR="006B46EB" w:rsidRPr="00FD3A14" w:rsidRDefault="0090481D" w:rsidP="006F3D35">
      <w:pPr>
        <w:spacing w:after="0"/>
        <w:rPr>
          <w:sz w:val="18"/>
          <w:szCs w:val="18"/>
        </w:rPr>
      </w:pPr>
      <w:r w:rsidRPr="007C14A6">
        <w:rPr>
          <w:sz w:val="18"/>
          <w:szCs w:val="18"/>
        </w:rPr>
        <w:t>The data for visa grants and share of primary visa</w:t>
      </w:r>
      <w:r w:rsidR="00DF0079" w:rsidRPr="007C14A6">
        <w:rPr>
          <w:sz w:val="18"/>
          <w:szCs w:val="18"/>
        </w:rPr>
        <w:t xml:space="preserve"> holder</w:t>
      </w:r>
      <w:r w:rsidRPr="007C14A6">
        <w:rPr>
          <w:sz w:val="18"/>
          <w:szCs w:val="18"/>
        </w:rPr>
        <w:t xml:space="preserve">s was provided by the Department of Home Affairs. </w:t>
      </w:r>
      <w:r w:rsidR="003B4C7B" w:rsidRPr="007C14A6">
        <w:rPr>
          <w:sz w:val="18"/>
          <w:szCs w:val="18"/>
        </w:rPr>
        <w:t>The p</w:t>
      </w:r>
      <w:r w:rsidR="00133D23" w:rsidRPr="007C14A6">
        <w:rPr>
          <w:sz w:val="18"/>
          <w:szCs w:val="18"/>
        </w:rPr>
        <w:t xml:space="preserve">roportion </w:t>
      </w:r>
      <w:r w:rsidR="003B4C7B" w:rsidRPr="007C14A6">
        <w:rPr>
          <w:sz w:val="18"/>
          <w:szCs w:val="18"/>
        </w:rPr>
        <w:t xml:space="preserve">of migrants that </w:t>
      </w:r>
      <w:r w:rsidR="00133D23" w:rsidRPr="007C14A6">
        <w:rPr>
          <w:sz w:val="18"/>
          <w:szCs w:val="18"/>
        </w:rPr>
        <w:t xml:space="preserve">ever </w:t>
      </w:r>
      <w:r w:rsidR="00133D23" w:rsidRPr="000B2730">
        <w:rPr>
          <w:sz w:val="18"/>
          <w:szCs w:val="18"/>
        </w:rPr>
        <w:t xml:space="preserve">arrive is </w:t>
      </w:r>
      <w:r w:rsidR="00467DBE" w:rsidRPr="000B2730">
        <w:rPr>
          <w:sz w:val="18"/>
          <w:szCs w:val="18"/>
        </w:rPr>
        <w:t xml:space="preserve">estimated </w:t>
      </w:r>
      <w:r w:rsidR="006446AE">
        <w:rPr>
          <w:sz w:val="18"/>
          <w:szCs w:val="18"/>
        </w:rPr>
        <w:t>as</w:t>
      </w:r>
      <w:r w:rsidR="004A0856" w:rsidRPr="000B2730">
        <w:rPr>
          <w:sz w:val="18"/>
          <w:szCs w:val="18"/>
        </w:rPr>
        <w:t xml:space="preserve"> those granted </w:t>
      </w:r>
      <w:r w:rsidR="004A0856" w:rsidRPr="00FD3A14">
        <w:rPr>
          <w:sz w:val="18"/>
          <w:szCs w:val="18"/>
        </w:rPr>
        <w:t>a visa in 2006</w:t>
      </w:r>
      <w:r w:rsidR="00F62807">
        <w:rPr>
          <w:sz w:val="18"/>
          <w:szCs w:val="18"/>
        </w:rPr>
        <w:t>–</w:t>
      </w:r>
      <w:r w:rsidR="004A0856" w:rsidRPr="00FD3A14">
        <w:rPr>
          <w:sz w:val="18"/>
          <w:szCs w:val="18"/>
        </w:rPr>
        <w:t xml:space="preserve">07, </w:t>
      </w:r>
      <w:r w:rsidR="006C3094" w:rsidRPr="00FD3A14">
        <w:rPr>
          <w:sz w:val="18"/>
          <w:szCs w:val="18"/>
        </w:rPr>
        <w:t>and then observed</w:t>
      </w:r>
      <w:r w:rsidR="004A0856" w:rsidRPr="00FD3A14">
        <w:rPr>
          <w:sz w:val="18"/>
          <w:szCs w:val="18"/>
        </w:rPr>
        <w:t xml:space="preserve"> to </w:t>
      </w:r>
      <w:r w:rsidR="00C242B6" w:rsidRPr="00FD3A14">
        <w:rPr>
          <w:sz w:val="18"/>
          <w:szCs w:val="18"/>
        </w:rPr>
        <w:t xml:space="preserve">permanently settle in Australia </w:t>
      </w:r>
      <w:r w:rsidR="006446AE">
        <w:rPr>
          <w:sz w:val="18"/>
          <w:szCs w:val="18"/>
        </w:rPr>
        <w:t>at any stage before</w:t>
      </w:r>
      <w:r w:rsidR="006446AE" w:rsidRPr="000B2730">
        <w:rPr>
          <w:sz w:val="18"/>
          <w:szCs w:val="18"/>
        </w:rPr>
        <w:t xml:space="preserve"> </w:t>
      </w:r>
      <w:r w:rsidR="00C242B6" w:rsidRPr="000B2730">
        <w:rPr>
          <w:sz w:val="18"/>
          <w:szCs w:val="18"/>
        </w:rPr>
        <w:t>2016</w:t>
      </w:r>
      <w:r w:rsidR="00F62807">
        <w:rPr>
          <w:sz w:val="18"/>
          <w:szCs w:val="18"/>
        </w:rPr>
        <w:t>–</w:t>
      </w:r>
      <w:r w:rsidR="00C242B6" w:rsidRPr="000B2730">
        <w:rPr>
          <w:sz w:val="18"/>
          <w:szCs w:val="18"/>
        </w:rPr>
        <w:t xml:space="preserve">17 </w:t>
      </w:r>
      <w:r w:rsidR="00C242B6" w:rsidRPr="00FD3A14">
        <w:rPr>
          <w:sz w:val="18"/>
          <w:szCs w:val="18"/>
        </w:rPr>
        <w:t xml:space="preserve">(using </w:t>
      </w:r>
      <w:r w:rsidR="00060990" w:rsidRPr="00FD3A14">
        <w:rPr>
          <w:sz w:val="18"/>
          <w:szCs w:val="18"/>
        </w:rPr>
        <w:t>the</w:t>
      </w:r>
      <w:r w:rsidR="00C242B6" w:rsidRPr="00FD3A14">
        <w:rPr>
          <w:sz w:val="18"/>
          <w:szCs w:val="18"/>
        </w:rPr>
        <w:t xml:space="preserve"> definition of sett</w:t>
      </w:r>
      <w:r w:rsidR="0071458D" w:rsidRPr="00FD3A14">
        <w:rPr>
          <w:sz w:val="18"/>
          <w:szCs w:val="18"/>
        </w:rPr>
        <w:t xml:space="preserve">lement </w:t>
      </w:r>
      <w:r w:rsidR="00060990" w:rsidRPr="00FD3A14">
        <w:rPr>
          <w:sz w:val="18"/>
          <w:szCs w:val="18"/>
        </w:rPr>
        <w:t>from the ABS net overseas migration statistics).</w:t>
      </w:r>
      <w:r w:rsidR="0071458D" w:rsidRPr="00FD3A14">
        <w:rPr>
          <w:sz w:val="18"/>
          <w:szCs w:val="18"/>
        </w:rPr>
        <w:t xml:space="preserve"> </w:t>
      </w:r>
      <w:r w:rsidR="000472BB" w:rsidRPr="000472BB">
        <w:rPr>
          <w:sz w:val="18"/>
          <w:szCs w:val="18"/>
        </w:rPr>
        <w:t xml:space="preserve">Later cohorts of BIIP migrants are observed to have a higher arrival rate than the 2006-07 </w:t>
      </w:r>
      <w:proofErr w:type="gramStart"/>
      <w:r w:rsidR="000472BB" w:rsidRPr="000472BB">
        <w:rPr>
          <w:sz w:val="18"/>
          <w:szCs w:val="18"/>
        </w:rPr>
        <w:t>cohort, but</w:t>
      </w:r>
      <w:proofErr w:type="gramEnd"/>
      <w:r w:rsidR="000472BB" w:rsidRPr="000472BB">
        <w:rPr>
          <w:sz w:val="18"/>
          <w:szCs w:val="18"/>
        </w:rPr>
        <w:t xml:space="preserve"> continue to arrive at a slightly lower rate relative to other permanent migrant cohorts.</w:t>
      </w:r>
      <w:r w:rsidR="000472BB">
        <w:rPr>
          <w:sz w:val="18"/>
          <w:szCs w:val="18"/>
        </w:rPr>
        <w:t xml:space="preserve"> </w:t>
      </w:r>
      <w:r w:rsidR="006B46EB" w:rsidRPr="00FD3A14">
        <w:rPr>
          <w:sz w:val="18"/>
          <w:szCs w:val="18"/>
        </w:rPr>
        <w:t xml:space="preserve">All per capita estimates of fiscal impact presented in this paper are based on </w:t>
      </w:r>
      <w:r w:rsidR="006B46EB" w:rsidRPr="00FD3A14">
        <w:rPr>
          <w:sz w:val="18"/>
          <w:szCs w:val="18"/>
        </w:rPr>
        <w:lastRenderedPageBreak/>
        <w:t xml:space="preserve">total arrivals, rather than total visa grants. </w:t>
      </w:r>
      <w:r w:rsidR="00E026B0">
        <w:rPr>
          <w:sz w:val="18"/>
          <w:szCs w:val="18"/>
        </w:rPr>
        <w:t>The share of primary visa holders is calculated as the number of primary visa arrivals divided by total arrivals in each row.</w:t>
      </w:r>
    </w:p>
    <w:p w14:paraId="38F36824" w14:textId="52003A24" w:rsidR="00531452" w:rsidRDefault="0004274F" w:rsidP="006A7F30">
      <w:pPr>
        <w:spacing w:before="120"/>
      </w:pPr>
      <w:r>
        <w:t>Estimates in this paper are</w:t>
      </w:r>
      <w:r w:rsidR="00CC579F">
        <w:t xml:space="preserve"> based on the 2018</w:t>
      </w:r>
      <w:r w:rsidR="00F62807">
        <w:t>–</w:t>
      </w:r>
      <w:r w:rsidR="00CC579F">
        <w:t>19</w:t>
      </w:r>
      <w:r w:rsidR="004F76CF">
        <w:t xml:space="preserve"> permanent</w:t>
      </w:r>
      <w:r w:rsidR="00CC579F">
        <w:t xml:space="preserve"> migrant cohort and </w:t>
      </w:r>
      <w:r>
        <w:t xml:space="preserve">are </w:t>
      </w:r>
      <w:r w:rsidR="00742653">
        <w:t>calibrated using economic and fiscal data from 2018</w:t>
      </w:r>
      <w:r w:rsidR="00F62807">
        <w:t>–</w:t>
      </w:r>
      <w:r w:rsidR="00742653">
        <w:t>19 and earlier years</w:t>
      </w:r>
      <w:r w:rsidR="00531452">
        <w:t>. This has two important implications:</w:t>
      </w:r>
    </w:p>
    <w:p w14:paraId="1DC0F8A1" w14:textId="6A102D4B" w:rsidR="00232EEE" w:rsidRPr="00825E78" w:rsidRDefault="00531452" w:rsidP="00825E78">
      <w:pPr>
        <w:pStyle w:val="Bullet"/>
      </w:pPr>
      <w:r w:rsidRPr="00825E78">
        <w:t>The</w:t>
      </w:r>
      <w:r w:rsidR="0004274F" w:rsidRPr="00825E78">
        <w:t xml:space="preserve"> paper </w:t>
      </w:r>
      <w:r w:rsidR="00742653" w:rsidRPr="00825E78">
        <w:t>does not capture the economic impact of COVID</w:t>
      </w:r>
      <w:r w:rsidR="006E5E41">
        <w:t>-</w:t>
      </w:r>
      <w:r w:rsidR="00742653" w:rsidRPr="00825E78">
        <w:t>19 on the Australian economy</w:t>
      </w:r>
      <w:r w:rsidR="00D55FCB" w:rsidRPr="00825E78">
        <w:t xml:space="preserve">, or the changes that have been made to the </w:t>
      </w:r>
      <w:r w:rsidR="006761AF" w:rsidRPr="00825E78">
        <w:t xml:space="preserve">permanent </w:t>
      </w:r>
      <w:r w:rsidR="00D55FCB" w:rsidRPr="00825E78">
        <w:t xml:space="preserve">migration program since </w:t>
      </w:r>
      <w:r w:rsidR="006761AF" w:rsidRPr="00825E78">
        <w:t>2018</w:t>
      </w:r>
      <w:r w:rsidR="00F62807" w:rsidRPr="00825E78">
        <w:t>–</w:t>
      </w:r>
      <w:r w:rsidR="006761AF" w:rsidRPr="00825E78">
        <w:t>19</w:t>
      </w:r>
      <w:r w:rsidR="00FA6F32" w:rsidRPr="00BD002C">
        <w:rPr>
          <w:rStyle w:val="FootnoteReference"/>
        </w:rPr>
        <w:footnoteReference w:id="9"/>
      </w:r>
      <w:r w:rsidR="00FA6F32">
        <w:t xml:space="preserve"> including changes made</w:t>
      </w:r>
      <w:r w:rsidR="000972A1" w:rsidRPr="00825E78">
        <w:t xml:space="preserve"> in response to border closures</w:t>
      </w:r>
      <w:r w:rsidR="00742653" w:rsidRPr="00825E78">
        <w:t>.</w:t>
      </w:r>
      <w:r w:rsidR="00742653" w:rsidRPr="00BD002C">
        <w:rPr>
          <w:vertAlign w:val="superscript"/>
        </w:rPr>
        <w:t xml:space="preserve"> </w:t>
      </w:r>
      <w:r w:rsidR="00742653" w:rsidRPr="00825E78">
        <w:t xml:space="preserve">This </w:t>
      </w:r>
      <w:r w:rsidR="00395977" w:rsidRPr="00825E78">
        <w:t xml:space="preserve">means that </w:t>
      </w:r>
      <w:r w:rsidR="0004274F" w:rsidRPr="00825E78">
        <w:t>estimates in this paper</w:t>
      </w:r>
      <w:r w:rsidR="00395977" w:rsidRPr="00825E78">
        <w:t xml:space="preserve"> represent the fiscal impact of migration in</w:t>
      </w:r>
      <w:r w:rsidR="00742653" w:rsidRPr="00825E78">
        <w:t xml:space="preserve"> </w:t>
      </w:r>
      <w:r w:rsidR="00337364" w:rsidRPr="00825E78">
        <w:t xml:space="preserve">more </w:t>
      </w:r>
      <w:r w:rsidR="00742653" w:rsidRPr="00825E78">
        <w:t xml:space="preserve">‘typical’ economic </w:t>
      </w:r>
      <w:r w:rsidR="000F07E4" w:rsidRPr="00825E78">
        <w:t>circumstances</w:t>
      </w:r>
      <w:r w:rsidR="00742653" w:rsidRPr="00825E78">
        <w:t>.</w:t>
      </w:r>
      <w:r w:rsidR="00742653" w:rsidRPr="00BB7916">
        <w:rPr>
          <w:rStyle w:val="FootnoteReference"/>
        </w:rPr>
        <w:footnoteReference w:id="10"/>
      </w:r>
      <w:r w:rsidR="00742653" w:rsidRPr="00BB7916">
        <w:rPr>
          <w:vertAlign w:val="superscript"/>
        </w:rPr>
        <w:t xml:space="preserve"> </w:t>
      </w:r>
    </w:p>
    <w:p w14:paraId="463E5D9E" w14:textId="29BB9E9F" w:rsidR="00531452" w:rsidRPr="00825E78" w:rsidRDefault="00531452" w:rsidP="00825E78">
      <w:pPr>
        <w:pStyle w:val="Bullet"/>
      </w:pPr>
      <w:r w:rsidRPr="00825E78">
        <w:t>The estimates of lifetime fiscal impact presented in this paper are based on the experiences of previous migrant cohorts and may not capture emerging trends related to migrants’ experience in Australia.</w:t>
      </w:r>
    </w:p>
    <w:p w14:paraId="4F27E0B4" w14:textId="5B9F697A" w:rsidR="00662350" w:rsidRDefault="00F34029" w:rsidP="001A66C0">
      <w:pPr>
        <w:pStyle w:val="Heading3"/>
      </w:pPr>
      <w:bookmarkStart w:id="17" w:name="_Toc77175210"/>
      <w:r>
        <w:t xml:space="preserve">Fiscal impact is only one </w:t>
      </w:r>
      <w:r w:rsidR="00FE568B">
        <w:t xml:space="preserve">aspect </w:t>
      </w:r>
      <w:r>
        <w:t>of the permanent migration program</w:t>
      </w:r>
      <w:bookmarkEnd w:id="17"/>
      <w:r w:rsidR="00C177DD">
        <w:t xml:space="preserve"> </w:t>
      </w:r>
    </w:p>
    <w:p w14:paraId="422A7570" w14:textId="4F7A1388" w:rsidR="00A279CA" w:rsidRDefault="00C9318D" w:rsidP="008027CA">
      <w:r>
        <w:t>T</w:t>
      </w:r>
      <w:r w:rsidR="00640044">
        <w:t>he long</w:t>
      </w:r>
      <w:r w:rsidR="006E5E41">
        <w:t>-</w:t>
      </w:r>
      <w:r w:rsidR="00640044">
        <w:t xml:space="preserve">term </w:t>
      </w:r>
      <w:r w:rsidR="008010E6">
        <w:t>f</w:t>
      </w:r>
      <w:r w:rsidR="000F07E4">
        <w:t>iscal impact of migration is a</w:t>
      </w:r>
      <w:r w:rsidR="00F34029">
        <w:t>n important</w:t>
      </w:r>
      <w:r w:rsidR="000F07E4">
        <w:t xml:space="preserve"> </w:t>
      </w:r>
      <w:r w:rsidR="00FE568B">
        <w:t xml:space="preserve">consideration when assessing </w:t>
      </w:r>
      <w:r w:rsidR="008010E6">
        <w:t xml:space="preserve">the permanent migration program. </w:t>
      </w:r>
      <w:r w:rsidR="00423841">
        <w:t xml:space="preserve">For instance, </w:t>
      </w:r>
      <w:r w:rsidR="00F43D21">
        <w:t>the long</w:t>
      </w:r>
      <w:r w:rsidR="006E5E41">
        <w:t>-</w:t>
      </w:r>
      <w:r w:rsidR="00F43D21">
        <w:t>term fiscal impact of the migration program will i</w:t>
      </w:r>
      <w:r w:rsidR="000F07E4">
        <w:t>mpact</w:t>
      </w:r>
      <w:r w:rsidR="00423841">
        <w:t xml:space="preserve"> budget planning decisions such as </w:t>
      </w:r>
      <w:r w:rsidR="00A279CA">
        <w:t xml:space="preserve">those discussed in </w:t>
      </w:r>
      <w:r w:rsidR="00923223">
        <w:t>the</w:t>
      </w:r>
      <w:r w:rsidR="00E33E04">
        <w:t xml:space="preserve"> 2021</w:t>
      </w:r>
      <w:r w:rsidR="00923223">
        <w:t xml:space="preserve"> </w:t>
      </w:r>
      <w:r w:rsidR="00423841">
        <w:t>Inter</w:t>
      </w:r>
      <w:r w:rsidR="00F70FC8">
        <w:t>g</w:t>
      </w:r>
      <w:r w:rsidR="00423841">
        <w:t>enerational Report.</w:t>
      </w:r>
      <w:r w:rsidR="002A50C7">
        <w:t xml:space="preserve"> </w:t>
      </w:r>
      <w:r w:rsidR="00B538A1">
        <w:t xml:space="preserve">All other things equal, a </w:t>
      </w:r>
      <w:r w:rsidR="000F07E4">
        <w:t xml:space="preserve">permanent </w:t>
      </w:r>
      <w:r w:rsidR="00B538A1">
        <w:t>migration program with a positive fiscal impact allow</w:t>
      </w:r>
      <w:r w:rsidR="00DE5329">
        <w:t>s</w:t>
      </w:r>
      <w:r w:rsidR="00B538A1">
        <w:t xml:space="preserve"> taxes to be lowered</w:t>
      </w:r>
      <w:r w:rsidR="00DE5329">
        <w:t>, government debt to be reduced</w:t>
      </w:r>
      <w:r w:rsidR="00E977F0">
        <w:t xml:space="preserve"> or spending to be </w:t>
      </w:r>
      <w:r w:rsidR="00C22029">
        <w:t xml:space="preserve">increased </w:t>
      </w:r>
      <w:r w:rsidR="00B538A1">
        <w:t>across the population.</w:t>
      </w:r>
    </w:p>
    <w:p w14:paraId="1A4B900F" w14:textId="099551B1" w:rsidR="00062875" w:rsidRDefault="00062875" w:rsidP="006C184F">
      <w:r>
        <w:t xml:space="preserve">However, </w:t>
      </w:r>
      <w:r w:rsidR="00640044">
        <w:t xml:space="preserve">there are many other important </w:t>
      </w:r>
      <w:r w:rsidR="006B46EB">
        <w:t>outcome</w:t>
      </w:r>
      <w:r w:rsidR="00640044">
        <w:t>s of the migration program that are not captured within the FIONA framework</w:t>
      </w:r>
      <w:r>
        <w:t>, such as:</w:t>
      </w:r>
    </w:p>
    <w:p w14:paraId="1614783B" w14:textId="70697F75" w:rsidR="00617326" w:rsidRPr="00825E78" w:rsidRDefault="0030540C" w:rsidP="006C184F">
      <w:pPr>
        <w:pStyle w:val="Bullet"/>
        <w:keepNext w:val="0"/>
      </w:pPr>
      <w:r w:rsidRPr="00825E78">
        <w:t>The value</w:t>
      </w:r>
      <w:r w:rsidR="00804A46" w:rsidRPr="00825E78">
        <w:t xml:space="preserve"> placed</w:t>
      </w:r>
      <w:r w:rsidRPr="00825E78">
        <w:t xml:space="preserve"> </w:t>
      </w:r>
      <w:r w:rsidR="00804A46" w:rsidRPr="00825E78">
        <w:t>o</w:t>
      </w:r>
      <w:r w:rsidR="003326A5" w:rsidRPr="00825E78">
        <w:t>n</w:t>
      </w:r>
      <w:r w:rsidR="000C4D98" w:rsidRPr="00825E78">
        <w:t xml:space="preserve"> family</w:t>
      </w:r>
      <w:r w:rsidRPr="00825E78">
        <w:t xml:space="preserve"> reunion</w:t>
      </w:r>
      <w:r w:rsidR="00617326" w:rsidRPr="00825E78">
        <w:t xml:space="preserve"> </w:t>
      </w:r>
      <w:r w:rsidR="00804A46" w:rsidRPr="00825E78">
        <w:t xml:space="preserve">or on the </w:t>
      </w:r>
      <w:r w:rsidR="00C405FA" w:rsidRPr="00825E78">
        <w:t>resettlement of humanitarian migrants</w:t>
      </w:r>
      <w:r w:rsidR="00804A46" w:rsidRPr="00825E78">
        <w:t>.</w:t>
      </w:r>
    </w:p>
    <w:p w14:paraId="1B87BD56" w14:textId="77777777" w:rsidR="00DE07A5" w:rsidRPr="00825E78" w:rsidRDefault="00DE07A5" w:rsidP="006C184F">
      <w:pPr>
        <w:pStyle w:val="Bullet"/>
        <w:keepNext w:val="0"/>
      </w:pPr>
      <w:r w:rsidRPr="00825E78">
        <w:t>Any broader economic impacts of migration including improvements to productivity through information sharing, changes to Australian wages and employment levels</w:t>
      </w:r>
      <w:r w:rsidRPr="00BB7916">
        <w:rPr>
          <w:rStyle w:val="FootnoteReference"/>
        </w:rPr>
        <w:footnoteReference w:id="11"/>
      </w:r>
      <w:r w:rsidRPr="00825E78">
        <w:t xml:space="preserve"> or the Australian distribution of income.</w:t>
      </w:r>
    </w:p>
    <w:p w14:paraId="7438CE66" w14:textId="17942A87" w:rsidR="00E52D87" w:rsidRPr="00825E78" w:rsidRDefault="00E52D87" w:rsidP="006C184F">
      <w:pPr>
        <w:pStyle w:val="Bullet"/>
        <w:keepNext w:val="0"/>
      </w:pPr>
      <w:r w:rsidRPr="00825E78">
        <w:t>The provision of non</w:t>
      </w:r>
      <w:r w:rsidR="006E5E41">
        <w:t>-</w:t>
      </w:r>
      <w:r w:rsidRPr="00825E78">
        <w:t>market services by migrants</w:t>
      </w:r>
      <w:r w:rsidR="003015BF" w:rsidRPr="00825E78">
        <w:t>,</w:t>
      </w:r>
      <w:r w:rsidRPr="00825E78">
        <w:t xml:space="preserve"> such as family caring responsibilities</w:t>
      </w:r>
      <w:r w:rsidR="00450445" w:rsidRPr="00825E78">
        <w:t>.</w:t>
      </w:r>
    </w:p>
    <w:p w14:paraId="05A7498F" w14:textId="1A530405" w:rsidR="00E52D87" w:rsidRPr="00825E78" w:rsidRDefault="005E30E9" w:rsidP="006C184F">
      <w:pPr>
        <w:pStyle w:val="Bullet"/>
        <w:keepNext w:val="0"/>
      </w:pPr>
      <w:r w:rsidRPr="00825E78">
        <w:t>The impact of migration on c</w:t>
      </w:r>
      <w:r w:rsidR="009323BF" w:rsidRPr="00825E78">
        <w:t xml:space="preserve">ongestion </w:t>
      </w:r>
      <w:r w:rsidRPr="00825E78">
        <w:t>in Australian cities</w:t>
      </w:r>
      <w:r w:rsidR="003B707C" w:rsidRPr="00825E78">
        <w:t xml:space="preserve"> and delays in the planning and construction of infrastructure</w:t>
      </w:r>
      <w:r w:rsidRPr="00825E78">
        <w:t xml:space="preserve"> (noting that FIONA does </w:t>
      </w:r>
      <w:r w:rsidR="00517339" w:rsidRPr="00825E78">
        <w:t>account for</w:t>
      </w:r>
      <w:r w:rsidRPr="00825E78">
        <w:t xml:space="preserve"> additional infrastructure spending</w:t>
      </w:r>
      <w:r w:rsidR="00517339" w:rsidRPr="00825E78">
        <w:t xml:space="preserve"> due to migration</w:t>
      </w:r>
      <w:r w:rsidRPr="00825E78">
        <w:t>)</w:t>
      </w:r>
      <w:r w:rsidR="003949B9" w:rsidRPr="00825E78">
        <w:t>.</w:t>
      </w:r>
      <w:r w:rsidR="000970E0" w:rsidRPr="00825E78">
        <w:t xml:space="preserve"> </w:t>
      </w:r>
    </w:p>
    <w:p w14:paraId="1CF74E87" w14:textId="77777777" w:rsidR="00C9318D" w:rsidRPr="00825E78" w:rsidRDefault="00C9318D" w:rsidP="006C184F">
      <w:pPr>
        <w:pStyle w:val="Bullet"/>
        <w:keepNext w:val="0"/>
      </w:pPr>
      <w:r w:rsidRPr="00825E78">
        <w:t>The reciprocal behaviour of other countries responding to Australian migration settings.</w:t>
      </w:r>
      <w:r w:rsidRPr="00BB7916">
        <w:rPr>
          <w:rStyle w:val="FootnoteReference"/>
        </w:rPr>
        <w:footnoteReference w:id="12"/>
      </w:r>
    </w:p>
    <w:p w14:paraId="0C15B51C" w14:textId="58C72FA9" w:rsidR="005E30E9" w:rsidRPr="00825E78" w:rsidRDefault="005E30E9" w:rsidP="006C184F">
      <w:pPr>
        <w:pStyle w:val="Bullet"/>
        <w:keepNext w:val="0"/>
      </w:pPr>
      <w:r w:rsidRPr="00825E78">
        <w:t>The environmental impact of a larger Australian population</w:t>
      </w:r>
      <w:r w:rsidR="003949B9" w:rsidRPr="00825E78">
        <w:t>.</w:t>
      </w:r>
      <w:r w:rsidR="00141A4D" w:rsidRPr="00825E78">
        <w:t xml:space="preserve"> </w:t>
      </w:r>
    </w:p>
    <w:p w14:paraId="199B08ED" w14:textId="4459F924" w:rsidR="00EF486D" w:rsidRPr="00825E78" w:rsidRDefault="00EF486D" w:rsidP="006C184F">
      <w:pPr>
        <w:pStyle w:val="Bullet"/>
        <w:keepNext w:val="0"/>
      </w:pPr>
      <w:r w:rsidRPr="00825E78">
        <w:lastRenderedPageBreak/>
        <w:t>The impact that Australia</w:t>
      </w:r>
      <w:r w:rsidR="004E0EBB">
        <w:t>n</w:t>
      </w:r>
      <w:r w:rsidRPr="00825E78">
        <w:t xml:space="preserve"> migration policy has on outbound migration.</w:t>
      </w:r>
      <w:r w:rsidRPr="00BB7916">
        <w:rPr>
          <w:rStyle w:val="FootnoteReference"/>
        </w:rPr>
        <w:footnoteReference w:id="13"/>
      </w:r>
      <w:r w:rsidRPr="00BB7916">
        <w:rPr>
          <w:vertAlign w:val="superscript"/>
        </w:rPr>
        <w:t xml:space="preserve"> </w:t>
      </w:r>
    </w:p>
    <w:p w14:paraId="226623BF" w14:textId="58B53F40" w:rsidR="009954E3" w:rsidRDefault="009954E3" w:rsidP="008027CA">
      <w:r>
        <w:t xml:space="preserve">A </w:t>
      </w:r>
      <w:r w:rsidR="00FE568B">
        <w:t xml:space="preserve">longer </w:t>
      </w:r>
      <w:r>
        <w:t xml:space="preserve">discussion of this broader policy framework, along with some guidance for how economic models can be interpreted within that </w:t>
      </w:r>
      <w:r w:rsidR="00BA7892">
        <w:t>framework</w:t>
      </w:r>
      <w:r>
        <w:t>, can be found in Productivity Commission</w:t>
      </w:r>
      <w:r w:rsidR="00BA7892">
        <w:t> </w:t>
      </w:r>
      <w:r>
        <w:t>(2016)</w:t>
      </w:r>
      <w:r w:rsidR="00A80A11" w:rsidRPr="00A80A11">
        <w:rPr>
          <w:rStyle w:val="FootnoteReference"/>
          <w:lang w:val="en-US" w:eastAsia="en-AU"/>
        </w:rPr>
        <w:t xml:space="preserve"> </w:t>
      </w:r>
      <w:r w:rsidR="00A80A11">
        <w:rPr>
          <w:rStyle w:val="FootnoteReference"/>
          <w:lang w:val="en-US" w:eastAsia="en-AU"/>
        </w:rPr>
        <w:footnoteReference w:id="14"/>
      </w:r>
      <w:r w:rsidR="00A80A11">
        <w:t xml:space="preserve"> and Grattan Institute (2021)</w:t>
      </w:r>
      <w:r w:rsidR="00F06E9C">
        <w:t>.</w:t>
      </w:r>
      <w:r w:rsidR="00A80A11">
        <w:rPr>
          <w:rStyle w:val="FootnoteReference"/>
        </w:rPr>
        <w:footnoteReference w:id="15"/>
      </w:r>
    </w:p>
    <w:p w14:paraId="42278B09" w14:textId="192648EF" w:rsidR="00662350" w:rsidRDefault="00C177DD" w:rsidP="001A66C0">
      <w:pPr>
        <w:pStyle w:val="Heading3"/>
      </w:pPr>
      <w:bookmarkStart w:id="18" w:name="_Toc77175211"/>
      <w:r>
        <w:t>FIONA results complement shorter</w:t>
      </w:r>
      <w:r w:rsidR="006E5E41">
        <w:t>-</w:t>
      </w:r>
      <w:r>
        <w:t>term fiscal estimates</w:t>
      </w:r>
      <w:bookmarkEnd w:id="18"/>
    </w:p>
    <w:p w14:paraId="4DF9E19E" w14:textId="37334909" w:rsidR="00DC5747" w:rsidRDefault="004B1A57" w:rsidP="00825E78">
      <w:r>
        <w:t xml:space="preserve">FIONA estimates the fiscal impact of </w:t>
      </w:r>
      <w:r w:rsidR="00232D4A">
        <w:t xml:space="preserve">permanent </w:t>
      </w:r>
      <w:r>
        <w:t>migrant</w:t>
      </w:r>
      <w:r w:rsidR="00232D4A">
        <w:t>s until the</w:t>
      </w:r>
      <w:r w:rsidR="00467DBE">
        <w:t>y</w:t>
      </w:r>
      <w:r w:rsidR="00232D4A">
        <w:t xml:space="preserve"> die or emigrate from Australia</w:t>
      </w:r>
      <w:r>
        <w:t xml:space="preserve">. </w:t>
      </w:r>
      <w:r w:rsidR="003C684B">
        <w:t xml:space="preserve">This creates a lifetime profile of </w:t>
      </w:r>
      <w:r w:rsidR="00FE568B">
        <w:t xml:space="preserve">government </w:t>
      </w:r>
      <w:r w:rsidR="003C684B">
        <w:t>revenues and expenses</w:t>
      </w:r>
      <w:r w:rsidR="00DF6304">
        <w:t xml:space="preserve"> (</w:t>
      </w:r>
      <w:r w:rsidR="00C22029">
        <w:t xml:space="preserve">net impact is shown as a solid black line in </w:t>
      </w:r>
      <w:r w:rsidR="009B1A7F">
        <w:t>Chart 2</w:t>
      </w:r>
      <w:r w:rsidR="00DF6304">
        <w:t>).</w:t>
      </w:r>
    </w:p>
    <w:p w14:paraId="6DE2736A" w14:textId="75C65953" w:rsidR="00DF6304" w:rsidRPr="00F95E0C" w:rsidRDefault="0093250E" w:rsidP="00FB0712">
      <w:pPr>
        <w:pStyle w:val="ChartMainHeading"/>
        <w:rPr>
          <w:spacing w:val="-2"/>
        </w:rPr>
      </w:pPr>
      <w:r w:rsidRPr="00F95E0C">
        <w:rPr>
          <w:spacing w:val="-2"/>
        </w:rPr>
        <w:t>Chart 2:</w:t>
      </w:r>
      <w:r w:rsidR="001E5C33" w:rsidRPr="00F95E0C">
        <w:rPr>
          <w:spacing w:val="-2"/>
        </w:rPr>
        <w:t xml:space="preserve"> </w:t>
      </w:r>
      <w:r w:rsidR="00DF6304" w:rsidRPr="00F95E0C">
        <w:rPr>
          <w:spacing w:val="-2"/>
        </w:rPr>
        <w:t>Lifetime profile of revenues and expenses</w:t>
      </w:r>
      <w:r w:rsidR="001E5C33" w:rsidRPr="00F95E0C">
        <w:rPr>
          <w:spacing w:val="-2"/>
        </w:rPr>
        <w:t xml:space="preserve"> </w:t>
      </w:r>
      <w:r w:rsidR="002377C4" w:rsidRPr="00F95E0C">
        <w:rPr>
          <w:spacing w:val="-2"/>
        </w:rPr>
        <w:t>for the 2018</w:t>
      </w:r>
      <w:r w:rsidR="00F95E0C" w:rsidRPr="00F95E0C">
        <w:rPr>
          <w:spacing w:val="-2"/>
        </w:rPr>
        <w:t>-</w:t>
      </w:r>
      <w:r w:rsidR="002377C4" w:rsidRPr="00F95E0C">
        <w:rPr>
          <w:spacing w:val="-2"/>
        </w:rPr>
        <w:t xml:space="preserve">19 </w:t>
      </w:r>
      <w:r w:rsidR="00FE568B" w:rsidRPr="00F95E0C">
        <w:rPr>
          <w:spacing w:val="-2"/>
        </w:rPr>
        <w:t xml:space="preserve">permanent </w:t>
      </w:r>
      <w:r w:rsidR="002377C4" w:rsidRPr="00F95E0C">
        <w:rPr>
          <w:spacing w:val="-2"/>
        </w:rPr>
        <w:t>migrant</w:t>
      </w:r>
      <w:r w:rsidR="0023028F" w:rsidRPr="00F95E0C">
        <w:rPr>
          <w:spacing w:val="-2"/>
        </w:rPr>
        <w:t xml:space="preserve"> </w:t>
      </w:r>
      <w:r w:rsidR="00A77E0F" w:rsidRPr="00F95E0C">
        <w:rPr>
          <w:spacing w:val="-2"/>
        </w:rPr>
        <w:t>cohort</w:t>
      </w:r>
    </w:p>
    <w:p w14:paraId="6DCFAA89" w14:textId="24CDE666" w:rsidR="00047691" w:rsidRPr="00047691" w:rsidRDefault="00B6721B" w:rsidP="004200B5">
      <w:pPr>
        <w:spacing w:after="0"/>
      </w:pPr>
      <w:r>
        <w:rPr>
          <w:noProof/>
        </w:rPr>
        <w:drawing>
          <wp:inline distT="0" distB="0" distL="0" distR="0" wp14:anchorId="3DCFAC6E" wp14:editId="6A263A53">
            <wp:extent cx="5902960" cy="2263140"/>
            <wp:effectExtent l="0" t="0" r="2540" b="3810"/>
            <wp:docPr id="2" name="Picture 2" descr="This chart shows the lifetime profile of revenue and expenses for the 2018-19 migrant cohort. The impact of the cohort is positive until 2050 (due to personal income tax) and becomes negative after this as health, transfers and aged care costs become higher than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chart shows the lifetime profile of revenue and expenses for the 2018-19 migrant cohort. The impact of the cohort is positive until 2050 (due to personal income tax) and becomes negative after this as health, transfers and aged care costs become higher than revenu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2960" cy="2263140"/>
                    </a:xfrm>
                    <a:prstGeom prst="rect">
                      <a:avLst/>
                    </a:prstGeom>
                    <a:noFill/>
                    <a:ln>
                      <a:noFill/>
                    </a:ln>
                  </pic:spPr>
                </pic:pic>
              </a:graphicData>
            </a:graphic>
          </wp:inline>
        </w:drawing>
      </w:r>
    </w:p>
    <w:p w14:paraId="7F14C59B" w14:textId="59CB10B5" w:rsidR="00C22029" w:rsidRDefault="00C22029" w:rsidP="00141A4D">
      <w:pPr>
        <w:spacing w:after="0"/>
        <w:rPr>
          <w:sz w:val="18"/>
          <w:szCs w:val="18"/>
        </w:rPr>
      </w:pPr>
      <w:r w:rsidRPr="000B2730">
        <w:rPr>
          <w:sz w:val="18"/>
          <w:szCs w:val="18"/>
        </w:rPr>
        <w:t>Note</w:t>
      </w:r>
      <w:r w:rsidR="00627AF3" w:rsidRPr="000B2730">
        <w:rPr>
          <w:sz w:val="18"/>
          <w:szCs w:val="18"/>
        </w:rPr>
        <w:t>:</w:t>
      </w:r>
      <w:r w:rsidRPr="000B2730">
        <w:rPr>
          <w:sz w:val="18"/>
          <w:szCs w:val="18"/>
        </w:rPr>
        <w:t xml:space="preserve"> the higher estimate of indirect taxes in year one occurs due to </w:t>
      </w:r>
      <w:r w:rsidR="00535636" w:rsidRPr="000B2730">
        <w:rPr>
          <w:sz w:val="18"/>
          <w:szCs w:val="18"/>
        </w:rPr>
        <w:t>Visa Application Charges.</w:t>
      </w:r>
      <w:r w:rsidR="00F62C2E" w:rsidRPr="000B2730">
        <w:rPr>
          <w:sz w:val="18"/>
          <w:szCs w:val="18"/>
        </w:rPr>
        <w:t xml:space="preserve"> </w:t>
      </w:r>
    </w:p>
    <w:p w14:paraId="5E4CC71E" w14:textId="77777777" w:rsidR="00141A4D" w:rsidRPr="000B2730" w:rsidRDefault="00141A4D" w:rsidP="00141A4D">
      <w:pPr>
        <w:spacing w:after="0"/>
        <w:rPr>
          <w:sz w:val="18"/>
          <w:szCs w:val="18"/>
        </w:rPr>
      </w:pPr>
    </w:p>
    <w:p w14:paraId="13102E03" w14:textId="77A939B1" w:rsidR="002C20C1" w:rsidRDefault="003C684B" w:rsidP="00825E78">
      <w:bookmarkStart w:id="19" w:name="_Hlk86303885"/>
      <w:r>
        <w:t>This long</w:t>
      </w:r>
      <w:r w:rsidR="006E5E41">
        <w:t>-</w:t>
      </w:r>
      <w:r>
        <w:t xml:space="preserve">term perspective provides </w:t>
      </w:r>
      <w:r w:rsidR="00B90588">
        <w:t xml:space="preserve">important </w:t>
      </w:r>
      <w:r>
        <w:t xml:space="preserve">insights into migration planning </w:t>
      </w:r>
      <w:r w:rsidR="00B90588">
        <w:t xml:space="preserve">especially given that </w:t>
      </w:r>
      <w:r w:rsidR="002C20C1">
        <w:t>shorter</w:t>
      </w:r>
      <w:r w:rsidR="006E5E41">
        <w:t>-</w:t>
      </w:r>
      <w:r w:rsidR="002C20C1">
        <w:t xml:space="preserve">term fiscal estimates present an incomplete view of the </w:t>
      </w:r>
      <w:r w:rsidR="00B90588">
        <w:t xml:space="preserve">overall </w:t>
      </w:r>
      <w:r w:rsidR="002C20C1">
        <w:t>fiscal impact of migration.</w:t>
      </w:r>
      <w:bookmarkEnd w:id="19"/>
      <w:r w:rsidR="00084241">
        <w:rPr>
          <w:rStyle w:val="FootnoteReference"/>
        </w:rPr>
        <w:footnoteReference w:id="16"/>
      </w:r>
      <w:r w:rsidR="002C20C1">
        <w:t xml:space="preserve"> </w:t>
      </w:r>
    </w:p>
    <w:p w14:paraId="482A98AE" w14:textId="3FBA3C8A" w:rsidR="004B1A57" w:rsidRDefault="00410860" w:rsidP="00825E78">
      <w:r>
        <w:t xml:space="preserve">However, implementing </w:t>
      </w:r>
      <w:r w:rsidR="002C20C1">
        <w:t>this long</w:t>
      </w:r>
      <w:r w:rsidR="006E5E41">
        <w:t>-</w:t>
      </w:r>
      <w:r w:rsidR="002C20C1">
        <w:t xml:space="preserve">term </w:t>
      </w:r>
      <w:r w:rsidR="00232D4A">
        <w:t>framework</w:t>
      </w:r>
      <w:r w:rsidR="00B90588">
        <w:t xml:space="preserve"> does require some simplifications to be made</w:t>
      </w:r>
      <w:r w:rsidR="002C20C1">
        <w:t xml:space="preserve">. </w:t>
      </w:r>
      <w:r w:rsidR="000E6F08">
        <w:t xml:space="preserve">For instance, FIONA uses a simplified version of the personal income tax system </w:t>
      </w:r>
      <w:proofErr w:type="gramStart"/>
      <w:r w:rsidR="000E6F08">
        <w:t>in order to</w:t>
      </w:r>
      <w:proofErr w:type="gramEnd"/>
      <w:r w:rsidR="000E6F08">
        <w:t xml:space="preserve"> project personal income taxes over the </w:t>
      </w:r>
      <w:r w:rsidR="0080799B">
        <w:t>long term</w:t>
      </w:r>
      <w:r w:rsidR="00844C47">
        <w:t xml:space="preserve">. </w:t>
      </w:r>
      <w:r w:rsidR="000E6F08">
        <w:t>FION</w:t>
      </w:r>
      <w:r w:rsidR="00AA2C81">
        <w:t>A</w:t>
      </w:r>
      <w:r w:rsidR="000E6F08">
        <w:t xml:space="preserve"> is also </w:t>
      </w:r>
      <w:r w:rsidR="002C20C1">
        <w:t>designed to capture the average fiscal impact with</w:t>
      </w:r>
      <w:r w:rsidR="00D8244C">
        <w:t>in</w:t>
      </w:r>
      <w:r w:rsidR="002C20C1">
        <w:t xml:space="preserve"> each visa </w:t>
      </w:r>
      <w:r w:rsidR="003170BA">
        <w:t>category but</w:t>
      </w:r>
      <w:r w:rsidR="00A10E93">
        <w:t xml:space="preserve"> is not designed to consider changes </w:t>
      </w:r>
      <w:r w:rsidR="00D136F7">
        <w:t>to migration policy</w:t>
      </w:r>
      <w:r w:rsidR="00AE116B">
        <w:t xml:space="preserve"> that occurs</w:t>
      </w:r>
      <w:r w:rsidR="00D136F7">
        <w:t xml:space="preserve"> within visa </w:t>
      </w:r>
      <w:r w:rsidR="00C72C74">
        <w:t>programs (such as changes to the Skilled Occupation List)</w:t>
      </w:r>
      <w:r w:rsidR="00705022">
        <w:t>.</w:t>
      </w:r>
      <w:r w:rsidR="002C20C1">
        <w:t xml:space="preserve"> </w:t>
      </w:r>
    </w:p>
    <w:p w14:paraId="7CBC73DA" w14:textId="4C36B1D9" w:rsidR="00662350" w:rsidRDefault="00662350" w:rsidP="001A66C0">
      <w:pPr>
        <w:pStyle w:val="Heading3"/>
      </w:pPr>
      <w:bookmarkStart w:id="20" w:name="_Toc77175212"/>
      <w:r>
        <w:t xml:space="preserve">FIONA results are </w:t>
      </w:r>
      <w:r w:rsidR="00F4177C">
        <w:t xml:space="preserve">designed to </w:t>
      </w:r>
      <w:r w:rsidR="008D0CD8">
        <w:t xml:space="preserve">compare </w:t>
      </w:r>
      <w:r w:rsidR="001E5C33">
        <w:t>between visa streams</w:t>
      </w:r>
      <w:bookmarkStart w:id="21" w:name="_Hlk72929426"/>
      <w:bookmarkEnd w:id="20"/>
      <w:r>
        <w:t xml:space="preserve"> </w:t>
      </w:r>
    </w:p>
    <w:bookmarkEnd w:id="21"/>
    <w:p w14:paraId="3D13A8E5" w14:textId="3C316628" w:rsidR="00C9635A" w:rsidRDefault="00C9635A" w:rsidP="00825E78">
      <w:r>
        <w:t xml:space="preserve">FIONA </w:t>
      </w:r>
      <w:r w:rsidR="00F4177C">
        <w:t>is a closed cohort model of the 2018</w:t>
      </w:r>
      <w:r w:rsidR="00F62807">
        <w:t>–</w:t>
      </w:r>
      <w:r w:rsidR="00F4177C">
        <w:t>19 permanent migrant intake. R</w:t>
      </w:r>
      <w:r>
        <w:t xml:space="preserve">evenues and expenses </w:t>
      </w:r>
      <w:r w:rsidR="00F4177C">
        <w:t xml:space="preserve">attributable </w:t>
      </w:r>
      <w:r>
        <w:t xml:space="preserve">to </w:t>
      </w:r>
      <w:r w:rsidR="00F4177C">
        <w:t xml:space="preserve">this group are projected out for 120 years, </w:t>
      </w:r>
      <w:r>
        <w:t>until 2139. While this long</w:t>
      </w:r>
      <w:r w:rsidR="006E5E41">
        <w:t>-</w:t>
      </w:r>
      <w:r>
        <w:t xml:space="preserve">term perspective is necessary to capture the lifetime impacts of permanent migrants, such an approach inevitably </w:t>
      </w:r>
      <w:r>
        <w:lastRenderedPageBreak/>
        <w:t xml:space="preserve">introduces </w:t>
      </w:r>
      <w:r w:rsidR="00F4177C">
        <w:t xml:space="preserve">a healthy dose of </w:t>
      </w:r>
      <w:r>
        <w:t xml:space="preserve">empirical uncertainty. For instance, FIONA incorporates projections of how the Australian economy, tax system, and system of government services will evolve over the coming century, </w:t>
      </w:r>
      <w:r w:rsidR="00BE5B84">
        <w:t xml:space="preserve">based on the Intergenerational Report projections, </w:t>
      </w:r>
      <w:r>
        <w:t>each of which are inherently difficult to predict.</w:t>
      </w:r>
    </w:p>
    <w:p w14:paraId="36432146" w14:textId="5B4A6DBD" w:rsidR="00C9635A" w:rsidRDefault="00F4177C" w:rsidP="00825E78">
      <w:r>
        <w:t xml:space="preserve">As well as being </w:t>
      </w:r>
      <w:r w:rsidR="00D54460">
        <w:t>clear eyed</w:t>
      </w:r>
      <w:r>
        <w:t xml:space="preserve"> about this uncertainty, it guides us towards our emphasis on </w:t>
      </w:r>
      <w:r w:rsidR="00C9635A">
        <w:t>the difference</w:t>
      </w:r>
      <w:r>
        <w:t>s</w:t>
      </w:r>
      <w:r w:rsidR="00C9635A">
        <w:t xml:space="preserve"> in FIONA estimates between different groups of migrants, or between groups of migrants and the general Australian population. These differences </w:t>
      </w:r>
      <w:r>
        <w:t>are</w:t>
      </w:r>
      <w:r w:rsidR="00C9635A">
        <w:t xml:space="preserve"> much more stable than absolute estimates generated by FIONA as many key model assumptions impact different migrant group</w:t>
      </w:r>
      <w:r w:rsidR="006B46EB">
        <w:t>s</w:t>
      </w:r>
      <w:r w:rsidR="00C9635A">
        <w:t xml:space="preserve"> in similar ways (for instance, a lower assumed growth rate for health care costs would </w:t>
      </w:r>
      <w:r w:rsidR="006B46EB">
        <w:t>improve</w:t>
      </w:r>
      <w:r w:rsidR="00C9635A">
        <w:t xml:space="preserve"> the estimated fiscal impact for all groups).</w:t>
      </w:r>
    </w:p>
    <w:p w14:paraId="48604A3A" w14:textId="30C9461B" w:rsidR="00C9635A" w:rsidRDefault="00C9635A" w:rsidP="00825E78">
      <w:r>
        <w:t xml:space="preserve">This effect is shown in Table </w:t>
      </w:r>
      <w:r w:rsidR="00684BDB">
        <w:t>2</w:t>
      </w:r>
      <w:r>
        <w:t>, which is based on sensitivity tests</w:t>
      </w:r>
      <w:r w:rsidR="00C00281">
        <w:t xml:space="preserve"> o</w:t>
      </w:r>
      <w:r w:rsidR="0092622A">
        <w:t>f</w:t>
      </w:r>
      <w:r w:rsidR="00C00281">
        <w:t xml:space="preserve"> major modelling assumptions</w:t>
      </w:r>
      <w:r>
        <w:t xml:space="preserve"> conducted in </w:t>
      </w:r>
      <w:r w:rsidR="00684BDB">
        <w:t>S</w:t>
      </w:r>
      <w:r>
        <w:t xml:space="preserve">ection </w:t>
      </w:r>
      <w:r w:rsidR="00684BDB">
        <w:t>5</w:t>
      </w:r>
      <w:r>
        <w:t xml:space="preserve"> of this paper.</w:t>
      </w:r>
      <w:r w:rsidR="00F4177C">
        <w:t xml:space="preserve"> For </w:t>
      </w:r>
      <w:proofErr w:type="gramStart"/>
      <w:r w:rsidR="00F4177C">
        <w:t>all of</w:t>
      </w:r>
      <w:proofErr w:type="gramEnd"/>
      <w:r w:rsidR="00F4177C">
        <w:t xml:space="preserve"> the scenarios examined, the 2018</w:t>
      </w:r>
      <w:r w:rsidR="00F62807">
        <w:t>–</w:t>
      </w:r>
      <w:r w:rsidR="00F4177C">
        <w:t xml:space="preserve">19 migrant cohort is found to be around $120,000 </w:t>
      </w:r>
      <w:r w:rsidR="00DF54F1">
        <w:t xml:space="preserve">per person </w:t>
      </w:r>
      <w:r w:rsidR="00F4177C">
        <w:t xml:space="preserve">more fiscally </w:t>
      </w:r>
      <w:r w:rsidR="00DF54F1">
        <w:t>positive over their remaining life in Australia than the population overall</w:t>
      </w:r>
      <w:r w:rsidR="00F4177C">
        <w:t>.</w:t>
      </w:r>
      <w:r w:rsidR="00BF32B3">
        <w:rPr>
          <w:rStyle w:val="FootnoteReference"/>
        </w:rPr>
        <w:footnoteReference w:id="17"/>
      </w:r>
    </w:p>
    <w:p w14:paraId="310C7E12" w14:textId="1E240CAA" w:rsidR="00C9635A" w:rsidRDefault="00C9635A" w:rsidP="0023028F">
      <w:pPr>
        <w:pStyle w:val="TableHeading1"/>
      </w:pPr>
      <w:r w:rsidRPr="002C3C4D">
        <w:t>Table 2:</w:t>
      </w:r>
      <w:r w:rsidR="00684BDB" w:rsidRPr="002C3C4D">
        <w:t xml:space="preserve"> FIONA estimates for </w:t>
      </w:r>
      <w:r w:rsidR="00A77E0F">
        <w:t xml:space="preserve">all </w:t>
      </w:r>
      <w:r w:rsidR="00684BDB" w:rsidRPr="002C3C4D">
        <w:t>permanent migrants and the Australian populati</w:t>
      </w:r>
      <w:r w:rsidR="00BF32B3" w:rsidRPr="002C3C4D">
        <w:t>on</w:t>
      </w:r>
    </w:p>
    <w:tbl>
      <w:tblPr>
        <w:tblW w:w="9118" w:type="dxa"/>
        <w:tblLook w:val="04A0" w:firstRow="1" w:lastRow="0" w:firstColumn="1" w:lastColumn="0" w:noHBand="0" w:noVBand="1"/>
      </w:tblPr>
      <w:tblGrid>
        <w:gridCol w:w="2972"/>
        <w:gridCol w:w="1843"/>
        <w:gridCol w:w="2030"/>
        <w:gridCol w:w="2273"/>
      </w:tblGrid>
      <w:tr w:rsidR="008161A1" w:rsidRPr="008161A1" w14:paraId="082396CC" w14:textId="77777777" w:rsidTr="00A77E0F">
        <w:trPr>
          <w:trHeight w:val="505"/>
        </w:trPr>
        <w:tc>
          <w:tcPr>
            <w:tcW w:w="2972" w:type="dxa"/>
            <w:tcBorders>
              <w:top w:val="single" w:sz="4" w:space="0" w:color="auto"/>
              <w:left w:val="single" w:sz="4" w:space="0" w:color="auto"/>
              <w:bottom w:val="single" w:sz="4" w:space="0" w:color="auto"/>
              <w:right w:val="single" w:sz="4" w:space="0" w:color="auto"/>
            </w:tcBorders>
            <w:shd w:val="clear" w:color="000000" w:fill="CFDCEA"/>
            <w:vAlign w:val="center"/>
            <w:hideMark/>
          </w:tcPr>
          <w:p w14:paraId="5144E640" w14:textId="77777777" w:rsidR="008161A1" w:rsidRPr="008161A1" w:rsidRDefault="008161A1" w:rsidP="008161A1">
            <w:pPr>
              <w:spacing w:after="0"/>
              <w:rPr>
                <w:rFonts w:ascii="Arial" w:eastAsia="Times New Roman" w:hAnsi="Arial" w:cs="Arial"/>
                <w:b/>
                <w:bCs/>
                <w:sz w:val="16"/>
                <w:szCs w:val="16"/>
                <w:lang w:eastAsia="en-AU"/>
              </w:rPr>
            </w:pPr>
            <w:r w:rsidRPr="008161A1">
              <w:rPr>
                <w:rFonts w:ascii="Arial" w:eastAsia="Times New Roman" w:hAnsi="Arial" w:cs="Arial"/>
                <w:b/>
                <w:bCs/>
                <w:sz w:val="16"/>
                <w:szCs w:val="16"/>
                <w:lang w:eastAsia="en-AU"/>
              </w:rPr>
              <w:t> </w:t>
            </w:r>
          </w:p>
        </w:tc>
        <w:tc>
          <w:tcPr>
            <w:tcW w:w="1843" w:type="dxa"/>
            <w:tcBorders>
              <w:top w:val="single" w:sz="4" w:space="0" w:color="auto"/>
              <w:left w:val="nil"/>
              <w:bottom w:val="single" w:sz="4" w:space="0" w:color="auto"/>
              <w:right w:val="single" w:sz="4" w:space="0" w:color="auto"/>
            </w:tcBorders>
            <w:shd w:val="clear" w:color="000000" w:fill="CFDCEA"/>
            <w:vAlign w:val="center"/>
            <w:hideMark/>
          </w:tcPr>
          <w:p w14:paraId="5B420DC6" w14:textId="77777777" w:rsidR="008161A1" w:rsidRPr="008161A1" w:rsidRDefault="008161A1" w:rsidP="008161A1">
            <w:pPr>
              <w:spacing w:after="0"/>
              <w:rPr>
                <w:rFonts w:ascii="Arial" w:eastAsia="Times New Roman" w:hAnsi="Arial" w:cs="Arial"/>
                <w:b/>
                <w:bCs/>
                <w:sz w:val="16"/>
                <w:szCs w:val="16"/>
                <w:lang w:eastAsia="en-AU"/>
              </w:rPr>
            </w:pPr>
            <w:r w:rsidRPr="008161A1">
              <w:rPr>
                <w:rFonts w:ascii="Arial" w:eastAsia="Times New Roman" w:hAnsi="Arial" w:cs="Arial"/>
                <w:b/>
                <w:bCs/>
                <w:sz w:val="16"/>
                <w:szCs w:val="16"/>
                <w:lang w:eastAsia="en-AU"/>
              </w:rPr>
              <w:t xml:space="preserve">2018–19 permanent migrants </w:t>
            </w:r>
          </w:p>
        </w:tc>
        <w:tc>
          <w:tcPr>
            <w:tcW w:w="2030" w:type="dxa"/>
            <w:tcBorders>
              <w:top w:val="single" w:sz="4" w:space="0" w:color="auto"/>
              <w:left w:val="nil"/>
              <w:bottom w:val="single" w:sz="4" w:space="0" w:color="auto"/>
              <w:right w:val="single" w:sz="4" w:space="0" w:color="auto"/>
            </w:tcBorders>
            <w:shd w:val="clear" w:color="000000" w:fill="CFDCEA"/>
            <w:vAlign w:val="center"/>
            <w:hideMark/>
          </w:tcPr>
          <w:p w14:paraId="10174DAF" w14:textId="77777777" w:rsidR="008161A1" w:rsidRPr="008161A1" w:rsidRDefault="008161A1" w:rsidP="008161A1">
            <w:pPr>
              <w:spacing w:after="0"/>
              <w:rPr>
                <w:rFonts w:ascii="Arial" w:eastAsia="Times New Roman" w:hAnsi="Arial" w:cs="Arial"/>
                <w:b/>
                <w:bCs/>
                <w:sz w:val="16"/>
                <w:szCs w:val="16"/>
                <w:lang w:eastAsia="en-AU"/>
              </w:rPr>
            </w:pPr>
            <w:r w:rsidRPr="008161A1">
              <w:rPr>
                <w:rFonts w:ascii="Arial" w:eastAsia="Times New Roman" w:hAnsi="Arial" w:cs="Arial"/>
                <w:b/>
                <w:bCs/>
                <w:sz w:val="16"/>
                <w:szCs w:val="16"/>
                <w:lang w:eastAsia="en-AU"/>
              </w:rPr>
              <w:t>2018–19 Australian population</w:t>
            </w:r>
          </w:p>
        </w:tc>
        <w:tc>
          <w:tcPr>
            <w:tcW w:w="2273" w:type="dxa"/>
            <w:tcBorders>
              <w:top w:val="single" w:sz="4" w:space="0" w:color="auto"/>
              <w:left w:val="nil"/>
              <w:bottom w:val="single" w:sz="4" w:space="0" w:color="auto"/>
              <w:right w:val="single" w:sz="4" w:space="0" w:color="auto"/>
            </w:tcBorders>
            <w:shd w:val="clear" w:color="000000" w:fill="CFDCEA"/>
            <w:vAlign w:val="center"/>
            <w:hideMark/>
          </w:tcPr>
          <w:p w14:paraId="690BE380" w14:textId="77777777" w:rsidR="008161A1" w:rsidRPr="008161A1" w:rsidRDefault="008161A1" w:rsidP="008161A1">
            <w:pPr>
              <w:spacing w:after="0"/>
              <w:rPr>
                <w:rFonts w:ascii="Arial" w:eastAsia="Times New Roman" w:hAnsi="Arial" w:cs="Arial"/>
                <w:b/>
                <w:bCs/>
                <w:sz w:val="16"/>
                <w:szCs w:val="16"/>
                <w:lang w:eastAsia="en-AU"/>
              </w:rPr>
            </w:pPr>
            <w:r w:rsidRPr="008161A1">
              <w:rPr>
                <w:rFonts w:ascii="Arial" w:eastAsia="Times New Roman" w:hAnsi="Arial" w:cs="Arial"/>
                <w:b/>
                <w:bCs/>
                <w:sz w:val="16"/>
                <w:szCs w:val="16"/>
                <w:lang w:eastAsia="en-AU"/>
              </w:rPr>
              <w:t>Difference</w:t>
            </w:r>
          </w:p>
        </w:tc>
      </w:tr>
      <w:tr w:rsidR="008161A1" w:rsidRPr="008161A1" w14:paraId="20E96A23" w14:textId="77777777" w:rsidTr="004200B5">
        <w:trPr>
          <w:trHeight w:val="284"/>
        </w:trPr>
        <w:tc>
          <w:tcPr>
            <w:tcW w:w="2972" w:type="dxa"/>
            <w:tcBorders>
              <w:top w:val="nil"/>
              <w:left w:val="single" w:sz="4" w:space="0" w:color="auto"/>
              <w:bottom w:val="single" w:sz="4" w:space="0" w:color="auto"/>
              <w:right w:val="single" w:sz="4" w:space="0" w:color="auto"/>
            </w:tcBorders>
            <w:shd w:val="clear" w:color="auto" w:fill="auto"/>
            <w:hideMark/>
          </w:tcPr>
          <w:p w14:paraId="585CB5CC" w14:textId="77777777" w:rsidR="008161A1" w:rsidRPr="008161A1" w:rsidRDefault="008161A1" w:rsidP="008161A1">
            <w:pPr>
              <w:spacing w:after="0"/>
              <w:rPr>
                <w:rFonts w:ascii="Arial" w:eastAsia="Times New Roman" w:hAnsi="Arial" w:cs="Arial"/>
                <w:b/>
                <w:bCs/>
                <w:sz w:val="16"/>
                <w:szCs w:val="16"/>
                <w:lang w:eastAsia="en-AU"/>
              </w:rPr>
            </w:pPr>
            <w:r w:rsidRPr="008161A1">
              <w:rPr>
                <w:rFonts w:ascii="Arial" w:eastAsia="Times New Roman" w:hAnsi="Arial" w:cs="Arial"/>
                <w:b/>
                <w:bCs/>
                <w:sz w:val="16"/>
                <w:szCs w:val="16"/>
                <w:lang w:eastAsia="en-AU"/>
              </w:rPr>
              <w:t xml:space="preserve"> Central FIONA estimate </w:t>
            </w:r>
          </w:p>
        </w:tc>
        <w:tc>
          <w:tcPr>
            <w:tcW w:w="1843" w:type="dxa"/>
            <w:tcBorders>
              <w:top w:val="nil"/>
              <w:left w:val="nil"/>
              <w:bottom w:val="single" w:sz="4" w:space="0" w:color="auto"/>
              <w:right w:val="single" w:sz="4" w:space="0" w:color="auto"/>
            </w:tcBorders>
            <w:shd w:val="clear" w:color="auto" w:fill="auto"/>
            <w:hideMark/>
          </w:tcPr>
          <w:p w14:paraId="77B73AF5" w14:textId="77777777" w:rsidR="008161A1" w:rsidRPr="008161A1" w:rsidRDefault="008161A1" w:rsidP="00D7393C">
            <w:pPr>
              <w:spacing w:after="0"/>
              <w:jc w:val="right"/>
              <w:rPr>
                <w:rFonts w:ascii="Arial" w:eastAsia="Times New Roman" w:hAnsi="Arial" w:cs="Arial"/>
                <w:sz w:val="16"/>
                <w:szCs w:val="16"/>
                <w:lang w:eastAsia="en-AU"/>
              </w:rPr>
            </w:pPr>
            <w:r w:rsidRPr="008161A1">
              <w:rPr>
                <w:rFonts w:ascii="Arial" w:eastAsia="Times New Roman" w:hAnsi="Arial" w:cs="Arial"/>
                <w:sz w:val="16"/>
                <w:szCs w:val="16"/>
                <w:lang w:eastAsia="en-AU"/>
              </w:rPr>
              <w:t>41,000</w:t>
            </w:r>
          </w:p>
        </w:tc>
        <w:tc>
          <w:tcPr>
            <w:tcW w:w="2030" w:type="dxa"/>
            <w:tcBorders>
              <w:top w:val="nil"/>
              <w:left w:val="nil"/>
              <w:bottom w:val="single" w:sz="4" w:space="0" w:color="auto"/>
              <w:right w:val="single" w:sz="4" w:space="0" w:color="auto"/>
            </w:tcBorders>
            <w:shd w:val="clear" w:color="auto" w:fill="auto"/>
            <w:hideMark/>
          </w:tcPr>
          <w:p w14:paraId="4B5DBFC4" w14:textId="77777777" w:rsidR="008161A1" w:rsidRPr="008161A1" w:rsidRDefault="008161A1" w:rsidP="00D7393C">
            <w:pPr>
              <w:spacing w:after="0"/>
              <w:jc w:val="right"/>
              <w:rPr>
                <w:rFonts w:ascii="Arial" w:eastAsia="Times New Roman" w:hAnsi="Arial" w:cs="Arial"/>
                <w:sz w:val="16"/>
                <w:szCs w:val="16"/>
                <w:lang w:eastAsia="en-AU"/>
              </w:rPr>
            </w:pPr>
            <w:r w:rsidRPr="008161A1">
              <w:rPr>
                <w:rFonts w:ascii="Arial" w:eastAsia="Times New Roman" w:hAnsi="Arial" w:cs="Arial"/>
                <w:sz w:val="16"/>
                <w:szCs w:val="16"/>
                <w:lang w:eastAsia="en-AU"/>
              </w:rPr>
              <w:t>–85,000</w:t>
            </w:r>
          </w:p>
        </w:tc>
        <w:tc>
          <w:tcPr>
            <w:tcW w:w="2273" w:type="dxa"/>
            <w:tcBorders>
              <w:top w:val="nil"/>
              <w:left w:val="nil"/>
              <w:bottom w:val="single" w:sz="4" w:space="0" w:color="auto"/>
              <w:right w:val="single" w:sz="4" w:space="0" w:color="auto"/>
            </w:tcBorders>
            <w:shd w:val="clear" w:color="auto" w:fill="auto"/>
            <w:hideMark/>
          </w:tcPr>
          <w:p w14:paraId="6692984B" w14:textId="77777777" w:rsidR="008161A1" w:rsidRPr="008161A1" w:rsidRDefault="008161A1" w:rsidP="00D7393C">
            <w:pPr>
              <w:spacing w:after="0"/>
              <w:jc w:val="right"/>
              <w:rPr>
                <w:rFonts w:ascii="Arial" w:eastAsia="Times New Roman" w:hAnsi="Arial" w:cs="Arial"/>
                <w:sz w:val="16"/>
                <w:szCs w:val="16"/>
                <w:lang w:eastAsia="en-AU"/>
              </w:rPr>
            </w:pPr>
            <w:r w:rsidRPr="008161A1">
              <w:rPr>
                <w:rFonts w:ascii="Arial" w:eastAsia="Times New Roman" w:hAnsi="Arial" w:cs="Arial"/>
                <w:sz w:val="16"/>
                <w:szCs w:val="16"/>
                <w:lang w:eastAsia="en-AU"/>
              </w:rPr>
              <w:t>127,000</w:t>
            </w:r>
          </w:p>
        </w:tc>
      </w:tr>
      <w:tr w:rsidR="008161A1" w:rsidRPr="008161A1" w14:paraId="1A96AD99" w14:textId="77777777" w:rsidTr="004200B5">
        <w:trPr>
          <w:trHeight w:val="284"/>
        </w:trPr>
        <w:tc>
          <w:tcPr>
            <w:tcW w:w="2972" w:type="dxa"/>
            <w:tcBorders>
              <w:top w:val="nil"/>
              <w:left w:val="single" w:sz="4" w:space="0" w:color="auto"/>
              <w:bottom w:val="single" w:sz="4" w:space="0" w:color="auto"/>
              <w:right w:val="single" w:sz="4" w:space="0" w:color="auto"/>
            </w:tcBorders>
            <w:shd w:val="clear" w:color="auto" w:fill="auto"/>
            <w:hideMark/>
          </w:tcPr>
          <w:p w14:paraId="359981FA" w14:textId="77777777" w:rsidR="008161A1" w:rsidRPr="008161A1" w:rsidRDefault="008161A1" w:rsidP="008161A1">
            <w:pPr>
              <w:spacing w:after="0"/>
              <w:rPr>
                <w:rFonts w:ascii="Arial" w:eastAsia="Times New Roman" w:hAnsi="Arial" w:cs="Arial"/>
                <w:b/>
                <w:bCs/>
                <w:sz w:val="16"/>
                <w:szCs w:val="16"/>
                <w:lang w:eastAsia="en-AU"/>
              </w:rPr>
            </w:pPr>
            <w:r w:rsidRPr="008161A1">
              <w:rPr>
                <w:rFonts w:ascii="Arial" w:eastAsia="Times New Roman" w:hAnsi="Arial" w:cs="Arial"/>
                <w:b/>
                <w:bCs/>
                <w:sz w:val="16"/>
                <w:szCs w:val="16"/>
                <w:lang w:eastAsia="en-AU"/>
              </w:rPr>
              <w:t xml:space="preserve"> Lower discount rate of 4% </w:t>
            </w:r>
          </w:p>
        </w:tc>
        <w:tc>
          <w:tcPr>
            <w:tcW w:w="1843" w:type="dxa"/>
            <w:tcBorders>
              <w:top w:val="nil"/>
              <w:left w:val="nil"/>
              <w:bottom w:val="single" w:sz="4" w:space="0" w:color="auto"/>
              <w:right w:val="single" w:sz="4" w:space="0" w:color="auto"/>
            </w:tcBorders>
            <w:shd w:val="clear" w:color="auto" w:fill="auto"/>
            <w:hideMark/>
          </w:tcPr>
          <w:p w14:paraId="5D1C35AD" w14:textId="77777777" w:rsidR="008161A1" w:rsidRPr="008161A1" w:rsidRDefault="008161A1" w:rsidP="00D7393C">
            <w:pPr>
              <w:spacing w:after="0"/>
              <w:jc w:val="right"/>
              <w:rPr>
                <w:rFonts w:ascii="Arial" w:eastAsia="Times New Roman" w:hAnsi="Arial" w:cs="Arial"/>
                <w:sz w:val="16"/>
                <w:szCs w:val="16"/>
                <w:lang w:eastAsia="en-AU"/>
              </w:rPr>
            </w:pPr>
            <w:r w:rsidRPr="008161A1">
              <w:rPr>
                <w:rFonts w:ascii="Arial" w:eastAsia="Times New Roman" w:hAnsi="Arial" w:cs="Arial"/>
                <w:sz w:val="16"/>
                <w:szCs w:val="16"/>
                <w:lang w:eastAsia="en-AU"/>
              </w:rPr>
              <w:t>–45,000</w:t>
            </w:r>
          </w:p>
        </w:tc>
        <w:tc>
          <w:tcPr>
            <w:tcW w:w="2030" w:type="dxa"/>
            <w:tcBorders>
              <w:top w:val="nil"/>
              <w:left w:val="nil"/>
              <w:bottom w:val="single" w:sz="4" w:space="0" w:color="auto"/>
              <w:right w:val="single" w:sz="4" w:space="0" w:color="auto"/>
            </w:tcBorders>
            <w:shd w:val="clear" w:color="auto" w:fill="auto"/>
            <w:hideMark/>
          </w:tcPr>
          <w:p w14:paraId="1E44103B" w14:textId="77777777" w:rsidR="008161A1" w:rsidRPr="008161A1" w:rsidRDefault="008161A1" w:rsidP="00D7393C">
            <w:pPr>
              <w:spacing w:after="0"/>
              <w:jc w:val="right"/>
              <w:rPr>
                <w:rFonts w:ascii="Arial" w:eastAsia="Times New Roman" w:hAnsi="Arial" w:cs="Arial"/>
                <w:sz w:val="16"/>
                <w:szCs w:val="16"/>
                <w:lang w:eastAsia="en-AU"/>
              </w:rPr>
            </w:pPr>
            <w:r w:rsidRPr="008161A1">
              <w:rPr>
                <w:rFonts w:ascii="Arial" w:eastAsia="Times New Roman" w:hAnsi="Arial" w:cs="Arial"/>
                <w:sz w:val="16"/>
                <w:szCs w:val="16"/>
                <w:lang w:eastAsia="en-AU"/>
              </w:rPr>
              <w:t>–167,000</w:t>
            </w:r>
          </w:p>
        </w:tc>
        <w:tc>
          <w:tcPr>
            <w:tcW w:w="2273" w:type="dxa"/>
            <w:tcBorders>
              <w:top w:val="nil"/>
              <w:left w:val="nil"/>
              <w:bottom w:val="single" w:sz="4" w:space="0" w:color="auto"/>
              <w:right w:val="single" w:sz="4" w:space="0" w:color="auto"/>
            </w:tcBorders>
            <w:shd w:val="clear" w:color="auto" w:fill="auto"/>
            <w:hideMark/>
          </w:tcPr>
          <w:p w14:paraId="342F6DDE" w14:textId="77777777" w:rsidR="008161A1" w:rsidRPr="008161A1" w:rsidRDefault="008161A1" w:rsidP="00D7393C">
            <w:pPr>
              <w:spacing w:after="0"/>
              <w:jc w:val="right"/>
              <w:rPr>
                <w:rFonts w:ascii="Arial" w:eastAsia="Times New Roman" w:hAnsi="Arial" w:cs="Arial"/>
                <w:sz w:val="16"/>
                <w:szCs w:val="16"/>
                <w:lang w:eastAsia="en-AU"/>
              </w:rPr>
            </w:pPr>
            <w:r w:rsidRPr="008161A1">
              <w:rPr>
                <w:rFonts w:ascii="Arial" w:eastAsia="Times New Roman" w:hAnsi="Arial" w:cs="Arial"/>
                <w:sz w:val="16"/>
                <w:szCs w:val="16"/>
                <w:lang w:eastAsia="en-AU"/>
              </w:rPr>
              <w:t>122,000</w:t>
            </w:r>
          </w:p>
        </w:tc>
      </w:tr>
      <w:tr w:rsidR="008161A1" w:rsidRPr="008161A1" w14:paraId="48DF2027" w14:textId="77777777" w:rsidTr="004200B5">
        <w:trPr>
          <w:trHeight w:val="284"/>
        </w:trPr>
        <w:tc>
          <w:tcPr>
            <w:tcW w:w="2972" w:type="dxa"/>
            <w:tcBorders>
              <w:top w:val="nil"/>
              <w:left w:val="single" w:sz="4" w:space="0" w:color="auto"/>
              <w:bottom w:val="single" w:sz="4" w:space="0" w:color="auto"/>
              <w:right w:val="single" w:sz="4" w:space="0" w:color="auto"/>
            </w:tcBorders>
            <w:shd w:val="clear" w:color="auto" w:fill="auto"/>
            <w:hideMark/>
          </w:tcPr>
          <w:p w14:paraId="218E9928" w14:textId="77777777" w:rsidR="008161A1" w:rsidRPr="008161A1" w:rsidRDefault="008161A1" w:rsidP="008161A1">
            <w:pPr>
              <w:spacing w:after="0"/>
              <w:rPr>
                <w:rFonts w:ascii="Arial" w:eastAsia="Times New Roman" w:hAnsi="Arial" w:cs="Arial"/>
                <w:b/>
                <w:bCs/>
                <w:sz w:val="16"/>
                <w:szCs w:val="16"/>
                <w:lang w:eastAsia="en-AU"/>
              </w:rPr>
            </w:pPr>
            <w:r w:rsidRPr="008161A1">
              <w:rPr>
                <w:rFonts w:ascii="Arial" w:eastAsia="Times New Roman" w:hAnsi="Arial" w:cs="Arial"/>
                <w:b/>
                <w:bCs/>
                <w:sz w:val="16"/>
                <w:szCs w:val="16"/>
                <w:lang w:eastAsia="en-AU"/>
              </w:rPr>
              <w:t xml:space="preserve"> Higher discount rate of 6% </w:t>
            </w:r>
          </w:p>
        </w:tc>
        <w:tc>
          <w:tcPr>
            <w:tcW w:w="1843" w:type="dxa"/>
            <w:tcBorders>
              <w:top w:val="nil"/>
              <w:left w:val="nil"/>
              <w:bottom w:val="single" w:sz="4" w:space="0" w:color="auto"/>
              <w:right w:val="single" w:sz="4" w:space="0" w:color="auto"/>
            </w:tcBorders>
            <w:shd w:val="clear" w:color="auto" w:fill="auto"/>
            <w:hideMark/>
          </w:tcPr>
          <w:p w14:paraId="76964D73" w14:textId="77777777" w:rsidR="008161A1" w:rsidRPr="008161A1" w:rsidRDefault="008161A1" w:rsidP="00D7393C">
            <w:pPr>
              <w:spacing w:after="0"/>
              <w:jc w:val="right"/>
              <w:rPr>
                <w:rFonts w:ascii="Arial" w:eastAsia="Times New Roman" w:hAnsi="Arial" w:cs="Arial"/>
                <w:sz w:val="16"/>
                <w:szCs w:val="16"/>
                <w:lang w:eastAsia="en-AU"/>
              </w:rPr>
            </w:pPr>
            <w:r w:rsidRPr="008161A1">
              <w:rPr>
                <w:rFonts w:ascii="Arial" w:eastAsia="Times New Roman" w:hAnsi="Arial" w:cs="Arial"/>
                <w:sz w:val="16"/>
                <w:szCs w:val="16"/>
                <w:lang w:eastAsia="en-AU"/>
              </w:rPr>
              <w:t>82,000</w:t>
            </w:r>
          </w:p>
        </w:tc>
        <w:tc>
          <w:tcPr>
            <w:tcW w:w="2030" w:type="dxa"/>
            <w:tcBorders>
              <w:top w:val="nil"/>
              <w:left w:val="nil"/>
              <w:bottom w:val="single" w:sz="4" w:space="0" w:color="auto"/>
              <w:right w:val="single" w:sz="4" w:space="0" w:color="auto"/>
            </w:tcBorders>
            <w:shd w:val="clear" w:color="auto" w:fill="auto"/>
            <w:hideMark/>
          </w:tcPr>
          <w:p w14:paraId="7F261E46" w14:textId="77777777" w:rsidR="008161A1" w:rsidRPr="008161A1" w:rsidRDefault="008161A1" w:rsidP="00D7393C">
            <w:pPr>
              <w:spacing w:after="0"/>
              <w:jc w:val="right"/>
              <w:rPr>
                <w:rFonts w:ascii="Arial" w:eastAsia="Times New Roman" w:hAnsi="Arial" w:cs="Arial"/>
                <w:sz w:val="16"/>
                <w:szCs w:val="16"/>
                <w:lang w:eastAsia="en-AU"/>
              </w:rPr>
            </w:pPr>
            <w:r w:rsidRPr="008161A1">
              <w:rPr>
                <w:rFonts w:ascii="Arial" w:eastAsia="Times New Roman" w:hAnsi="Arial" w:cs="Arial"/>
                <w:sz w:val="16"/>
                <w:szCs w:val="16"/>
                <w:lang w:eastAsia="en-AU"/>
              </w:rPr>
              <w:t>–42,000</w:t>
            </w:r>
          </w:p>
        </w:tc>
        <w:tc>
          <w:tcPr>
            <w:tcW w:w="2273" w:type="dxa"/>
            <w:tcBorders>
              <w:top w:val="nil"/>
              <w:left w:val="nil"/>
              <w:bottom w:val="single" w:sz="4" w:space="0" w:color="auto"/>
              <w:right w:val="single" w:sz="4" w:space="0" w:color="auto"/>
            </w:tcBorders>
            <w:shd w:val="clear" w:color="auto" w:fill="auto"/>
            <w:hideMark/>
          </w:tcPr>
          <w:p w14:paraId="74645A0A" w14:textId="77777777" w:rsidR="008161A1" w:rsidRPr="008161A1" w:rsidRDefault="008161A1" w:rsidP="00D7393C">
            <w:pPr>
              <w:spacing w:after="0"/>
              <w:jc w:val="right"/>
              <w:rPr>
                <w:rFonts w:ascii="Arial" w:eastAsia="Times New Roman" w:hAnsi="Arial" w:cs="Arial"/>
                <w:sz w:val="16"/>
                <w:szCs w:val="16"/>
                <w:lang w:eastAsia="en-AU"/>
              </w:rPr>
            </w:pPr>
            <w:r w:rsidRPr="008161A1">
              <w:rPr>
                <w:rFonts w:ascii="Arial" w:eastAsia="Times New Roman" w:hAnsi="Arial" w:cs="Arial"/>
                <w:sz w:val="16"/>
                <w:szCs w:val="16"/>
                <w:lang w:eastAsia="en-AU"/>
              </w:rPr>
              <w:t>124,000</w:t>
            </w:r>
          </w:p>
        </w:tc>
      </w:tr>
      <w:tr w:rsidR="008161A1" w:rsidRPr="008161A1" w14:paraId="3A656992" w14:textId="77777777" w:rsidTr="004200B5">
        <w:trPr>
          <w:trHeight w:val="284"/>
        </w:trPr>
        <w:tc>
          <w:tcPr>
            <w:tcW w:w="2972" w:type="dxa"/>
            <w:tcBorders>
              <w:top w:val="nil"/>
              <w:left w:val="single" w:sz="4" w:space="0" w:color="auto"/>
              <w:bottom w:val="single" w:sz="4" w:space="0" w:color="auto"/>
              <w:right w:val="single" w:sz="4" w:space="0" w:color="auto"/>
            </w:tcBorders>
            <w:shd w:val="clear" w:color="auto" w:fill="auto"/>
            <w:hideMark/>
          </w:tcPr>
          <w:p w14:paraId="32E14F03" w14:textId="77777777" w:rsidR="008161A1" w:rsidRPr="008161A1" w:rsidRDefault="008161A1" w:rsidP="008161A1">
            <w:pPr>
              <w:spacing w:after="0"/>
              <w:rPr>
                <w:rFonts w:ascii="Arial" w:eastAsia="Times New Roman" w:hAnsi="Arial" w:cs="Arial"/>
                <w:b/>
                <w:bCs/>
                <w:sz w:val="16"/>
                <w:szCs w:val="16"/>
                <w:lang w:eastAsia="en-AU"/>
              </w:rPr>
            </w:pPr>
            <w:r w:rsidRPr="008161A1">
              <w:rPr>
                <w:rFonts w:ascii="Arial" w:eastAsia="Times New Roman" w:hAnsi="Arial" w:cs="Arial"/>
                <w:b/>
                <w:bCs/>
                <w:sz w:val="16"/>
                <w:szCs w:val="16"/>
                <w:lang w:eastAsia="en-AU"/>
              </w:rPr>
              <w:t xml:space="preserve"> Including all revenue and expenses </w:t>
            </w:r>
          </w:p>
        </w:tc>
        <w:tc>
          <w:tcPr>
            <w:tcW w:w="1843" w:type="dxa"/>
            <w:tcBorders>
              <w:top w:val="nil"/>
              <w:left w:val="nil"/>
              <w:bottom w:val="single" w:sz="4" w:space="0" w:color="auto"/>
              <w:right w:val="single" w:sz="4" w:space="0" w:color="auto"/>
            </w:tcBorders>
            <w:shd w:val="clear" w:color="auto" w:fill="auto"/>
            <w:hideMark/>
          </w:tcPr>
          <w:p w14:paraId="08A0ED93" w14:textId="77777777" w:rsidR="008161A1" w:rsidRPr="008161A1" w:rsidRDefault="008161A1" w:rsidP="00D7393C">
            <w:pPr>
              <w:spacing w:after="0"/>
              <w:jc w:val="right"/>
              <w:rPr>
                <w:rFonts w:ascii="Arial" w:eastAsia="Times New Roman" w:hAnsi="Arial" w:cs="Arial"/>
                <w:sz w:val="16"/>
                <w:szCs w:val="16"/>
                <w:lang w:eastAsia="en-AU"/>
              </w:rPr>
            </w:pPr>
            <w:r w:rsidRPr="008161A1">
              <w:rPr>
                <w:rFonts w:ascii="Arial" w:eastAsia="Times New Roman" w:hAnsi="Arial" w:cs="Arial"/>
                <w:sz w:val="16"/>
                <w:szCs w:val="16"/>
                <w:lang w:eastAsia="en-AU"/>
              </w:rPr>
              <w:t>11,000</w:t>
            </w:r>
          </w:p>
        </w:tc>
        <w:tc>
          <w:tcPr>
            <w:tcW w:w="2030" w:type="dxa"/>
            <w:tcBorders>
              <w:top w:val="nil"/>
              <w:left w:val="nil"/>
              <w:bottom w:val="single" w:sz="4" w:space="0" w:color="auto"/>
              <w:right w:val="single" w:sz="4" w:space="0" w:color="auto"/>
            </w:tcBorders>
            <w:shd w:val="clear" w:color="auto" w:fill="auto"/>
            <w:hideMark/>
          </w:tcPr>
          <w:p w14:paraId="20C6DED2" w14:textId="77777777" w:rsidR="008161A1" w:rsidRPr="008161A1" w:rsidRDefault="008161A1" w:rsidP="00D7393C">
            <w:pPr>
              <w:spacing w:after="0"/>
              <w:jc w:val="right"/>
              <w:rPr>
                <w:rFonts w:ascii="Arial" w:eastAsia="Times New Roman" w:hAnsi="Arial" w:cs="Arial"/>
                <w:sz w:val="16"/>
                <w:szCs w:val="16"/>
                <w:lang w:eastAsia="en-AU"/>
              </w:rPr>
            </w:pPr>
            <w:r w:rsidRPr="008161A1">
              <w:rPr>
                <w:rFonts w:ascii="Arial" w:eastAsia="Times New Roman" w:hAnsi="Arial" w:cs="Arial"/>
                <w:sz w:val="16"/>
                <w:szCs w:val="16"/>
                <w:lang w:eastAsia="en-AU"/>
              </w:rPr>
              <w:t>–112,000</w:t>
            </w:r>
          </w:p>
        </w:tc>
        <w:tc>
          <w:tcPr>
            <w:tcW w:w="2273" w:type="dxa"/>
            <w:tcBorders>
              <w:top w:val="nil"/>
              <w:left w:val="nil"/>
              <w:bottom w:val="single" w:sz="4" w:space="0" w:color="auto"/>
              <w:right w:val="single" w:sz="4" w:space="0" w:color="auto"/>
            </w:tcBorders>
            <w:shd w:val="clear" w:color="auto" w:fill="auto"/>
            <w:hideMark/>
          </w:tcPr>
          <w:p w14:paraId="085EDD88" w14:textId="77777777" w:rsidR="008161A1" w:rsidRPr="008161A1" w:rsidRDefault="008161A1" w:rsidP="00D7393C">
            <w:pPr>
              <w:spacing w:after="0"/>
              <w:jc w:val="right"/>
              <w:rPr>
                <w:rFonts w:ascii="Arial" w:eastAsia="Times New Roman" w:hAnsi="Arial" w:cs="Arial"/>
                <w:sz w:val="16"/>
                <w:szCs w:val="16"/>
                <w:lang w:eastAsia="en-AU"/>
              </w:rPr>
            </w:pPr>
            <w:r w:rsidRPr="008161A1">
              <w:rPr>
                <w:rFonts w:ascii="Arial" w:eastAsia="Times New Roman" w:hAnsi="Arial" w:cs="Arial"/>
                <w:sz w:val="16"/>
                <w:szCs w:val="16"/>
                <w:lang w:eastAsia="en-AU"/>
              </w:rPr>
              <w:t>123,000</w:t>
            </w:r>
          </w:p>
        </w:tc>
      </w:tr>
      <w:tr w:rsidR="008161A1" w:rsidRPr="008161A1" w14:paraId="2E129CA3" w14:textId="77777777" w:rsidTr="004200B5">
        <w:trPr>
          <w:trHeight w:val="284"/>
        </w:trPr>
        <w:tc>
          <w:tcPr>
            <w:tcW w:w="2972" w:type="dxa"/>
            <w:tcBorders>
              <w:top w:val="nil"/>
              <w:left w:val="single" w:sz="4" w:space="0" w:color="auto"/>
              <w:bottom w:val="single" w:sz="4" w:space="0" w:color="auto"/>
              <w:right w:val="single" w:sz="4" w:space="0" w:color="auto"/>
            </w:tcBorders>
            <w:shd w:val="clear" w:color="auto" w:fill="auto"/>
            <w:hideMark/>
          </w:tcPr>
          <w:p w14:paraId="5F8FE499" w14:textId="77777777" w:rsidR="008161A1" w:rsidRPr="008161A1" w:rsidRDefault="008161A1" w:rsidP="008161A1">
            <w:pPr>
              <w:spacing w:after="0"/>
              <w:rPr>
                <w:rFonts w:ascii="Arial" w:eastAsia="Times New Roman" w:hAnsi="Arial" w:cs="Arial"/>
                <w:b/>
                <w:bCs/>
                <w:sz w:val="16"/>
                <w:szCs w:val="16"/>
                <w:lang w:eastAsia="en-AU"/>
              </w:rPr>
            </w:pPr>
            <w:r w:rsidRPr="008161A1">
              <w:rPr>
                <w:rFonts w:ascii="Arial" w:eastAsia="Times New Roman" w:hAnsi="Arial" w:cs="Arial"/>
                <w:b/>
                <w:bCs/>
                <w:sz w:val="16"/>
                <w:szCs w:val="16"/>
                <w:lang w:eastAsia="en-AU"/>
              </w:rPr>
              <w:t xml:space="preserve"> Higher health and aged care </w:t>
            </w:r>
          </w:p>
        </w:tc>
        <w:tc>
          <w:tcPr>
            <w:tcW w:w="1843" w:type="dxa"/>
            <w:tcBorders>
              <w:top w:val="nil"/>
              <w:left w:val="nil"/>
              <w:bottom w:val="single" w:sz="4" w:space="0" w:color="auto"/>
              <w:right w:val="single" w:sz="4" w:space="0" w:color="auto"/>
            </w:tcBorders>
            <w:shd w:val="clear" w:color="auto" w:fill="auto"/>
            <w:hideMark/>
          </w:tcPr>
          <w:p w14:paraId="2E41A444" w14:textId="77777777" w:rsidR="008161A1" w:rsidRPr="008161A1" w:rsidRDefault="008161A1" w:rsidP="00D7393C">
            <w:pPr>
              <w:spacing w:after="0"/>
              <w:jc w:val="right"/>
              <w:rPr>
                <w:rFonts w:ascii="Arial" w:eastAsia="Times New Roman" w:hAnsi="Arial" w:cs="Arial"/>
                <w:sz w:val="16"/>
                <w:szCs w:val="16"/>
                <w:lang w:eastAsia="en-AU"/>
              </w:rPr>
            </w:pPr>
            <w:r w:rsidRPr="008161A1">
              <w:rPr>
                <w:rFonts w:ascii="Arial" w:eastAsia="Times New Roman" w:hAnsi="Arial" w:cs="Arial"/>
                <w:sz w:val="16"/>
                <w:szCs w:val="16"/>
                <w:lang w:eastAsia="en-AU"/>
              </w:rPr>
              <w:t>–59,000</w:t>
            </w:r>
          </w:p>
        </w:tc>
        <w:tc>
          <w:tcPr>
            <w:tcW w:w="2030" w:type="dxa"/>
            <w:tcBorders>
              <w:top w:val="nil"/>
              <w:left w:val="nil"/>
              <w:bottom w:val="single" w:sz="4" w:space="0" w:color="auto"/>
              <w:right w:val="single" w:sz="4" w:space="0" w:color="auto"/>
            </w:tcBorders>
            <w:shd w:val="clear" w:color="auto" w:fill="auto"/>
            <w:hideMark/>
          </w:tcPr>
          <w:p w14:paraId="274780A6" w14:textId="77777777" w:rsidR="008161A1" w:rsidRPr="008161A1" w:rsidRDefault="008161A1" w:rsidP="00D7393C">
            <w:pPr>
              <w:spacing w:after="0"/>
              <w:jc w:val="right"/>
              <w:rPr>
                <w:rFonts w:ascii="Arial" w:eastAsia="Times New Roman" w:hAnsi="Arial" w:cs="Arial"/>
                <w:sz w:val="16"/>
                <w:szCs w:val="16"/>
                <w:lang w:eastAsia="en-AU"/>
              </w:rPr>
            </w:pPr>
            <w:r w:rsidRPr="008161A1">
              <w:rPr>
                <w:rFonts w:ascii="Arial" w:eastAsia="Times New Roman" w:hAnsi="Arial" w:cs="Arial"/>
                <w:sz w:val="16"/>
                <w:szCs w:val="16"/>
                <w:lang w:eastAsia="en-AU"/>
              </w:rPr>
              <w:t>–172,000</w:t>
            </w:r>
          </w:p>
        </w:tc>
        <w:tc>
          <w:tcPr>
            <w:tcW w:w="2273" w:type="dxa"/>
            <w:tcBorders>
              <w:top w:val="nil"/>
              <w:left w:val="nil"/>
              <w:bottom w:val="single" w:sz="4" w:space="0" w:color="auto"/>
              <w:right w:val="single" w:sz="4" w:space="0" w:color="auto"/>
            </w:tcBorders>
            <w:shd w:val="clear" w:color="auto" w:fill="auto"/>
            <w:hideMark/>
          </w:tcPr>
          <w:p w14:paraId="7D1F1FC4" w14:textId="77777777" w:rsidR="008161A1" w:rsidRPr="008161A1" w:rsidRDefault="008161A1" w:rsidP="00D7393C">
            <w:pPr>
              <w:spacing w:after="0"/>
              <w:jc w:val="right"/>
              <w:rPr>
                <w:rFonts w:ascii="Arial" w:eastAsia="Times New Roman" w:hAnsi="Arial" w:cs="Arial"/>
                <w:sz w:val="16"/>
                <w:szCs w:val="16"/>
                <w:lang w:eastAsia="en-AU"/>
              </w:rPr>
            </w:pPr>
            <w:r w:rsidRPr="008161A1">
              <w:rPr>
                <w:rFonts w:ascii="Arial" w:eastAsia="Times New Roman" w:hAnsi="Arial" w:cs="Arial"/>
                <w:sz w:val="16"/>
                <w:szCs w:val="16"/>
                <w:lang w:eastAsia="en-AU"/>
              </w:rPr>
              <w:t>112,000</w:t>
            </w:r>
          </w:p>
        </w:tc>
      </w:tr>
      <w:tr w:rsidR="008161A1" w:rsidRPr="008161A1" w14:paraId="45103E3A" w14:textId="77777777" w:rsidTr="004200B5">
        <w:trPr>
          <w:trHeight w:val="284"/>
        </w:trPr>
        <w:tc>
          <w:tcPr>
            <w:tcW w:w="2972" w:type="dxa"/>
            <w:tcBorders>
              <w:top w:val="nil"/>
              <w:left w:val="single" w:sz="4" w:space="0" w:color="auto"/>
              <w:bottom w:val="single" w:sz="4" w:space="0" w:color="auto"/>
              <w:right w:val="single" w:sz="4" w:space="0" w:color="auto"/>
            </w:tcBorders>
            <w:shd w:val="clear" w:color="auto" w:fill="auto"/>
            <w:hideMark/>
          </w:tcPr>
          <w:p w14:paraId="1B0FEB90" w14:textId="77777777" w:rsidR="008161A1" w:rsidRPr="008161A1" w:rsidRDefault="008161A1" w:rsidP="008161A1">
            <w:pPr>
              <w:spacing w:after="0"/>
              <w:rPr>
                <w:rFonts w:ascii="Arial" w:eastAsia="Times New Roman" w:hAnsi="Arial" w:cs="Arial"/>
                <w:b/>
                <w:bCs/>
                <w:sz w:val="16"/>
                <w:szCs w:val="16"/>
                <w:lang w:eastAsia="en-AU"/>
              </w:rPr>
            </w:pPr>
            <w:r w:rsidRPr="008161A1">
              <w:rPr>
                <w:rFonts w:ascii="Arial" w:eastAsia="Times New Roman" w:hAnsi="Arial" w:cs="Arial"/>
                <w:b/>
                <w:bCs/>
                <w:sz w:val="16"/>
                <w:szCs w:val="16"/>
                <w:lang w:eastAsia="en-AU"/>
              </w:rPr>
              <w:t xml:space="preserve"> Incorporating impacts of COVID  </w:t>
            </w:r>
          </w:p>
        </w:tc>
        <w:tc>
          <w:tcPr>
            <w:tcW w:w="1843" w:type="dxa"/>
            <w:tcBorders>
              <w:top w:val="nil"/>
              <w:left w:val="nil"/>
              <w:bottom w:val="single" w:sz="4" w:space="0" w:color="auto"/>
              <w:right w:val="single" w:sz="4" w:space="0" w:color="auto"/>
            </w:tcBorders>
            <w:shd w:val="clear" w:color="auto" w:fill="auto"/>
            <w:hideMark/>
          </w:tcPr>
          <w:p w14:paraId="4CCCBEB1" w14:textId="77777777" w:rsidR="008161A1" w:rsidRPr="008161A1" w:rsidRDefault="008161A1" w:rsidP="00D7393C">
            <w:pPr>
              <w:spacing w:after="0"/>
              <w:jc w:val="right"/>
              <w:rPr>
                <w:rFonts w:ascii="Arial" w:eastAsia="Times New Roman" w:hAnsi="Arial" w:cs="Arial"/>
                <w:sz w:val="16"/>
                <w:szCs w:val="16"/>
                <w:lang w:eastAsia="en-AU"/>
              </w:rPr>
            </w:pPr>
            <w:r w:rsidRPr="008161A1">
              <w:rPr>
                <w:rFonts w:ascii="Arial" w:eastAsia="Times New Roman" w:hAnsi="Arial" w:cs="Arial"/>
                <w:sz w:val="16"/>
                <w:szCs w:val="16"/>
                <w:lang w:eastAsia="en-AU"/>
              </w:rPr>
              <w:t>30,000</w:t>
            </w:r>
          </w:p>
        </w:tc>
        <w:tc>
          <w:tcPr>
            <w:tcW w:w="2030" w:type="dxa"/>
            <w:tcBorders>
              <w:top w:val="nil"/>
              <w:left w:val="nil"/>
              <w:bottom w:val="single" w:sz="4" w:space="0" w:color="auto"/>
              <w:right w:val="single" w:sz="4" w:space="0" w:color="auto"/>
            </w:tcBorders>
            <w:shd w:val="clear" w:color="auto" w:fill="auto"/>
            <w:hideMark/>
          </w:tcPr>
          <w:p w14:paraId="65BC5BCC" w14:textId="77777777" w:rsidR="008161A1" w:rsidRPr="008161A1" w:rsidRDefault="008161A1" w:rsidP="00D7393C">
            <w:pPr>
              <w:spacing w:after="0"/>
              <w:jc w:val="right"/>
              <w:rPr>
                <w:rFonts w:ascii="Arial" w:eastAsia="Times New Roman" w:hAnsi="Arial" w:cs="Arial"/>
                <w:sz w:val="16"/>
                <w:szCs w:val="16"/>
                <w:lang w:eastAsia="en-AU"/>
              </w:rPr>
            </w:pPr>
            <w:r w:rsidRPr="008161A1">
              <w:rPr>
                <w:rFonts w:ascii="Arial" w:eastAsia="Times New Roman" w:hAnsi="Arial" w:cs="Arial"/>
                <w:sz w:val="16"/>
                <w:szCs w:val="16"/>
                <w:lang w:eastAsia="en-AU"/>
              </w:rPr>
              <w:t>–90,000</w:t>
            </w:r>
          </w:p>
        </w:tc>
        <w:tc>
          <w:tcPr>
            <w:tcW w:w="2273" w:type="dxa"/>
            <w:tcBorders>
              <w:top w:val="nil"/>
              <w:left w:val="nil"/>
              <w:bottom w:val="single" w:sz="4" w:space="0" w:color="auto"/>
              <w:right w:val="single" w:sz="4" w:space="0" w:color="auto"/>
            </w:tcBorders>
            <w:shd w:val="clear" w:color="auto" w:fill="auto"/>
            <w:hideMark/>
          </w:tcPr>
          <w:p w14:paraId="061A969A" w14:textId="77777777" w:rsidR="008161A1" w:rsidRPr="008161A1" w:rsidRDefault="008161A1" w:rsidP="00D7393C">
            <w:pPr>
              <w:spacing w:after="0"/>
              <w:jc w:val="right"/>
              <w:rPr>
                <w:rFonts w:ascii="Arial" w:eastAsia="Times New Roman" w:hAnsi="Arial" w:cs="Arial"/>
                <w:sz w:val="16"/>
                <w:szCs w:val="16"/>
                <w:lang w:eastAsia="en-AU"/>
              </w:rPr>
            </w:pPr>
            <w:r w:rsidRPr="008161A1">
              <w:rPr>
                <w:rFonts w:ascii="Arial" w:eastAsia="Times New Roman" w:hAnsi="Arial" w:cs="Arial"/>
                <w:sz w:val="16"/>
                <w:szCs w:val="16"/>
                <w:lang w:eastAsia="en-AU"/>
              </w:rPr>
              <w:t>120,000</w:t>
            </w:r>
          </w:p>
        </w:tc>
      </w:tr>
    </w:tbl>
    <w:p w14:paraId="58629E45" w14:textId="1B7E245D" w:rsidR="00B3327E" w:rsidRDefault="00B3327E" w:rsidP="00141A4D">
      <w:pPr>
        <w:spacing w:after="0"/>
        <w:rPr>
          <w:sz w:val="18"/>
          <w:szCs w:val="18"/>
        </w:rPr>
      </w:pPr>
      <w:r w:rsidRPr="000B2730">
        <w:rPr>
          <w:sz w:val="18"/>
          <w:szCs w:val="18"/>
        </w:rPr>
        <w:t>The central FIONA estimate is calculated using a nominal discount rate of 5%</w:t>
      </w:r>
      <w:r>
        <w:rPr>
          <w:sz w:val="18"/>
          <w:szCs w:val="18"/>
        </w:rPr>
        <w:t>.</w:t>
      </w:r>
      <w:r w:rsidR="00F03473">
        <w:rPr>
          <w:sz w:val="18"/>
          <w:szCs w:val="18"/>
        </w:rPr>
        <w:t xml:space="preserve"> </w:t>
      </w:r>
      <w:bookmarkStart w:id="22" w:name="_Hlk82779302"/>
      <w:r w:rsidR="00F03473">
        <w:rPr>
          <w:sz w:val="18"/>
          <w:szCs w:val="18"/>
        </w:rPr>
        <w:t>Differences not exact due to rounding.</w:t>
      </w:r>
    </w:p>
    <w:bookmarkEnd w:id="22"/>
    <w:p w14:paraId="436972FE" w14:textId="77777777" w:rsidR="00141A4D" w:rsidRPr="000B2730" w:rsidRDefault="00141A4D" w:rsidP="00141A4D">
      <w:pPr>
        <w:spacing w:after="0"/>
        <w:rPr>
          <w:sz w:val="18"/>
          <w:szCs w:val="18"/>
        </w:rPr>
      </w:pPr>
    </w:p>
    <w:p w14:paraId="49A5A1B4" w14:textId="09A6854B" w:rsidR="00F65A45" w:rsidRDefault="002B5612" w:rsidP="00825E78">
      <w:r>
        <w:t>In addition, c</w:t>
      </w:r>
      <w:r w:rsidR="00C9635A">
        <w:t>omparing the difference between FIONA estimates for two different migrants provides an estimate of the lifetime fiscal impact of changing the composition of the permanent migration program (</w:t>
      </w:r>
      <w:r w:rsidR="009B6808">
        <w:t>for example</w:t>
      </w:r>
      <w:r w:rsidR="00C9635A">
        <w:t xml:space="preserve"> within a given annual cap of permanent migrants, what the lifetime fiscal impact </w:t>
      </w:r>
      <w:r w:rsidR="00E0639E">
        <w:t xml:space="preserve">would </w:t>
      </w:r>
      <w:r w:rsidR="00C9635A">
        <w:t xml:space="preserve">be of increasing the skilled share). </w:t>
      </w:r>
    </w:p>
    <w:p w14:paraId="1F2111A1" w14:textId="769F915F" w:rsidR="008F1973" w:rsidRDefault="008F1973" w:rsidP="00825E78">
      <w:r>
        <w:t>In Table 2, the estimates shown for the 2018</w:t>
      </w:r>
      <w:r w:rsidR="00F62807">
        <w:t>–</w:t>
      </w:r>
      <w:r>
        <w:t xml:space="preserve">19 Australian population are created solely to assist in interpreting results relating to migrants. </w:t>
      </w:r>
      <w:r w:rsidR="00FB102E">
        <w:t>They are not intended to represent an estimate of Australian fiscal sustainability</w:t>
      </w:r>
      <w:r>
        <w:t>, a topic which is discussed in detail in the Intergenerational Report. While a negative FIONA estimate for the Australian population is broadly consistent with the long</w:t>
      </w:r>
      <w:r w:rsidR="006E5E41">
        <w:t>-</w:t>
      </w:r>
      <w:r>
        <w:t>run fiscal projections contained in the IGR, several design features of FIONA (such as that FIONA is a closed</w:t>
      </w:r>
      <w:r w:rsidR="006E5E41">
        <w:t>-</w:t>
      </w:r>
      <w:r>
        <w:t>cohort model; does not include all Commonwealth revenues and expenses; but does include State level impacts) mean that a direct comparison with results from the IGR is not possible.</w:t>
      </w:r>
    </w:p>
    <w:p w14:paraId="76F4FEBB" w14:textId="1BD892E3" w:rsidR="00703B6B" w:rsidRPr="006F772F" w:rsidRDefault="001D1976" w:rsidP="001A66C0">
      <w:pPr>
        <w:pStyle w:val="Heading3"/>
      </w:pPr>
      <w:bookmarkStart w:id="23" w:name="_Toc77175213"/>
      <w:r>
        <w:t xml:space="preserve">FIONA only </w:t>
      </w:r>
      <w:r w:rsidR="008628B5">
        <w:t xml:space="preserve">considers </w:t>
      </w:r>
      <w:r>
        <w:t>permanent migrants</w:t>
      </w:r>
      <w:bookmarkEnd w:id="23"/>
    </w:p>
    <w:p w14:paraId="53E96B0A" w14:textId="6BF535DA" w:rsidR="00703B6B" w:rsidRDefault="006542FE" w:rsidP="00825E78">
      <w:r>
        <w:t>FIONA</w:t>
      </w:r>
      <w:r w:rsidR="001D1976">
        <w:t xml:space="preserve"> is designed to estimate the lifetime fiscal impact of the Australian permanent migration program</w:t>
      </w:r>
      <w:r w:rsidR="00474E64">
        <w:t xml:space="preserve">. </w:t>
      </w:r>
      <w:r w:rsidR="008628B5">
        <w:t xml:space="preserve">Temporary migrants are not directly in scope. </w:t>
      </w:r>
      <w:r w:rsidR="001D1976">
        <w:t>However, the permanent and temporary</w:t>
      </w:r>
      <w:r w:rsidR="00D54C63">
        <w:t xml:space="preserve"> migration programs are closely</w:t>
      </w:r>
      <w:r w:rsidR="00F65A45">
        <w:t xml:space="preserve"> linked. </w:t>
      </w:r>
      <w:r w:rsidR="00D54C63">
        <w:t>For instance,</w:t>
      </w:r>
      <w:r w:rsidR="00760F66">
        <w:t xml:space="preserve"> the temporary migration program represents an </w:t>
      </w:r>
      <w:r w:rsidR="00760F66">
        <w:lastRenderedPageBreak/>
        <w:t>important pathway towards permanent migration</w:t>
      </w:r>
      <w:r w:rsidR="00183666">
        <w:t xml:space="preserve">. </w:t>
      </w:r>
      <w:proofErr w:type="gramStart"/>
      <w:r w:rsidR="00183666">
        <w:t xml:space="preserve">The </w:t>
      </w:r>
      <w:r w:rsidR="00EB1F20">
        <w:t>majority of</w:t>
      </w:r>
      <w:proofErr w:type="gramEnd"/>
      <w:r w:rsidR="00EB1F20">
        <w:t xml:space="preserve"> permanent migrants have previously spent time in Australia on a temporary visa</w:t>
      </w:r>
      <w:r w:rsidR="00D54C63">
        <w:t xml:space="preserve">. In addition, many permanent migrants spend time in Australia on a bridging visa (part of the temporary migration program) while awaiting </w:t>
      </w:r>
      <w:r w:rsidR="00B43E35">
        <w:t>the outcome of a permanent visa application.</w:t>
      </w:r>
    </w:p>
    <w:p w14:paraId="7C8E0A68" w14:textId="419B4C98" w:rsidR="00D54C63" w:rsidRDefault="00D54C63" w:rsidP="00825E78">
      <w:r>
        <w:t xml:space="preserve">To </w:t>
      </w:r>
      <w:r w:rsidR="00183666">
        <w:t xml:space="preserve">complement </w:t>
      </w:r>
      <w:r>
        <w:t xml:space="preserve">FIONA estimates, Appendix B provides estimates of the fiscal impact of some parts of the Australian temporary migration program. </w:t>
      </w:r>
    </w:p>
    <w:p w14:paraId="68898BF7" w14:textId="5BE0D17E" w:rsidR="00801D07" w:rsidRDefault="00801D07" w:rsidP="00E079FB">
      <w:pPr>
        <w:pStyle w:val="Heading2"/>
        <w:numPr>
          <w:ilvl w:val="0"/>
          <w:numId w:val="22"/>
        </w:numPr>
      </w:pPr>
      <w:bookmarkStart w:id="24" w:name="_Toc77175214"/>
      <w:r w:rsidRPr="00662350">
        <w:t>Modelling the lifetime fiscal impact of migration</w:t>
      </w:r>
      <w:bookmarkEnd w:id="24"/>
      <w:r w:rsidRPr="00662350">
        <w:t xml:space="preserve"> </w:t>
      </w:r>
    </w:p>
    <w:p w14:paraId="5C12ED11" w14:textId="72F33EC1" w:rsidR="006420AE" w:rsidRDefault="006420AE" w:rsidP="00825E78">
      <w:r w:rsidRPr="006420AE">
        <w:t xml:space="preserve">This section of the paper provides a brief overview of the modelling approach used in FIONA, with a more detailed description provided in </w:t>
      </w:r>
      <w:r w:rsidR="003170BA">
        <w:t>A</w:t>
      </w:r>
      <w:r w:rsidR="003170BA" w:rsidRPr="006420AE">
        <w:t xml:space="preserve">ppendix </w:t>
      </w:r>
      <w:r w:rsidR="003170BA">
        <w:t>A</w:t>
      </w:r>
      <w:r w:rsidR="00F65A45">
        <w:t xml:space="preserve"> of</w:t>
      </w:r>
      <w:r w:rsidRPr="006420AE">
        <w:t xml:space="preserve"> this report. FIONA calculations follow three broad steps, which are shown in Chart 3. </w:t>
      </w:r>
    </w:p>
    <w:p w14:paraId="3C5CA8A7" w14:textId="0251385B" w:rsidR="00801D07" w:rsidRPr="003C42C5" w:rsidRDefault="0093250E" w:rsidP="0023028F">
      <w:pPr>
        <w:pStyle w:val="ChartMainHeading"/>
        <w:rPr>
          <w:bCs/>
        </w:rPr>
      </w:pPr>
      <w:r w:rsidRPr="00F70234">
        <w:t>Chart 3</w:t>
      </w:r>
      <w:r w:rsidR="000A58E7" w:rsidRPr="00F70234">
        <w:t>:</w:t>
      </w:r>
      <w:r w:rsidR="00801D07" w:rsidRPr="00F70234">
        <w:t xml:space="preserve"> Overview of the FIONA modelling process</w:t>
      </w:r>
      <w:r w:rsidR="00EB3CEA">
        <w:rPr>
          <w:noProof/>
        </w:rPr>
        <w:drawing>
          <wp:inline distT="0" distB="0" distL="0" distR="0" wp14:anchorId="00EBBF19" wp14:editId="74EF7D67">
            <wp:extent cx="5904230" cy="2846416"/>
            <wp:effectExtent l="19050" t="0" r="20320" b="0"/>
            <wp:docPr id="5" name="Diagram 5" descr="This chart shows the FIONA modelling process of demographic projection, calculating revenue and expenditure conditional on demography, and discounting this to net present valu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C690F35" w14:textId="59D8490C" w:rsidR="00801D07" w:rsidRPr="00662350" w:rsidRDefault="006420AE" w:rsidP="001A66C0">
      <w:pPr>
        <w:pStyle w:val="Heading3"/>
      </w:pPr>
      <w:bookmarkStart w:id="25" w:name="_Toc77175215"/>
      <w:r>
        <w:t>Demographic projection</w:t>
      </w:r>
      <w:bookmarkEnd w:id="25"/>
    </w:p>
    <w:p w14:paraId="4F6F08A1" w14:textId="1B4E7111" w:rsidR="006420AE" w:rsidRDefault="006420AE" w:rsidP="00825E78">
      <w:r>
        <w:t xml:space="preserve">The first stage of FIONA is to create a demographic projection of the </w:t>
      </w:r>
      <w:r w:rsidR="00940813">
        <w:t>2018</w:t>
      </w:r>
      <w:r w:rsidR="00F62807">
        <w:t>–</w:t>
      </w:r>
      <w:r w:rsidR="00940813">
        <w:t xml:space="preserve">19 </w:t>
      </w:r>
      <w:r>
        <w:t>migrant (and Australian</w:t>
      </w:r>
      <w:r w:rsidR="00F65A45">
        <w:t>)</w:t>
      </w:r>
      <w:r>
        <w:t xml:space="preserve"> population over the remainder of their lifetimes in Australia. This calculation </w:t>
      </w:r>
      <w:r w:rsidR="006B625B">
        <w:t>considers</w:t>
      </w:r>
      <w:r w:rsidR="00183666">
        <w:t xml:space="preserve"> </w:t>
      </w:r>
      <w:r>
        <w:t xml:space="preserve">the share of visa </w:t>
      </w:r>
      <w:r w:rsidR="00183666">
        <w:t xml:space="preserve">recipients </w:t>
      </w:r>
      <w:r>
        <w:t xml:space="preserve">that </w:t>
      </w:r>
      <w:r w:rsidR="00183666">
        <w:t xml:space="preserve">ultimately </w:t>
      </w:r>
      <w:r>
        <w:t>arrive in Australia, mortality, emigration away from Australia and net interstate migration. FIONA is a closed cohort model, which means that it does not include any second</w:t>
      </w:r>
      <w:r w:rsidR="006E5E41">
        <w:noBreakHyphen/>
      </w:r>
      <w:r>
        <w:t>generation migrants.</w:t>
      </w:r>
      <w:r w:rsidRPr="003C42C5">
        <w:rPr>
          <w:rStyle w:val="FootnoteReference"/>
        </w:rPr>
        <w:footnoteReference w:id="18"/>
      </w:r>
      <w:r w:rsidRPr="00776717">
        <w:rPr>
          <w:strike/>
        </w:rPr>
        <w:t xml:space="preserve"> </w:t>
      </w:r>
      <w:r>
        <w:t xml:space="preserve"> </w:t>
      </w:r>
    </w:p>
    <w:p w14:paraId="39CC9271" w14:textId="4FF7956F" w:rsidR="006420AE" w:rsidRDefault="006420AE" w:rsidP="001A66C0">
      <w:pPr>
        <w:pStyle w:val="Heading3"/>
      </w:pPr>
      <w:bookmarkStart w:id="26" w:name="_Toc77175216"/>
      <w:r>
        <w:lastRenderedPageBreak/>
        <w:t>Estimating revenues and expenses</w:t>
      </w:r>
      <w:bookmarkEnd w:id="26"/>
    </w:p>
    <w:p w14:paraId="781AD0B7" w14:textId="7B525411" w:rsidR="006420AE" w:rsidRDefault="003548D3" w:rsidP="008027CA">
      <w:r>
        <w:t>FIONA models the additional revenues and expenses</w:t>
      </w:r>
      <w:r w:rsidR="0027514C">
        <w:t xml:space="preserve"> that can reasonably be</w:t>
      </w:r>
      <w:r>
        <w:t xml:space="preserve"> </w:t>
      </w:r>
      <w:r w:rsidR="004E76BF">
        <w:t xml:space="preserve">attributed </w:t>
      </w:r>
      <w:r w:rsidR="00183666">
        <w:t xml:space="preserve">to the migrant cohort. </w:t>
      </w:r>
      <w:r w:rsidR="003170BA">
        <w:t>Generally,</w:t>
      </w:r>
      <w:r w:rsidR="00183666">
        <w:t xml:space="preserve"> this</w:t>
      </w:r>
      <w:r>
        <w:t xml:space="preserve"> is based on the economic incidence of these revenues and expenses.</w:t>
      </w:r>
      <w:r>
        <w:rPr>
          <w:rStyle w:val="FootnoteReference"/>
        </w:rPr>
        <w:footnoteReference w:id="19"/>
      </w:r>
      <w:r>
        <w:t xml:space="preserve"> </w:t>
      </w:r>
      <w:r w:rsidR="00183666">
        <w:t xml:space="preserve">For example, </w:t>
      </w:r>
      <w:r w:rsidR="00CB4275">
        <w:t xml:space="preserve">even though businesses are legally liable for payroll taxes, these amounts are attributed to their employees. </w:t>
      </w:r>
      <w:r w:rsidR="006420AE">
        <w:t xml:space="preserve">The revenues and expenses modelled in FIONA are presented in Table </w:t>
      </w:r>
      <w:r w:rsidR="009B2AE6">
        <w:t>3</w:t>
      </w:r>
      <w:r w:rsidR="004E76BF">
        <w:t xml:space="preserve">. Revenues and expenses that are not modelled in FIONA include </w:t>
      </w:r>
      <w:r w:rsidR="00DE256F">
        <w:t>c</w:t>
      </w:r>
      <w:r w:rsidR="004E76BF">
        <w:t>ompany</w:t>
      </w:r>
      <w:r w:rsidR="00DE256F">
        <w:t xml:space="preserve"> t</w:t>
      </w:r>
      <w:r w:rsidR="004E76BF">
        <w:t>ax</w:t>
      </w:r>
      <w:r w:rsidR="00AA3EDB">
        <w:t>, the sale of goods and services</w:t>
      </w:r>
      <w:r w:rsidR="00A14BB5">
        <w:t>,</w:t>
      </w:r>
      <w:r w:rsidR="00AA3EDB">
        <w:t xml:space="preserve"> </w:t>
      </w:r>
      <w:r w:rsidR="00DE256F">
        <w:t xml:space="preserve">Defence </w:t>
      </w:r>
      <w:r w:rsidR="00AA3EDB">
        <w:t xml:space="preserve">and </w:t>
      </w:r>
      <w:r w:rsidR="00DE256F">
        <w:t>costs related to the justice system</w:t>
      </w:r>
      <w:r w:rsidR="00AA3EDB">
        <w:t>.</w:t>
      </w:r>
      <w:r w:rsidR="006420AE">
        <w:t xml:space="preserve"> </w:t>
      </w:r>
      <w:r w:rsidR="00DE256F">
        <w:t xml:space="preserve">This is </w:t>
      </w:r>
      <w:r w:rsidR="00AA3EDB">
        <w:t xml:space="preserve">discussed </w:t>
      </w:r>
      <w:r w:rsidR="00DE256F">
        <w:t xml:space="preserve">further </w:t>
      </w:r>
      <w:r w:rsidR="00AA3EDB">
        <w:t>in section 5.2 of this paper.</w:t>
      </w:r>
    </w:p>
    <w:p w14:paraId="37C5EA40" w14:textId="1244B2B3" w:rsidR="006420AE" w:rsidRDefault="006420AE" w:rsidP="0023028F">
      <w:pPr>
        <w:pStyle w:val="TableHeading1"/>
      </w:pPr>
      <w:r w:rsidRPr="00F70234">
        <w:t xml:space="preserve">Table </w:t>
      </w:r>
      <w:r w:rsidR="009B2AE6" w:rsidRPr="00F70234">
        <w:t>3</w:t>
      </w:r>
      <w:r w:rsidRPr="00F70234">
        <w:t>. Revenues and expenses modelled in FIONA</w:t>
      </w:r>
    </w:p>
    <w:tbl>
      <w:tblPr>
        <w:tblW w:w="9265" w:type="dxa"/>
        <w:tblLook w:val="04A0" w:firstRow="1" w:lastRow="0" w:firstColumn="1" w:lastColumn="0" w:noHBand="0" w:noVBand="1"/>
      </w:tblPr>
      <w:tblGrid>
        <w:gridCol w:w="1159"/>
        <w:gridCol w:w="6014"/>
        <w:gridCol w:w="2092"/>
      </w:tblGrid>
      <w:tr w:rsidR="008161A1" w:rsidRPr="008161A1" w14:paraId="3F72756C" w14:textId="77777777" w:rsidTr="004200B5">
        <w:trPr>
          <w:trHeight w:val="520"/>
        </w:trPr>
        <w:tc>
          <w:tcPr>
            <w:tcW w:w="1159" w:type="dxa"/>
            <w:tcBorders>
              <w:top w:val="single" w:sz="4" w:space="0" w:color="auto"/>
              <w:left w:val="single" w:sz="4" w:space="0" w:color="auto"/>
              <w:bottom w:val="single" w:sz="4" w:space="0" w:color="auto"/>
              <w:right w:val="single" w:sz="4" w:space="0" w:color="auto"/>
            </w:tcBorders>
            <w:shd w:val="clear" w:color="000000" w:fill="CFDCEA"/>
            <w:vAlign w:val="center"/>
            <w:hideMark/>
          </w:tcPr>
          <w:p w14:paraId="5351F017" w14:textId="77777777" w:rsidR="008161A1" w:rsidRPr="008161A1" w:rsidRDefault="008161A1" w:rsidP="00A77E0F">
            <w:pPr>
              <w:keepNext/>
              <w:spacing w:after="0"/>
              <w:jc w:val="center"/>
              <w:rPr>
                <w:rFonts w:ascii="Arial" w:eastAsia="Times New Roman" w:hAnsi="Arial" w:cs="Arial"/>
                <w:b/>
                <w:bCs/>
                <w:sz w:val="16"/>
                <w:szCs w:val="16"/>
                <w:lang w:eastAsia="en-AU"/>
              </w:rPr>
            </w:pPr>
            <w:r w:rsidRPr="008161A1">
              <w:rPr>
                <w:rFonts w:ascii="Arial" w:eastAsia="Times New Roman" w:hAnsi="Arial" w:cs="Arial"/>
                <w:b/>
                <w:bCs/>
                <w:sz w:val="16"/>
                <w:szCs w:val="16"/>
                <w:lang w:eastAsia="en-AU"/>
              </w:rPr>
              <w:t> </w:t>
            </w:r>
          </w:p>
        </w:tc>
        <w:tc>
          <w:tcPr>
            <w:tcW w:w="6014" w:type="dxa"/>
            <w:tcBorders>
              <w:top w:val="single" w:sz="4" w:space="0" w:color="auto"/>
              <w:left w:val="nil"/>
              <w:bottom w:val="single" w:sz="4" w:space="0" w:color="auto"/>
              <w:right w:val="single" w:sz="4" w:space="0" w:color="auto"/>
            </w:tcBorders>
            <w:shd w:val="clear" w:color="000000" w:fill="CFDCEA"/>
            <w:vAlign w:val="center"/>
            <w:hideMark/>
          </w:tcPr>
          <w:p w14:paraId="09748D22" w14:textId="77777777" w:rsidR="008161A1" w:rsidRPr="008161A1" w:rsidRDefault="008161A1" w:rsidP="00A77E0F">
            <w:pPr>
              <w:keepNext/>
              <w:spacing w:after="0"/>
              <w:jc w:val="center"/>
              <w:rPr>
                <w:rFonts w:ascii="Arial" w:eastAsia="Times New Roman" w:hAnsi="Arial" w:cs="Arial"/>
                <w:b/>
                <w:bCs/>
                <w:sz w:val="16"/>
                <w:szCs w:val="16"/>
                <w:lang w:eastAsia="en-AU"/>
              </w:rPr>
            </w:pPr>
            <w:r w:rsidRPr="008161A1">
              <w:rPr>
                <w:rFonts w:ascii="Arial" w:eastAsia="Times New Roman" w:hAnsi="Arial" w:cs="Arial"/>
                <w:b/>
                <w:bCs/>
                <w:sz w:val="16"/>
                <w:szCs w:val="16"/>
                <w:lang w:eastAsia="en-AU"/>
              </w:rPr>
              <w:t>Commonwealth</w:t>
            </w:r>
          </w:p>
        </w:tc>
        <w:tc>
          <w:tcPr>
            <w:tcW w:w="2092" w:type="dxa"/>
            <w:tcBorders>
              <w:top w:val="single" w:sz="4" w:space="0" w:color="auto"/>
              <w:left w:val="nil"/>
              <w:bottom w:val="single" w:sz="4" w:space="0" w:color="auto"/>
              <w:right w:val="single" w:sz="4" w:space="0" w:color="auto"/>
            </w:tcBorders>
            <w:shd w:val="clear" w:color="000000" w:fill="CFDCEA"/>
            <w:vAlign w:val="center"/>
            <w:hideMark/>
          </w:tcPr>
          <w:p w14:paraId="5756FE9B" w14:textId="77777777" w:rsidR="008161A1" w:rsidRPr="008161A1" w:rsidRDefault="008161A1" w:rsidP="00A77E0F">
            <w:pPr>
              <w:keepNext/>
              <w:spacing w:after="0"/>
              <w:jc w:val="center"/>
              <w:rPr>
                <w:rFonts w:ascii="Arial" w:eastAsia="Times New Roman" w:hAnsi="Arial" w:cs="Arial"/>
                <w:b/>
                <w:bCs/>
                <w:sz w:val="16"/>
                <w:szCs w:val="16"/>
                <w:lang w:eastAsia="en-AU"/>
              </w:rPr>
            </w:pPr>
            <w:r w:rsidRPr="008161A1">
              <w:rPr>
                <w:rFonts w:ascii="Arial" w:eastAsia="Times New Roman" w:hAnsi="Arial" w:cs="Arial"/>
                <w:b/>
                <w:bCs/>
                <w:sz w:val="16"/>
                <w:szCs w:val="16"/>
                <w:lang w:eastAsia="en-AU"/>
              </w:rPr>
              <w:t>State and Territory</w:t>
            </w:r>
          </w:p>
        </w:tc>
      </w:tr>
      <w:tr w:rsidR="008161A1" w:rsidRPr="008161A1" w14:paraId="43676C09" w14:textId="77777777" w:rsidTr="004200B5">
        <w:trPr>
          <w:trHeight w:val="296"/>
        </w:trPr>
        <w:tc>
          <w:tcPr>
            <w:tcW w:w="1159" w:type="dxa"/>
            <w:vMerge w:val="restart"/>
            <w:tcBorders>
              <w:top w:val="nil"/>
              <w:left w:val="single" w:sz="4" w:space="0" w:color="auto"/>
              <w:bottom w:val="single" w:sz="4" w:space="0" w:color="000000"/>
              <w:right w:val="single" w:sz="4" w:space="0" w:color="auto"/>
            </w:tcBorders>
            <w:shd w:val="clear" w:color="auto" w:fill="auto"/>
            <w:vAlign w:val="center"/>
            <w:hideMark/>
          </w:tcPr>
          <w:p w14:paraId="250F8667" w14:textId="77777777" w:rsidR="008161A1" w:rsidRPr="008161A1" w:rsidRDefault="008161A1" w:rsidP="00A77E0F">
            <w:pPr>
              <w:keepNext/>
              <w:spacing w:after="0"/>
              <w:jc w:val="center"/>
              <w:rPr>
                <w:rFonts w:ascii="Arial" w:eastAsia="Times New Roman" w:hAnsi="Arial" w:cs="Arial"/>
                <w:b/>
                <w:bCs/>
                <w:sz w:val="16"/>
                <w:szCs w:val="16"/>
                <w:lang w:eastAsia="en-AU"/>
              </w:rPr>
            </w:pPr>
            <w:r w:rsidRPr="008161A1">
              <w:rPr>
                <w:rFonts w:ascii="Arial" w:eastAsia="Times New Roman" w:hAnsi="Arial" w:cs="Arial"/>
                <w:b/>
                <w:bCs/>
                <w:sz w:val="16"/>
                <w:szCs w:val="16"/>
                <w:lang w:eastAsia="en-AU"/>
              </w:rPr>
              <w:t xml:space="preserve">Revenue </w:t>
            </w:r>
          </w:p>
        </w:tc>
        <w:tc>
          <w:tcPr>
            <w:tcW w:w="6014" w:type="dxa"/>
            <w:tcBorders>
              <w:top w:val="nil"/>
              <w:left w:val="nil"/>
              <w:bottom w:val="single" w:sz="4" w:space="0" w:color="auto"/>
              <w:right w:val="single" w:sz="4" w:space="0" w:color="auto"/>
            </w:tcBorders>
            <w:shd w:val="clear" w:color="auto" w:fill="auto"/>
            <w:hideMark/>
          </w:tcPr>
          <w:p w14:paraId="5FA3F2E9" w14:textId="77777777" w:rsidR="008161A1" w:rsidRPr="008161A1" w:rsidRDefault="008161A1" w:rsidP="00A77E0F">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Excise (fuel, alcohol, tobacco)</w:t>
            </w:r>
          </w:p>
        </w:tc>
        <w:tc>
          <w:tcPr>
            <w:tcW w:w="2092" w:type="dxa"/>
            <w:tcBorders>
              <w:top w:val="nil"/>
              <w:left w:val="nil"/>
              <w:bottom w:val="single" w:sz="4" w:space="0" w:color="auto"/>
              <w:right w:val="single" w:sz="4" w:space="0" w:color="auto"/>
            </w:tcBorders>
            <w:shd w:val="clear" w:color="auto" w:fill="auto"/>
            <w:hideMark/>
          </w:tcPr>
          <w:p w14:paraId="2FAAB827" w14:textId="77777777" w:rsidR="008161A1" w:rsidRPr="008161A1" w:rsidRDefault="008161A1" w:rsidP="00A77E0F">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GST</w:t>
            </w:r>
          </w:p>
        </w:tc>
      </w:tr>
      <w:tr w:rsidR="008161A1" w:rsidRPr="008161A1" w14:paraId="6655249A" w14:textId="77777777" w:rsidTr="004200B5">
        <w:trPr>
          <w:trHeight w:val="296"/>
        </w:trPr>
        <w:tc>
          <w:tcPr>
            <w:tcW w:w="1159" w:type="dxa"/>
            <w:vMerge/>
            <w:tcBorders>
              <w:top w:val="nil"/>
              <w:left w:val="single" w:sz="4" w:space="0" w:color="auto"/>
              <w:bottom w:val="single" w:sz="4" w:space="0" w:color="000000"/>
              <w:right w:val="single" w:sz="4" w:space="0" w:color="auto"/>
            </w:tcBorders>
            <w:vAlign w:val="center"/>
            <w:hideMark/>
          </w:tcPr>
          <w:p w14:paraId="71A87420" w14:textId="77777777" w:rsidR="008161A1" w:rsidRPr="008161A1" w:rsidRDefault="008161A1" w:rsidP="00A77E0F">
            <w:pPr>
              <w:keepNext/>
              <w:spacing w:after="0"/>
              <w:rPr>
                <w:rFonts w:ascii="Arial" w:eastAsia="Times New Roman" w:hAnsi="Arial" w:cs="Arial"/>
                <w:b/>
                <w:bCs/>
                <w:sz w:val="16"/>
                <w:szCs w:val="16"/>
                <w:lang w:eastAsia="en-AU"/>
              </w:rPr>
            </w:pPr>
          </w:p>
        </w:tc>
        <w:tc>
          <w:tcPr>
            <w:tcW w:w="6014" w:type="dxa"/>
            <w:tcBorders>
              <w:top w:val="nil"/>
              <w:left w:val="nil"/>
              <w:bottom w:val="single" w:sz="4" w:space="0" w:color="auto"/>
              <w:right w:val="single" w:sz="4" w:space="0" w:color="auto"/>
            </w:tcBorders>
            <w:shd w:val="clear" w:color="auto" w:fill="auto"/>
            <w:hideMark/>
          </w:tcPr>
          <w:p w14:paraId="667BEE2D" w14:textId="77777777" w:rsidR="008161A1" w:rsidRPr="008161A1" w:rsidRDefault="008161A1" w:rsidP="00A77E0F">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Personal Income Tax</w:t>
            </w:r>
          </w:p>
        </w:tc>
        <w:tc>
          <w:tcPr>
            <w:tcW w:w="2092" w:type="dxa"/>
            <w:tcBorders>
              <w:top w:val="nil"/>
              <w:left w:val="nil"/>
              <w:bottom w:val="single" w:sz="4" w:space="0" w:color="auto"/>
              <w:right w:val="single" w:sz="4" w:space="0" w:color="auto"/>
            </w:tcBorders>
            <w:shd w:val="clear" w:color="auto" w:fill="auto"/>
            <w:hideMark/>
          </w:tcPr>
          <w:p w14:paraId="3B6D2C9C" w14:textId="77777777" w:rsidR="008161A1" w:rsidRPr="008161A1" w:rsidRDefault="008161A1" w:rsidP="00A77E0F">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 xml:space="preserve">Land Tax </w:t>
            </w:r>
          </w:p>
        </w:tc>
      </w:tr>
      <w:tr w:rsidR="008161A1" w:rsidRPr="008161A1" w14:paraId="1E913333" w14:textId="77777777" w:rsidTr="004200B5">
        <w:trPr>
          <w:trHeight w:val="296"/>
        </w:trPr>
        <w:tc>
          <w:tcPr>
            <w:tcW w:w="1159" w:type="dxa"/>
            <w:vMerge/>
            <w:tcBorders>
              <w:top w:val="nil"/>
              <w:left w:val="single" w:sz="4" w:space="0" w:color="auto"/>
              <w:bottom w:val="single" w:sz="4" w:space="0" w:color="000000"/>
              <w:right w:val="single" w:sz="4" w:space="0" w:color="auto"/>
            </w:tcBorders>
            <w:vAlign w:val="center"/>
            <w:hideMark/>
          </w:tcPr>
          <w:p w14:paraId="6B6A102B" w14:textId="77777777" w:rsidR="008161A1" w:rsidRPr="008161A1" w:rsidRDefault="008161A1" w:rsidP="00A77E0F">
            <w:pPr>
              <w:keepNext/>
              <w:spacing w:after="0"/>
              <w:rPr>
                <w:rFonts w:ascii="Arial" w:eastAsia="Times New Roman" w:hAnsi="Arial" w:cs="Arial"/>
                <w:b/>
                <w:bCs/>
                <w:sz w:val="16"/>
                <w:szCs w:val="16"/>
                <w:lang w:eastAsia="en-AU"/>
              </w:rPr>
            </w:pPr>
          </w:p>
        </w:tc>
        <w:tc>
          <w:tcPr>
            <w:tcW w:w="6014" w:type="dxa"/>
            <w:tcBorders>
              <w:top w:val="nil"/>
              <w:left w:val="nil"/>
              <w:bottom w:val="single" w:sz="4" w:space="0" w:color="auto"/>
              <w:right w:val="single" w:sz="4" w:space="0" w:color="auto"/>
            </w:tcBorders>
            <w:shd w:val="clear" w:color="auto" w:fill="auto"/>
            <w:hideMark/>
          </w:tcPr>
          <w:p w14:paraId="5EFB34DC" w14:textId="7F0CE88F" w:rsidR="008161A1" w:rsidRPr="008161A1" w:rsidRDefault="008161A1" w:rsidP="00A77E0F">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Visa Application Charge</w:t>
            </w:r>
            <w:r w:rsidR="00E0639E">
              <w:rPr>
                <w:rFonts w:ascii="Arial" w:eastAsia="Times New Roman" w:hAnsi="Arial" w:cs="Arial"/>
                <w:sz w:val="16"/>
                <w:szCs w:val="16"/>
                <w:lang w:eastAsia="en-AU"/>
              </w:rPr>
              <w:t xml:space="preserve"> (VAC)</w:t>
            </w:r>
          </w:p>
        </w:tc>
        <w:tc>
          <w:tcPr>
            <w:tcW w:w="2092" w:type="dxa"/>
            <w:tcBorders>
              <w:top w:val="nil"/>
              <w:left w:val="nil"/>
              <w:bottom w:val="single" w:sz="4" w:space="0" w:color="auto"/>
              <w:right w:val="single" w:sz="4" w:space="0" w:color="auto"/>
            </w:tcBorders>
            <w:shd w:val="clear" w:color="auto" w:fill="auto"/>
            <w:hideMark/>
          </w:tcPr>
          <w:p w14:paraId="6627C3D8" w14:textId="77777777" w:rsidR="008161A1" w:rsidRPr="008161A1" w:rsidRDefault="008161A1" w:rsidP="00A77E0F">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Stamp duty</w:t>
            </w:r>
          </w:p>
        </w:tc>
      </w:tr>
      <w:tr w:rsidR="008161A1" w:rsidRPr="008161A1" w14:paraId="523D90F1" w14:textId="77777777" w:rsidTr="004200B5">
        <w:trPr>
          <w:trHeight w:val="296"/>
        </w:trPr>
        <w:tc>
          <w:tcPr>
            <w:tcW w:w="1159" w:type="dxa"/>
            <w:vMerge/>
            <w:tcBorders>
              <w:top w:val="nil"/>
              <w:left w:val="single" w:sz="4" w:space="0" w:color="auto"/>
              <w:bottom w:val="single" w:sz="4" w:space="0" w:color="000000"/>
              <w:right w:val="single" w:sz="4" w:space="0" w:color="auto"/>
            </w:tcBorders>
            <w:vAlign w:val="center"/>
            <w:hideMark/>
          </w:tcPr>
          <w:p w14:paraId="4365FD6D" w14:textId="77777777" w:rsidR="008161A1" w:rsidRPr="008161A1" w:rsidRDefault="008161A1" w:rsidP="00A77E0F">
            <w:pPr>
              <w:keepNext/>
              <w:spacing w:after="0"/>
              <w:rPr>
                <w:rFonts w:ascii="Arial" w:eastAsia="Times New Roman" w:hAnsi="Arial" w:cs="Arial"/>
                <w:b/>
                <w:bCs/>
                <w:sz w:val="16"/>
                <w:szCs w:val="16"/>
                <w:lang w:eastAsia="en-AU"/>
              </w:rPr>
            </w:pPr>
          </w:p>
        </w:tc>
        <w:tc>
          <w:tcPr>
            <w:tcW w:w="6014" w:type="dxa"/>
            <w:tcBorders>
              <w:top w:val="nil"/>
              <w:left w:val="nil"/>
              <w:bottom w:val="single" w:sz="4" w:space="0" w:color="auto"/>
              <w:right w:val="single" w:sz="4" w:space="0" w:color="auto"/>
            </w:tcBorders>
            <w:shd w:val="clear" w:color="auto" w:fill="auto"/>
            <w:hideMark/>
          </w:tcPr>
          <w:p w14:paraId="3AB80688" w14:textId="77777777" w:rsidR="008161A1" w:rsidRPr="008161A1" w:rsidRDefault="008161A1" w:rsidP="00A77E0F">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 </w:t>
            </w:r>
          </w:p>
        </w:tc>
        <w:tc>
          <w:tcPr>
            <w:tcW w:w="2092" w:type="dxa"/>
            <w:tcBorders>
              <w:top w:val="nil"/>
              <w:left w:val="nil"/>
              <w:bottom w:val="single" w:sz="4" w:space="0" w:color="auto"/>
              <w:right w:val="single" w:sz="4" w:space="0" w:color="auto"/>
            </w:tcBorders>
            <w:shd w:val="clear" w:color="auto" w:fill="auto"/>
            <w:hideMark/>
          </w:tcPr>
          <w:p w14:paraId="40DF5145" w14:textId="77777777" w:rsidR="008161A1" w:rsidRPr="008161A1" w:rsidRDefault="008161A1" w:rsidP="00A77E0F">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Motor Vehicle taxes</w:t>
            </w:r>
          </w:p>
        </w:tc>
      </w:tr>
      <w:tr w:rsidR="008161A1" w:rsidRPr="008161A1" w14:paraId="05790646" w14:textId="77777777" w:rsidTr="004200B5">
        <w:trPr>
          <w:trHeight w:val="296"/>
        </w:trPr>
        <w:tc>
          <w:tcPr>
            <w:tcW w:w="1159" w:type="dxa"/>
            <w:vMerge/>
            <w:tcBorders>
              <w:top w:val="nil"/>
              <w:left w:val="single" w:sz="4" w:space="0" w:color="auto"/>
              <w:bottom w:val="single" w:sz="4" w:space="0" w:color="000000"/>
              <w:right w:val="single" w:sz="4" w:space="0" w:color="auto"/>
            </w:tcBorders>
            <w:vAlign w:val="center"/>
            <w:hideMark/>
          </w:tcPr>
          <w:p w14:paraId="1EEE5554" w14:textId="77777777" w:rsidR="008161A1" w:rsidRPr="008161A1" w:rsidRDefault="008161A1" w:rsidP="00A77E0F">
            <w:pPr>
              <w:keepNext/>
              <w:spacing w:after="0"/>
              <w:rPr>
                <w:rFonts w:ascii="Arial" w:eastAsia="Times New Roman" w:hAnsi="Arial" w:cs="Arial"/>
                <w:b/>
                <w:bCs/>
                <w:sz w:val="16"/>
                <w:szCs w:val="16"/>
                <w:lang w:eastAsia="en-AU"/>
              </w:rPr>
            </w:pPr>
          </w:p>
        </w:tc>
        <w:tc>
          <w:tcPr>
            <w:tcW w:w="6014" w:type="dxa"/>
            <w:tcBorders>
              <w:top w:val="nil"/>
              <w:left w:val="nil"/>
              <w:bottom w:val="single" w:sz="4" w:space="0" w:color="auto"/>
              <w:right w:val="single" w:sz="4" w:space="0" w:color="auto"/>
            </w:tcBorders>
            <w:shd w:val="clear" w:color="auto" w:fill="auto"/>
            <w:hideMark/>
          </w:tcPr>
          <w:p w14:paraId="384C40F2" w14:textId="77777777" w:rsidR="008161A1" w:rsidRPr="008161A1" w:rsidRDefault="008161A1" w:rsidP="00A77E0F">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 </w:t>
            </w:r>
          </w:p>
        </w:tc>
        <w:tc>
          <w:tcPr>
            <w:tcW w:w="2092" w:type="dxa"/>
            <w:tcBorders>
              <w:top w:val="nil"/>
              <w:left w:val="nil"/>
              <w:bottom w:val="single" w:sz="4" w:space="0" w:color="auto"/>
              <w:right w:val="single" w:sz="4" w:space="0" w:color="auto"/>
            </w:tcBorders>
            <w:shd w:val="clear" w:color="auto" w:fill="auto"/>
            <w:hideMark/>
          </w:tcPr>
          <w:p w14:paraId="60645E0D" w14:textId="77777777" w:rsidR="008161A1" w:rsidRPr="008161A1" w:rsidRDefault="008161A1" w:rsidP="00A77E0F">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Payroll tax</w:t>
            </w:r>
          </w:p>
        </w:tc>
      </w:tr>
      <w:tr w:rsidR="008161A1" w:rsidRPr="008161A1" w14:paraId="2AE7884F" w14:textId="77777777" w:rsidTr="004200B5">
        <w:trPr>
          <w:trHeight w:val="296"/>
        </w:trPr>
        <w:tc>
          <w:tcPr>
            <w:tcW w:w="1159" w:type="dxa"/>
            <w:vMerge w:val="restart"/>
            <w:tcBorders>
              <w:top w:val="nil"/>
              <w:left w:val="single" w:sz="4" w:space="0" w:color="auto"/>
              <w:bottom w:val="single" w:sz="4" w:space="0" w:color="000000"/>
              <w:right w:val="single" w:sz="4" w:space="0" w:color="auto"/>
            </w:tcBorders>
            <w:shd w:val="clear" w:color="auto" w:fill="auto"/>
            <w:vAlign w:val="center"/>
            <w:hideMark/>
          </w:tcPr>
          <w:p w14:paraId="0EF24DFA" w14:textId="77777777" w:rsidR="008161A1" w:rsidRPr="008161A1" w:rsidRDefault="008161A1" w:rsidP="00A77E0F">
            <w:pPr>
              <w:keepNext/>
              <w:spacing w:after="0"/>
              <w:jc w:val="center"/>
              <w:rPr>
                <w:rFonts w:ascii="Arial" w:eastAsia="Times New Roman" w:hAnsi="Arial" w:cs="Arial"/>
                <w:b/>
                <w:bCs/>
                <w:sz w:val="16"/>
                <w:szCs w:val="16"/>
                <w:lang w:eastAsia="en-AU"/>
              </w:rPr>
            </w:pPr>
            <w:r w:rsidRPr="008161A1">
              <w:rPr>
                <w:rFonts w:ascii="Arial" w:eastAsia="Times New Roman" w:hAnsi="Arial" w:cs="Arial"/>
                <w:b/>
                <w:bCs/>
                <w:sz w:val="16"/>
                <w:szCs w:val="16"/>
                <w:lang w:eastAsia="en-AU"/>
              </w:rPr>
              <w:t xml:space="preserve">Expenses </w:t>
            </w:r>
          </w:p>
        </w:tc>
        <w:tc>
          <w:tcPr>
            <w:tcW w:w="6014" w:type="dxa"/>
            <w:tcBorders>
              <w:top w:val="nil"/>
              <w:left w:val="nil"/>
              <w:bottom w:val="single" w:sz="4" w:space="0" w:color="auto"/>
              <w:right w:val="single" w:sz="4" w:space="0" w:color="auto"/>
            </w:tcBorders>
            <w:shd w:val="clear" w:color="auto" w:fill="auto"/>
            <w:hideMark/>
          </w:tcPr>
          <w:p w14:paraId="00A6192F" w14:textId="77777777" w:rsidR="008161A1" w:rsidRPr="008161A1" w:rsidRDefault="008161A1" w:rsidP="00A77E0F">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Aged Care</w:t>
            </w:r>
          </w:p>
        </w:tc>
        <w:tc>
          <w:tcPr>
            <w:tcW w:w="2092" w:type="dxa"/>
            <w:tcBorders>
              <w:top w:val="nil"/>
              <w:left w:val="nil"/>
              <w:bottom w:val="single" w:sz="4" w:space="0" w:color="auto"/>
              <w:right w:val="single" w:sz="4" w:space="0" w:color="auto"/>
            </w:tcBorders>
            <w:shd w:val="clear" w:color="auto" w:fill="auto"/>
            <w:hideMark/>
          </w:tcPr>
          <w:p w14:paraId="7F20DDBD" w14:textId="6FE2C9EE" w:rsidR="008161A1" w:rsidRPr="008161A1" w:rsidRDefault="005020B9" w:rsidP="00A77E0F">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Education</w:t>
            </w:r>
          </w:p>
        </w:tc>
      </w:tr>
      <w:tr w:rsidR="008161A1" w:rsidRPr="008161A1" w14:paraId="332D250B" w14:textId="77777777" w:rsidTr="004200B5">
        <w:trPr>
          <w:trHeight w:val="296"/>
        </w:trPr>
        <w:tc>
          <w:tcPr>
            <w:tcW w:w="1159" w:type="dxa"/>
            <w:vMerge/>
            <w:tcBorders>
              <w:top w:val="nil"/>
              <w:left w:val="single" w:sz="4" w:space="0" w:color="auto"/>
              <w:bottom w:val="single" w:sz="4" w:space="0" w:color="000000"/>
              <w:right w:val="single" w:sz="4" w:space="0" w:color="auto"/>
            </w:tcBorders>
            <w:vAlign w:val="center"/>
            <w:hideMark/>
          </w:tcPr>
          <w:p w14:paraId="0F650C41" w14:textId="77777777" w:rsidR="008161A1" w:rsidRPr="008161A1" w:rsidRDefault="008161A1" w:rsidP="00A77E0F">
            <w:pPr>
              <w:keepNext/>
              <w:spacing w:after="0"/>
              <w:rPr>
                <w:rFonts w:ascii="Arial" w:eastAsia="Times New Roman" w:hAnsi="Arial" w:cs="Arial"/>
                <w:b/>
                <w:bCs/>
                <w:sz w:val="16"/>
                <w:szCs w:val="16"/>
                <w:lang w:eastAsia="en-AU"/>
              </w:rPr>
            </w:pPr>
          </w:p>
        </w:tc>
        <w:tc>
          <w:tcPr>
            <w:tcW w:w="6014" w:type="dxa"/>
            <w:tcBorders>
              <w:top w:val="nil"/>
              <w:left w:val="nil"/>
              <w:bottom w:val="single" w:sz="4" w:space="0" w:color="auto"/>
              <w:right w:val="single" w:sz="4" w:space="0" w:color="auto"/>
            </w:tcBorders>
            <w:shd w:val="clear" w:color="auto" w:fill="auto"/>
            <w:hideMark/>
          </w:tcPr>
          <w:p w14:paraId="3293CD04" w14:textId="77777777" w:rsidR="008161A1" w:rsidRPr="008161A1" w:rsidRDefault="008161A1" w:rsidP="00A77E0F">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Education</w:t>
            </w:r>
          </w:p>
        </w:tc>
        <w:tc>
          <w:tcPr>
            <w:tcW w:w="2092" w:type="dxa"/>
            <w:tcBorders>
              <w:top w:val="nil"/>
              <w:left w:val="nil"/>
              <w:bottom w:val="single" w:sz="4" w:space="0" w:color="auto"/>
              <w:right w:val="single" w:sz="4" w:space="0" w:color="auto"/>
            </w:tcBorders>
            <w:shd w:val="clear" w:color="auto" w:fill="auto"/>
            <w:hideMark/>
          </w:tcPr>
          <w:p w14:paraId="6B2CDD28" w14:textId="5A86505E" w:rsidR="008161A1" w:rsidRPr="008161A1" w:rsidRDefault="005020B9" w:rsidP="00A77E0F">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Health</w:t>
            </w:r>
          </w:p>
        </w:tc>
      </w:tr>
      <w:tr w:rsidR="005020B9" w:rsidRPr="008161A1" w14:paraId="18C2FF57" w14:textId="77777777" w:rsidTr="004200B5">
        <w:trPr>
          <w:trHeight w:val="296"/>
        </w:trPr>
        <w:tc>
          <w:tcPr>
            <w:tcW w:w="1159" w:type="dxa"/>
            <w:vMerge/>
            <w:tcBorders>
              <w:top w:val="nil"/>
              <w:left w:val="single" w:sz="4" w:space="0" w:color="auto"/>
              <w:bottom w:val="single" w:sz="4" w:space="0" w:color="000000"/>
              <w:right w:val="single" w:sz="4" w:space="0" w:color="auto"/>
            </w:tcBorders>
            <w:vAlign w:val="center"/>
            <w:hideMark/>
          </w:tcPr>
          <w:p w14:paraId="65F2E4D8" w14:textId="77777777" w:rsidR="005020B9" w:rsidRPr="008161A1" w:rsidRDefault="005020B9" w:rsidP="005020B9">
            <w:pPr>
              <w:keepNext/>
              <w:spacing w:after="0"/>
              <w:rPr>
                <w:rFonts w:ascii="Arial" w:eastAsia="Times New Roman" w:hAnsi="Arial" w:cs="Arial"/>
                <w:b/>
                <w:bCs/>
                <w:sz w:val="16"/>
                <w:szCs w:val="16"/>
                <w:lang w:eastAsia="en-AU"/>
              </w:rPr>
            </w:pPr>
          </w:p>
        </w:tc>
        <w:tc>
          <w:tcPr>
            <w:tcW w:w="6014" w:type="dxa"/>
            <w:tcBorders>
              <w:top w:val="nil"/>
              <w:left w:val="nil"/>
              <w:bottom w:val="single" w:sz="4" w:space="0" w:color="auto"/>
              <w:right w:val="single" w:sz="4" w:space="0" w:color="auto"/>
            </w:tcBorders>
            <w:shd w:val="clear" w:color="auto" w:fill="auto"/>
            <w:hideMark/>
          </w:tcPr>
          <w:p w14:paraId="3242281B" w14:textId="77777777" w:rsidR="005020B9" w:rsidRPr="008161A1" w:rsidRDefault="005020B9" w:rsidP="005020B9">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Health</w:t>
            </w:r>
          </w:p>
        </w:tc>
        <w:tc>
          <w:tcPr>
            <w:tcW w:w="2092" w:type="dxa"/>
            <w:tcBorders>
              <w:top w:val="nil"/>
              <w:left w:val="nil"/>
              <w:bottom w:val="single" w:sz="4" w:space="0" w:color="auto"/>
              <w:right w:val="single" w:sz="4" w:space="0" w:color="auto"/>
            </w:tcBorders>
            <w:shd w:val="clear" w:color="auto" w:fill="auto"/>
            <w:hideMark/>
          </w:tcPr>
          <w:p w14:paraId="2F097464" w14:textId="669B5398" w:rsidR="005020B9" w:rsidRPr="008161A1" w:rsidRDefault="005020B9" w:rsidP="005020B9">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Infrastructure</w:t>
            </w:r>
          </w:p>
        </w:tc>
      </w:tr>
      <w:tr w:rsidR="005020B9" w:rsidRPr="008161A1" w14:paraId="7663E556" w14:textId="77777777" w:rsidTr="005020B9">
        <w:trPr>
          <w:trHeight w:val="296"/>
        </w:trPr>
        <w:tc>
          <w:tcPr>
            <w:tcW w:w="1159" w:type="dxa"/>
            <w:vMerge/>
            <w:tcBorders>
              <w:top w:val="nil"/>
              <w:left w:val="single" w:sz="4" w:space="0" w:color="auto"/>
              <w:bottom w:val="single" w:sz="4" w:space="0" w:color="000000"/>
              <w:right w:val="single" w:sz="4" w:space="0" w:color="auto"/>
            </w:tcBorders>
            <w:vAlign w:val="center"/>
            <w:hideMark/>
          </w:tcPr>
          <w:p w14:paraId="0BCA6C5F" w14:textId="77777777" w:rsidR="005020B9" w:rsidRPr="008161A1" w:rsidRDefault="005020B9" w:rsidP="005020B9">
            <w:pPr>
              <w:keepNext/>
              <w:spacing w:after="0"/>
              <w:rPr>
                <w:rFonts w:ascii="Arial" w:eastAsia="Times New Roman" w:hAnsi="Arial" w:cs="Arial"/>
                <w:b/>
                <w:bCs/>
                <w:sz w:val="16"/>
                <w:szCs w:val="16"/>
                <w:lang w:eastAsia="en-AU"/>
              </w:rPr>
            </w:pPr>
          </w:p>
        </w:tc>
        <w:tc>
          <w:tcPr>
            <w:tcW w:w="6014" w:type="dxa"/>
            <w:tcBorders>
              <w:top w:val="nil"/>
              <w:left w:val="nil"/>
              <w:bottom w:val="single" w:sz="4" w:space="0" w:color="auto"/>
              <w:right w:val="single" w:sz="4" w:space="0" w:color="auto"/>
            </w:tcBorders>
            <w:shd w:val="clear" w:color="auto" w:fill="auto"/>
            <w:hideMark/>
          </w:tcPr>
          <w:p w14:paraId="6FAC4217" w14:textId="77777777" w:rsidR="005020B9" w:rsidRPr="008161A1" w:rsidRDefault="005020B9" w:rsidP="005020B9">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Infrastructure</w:t>
            </w:r>
          </w:p>
        </w:tc>
        <w:tc>
          <w:tcPr>
            <w:tcW w:w="2092" w:type="dxa"/>
            <w:tcBorders>
              <w:top w:val="nil"/>
              <w:left w:val="nil"/>
              <w:bottom w:val="single" w:sz="4" w:space="0" w:color="auto"/>
              <w:right w:val="single" w:sz="4" w:space="0" w:color="auto"/>
            </w:tcBorders>
            <w:shd w:val="clear" w:color="auto" w:fill="auto"/>
          </w:tcPr>
          <w:p w14:paraId="3E70546E" w14:textId="5C952874" w:rsidR="005020B9" w:rsidRPr="008161A1" w:rsidRDefault="005020B9" w:rsidP="005020B9">
            <w:pPr>
              <w:keepNext/>
              <w:spacing w:after="0"/>
              <w:rPr>
                <w:rFonts w:ascii="Arial" w:eastAsia="Times New Roman" w:hAnsi="Arial" w:cs="Arial"/>
                <w:sz w:val="16"/>
                <w:szCs w:val="16"/>
                <w:lang w:eastAsia="en-AU"/>
              </w:rPr>
            </w:pPr>
          </w:p>
        </w:tc>
      </w:tr>
      <w:tr w:rsidR="005020B9" w:rsidRPr="008161A1" w14:paraId="495F08C2" w14:textId="77777777" w:rsidTr="004200B5">
        <w:trPr>
          <w:trHeight w:val="296"/>
        </w:trPr>
        <w:tc>
          <w:tcPr>
            <w:tcW w:w="1159" w:type="dxa"/>
            <w:vMerge/>
            <w:tcBorders>
              <w:top w:val="nil"/>
              <w:left w:val="single" w:sz="4" w:space="0" w:color="auto"/>
              <w:bottom w:val="single" w:sz="4" w:space="0" w:color="000000"/>
              <w:right w:val="single" w:sz="4" w:space="0" w:color="auto"/>
            </w:tcBorders>
            <w:vAlign w:val="center"/>
            <w:hideMark/>
          </w:tcPr>
          <w:p w14:paraId="71620B3A" w14:textId="77777777" w:rsidR="005020B9" w:rsidRPr="008161A1" w:rsidRDefault="005020B9" w:rsidP="005020B9">
            <w:pPr>
              <w:keepNext/>
              <w:spacing w:after="0"/>
              <w:rPr>
                <w:rFonts w:ascii="Arial" w:eastAsia="Times New Roman" w:hAnsi="Arial" w:cs="Arial"/>
                <w:b/>
                <w:bCs/>
                <w:sz w:val="16"/>
                <w:szCs w:val="16"/>
                <w:lang w:eastAsia="en-AU"/>
              </w:rPr>
            </w:pPr>
          </w:p>
        </w:tc>
        <w:tc>
          <w:tcPr>
            <w:tcW w:w="6014" w:type="dxa"/>
            <w:tcBorders>
              <w:top w:val="nil"/>
              <w:left w:val="nil"/>
              <w:bottom w:val="single" w:sz="4" w:space="0" w:color="auto"/>
              <w:right w:val="single" w:sz="4" w:space="0" w:color="auto"/>
            </w:tcBorders>
            <w:shd w:val="clear" w:color="auto" w:fill="auto"/>
            <w:hideMark/>
          </w:tcPr>
          <w:p w14:paraId="59559AFE" w14:textId="77777777" w:rsidR="005020B9" w:rsidRPr="008161A1" w:rsidRDefault="005020B9" w:rsidP="005020B9">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Transfers (including Age Pension and childcare subsidies)</w:t>
            </w:r>
          </w:p>
        </w:tc>
        <w:tc>
          <w:tcPr>
            <w:tcW w:w="2092" w:type="dxa"/>
            <w:tcBorders>
              <w:top w:val="nil"/>
              <w:left w:val="nil"/>
              <w:bottom w:val="single" w:sz="4" w:space="0" w:color="auto"/>
              <w:right w:val="single" w:sz="4" w:space="0" w:color="auto"/>
            </w:tcBorders>
            <w:shd w:val="clear" w:color="auto" w:fill="auto"/>
            <w:hideMark/>
          </w:tcPr>
          <w:p w14:paraId="4427E3E8" w14:textId="77777777" w:rsidR="005020B9" w:rsidRPr="008161A1" w:rsidRDefault="005020B9" w:rsidP="005020B9">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 </w:t>
            </w:r>
          </w:p>
        </w:tc>
      </w:tr>
      <w:tr w:rsidR="005020B9" w:rsidRPr="008161A1" w14:paraId="1E293633" w14:textId="77777777" w:rsidTr="004200B5">
        <w:trPr>
          <w:trHeight w:val="296"/>
        </w:trPr>
        <w:tc>
          <w:tcPr>
            <w:tcW w:w="1159" w:type="dxa"/>
            <w:vMerge/>
            <w:tcBorders>
              <w:top w:val="nil"/>
              <w:left w:val="single" w:sz="4" w:space="0" w:color="auto"/>
              <w:bottom w:val="single" w:sz="4" w:space="0" w:color="000000"/>
              <w:right w:val="single" w:sz="4" w:space="0" w:color="auto"/>
            </w:tcBorders>
            <w:vAlign w:val="center"/>
            <w:hideMark/>
          </w:tcPr>
          <w:p w14:paraId="5DDFCD45" w14:textId="77777777" w:rsidR="005020B9" w:rsidRPr="008161A1" w:rsidRDefault="005020B9" w:rsidP="005020B9">
            <w:pPr>
              <w:keepNext/>
              <w:spacing w:after="0"/>
              <w:rPr>
                <w:rFonts w:ascii="Arial" w:eastAsia="Times New Roman" w:hAnsi="Arial" w:cs="Arial"/>
                <w:b/>
                <w:bCs/>
                <w:sz w:val="16"/>
                <w:szCs w:val="16"/>
                <w:lang w:eastAsia="en-AU"/>
              </w:rPr>
            </w:pPr>
          </w:p>
        </w:tc>
        <w:tc>
          <w:tcPr>
            <w:tcW w:w="6014" w:type="dxa"/>
            <w:tcBorders>
              <w:top w:val="nil"/>
              <w:left w:val="nil"/>
              <w:bottom w:val="single" w:sz="4" w:space="0" w:color="auto"/>
              <w:right w:val="single" w:sz="4" w:space="0" w:color="auto"/>
            </w:tcBorders>
            <w:shd w:val="clear" w:color="auto" w:fill="auto"/>
            <w:hideMark/>
          </w:tcPr>
          <w:p w14:paraId="6DD2C540" w14:textId="77777777" w:rsidR="005020B9" w:rsidRPr="008161A1" w:rsidRDefault="005020B9" w:rsidP="005020B9">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Settlement services</w:t>
            </w:r>
          </w:p>
        </w:tc>
        <w:tc>
          <w:tcPr>
            <w:tcW w:w="2092" w:type="dxa"/>
            <w:tcBorders>
              <w:top w:val="nil"/>
              <w:left w:val="nil"/>
              <w:bottom w:val="single" w:sz="4" w:space="0" w:color="auto"/>
              <w:right w:val="single" w:sz="4" w:space="0" w:color="auto"/>
            </w:tcBorders>
            <w:shd w:val="clear" w:color="auto" w:fill="auto"/>
            <w:hideMark/>
          </w:tcPr>
          <w:p w14:paraId="49E62BC0" w14:textId="77777777" w:rsidR="005020B9" w:rsidRPr="008161A1" w:rsidRDefault="005020B9" w:rsidP="005020B9">
            <w:pPr>
              <w:keepNext/>
              <w:spacing w:after="0"/>
              <w:rPr>
                <w:rFonts w:ascii="Arial" w:eastAsia="Times New Roman" w:hAnsi="Arial" w:cs="Arial"/>
                <w:sz w:val="16"/>
                <w:szCs w:val="16"/>
                <w:lang w:eastAsia="en-AU"/>
              </w:rPr>
            </w:pPr>
            <w:r w:rsidRPr="008161A1">
              <w:rPr>
                <w:rFonts w:ascii="Arial" w:eastAsia="Times New Roman" w:hAnsi="Arial" w:cs="Arial"/>
                <w:sz w:val="16"/>
                <w:szCs w:val="16"/>
                <w:lang w:eastAsia="en-AU"/>
              </w:rPr>
              <w:t> </w:t>
            </w:r>
          </w:p>
        </w:tc>
      </w:tr>
    </w:tbl>
    <w:p w14:paraId="12C55351" w14:textId="03B03ED5" w:rsidR="006420AE" w:rsidRDefault="006420AE" w:rsidP="00A77E0F">
      <w:pPr>
        <w:spacing w:before="120" w:after="0"/>
      </w:pPr>
      <w:r>
        <w:t xml:space="preserve">The approach used to estimate each revenue and expense </w:t>
      </w:r>
      <w:r w:rsidR="003557A6">
        <w:t xml:space="preserve">category </w:t>
      </w:r>
      <w:r>
        <w:t xml:space="preserve">varies based on the available data sources. Many FIONA calculations (personal income tax, transfer payments, VAC, </w:t>
      </w:r>
      <w:r w:rsidR="004E0EBB">
        <w:t>s</w:t>
      </w:r>
      <w:r>
        <w:t xml:space="preserve">ettlement services, payroll tax and health) draw on administrative data that can be directly linked to </w:t>
      </w:r>
      <w:r w:rsidR="00CB4275">
        <w:t xml:space="preserve">individual </w:t>
      </w:r>
      <w:r>
        <w:t>migrants</w:t>
      </w:r>
      <w:r w:rsidR="00CB4275">
        <w:t xml:space="preserve"> (in a deidentified way)</w:t>
      </w:r>
      <w:r>
        <w:t>. In other cases, modules use income differences between visa groups as a predictor of revenues and expenses (indirect taxes, land tax and stamp duty). The remaining calculations are purely demographic, and only capture differences between migrants based on age and gender profiles (education, infrastructure, and aged care).</w:t>
      </w:r>
    </w:p>
    <w:p w14:paraId="05A026CF" w14:textId="1B672096" w:rsidR="002809A6" w:rsidRDefault="00D91FE2" w:rsidP="00A77E0F">
      <w:pPr>
        <w:spacing w:before="120" w:after="120"/>
      </w:pPr>
      <w:r>
        <w:t xml:space="preserve">FIONA also requires assumptions about how some revenues and expenses are allocated within a household. For instance, payments relating to </w:t>
      </w:r>
      <w:r w:rsidR="00D510B1">
        <w:t xml:space="preserve">parenthood (including Family Tax Benefits, Childcare </w:t>
      </w:r>
      <w:r w:rsidR="00E52BFF">
        <w:t>S</w:t>
      </w:r>
      <w:r w:rsidR="00D510B1">
        <w:t xml:space="preserve">ubsidies and Parenting </w:t>
      </w:r>
      <w:r w:rsidR="00E52BFF">
        <w:t>P</w:t>
      </w:r>
      <w:r w:rsidR="00D510B1">
        <w:t>ayments) are attributed to the parent that receives the payment (rather than the child</w:t>
      </w:r>
      <w:r w:rsidR="00E52BFF">
        <w:t>)</w:t>
      </w:r>
      <w:r w:rsidR="00D510B1">
        <w:t>.</w:t>
      </w:r>
      <w:r w:rsidR="00D510B1">
        <w:rPr>
          <w:rStyle w:val="FootnoteReference"/>
        </w:rPr>
        <w:footnoteReference w:id="20"/>
      </w:r>
      <w:r>
        <w:t xml:space="preserve"> </w:t>
      </w:r>
      <w:r w:rsidR="003A773A">
        <w:t>I</w:t>
      </w:r>
      <w:r w:rsidR="00BB0741">
        <w:t>n</w:t>
      </w:r>
      <w:r w:rsidR="003A773A">
        <w:t xml:space="preserve"> addition, GST and excises are allocated within the household in proportion to the income earned </w:t>
      </w:r>
      <w:r w:rsidR="00BB0741">
        <w:t>by the members of the household.</w:t>
      </w:r>
    </w:p>
    <w:p w14:paraId="1BFBF782" w14:textId="08DB5ACA" w:rsidR="00907E8C" w:rsidRDefault="006420AE" w:rsidP="00A77E0F">
      <w:pPr>
        <w:spacing w:after="120"/>
      </w:pPr>
      <w:r>
        <w:t>FIONA also requires an assumption about how each revenue and expense is likely to grow into the future.</w:t>
      </w:r>
      <w:r>
        <w:rPr>
          <w:rStyle w:val="FootnoteReference"/>
        </w:rPr>
        <w:footnoteReference w:id="21"/>
      </w:r>
      <w:r>
        <w:t xml:space="preserve"> </w:t>
      </w:r>
      <w:r w:rsidR="00907E8C">
        <w:t>The growth rate chosen in each case is informed by the relevant legislation, as well as the macroeconomic framework and specific assumptions used in</w:t>
      </w:r>
      <w:r w:rsidR="00907E8C" w:rsidRPr="00907E8C">
        <w:t xml:space="preserve"> </w:t>
      </w:r>
      <w:r w:rsidR="00907E8C">
        <w:t xml:space="preserve">other Treasury models and publications, </w:t>
      </w:r>
      <w:r w:rsidR="00907E8C">
        <w:lastRenderedPageBreak/>
        <w:t>such as the Intergenerational Report.</w:t>
      </w:r>
      <w:r w:rsidR="0048569E">
        <w:t xml:space="preserve"> As is the case with other long</w:t>
      </w:r>
      <w:r w:rsidR="006E5E41">
        <w:t>-</w:t>
      </w:r>
      <w:r w:rsidR="0048569E">
        <w:t xml:space="preserve">term Treasury projections, FIONA estimates </w:t>
      </w:r>
      <w:r w:rsidR="00E0639E">
        <w:t xml:space="preserve">generally </w:t>
      </w:r>
      <w:r w:rsidR="0048569E">
        <w:t>assume that current policies are maintained into the future.</w:t>
      </w:r>
    </w:p>
    <w:p w14:paraId="58B5B271" w14:textId="309FA20D" w:rsidR="006420AE" w:rsidRDefault="006420AE" w:rsidP="00BE5B84">
      <w:r>
        <w:t xml:space="preserve">A detailed description of the </w:t>
      </w:r>
      <w:r w:rsidR="00D624CF">
        <w:t xml:space="preserve">methods </w:t>
      </w:r>
      <w:r>
        <w:t xml:space="preserve">used to model revenues and expenses in FIONA </w:t>
      </w:r>
      <w:r w:rsidR="00C619E0">
        <w:t xml:space="preserve">is </w:t>
      </w:r>
      <w:r>
        <w:t>provided in Appendix A.</w:t>
      </w:r>
    </w:p>
    <w:p w14:paraId="2CFAAF87" w14:textId="07CDFB8F" w:rsidR="006420AE" w:rsidRPr="00662350" w:rsidRDefault="00BB25EA" w:rsidP="001A66C0">
      <w:pPr>
        <w:pStyle w:val="Heading3"/>
      </w:pPr>
      <w:bookmarkStart w:id="27" w:name="_Toc77175217"/>
      <w:r>
        <w:t xml:space="preserve">Aggregating </w:t>
      </w:r>
      <w:r w:rsidR="009039F9">
        <w:t xml:space="preserve">FIONA estimates </w:t>
      </w:r>
      <w:r w:rsidR="006420AE" w:rsidRPr="00662350">
        <w:t>to</w:t>
      </w:r>
      <w:r w:rsidR="009039F9">
        <w:t xml:space="preserve"> a</w:t>
      </w:r>
      <w:r w:rsidR="006420AE" w:rsidRPr="00662350">
        <w:t xml:space="preserve"> net present value</w:t>
      </w:r>
      <w:bookmarkEnd w:id="27"/>
    </w:p>
    <w:p w14:paraId="282C9860" w14:textId="32B926F4" w:rsidR="006420AE" w:rsidRDefault="006420AE" w:rsidP="00F868F4">
      <w:pPr>
        <w:spacing w:after="0"/>
      </w:pPr>
      <w:r>
        <w:t>The final step in FIONA is to convert all revenues and expenses into a single net present value</w:t>
      </w:r>
      <w:r w:rsidR="00C619E0">
        <w:t xml:space="preserve"> for each cohort</w:t>
      </w:r>
      <w:r w:rsidR="00127678">
        <w:t xml:space="preserve"> (in 2018</w:t>
      </w:r>
      <w:r w:rsidR="00F62807">
        <w:t>–</w:t>
      </w:r>
      <w:r w:rsidR="00127678">
        <w:t>19 dollars)</w:t>
      </w:r>
      <w:r>
        <w:t xml:space="preserve">. </w:t>
      </w:r>
      <w:r w:rsidR="00C619E0">
        <w:t xml:space="preserve">This is done by applying </w:t>
      </w:r>
      <w:r>
        <w:t>a nominal discount rate of 5 per cent</w:t>
      </w:r>
      <w:r w:rsidR="00127678">
        <w:t xml:space="preserve"> per year</w:t>
      </w:r>
      <w:r w:rsidR="00114859">
        <w:t>.</w:t>
      </w:r>
    </w:p>
    <w:p w14:paraId="33B64D19" w14:textId="32CE293C" w:rsidR="00801D07" w:rsidRDefault="00801D07" w:rsidP="00E079FB">
      <w:pPr>
        <w:pStyle w:val="Heading2"/>
        <w:numPr>
          <w:ilvl w:val="0"/>
          <w:numId w:val="22"/>
        </w:numPr>
      </w:pPr>
      <w:bookmarkStart w:id="28" w:name="_Toc77175218"/>
      <w:r w:rsidRPr="00A759AB">
        <w:t>Estimates of lifetime fiscal impact</w:t>
      </w:r>
      <w:bookmarkEnd w:id="28"/>
    </w:p>
    <w:p w14:paraId="73B88362" w14:textId="4E537CED" w:rsidR="00801D07" w:rsidRDefault="00801D07" w:rsidP="008027CA">
      <w:r>
        <w:t xml:space="preserve">This section of the paper </w:t>
      </w:r>
      <w:r w:rsidR="00540BA9">
        <w:t>presents</w:t>
      </w:r>
      <w:r>
        <w:t xml:space="preserve"> FIONA </w:t>
      </w:r>
      <w:r w:rsidR="005472A5">
        <w:t>results by visa category and applicant type</w:t>
      </w:r>
      <w:r>
        <w:t xml:space="preserve"> to allow for detailed comparisons</w:t>
      </w:r>
      <w:r w:rsidR="00780AD3">
        <w:t xml:space="preserve"> between </w:t>
      </w:r>
      <w:r w:rsidR="005472A5">
        <w:t>these</w:t>
      </w:r>
      <w:r>
        <w:t xml:space="preserve"> groups. </w:t>
      </w:r>
      <w:r w:rsidR="00211590">
        <w:t xml:space="preserve">As discussed elsewhere in this paper, the main purpose of FIONA is to compare the relative estimate of fiscal impact between different types of permanent migrants. </w:t>
      </w:r>
      <w:r w:rsidR="00E26F69">
        <w:t>FIONA estimates presented in this paper are averages across groups of migrants</w:t>
      </w:r>
      <w:r w:rsidR="00C8130F">
        <w:t xml:space="preserve">. Actual outcomes will vary between individuals within each visa group. </w:t>
      </w:r>
      <w:r>
        <w:t>This section concludes with aggregate estimates of the fiscal impact of the 2018</w:t>
      </w:r>
      <w:r w:rsidR="00F62807">
        <w:t>–</w:t>
      </w:r>
      <w:r>
        <w:t>19 migrant cohort.</w:t>
      </w:r>
    </w:p>
    <w:p w14:paraId="08953580" w14:textId="0510F978" w:rsidR="00801D07" w:rsidRDefault="00801D07" w:rsidP="001A66C0">
      <w:pPr>
        <w:pStyle w:val="Heading3"/>
      </w:pPr>
      <w:bookmarkStart w:id="29" w:name="_Toc77175219"/>
      <w:r>
        <w:t>Skill stream results</w:t>
      </w:r>
      <w:bookmarkEnd w:id="29"/>
    </w:p>
    <w:p w14:paraId="1035E4D4" w14:textId="77777777" w:rsidR="00F009F9" w:rsidRDefault="00F009F9" w:rsidP="007F0F36">
      <w:r>
        <w:t>The Skill stream is intended to contribute to economic development and meet the labour market needs of the Australian economy. Within this stream, there are different visa categories which target different types of migrants. For instance:</w:t>
      </w:r>
    </w:p>
    <w:p w14:paraId="7E9850AF" w14:textId="77777777" w:rsidR="00F009F9" w:rsidRPr="007F0F36" w:rsidRDefault="00F009F9" w:rsidP="007F0F36">
      <w:pPr>
        <w:pStyle w:val="Bullet"/>
      </w:pPr>
      <w:r w:rsidRPr="007F0F36">
        <w:t>Employer Sponsored migrants must have the necessary skills for the job and be nominated by an Australian employer.</w:t>
      </w:r>
    </w:p>
    <w:p w14:paraId="345C4834" w14:textId="5C21EFA2" w:rsidR="00F009F9" w:rsidRPr="007F0F36" w:rsidRDefault="00F009F9" w:rsidP="007F0F36">
      <w:pPr>
        <w:pStyle w:val="Bullet"/>
      </w:pPr>
      <w:r w:rsidRPr="007F0F36">
        <w:t>Skilled Independent migrants, generally, must meet points</w:t>
      </w:r>
      <w:r w:rsidR="006E5E41">
        <w:t>-</w:t>
      </w:r>
      <w:r w:rsidRPr="007F0F36">
        <w:t>test requirements, have an occupation on the skilled occupation list and be invited by the Australian Government to apply.</w:t>
      </w:r>
    </w:p>
    <w:p w14:paraId="534ACBD4" w14:textId="68FFAD66" w:rsidR="00F009F9" w:rsidRPr="007F0F36" w:rsidRDefault="00F009F9" w:rsidP="007F0F36">
      <w:pPr>
        <w:pStyle w:val="Bullet"/>
      </w:pPr>
      <w:r w:rsidRPr="007F0F36">
        <w:t>State/Territory Sponsored migrants must meet certain requirement</w:t>
      </w:r>
      <w:r w:rsidR="004D6C16">
        <w:t>s</w:t>
      </w:r>
      <w:r w:rsidRPr="007F0F36">
        <w:t xml:space="preserve"> relating to business or investment and be sponsored by an Australian State or Territory Government.</w:t>
      </w:r>
    </w:p>
    <w:p w14:paraId="777A7527" w14:textId="4DDB169F" w:rsidR="00F009F9" w:rsidRPr="007F0F36" w:rsidRDefault="00F009F9" w:rsidP="007F0F36">
      <w:pPr>
        <w:pStyle w:val="Bullet"/>
      </w:pPr>
      <w:r w:rsidRPr="007F0F36">
        <w:t>Distinguished Talent migrants must be exceptionally talented in specific fields (such as professional sportspeople and musicians) and be nominated by an applicable person/organisation.</w:t>
      </w:r>
    </w:p>
    <w:p w14:paraId="2FED6403" w14:textId="33AC0184" w:rsidR="00F009F9" w:rsidRPr="007F0F36" w:rsidRDefault="00F009F9" w:rsidP="007F0F36">
      <w:pPr>
        <w:pStyle w:val="Bullet"/>
      </w:pPr>
      <w:r w:rsidRPr="007F0F36">
        <w:t>Business Innovation and Investment Program (BIIP) migrants must meet certain requirement</w:t>
      </w:r>
      <w:r w:rsidR="004D6C16">
        <w:t>s</w:t>
      </w:r>
      <w:r w:rsidRPr="007F0F36">
        <w:t xml:space="preserve"> relating to investment or entrepreneurial activities and in some instances must also be nominated by the Australian Government or an Australian State or Territory Government.</w:t>
      </w:r>
    </w:p>
    <w:p w14:paraId="412290E5" w14:textId="64C40346" w:rsidR="00F009F9" w:rsidRDefault="00F009F9" w:rsidP="007F0F36">
      <w:r>
        <w:t>Most groups of primary skilled migrants have a large positive fiscal impact</w:t>
      </w:r>
      <w:r w:rsidR="009237F3">
        <w:t xml:space="preserve"> (Chart 4)</w:t>
      </w:r>
      <w:r>
        <w:t>. Employer sponsored migrants are found to have the largest positive impact, while Skilled Independent, State and Territory Nominated and Distinguished Talent visa holders are also found to generate a large positive lifetime fiscal impact.</w:t>
      </w:r>
    </w:p>
    <w:p w14:paraId="2A562EC9" w14:textId="2DB20BC9" w:rsidR="00801D07" w:rsidRPr="009E3AD9" w:rsidRDefault="0032145A" w:rsidP="007F0F36">
      <w:r>
        <w:t xml:space="preserve">Primary </w:t>
      </w:r>
      <w:r w:rsidR="003462D6">
        <w:t>BIIP</w:t>
      </w:r>
      <w:r w:rsidR="00801D07" w:rsidRPr="009E3AD9">
        <w:t xml:space="preserve"> visa holders are found to have a negative lifetime fiscal impact</w:t>
      </w:r>
      <w:r w:rsidR="00E06A8F">
        <w:t xml:space="preserve"> relative to the population overall</w:t>
      </w:r>
      <w:r w:rsidR="00801D07" w:rsidRPr="009E3AD9">
        <w:t xml:space="preserve">. This result is driven by the relatively low level of personal income tax </w:t>
      </w:r>
      <w:r w:rsidR="00127678">
        <w:t>observed to be</w:t>
      </w:r>
      <w:r w:rsidR="00E06A8F">
        <w:t xml:space="preserve"> </w:t>
      </w:r>
      <w:r w:rsidR="00801D07" w:rsidRPr="009E3AD9">
        <w:t xml:space="preserve">paid by this group, along with an older age profile than other skilled migrants. However, it is important to note </w:t>
      </w:r>
      <w:r w:rsidR="00801D07" w:rsidRPr="009E3AD9">
        <w:lastRenderedPageBreak/>
        <w:t xml:space="preserve">that FIONA does not attempt to capture any information </w:t>
      </w:r>
      <w:proofErr w:type="spellStart"/>
      <w:r w:rsidR="00801D07" w:rsidRPr="009E3AD9">
        <w:t>spillovers</w:t>
      </w:r>
      <w:proofErr w:type="spellEnd"/>
      <w:r w:rsidR="00801D07" w:rsidRPr="009E3AD9">
        <w:t xml:space="preserve">, investment effects or </w:t>
      </w:r>
      <w:r w:rsidR="005472A5">
        <w:t xml:space="preserve">indirect </w:t>
      </w:r>
      <w:r w:rsidR="00801D07" w:rsidRPr="009E3AD9">
        <w:t xml:space="preserve">employment effects of migration, and that these </w:t>
      </w:r>
      <w:r w:rsidR="00655DB9">
        <w:t>are</w:t>
      </w:r>
      <w:r w:rsidR="00801D07" w:rsidRPr="009E3AD9">
        <w:t xml:space="preserve"> key policy objective</w:t>
      </w:r>
      <w:r w:rsidR="00655DB9">
        <w:t>s</w:t>
      </w:r>
      <w:r w:rsidR="00801D07" w:rsidRPr="009E3AD9">
        <w:t xml:space="preserve"> of the BIIP migration stream. </w:t>
      </w:r>
    </w:p>
    <w:p w14:paraId="014F8A62" w14:textId="2D97D6B9" w:rsidR="0024270A" w:rsidRDefault="00801D07" w:rsidP="00FB0712">
      <w:pPr>
        <w:pStyle w:val="ChartMainHeading"/>
      </w:pPr>
      <w:r w:rsidRPr="00F70234">
        <w:t xml:space="preserve">Chart </w:t>
      </w:r>
      <w:r w:rsidR="00C74475" w:rsidRPr="00F70234">
        <w:t>4</w:t>
      </w:r>
      <w:r w:rsidRPr="00F70234">
        <w:t xml:space="preserve">: </w:t>
      </w:r>
      <w:r w:rsidR="009039F9" w:rsidRPr="00F70234">
        <w:t>Lifetime f</w:t>
      </w:r>
      <w:r w:rsidRPr="00F70234">
        <w:t>iscal impact</w:t>
      </w:r>
      <w:r w:rsidR="009039F9" w:rsidRPr="00F70234">
        <w:t xml:space="preserve"> per person</w:t>
      </w:r>
      <w:r w:rsidRPr="00F70234">
        <w:t>, by visa subclass for Skill stream </w:t>
      </w:r>
    </w:p>
    <w:p w14:paraId="351555D8" w14:textId="78FEC8DF" w:rsidR="00047691" w:rsidRPr="00F70234" w:rsidRDefault="0091615B" w:rsidP="00A77E0F">
      <w:pPr>
        <w:spacing w:after="0"/>
        <w:rPr>
          <w:rFonts w:ascii="Arial" w:hAnsi="Arial"/>
          <w:color w:val="002C47" w:themeColor="accent1"/>
          <w:sz w:val="24"/>
        </w:rPr>
      </w:pPr>
      <w:r>
        <w:rPr>
          <w:rFonts w:ascii="Arial" w:hAnsi="Arial"/>
          <w:noProof/>
          <w:color w:val="002C47" w:themeColor="accent1"/>
          <w:sz w:val="24"/>
        </w:rPr>
        <w:drawing>
          <wp:inline distT="0" distB="0" distL="0" distR="0" wp14:anchorId="6C2239BB" wp14:editId="10A8506A">
            <wp:extent cx="5904230" cy="2256790"/>
            <wp:effectExtent l="0" t="0" r="1270" b="0"/>
            <wp:docPr id="17" name="Picture 17" descr="This chart shows the lifetime fiscal impact for selected skilled migrant categories split by primary and secondary visas. Primary migrants have a more positive fiscal impact than secondary migrants. All of the skilled migrant categories (except BIIP) have fiscal impact greater than the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chart shows the lifetime fiscal impact for selected skilled migrant categories split by primary and secondary visas. Primary migrants have a more positive fiscal impact than secondary migrants. All of the skilled migrant categories (except BIIP) have fiscal impact greater than the Australian popul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230" cy="2256790"/>
                    </a:xfrm>
                    <a:prstGeom prst="rect">
                      <a:avLst/>
                    </a:prstGeom>
                    <a:noFill/>
                    <a:ln>
                      <a:noFill/>
                    </a:ln>
                  </pic:spPr>
                </pic:pic>
              </a:graphicData>
            </a:graphic>
          </wp:inline>
        </w:drawing>
      </w:r>
    </w:p>
    <w:p w14:paraId="5B74C0AE" w14:textId="7057B5C1" w:rsidR="00801D07" w:rsidRPr="001A66C0" w:rsidRDefault="00202D23" w:rsidP="00141A4D">
      <w:pPr>
        <w:spacing w:after="0"/>
        <w:rPr>
          <w:sz w:val="18"/>
          <w:szCs w:val="18"/>
        </w:rPr>
      </w:pPr>
      <w:r w:rsidRPr="001A66C0">
        <w:rPr>
          <w:sz w:val="18"/>
          <w:szCs w:val="18"/>
        </w:rPr>
        <w:t>Note: The Australian population is not split into primary and secondary applicants.</w:t>
      </w:r>
    </w:p>
    <w:p w14:paraId="6FE497CF" w14:textId="77777777" w:rsidR="00141A4D" w:rsidRPr="00F009F9" w:rsidRDefault="00141A4D" w:rsidP="00141A4D">
      <w:pPr>
        <w:spacing w:after="0"/>
        <w:rPr>
          <w:sz w:val="20"/>
          <w:szCs w:val="20"/>
        </w:rPr>
      </w:pPr>
    </w:p>
    <w:p w14:paraId="3A42B9BF" w14:textId="0595ACB1" w:rsidR="00A410CA" w:rsidRDefault="00EF5F36" w:rsidP="004200B5">
      <w:pPr>
        <w:spacing w:after="240"/>
      </w:pPr>
      <w:r>
        <w:t xml:space="preserve">Secondary skilled migrants are the immediate family members of primary skilled migrants. </w:t>
      </w:r>
      <w:r w:rsidR="00801D07" w:rsidRPr="009E3AD9">
        <w:t xml:space="preserve">All secondary Skill visa categories have </w:t>
      </w:r>
      <w:r w:rsidR="002B5AA4">
        <w:t>a fiscal impact which is slightly</w:t>
      </w:r>
      <w:r w:rsidR="00801D07" w:rsidRPr="009E3AD9">
        <w:t xml:space="preserve"> higher than </w:t>
      </w:r>
      <w:r w:rsidR="0080461C">
        <w:t>the average of the Australian population</w:t>
      </w:r>
      <w:r w:rsidR="00801D07" w:rsidRPr="009E3AD9">
        <w:t>.</w:t>
      </w:r>
      <w:r w:rsidR="002B5AA4">
        <w:t xml:space="preserve"> Skilled secondary migrants are younger </w:t>
      </w:r>
      <w:r w:rsidR="0019365A">
        <w:t xml:space="preserve">on average </w:t>
      </w:r>
      <w:r w:rsidR="002B5AA4">
        <w:t>than the Australian population, but</w:t>
      </w:r>
      <w:r w:rsidR="00801D07" w:rsidRPr="009E3AD9">
        <w:t xml:space="preserve"> have </w:t>
      </w:r>
      <w:r w:rsidR="0019365A">
        <w:t xml:space="preserve">tended to have </w:t>
      </w:r>
      <w:r w:rsidR="00801D07" w:rsidRPr="009E3AD9">
        <w:t xml:space="preserve">lower labour force participation, in part because they are more likely </w:t>
      </w:r>
      <w:r w:rsidR="0019365A">
        <w:t xml:space="preserve">than the population </w:t>
      </w:r>
      <w:proofErr w:type="gramStart"/>
      <w:r w:rsidR="0019365A">
        <w:t xml:space="preserve">as a whole </w:t>
      </w:r>
      <w:r w:rsidR="00801D07" w:rsidRPr="009E3AD9">
        <w:t>to</w:t>
      </w:r>
      <w:proofErr w:type="gramEnd"/>
      <w:r w:rsidR="00801D07" w:rsidRPr="009E3AD9">
        <w:t xml:space="preserve"> provide unpaid childcare. </w:t>
      </w:r>
      <w:r w:rsidR="00A410CA">
        <w:t>The combined fiscal impact of primary and secondary skilled migrants is more positive than other migrant streams, and more positive than the Australian population</w:t>
      </w:r>
      <w:r w:rsidR="0019365A">
        <w:t xml:space="preserve"> (as was seen in Chart 1)</w:t>
      </w:r>
      <w:r w:rsidR="00A410CA">
        <w:t>.</w:t>
      </w:r>
    </w:p>
    <w:p w14:paraId="59CCDB90" w14:textId="79AF9F10" w:rsidR="00801D07" w:rsidRDefault="00801D07" w:rsidP="001A66C0">
      <w:pPr>
        <w:pStyle w:val="Heading3"/>
      </w:pPr>
      <w:bookmarkStart w:id="30" w:name="_Toc77175220"/>
      <w:r>
        <w:t>Family stream results</w:t>
      </w:r>
      <w:bookmarkEnd w:id="30"/>
    </w:p>
    <w:p w14:paraId="23101624" w14:textId="241758E9" w:rsidR="00801D07" w:rsidRDefault="00801D07" w:rsidP="007F0F36">
      <w:r w:rsidRPr="009E3AD9">
        <w:t xml:space="preserve">The Family visa stream exists to reunite families </w:t>
      </w:r>
      <w:r w:rsidR="006E5E41" w:rsidRPr="00395A05">
        <w:t>—</w:t>
      </w:r>
      <w:r w:rsidRPr="009E3AD9">
        <w:t xml:space="preserve"> mostly granting visas to the partners and parents of Australian citizens and permanent residents </w:t>
      </w:r>
      <w:r w:rsidR="006E5E41">
        <w:rPr>
          <w:rFonts w:ascii="Arial" w:hAnsi="Arial" w:cs="Arial"/>
          <w:color w:val="4A4A4A"/>
          <w:sz w:val="27"/>
          <w:szCs w:val="27"/>
          <w:shd w:val="clear" w:color="auto" w:fill="FFFFFF"/>
        </w:rPr>
        <w:t>—</w:t>
      </w:r>
      <w:r w:rsidRPr="009E3AD9">
        <w:t xml:space="preserve"> rather than for economic reasons. Chart </w:t>
      </w:r>
      <w:r w:rsidR="00AA2246">
        <w:t>5</w:t>
      </w:r>
      <w:r w:rsidRPr="009E3AD9">
        <w:t> shows the lifetime fiscal impact of those granted a family visa in 2018</w:t>
      </w:r>
      <w:r w:rsidR="00F62807">
        <w:t>–</w:t>
      </w:r>
      <w:r w:rsidRPr="009E3AD9">
        <w:t>19. Note that the secondary Partner group are mainly accompanying children of a primary Partner grant, while secondary Parents are mainly accompanying spouses of the primary Parent. </w:t>
      </w:r>
      <w:r w:rsidR="00A410CA">
        <w:t xml:space="preserve">Other Family are </w:t>
      </w:r>
      <w:r w:rsidR="00DD0EC3">
        <w:t>mainly Child Visas.</w:t>
      </w:r>
    </w:p>
    <w:p w14:paraId="4552B795" w14:textId="65EF29DC" w:rsidR="00234303" w:rsidRDefault="00C74475" w:rsidP="0023028F">
      <w:pPr>
        <w:pStyle w:val="ChartMainHeading"/>
      </w:pPr>
      <w:r w:rsidRPr="00F70234">
        <w:t xml:space="preserve">Chart 5: </w:t>
      </w:r>
      <w:r w:rsidR="009039F9" w:rsidRPr="00F70234">
        <w:t xml:space="preserve">Lifetime fiscal impact per person by visa subclass for </w:t>
      </w:r>
      <w:r w:rsidRPr="00F70234">
        <w:t>Family stream</w:t>
      </w:r>
    </w:p>
    <w:p w14:paraId="07836284" w14:textId="2ACDC75E" w:rsidR="00047691" w:rsidRPr="00F70234" w:rsidRDefault="008B264E" w:rsidP="00A77E0F">
      <w:pPr>
        <w:spacing w:after="0"/>
        <w:rPr>
          <w:rFonts w:ascii="Arial" w:hAnsi="Arial"/>
          <w:color w:val="002C47" w:themeColor="accent1"/>
          <w:sz w:val="24"/>
        </w:rPr>
      </w:pPr>
      <w:r>
        <w:rPr>
          <w:rFonts w:ascii="Arial" w:hAnsi="Arial"/>
          <w:noProof/>
          <w:color w:val="002C47" w:themeColor="accent1"/>
          <w:sz w:val="24"/>
        </w:rPr>
        <w:drawing>
          <wp:inline distT="0" distB="0" distL="0" distR="0" wp14:anchorId="0C62B13F" wp14:editId="7CF01177">
            <wp:extent cx="5904230" cy="2256790"/>
            <wp:effectExtent l="0" t="0" r="1270" b="0"/>
            <wp:docPr id="18" name="Picture 18" descr="This charts shows the lifetime fiscal impact of partner, parent, and other family visas. Parent visas are very negative, and partner and other family are similar to the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charts shows the lifetime fiscal impact of partner, parent, and other family visas. Parent visas are very negative, and partner and other family are similar to the Australian popula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4230" cy="2256790"/>
                    </a:xfrm>
                    <a:prstGeom prst="rect">
                      <a:avLst/>
                    </a:prstGeom>
                    <a:noFill/>
                    <a:ln>
                      <a:noFill/>
                    </a:ln>
                  </pic:spPr>
                </pic:pic>
              </a:graphicData>
            </a:graphic>
          </wp:inline>
        </w:drawing>
      </w:r>
    </w:p>
    <w:p w14:paraId="2468B4C0" w14:textId="5DB485D0" w:rsidR="00202D23" w:rsidRPr="00A77E0F" w:rsidRDefault="00C74475" w:rsidP="008027CA">
      <w:pPr>
        <w:keepNext/>
        <w:spacing w:after="0"/>
        <w:textAlignment w:val="baseline"/>
        <w:rPr>
          <w:sz w:val="18"/>
          <w:szCs w:val="18"/>
        </w:rPr>
      </w:pPr>
      <w:r w:rsidRPr="00A77E0F">
        <w:rPr>
          <w:rFonts w:eastAsia="Times New Roman" w:cs="Arial"/>
          <w:sz w:val="20"/>
          <w:szCs w:val="20"/>
          <w:lang w:eastAsia="en-AU"/>
        </w:rPr>
        <w:lastRenderedPageBreak/>
        <w:t> </w:t>
      </w:r>
      <w:r w:rsidR="00202D23" w:rsidRPr="00A77E0F">
        <w:rPr>
          <w:sz w:val="18"/>
          <w:szCs w:val="18"/>
        </w:rPr>
        <w:t>Note: The Australian population is not split into primary and secondary applicants.</w:t>
      </w:r>
    </w:p>
    <w:p w14:paraId="35FF460F" w14:textId="717E648F" w:rsidR="00EB3CEA" w:rsidRDefault="00EB3CEA" w:rsidP="008027CA">
      <w:pPr>
        <w:keepNext/>
        <w:spacing w:after="0"/>
        <w:textAlignment w:val="baseline"/>
        <w:rPr>
          <w:rFonts w:ascii="Segoe UI" w:eastAsia="Times New Roman" w:hAnsi="Segoe UI" w:cs="Segoe UI"/>
          <w:sz w:val="18"/>
          <w:szCs w:val="18"/>
          <w:lang w:eastAsia="en-AU"/>
        </w:rPr>
      </w:pPr>
    </w:p>
    <w:p w14:paraId="741840C1" w14:textId="4CBCC0A5" w:rsidR="00801D07" w:rsidRPr="009E3AD9" w:rsidRDefault="00E02339" w:rsidP="007F0F36">
      <w:r>
        <w:t>T</w:t>
      </w:r>
      <w:r w:rsidR="00801D07" w:rsidRPr="009E3AD9">
        <w:t xml:space="preserve">he average </w:t>
      </w:r>
      <w:r>
        <w:t xml:space="preserve">estimated </w:t>
      </w:r>
      <w:r w:rsidR="00801D07" w:rsidRPr="009E3AD9">
        <w:t>fiscal impact of partner visa holders (</w:t>
      </w:r>
      <w:r w:rsidR="00F62807">
        <w:t>–</w:t>
      </w:r>
      <w:r w:rsidR="00801D07" w:rsidRPr="009E3AD9">
        <w:t>$</w:t>
      </w:r>
      <w:r w:rsidR="00F03473">
        <w:t>9</w:t>
      </w:r>
      <w:r w:rsidR="00801D07" w:rsidRPr="009E3AD9">
        <w:t>2,000</w:t>
      </w:r>
      <w:r w:rsidR="00F03473">
        <w:t xml:space="preserve"> for primary Partner and –$53,000 for secondary Partner</w:t>
      </w:r>
      <w:r w:rsidR="00801D07" w:rsidRPr="009E3AD9">
        <w:t xml:space="preserve">) is broadly </w:t>
      </w:r>
      <w:proofErr w:type="gramStart"/>
      <w:r w:rsidR="00801D07" w:rsidRPr="009E3AD9">
        <w:t>similar to</w:t>
      </w:r>
      <w:proofErr w:type="gramEnd"/>
      <w:r w:rsidR="00801D07" w:rsidRPr="009E3AD9">
        <w:t xml:space="preserve"> the Australian population</w:t>
      </w:r>
      <w:r>
        <w:t xml:space="preserve"> overall</w:t>
      </w:r>
      <w:r w:rsidR="00801D07" w:rsidRPr="009E3AD9">
        <w:t xml:space="preserve"> (</w:t>
      </w:r>
      <w:r w:rsidR="00F62807">
        <w:t>–</w:t>
      </w:r>
      <w:r w:rsidR="00BE55D8">
        <w:t>$</w:t>
      </w:r>
      <w:r w:rsidR="00801D07" w:rsidRPr="009E3AD9">
        <w:t>85,000). </w:t>
      </w:r>
      <w:r>
        <w:t xml:space="preserve">Most </w:t>
      </w:r>
      <w:r w:rsidR="00947C9F">
        <w:t>s</w:t>
      </w:r>
      <w:r w:rsidR="00801D07" w:rsidRPr="009E3AD9">
        <w:t xml:space="preserve">econdary </w:t>
      </w:r>
      <w:r w:rsidR="00A101F2">
        <w:t>P</w:t>
      </w:r>
      <w:r w:rsidR="00801D07" w:rsidRPr="009E3AD9">
        <w:t xml:space="preserve">artner applicants are children, and consequently have higher </w:t>
      </w:r>
      <w:r w:rsidR="00947C9F">
        <w:t xml:space="preserve">revenue and </w:t>
      </w:r>
      <w:r w:rsidR="00531B46">
        <w:t>expenses</w:t>
      </w:r>
      <w:r w:rsidR="00947C9F">
        <w:t xml:space="preserve"> (especially </w:t>
      </w:r>
      <w:r w:rsidR="0080461C">
        <w:t>e</w:t>
      </w:r>
      <w:r w:rsidR="00947C9F">
        <w:t>ducation) costs over their remaining lifetime</w:t>
      </w:r>
      <w:r w:rsidR="0080461C">
        <w:t>.</w:t>
      </w:r>
      <w:r w:rsidR="00801D07" w:rsidRPr="009E3AD9">
        <w:t> </w:t>
      </w:r>
    </w:p>
    <w:p w14:paraId="61791157" w14:textId="57C26130" w:rsidR="00801D07" w:rsidRDefault="00801D07" w:rsidP="007F0F36">
      <w:r w:rsidRPr="009E3AD9">
        <w:t xml:space="preserve">Parent visa holders have </w:t>
      </w:r>
      <w:r w:rsidR="00E02339">
        <w:t xml:space="preserve">more </w:t>
      </w:r>
      <w:r w:rsidRPr="009E3AD9">
        <w:t xml:space="preserve">negative fiscal outcomes </w:t>
      </w:r>
      <w:r w:rsidR="00E02339">
        <w:t xml:space="preserve">on average </w:t>
      </w:r>
      <w:r w:rsidRPr="009E3AD9">
        <w:t>(</w:t>
      </w:r>
      <w:r w:rsidR="00F62807">
        <w:t>–</w:t>
      </w:r>
      <w:r w:rsidRPr="009E3AD9">
        <w:t xml:space="preserve">$394,000 for primary </w:t>
      </w:r>
      <w:r w:rsidR="003A7E94">
        <w:t>P</w:t>
      </w:r>
      <w:r w:rsidRPr="009E3AD9">
        <w:t xml:space="preserve">arents and </w:t>
      </w:r>
      <w:r w:rsidR="00F62807">
        <w:t>–</w:t>
      </w:r>
      <w:r w:rsidRPr="009E3AD9">
        <w:t xml:space="preserve">$391,000 for secondary </w:t>
      </w:r>
      <w:r w:rsidR="003A7E94">
        <w:t>P</w:t>
      </w:r>
      <w:r w:rsidRPr="009E3AD9">
        <w:t>arents)</w:t>
      </w:r>
      <w:r w:rsidR="00E02339">
        <w:t xml:space="preserve"> than the population overall</w:t>
      </w:r>
      <w:r w:rsidRPr="009E3AD9">
        <w:t xml:space="preserve">. This result is driven by their relatively short remaining working lives once they come to Australia, with the average age at grant being 61 years. </w:t>
      </w:r>
      <w:r w:rsidR="007207E8">
        <w:t xml:space="preserve">Visa Application </w:t>
      </w:r>
      <w:r w:rsidR="00355DCB">
        <w:t>Charges</w:t>
      </w:r>
      <w:r w:rsidR="00824C20">
        <w:t xml:space="preserve"> paid by parent visa holders are small</w:t>
      </w:r>
      <w:r w:rsidRPr="009E3AD9">
        <w:t xml:space="preserve"> </w:t>
      </w:r>
      <w:r w:rsidR="0085439C">
        <w:t>compared</w:t>
      </w:r>
      <w:r w:rsidRPr="009E3AD9">
        <w:t xml:space="preserve"> to the health and age</w:t>
      </w:r>
      <w:r w:rsidR="00D157A4">
        <w:t>d</w:t>
      </w:r>
      <w:r w:rsidRPr="009E3AD9">
        <w:t xml:space="preserve"> care services and </w:t>
      </w:r>
      <w:r w:rsidR="00E0639E">
        <w:t>transfer</w:t>
      </w:r>
      <w:r w:rsidR="00E0639E" w:rsidRPr="009E3AD9">
        <w:t xml:space="preserve"> </w:t>
      </w:r>
      <w:r w:rsidRPr="009E3AD9">
        <w:t>payments they receive from government. </w:t>
      </w:r>
    </w:p>
    <w:p w14:paraId="7C9B1FBA" w14:textId="25CD3EBA" w:rsidR="00801D07" w:rsidRDefault="00801D07" w:rsidP="001A66C0">
      <w:pPr>
        <w:pStyle w:val="Heading3"/>
      </w:pPr>
      <w:bookmarkStart w:id="31" w:name="_Toc77175221"/>
      <w:r>
        <w:t xml:space="preserve">Humanitarian </w:t>
      </w:r>
      <w:r w:rsidR="00E02339">
        <w:t xml:space="preserve">program </w:t>
      </w:r>
      <w:r>
        <w:t>fiscal outcomes</w:t>
      </w:r>
      <w:bookmarkEnd w:id="31"/>
    </w:p>
    <w:p w14:paraId="15FC46DB" w14:textId="088F26C3" w:rsidR="00BA66B8" w:rsidRDefault="00E67C44" w:rsidP="007F0F36">
      <w:pPr>
        <w:rPr>
          <w:lang w:val="en-US" w:eastAsia="en-AU"/>
        </w:rPr>
      </w:pPr>
      <w:r>
        <w:t>Australia</w:t>
      </w:r>
      <w:r w:rsidR="000F0C26">
        <w:t>’s</w:t>
      </w:r>
      <w:r>
        <w:t xml:space="preserve"> </w:t>
      </w:r>
      <w:r w:rsidR="00B94D0D">
        <w:t>H</w:t>
      </w:r>
      <w:r>
        <w:t>umanitarian migration program provides protection and resettlement to refugees and others in humanitarian need from all parts of the world.</w:t>
      </w:r>
      <w:r w:rsidRPr="009E3AD9">
        <w:t xml:space="preserve"> </w:t>
      </w:r>
      <w:r>
        <w:t>H</w:t>
      </w:r>
      <w:r w:rsidR="006765D0" w:rsidRPr="009E3AD9">
        <w:t xml:space="preserve">umanitarian </w:t>
      </w:r>
      <w:r>
        <w:t>migrants</w:t>
      </w:r>
      <w:r w:rsidR="006765D0" w:rsidRPr="009E3AD9">
        <w:t xml:space="preserve"> often arrive in Australia having experienced extended periods of trauma, and with</w:t>
      </w:r>
      <w:r w:rsidR="000F0C26">
        <w:t xml:space="preserve"> </w:t>
      </w:r>
      <w:r w:rsidR="000F0C26" w:rsidRPr="009C2B8B">
        <w:t>complex health and well-being issues, disrupted education and</w:t>
      </w:r>
      <w:r w:rsidR="006765D0" w:rsidRPr="009E3AD9">
        <w:t> less developed </w:t>
      </w:r>
      <w:r w:rsidR="006765D0">
        <w:t xml:space="preserve">English </w:t>
      </w:r>
      <w:r w:rsidR="006765D0" w:rsidRPr="009E3AD9">
        <w:t xml:space="preserve">language skills. These factors can limit their initial labour market prospects, and result in a </w:t>
      </w:r>
      <w:r w:rsidR="006765D0" w:rsidRPr="00CB2411">
        <w:rPr>
          <w:lang w:val="en-US" w:eastAsia="en-AU"/>
        </w:rPr>
        <w:t>greater reliance on income support, settlement services and health care than the Australian</w:t>
      </w:r>
      <w:r w:rsidR="00950E70">
        <w:rPr>
          <w:lang w:val="en-US" w:eastAsia="en-AU"/>
        </w:rPr>
        <w:t xml:space="preserve"> population overall</w:t>
      </w:r>
      <w:r w:rsidR="006765D0" w:rsidRPr="00CB2411">
        <w:rPr>
          <w:lang w:val="en-US" w:eastAsia="en-AU"/>
        </w:rPr>
        <w:t>.</w:t>
      </w:r>
      <w:r w:rsidR="006765D0">
        <w:rPr>
          <w:rStyle w:val="FootnoteReference"/>
          <w:lang w:val="en-US" w:eastAsia="en-AU"/>
        </w:rPr>
        <w:footnoteReference w:id="22"/>
      </w:r>
      <w:r w:rsidR="006765D0" w:rsidRPr="00CB2411">
        <w:rPr>
          <w:lang w:val="en-US" w:eastAsia="en-AU"/>
        </w:rPr>
        <w:t> </w:t>
      </w:r>
    </w:p>
    <w:p w14:paraId="05E3023B" w14:textId="7E604D76" w:rsidR="00801D07" w:rsidRDefault="00E751A3" w:rsidP="007F0F36">
      <w:r w:rsidDel="00DC5528">
        <w:rPr>
          <w:lang w:val="en-US" w:eastAsia="en-AU"/>
        </w:rPr>
        <w:t xml:space="preserve">FIONA estimates that the average Humanitarian migrant has a </w:t>
      </w:r>
      <w:r w:rsidR="00BA66B8" w:rsidRPr="009E3AD9" w:rsidDel="00DC5528">
        <w:t>negative fiscal impact of $400,000 per person</w:t>
      </w:r>
      <w:r w:rsidR="00BA66B8" w:rsidDel="00DC5528">
        <w:t xml:space="preserve">. </w:t>
      </w:r>
      <w:r w:rsidR="00BA66B8" w:rsidRPr="00CB2411">
        <w:rPr>
          <w:lang w:val="en-US" w:eastAsia="en-AU"/>
        </w:rPr>
        <w:t>More than 90 per cent of the negative fiscal impact of the Humanitarian migration stream falls on the Commonwealth</w:t>
      </w:r>
      <w:r w:rsidR="00BA66B8" w:rsidRPr="009E3AD9">
        <w:t xml:space="preserve"> Government, reflecting the Commonwealth’s responsibility for </w:t>
      </w:r>
      <w:r w:rsidR="00A132B6">
        <w:t>income support</w:t>
      </w:r>
      <w:r w:rsidR="00BA66B8" w:rsidRPr="009E3AD9">
        <w:t xml:space="preserve"> pay</w:t>
      </w:r>
      <w:r w:rsidR="00BA66B8">
        <w:t>ments and settlement services.</w:t>
      </w:r>
    </w:p>
    <w:p w14:paraId="5A830CD3" w14:textId="7742C1A7" w:rsidR="00801D07" w:rsidRPr="008B040B" w:rsidRDefault="00E567A5" w:rsidP="001A66C0">
      <w:pPr>
        <w:pStyle w:val="Heading3"/>
      </w:pPr>
      <w:bookmarkStart w:id="32" w:name="_Toc77175222"/>
      <w:r>
        <w:t>F</w:t>
      </w:r>
      <w:r w:rsidR="00801D07">
        <w:t xml:space="preserve">iscal impact of the </w:t>
      </w:r>
      <w:r w:rsidR="00801D07" w:rsidRPr="008B040B">
        <w:t>2018</w:t>
      </w:r>
      <w:r w:rsidR="00F62807">
        <w:t>–</w:t>
      </w:r>
      <w:r w:rsidR="00801D07" w:rsidRPr="008B040B">
        <w:t xml:space="preserve">19 </w:t>
      </w:r>
      <w:r w:rsidRPr="008B040B">
        <w:t xml:space="preserve">permanent </w:t>
      </w:r>
      <w:r w:rsidR="00801D07" w:rsidRPr="008B040B">
        <w:t>migrant cohort</w:t>
      </w:r>
      <w:r w:rsidR="00950E70" w:rsidRPr="00116348">
        <w:t xml:space="preserve"> overall</w:t>
      </w:r>
      <w:bookmarkEnd w:id="32"/>
    </w:p>
    <w:p w14:paraId="139A07AB" w14:textId="68C2E829" w:rsidR="00040BB9" w:rsidRDefault="00040BB9" w:rsidP="007F0F36">
      <w:r w:rsidRPr="008B040B">
        <w:t>The preceding pages described how when compared to the Australian population</w:t>
      </w:r>
      <w:r>
        <w:t xml:space="preserve"> overall:</w:t>
      </w:r>
    </w:p>
    <w:p w14:paraId="1724E771" w14:textId="77777777" w:rsidR="00040BB9" w:rsidRPr="007F0F36" w:rsidRDefault="00040BB9" w:rsidP="007F0F36">
      <w:pPr>
        <w:pStyle w:val="Bullet"/>
      </w:pPr>
      <w:r w:rsidRPr="007F0F36">
        <w:t xml:space="preserve">Skill stream migrants are more fiscally positive over their remaining </w:t>
      </w:r>
      <w:proofErr w:type="gramStart"/>
      <w:r w:rsidRPr="007F0F36">
        <w:t>lifetimes;</w:t>
      </w:r>
      <w:proofErr w:type="gramEnd"/>
    </w:p>
    <w:p w14:paraId="7DCF95FD" w14:textId="77777777" w:rsidR="00040BB9" w:rsidRPr="007F0F36" w:rsidRDefault="00040BB9" w:rsidP="007F0F36">
      <w:pPr>
        <w:pStyle w:val="Bullet"/>
      </w:pPr>
      <w:r w:rsidRPr="007F0F36">
        <w:t>Family stream migrants are broadly fiscally neutral; and</w:t>
      </w:r>
    </w:p>
    <w:p w14:paraId="1FBA171A" w14:textId="77777777" w:rsidR="00040BB9" w:rsidRPr="007F0F36" w:rsidRDefault="00040BB9" w:rsidP="007F0F36">
      <w:pPr>
        <w:pStyle w:val="Bullet"/>
      </w:pPr>
      <w:r w:rsidRPr="007F0F36">
        <w:t xml:space="preserve">Humanitarian program migrants are fiscally negative. </w:t>
      </w:r>
    </w:p>
    <w:p w14:paraId="41151497" w14:textId="04A1382E" w:rsidR="00040BB9" w:rsidRDefault="00040BB9" w:rsidP="007F0F36">
      <w:r>
        <w:t>Looking at the 2018</w:t>
      </w:r>
      <w:r w:rsidR="00F62807">
        <w:t>–</w:t>
      </w:r>
      <w:r>
        <w:t xml:space="preserve">19 permanent migrant </w:t>
      </w:r>
      <w:proofErr w:type="gramStart"/>
      <w:r>
        <w:t>cohort as a whole, FIONA</w:t>
      </w:r>
      <w:proofErr w:type="gramEnd"/>
      <w:r>
        <w:t xml:space="preserve"> finds that this cohort is more fiscally positive than the Australian population overall, by around $12</w:t>
      </w:r>
      <w:r w:rsidR="00166531">
        <w:t>7</w:t>
      </w:r>
      <w:r>
        <w:t>,000 per person on average (as shown in Chart 1 and Table 2). Similarly, the average fiscal impact of migrants is $139,000 more positive than the fiscal impact of a newborn from the Australian population (</w:t>
      </w:r>
      <w:r w:rsidR="00F62807">
        <w:t>–</w:t>
      </w:r>
      <w:r>
        <w:t>$98,000).</w:t>
      </w:r>
    </w:p>
    <w:p w14:paraId="60C3BE05" w14:textId="37F4DE6E" w:rsidR="00040BB9" w:rsidRDefault="00040BB9" w:rsidP="007F0F36">
      <w:r>
        <w:t>In relative terms, FIONA estimates that the 2018</w:t>
      </w:r>
      <w:r w:rsidR="00F62807">
        <w:t>–</w:t>
      </w:r>
      <w:r>
        <w:t xml:space="preserve">19 permanent migrant cohort makes a positive aggregate lifetime fiscal contribution that is in the order of $20 billion higher than a similar sized cohort drawn from the Australian population. As discussed later in this paper, this substantially reflects the </w:t>
      </w:r>
      <w:r w:rsidR="008D0618">
        <w:t xml:space="preserve">younger age profile of the migrant cohort (commonly referred to as a </w:t>
      </w:r>
      <w:r>
        <w:t>‘demographic dividend’</w:t>
      </w:r>
      <w:r w:rsidR="008D0618">
        <w:t>).</w:t>
      </w:r>
    </w:p>
    <w:p w14:paraId="12CE0C6F" w14:textId="316D7A88" w:rsidR="00131256" w:rsidRDefault="00040BB9" w:rsidP="00BA689B">
      <w:r>
        <w:t>In absolute terms, FIONA estimates that the 2018</w:t>
      </w:r>
      <w:r w:rsidR="00F62807">
        <w:t>–</w:t>
      </w:r>
      <w:r>
        <w:t xml:space="preserve">19 permanent migrant cohort make a lifetime fiscal impact of $7 billion. However, as discussed earlier, this estimate is sensitive to assumptions (refer to </w:t>
      </w:r>
      <w:r>
        <w:lastRenderedPageBreak/>
        <w:t xml:space="preserve">Table 2). The absolute estimate is sensitive to both the discount rate and the assumed rate of growth in health and aged care costs </w:t>
      </w:r>
      <w:proofErr w:type="gramStart"/>
      <w:r>
        <w:t>in particular over</w:t>
      </w:r>
      <w:proofErr w:type="gramEnd"/>
      <w:r>
        <w:t xml:space="preserve"> the next 120 years. This reflects significant net fiscal benefits during migrants’ working lives being significantly offset by </w:t>
      </w:r>
      <w:r w:rsidR="00C939CB">
        <w:t xml:space="preserve">net </w:t>
      </w:r>
      <w:r>
        <w:t xml:space="preserve">fiscal costs following retirement from the workforce. </w:t>
      </w:r>
    </w:p>
    <w:p w14:paraId="50DCF700" w14:textId="75BF35A1" w:rsidR="00476556" w:rsidRDefault="00817335" w:rsidP="001A66C0">
      <w:pPr>
        <w:pStyle w:val="Heading3"/>
      </w:pPr>
      <w:bookmarkStart w:id="33" w:name="_Toc77175223"/>
      <w:r>
        <w:t>FIONA outcomes by level of government</w:t>
      </w:r>
      <w:bookmarkStart w:id="34" w:name="_Hlk71207374"/>
      <w:bookmarkEnd w:id="33"/>
    </w:p>
    <w:p w14:paraId="47E83D4D" w14:textId="37C847C1" w:rsidR="00202903" w:rsidRDefault="00202903" w:rsidP="007F0F36">
      <w:pPr>
        <w:rPr>
          <w:lang w:val="en-US" w:eastAsia="en-AU"/>
        </w:rPr>
      </w:pPr>
      <w:r>
        <w:rPr>
          <w:lang w:val="en-US" w:eastAsia="en-AU"/>
        </w:rPr>
        <w:t xml:space="preserve">While the results in this paper are generally </w:t>
      </w:r>
      <w:r w:rsidR="00942F1C">
        <w:rPr>
          <w:lang w:val="en-US" w:eastAsia="en-AU"/>
        </w:rPr>
        <w:t xml:space="preserve">discussed in terms of the </w:t>
      </w:r>
      <w:r>
        <w:rPr>
          <w:lang w:val="en-US" w:eastAsia="en-AU"/>
        </w:rPr>
        <w:t>aggregated results across</w:t>
      </w:r>
      <w:r w:rsidR="0037384A">
        <w:rPr>
          <w:lang w:val="en-US" w:eastAsia="en-AU"/>
        </w:rPr>
        <w:t xml:space="preserve"> Commonwealth and</w:t>
      </w:r>
      <w:r>
        <w:rPr>
          <w:lang w:val="en-US" w:eastAsia="en-AU"/>
        </w:rPr>
        <w:t xml:space="preserve"> State budgets, the key results presented in this paper follow a similar pattern across both Commonwealth and State Governments. For example, the </w:t>
      </w:r>
      <w:r w:rsidR="003557A6">
        <w:rPr>
          <w:lang w:val="en-US" w:eastAsia="en-AU"/>
        </w:rPr>
        <w:t>2018</w:t>
      </w:r>
      <w:r w:rsidR="00F62807">
        <w:rPr>
          <w:lang w:val="en-US" w:eastAsia="en-AU"/>
        </w:rPr>
        <w:t>–</w:t>
      </w:r>
      <w:r w:rsidR="003557A6">
        <w:rPr>
          <w:lang w:val="en-US" w:eastAsia="en-AU"/>
        </w:rPr>
        <w:t xml:space="preserve">19 </w:t>
      </w:r>
      <w:r>
        <w:rPr>
          <w:lang w:val="en-US" w:eastAsia="en-AU"/>
        </w:rPr>
        <w:t>permanent migrant cohort overall has a period of fiscal positivity in the coming decades, followed by a period of fiscal negativity as the migrant population retires.</w:t>
      </w:r>
    </w:p>
    <w:p w14:paraId="2FDAC2EA" w14:textId="50C33F8B" w:rsidR="00E71760" w:rsidRPr="004200B5" w:rsidRDefault="00E71760" w:rsidP="0023028F">
      <w:pPr>
        <w:pStyle w:val="ChartMainHeading"/>
      </w:pPr>
      <w:r w:rsidRPr="004200B5">
        <w:t xml:space="preserve">Chart </w:t>
      </w:r>
      <w:r w:rsidR="009B2AE6" w:rsidRPr="004200B5">
        <w:t>6</w:t>
      </w:r>
      <w:r w:rsidRPr="004200B5">
        <w:t>: Fiscal impact of the 2018</w:t>
      </w:r>
      <w:r w:rsidR="00F62807" w:rsidRPr="004200B5">
        <w:t>–</w:t>
      </w:r>
      <w:r w:rsidRPr="004200B5">
        <w:t xml:space="preserve">19 </w:t>
      </w:r>
      <w:r w:rsidR="004635AC" w:rsidRPr="004200B5">
        <w:t>p</w:t>
      </w:r>
      <w:r w:rsidRPr="004200B5">
        <w:t xml:space="preserve">ermanent </w:t>
      </w:r>
      <w:r w:rsidR="004635AC" w:rsidRPr="004200B5">
        <w:t>m</w:t>
      </w:r>
      <w:r w:rsidRPr="004200B5">
        <w:t xml:space="preserve">igrant cohort by year and </w:t>
      </w:r>
      <w:r w:rsidR="0076091B" w:rsidRPr="004200B5">
        <w:t>level of</w:t>
      </w:r>
      <w:r w:rsidRPr="004200B5">
        <w:t xml:space="preserve"> </w:t>
      </w:r>
      <w:r w:rsidR="004635AC" w:rsidRPr="004200B5">
        <w:t>g</w:t>
      </w:r>
      <w:r w:rsidRPr="004200B5">
        <w:t>overnment</w:t>
      </w:r>
    </w:p>
    <w:p w14:paraId="6149243D" w14:textId="7753C1AD" w:rsidR="00047691" w:rsidRPr="00F70234" w:rsidRDefault="00DB5AFB" w:rsidP="00A77E0F">
      <w:pPr>
        <w:spacing w:after="0"/>
        <w:rPr>
          <w:rFonts w:ascii="Arial" w:hAnsi="Arial"/>
          <w:color w:val="002C47" w:themeColor="accent1"/>
          <w:sz w:val="24"/>
        </w:rPr>
      </w:pPr>
      <w:r>
        <w:rPr>
          <w:rFonts w:ascii="Arial" w:hAnsi="Arial"/>
          <w:noProof/>
          <w:color w:val="002C47" w:themeColor="accent1"/>
          <w:sz w:val="24"/>
        </w:rPr>
        <w:drawing>
          <wp:inline distT="0" distB="0" distL="0" distR="0" wp14:anchorId="61455864" wp14:editId="0C32CAEE">
            <wp:extent cx="5904230" cy="2256790"/>
            <wp:effectExtent l="0" t="0" r="1270" b="0"/>
            <wp:docPr id="19" name="Picture 19" descr="This chart looks at the fiscal impact of the migrant cohort split by Commonwealth and State. The Commonwealth gets a much larger benefit short-term from migrants but also responsible for significantly more end-of-life expenditure than the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chart looks at the fiscal impact of the migrant cohort split by Commonwealth and State. The Commonwealth gets a much larger benefit short-term from migrants but also responsible for significantly more end-of-life expenditure than the Stat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4230" cy="2256790"/>
                    </a:xfrm>
                    <a:prstGeom prst="rect">
                      <a:avLst/>
                    </a:prstGeom>
                    <a:noFill/>
                    <a:ln>
                      <a:noFill/>
                    </a:ln>
                  </pic:spPr>
                </pic:pic>
              </a:graphicData>
            </a:graphic>
          </wp:inline>
        </w:drawing>
      </w:r>
    </w:p>
    <w:p w14:paraId="607D511B" w14:textId="3365B548" w:rsidR="00F62C2E" w:rsidRPr="00A77E0F" w:rsidRDefault="00F62C2E" w:rsidP="00141A4D">
      <w:pPr>
        <w:spacing w:after="0"/>
        <w:rPr>
          <w:sz w:val="18"/>
          <w:szCs w:val="18"/>
        </w:rPr>
      </w:pPr>
      <w:r w:rsidRPr="00A77E0F">
        <w:rPr>
          <w:sz w:val="18"/>
          <w:szCs w:val="18"/>
        </w:rPr>
        <w:t xml:space="preserve">Note: </w:t>
      </w:r>
      <w:r w:rsidR="00C939CB">
        <w:rPr>
          <w:sz w:val="18"/>
          <w:szCs w:val="18"/>
        </w:rPr>
        <w:t>T</w:t>
      </w:r>
      <w:r w:rsidR="00C939CB" w:rsidRPr="00A77E0F">
        <w:rPr>
          <w:sz w:val="18"/>
          <w:szCs w:val="18"/>
        </w:rPr>
        <w:t xml:space="preserve">he </w:t>
      </w:r>
      <w:r w:rsidRPr="00A77E0F">
        <w:rPr>
          <w:sz w:val="18"/>
          <w:szCs w:val="18"/>
        </w:rPr>
        <w:t xml:space="preserve">higher estimate in year one occurs due to Visa Application Charges. </w:t>
      </w:r>
    </w:p>
    <w:p w14:paraId="076C3033" w14:textId="77777777" w:rsidR="00141A4D" w:rsidRPr="001D27A9" w:rsidRDefault="00141A4D" w:rsidP="00141A4D">
      <w:pPr>
        <w:spacing w:after="0"/>
        <w:rPr>
          <w:sz w:val="20"/>
          <w:szCs w:val="20"/>
        </w:rPr>
      </w:pPr>
    </w:p>
    <w:p w14:paraId="0DEA2380" w14:textId="4E15D483" w:rsidR="00202903" w:rsidRDefault="00202903" w:rsidP="007F0F36">
      <w:pPr>
        <w:rPr>
          <w:lang w:val="en-US" w:eastAsia="en-AU"/>
        </w:rPr>
      </w:pPr>
      <w:r>
        <w:rPr>
          <w:lang w:val="en-US" w:eastAsia="en-AU"/>
        </w:rPr>
        <w:t xml:space="preserve">The key relativities between visa streams are also seen at both the Commonwealth and State government levels (see Table </w:t>
      </w:r>
      <w:r w:rsidR="007E558E">
        <w:rPr>
          <w:lang w:val="en-US" w:eastAsia="en-AU"/>
        </w:rPr>
        <w:t>4</w:t>
      </w:r>
      <w:r>
        <w:rPr>
          <w:lang w:val="en-US" w:eastAsia="en-AU"/>
        </w:rPr>
        <w:t>).</w:t>
      </w:r>
      <w:r w:rsidR="00FE68FE">
        <w:rPr>
          <w:lang w:val="en-US" w:eastAsia="en-AU"/>
        </w:rPr>
        <w:t xml:space="preserve"> </w:t>
      </w:r>
      <w:r>
        <w:rPr>
          <w:lang w:val="en-US" w:eastAsia="en-AU"/>
        </w:rPr>
        <w:t>So is the finding that the 2018</w:t>
      </w:r>
      <w:r w:rsidR="00F62807">
        <w:rPr>
          <w:lang w:val="en-US" w:eastAsia="en-AU"/>
        </w:rPr>
        <w:t>–</w:t>
      </w:r>
      <w:r>
        <w:rPr>
          <w:lang w:val="en-US" w:eastAsia="en-AU"/>
        </w:rPr>
        <w:t>19 cohort is, on average, more fiscally positive than the Australian population overall.</w:t>
      </w:r>
    </w:p>
    <w:p w14:paraId="085603D7" w14:textId="5F28E758" w:rsidR="000F5C54" w:rsidRPr="003E3CE7" w:rsidRDefault="00E20360" w:rsidP="0023028F">
      <w:pPr>
        <w:pStyle w:val="TableHeading1"/>
        <w:rPr>
          <w:spacing w:val="-6"/>
        </w:rPr>
      </w:pPr>
      <w:r w:rsidRPr="003E3CE7">
        <w:rPr>
          <w:spacing w:val="-6"/>
        </w:rPr>
        <w:t xml:space="preserve">Table </w:t>
      </w:r>
      <w:r w:rsidR="009B2AE6" w:rsidRPr="003E3CE7">
        <w:rPr>
          <w:spacing w:val="-6"/>
        </w:rPr>
        <w:t>4:</w:t>
      </w:r>
      <w:r w:rsidRPr="003E3CE7">
        <w:rPr>
          <w:spacing w:val="-6"/>
        </w:rPr>
        <w:t xml:space="preserve"> Estimated lifetime fiscal impacts of migrants by visa stream and level of government</w:t>
      </w:r>
    </w:p>
    <w:tbl>
      <w:tblPr>
        <w:tblW w:w="9191" w:type="dxa"/>
        <w:tblLook w:val="04A0" w:firstRow="1" w:lastRow="0" w:firstColumn="1" w:lastColumn="0" w:noHBand="0" w:noVBand="1"/>
      </w:tblPr>
      <w:tblGrid>
        <w:gridCol w:w="1478"/>
        <w:gridCol w:w="2571"/>
        <w:gridCol w:w="2571"/>
        <w:gridCol w:w="2571"/>
      </w:tblGrid>
      <w:tr w:rsidR="00D7393C" w:rsidRPr="00D7393C" w14:paraId="3DDE28CF" w14:textId="77777777" w:rsidTr="003E3CE7">
        <w:trPr>
          <w:trHeight w:val="543"/>
        </w:trPr>
        <w:tc>
          <w:tcPr>
            <w:tcW w:w="1478" w:type="dxa"/>
            <w:tcBorders>
              <w:top w:val="single" w:sz="4" w:space="0" w:color="auto"/>
              <w:left w:val="single" w:sz="4" w:space="0" w:color="auto"/>
              <w:bottom w:val="single" w:sz="4" w:space="0" w:color="auto"/>
              <w:right w:val="single" w:sz="4" w:space="0" w:color="auto"/>
            </w:tcBorders>
            <w:shd w:val="clear" w:color="000000" w:fill="CFDCEA"/>
            <w:vAlign w:val="center"/>
            <w:hideMark/>
          </w:tcPr>
          <w:p w14:paraId="4EF77BA6" w14:textId="77777777" w:rsidR="00D7393C" w:rsidRPr="00D7393C" w:rsidRDefault="00D7393C" w:rsidP="00D7393C">
            <w:pPr>
              <w:spacing w:after="0"/>
              <w:jc w:val="center"/>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 </w:t>
            </w:r>
          </w:p>
        </w:tc>
        <w:tc>
          <w:tcPr>
            <w:tcW w:w="2571" w:type="dxa"/>
            <w:tcBorders>
              <w:top w:val="single" w:sz="4" w:space="0" w:color="auto"/>
              <w:left w:val="nil"/>
              <w:bottom w:val="single" w:sz="4" w:space="0" w:color="auto"/>
              <w:right w:val="single" w:sz="4" w:space="0" w:color="auto"/>
            </w:tcBorders>
            <w:shd w:val="clear" w:color="000000" w:fill="CFDCEA"/>
            <w:vAlign w:val="center"/>
            <w:hideMark/>
          </w:tcPr>
          <w:p w14:paraId="074F7450" w14:textId="77777777" w:rsidR="00D7393C" w:rsidRPr="00D7393C" w:rsidRDefault="00D7393C" w:rsidP="00D7393C">
            <w:pPr>
              <w:spacing w:after="0"/>
              <w:jc w:val="center"/>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State NPV per person ($)</w:t>
            </w:r>
          </w:p>
        </w:tc>
        <w:tc>
          <w:tcPr>
            <w:tcW w:w="2571" w:type="dxa"/>
            <w:tcBorders>
              <w:top w:val="single" w:sz="4" w:space="0" w:color="auto"/>
              <w:left w:val="nil"/>
              <w:bottom w:val="single" w:sz="4" w:space="0" w:color="auto"/>
              <w:right w:val="single" w:sz="4" w:space="0" w:color="auto"/>
            </w:tcBorders>
            <w:shd w:val="clear" w:color="000000" w:fill="CFDCEA"/>
            <w:vAlign w:val="center"/>
            <w:hideMark/>
          </w:tcPr>
          <w:p w14:paraId="0E2DDA50" w14:textId="77777777" w:rsidR="00D7393C" w:rsidRPr="00D7393C" w:rsidRDefault="00D7393C" w:rsidP="00D7393C">
            <w:pPr>
              <w:spacing w:after="0"/>
              <w:jc w:val="center"/>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Commonwealth NPV per person ($)</w:t>
            </w:r>
          </w:p>
        </w:tc>
        <w:tc>
          <w:tcPr>
            <w:tcW w:w="2571" w:type="dxa"/>
            <w:tcBorders>
              <w:top w:val="single" w:sz="4" w:space="0" w:color="auto"/>
              <w:left w:val="nil"/>
              <w:bottom w:val="single" w:sz="4" w:space="0" w:color="auto"/>
              <w:right w:val="single" w:sz="4" w:space="0" w:color="auto"/>
            </w:tcBorders>
            <w:shd w:val="clear" w:color="000000" w:fill="CFDCEA"/>
            <w:vAlign w:val="center"/>
            <w:hideMark/>
          </w:tcPr>
          <w:p w14:paraId="101CD9DA" w14:textId="77777777" w:rsidR="00D7393C" w:rsidRPr="00D7393C" w:rsidRDefault="00D7393C" w:rsidP="00D7393C">
            <w:pPr>
              <w:spacing w:after="0"/>
              <w:jc w:val="center"/>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Combined NPV per person ($)</w:t>
            </w:r>
          </w:p>
        </w:tc>
      </w:tr>
      <w:tr w:rsidR="00D7393C" w:rsidRPr="00D7393C" w14:paraId="1B0035F5" w14:textId="77777777" w:rsidTr="003E3CE7">
        <w:trPr>
          <w:trHeight w:val="340"/>
        </w:trPr>
        <w:tc>
          <w:tcPr>
            <w:tcW w:w="1478" w:type="dxa"/>
            <w:tcBorders>
              <w:top w:val="nil"/>
              <w:left w:val="single" w:sz="4" w:space="0" w:color="auto"/>
              <w:bottom w:val="single" w:sz="4" w:space="0" w:color="auto"/>
              <w:right w:val="single" w:sz="4" w:space="0" w:color="auto"/>
            </w:tcBorders>
            <w:shd w:val="clear" w:color="auto" w:fill="auto"/>
            <w:hideMark/>
          </w:tcPr>
          <w:p w14:paraId="0ED051E9" w14:textId="77777777" w:rsidR="00D7393C" w:rsidRPr="00D7393C" w:rsidRDefault="00D7393C" w:rsidP="00D7393C">
            <w:pPr>
              <w:spacing w:after="0"/>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Skill</w:t>
            </w:r>
          </w:p>
        </w:tc>
        <w:tc>
          <w:tcPr>
            <w:tcW w:w="2571" w:type="dxa"/>
            <w:tcBorders>
              <w:top w:val="nil"/>
              <w:left w:val="nil"/>
              <w:bottom w:val="single" w:sz="4" w:space="0" w:color="auto"/>
              <w:right w:val="single" w:sz="4" w:space="0" w:color="auto"/>
            </w:tcBorders>
            <w:shd w:val="clear" w:color="auto" w:fill="auto"/>
            <w:hideMark/>
          </w:tcPr>
          <w:p w14:paraId="68E320C6"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60,000</w:t>
            </w:r>
          </w:p>
        </w:tc>
        <w:tc>
          <w:tcPr>
            <w:tcW w:w="2571" w:type="dxa"/>
            <w:tcBorders>
              <w:top w:val="nil"/>
              <w:left w:val="nil"/>
              <w:bottom w:val="single" w:sz="4" w:space="0" w:color="auto"/>
              <w:right w:val="single" w:sz="4" w:space="0" w:color="auto"/>
            </w:tcBorders>
            <w:shd w:val="clear" w:color="auto" w:fill="auto"/>
            <w:hideMark/>
          </w:tcPr>
          <w:p w14:paraId="6C6D308E"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138,000</w:t>
            </w:r>
          </w:p>
        </w:tc>
        <w:tc>
          <w:tcPr>
            <w:tcW w:w="2571" w:type="dxa"/>
            <w:tcBorders>
              <w:top w:val="nil"/>
              <w:left w:val="nil"/>
              <w:bottom w:val="single" w:sz="4" w:space="0" w:color="auto"/>
              <w:right w:val="single" w:sz="4" w:space="0" w:color="auto"/>
            </w:tcBorders>
            <w:shd w:val="clear" w:color="auto" w:fill="auto"/>
            <w:hideMark/>
          </w:tcPr>
          <w:p w14:paraId="33ECB59E"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198,000</w:t>
            </w:r>
          </w:p>
        </w:tc>
      </w:tr>
      <w:tr w:rsidR="00D7393C" w:rsidRPr="00D7393C" w14:paraId="14F04633" w14:textId="77777777" w:rsidTr="003E3CE7">
        <w:trPr>
          <w:trHeight w:val="340"/>
        </w:trPr>
        <w:tc>
          <w:tcPr>
            <w:tcW w:w="1478" w:type="dxa"/>
            <w:tcBorders>
              <w:top w:val="nil"/>
              <w:left w:val="single" w:sz="4" w:space="0" w:color="auto"/>
              <w:bottom w:val="single" w:sz="4" w:space="0" w:color="auto"/>
              <w:right w:val="single" w:sz="4" w:space="0" w:color="auto"/>
            </w:tcBorders>
            <w:shd w:val="clear" w:color="auto" w:fill="auto"/>
            <w:hideMark/>
          </w:tcPr>
          <w:p w14:paraId="7222BD63" w14:textId="77777777" w:rsidR="00D7393C" w:rsidRPr="00D7393C" w:rsidRDefault="00D7393C" w:rsidP="00D7393C">
            <w:pPr>
              <w:spacing w:after="0"/>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Family</w:t>
            </w:r>
          </w:p>
        </w:tc>
        <w:tc>
          <w:tcPr>
            <w:tcW w:w="2571" w:type="dxa"/>
            <w:tcBorders>
              <w:top w:val="nil"/>
              <w:left w:val="nil"/>
              <w:bottom w:val="single" w:sz="4" w:space="0" w:color="auto"/>
              <w:right w:val="single" w:sz="4" w:space="0" w:color="auto"/>
            </w:tcBorders>
            <w:shd w:val="clear" w:color="auto" w:fill="auto"/>
            <w:hideMark/>
          </w:tcPr>
          <w:p w14:paraId="39C86072"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10,000</w:t>
            </w:r>
          </w:p>
        </w:tc>
        <w:tc>
          <w:tcPr>
            <w:tcW w:w="2571" w:type="dxa"/>
            <w:tcBorders>
              <w:top w:val="nil"/>
              <w:left w:val="nil"/>
              <w:bottom w:val="single" w:sz="4" w:space="0" w:color="auto"/>
              <w:right w:val="single" w:sz="4" w:space="0" w:color="auto"/>
            </w:tcBorders>
            <w:shd w:val="clear" w:color="auto" w:fill="auto"/>
            <w:hideMark/>
          </w:tcPr>
          <w:p w14:paraId="5728DB64"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 xml:space="preserve">–137,000 </w:t>
            </w:r>
          </w:p>
        </w:tc>
        <w:tc>
          <w:tcPr>
            <w:tcW w:w="2571" w:type="dxa"/>
            <w:tcBorders>
              <w:top w:val="nil"/>
              <w:left w:val="nil"/>
              <w:bottom w:val="single" w:sz="4" w:space="0" w:color="auto"/>
              <w:right w:val="single" w:sz="4" w:space="0" w:color="auto"/>
            </w:tcBorders>
            <w:shd w:val="clear" w:color="auto" w:fill="auto"/>
            <w:hideMark/>
          </w:tcPr>
          <w:p w14:paraId="55756D55"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 xml:space="preserve">–126,000 </w:t>
            </w:r>
          </w:p>
        </w:tc>
      </w:tr>
      <w:tr w:rsidR="00D7393C" w:rsidRPr="00D7393C" w14:paraId="21A9AA48" w14:textId="77777777" w:rsidTr="003E3CE7">
        <w:trPr>
          <w:trHeight w:val="340"/>
        </w:trPr>
        <w:tc>
          <w:tcPr>
            <w:tcW w:w="1478" w:type="dxa"/>
            <w:tcBorders>
              <w:top w:val="nil"/>
              <w:left w:val="single" w:sz="4" w:space="0" w:color="auto"/>
              <w:bottom w:val="single" w:sz="4" w:space="0" w:color="auto"/>
              <w:right w:val="single" w:sz="4" w:space="0" w:color="auto"/>
            </w:tcBorders>
            <w:shd w:val="clear" w:color="auto" w:fill="auto"/>
            <w:hideMark/>
          </w:tcPr>
          <w:p w14:paraId="60C1D0B7" w14:textId="77777777" w:rsidR="00D7393C" w:rsidRPr="00D7393C" w:rsidRDefault="00D7393C" w:rsidP="00D7393C">
            <w:pPr>
              <w:spacing w:after="0"/>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Humanitarian</w:t>
            </w:r>
          </w:p>
        </w:tc>
        <w:tc>
          <w:tcPr>
            <w:tcW w:w="2571" w:type="dxa"/>
            <w:tcBorders>
              <w:top w:val="nil"/>
              <w:left w:val="nil"/>
              <w:bottom w:val="single" w:sz="4" w:space="0" w:color="auto"/>
              <w:right w:val="single" w:sz="4" w:space="0" w:color="auto"/>
            </w:tcBorders>
            <w:shd w:val="clear" w:color="auto" w:fill="auto"/>
            <w:hideMark/>
          </w:tcPr>
          <w:p w14:paraId="0670F38C"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 xml:space="preserve">–33,000 </w:t>
            </w:r>
          </w:p>
        </w:tc>
        <w:tc>
          <w:tcPr>
            <w:tcW w:w="2571" w:type="dxa"/>
            <w:tcBorders>
              <w:top w:val="nil"/>
              <w:left w:val="nil"/>
              <w:bottom w:val="single" w:sz="4" w:space="0" w:color="auto"/>
              <w:right w:val="single" w:sz="4" w:space="0" w:color="auto"/>
            </w:tcBorders>
            <w:shd w:val="clear" w:color="auto" w:fill="auto"/>
            <w:hideMark/>
          </w:tcPr>
          <w:p w14:paraId="363BE706"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–367,000</w:t>
            </w:r>
          </w:p>
        </w:tc>
        <w:tc>
          <w:tcPr>
            <w:tcW w:w="2571" w:type="dxa"/>
            <w:tcBorders>
              <w:top w:val="nil"/>
              <w:left w:val="nil"/>
              <w:bottom w:val="single" w:sz="4" w:space="0" w:color="auto"/>
              <w:right w:val="single" w:sz="4" w:space="0" w:color="auto"/>
            </w:tcBorders>
            <w:shd w:val="clear" w:color="auto" w:fill="auto"/>
            <w:hideMark/>
          </w:tcPr>
          <w:p w14:paraId="331AAE9E"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 xml:space="preserve">–400,000 </w:t>
            </w:r>
          </w:p>
        </w:tc>
      </w:tr>
      <w:tr w:rsidR="00D7393C" w:rsidRPr="00D7393C" w14:paraId="3DE1B305" w14:textId="77777777" w:rsidTr="003E3CE7">
        <w:trPr>
          <w:trHeight w:val="340"/>
        </w:trPr>
        <w:tc>
          <w:tcPr>
            <w:tcW w:w="1478" w:type="dxa"/>
            <w:tcBorders>
              <w:top w:val="nil"/>
              <w:left w:val="single" w:sz="4" w:space="0" w:color="auto"/>
              <w:bottom w:val="single" w:sz="4" w:space="0" w:color="auto"/>
              <w:right w:val="single" w:sz="4" w:space="0" w:color="auto"/>
            </w:tcBorders>
            <w:shd w:val="clear" w:color="auto" w:fill="auto"/>
            <w:hideMark/>
          </w:tcPr>
          <w:p w14:paraId="04F65F8E" w14:textId="004EA55C" w:rsidR="00D7393C" w:rsidRPr="00D7393C" w:rsidRDefault="00D7393C" w:rsidP="00D7393C">
            <w:pPr>
              <w:spacing w:after="0"/>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 xml:space="preserve">Average </w:t>
            </w:r>
            <w:r w:rsidR="00FB5555">
              <w:rPr>
                <w:rFonts w:ascii="Arial" w:eastAsia="Times New Roman" w:hAnsi="Arial" w:cs="Arial"/>
                <w:b/>
                <w:bCs/>
                <w:sz w:val="16"/>
                <w:szCs w:val="16"/>
                <w:lang w:eastAsia="en-AU"/>
              </w:rPr>
              <w:t>of migrant cohort</w:t>
            </w:r>
          </w:p>
        </w:tc>
        <w:tc>
          <w:tcPr>
            <w:tcW w:w="2571" w:type="dxa"/>
            <w:tcBorders>
              <w:top w:val="nil"/>
              <w:left w:val="nil"/>
              <w:bottom w:val="single" w:sz="4" w:space="0" w:color="auto"/>
              <w:right w:val="single" w:sz="4" w:space="0" w:color="auto"/>
            </w:tcBorders>
            <w:shd w:val="clear" w:color="auto" w:fill="auto"/>
            <w:hideMark/>
          </w:tcPr>
          <w:p w14:paraId="7ABC846D"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36,000</w:t>
            </w:r>
          </w:p>
        </w:tc>
        <w:tc>
          <w:tcPr>
            <w:tcW w:w="2571" w:type="dxa"/>
            <w:tcBorders>
              <w:top w:val="nil"/>
              <w:left w:val="nil"/>
              <w:bottom w:val="single" w:sz="4" w:space="0" w:color="auto"/>
              <w:right w:val="single" w:sz="4" w:space="0" w:color="auto"/>
            </w:tcBorders>
            <w:shd w:val="clear" w:color="auto" w:fill="auto"/>
            <w:hideMark/>
          </w:tcPr>
          <w:p w14:paraId="2D31527E"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6,000</w:t>
            </w:r>
          </w:p>
        </w:tc>
        <w:tc>
          <w:tcPr>
            <w:tcW w:w="2571" w:type="dxa"/>
            <w:tcBorders>
              <w:top w:val="nil"/>
              <w:left w:val="nil"/>
              <w:bottom w:val="single" w:sz="4" w:space="0" w:color="auto"/>
              <w:right w:val="single" w:sz="4" w:space="0" w:color="auto"/>
            </w:tcBorders>
            <w:shd w:val="clear" w:color="auto" w:fill="auto"/>
            <w:hideMark/>
          </w:tcPr>
          <w:p w14:paraId="58368037"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41,000</w:t>
            </w:r>
          </w:p>
        </w:tc>
      </w:tr>
      <w:tr w:rsidR="00D7393C" w:rsidRPr="00D7393C" w14:paraId="7E70999A" w14:textId="77777777" w:rsidTr="003E3CE7">
        <w:trPr>
          <w:trHeight w:val="340"/>
        </w:trPr>
        <w:tc>
          <w:tcPr>
            <w:tcW w:w="1478" w:type="dxa"/>
            <w:tcBorders>
              <w:top w:val="nil"/>
              <w:left w:val="single" w:sz="4" w:space="0" w:color="auto"/>
              <w:bottom w:val="single" w:sz="4" w:space="0" w:color="auto"/>
              <w:right w:val="single" w:sz="4" w:space="0" w:color="auto"/>
            </w:tcBorders>
            <w:shd w:val="clear" w:color="auto" w:fill="auto"/>
            <w:hideMark/>
          </w:tcPr>
          <w:p w14:paraId="169D9605" w14:textId="77777777" w:rsidR="00D7393C" w:rsidRPr="00D7393C" w:rsidRDefault="00D7393C" w:rsidP="00D7393C">
            <w:pPr>
              <w:spacing w:after="0"/>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Australian population</w:t>
            </w:r>
          </w:p>
        </w:tc>
        <w:tc>
          <w:tcPr>
            <w:tcW w:w="2571" w:type="dxa"/>
            <w:tcBorders>
              <w:top w:val="nil"/>
              <w:left w:val="nil"/>
              <w:bottom w:val="single" w:sz="4" w:space="0" w:color="auto"/>
              <w:right w:val="single" w:sz="4" w:space="0" w:color="auto"/>
            </w:tcBorders>
            <w:shd w:val="clear" w:color="auto" w:fill="auto"/>
            <w:hideMark/>
          </w:tcPr>
          <w:p w14:paraId="3690F111"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19,000</w:t>
            </w:r>
          </w:p>
        </w:tc>
        <w:tc>
          <w:tcPr>
            <w:tcW w:w="2571" w:type="dxa"/>
            <w:tcBorders>
              <w:top w:val="nil"/>
              <w:left w:val="nil"/>
              <w:bottom w:val="single" w:sz="4" w:space="0" w:color="auto"/>
              <w:right w:val="single" w:sz="4" w:space="0" w:color="auto"/>
            </w:tcBorders>
            <w:shd w:val="clear" w:color="auto" w:fill="auto"/>
            <w:hideMark/>
          </w:tcPr>
          <w:p w14:paraId="717CFC4E"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 xml:space="preserve">–104,000 </w:t>
            </w:r>
          </w:p>
        </w:tc>
        <w:tc>
          <w:tcPr>
            <w:tcW w:w="2571" w:type="dxa"/>
            <w:tcBorders>
              <w:top w:val="nil"/>
              <w:left w:val="nil"/>
              <w:bottom w:val="single" w:sz="4" w:space="0" w:color="auto"/>
              <w:right w:val="single" w:sz="4" w:space="0" w:color="auto"/>
            </w:tcBorders>
            <w:shd w:val="clear" w:color="auto" w:fill="auto"/>
            <w:hideMark/>
          </w:tcPr>
          <w:p w14:paraId="62E82216"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 xml:space="preserve">–85,000 </w:t>
            </w:r>
          </w:p>
        </w:tc>
      </w:tr>
    </w:tbl>
    <w:bookmarkEnd w:id="34"/>
    <w:p w14:paraId="7FC6CAD8" w14:textId="354B4EE6" w:rsidR="003E3CE7" w:rsidRDefault="003E3CE7" w:rsidP="003E3CE7">
      <w:pPr>
        <w:spacing w:after="0"/>
        <w:rPr>
          <w:lang w:val="en-US" w:eastAsia="en-AU"/>
        </w:rPr>
      </w:pPr>
      <w:r>
        <w:rPr>
          <w:sz w:val="18"/>
          <w:szCs w:val="18"/>
        </w:rPr>
        <w:t xml:space="preserve">Components </w:t>
      </w:r>
      <w:r w:rsidR="00653A37">
        <w:rPr>
          <w:sz w:val="18"/>
          <w:szCs w:val="18"/>
        </w:rPr>
        <w:t>may</w:t>
      </w:r>
      <w:r>
        <w:rPr>
          <w:sz w:val="18"/>
          <w:szCs w:val="18"/>
        </w:rPr>
        <w:t xml:space="preserve"> not </w:t>
      </w:r>
      <w:r w:rsidR="008A64D6">
        <w:rPr>
          <w:sz w:val="18"/>
          <w:szCs w:val="18"/>
        </w:rPr>
        <w:t>sum to</w:t>
      </w:r>
      <w:r>
        <w:rPr>
          <w:sz w:val="18"/>
          <w:szCs w:val="18"/>
        </w:rPr>
        <w:t xml:space="preserve"> totals due to rounding.</w:t>
      </w:r>
    </w:p>
    <w:p w14:paraId="145B5C38" w14:textId="5FE848BF" w:rsidR="00202903" w:rsidRPr="00476556" w:rsidRDefault="00782FF1" w:rsidP="00A77E0F">
      <w:pPr>
        <w:spacing w:before="240" w:after="120"/>
        <w:rPr>
          <w:lang w:val="en-US" w:eastAsia="en-AU"/>
        </w:rPr>
      </w:pPr>
      <w:r>
        <w:rPr>
          <w:lang w:val="en-US" w:eastAsia="en-AU"/>
        </w:rPr>
        <w:t>FIONA is unable to accurately estimate</w:t>
      </w:r>
      <w:r w:rsidR="0010213F">
        <w:rPr>
          <w:lang w:val="en-US" w:eastAsia="en-AU"/>
        </w:rPr>
        <w:t xml:space="preserve"> </w:t>
      </w:r>
      <w:r w:rsidR="00202903">
        <w:rPr>
          <w:lang w:val="en-US" w:eastAsia="en-AU"/>
        </w:rPr>
        <w:t xml:space="preserve">the fiscal impact of migrants on individual States and Territories. </w:t>
      </w:r>
      <w:r w:rsidR="00EF0084">
        <w:rPr>
          <w:lang w:val="en-US" w:eastAsia="en-AU"/>
        </w:rPr>
        <w:t xml:space="preserve">This is because </w:t>
      </w:r>
      <w:r w:rsidR="00C939CB">
        <w:rPr>
          <w:lang w:val="en-US" w:eastAsia="en-AU"/>
        </w:rPr>
        <w:t xml:space="preserve">of </w:t>
      </w:r>
      <w:r w:rsidR="00202903">
        <w:t>Australia’s system of horizontal fiscal equalisation</w:t>
      </w:r>
      <w:r w:rsidR="006A7F30">
        <w:t>,</w:t>
      </w:r>
      <w:r w:rsidR="009959E2">
        <w:t xml:space="preserve"> </w:t>
      </w:r>
      <w:r w:rsidR="00EF0084">
        <w:t>which</w:t>
      </w:r>
      <w:r w:rsidR="00BB64D7">
        <w:t xml:space="preserve"> looks at the fiscal capacity of each State and distributes GST according to </w:t>
      </w:r>
      <w:r w:rsidR="009172F7">
        <w:t xml:space="preserve">their </w:t>
      </w:r>
      <w:r w:rsidR="00BB64D7">
        <w:t xml:space="preserve">capacity to raise </w:t>
      </w:r>
      <w:r w:rsidR="003170BA">
        <w:t>revenue and</w:t>
      </w:r>
      <w:r w:rsidR="00BB64D7">
        <w:t xml:space="preserve"> deliver equivalent services</w:t>
      </w:r>
      <w:r w:rsidR="00202903">
        <w:t xml:space="preserve">. </w:t>
      </w:r>
      <w:r w:rsidR="00B47E4B">
        <w:t xml:space="preserve">To the extent that this system </w:t>
      </w:r>
      <w:r w:rsidR="00B47E4B" w:rsidRPr="008B040B">
        <w:t xml:space="preserve">captures the economic impact of migrants, then the net fiscal </w:t>
      </w:r>
      <w:r w:rsidR="00B47E4B" w:rsidRPr="008B040B">
        <w:lastRenderedPageBreak/>
        <w:t xml:space="preserve">impact of migration (after equalisation through changes to GST distributions) </w:t>
      </w:r>
      <w:r w:rsidR="003B0235" w:rsidRPr="005A6030">
        <w:t xml:space="preserve">would </w:t>
      </w:r>
      <w:r w:rsidR="00B47E4B" w:rsidRPr="005A6030">
        <w:t xml:space="preserve">broadly be </w:t>
      </w:r>
      <w:r w:rsidR="003B0235" w:rsidRPr="005A6030">
        <w:t xml:space="preserve">expected to be </w:t>
      </w:r>
      <w:r w:rsidR="00B47E4B" w:rsidRPr="005A6030">
        <w:t>equal</w:t>
      </w:r>
      <w:r w:rsidR="00F01894" w:rsidRPr="005A6030">
        <w:t xml:space="preserve"> across states on a</w:t>
      </w:r>
      <w:r w:rsidR="00B47E4B" w:rsidRPr="005A6030">
        <w:t xml:space="preserve"> per capita</w:t>
      </w:r>
      <w:r w:rsidR="00F01894" w:rsidRPr="005A6030">
        <w:t xml:space="preserve"> basis</w:t>
      </w:r>
      <w:r w:rsidR="00B47E4B" w:rsidRPr="005A6030">
        <w:t xml:space="preserve">. </w:t>
      </w:r>
      <w:r w:rsidR="002752EA" w:rsidRPr="005A6030">
        <w:t>However</w:t>
      </w:r>
      <w:r w:rsidR="002752EA" w:rsidRPr="008B040B">
        <w:t xml:space="preserve">, </w:t>
      </w:r>
      <w:r w:rsidR="00AF62D7" w:rsidRPr="008B040B">
        <w:t xml:space="preserve">determining </w:t>
      </w:r>
      <w:r w:rsidR="002752EA" w:rsidRPr="008B040B">
        <w:t>the extent of</w:t>
      </w:r>
      <w:r w:rsidR="00AF62D7" w:rsidRPr="008B040B">
        <w:t xml:space="preserve"> horizontal</w:t>
      </w:r>
      <w:r w:rsidR="002752EA" w:rsidRPr="008B040B">
        <w:t xml:space="preserve"> equalisation achieved </w:t>
      </w:r>
      <w:r w:rsidR="00AF62D7" w:rsidRPr="008B040B">
        <w:t>in practice is beyond the scope of this paper.</w:t>
      </w:r>
      <w:r w:rsidR="002752EA" w:rsidRPr="008B040B">
        <w:t xml:space="preserve"> </w:t>
      </w:r>
      <w:r w:rsidR="00202903" w:rsidRPr="008B040B">
        <w:t xml:space="preserve">Further examination of these issues is a potential area for future research </w:t>
      </w:r>
      <w:r w:rsidR="001A1D3D">
        <w:t xml:space="preserve">discussed </w:t>
      </w:r>
      <w:r w:rsidR="00202903" w:rsidRPr="008B040B">
        <w:t>in Section</w:t>
      </w:r>
      <w:r w:rsidR="00202903">
        <w:t xml:space="preserve"> 6.</w:t>
      </w:r>
    </w:p>
    <w:p w14:paraId="680A4A6D" w14:textId="0FDA71FD" w:rsidR="00801D07" w:rsidRDefault="00BB64D7" w:rsidP="00E079FB">
      <w:pPr>
        <w:pStyle w:val="Heading2"/>
        <w:numPr>
          <w:ilvl w:val="0"/>
          <w:numId w:val="22"/>
        </w:numPr>
      </w:pPr>
      <w:bookmarkStart w:id="35" w:name="_Toc77175224"/>
      <w:r>
        <w:t>Major</w:t>
      </w:r>
      <w:r w:rsidR="00801D07" w:rsidRPr="00A759AB">
        <w:t xml:space="preserve"> drivers of </w:t>
      </w:r>
      <w:r w:rsidR="003170BA">
        <w:t>FIONA</w:t>
      </w:r>
      <w:r w:rsidR="003170BA" w:rsidRPr="00A759AB">
        <w:t xml:space="preserve"> </w:t>
      </w:r>
      <w:r w:rsidR="00801D07" w:rsidRPr="00A759AB">
        <w:t>results</w:t>
      </w:r>
      <w:bookmarkEnd w:id="35"/>
    </w:p>
    <w:p w14:paraId="6DD616A4" w14:textId="08C59C11" w:rsidR="00801D07" w:rsidRDefault="00022FD0" w:rsidP="007F0F36">
      <w:r>
        <w:t xml:space="preserve">The </w:t>
      </w:r>
      <w:r w:rsidR="00BB64D7">
        <w:t xml:space="preserve">major </w:t>
      </w:r>
      <w:r>
        <w:t xml:space="preserve">factors driving FIONA results are </w:t>
      </w:r>
      <w:r w:rsidR="004D6C16">
        <w:t>variations in</w:t>
      </w:r>
      <w:r w:rsidR="00801D07" w:rsidRPr="00AC4104">
        <w:t xml:space="preserve"> age distributions and labour market experiences</w:t>
      </w:r>
      <w:r w:rsidR="007002C2">
        <w:t xml:space="preserve"> of different migrant groups</w:t>
      </w:r>
      <w:r w:rsidR="00801D07" w:rsidRPr="00AC4104">
        <w:t xml:space="preserve">. Other factors captured by FIONA — such as </w:t>
      </w:r>
      <w:r w:rsidR="0010213F">
        <w:t>V</w:t>
      </w:r>
      <w:r w:rsidR="00801D07" w:rsidRPr="00AC4104">
        <w:t xml:space="preserve">isa </w:t>
      </w:r>
      <w:r w:rsidR="0010213F">
        <w:t>A</w:t>
      </w:r>
      <w:r w:rsidR="00801D07" w:rsidRPr="00AC4104">
        <w:t xml:space="preserve">pplication </w:t>
      </w:r>
      <w:r w:rsidR="0010213F">
        <w:t>C</w:t>
      </w:r>
      <w:r w:rsidR="00801D07" w:rsidRPr="00AC4104">
        <w:t>harges, the costs of migrant settlement services and the propensity of different groups to use services like health and age</w:t>
      </w:r>
      <w:r w:rsidR="00E344D1">
        <w:t>d</w:t>
      </w:r>
      <w:r w:rsidR="00801D07" w:rsidRPr="00AC4104">
        <w:t xml:space="preserve"> care also help to explain the overall outcomes</w:t>
      </w:r>
      <w:r w:rsidR="00B94A2B">
        <w:t>, but to a lesser extent</w:t>
      </w:r>
      <w:r w:rsidR="00801D07" w:rsidRPr="00AC4104">
        <w:t xml:space="preserve">. </w:t>
      </w:r>
    </w:p>
    <w:p w14:paraId="492F8E69" w14:textId="754DF448" w:rsidR="00801D07" w:rsidRDefault="00801D07" w:rsidP="001A66C0">
      <w:pPr>
        <w:pStyle w:val="Heading3"/>
      </w:pPr>
      <w:bookmarkStart w:id="36" w:name="_Toc77175225"/>
      <w:r>
        <w:t>Migrants are younger on average than the Australian population</w:t>
      </w:r>
      <w:bookmarkEnd w:id="36"/>
    </w:p>
    <w:p w14:paraId="40771D4C" w14:textId="47C76E20" w:rsidR="00801D07" w:rsidRDefault="00801D07" w:rsidP="007F0F36">
      <w:r w:rsidRPr="00AC1F18">
        <w:t xml:space="preserve">The extent to which people in Australia pay taxes and </w:t>
      </w:r>
      <w:r w:rsidR="00230FA3">
        <w:t xml:space="preserve">use </w:t>
      </w:r>
      <w:r w:rsidRPr="00AC1F18">
        <w:t>Government</w:t>
      </w:r>
      <w:r w:rsidR="00230FA3">
        <w:t xml:space="preserve"> services</w:t>
      </w:r>
      <w:r w:rsidRPr="00AC1F18">
        <w:t xml:space="preserve"> varies over the lifecycle and can be broken down into three distinct stages. When individuals are young</w:t>
      </w:r>
      <w:r>
        <w:t>,</w:t>
      </w:r>
      <w:r w:rsidRPr="00AC1F18">
        <w:t xml:space="preserve"> </w:t>
      </w:r>
      <w:r w:rsidR="00942F1C">
        <w:t xml:space="preserve">they typically receive more from the government than they contribute </w:t>
      </w:r>
      <w:proofErr w:type="gramStart"/>
      <w:r w:rsidR="00942F1C">
        <w:t>in</w:t>
      </w:r>
      <w:proofErr w:type="gramEnd"/>
      <w:r w:rsidR="00942F1C">
        <w:t xml:space="preserve"> taxes, </w:t>
      </w:r>
      <w:r w:rsidRPr="00AC1F18">
        <w:t xml:space="preserve">as </w:t>
      </w:r>
      <w:r w:rsidR="00942F1C">
        <w:t xml:space="preserve">they </w:t>
      </w:r>
      <w:r>
        <w:t>attend school and receive</w:t>
      </w:r>
      <w:r w:rsidRPr="00AC1F18">
        <w:t xml:space="preserve"> other government services </w:t>
      </w:r>
      <w:r>
        <w:t>while paying</w:t>
      </w:r>
      <w:r w:rsidRPr="00AC1F18">
        <w:t xml:space="preserve"> little </w:t>
      </w:r>
      <w:r w:rsidR="0027686F">
        <w:t xml:space="preserve">if any </w:t>
      </w:r>
      <w:r w:rsidRPr="00AC1F18">
        <w:t>tax. Then, as people enter prime working age</w:t>
      </w:r>
      <w:r w:rsidR="007002C2">
        <w:t>,</w:t>
      </w:r>
      <w:r w:rsidRPr="00AC1F18">
        <w:t xml:space="preserve"> taxes paid typically exceed government expenses. As </w:t>
      </w:r>
      <w:r>
        <w:t xml:space="preserve">people </w:t>
      </w:r>
      <w:r w:rsidRPr="00AC1F18">
        <w:t xml:space="preserve">retire, </w:t>
      </w:r>
      <w:r>
        <w:t xml:space="preserve">they tend to again receive more each year in government services, like health care, the </w:t>
      </w:r>
      <w:r w:rsidR="007E1471">
        <w:t>A</w:t>
      </w:r>
      <w:r>
        <w:t xml:space="preserve">ge </w:t>
      </w:r>
      <w:r w:rsidR="007E1471">
        <w:t>P</w:t>
      </w:r>
      <w:r>
        <w:t xml:space="preserve">ension and aged care, than they pay in taxes. </w:t>
      </w:r>
      <w:r w:rsidRPr="00AC1F18">
        <w:t xml:space="preserve">The lifetime profile of revenues and expenses modelled in FIONA </w:t>
      </w:r>
      <w:r w:rsidR="0027686F">
        <w:t xml:space="preserve">for </w:t>
      </w:r>
      <w:r w:rsidR="00D04E8B">
        <w:t>an Australian born in 2018</w:t>
      </w:r>
      <w:r w:rsidR="00F62807">
        <w:t>–</w:t>
      </w:r>
      <w:r w:rsidR="00D04E8B">
        <w:t xml:space="preserve">19 </w:t>
      </w:r>
      <w:r w:rsidRPr="00AC1F18">
        <w:t>is show</w:t>
      </w:r>
      <w:r>
        <w:t>n</w:t>
      </w:r>
      <w:r w:rsidRPr="00AC1F18">
        <w:t xml:space="preserve"> in</w:t>
      </w:r>
      <w:r w:rsidR="009C70DF">
        <w:t xml:space="preserve"> Chart </w:t>
      </w:r>
      <w:r w:rsidR="009B2AE6">
        <w:t>7</w:t>
      </w:r>
      <w:r w:rsidRPr="00AC1F18">
        <w:t>.</w:t>
      </w:r>
      <w:r w:rsidR="005B4829">
        <w:t xml:space="preserve"> </w:t>
      </w:r>
    </w:p>
    <w:p w14:paraId="56E1D115" w14:textId="350ECBDA" w:rsidR="00C74475" w:rsidRPr="00F70234" w:rsidRDefault="00C74475" w:rsidP="0023028F">
      <w:pPr>
        <w:pStyle w:val="ChartMainHeading"/>
      </w:pPr>
      <w:bookmarkStart w:id="37" w:name="_Hlk86334232"/>
      <w:r w:rsidRPr="00F70234">
        <w:t xml:space="preserve">Chart </w:t>
      </w:r>
      <w:r w:rsidR="009B2AE6" w:rsidRPr="00F70234">
        <w:t>7</w:t>
      </w:r>
      <w:r w:rsidRPr="00F70234">
        <w:t>: Lifetime interaction with</w:t>
      </w:r>
      <w:r w:rsidR="00E36B51" w:rsidRPr="00F70234">
        <w:t xml:space="preserve"> the Australian</w:t>
      </w:r>
      <w:r w:rsidRPr="00F70234">
        <w:t xml:space="preserve"> tax and transfer system </w:t>
      </w:r>
    </w:p>
    <w:p w14:paraId="13AF33A1" w14:textId="04C7D7D2" w:rsidR="00234303" w:rsidRDefault="00191688" w:rsidP="008027CA">
      <w:pPr>
        <w:keepNext/>
        <w:spacing w:after="0"/>
        <w:textAlignment w:val="baseline"/>
        <w:rPr>
          <w:rFonts w:eastAsia="Times New Roman" w:cs="Arial"/>
          <w:lang w:eastAsia="en-AU"/>
        </w:rPr>
      </w:pPr>
      <w:r>
        <w:rPr>
          <w:rFonts w:eastAsia="Times New Roman" w:cs="Arial"/>
          <w:noProof/>
          <w:lang w:eastAsia="en-AU"/>
        </w:rPr>
        <w:drawing>
          <wp:inline distT="0" distB="0" distL="0" distR="0" wp14:anchorId="31D5E376" wp14:editId="72B5AA4E">
            <wp:extent cx="5904230" cy="2270760"/>
            <wp:effectExtent l="0" t="0" r="1270" b="0"/>
            <wp:docPr id="21" name="Picture 21" descr="This chart shows the lifetime revenue and expenses cycle for a new-born Australian. From 0 to 20, health and education costs are significant and around the age of 25  the fiscal impact becomes positive due to personal income tax. This stays positive until age 65 where the age pension is accessible and then health and cared costs become more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chart shows the lifetime revenue and expenses cycle for a new-born Australian. From 0 to 20, health and education costs are significant and around the age of 25  the fiscal impact becomes positive due to personal income tax. This stays positive until age 65 where the age pension is accessible and then health and cared costs become more significa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230" cy="2270760"/>
                    </a:xfrm>
                    <a:prstGeom prst="rect">
                      <a:avLst/>
                    </a:prstGeom>
                    <a:noFill/>
                    <a:ln>
                      <a:noFill/>
                    </a:ln>
                  </pic:spPr>
                </pic:pic>
              </a:graphicData>
            </a:graphic>
          </wp:inline>
        </w:drawing>
      </w:r>
    </w:p>
    <w:p w14:paraId="3D248FC8" w14:textId="48D8989E" w:rsidR="00801D07" w:rsidRDefault="00801D07" w:rsidP="008027CA">
      <w:pPr>
        <w:rPr>
          <w:sz w:val="18"/>
          <w:lang w:val="en-US" w:eastAsia="en-AU"/>
        </w:rPr>
      </w:pPr>
      <w:r>
        <w:rPr>
          <w:sz w:val="18"/>
          <w:lang w:val="en-US" w:eastAsia="en-AU"/>
        </w:rPr>
        <w:t>This chart shows the discounted revenues and expenses modelled in FIONA of an Australian born in 2018</w:t>
      </w:r>
      <w:r w:rsidR="00F62807">
        <w:rPr>
          <w:sz w:val="18"/>
          <w:lang w:val="en-US" w:eastAsia="en-AU"/>
        </w:rPr>
        <w:t>–</w:t>
      </w:r>
      <w:r>
        <w:rPr>
          <w:sz w:val="18"/>
          <w:lang w:val="en-US" w:eastAsia="en-AU"/>
        </w:rPr>
        <w:t xml:space="preserve">19 (including the impacts of </w:t>
      </w:r>
      <w:r w:rsidRPr="00365FB3">
        <w:rPr>
          <w:sz w:val="18"/>
          <w:lang w:val="en-US" w:eastAsia="en-AU"/>
        </w:rPr>
        <w:t>growth rates, discount rates, mortality rates and emigration</w:t>
      </w:r>
      <w:r>
        <w:rPr>
          <w:sz w:val="18"/>
          <w:lang w:val="en-US" w:eastAsia="en-AU"/>
        </w:rPr>
        <w:t xml:space="preserve">). </w:t>
      </w:r>
    </w:p>
    <w:bookmarkEnd w:id="37"/>
    <w:p w14:paraId="3EACB71C" w14:textId="70B3E57C" w:rsidR="00801D07" w:rsidRDefault="00801D07" w:rsidP="007F0F36">
      <w:r>
        <w:t>This lifecycle pattern of how people contribute to</w:t>
      </w:r>
      <w:r w:rsidR="007002C2">
        <w:t xml:space="preserve"> government revenue</w:t>
      </w:r>
      <w:r>
        <w:t>, and benefit from government services</w:t>
      </w:r>
      <w:r w:rsidR="00BB64D7">
        <w:t>,</w:t>
      </w:r>
      <w:r>
        <w:t xml:space="preserve"> means that the age at which migrants come to Australia is the</w:t>
      </w:r>
      <w:r w:rsidR="00BB64D7">
        <w:t xml:space="preserve"> single</w:t>
      </w:r>
      <w:r>
        <w:t xml:space="preserve"> most important driver of their </w:t>
      </w:r>
      <w:r w:rsidR="00BB64D7">
        <w:t xml:space="preserve">estimated </w:t>
      </w:r>
      <w:r>
        <w:t>fiscal impact over their lifetime.</w:t>
      </w:r>
      <w:r w:rsidR="00FE68FE">
        <w:t xml:space="preserve"> </w:t>
      </w:r>
      <w:r w:rsidR="0010213F">
        <w:t>The 2018</w:t>
      </w:r>
      <w:r w:rsidR="00F62807">
        <w:t>–</w:t>
      </w:r>
      <w:r w:rsidR="0010213F">
        <w:t>19 permanent migrant cohort</w:t>
      </w:r>
      <w:r>
        <w:t xml:space="preserve"> are younger on average, and more likely to be of working age than the</w:t>
      </w:r>
      <w:r w:rsidR="0010213F">
        <w:t xml:space="preserve"> Australian</w:t>
      </w:r>
      <w:r>
        <w:t xml:space="preserve"> population overall </w:t>
      </w:r>
      <w:r w:rsidR="007002C2">
        <w:t>(C</w:t>
      </w:r>
      <w:r w:rsidR="002F7E3F">
        <w:t>hart</w:t>
      </w:r>
      <w:r>
        <w:t xml:space="preserve"> </w:t>
      </w:r>
      <w:r w:rsidR="009B2AE6">
        <w:t>8</w:t>
      </w:r>
      <w:r w:rsidR="007002C2">
        <w:t xml:space="preserve">, Chart </w:t>
      </w:r>
      <w:r w:rsidR="003170BA">
        <w:t>9,</w:t>
      </w:r>
      <w:r w:rsidR="007002C2">
        <w:t xml:space="preserve"> </w:t>
      </w:r>
      <w:r>
        <w:t xml:space="preserve">and Table </w:t>
      </w:r>
      <w:r w:rsidR="009B2AE6">
        <w:t>5</w:t>
      </w:r>
      <w:r w:rsidR="007002C2">
        <w:t>)</w:t>
      </w:r>
      <w:r>
        <w:t>.</w:t>
      </w:r>
      <w:r w:rsidR="00FE68FE">
        <w:t xml:space="preserve"> </w:t>
      </w:r>
    </w:p>
    <w:p w14:paraId="02F983A5" w14:textId="7CB629EB" w:rsidR="00801D07" w:rsidRDefault="00C74475" w:rsidP="0023028F">
      <w:pPr>
        <w:pStyle w:val="ChartMainHeading"/>
      </w:pPr>
      <w:r w:rsidRPr="00F70234">
        <w:lastRenderedPageBreak/>
        <w:t xml:space="preserve">Chart </w:t>
      </w:r>
      <w:r w:rsidR="009B2AE6" w:rsidRPr="00F70234">
        <w:t>8</w:t>
      </w:r>
      <w:r w:rsidR="00801D07" w:rsidRPr="00F70234">
        <w:t>: Age distribution of</w:t>
      </w:r>
      <w:r w:rsidR="004635AC">
        <w:t xml:space="preserve"> the</w:t>
      </w:r>
      <w:r w:rsidRPr="00F70234">
        <w:t xml:space="preserve"> 2018</w:t>
      </w:r>
      <w:r w:rsidR="00F62807" w:rsidRPr="00F70234">
        <w:t>–</w:t>
      </w:r>
      <w:r w:rsidRPr="00F70234">
        <w:t>19 permanent</w:t>
      </w:r>
      <w:r w:rsidR="00801D07" w:rsidRPr="00F70234">
        <w:t xml:space="preserve"> migrant</w:t>
      </w:r>
      <w:r w:rsidRPr="00F70234">
        <w:t xml:space="preserve"> cohort</w:t>
      </w:r>
      <w:r w:rsidR="00801D07" w:rsidRPr="00F70234">
        <w:t xml:space="preserve"> in Australia</w:t>
      </w:r>
      <w:r w:rsidR="002F7E3F" w:rsidRPr="00F70234">
        <w:t xml:space="preserve"> compared to the Australian</w:t>
      </w:r>
      <w:r w:rsidR="004635AC">
        <w:t xml:space="preserve"> residential</w:t>
      </w:r>
      <w:r w:rsidR="002F7E3F" w:rsidRPr="00F70234">
        <w:t xml:space="preserve"> population</w:t>
      </w:r>
    </w:p>
    <w:p w14:paraId="092DECFD" w14:textId="34F24F56" w:rsidR="00047691" w:rsidRPr="00F70234" w:rsidRDefault="00C01044" w:rsidP="00830CE1">
      <w:pPr>
        <w:rPr>
          <w:rFonts w:ascii="Arial" w:hAnsi="Arial"/>
          <w:color w:val="002C47" w:themeColor="accent1"/>
          <w:sz w:val="24"/>
        </w:rPr>
      </w:pPr>
      <w:r>
        <w:rPr>
          <w:rFonts w:ascii="Arial" w:hAnsi="Arial"/>
          <w:noProof/>
          <w:color w:val="002C47" w:themeColor="accent1"/>
          <w:sz w:val="24"/>
        </w:rPr>
        <w:drawing>
          <wp:inline distT="0" distB="0" distL="0" distR="0" wp14:anchorId="4D7ED4AD" wp14:editId="400C9EED">
            <wp:extent cx="5901690" cy="2258060"/>
            <wp:effectExtent l="0" t="0" r="3810" b="8890"/>
            <wp:docPr id="1" name="Picture 1" descr="This chart shows that a much higher proportion of migrants are between the ages of 25 and 40 than the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chart shows that a much higher proportion of migrants are between the ages of 25 and 40 than the Australian popula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690" cy="2258060"/>
                    </a:xfrm>
                    <a:prstGeom prst="rect">
                      <a:avLst/>
                    </a:prstGeom>
                    <a:noFill/>
                    <a:ln>
                      <a:noFill/>
                    </a:ln>
                  </pic:spPr>
                </pic:pic>
              </a:graphicData>
            </a:graphic>
          </wp:inline>
        </w:drawing>
      </w:r>
    </w:p>
    <w:p w14:paraId="3202C4A5" w14:textId="3A1FF3C7" w:rsidR="00E11736" w:rsidRDefault="001C0240" w:rsidP="001A66C0">
      <w:pPr>
        <w:spacing w:after="120"/>
        <w:rPr>
          <w:rFonts w:ascii="Arial" w:hAnsi="Arial"/>
          <w:color w:val="002C47" w:themeColor="accent1"/>
          <w:sz w:val="24"/>
        </w:rPr>
      </w:pPr>
      <w:r w:rsidRPr="00F620A2">
        <w:rPr>
          <w:sz w:val="18"/>
          <w:szCs w:val="18"/>
          <w:lang w:val="en-US" w:eastAsia="en-AU"/>
        </w:rPr>
        <w:t xml:space="preserve">Note: </w:t>
      </w:r>
      <w:r>
        <w:rPr>
          <w:sz w:val="18"/>
          <w:szCs w:val="18"/>
          <w:lang w:val="en-US" w:eastAsia="en-AU"/>
        </w:rPr>
        <w:t>Share of population is shown in one-year age bins.</w:t>
      </w:r>
    </w:p>
    <w:p w14:paraId="20CFFA1A" w14:textId="19F39E0B" w:rsidR="00234303" w:rsidRDefault="002F7E3F" w:rsidP="0023028F">
      <w:pPr>
        <w:pStyle w:val="ChartMainHeading"/>
      </w:pPr>
      <w:r w:rsidRPr="00F70234">
        <w:t xml:space="preserve">Chart </w:t>
      </w:r>
      <w:r w:rsidR="009B2AE6" w:rsidRPr="00F70234">
        <w:t>9</w:t>
      </w:r>
      <w:r w:rsidRPr="00F70234">
        <w:t>: Age distribution of the 2018</w:t>
      </w:r>
      <w:r w:rsidR="00F62807" w:rsidRPr="00F70234">
        <w:t>–</w:t>
      </w:r>
      <w:r w:rsidRPr="00F70234">
        <w:t>19 permanent migrant cohort</w:t>
      </w:r>
    </w:p>
    <w:p w14:paraId="2E3E7B14" w14:textId="41DFEF90" w:rsidR="00202786" w:rsidRDefault="00B65C28" w:rsidP="00830CE1">
      <w:pPr>
        <w:rPr>
          <w:rFonts w:ascii="Arial" w:hAnsi="Arial"/>
          <w:color w:val="002C47" w:themeColor="accent1"/>
          <w:sz w:val="24"/>
        </w:rPr>
      </w:pPr>
      <w:r>
        <w:rPr>
          <w:rFonts w:ascii="Arial" w:hAnsi="Arial"/>
          <w:noProof/>
          <w:color w:val="002C47" w:themeColor="accent1"/>
          <w:sz w:val="24"/>
        </w:rPr>
        <w:drawing>
          <wp:inline distT="0" distB="0" distL="0" distR="0" wp14:anchorId="2FA98B18" wp14:editId="116672F7">
            <wp:extent cx="5878195" cy="2286000"/>
            <wp:effectExtent l="0" t="0" r="8255" b="0"/>
            <wp:docPr id="35" name="Picture 35" descr="This chart shows that he majority of migrants between the ages of 25 and 40 are skilled and family migrants for both primary and secondary visa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chart shows that he majority of migrants between the ages of 25 and 40 are skilled and family migrants for both primary and secondary visa holde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78195" cy="2286000"/>
                    </a:xfrm>
                    <a:prstGeom prst="rect">
                      <a:avLst/>
                    </a:prstGeom>
                    <a:noFill/>
                    <a:ln>
                      <a:noFill/>
                    </a:ln>
                  </pic:spPr>
                </pic:pic>
              </a:graphicData>
            </a:graphic>
          </wp:inline>
        </w:drawing>
      </w:r>
    </w:p>
    <w:p w14:paraId="2D96348A" w14:textId="321CC54E" w:rsidR="00801D07" w:rsidRDefault="00801D07" w:rsidP="0023028F">
      <w:pPr>
        <w:pStyle w:val="TableHeading1"/>
      </w:pPr>
      <w:r w:rsidRPr="00F70234">
        <w:t xml:space="preserve">Table </w:t>
      </w:r>
      <w:r w:rsidR="009B2AE6" w:rsidRPr="00F70234">
        <w:t>5</w:t>
      </w:r>
      <w:r w:rsidRPr="00F70234">
        <w:t>: Age distribution of 2018</w:t>
      </w:r>
      <w:r w:rsidR="00F62807" w:rsidRPr="00F70234">
        <w:t>–</w:t>
      </w:r>
      <w:r w:rsidRPr="00F70234">
        <w:t>19 migrant cohorts and overall Australian population</w:t>
      </w:r>
    </w:p>
    <w:tbl>
      <w:tblPr>
        <w:tblW w:w="9337" w:type="dxa"/>
        <w:tblLook w:val="04E0" w:firstRow="1" w:lastRow="1" w:firstColumn="1" w:lastColumn="0" w:noHBand="0" w:noVBand="1"/>
      </w:tblPr>
      <w:tblGrid>
        <w:gridCol w:w="2547"/>
        <w:gridCol w:w="1701"/>
        <w:gridCol w:w="1701"/>
        <w:gridCol w:w="1701"/>
        <w:gridCol w:w="1687"/>
      </w:tblGrid>
      <w:tr w:rsidR="00D7393C" w:rsidRPr="00D7393C" w14:paraId="06B84281" w14:textId="77777777" w:rsidTr="00762D26">
        <w:trPr>
          <w:trHeight w:val="270"/>
        </w:trPr>
        <w:tc>
          <w:tcPr>
            <w:tcW w:w="2547" w:type="dxa"/>
            <w:vMerge w:val="restart"/>
            <w:tcBorders>
              <w:top w:val="single" w:sz="4" w:space="0" w:color="auto"/>
              <w:left w:val="single" w:sz="4" w:space="0" w:color="auto"/>
              <w:bottom w:val="single" w:sz="4" w:space="0" w:color="000000"/>
              <w:right w:val="single" w:sz="4" w:space="0" w:color="auto"/>
            </w:tcBorders>
            <w:shd w:val="clear" w:color="000000" w:fill="CFDCEA"/>
            <w:vAlign w:val="center"/>
            <w:hideMark/>
          </w:tcPr>
          <w:p w14:paraId="0CE33E6B" w14:textId="77777777" w:rsidR="00D7393C" w:rsidRPr="00D7393C" w:rsidRDefault="00D7393C" w:rsidP="00D7393C">
            <w:pPr>
              <w:spacing w:after="0"/>
              <w:jc w:val="center"/>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Visa category</w:t>
            </w:r>
          </w:p>
        </w:tc>
        <w:tc>
          <w:tcPr>
            <w:tcW w:w="5103" w:type="dxa"/>
            <w:gridSpan w:val="3"/>
            <w:tcBorders>
              <w:top w:val="single" w:sz="4" w:space="0" w:color="auto"/>
              <w:left w:val="nil"/>
              <w:bottom w:val="single" w:sz="4" w:space="0" w:color="auto"/>
              <w:right w:val="single" w:sz="4" w:space="0" w:color="000000"/>
            </w:tcBorders>
            <w:shd w:val="clear" w:color="000000" w:fill="CFDCEA"/>
            <w:vAlign w:val="center"/>
            <w:hideMark/>
          </w:tcPr>
          <w:p w14:paraId="04DE3C5B" w14:textId="77777777" w:rsidR="00D7393C" w:rsidRPr="00D7393C" w:rsidRDefault="00D7393C" w:rsidP="00D7393C">
            <w:pPr>
              <w:spacing w:after="0"/>
              <w:jc w:val="center"/>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 xml:space="preserve">Proportion of age </w:t>
            </w:r>
          </w:p>
        </w:tc>
        <w:tc>
          <w:tcPr>
            <w:tcW w:w="1687" w:type="dxa"/>
            <w:vMerge w:val="restart"/>
            <w:tcBorders>
              <w:top w:val="single" w:sz="4" w:space="0" w:color="auto"/>
              <w:left w:val="single" w:sz="4" w:space="0" w:color="auto"/>
              <w:bottom w:val="single" w:sz="4" w:space="0" w:color="000000"/>
              <w:right w:val="single" w:sz="4" w:space="0" w:color="auto"/>
            </w:tcBorders>
            <w:shd w:val="clear" w:color="000000" w:fill="CFDCEA"/>
            <w:vAlign w:val="center"/>
            <w:hideMark/>
          </w:tcPr>
          <w:p w14:paraId="5CBE2C59" w14:textId="77777777" w:rsidR="00D7393C" w:rsidRPr="00D7393C" w:rsidRDefault="00D7393C" w:rsidP="00D7393C">
            <w:pPr>
              <w:spacing w:after="0"/>
              <w:jc w:val="center"/>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Average age</w:t>
            </w:r>
          </w:p>
        </w:tc>
      </w:tr>
      <w:tr w:rsidR="00D7393C" w:rsidRPr="00D7393C" w14:paraId="40B6C692" w14:textId="77777777" w:rsidTr="00762D26">
        <w:trPr>
          <w:trHeight w:val="386"/>
        </w:trPr>
        <w:tc>
          <w:tcPr>
            <w:tcW w:w="2547" w:type="dxa"/>
            <w:vMerge/>
            <w:tcBorders>
              <w:top w:val="single" w:sz="4" w:space="0" w:color="auto"/>
              <w:left w:val="single" w:sz="4" w:space="0" w:color="auto"/>
              <w:bottom w:val="single" w:sz="4" w:space="0" w:color="000000"/>
              <w:right w:val="single" w:sz="4" w:space="0" w:color="auto"/>
            </w:tcBorders>
            <w:vAlign w:val="center"/>
            <w:hideMark/>
          </w:tcPr>
          <w:p w14:paraId="65DBFF1D" w14:textId="77777777" w:rsidR="00D7393C" w:rsidRPr="00D7393C" w:rsidRDefault="00D7393C" w:rsidP="00D7393C">
            <w:pPr>
              <w:spacing w:after="0"/>
              <w:rPr>
                <w:rFonts w:ascii="Arial" w:eastAsia="Times New Roman" w:hAnsi="Arial" w:cs="Arial"/>
                <w:b/>
                <w:bCs/>
                <w:sz w:val="16"/>
                <w:szCs w:val="16"/>
                <w:lang w:eastAsia="en-AU"/>
              </w:rPr>
            </w:pPr>
          </w:p>
        </w:tc>
        <w:tc>
          <w:tcPr>
            <w:tcW w:w="1701" w:type="dxa"/>
            <w:tcBorders>
              <w:top w:val="nil"/>
              <w:left w:val="nil"/>
              <w:bottom w:val="single" w:sz="4" w:space="0" w:color="auto"/>
              <w:right w:val="single" w:sz="4" w:space="0" w:color="auto"/>
            </w:tcBorders>
            <w:shd w:val="clear" w:color="000000" w:fill="CFDCEA"/>
            <w:vAlign w:val="center"/>
            <w:hideMark/>
          </w:tcPr>
          <w:p w14:paraId="43D6FAD7" w14:textId="77777777" w:rsidR="00D7393C" w:rsidRPr="00D7393C" w:rsidRDefault="00D7393C" w:rsidP="00D7393C">
            <w:pPr>
              <w:spacing w:after="0"/>
              <w:jc w:val="center"/>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&lt; 18 years</w:t>
            </w:r>
          </w:p>
        </w:tc>
        <w:tc>
          <w:tcPr>
            <w:tcW w:w="1701" w:type="dxa"/>
            <w:tcBorders>
              <w:top w:val="nil"/>
              <w:left w:val="nil"/>
              <w:bottom w:val="single" w:sz="4" w:space="0" w:color="auto"/>
              <w:right w:val="single" w:sz="4" w:space="0" w:color="auto"/>
            </w:tcBorders>
            <w:shd w:val="clear" w:color="000000" w:fill="CFDCEA"/>
            <w:vAlign w:val="center"/>
            <w:hideMark/>
          </w:tcPr>
          <w:p w14:paraId="2961D4E3" w14:textId="77777777" w:rsidR="00D7393C" w:rsidRPr="00D7393C" w:rsidRDefault="00D7393C" w:rsidP="00D7393C">
            <w:pPr>
              <w:spacing w:after="0"/>
              <w:jc w:val="center"/>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18 to 64 years</w:t>
            </w:r>
          </w:p>
        </w:tc>
        <w:tc>
          <w:tcPr>
            <w:tcW w:w="1701" w:type="dxa"/>
            <w:tcBorders>
              <w:top w:val="nil"/>
              <w:left w:val="nil"/>
              <w:bottom w:val="single" w:sz="4" w:space="0" w:color="auto"/>
              <w:right w:val="single" w:sz="4" w:space="0" w:color="auto"/>
            </w:tcBorders>
            <w:shd w:val="clear" w:color="000000" w:fill="CFDCEA"/>
            <w:vAlign w:val="center"/>
            <w:hideMark/>
          </w:tcPr>
          <w:p w14:paraId="2930C695" w14:textId="77777777" w:rsidR="00D7393C" w:rsidRPr="00D7393C" w:rsidRDefault="00D7393C" w:rsidP="00D7393C">
            <w:pPr>
              <w:spacing w:after="0"/>
              <w:jc w:val="center"/>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65+ years</w:t>
            </w:r>
          </w:p>
        </w:tc>
        <w:tc>
          <w:tcPr>
            <w:tcW w:w="1687" w:type="dxa"/>
            <w:vMerge/>
            <w:tcBorders>
              <w:top w:val="single" w:sz="4" w:space="0" w:color="auto"/>
              <w:left w:val="single" w:sz="4" w:space="0" w:color="auto"/>
              <w:bottom w:val="single" w:sz="4" w:space="0" w:color="000000"/>
              <w:right w:val="single" w:sz="4" w:space="0" w:color="auto"/>
            </w:tcBorders>
            <w:vAlign w:val="center"/>
            <w:hideMark/>
          </w:tcPr>
          <w:p w14:paraId="4F3F0BDC" w14:textId="77777777" w:rsidR="00D7393C" w:rsidRPr="00D7393C" w:rsidRDefault="00D7393C" w:rsidP="00D7393C">
            <w:pPr>
              <w:spacing w:after="0"/>
              <w:rPr>
                <w:rFonts w:ascii="Arial" w:eastAsia="Times New Roman" w:hAnsi="Arial" w:cs="Arial"/>
                <w:b/>
                <w:bCs/>
                <w:sz w:val="16"/>
                <w:szCs w:val="16"/>
                <w:lang w:eastAsia="en-AU"/>
              </w:rPr>
            </w:pPr>
          </w:p>
        </w:tc>
      </w:tr>
      <w:tr w:rsidR="00D7393C" w:rsidRPr="00D7393C" w14:paraId="7D94C647" w14:textId="77777777" w:rsidTr="00762D26">
        <w:trPr>
          <w:trHeight w:val="257"/>
        </w:trPr>
        <w:tc>
          <w:tcPr>
            <w:tcW w:w="2547" w:type="dxa"/>
            <w:tcBorders>
              <w:top w:val="nil"/>
              <w:left w:val="single" w:sz="4" w:space="0" w:color="auto"/>
              <w:bottom w:val="single" w:sz="4" w:space="0" w:color="auto"/>
              <w:right w:val="single" w:sz="4" w:space="0" w:color="auto"/>
            </w:tcBorders>
            <w:shd w:val="clear" w:color="auto" w:fill="auto"/>
            <w:hideMark/>
          </w:tcPr>
          <w:p w14:paraId="3EECAC1A" w14:textId="77777777" w:rsidR="00D7393C" w:rsidRPr="00D7393C" w:rsidRDefault="00D7393C" w:rsidP="00D7393C">
            <w:pPr>
              <w:spacing w:after="0"/>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Skill</w:t>
            </w:r>
          </w:p>
        </w:tc>
        <w:tc>
          <w:tcPr>
            <w:tcW w:w="1701" w:type="dxa"/>
            <w:tcBorders>
              <w:top w:val="nil"/>
              <w:left w:val="nil"/>
              <w:bottom w:val="single" w:sz="4" w:space="0" w:color="auto"/>
              <w:right w:val="single" w:sz="4" w:space="0" w:color="auto"/>
            </w:tcBorders>
            <w:shd w:val="clear" w:color="auto" w:fill="auto"/>
            <w:hideMark/>
          </w:tcPr>
          <w:p w14:paraId="18932BDA"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24%</w:t>
            </w:r>
          </w:p>
        </w:tc>
        <w:tc>
          <w:tcPr>
            <w:tcW w:w="1701" w:type="dxa"/>
            <w:tcBorders>
              <w:top w:val="nil"/>
              <w:left w:val="nil"/>
              <w:bottom w:val="single" w:sz="4" w:space="0" w:color="auto"/>
              <w:right w:val="single" w:sz="4" w:space="0" w:color="auto"/>
            </w:tcBorders>
            <w:shd w:val="clear" w:color="auto" w:fill="auto"/>
            <w:hideMark/>
          </w:tcPr>
          <w:p w14:paraId="61060BD5"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76%</w:t>
            </w:r>
          </w:p>
        </w:tc>
        <w:tc>
          <w:tcPr>
            <w:tcW w:w="1701" w:type="dxa"/>
            <w:tcBorders>
              <w:top w:val="nil"/>
              <w:left w:val="nil"/>
              <w:bottom w:val="single" w:sz="4" w:space="0" w:color="auto"/>
              <w:right w:val="single" w:sz="4" w:space="0" w:color="auto"/>
            </w:tcBorders>
            <w:shd w:val="clear" w:color="auto" w:fill="auto"/>
            <w:hideMark/>
          </w:tcPr>
          <w:p w14:paraId="4000C8B7"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0%</w:t>
            </w:r>
          </w:p>
        </w:tc>
        <w:tc>
          <w:tcPr>
            <w:tcW w:w="1687" w:type="dxa"/>
            <w:tcBorders>
              <w:top w:val="nil"/>
              <w:left w:val="nil"/>
              <w:bottom w:val="single" w:sz="4" w:space="0" w:color="auto"/>
              <w:right w:val="single" w:sz="4" w:space="0" w:color="auto"/>
            </w:tcBorders>
            <w:shd w:val="clear" w:color="auto" w:fill="auto"/>
            <w:hideMark/>
          </w:tcPr>
          <w:p w14:paraId="7920E241"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27</w:t>
            </w:r>
          </w:p>
        </w:tc>
      </w:tr>
      <w:tr w:rsidR="00D7393C" w:rsidRPr="00D7393C" w14:paraId="585A61C9" w14:textId="77777777" w:rsidTr="00762D26">
        <w:trPr>
          <w:trHeight w:val="257"/>
        </w:trPr>
        <w:tc>
          <w:tcPr>
            <w:tcW w:w="2547" w:type="dxa"/>
            <w:tcBorders>
              <w:top w:val="nil"/>
              <w:left w:val="single" w:sz="4" w:space="0" w:color="auto"/>
              <w:bottom w:val="single" w:sz="4" w:space="0" w:color="auto"/>
              <w:right w:val="single" w:sz="4" w:space="0" w:color="auto"/>
            </w:tcBorders>
            <w:shd w:val="clear" w:color="auto" w:fill="auto"/>
            <w:hideMark/>
          </w:tcPr>
          <w:p w14:paraId="4F879CEF" w14:textId="77777777" w:rsidR="00D7393C" w:rsidRPr="00D7393C" w:rsidRDefault="00D7393C" w:rsidP="00D7393C">
            <w:pPr>
              <w:spacing w:after="0"/>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Family</w:t>
            </w:r>
          </w:p>
        </w:tc>
        <w:tc>
          <w:tcPr>
            <w:tcW w:w="1701" w:type="dxa"/>
            <w:tcBorders>
              <w:top w:val="nil"/>
              <w:left w:val="nil"/>
              <w:bottom w:val="single" w:sz="4" w:space="0" w:color="auto"/>
              <w:right w:val="single" w:sz="4" w:space="0" w:color="auto"/>
            </w:tcBorders>
            <w:shd w:val="clear" w:color="auto" w:fill="auto"/>
            <w:hideMark/>
          </w:tcPr>
          <w:p w14:paraId="209C6281"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15%</w:t>
            </w:r>
          </w:p>
        </w:tc>
        <w:tc>
          <w:tcPr>
            <w:tcW w:w="1701" w:type="dxa"/>
            <w:tcBorders>
              <w:top w:val="nil"/>
              <w:left w:val="nil"/>
              <w:bottom w:val="single" w:sz="4" w:space="0" w:color="auto"/>
              <w:right w:val="single" w:sz="4" w:space="0" w:color="auto"/>
            </w:tcBorders>
            <w:shd w:val="clear" w:color="auto" w:fill="auto"/>
            <w:hideMark/>
          </w:tcPr>
          <w:p w14:paraId="2A7BB4FF"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79%</w:t>
            </w:r>
          </w:p>
        </w:tc>
        <w:tc>
          <w:tcPr>
            <w:tcW w:w="1701" w:type="dxa"/>
            <w:tcBorders>
              <w:top w:val="nil"/>
              <w:left w:val="nil"/>
              <w:bottom w:val="single" w:sz="4" w:space="0" w:color="auto"/>
              <w:right w:val="single" w:sz="4" w:space="0" w:color="auto"/>
            </w:tcBorders>
            <w:shd w:val="clear" w:color="auto" w:fill="auto"/>
            <w:hideMark/>
          </w:tcPr>
          <w:p w14:paraId="66DB7513"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6%</w:t>
            </w:r>
          </w:p>
        </w:tc>
        <w:tc>
          <w:tcPr>
            <w:tcW w:w="1687" w:type="dxa"/>
            <w:tcBorders>
              <w:top w:val="nil"/>
              <w:left w:val="nil"/>
              <w:bottom w:val="single" w:sz="4" w:space="0" w:color="auto"/>
              <w:right w:val="single" w:sz="4" w:space="0" w:color="auto"/>
            </w:tcBorders>
            <w:shd w:val="clear" w:color="auto" w:fill="auto"/>
            <w:hideMark/>
          </w:tcPr>
          <w:p w14:paraId="0C273CF6"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33</w:t>
            </w:r>
          </w:p>
        </w:tc>
      </w:tr>
      <w:tr w:rsidR="00D7393C" w:rsidRPr="00D7393C" w14:paraId="4FA72388" w14:textId="77777777" w:rsidTr="00762D26">
        <w:trPr>
          <w:trHeight w:val="279"/>
        </w:trPr>
        <w:tc>
          <w:tcPr>
            <w:tcW w:w="2547" w:type="dxa"/>
            <w:tcBorders>
              <w:top w:val="nil"/>
              <w:left w:val="single" w:sz="4" w:space="0" w:color="auto"/>
              <w:bottom w:val="single" w:sz="4" w:space="0" w:color="auto"/>
              <w:right w:val="single" w:sz="4" w:space="0" w:color="auto"/>
            </w:tcBorders>
            <w:shd w:val="clear" w:color="auto" w:fill="auto"/>
            <w:hideMark/>
          </w:tcPr>
          <w:p w14:paraId="1E66539C" w14:textId="77777777" w:rsidR="00D7393C" w:rsidRPr="00D7393C" w:rsidRDefault="00D7393C" w:rsidP="00D7393C">
            <w:pPr>
              <w:spacing w:after="0"/>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Humanitarian</w:t>
            </w:r>
          </w:p>
        </w:tc>
        <w:tc>
          <w:tcPr>
            <w:tcW w:w="1701" w:type="dxa"/>
            <w:tcBorders>
              <w:top w:val="nil"/>
              <w:left w:val="nil"/>
              <w:bottom w:val="single" w:sz="4" w:space="0" w:color="auto"/>
              <w:right w:val="single" w:sz="4" w:space="0" w:color="auto"/>
            </w:tcBorders>
            <w:shd w:val="clear" w:color="auto" w:fill="auto"/>
            <w:hideMark/>
          </w:tcPr>
          <w:p w14:paraId="56A23740"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40%</w:t>
            </w:r>
          </w:p>
        </w:tc>
        <w:tc>
          <w:tcPr>
            <w:tcW w:w="1701" w:type="dxa"/>
            <w:tcBorders>
              <w:top w:val="nil"/>
              <w:left w:val="nil"/>
              <w:bottom w:val="single" w:sz="4" w:space="0" w:color="auto"/>
              <w:right w:val="single" w:sz="4" w:space="0" w:color="auto"/>
            </w:tcBorders>
            <w:shd w:val="clear" w:color="auto" w:fill="auto"/>
            <w:hideMark/>
          </w:tcPr>
          <w:p w14:paraId="282E7934"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56%</w:t>
            </w:r>
          </w:p>
        </w:tc>
        <w:tc>
          <w:tcPr>
            <w:tcW w:w="1701" w:type="dxa"/>
            <w:tcBorders>
              <w:top w:val="nil"/>
              <w:left w:val="nil"/>
              <w:bottom w:val="single" w:sz="4" w:space="0" w:color="auto"/>
              <w:right w:val="single" w:sz="4" w:space="0" w:color="auto"/>
            </w:tcBorders>
            <w:shd w:val="clear" w:color="auto" w:fill="auto"/>
            <w:hideMark/>
          </w:tcPr>
          <w:p w14:paraId="19EC8966"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4%</w:t>
            </w:r>
          </w:p>
        </w:tc>
        <w:tc>
          <w:tcPr>
            <w:tcW w:w="1687" w:type="dxa"/>
            <w:tcBorders>
              <w:top w:val="nil"/>
              <w:left w:val="nil"/>
              <w:bottom w:val="single" w:sz="4" w:space="0" w:color="auto"/>
              <w:right w:val="single" w:sz="4" w:space="0" w:color="auto"/>
            </w:tcBorders>
            <w:shd w:val="clear" w:color="auto" w:fill="auto"/>
            <w:hideMark/>
          </w:tcPr>
          <w:p w14:paraId="225FC8CD"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26</w:t>
            </w:r>
          </w:p>
        </w:tc>
      </w:tr>
      <w:tr w:rsidR="00D7393C" w:rsidRPr="00D7393C" w14:paraId="35776AFA" w14:textId="77777777" w:rsidTr="00762D26">
        <w:trPr>
          <w:trHeight w:val="283"/>
        </w:trPr>
        <w:tc>
          <w:tcPr>
            <w:tcW w:w="2547" w:type="dxa"/>
            <w:tcBorders>
              <w:top w:val="nil"/>
              <w:left w:val="single" w:sz="4" w:space="0" w:color="auto"/>
              <w:bottom w:val="single" w:sz="4" w:space="0" w:color="auto"/>
              <w:right w:val="single" w:sz="4" w:space="0" w:color="auto"/>
            </w:tcBorders>
            <w:shd w:val="clear" w:color="auto" w:fill="auto"/>
            <w:hideMark/>
          </w:tcPr>
          <w:p w14:paraId="5A0B080C" w14:textId="77777777" w:rsidR="00D7393C" w:rsidRPr="00D7393C" w:rsidRDefault="00D7393C" w:rsidP="00D7393C">
            <w:pPr>
              <w:spacing w:after="0"/>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 xml:space="preserve">Total 2018–19 migrant cohort </w:t>
            </w:r>
          </w:p>
        </w:tc>
        <w:tc>
          <w:tcPr>
            <w:tcW w:w="1701" w:type="dxa"/>
            <w:tcBorders>
              <w:top w:val="nil"/>
              <w:left w:val="nil"/>
              <w:bottom w:val="single" w:sz="4" w:space="0" w:color="auto"/>
              <w:right w:val="single" w:sz="4" w:space="0" w:color="auto"/>
            </w:tcBorders>
            <w:shd w:val="clear" w:color="auto" w:fill="auto"/>
            <w:hideMark/>
          </w:tcPr>
          <w:p w14:paraId="7440A6EC"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23%</w:t>
            </w:r>
          </w:p>
        </w:tc>
        <w:tc>
          <w:tcPr>
            <w:tcW w:w="1701" w:type="dxa"/>
            <w:tcBorders>
              <w:top w:val="nil"/>
              <w:left w:val="nil"/>
              <w:bottom w:val="single" w:sz="4" w:space="0" w:color="auto"/>
              <w:right w:val="single" w:sz="4" w:space="0" w:color="auto"/>
            </w:tcBorders>
            <w:shd w:val="clear" w:color="auto" w:fill="auto"/>
            <w:hideMark/>
          </w:tcPr>
          <w:p w14:paraId="6F50A185"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75%</w:t>
            </w:r>
          </w:p>
        </w:tc>
        <w:tc>
          <w:tcPr>
            <w:tcW w:w="1701" w:type="dxa"/>
            <w:tcBorders>
              <w:top w:val="nil"/>
              <w:left w:val="nil"/>
              <w:bottom w:val="single" w:sz="4" w:space="0" w:color="auto"/>
              <w:right w:val="single" w:sz="4" w:space="0" w:color="auto"/>
            </w:tcBorders>
            <w:shd w:val="clear" w:color="auto" w:fill="auto"/>
            <w:hideMark/>
          </w:tcPr>
          <w:p w14:paraId="035159D7"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2%</w:t>
            </w:r>
          </w:p>
        </w:tc>
        <w:tc>
          <w:tcPr>
            <w:tcW w:w="1687" w:type="dxa"/>
            <w:tcBorders>
              <w:top w:val="nil"/>
              <w:left w:val="nil"/>
              <w:bottom w:val="single" w:sz="4" w:space="0" w:color="auto"/>
              <w:right w:val="single" w:sz="4" w:space="0" w:color="auto"/>
            </w:tcBorders>
            <w:shd w:val="clear" w:color="auto" w:fill="auto"/>
            <w:hideMark/>
          </w:tcPr>
          <w:p w14:paraId="62F03D95"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29</w:t>
            </w:r>
          </w:p>
        </w:tc>
      </w:tr>
      <w:tr w:rsidR="00D7393C" w:rsidRPr="00D7393C" w14:paraId="5B42ABFB" w14:textId="77777777" w:rsidTr="00762D26">
        <w:trPr>
          <w:trHeight w:val="287"/>
        </w:trPr>
        <w:tc>
          <w:tcPr>
            <w:tcW w:w="2547" w:type="dxa"/>
            <w:tcBorders>
              <w:top w:val="nil"/>
              <w:left w:val="single" w:sz="4" w:space="0" w:color="auto"/>
              <w:bottom w:val="single" w:sz="4" w:space="0" w:color="auto"/>
              <w:right w:val="single" w:sz="4" w:space="0" w:color="auto"/>
            </w:tcBorders>
            <w:shd w:val="clear" w:color="auto" w:fill="auto"/>
            <w:hideMark/>
          </w:tcPr>
          <w:p w14:paraId="414FCE3D" w14:textId="77777777" w:rsidR="00D7393C" w:rsidRPr="00D7393C" w:rsidRDefault="00D7393C" w:rsidP="00D7393C">
            <w:pPr>
              <w:spacing w:after="0"/>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Australian population</w:t>
            </w:r>
          </w:p>
        </w:tc>
        <w:tc>
          <w:tcPr>
            <w:tcW w:w="1701" w:type="dxa"/>
            <w:tcBorders>
              <w:top w:val="nil"/>
              <w:left w:val="nil"/>
              <w:bottom w:val="single" w:sz="4" w:space="0" w:color="auto"/>
              <w:right w:val="single" w:sz="4" w:space="0" w:color="auto"/>
            </w:tcBorders>
            <w:shd w:val="clear" w:color="auto" w:fill="auto"/>
            <w:hideMark/>
          </w:tcPr>
          <w:p w14:paraId="2DA7D6B3"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23%</w:t>
            </w:r>
          </w:p>
        </w:tc>
        <w:tc>
          <w:tcPr>
            <w:tcW w:w="1701" w:type="dxa"/>
            <w:tcBorders>
              <w:top w:val="nil"/>
              <w:left w:val="nil"/>
              <w:bottom w:val="single" w:sz="4" w:space="0" w:color="auto"/>
              <w:right w:val="single" w:sz="4" w:space="0" w:color="auto"/>
            </w:tcBorders>
            <w:shd w:val="clear" w:color="auto" w:fill="auto"/>
            <w:hideMark/>
          </w:tcPr>
          <w:p w14:paraId="1AE45105"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61%</w:t>
            </w:r>
          </w:p>
        </w:tc>
        <w:tc>
          <w:tcPr>
            <w:tcW w:w="1701" w:type="dxa"/>
            <w:tcBorders>
              <w:top w:val="nil"/>
              <w:left w:val="nil"/>
              <w:bottom w:val="single" w:sz="4" w:space="0" w:color="auto"/>
              <w:right w:val="single" w:sz="4" w:space="0" w:color="auto"/>
            </w:tcBorders>
            <w:shd w:val="clear" w:color="auto" w:fill="auto"/>
            <w:hideMark/>
          </w:tcPr>
          <w:p w14:paraId="4404E4F0"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16%</w:t>
            </w:r>
          </w:p>
        </w:tc>
        <w:tc>
          <w:tcPr>
            <w:tcW w:w="1687" w:type="dxa"/>
            <w:tcBorders>
              <w:top w:val="nil"/>
              <w:left w:val="nil"/>
              <w:bottom w:val="single" w:sz="4" w:space="0" w:color="auto"/>
              <w:right w:val="single" w:sz="4" w:space="0" w:color="auto"/>
            </w:tcBorders>
            <w:shd w:val="clear" w:color="auto" w:fill="auto"/>
            <w:hideMark/>
          </w:tcPr>
          <w:p w14:paraId="0ACFA6E7"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Arial"/>
                <w:sz w:val="16"/>
                <w:szCs w:val="16"/>
                <w:lang w:eastAsia="en-AU"/>
              </w:rPr>
              <w:t>38</w:t>
            </w:r>
          </w:p>
        </w:tc>
      </w:tr>
    </w:tbl>
    <w:p w14:paraId="2FE13D1B" w14:textId="5B704E66" w:rsidR="007002C2" w:rsidRDefault="00801D07" w:rsidP="00762D26">
      <w:pPr>
        <w:spacing w:before="240"/>
      </w:pPr>
      <w:r>
        <w:t xml:space="preserve">The </w:t>
      </w:r>
      <w:r w:rsidR="007002C2">
        <w:t xml:space="preserve">importance of age at arrival </w:t>
      </w:r>
      <w:r w:rsidR="00022FD0">
        <w:t>on</w:t>
      </w:r>
      <w:r w:rsidR="007002C2">
        <w:t xml:space="preserve"> FIONA</w:t>
      </w:r>
      <w:r w:rsidR="00022FD0">
        <w:t xml:space="preserve"> results</w:t>
      </w:r>
      <w:r w:rsidR="007002C2">
        <w:t xml:space="preserve"> is demonstrated in Chart </w:t>
      </w:r>
      <w:r w:rsidR="009B2AE6">
        <w:t>10</w:t>
      </w:r>
      <w:r w:rsidR="007002C2">
        <w:t xml:space="preserve">, which shows the lifetime </w:t>
      </w:r>
      <w:r w:rsidR="00D873A7">
        <w:t xml:space="preserve">fiscal impact (as a net present value) </w:t>
      </w:r>
      <w:r w:rsidR="007002C2">
        <w:t xml:space="preserve">for </w:t>
      </w:r>
      <w:r w:rsidR="006B195E">
        <w:t>migrants arriving at different ages. For all migrant streams, lifetime fiscal impact is highest when a migrant arrives early in their working life.</w:t>
      </w:r>
      <w:r w:rsidR="006B195E" w:rsidRPr="00C84795">
        <w:t xml:space="preserve"> </w:t>
      </w:r>
      <w:r w:rsidR="006B195E">
        <w:t>This pattern is similar for the Commonwealth and States, although there is a larger difference</w:t>
      </w:r>
      <w:r w:rsidR="0010213F">
        <w:t xml:space="preserve"> for</w:t>
      </w:r>
      <w:r w:rsidR="006B195E">
        <w:t xml:space="preserve"> the Commonwealth.</w:t>
      </w:r>
    </w:p>
    <w:p w14:paraId="57DF070D" w14:textId="6EDB260A" w:rsidR="00801D07" w:rsidRPr="00A42160" w:rsidRDefault="00351A06" w:rsidP="00A569C7">
      <w:pPr>
        <w:pStyle w:val="ChartMainHeading"/>
        <w:rPr>
          <w:spacing w:val="-2"/>
        </w:rPr>
      </w:pPr>
      <w:r w:rsidRPr="00A42160">
        <w:rPr>
          <w:spacing w:val="-2"/>
        </w:rPr>
        <w:lastRenderedPageBreak/>
        <w:t xml:space="preserve">Chart </w:t>
      </w:r>
      <w:r w:rsidR="009B2AE6" w:rsidRPr="00A42160">
        <w:rPr>
          <w:spacing w:val="-2"/>
        </w:rPr>
        <w:t>10</w:t>
      </w:r>
      <w:r w:rsidRPr="00A42160">
        <w:rPr>
          <w:spacing w:val="-2"/>
        </w:rPr>
        <w:t>:</w:t>
      </w:r>
      <w:r w:rsidR="00801D07" w:rsidRPr="00A42160">
        <w:rPr>
          <w:spacing w:val="-2"/>
        </w:rPr>
        <w:t xml:space="preserve"> Average lifetime fiscal impact by visa stream, age at arrival and level of government </w:t>
      </w:r>
    </w:p>
    <w:p w14:paraId="3E7E8A5C" w14:textId="019D720F" w:rsidR="00C6413C" w:rsidRPr="00202786" w:rsidRDefault="00A42160" w:rsidP="00202786">
      <w:pPr>
        <w:rPr>
          <w:rFonts w:ascii="Arial" w:hAnsi="Arial"/>
          <w:color w:val="002C47" w:themeColor="accent1"/>
          <w:sz w:val="24"/>
        </w:rPr>
      </w:pPr>
      <w:r>
        <w:rPr>
          <w:noProof/>
        </w:rPr>
        <w:drawing>
          <wp:inline distT="0" distB="0" distL="0" distR="0" wp14:anchorId="27FAE5E7" wp14:editId="1EB48B9D">
            <wp:extent cx="5904230" cy="2260600"/>
            <wp:effectExtent l="0" t="0" r="1270" b="6350"/>
            <wp:docPr id="12" name="Picture 12" descr="This chart shows that migrants who arrive at younger ages tend to have a more positive fiscal impact as they spend a higher proportion of their time in Australia participating in the workforce. Dots on this chart shows the average age at arrival for the migrant stream, and that migrants being younger than the Australian population is an important factor in lifetime fiscal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chart shows that migrants who arrive at younger ages tend to have a more positive fiscal impact as they spend a higher proportion of their time in Australia participating in the workforce. Dots on this chart shows the average age at arrival for the migrant stream, and that migrants being younger than the Australian population is an important factor in lifetime fiscal impa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230" cy="2260600"/>
                    </a:xfrm>
                    <a:prstGeom prst="rect">
                      <a:avLst/>
                    </a:prstGeom>
                    <a:noFill/>
                    <a:ln>
                      <a:noFill/>
                    </a:ln>
                  </pic:spPr>
                </pic:pic>
              </a:graphicData>
            </a:graphic>
          </wp:inline>
        </w:drawing>
      </w:r>
      <w:r w:rsidR="00C6413C" w:rsidRPr="00F620A2">
        <w:rPr>
          <w:sz w:val="18"/>
          <w:szCs w:val="18"/>
          <w:lang w:val="en-US" w:eastAsia="en-AU"/>
        </w:rPr>
        <w:t xml:space="preserve">Note: Each dot on the chart represents the average age </w:t>
      </w:r>
      <w:r w:rsidR="008C2521">
        <w:rPr>
          <w:sz w:val="18"/>
          <w:szCs w:val="18"/>
          <w:lang w:val="en-US" w:eastAsia="en-AU"/>
        </w:rPr>
        <w:t>of permanent visa grant</w:t>
      </w:r>
      <w:r w:rsidR="00C6413C" w:rsidRPr="00F620A2">
        <w:rPr>
          <w:sz w:val="18"/>
          <w:szCs w:val="18"/>
          <w:lang w:val="en-US" w:eastAsia="en-AU"/>
        </w:rPr>
        <w:t>.</w:t>
      </w:r>
    </w:p>
    <w:p w14:paraId="3BDAA183" w14:textId="32A9A14C" w:rsidR="00801D07" w:rsidRPr="00044E2B" w:rsidRDefault="00801D07" w:rsidP="001A66C0">
      <w:pPr>
        <w:pStyle w:val="Heading3"/>
      </w:pPr>
      <w:bookmarkStart w:id="38" w:name="_Toc77175226"/>
      <w:r w:rsidRPr="00044E2B">
        <w:t xml:space="preserve">Skilled migrants have </w:t>
      </w:r>
      <w:r>
        <w:t>strong</w:t>
      </w:r>
      <w:r w:rsidRPr="00044E2B">
        <w:t xml:space="preserve"> </w:t>
      </w:r>
      <w:proofErr w:type="spellStart"/>
      <w:r w:rsidRPr="00044E2B">
        <w:t>labour</w:t>
      </w:r>
      <w:proofErr w:type="spellEnd"/>
      <w:r w:rsidRPr="00044E2B">
        <w:t xml:space="preserve"> </w:t>
      </w:r>
      <w:r>
        <w:t>market outcomes</w:t>
      </w:r>
      <w:bookmarkEnd w:id="38"/>
      <w:r>
        <w:t xml:space="preserve"> </w:t>
      </w:r>
    </w:p>
    <w:p w14:paraId="4D72F31C" w14:textId="3D969186" w:rsidR="00801D07" w:rsidRDefault="00801D07" w:rsidP="007F0F36">
      <w:r>
        <w:t>Along with age at arrival, the other major determinant of lifetime fiscal impact estimated in FIONA is the projected amount of personal income tax paid, which in turn is driven by expected labour market outcomes</w:t>
      </w:r>
      <w:r w:rsidR="00C2430B">
        <w:t xml:space="preserve"> for </w:t>
      </w:r>
      <w:r w:rsidR="008C2521">
        <w:t>different groups of migrants</w:t>
      </w:r>
      <w:r>
        <w:t xml:space="preserve">. FIONA </w:t>
      </w:r>
      <w:r w:rsidR="00C2430B">
        <w:t xml:space="preserve">models: </w:t>
      </w:r>
    </w:p>
    <w:p w14:paraId="4DE54ED0" w14:textId="7F319F99" w:rsidR="00801D07" w:rsidRPr="007F0F36" w:rsidRDefault="00801D07" w:rsidP="007F0F36">
      <w:pPr>
        <w:pStyle w:val="Bullet"/>
      </w:pPr>
      <w:r w:rsidRPr="007F0F36">
        <w:t xml:space="preserve">The likelihood of being employed </w:t>
      </w:r>
      <w:r w:rsidR="00C2430B" w:rsidRPr="007F0F36">
        <w:t xml:space="preserve">each year </w:t>
      </w:r>
      <w:r w:rsidRPr="007F0F36">
        <w:t>(based on participation and employment rates).</w:t>
      </w:r>
    </w:p>
    <w:p w14:paraId="710D7300" w14:textId="1ED6C62F" w:rsidR="00801D07" w:rsidRPr="007F0F36" w:rsidRDefault="00801D07" w:rsidP="007F0F36">
      <w:pPr>
        <w:pStyle w:val="Bullet"/>
      </w:pPr>
      <w:r w:rsidRPr="007F0F36">
        <w:t xml:space="preserve">The distribution of </w:t>
      </w:r>
      <w:r w:rsidR="00C2430B" w:rsidRPr="007F0F36">
        <w:t xml:space="preserve">labour </w:t>
      </w:r>
      <w:r w:rsidRPr="007F0F36">
        <w:t>income, conditional on being employed.</w:t>
      </w:r>
    </w:p>
    <w:p w14:paraId="2C01C75B" w14:textId="4E7A67BC" w:rsidR="00801D07" w:rsidRDefault="00801D07" w:rsidP="007F0F36">
      <w:r w:rsidRPr="004663B7">
        <w:t xml:space="preserve">Skilled primary migrants are </w:t>
      </w:r>
      <w:r w:rsidR="00DD0297">
        <w:t xml:space="preserve">more </w:t>
      </w:r>
      <w:r w:rsidRPr="004663B7">
        <w:t xml:space="preserve">likely to be employed, and to have a higher paying job, </w:t>
      </w:r>
      <w:r w:rsidR="00DD0297">
        <w:t xml:space="preserve">than </w:t>
      </w:r>
      <w:r w:rsidRPr="004663B7">
        <w:t>the population</w:t>
      </w:r>
      <w:r w:rsidR="00DD0297">
        <w:t xml:space="preserve"> overall</w:t>
      </w:r>
      <w:r w:rsidRPr="004663B7">
        <w:t>.</w:t>
      </w:r>
      <w:r w:rsidR="00FE68FE">
        <w:t xml:space="preserve"> </w:t>
      </w:r>
      <w:r w:rsidRPr="004663B7">
        <w:t xml:space="preserve">This is consistent with the intent of </w:t>
      </w:r>
      <w:r w:rsidR="00AA3317">
        <w:t>the Skill stream</w:t>
      </w:r>
      <w:r w:rsidRPr="004663B7">
        <w:t>, which is designed to attract migrants who make a significant contribution to Australian economy, and fill positions where no Australian workers are available.</w:t>
      </w:r>
      <w:r w:rsidR="00FE68FE">
        <w:t xml:space="preserve"> </w:t>
      </w:r>
      <w:r w:rsidRPr="004663B7">
        <w:t xml:space="preserve">In contrast, migrants arriving on </w:t>
      </w:r>
      <w:r w:rsidR="0003128E">
        <w:t>F</w:t>
      </w:r>
      <w:r w:rsidRPr="004663B7">
        <w:t xml:space="preserve">amily, </w:t>
      </w:r>
      <w:r w:rsidR="003170BA">
        <w:t>H</w:t>
      </w:r>
      <w:r w:rsidRPr="004663B7">
        <w:t xml:space="preserve">umanitarian and </w:t>
      </w:r>
      <w:r w:rsidR="003170BA">
        <w:t>S</w:t>
      </w:r>
      <w:r w:rsidRPr="004663B7">
        <w:t xml:space="preserve">kill secondary visas, are less likely to be employed or to earn as much as the average Australian. </w:t>
      </w:r>
    </w:p>
    <w:p w14:paraId="5B49A761" w14:textId="1E976B24" w:rsidR="00801D07" w:rsidRDefault="009C70DF" w:rsidP="007F0F36">
      <w:r>
        <w:t>C</w:t>
      </w:r>
      <w:r w:rsidR="00801D07">
        <w:t xml:space="preserve">hart </w:t>
      </w:r>
      <w:r w:rsidR="006B195E">
        <w:t>1</w:t>
      </w:r>
      <w:r w:rsidR="009B2AE6">
        <w:t>1</w:t>
      </w:r>
      <w:r w:rsidR="006B195E">
        <w:t xml:space="preserve"> </w:t>
      </w:r>
      <w:r w:rsidR="00801D07">
        <w:t xml:space="preserve">shows the relative likelihood of employment for migrant groups compared to Australians of the same age. A value of </w:t>
      </w:r>
      <w:r w:rsidR="006E615F">
        <w:t xml:space="preserve">zero </w:t>
      </w:r>
      <w:r w:rsidR="00801D07">
        <w:t xml:space="preserve">in the chart below would mean that migrants have the same likelihood of employment as Australians of the same age, while a value of </w:t>
      </w:r>
      <w:r w:rsidR="006E615F">
        <w:t>10</w:t>
      </w:r>
      <w:r w:rsidR="00C2430B">
        <w:t xml:space="preserve"> per cent</w:t>
      </w:r>
      <w:r w:rsidR="00801D07">
        <w:t xml:space="preserve"> would mean that </w:t>
      </w:r>
      <w:r w:rsidR="006E615F">
        <w:t xml:space="preserve">migrants </w:t>
      </w:r>
      <w:r w:rsidR="00801D07">
        <w:t xml:space="preserve">are </w:t>
      </w:r>
      <w:r w:rsidR="006E615F">
        <w:t xml:space="preserve">10 </w:t>
      </w:r>
      <w:r w:rsidR="00DD0297">
        <w:t>per cent</w:t>
      </w:r>
      <w:r w:rsidR="00801D07">
        <w:t xml:space="preserve"> more likely to be employed compared to </w:t>
      </w:r>
      <w:r w:rsidR="00EE4402">
        <w:t>the</w:t>
      </w:r>
      <w:r w:rsidR="00C2430B">
        <w:t xml:space="preserve"> </w:t>
      </w:r>
      <w:r w:rsidR="00801D07">
        <w:t>Australian</w:t>
      </w:r>
      <w:r w:rsidR="00EE4402">
        <w:t xml:space="preserve"> average</w:t>
      </w:r>
      <w:r w:rsidR="00801D07">
        <w:t xml:space="preserve"> </w:t>
      </w:r>
      <w:r w:rsidR="00EE4402">
        <w:t>at</w:t>
      </w:r>
      <w:r w:rsidR="00801D07">
        <w:t xml:space="preserve"> the same age. This chart also shows that there is a ‘settling’ period in which some migrants have a lower level of labour market participation in the years immediately following migration.</w:t>
      </w:r>
    </w:p>
    <w:p w14:paraId="0A642534" w14:textId="4F9EF9A3" w:rsidR="006B195E" w:rsidRPr="00A569C7" w:rsidRDefault="00801D07" w:rsidP="0023028F">
      <w:pPr>
        <w:pStyle w:val="TableHeading1"/>
        <w:rPr>
          <w:rFonts w:asciiTheme="majorHAnsi" w:eastAsia="Times New Roman" w:hAnsiTheme="majorHAnsi" w:cs="Times New Roman"/>
          <w:b/>
          <w:szCs w:val="20"/>
          <w:lang w:eastAsia="en-AU"/>
        </w:rPr>
      </w:pPr>
      <w:r w:rsidRPr="00A569C7">
        <w:rPr>
          <w:rFonts w:asciiTheme="majorHAnsi" w:eastAsia="Times New Roman" w:hAnsiTheme="majorHAnsi" w:cs="Times New Roman"/>
          <w:b/>
          <w:szCs w:val="20"/>
          <w:lang w:eastAsia="en-AU"/>
        </w:rPr>
        <w:lastRenderedPageBreak/>
        <w:t xml:space="preserve">Chart </w:t>
      </w:r>
      <w:r w:rsidR="000D234B" w:rsidRPr="00A569C7">
        <w:rPr>
          <w:rFonts w:asciiTheme="majorHAnsi" w:eastAsia="Times New Roman" w:hAnsiTheme="majorHAnsi" w:cs="Times New Roman"/>
          <w:b/>
          <w:szCs w:val="20"/>
          <w:lang w:eastAsia="en-AU"/>
        </w:rPr>
        <w:t>1</w:t>
      </w:r>
      <w:r w:rsidR="009B2AE6" w:rsidRPr="00A569C7">
        <w:rPr>
          <w:rFonts w:asciiTheme="majorHAnsi" w:eastAsia="Times New Roman" w:hAnsiTheme="majorHAnsi" w:cs="Times New Roman"/>
          <w:b/>
          <w:szCs w:val="20"/>
          <w:lang w:eastAsia="en-AU"/>
        </w:rPr>
        <w:t>1</w:t>
      </w:r>
      <w:r w:rsidR="00860A05" w:rsidRPr="00A569C7">
        <w:rPr>
          <w:rFonts w:asciiTheme="majorHAnsi" w:eastAsia="Times New Roman" w:hAnsiTheme="majorHAnsi" w:cs="Times New Roman"/>
          <w:b/>
          <w:szCs w:val="20"/>
          <w:lang w:eastAsia="en-AU"/>
        </w:rPr>
        <w:t>:</w:t>
      </w:r>
      <w:r w:rsidRPr="00A569C7">
        <w:rPr>
          <w:rFonts w:asciiTheme="majorHAnsi" w:eastAsia="Times New Roman" w:hAnsiTheme="majorHAnsi" w:cs="Times New Roman"/>
          <w:b/>
          <w:szCs w:val="20"/>
          <w:lang w:eastAsia="en-AU"/>
        </w:rPr>
        <w:t xml:space="preserve"> </w:t>
      </w:r>
      <w:r w:rsidR="00815B10" w:rsidRPr="00A569C7">
        <w:rPr>
          <w:rFonts w:asciiTheme="majorHAnsi" w:eastAsia="Times New Roman" w:hAnsiTheme="majorHAnsi" w:cs="Times New Roman"/>
          <w:b/>
          <w:szCs w:val="20"/>
          <w:lang w:eastAsia="en-AU"/>
        </w:rPr>
        <w:t>Migrant employment differences from Australian population after arrival in Australia</w:t>
      </w:r>
    </w:p>
    <w:p w14:paraId="30E546E2" w14:textId="005002DD" w:rsidR="007252B8" w:rsidRPr="006C184F" w:rsidRDefault="00BA1B01" w:rsidP="006C184F">
      <w:pPr>
        <w:rPr>
          <w:rFonts w:ascii="Arial" w:hAnsi="Arial"/>
          <w:color w:val="002C47" w:themeColor="accent1"/>
          <w:sz w:val="24"/>
        </w:rPr>
      </w:pPr>
      <w:r>
        <w:rPr>
          <w:noProof/>
          <w:sz w:val="18"/>
          <w:szCs w:val="18"/>
        </w:rPr>
        <w:drawing>
          <wp:inline distT="0" distB="0" distL="0" distR="0" wp14:anchorId="719FB686" wp14:editId="2CF723D3">
            <wp:extent cx="5904230" cy="2270760"/>
            <wp:effectExtent l="0" t="0" r="1270" b="0"/>
            <wp:docPr id="11" name="Picture 11" descr="This chart shows that skilled primary migrants have a persistent higher employment than the Australian population, and this increases in the first few years since arrival. Skilled secondary and primary partner visas have much lower employment compared to the Australian population, though this difference decreas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chart shows that skilled primary migrants have a persistent higher employment than the Australian population, and this increases in the first few years since arrival. Skilled secondary and primary partner visas have much lower employment compared to the Australian population, though this difference decreases over tim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230" cy="2270760"/>
                    </a:xfrm>
                    <a:prstGeom prst="rect">
                      <a:avLst/>
                    </a:prstGeom>
                    <a:noFill/>
                    <a:ln>
                      <a:noFill/>
                    </a:ln>
                  </pic:spPr>
                </pic:pic>
              </a:graphicData>
            </a:graphic>
          </wp:inline>
        </w:drawing>
      </w:r>
      <w:r w:rsidR="00801D07">
        <w:rPr>
          <w:sz w:val="18"/>
          <w:szCs w:val="18"/>
        </w:rPr>
        <w:t xml:space="preserve">Probability of employment is calculated as </w:t>
      </w:r>
      <w:r w:rsidR="00022FD0">
        <w:rPr>
          <w:sz w:val="18"/>
          <w:szCs w:val="18"/>
        </w:rPr>
        <w:t>(</w:t>
      </w:r>
      <w:r w:rsidR="00801D07">
        <w:rPr>
          <w:sz w:val="18"/>
          <w:szCs w:val="18"/>
        </w:rPr>
        <w:t>total employed/total population</w:t>
      </w:r>
      <w:r w:rsidR="00022FD0">
        <w:rPr>
          <w:sz w:val="18"/>
          <w:szCs w:val="18"/>
        </w:rPr>
        <w:t>)</w:t>
      </w:r>
      <w:r w:rsidR="00801D07">
        <w:rPr>
          <w:sz w:val="18"/>
          <w:szCs w:val="18"/>
        </w:rPr>
        <w:t xml:space="preserve"> within 5</w:t>
      </w:r>
      <w:r w:rsidR="006E5E41">
        <w:rPr>
          <w:sz w:val="18"/>
          <w:szCs w:val="18"/>
        </w:rPr>
        <w:t>-</w:t>
      </w:r>
      <w:r w:rsidR="00801D07">
        <w:rPr>
          <w:sz w:val="18"/>
          <w:szCs w:val="18"/>
        </w:rPr>
        <w:t>year age bins for migrant groups and the Australian population in</w:t>
      </w:r>
      <w:r w:rsidR="00586D72">
        <w:rPr>
          <w:sz w:val="18"/>
          <w:szCs w:val="18"/>
        </w:rPr>
        <w:t xml:space="preserve"> the</w:t>
      </w:r>
      <w:r w:rsidR="00801D07">
        <w:rPr>
          <w:sz w:val="18"/>
          <w:szCs w:val="18"/>
        </w:rPr>
        <w:t xml:space="preserve"> </w:t>
      </w:r>
      <w:r w:rsidR="006E615F" w:rsidRPr="007E62B6">
        <w:rPr>
          <w:sz w:val="18"/>
          <w:szCs w:val="18"/>
        </w:rPr>
        <w:t>Australian Census and Migrants Integrated Dataset</w:t>
      </w:r>
      <w:r w:rsidR="006E615F">
        <w:rPr>
          <w:sz w:val="18"/>
          <w:szCs w:val="18"/>
        </w:rPr>
        <w:t xml:space="preserve"> (</w:t>
      </w:r>
      <w:r w:rsidR="00801D07">
        <w:rPr>
          <w:sz w:val="18"/>
          <w:szCs w:val="18"/>
        </w:rPr>
        <w:t>ACMID</w:t>
      </w:r>
      <w:r w:rsidR="006E615F">
        <w:rPr>
          <w:sz w:val="18"/>
          <w:szCs w:val="18"/>
        </w:rPr>
        <w:t>)</w:t>
      </w:r>
      <w:r w:rsidR="00801D07">
        <w:rPr>
          <w:sz w:val="18"/>
          <w:szCs w:val="18"/>
        </w:rPr>
        <w:t>. The figures presented are the</w:t>
      </w:r>
      <w:r w:rsidR="00AA2246">
        <w:rPr>
          <w:sz w:val="18"/>
          <w:szCs w:val="18"/>
        </w:rPr>
        <w:t xml:space="preserve"> weighted average</w:t>
      </w:r>
      <w:r w:rsidR="00801D07">
        <w:rPr>
          <w:sz w:val="18"/>
          <w:szCs w:val="18"/>
        </w:rPr>
        <w:t xml:space="preserve"> ratio of the employment rate to the </w:t>
      </w:r>
      <w:r w:rsidR="004B2983">
        <w:rPr>
          <w:sz w:val="18"/>
          <w:szCs w:val="18"/>
        </w:rPr>
        <w:t xml:space="preserve">Australian </w:t>
      </w:r>
      <w:r w:rsidR="00801D07">
        <w:rPr>
          <w:sz w:val="18"/>
          <w:szCs w:val="18"/>
        </w:rPr>
        <w:t xml:space="preserve">population within these five age groups. </w:t>
      </w:r>
      <w:r w:rsidR="002F0F21">
        <w:rPr>
          <w:sz w:val="18"/>
          <w:szCs w:val="18"/>
        </w:rPr>
        <w:t xml:space="preserve">These values are aggregated values of the </w:t>
      </w:r>
      <w:proofErr w:type="spellStart"/>
      <w:r w:rsidR="002F0F21">
        <w:rPr>
          <w:sz w:val="18"/>
          <w:szCs w:val="18"/>
        </w:rPr>
        <w:t>ERadj</w:t>
      </w:r>
      <w:proofErr w:type="spellEnd"/>
      <w:r w:rsidR="002F0F21">
        <w:rPr>
          <w:sz w:val="18"/>
          <w:szCs w:val="18"/>
        </w:rPr>
        <w:t xml:space="preserve"> factor in the personal income tax formula on page </w:t>
      </w:r>
      <w:r w:rsidR="00A0583D">
        <w:rPr>
          <w:sz w:val="18"/>
          <w:szCs w:val="18"/>
        </w:rPr>
        <w:t>2</w:t>
      </w:r>
      <w:r w:rsidR="00C8266F">
        <w:rPr>
          <w:sz w:val="18"/>
          <w:szCs w:val="18"/>
        </w:rPr>
        <w:t>8</w:t>
      </w:r>
      <w:r w:rsidR="00A0583D">
        <w:rPr>
          <w:sz w:val="18"/>
          <w:szCs w:val="18"/>
        </w:rPr>
        <w:t xml:space="preserve"> </w:t>
      </w:r>
      <w:r w:rsidR="002F0F21">
        <w:rPr>
          <w:sz w:val="18"/>
          <w:szCs w:val="18"/>
        </w:rPr>
        <w:t>of this paper.</w:t>
      </w:r>
      <w:r w:rsidR="00FE68FE">
        <w:rPr>
          <w:sz w:val="18"/>
          <w:szCs w:val="18"/>
        </w:rPr>
        <w:t xml:space="preserve"> </w:t>
      </w:r>
      <w:r w:rsidR="00801D07">
        <w:rPr>
          <w:sz w:val="18"/>
          <w:szCs w:val="18"/>
        </w:rPr>
        <w:t>The chart is only based on those aged 15</w:t>
      </w:r>
      <w:r w:rsidR="00F62807">
        <w:rPr>
          <w:sz w:val="18"/>
          <w:szCs w:val="18"/>
        </w:rPr>
        <w:t>–</w:t>
      </w:r>
      <w:r w:rsidR="00801D07">
        <w:rPr>
          <w:sz w:val="18"/>
          <w:szCs w:val="18"/>
        </w:rPr>
        <w:t xml:space="preserve">75, which are primarily comprised of skilled migrants and primary partner migrants (see </w:t>
      </w:r>
      <w:r w:rsidR="006B195E">
        <w:rPr>
          <w:sz w:val="18"/>
          <w:szCs w:val="18"/>
        </w:rPr>
        <w:t xml:space="preserve">Chart </w:t>
      </w:r>
      <w:r w:rsidR="00D43D0E">
        <w:rPr>
          <w:sz w:val="18"/>
          <w:szCs w:val="18"/>
        </w:rPr>
        <w:t>9</w:t>
      </w:r>
      <w:r w:rsidR="00801D07">
        <w:rPr>
          <w:sz w:val="18"/>
          <w:szCs w:val="18"/>
        </w:rPr>
        <w:t>).</w:t>
      </w:r>
      <w:r w:rsidR="00EE4402">
        <w:rPr>
          <w:sz w:val="18"/>
          <w:szCs w:val="18"/>
        </w:rPr>
        <w:t xml:space="preserve"> </w:t>
      </w:r>
    </w:p>
    <w:p w14:paraId="1A10ED54" w14:textId="323431C5" w:rsidR="00801D07" w:rsidRPr="00B42519" w:rsidRDefault="00384061" w:rsidP="007F0F36">
      <w:r>
        <w:t>Skilled primary</w:t>
      </w:r>
      <w:r w:rsidR="00801D07">
        <w:t xml:space="preserve"> migrants </w:t>
      </w:r>
      <w:r w:rsidR="00C2430B">
        <w:t xml:space="preserve">tend to </w:t>
      </w:r>
      <w:r w:rsidR="00C2430B" w:rsidRPr="00B42519">
        <w:t>earn more on average than other groups.</w:t>
      </w:r>
      <w:r w:rsidR="00801D07" w:rsidRPr="00B42519">
        <w:t xml:space="preserve"> </w:t>
      </w:r>
      <w:r w:rsidR="00C2430B" w:rsidRPr="00B42519">
        <w:t xml:space="preserve">Table </w:t>
      </w:r>
      <w:r w:rsidR="009B2AE6" w:rsidRPr="00B42519">
        <w:t>6</w:t>
      </w:r>
      <w:r w:rsidR="00801D07" w:rsidRPr="00B42519">
        <w:t xml:space="preserve"> shows the proportion of </w:t>
      </w:r>
      <w:r w:rsidR="00265858">
        <w:t>s</w:t>
      </w:r>
      <w:r w:rsidR="00801D07" w:rsidRPr="00B42519">
        <w:t>killed</w:t>
      </w:r>
      <w:r>
        <w:t xml:space="preserve"> (primary and secondary)</w:t>
      </w:r>
      <w:r w:rsidR="00801D07" w:rsidRPr="00B42519">
        <w:t xml:space="preserve"> and </w:t>
      </w:r>
      <w:r>
        <w:t>primary Partner visa holders</w:t>
      </w:r>
      <w:r w:rsidR="00801D07" w:rsidRPr="00B42519">
        <w:t xml:space="preserve"> in each age</w:t>
      </w:r>
      <w:r w:rsidR="006E5E41">
        <w:t>-</w:t>
      </w:r>
      <w:r w:rsidR="00801D07" w:rsidRPr="00B42519">
        <w:t>adjusted income quintile observed</w:t>
      </w:r>
      <w:r w:rsidR="00D8244C" w:rsidRPr="00B42519">
        <w:t xml:space="preserve"> </w:t>
      </w:r>
      <w:r w:rsidR="00801D07" w:rsidRPr="00B42519">
        <w:t xml:space="preserve">in </w:t>
      </w:r>
      <w:r w:rsidR="00C939CB">
        <w:t>de</w:t>
      </w:r>
      <w:r w:rsidR="006A7F30">
        <w:t>-</w:t>
      </w:r>
      <w:r w:rsidR="00C939CB">
        <w:t xml:space="preserve">identified </w:t>
      </w:r>
      <w:r w:rsidR="00801D07" w:rsidRPr="00B42519">
        <w:t>personal income tax returns.</w:t>
      </w:r>
      <w:r w:rsidR="00801D07" w:rsidRPr="00B42519">
        <w:rPr>
          <w:rStyle w:val="FootnoteReference"/>
        </w:rPr>
        <w:footnoteReference w:id="23"/>
      </w:r>
      <w:r w:rsidR="00801D07" w:rsidRPr="00B42519">
        <w:t xml:space="preserve"> For instance, primary skilled migrants are more likely to be in the top income quintile (compared to people of similar age), while </w:t>
      </w:r>
      <w:r>
        <w:t>P</w:t>
      </w:r>
      <w:r w:rsidR="00801D07" w:rsidRPr="00B42519">
        <w:t xml:space="preserve">artner visa </w:t>
      </w:r>
      <w:r w:rsidR="00022FD0" w:rsidRPr="00B42519">
        <w:t xml:space="preserve">holders </w:t>
      </w:r>
      <w:r w:rsidR="00801D07" w:rsidRPr="00B42519">
        <w:t>and skilled secondary visa</w:t>
      </w:r>
      <w:r w:rsidR="00022FD0" w:rsidRPr="00B42519">
        <w:t xml:space="preserve"> holders</w:t>
      </w:r>
      <w:r w:rsidR="00801D07" w:rsidRPr="00B42519">
        <w:t xml:space="preserve"> are less likely.</w:t>
      </w:r>
    </w:p>
    <w:p w14:paraId="166D7F8B" w14:textId="2251BEF7" w:rsidR="00801D07" w:rsidRDefault="00114859" w:rsidP="0023028F">
      <w:pPr>
        <w:pStyle w:val="TableHeading1"/>
      </w:pPr>
      <w:r w:rsidRPr="00F70234">
        <w:t>Table</w:t>
      </w:r>
      <w:r w:rsidR="00801D07" w:rsidRPr="00F70234">
        <w:t xml:space="preserve"> </w:t>
      </w:r>
      <w:r w:rsidR="009B2AE6" w:rsidRPr="00F70234">
        <w:t>6</w:t>
      </w:r>
      <w:r w:rsidR="00801D07" w:rsidRPr="00F70234">
        <w:t>: Age</w:t>
      </w:r>
      <w:r w:rsidR="006E5E41">
        <w:t>-</w:t>
      </w:r>
      <w:r w:rsidR="00801D07" w:rsidRPr="00F70234">
        <w:t>adjusted income distribution of migrants, by visa group</w:t>
      </w:r>
    </w:p>
    <w:tbl>
      <w:tblPr>
        <w:tblW w:w="9196" w:type="dxa"/>
        <w:tblLook w:val="04A0" w:firstRow="1" w:lastRow="0" w:firstColumn="1" w:lastColumn="0" w:noHBand="0" w:noVBand="1"/>
      </w:tblPr>
      <w:tblGrid>
        <w:gridCol w:w="1665"/>
        <w:gridCol w:w="1512"/>
        <w:gridCol w:w="1499"/>
        <w:gridCol w:w="1499"/>
        <w:gridCol w:w="1499"/>
        <w:gridCol w:w="1522"/>
      </w:tblGrid>
      <w:tr w:rsidR="00D7393C" w:rsidRPr="00D7393C" w14:paraId="2568B7CE" w14:textId="77777777" w:rsidTr="006C184F">
        <w:trPr>
          <w:trHeight w:val="369"/>
        </w:trPr>
        <w:tc>
          <w:tcPr>
            <w:tcW w:w="1665" w:type="dxa"/>
            <w:tcBorders>
              <w:top w:val="single" w:sz="4" w:space="0" w:color="auto"/>
              <w:left w:val="single" w:sz="4" w:space="0" w:color="auto"/>
              <w:bottom w:val="single" w:sz="4" w:space="0" w:color="auto"/>
              <w:right w:val="single" w:sz="4" w:space="0" w:color="auto"/>
            </w:tcBorders>
            <w:shd w:val="clear" w:color="000000" w:fill="CFDCEA"/>
            <w:vAlign w:val="center"/>
            <w:hideMark/>
          </w:tcPr>
          <w:p w14:paraId="2AC1D394" w14:textId="77777777" w:rsidR="00D7393C" w:rsidRPr="00D7393C" w:rsidRDefault="00D7393C" w:rsidP="00D7393C">
            <w:pPr>
              <w:spacing w:after="0"/>
              <w:jc w:val="center"/>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Visa stream</w:t>
            </w:r>
          </w:p>
        </w:tc>
        <w:tc>
          <w:tcPr>
            <w:tcW w:w="1512" w:type="dxa"/>
            <w:tcBorders>
              <w:top w:val="single" w:sz="4" w:space="0" w:color="auto"/>
              <w:left w:val="nil"/>
              <w:bottom w:val="single" w:sz="4" w:space="0" w:color="auto"/>
              <w:right w:val="single" w:sz="4" w:space="0" w:color="auto"/>
            </w:tcBorders>
            <w:shd w:val="clear" w:color="000000" w:fill="CFDCEA"/>
            <w:vAlign w:val="center"/>
            <w:hideMark/>
          </w:tcPr>
          <w:p w14:paraId="68DE9E58" w14:textId="77777777" w:rsidR="00D7393C" w:rsidRPr="00D7393C" w:rsidRDefault="00D7393C" w:rsidP="00D7393C">
            <w:pPr>
              <w:spacing w:after="0"/>
              <w:jc w:val="center"/>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Quintile 1 (Lowest)</w:t>
            </w:r>
          </w:p>
        </w:tc>
        <w:tc>
          <w:tcPr>
            <w:tcW w:w="1499" w:type="dxa"/>
            <w:tcBorders>
              <w:top w:val="single" w:sz="4" w:space="0" w:color="auto"/>
              <w:left w:val="nil"/>
              <w:bottom w:val="single" w:sz="4" w:space="0" w:color="auto"/>
              <w:right w:val="single" w:sz="4" w:space="0" w:color="auto"/>
            </w:tcBorders>
            <w:shd w:val="clear" w:color="000000" w:fill="CFDCEA"/>
            <w:vAlign w:val="center"/>
            <w:hideMark/>
          </w:tcPr>
          <w:p w14:paraId="3F6D7E0B" w14:textId="77777777" w:rsidR="00D7393C" w:rsidRPr="00D7393C" w:rsidRDefault="00D7393C" w:rsidP="00D7393C">
            <w:pPr>
              <w:spacing w:after="0"/>
              <w:jc w:val="center"/>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Quintile 2</w:t>
            </w:r>
          </w:p>
        </w:tc>
        <w:tc>
          <w:tcPr>
            <w:tcW w:w="1499" w:type="dxa"/>
            <w:tcBorders>
              <w:top w:val="single" w:sz="4" w:space="0" w:color="auto"/>
              <w:left w:val="nil"/>
              <w:bottom w:val="single" w:sz="4" w:space="0" w:color="auto"/>
              <w:right w:val="single" w:sz="4" w:space="0" w:color="auto"/>
            </w:tcBorders>
            <w:shd w:val="clear" w:color="000000" w:fill="CFDCEA"/>
            <w:vAlign w:val="center"/>
            <w:hideMark/>
          </w:tcPr>
          <w:p w14:paraId="6689514C" w14:textId="77777777" w:rsidR="00D7393C" w:rsidRPr="00D7393C" w:rsidRDefault="00D7393C" w:rsidP="00D7393C">
            <w:pPr>
              <w:spacing w:after="0"/>
              <w:jc w:val="center"/>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Quintile 3</w:t>
            </w:r>
          </w:p>
        </w:tc>
        <w:tc>
          <w:tcPr>
            <w:tcW w:w="1499" w:type="dxa"/>
            <w:tcBorders>
              <w:top w:val="single" w:sz="4" w:space="0" w:color="auto"/>
              <w:left w:val="nil"/>
              <w:bottom w:val="single" w:sz="4" w:space="0" w:color="auto"/>
              <w:right w:val="single" w:sz="4" w:space="0" w:color="auto"/>
            </w:tcBorders>
            <w:shd w:val="clear" w:color="000000" w:fill="CFDCEA"/>
            <w:vAlign w:val="center"/>
            <w:hideMark/>
          </w:tcPr>
          <w:p w14:paraId="3D00C0A1" w14:textId="77777777" w:rsidR="00D7393C" w:rsidRPr="00D7393C" w:rsidRDefault="00D7393C" w:rsidP="00D7393C">
            <w:pPr>
              <w:spacing w:after="0"/>
              <w:jc w:val="center"/>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Quintile 4</w:t>
            </w:r>
          </w:p>
        </w:tc>
        <w:tc>
          <w:tcPr>
            <w:tcW w:w="1522" w:type="dxa"/>
            <w:tcBorders>
              <w:top w:val="single" w:sz="4" w:space="0" w:color="auto"/>
              <w:left w:val="nil"/>
              <w:bottom w:val="single" w:sz="4" w:space="0" w:color="auto"/>
              <w:right w:val="single" w:sz="4" w:space="0" w:color="auto"/>
            </w:tcBorders>
            <w:shd w:val="clear" w:color="000000" w:fill="CFDCEA"/>
            <w:vAlign w:val="center"/>
            <w:hideMark/>
          </w:tcPr>
          <w:p w14:paraId="60EAA92B" w14:textId="77777777" w:rsidR="00D7393C" w:rsidRPr="00D7393C" w:rsidRDefault="00D7393C" w:rsidP="00D7393C">
            <w:pPr>
              <w:spacing w:after="0"/>
              <w:jc w:val="center"/>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Quintile 5 (Highest)</w:t>
            </w:r>
          </w:p>
        </w:tc>
      </w:tr>
      <w:tr w:rsidR="00D7393C" w:rsidRPr="00D7393C" w14:paraId="16FB43A1" w14:textId="77777777" w:rsidTr="00762D26">
        <w:trPr>
          <w:trHeight w:val="340"/>
        </w:trPr>
        <w:tc>
          <w:tcPr>
            <w:tcW w:w="1665" w:type="dxa"/>
            <w:tcBorders>
              <w:top w:val="nil"/>
              <w:left w:val="single" w:sz="4" w:space="0" w:color="auto"/>
              <w:bottom w:val="single" w:sz="4" w:space="0" w:color="auto"/>
              <w:right w:val="single" w:sz="4" w:space="0" w:color="auto"/>
            </w:tcBorders>
            <w:shd w:val="clear" w:color="auto" w:fill="auto"/>
            <w:hideMark/>
          </w:tcPr>
          <w:p w14:paraId="3D6023DE" w14:textId="77777777" w:rsidR="00D7393C" w:rsidRPr="00D7393C" w:rsidRDefault="00D7393C" w:rsidP="00D7393C">
            <w:pPr>
              <w:spacing w:after="0"/>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Skilled Primary</w:t>
            </w:r>
          </w:p>
        </w:tc>
        <w:tc>
          <w:tcPr>
            <w:tcW w:w="1512" w:type="dxa"/>
            <w:tcBorders>
              <w:top w:val="nil"/>
              <w:left w:val="nil"/>
              <w:bottom w:val="single" w:sz="4" w:space="0" w:color="auto"/>
              <w:right w:val="single" w:sz="4" w:space="0" w:color="auto"/>
            </w:tcBorders>
            <w:shd w:val="clear" w:color="auto" w:fill="auto"/>
            <w:hideMark/>
          </w:tcPr>
          <w:p w14:paraId="2C4CC0CF"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12%</w:t>
            </w:r>
          </w:p>
        </w:tc>
        <w:tc>
          <w:tcPr>
            <w:tcW w:w="1499" w:type="dxa"/>
            <w:tcBorders>
              <w:top w:val="nil"/>
              <w:left w:val="nil"/>
              <w:bottom w:val="single" w:sz="4" w:space="0" w:color="auto"/>
              <w:right w:val="single" w:sz="4" w:space="0" w:color="auto"/>
            </w:tcBorders>
            <w:shd w:val="clear" w:color="auto" w:fill="auto"/>
            <w:hideMark/>
          </w:tcPr>
          <w:p w14:paraId="178D91C7"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14%</w:t>
            </w:r>
          </w:p>
        </w:tc>
        <w:tc>
          <w:tcPr>
            <w:tcW w:w="1499" w:type="dxa"/>
            <w:tcBorders>
              <w:top w:val="nil"/>
              <w:left w:val="nil"/>
              <w:bottom w:val="single" w:sz="4" w:space="0" w:color="auto"/>
              <w:right w:val="single" w:sz="4" w:space="0" w:color="auto"/>
            </w:tcBorders>
            <w:shd w:val="clear" w:color="auto" w:fill="auto"/>
            <w:hideMark/>
          </w:tcPr>
          <w:p w14:paraId="2D1E4B32"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19%</w:t>
            </w:r>
          </w:p>
        </w:tc>
        <w:tc>
          <w:tcPr>
            <w:tcW w:w="1499" w:type="dxa"/>
            <w:tcBorders>
              <w:top w:val="nil"/>
              <w:left w:val="nil"/>
              <w:bottom w:val="single" w:sz="4" w:space="0" w:color="auto"/>
              <w:right w:val="single" w:sz="4" w:space="0" w:color="auto"/>
            </w:tcBorders>
            <w:shd w:val="clear" w:color="auto" w:fill="auto"/>
            <w:hideMark/>
          </w:tcPr>
          <w:p w14:paraId="7E379713"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23%</w:t>
            </w:r>
          </w:p>
        </w:tc>
        <w:tc>
          <w:tcPr>
            <w:tcW w:w="1522" w:type="dxa"/>
            <w:tcBorders>
              <w:top w:val="nil"/>
              <w:left w:val="nil"/>
              <w:bottom w:val="single" w:sz="4" w:space="0" w:color="auto"/>
              <w:right w:val="single" w:sz="4" w:space="0" w:color="auto"/>
            </w:tcBorders>
            <w:shd w:val="clear" w:color="auto" w:fill="auto"/>
            <w:hideMark/>
          </w:tcPr>
          <w:p w14:paraId="35ABB2E8"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33%</w:t>
            </w:r>
          </w:p>
        </w:tc>
      </w:tr>
      <w:tr w:rsidR="00D7393C" w:rsidRPr="00D7393C" w14:paraId="36A7E14E" w14:textId="77777777" w:rsidTr="00762D26">
        <w:trPr>
          <w:trHeight w:val="340"/>
        </w:trPr>
        <w:tc>
          <w:tcPr>
            <w:tcW w:w="1665" w:type="dxa"/>
            <w:tcBorders>
              <w:top w:val="nil"/>
              <w:left w:val="single" w:sz="4" w:space="0" w:color="auto"/>
              <w:bottom w:val="single" w:sz="4" w:space="0" w:color="auto"/>
              <w:right w:val="single" w:sz="4" w:space="0" w:color="auto"/>
            </w:tcBorders>
            <w:shd w:val="clear" w:color="auto" w:fill="auto"/>
            <w:hideMark/>
          </w:tcPr>
          <w:p w14:paraId="405E26B2" w14:textId="77777777" w:rsidR="00D7393C" w:rsidRPr="00D7393C" w:rsidRDefault="00D7393C" w:rsidP="00D7393C">
            <w:pPr>
              <w:spacing w:after="0"/>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Skilled Secondary</w:t>
            </w:r>
          </w:p>
        </w:tc>
        <w:tc>
          <w:tcPr>
            <w:tcW w:w="1512" w:type="dxa"/>
            <w:tcBorders>
              <w:top w:val="nil"/>
              <w:left w:val="nil"/>
              <w:bottom w:val="single" w:sz="4" w:space="0" w:color="auto"/>
              <w:right w:val="single" w:sz="4" w:space="0" w:color="auto"/>
            </w:tcBorders>
            <w:shd w:val="clear" w:color="auto" w:fill="auto"/>
            <w:hideMark/>
          </w:tcPr>
          <w:p w14:paraId="76FF3EC5"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31%</w:t>
            </w:r>
          </w:p>
        </w:tc>
        <w:tc>
          <w:tcPr>
            <w:tcW w:w="1499" w:type="dxa"/>
            <w:tcBorders>
              <w:top w:val="nil"/>
              <w:left w:val="nil"/>
              <w:bottom w:val="single" w:sz="4" w:space="0" w:color="auto"/>
              <w:right w:val="single" w:sz="4" w:space="0" w:color="auto"/>
            </w:tcBorders>
            <w:shd w:val="clear" w:color="auto" w:fill="auto"/>
            <w:hideMark/>
          </w:tcPr>
          <w:p w14:paraId="3918100A"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28%</w:t>
            </w:r>
          </w:p>
        </w:tc>
        <w:tc>
          <w:tcPr>
            <w:tcW w:w="1499" w:type="dxa"/>
            <w:tcBorders>
              <w:top w:val="nil"/>
              <w:left w:val="nil"/>
              <w:bottom w:val="single" w:sz="4" w:space="0" w:color="auto"/>
              <w:right w:val="single" w:sz="4" w:space="0" w:color="auto"/>
            </w:tcBorders>
            <w:shd w:val="clear" w:color="auto" w:fill="auto"/>
            <w:hideMark/>
          </w:tcPr>
          <w:p w14:paraId="6B2C2EDD"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20%</w:t>
            </w:r>
          </w:p>
        </w:tc>
        <w:tc>
          <w:tcPr>
            <w:tcW w:w="1499" w:type="dxa"/>
            <w:tcBorders>
              <w:top w:val="nil"/>
              <w:left w:val="nil"/>
              <w:bottom w:val="single" w:sz="4" w:space="0" w:color="auto"/>
              <w:right w:val="single" w:sz="4" w:space="0" w:color="auto"/>
            </w:tcBorders>
            <w:shd w:val="clear" w:color="auto" w:fill="auto"/>
            <w:hideMark/>
          </w:tcPr>
          <w:p w14:paraId="190ECF52"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13%</w:t>
            </w:r>
          </w:p>
        </w:tc>
        <w:tc>
          <w:tcPr>
            <w:tcW w:w="1522" w:type="dxa"/>
            <w:tcBorders>
              <w:top w:val="nil"/>
              <w:left w:val="nil"/>
              <w:bottom w:val="single" w:sz="4" w:space="0" w:color="auto"/>
              <w:right w:val="single" w:sz="4" w:space="0" w:color="auto"/>
            </w:tcBorders>
            <w:shd w:val="clear" w:color="auto" w:fill="auto"/>
            <w:hideMark/>
          </w:tcPr>
          <w:p w14:paraId="68343A27"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9%</w:t>
            </w:r>
          </w:p>
        </w:tc>
      </w:tr>
      <w:tr w:rsidR="00D7393C" w:rsidRPr="00D7393C" w14:paraId="1320FC82" w14:textId="77777777" w:rsidTr="00762D26">
        <w:trPr>
          <w:trHeight w:val="340"/>
        </w:trPr>
        <w:tc>
          <w:tcPr>
            <w:tcW w:w="1665" w:type="dxa"/>
            <w:tcBorders>
              <w:top w:val="nil"/>
              <w:left w:val="single" w:sz="4" w:space="0" w:color="auto"/>
              <w:bottom w:val="single" w:sz="4" w:space="0" w:color="auto"/>
              <w:right w:val="single" w:sz="4" w:space="0" w:color="auto"/>
            </w:tcBorders>
            <w:shd w:val="clear" w:color="auto" w:fill="auto"/>
            <w:hideMark/>
          </w:tcPr>
          <w:p w14:paraId="617B3FD5" w14:textId="77777777" w:rsidR="00D7393C" w:rsidRPr="00D7393C" w:rsidRDefault="00D7393C" w:rsidP="00D7393C">
            <w:pPr>
              <w:spacing w:after="0"/>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Partner Primary</w:t>
            </w:r>
          </w:p>
        </w:tc>
        <w:tc>
          <w:tcPr>
            <w:tcW w:w="1512" w:type="dxa"/>
            <w:tcBorders>
              <w:top w:val="nil"/>
              <w:left w:val="nil"/>
              <w:bottom w:val="single" w:sz="4" w:space="0" w:color="auto"/>
              <w:right w:val="single" w:sz="4" w:space="0" w:color="auto"/>
            </w:tcBorders>
            <w:shd w:val="clear" w:color="auto" w:fill="auto"/>
            <w:hideMark/>
          </w:tcPr>
          <w:p w14:paraId="504CA7B1"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29%</w:t>
            </w:r>
          </w:p>
        </w:tc>
        <w:tc>
          <w:tcPr>
            <w:tcW w:w="1499" w:type="dxa"/>
            <w:tcBorders>
              <w:top w:val="nil"/>
              <w:left w:val="nil"/>
              <w:bottom w:val="single" w:sz="4" w:space="0" w:color="auto"/>
              <w:right w:val="single" w:sz="4" w:space="0" w:color="auto"/>
            </w:tcBorders>
            <w:shd w:val="clear" w:color="auto" w:fill="auto"/>
            <w:hideMark/>
          </w:tcPr>
          <w:p w14:paraId="27CA1EEC"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28%</w:t>
            </w:r>
          </w:p>
        </w:tc>
        <w:tc>
          <w:tcPr>
            <w:tcW w:w="1499" w:type="dxa"/>
            <w:tcBorders>
              <w:top w:val="nil"/>
              <w:left w:val="nil"/>
              <w:bottom w:val="single" w:sz="4" w:space="0" w:color="auto"/>
              <w:right w:val="single" w:sz="4" w:space="0" w:color="auto"/>
            </w:tcBorders>
            <w:shd w:val="clear" w:color="auto" w:fill="auto"/>
            <w:hideMark/>
          </w:tcPr>
          <w:p w14:paraId="1011139C"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20%</w:t>
            </w:r>
          </w:p>
        </w:tc>
        <w:tc>
          <w:tcPr>
            <w:tcW w:w="1499" w:type="dxa"/>
            <w:tcBorders>
              <w:top w:val="nil"/>
              <w:left w:val="nil"/>
              <w:bottom w:val="single" w:sz="4" w:space="0" w:color="auto"/>
              <w:right w:val="single" w:sz="4" w:space="0" w:color="auto"/>
            </w:tcBorders>
            <w:shd w:val="clear" w:color="auto" w:fill="auto"/>
            <w:hideMark/>
          </w:tcPr>
          <w:p w14:paraId="7A2A1345"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14%</w:t>
            </w:r>
          </w:p>
        </w:tc>
        <w:tc>
          <w:tcPr>
            <w:tcW w:w="1522" w:type="dxa"/>
            <w:tcBorders>
              <w:top w:val="nil"/>
              <w:left w:val="nil"/>
              <w:bottom w:val="single" w:sz="4" w:space="0" w:color="auto"/>
              <w:right w:val="single" w:sz="4" w:space="0" w:color="auto"/>
            </w:tcBorders>
            <w:shd w:val="clear" w:color="auto" w:fill="auto"/>
            <w:hideMark/>
          </w:tcPr>
          <w:p w14:paraId="3B3248D6"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10%</w:t>
            </w:r>
          </w:p>
        </w:tc>
      </w:tr>
      <w:tr w:rsidR="00D7393C" w:rsidRPr="00D7393C" w14:paraId="7FF68EAE" w14:textId="77777777" w:rsidTr="00762D26">
        <w:trPr>
          <w:trHeight w:val="340"/>
        </w:trPr>
        <w:tc>
          <w:tcPr>
            <w:tcW w:w="1665" w:type="dxa"/>
            <w:tcBorders>
              <w:top w:val="nil"/>
              <w:left w:val="single" w:sz="4" w:space="0" w:color="auto"/>
              <w:bottom w:val="single" w:sz="4" w:space="0" w:color="auto"/>
              <w:right w:val="single" w:sz="4" w:space="0" w:color="auto"/>
            </w:tcBorders>
            <w:shd w:val="clear" w:color="auto" w:fill="auto"/>
            <w:hideMark/>
          </w:tcPr>
          <w:p w14:paraId="7383B4A1" w14:textId="77777777" w:rsidR="00D7393C" w:rsidRPr="00D7393C" w:rsidRDefault="00D7393C" w:rsidP="00D7393C">
            <w:pPr>
              <w:spacing w:after="0"/>
              <w:rPr>
                <w:rFonts w:ascii="Arial" w:eastAsia="Times New Roman" w:hAnsi="Arial" w:cs="Arial"/>
                <w:b/>
                <w:bCs/>
                <w:sz w:val="16"/>
                <w:szCs w:val="16"/>
                <w:lang w:eastAsia="en-AU"/>
              </w:rPr>
            </w:pPr>
            <w:r w:rsidRPr="00D7393C">
              <w:rPr>
                <w:rFonts w:ascii="Arial" w:eastAsia="Times New Roman" w:hAnsi="Arial" w:cs="Arial"/>
                <w:b/>
                <w:bCs/>
                <w:sz w:val="16"/>
                <w:szCs w:val="16"/>
                <w:lang w:eastAsia="en-AU"/>
              </w:rPr>
              <w:t>Australian Population</w:t>
            </w:r>
          </w:p>
        </w:tc>
        <w:tc>
          <w:tcPr>
            <w:tcW w:w="1512" w:type="dxa"/>
            <w:tcBorders>
              <w:top w:val="nil"/>
              <w:left w:val="nil"/>
              <w:bottom w:val="single" w:sz="4" w:space="0" w:color="auto"/>
              <w:right w:val="single" w:sz="4" w:space="0" w:color="auto"/>
            </w:tcBorders>
            <w:shd w:val="clear" w:color="auto" w:fill="auto"/>
            <w:hideMark/>
          </w:tcPr>
          <w:p w14:paraId="1EB5878A"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20%</w:t>
            </w:r>
          </w:p>
        </w:tc>
        <w:tc>
          <w:tcPr>
            <w:tcW w:w="1499" w:type="dxa"/>
            <w:tcBorders>
              <w:top w:val="nil"/>
              <w:left w:val="nil"/>
              <w:bottom w:val="single" w:sz="4" w:space="0" w:color="auto"/>
              <w:right w:val="single" w:sz="4" w:space="0" w:color="auto"/>
            </w:tcBorders>
            <w:shd w:val="clear" w:color="auto" w:fill="auto"/>
            <w:hideMark/>
          </w:tcPr>
          <w:p w14:paraId="351D8722"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20%</w:t>
            </w:r>
          </w:p>
        </w:tc>
        <w:tc>
          <w:tcPr>
            <w:tcW w:w="1499" w:type="dxa"/>
            <w:tcBorders>
              <w:top w:val="nil"/>
              <w:left w:val="nil"/>
              <w:bottom w:val="single" w:sz="4" w:space="0" w:color="auto"/>
              <w:right w:val="single" w:sz="4" w:space="0" w:color="auto"/>
            </w:tcBorders>
            <w:shd w:val="clear" w:color="auto" w:fill="auto"/>
            <w:hideMark/>
          </w:tcPr>
          <w:p w14:paraId="48D60090"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20%</w:t>
            </w:r>
          </w:p>
        </w:tc>
        <w:tc>
          <w:tcPr>
            <w:tcW w:w="1499" w:type="dxa"/>
            <w:tcBorders>
              <w:top w:val="nil"/>
              <w:left w:val="nil"/>
              <w:bottom w:val="single" w:sz="4" w:space="0" w:color="auto"/>
              <w:right w:val="single" w:sz="4" w:space="0" w:color="auto"/>
            </w:tcBorders>
            <w:shd w:val="clear" w:color="auto" w:fill="auto"/>
            <w:hideMark/>
          </w:tcPr>
          <w:p w14:paraId="54E06CA7"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20%</w:t>
            </w:r>
          </w:p>
        </w:tc>
        <w:tc>
          <w:tcPr>
            <w:tcW w:w="1522" w:type="dxa"/>
            <w:tcBorders>
              <w:top w:val="nil"/>
              <w:left w:val="nil"/>
              <w:bottom w:val="single" w:sz="4" w:space="0" w:color="auto"/>
              <w:right w:val="single" w:sz="4" w:space="0" w:color="auto"/>
            </w:tcBorders>
            <w:shd w:val="clear" w:color="auto" w:fill="auto"/>
            <w:hideMark/>
          </w:tcPr>
          <w:p w14:paraId="40B5226D" w14:textId="77777777" w:rsidR="00D7393C" w:rsidRPr="00D7393C" w:rsidRDefault="00D7393C" w:rsidP="00D7393C">
            <w:pPr>
              <w:spacing w:after="0"/>
              <w:jc w:val="right"/>
              <w:rPr>
                <w:rFonts w:ascii="Arial" w:eastAsia="Times New Roman" w:hAnsi="Arial" w:cs="Arial"/>
                <w:sz w:val="16"/>
                <w:szCs w:val="16"/>
                <w:lang w:eastAsia="en-AU"/>
              </w:rPr>
            </w:pPr>
            <w:r w:rsidRPr="00D7393C">
              <w:rPr>
                <w:rFonts w:ascii="Arial" w:eastAsia="Times New Roman" w:hAnsi="Arial" w:cs="Calibri"/>
                <w:sz w:val="16"/>
                <w:szCs w:val="16"/>
                <w:lang w:eastAsia="en-AU"/>
              </w:rPr>
              <w:t>20%</w:t>
            </w:r>
          </w:p>
        </w:tc>
      </w:tr>
    </w:tbl>
    <w:p w14:paraId="241A64A6" w14:textId="1766315A" w:rsidR="00801D07" w:rsidRDefault="00801D07" w:rsidP="00944A10">
      <w:pPr>
        <w:spacing w:after="0"/>
        <w:rPr>
          <w:sz w:val="18"/>
          <w:szCs w:val="18"/>
        </w:rPr>
      </w:pPr>
      <w:r w:rsidRPr="008D0553">
        <w:rPr>
          <w:sz w:val="18"/>
          <w:szCs w:val="18"/>
        </w:rPr>
        <w:t>Th</w:t>
      </w:r>
      <w:r>
        <w:rPr>
          <w:sz w:val="18"/>
          <w:szCs w:val="18"/>
        </w:rPr>
        <w:t xml:space="preserve">e probability of being in each income quintile </w:t>
      </w:r>
      <w:r w:rsidRPr="008D0553">
        <w:rPr>
          <w:sz w:val="18"/>
          <w:szCs w:val="18"/>
        </w:rPr>
        <w:t>is calculated within 5</w:t>
      </w:r>
      <w:r w:rsidR="006E5E41">
        <w:rPr>
          <w:sz w:val="18"/>
          <w:szCs w:val="18"/>
        </w:rPr>
        <w:t>-</w:t>
      </w:r>
      <w:r w:rsidRPr="008D0553">
        <w:rPr>
          <w:sz w:val="18"/>
          <w:szCs w:val="18"/>
        </w:rPr>
        <w:t xml:space="preserve">year age bins </w:t>
      </w:r>
      <w:r>
        <w:rPr>
          <w:sz w:val="18"/>
          <w:szCs w:val="18"/>
        </w:rPr>
        <w:t>based on administrative personal tax data. Tax returns are for the 201</w:t>
      </w:r>
      <w:r w:rsidR="007D39E3">
        <w:rPr>
          <w:sz w:val="18"/>
          <w:szCs w:val="18"/>
        </w:rPr>
        <w:t>6</w:t>
      </w:r>
      <w:r w:rsidR="00F62807">
        <w:rPr>
          <w:sz w:val="18"/>
          <w:szCs w:val="18"/>
        </w:rPr>
        <w:t>–</w:t>
      </w:r>
      <w:r w:rsidR="007D39E3">
        <w:rPr>
          <w:sz w:val="18"/>
          <w:szCs w:val="18"/>
        </w:rPr>
        <w:t>17</w:t>
      </w:r>
      <w:r>
        <w:rPr>
          <w:sz w:val="18"/>
          <w:szCs w:val="18"/>
        </w:rPr>
        <w:t xml:space="preserve"> </w:t>
      </w:r>
      <w:r w:rsidR="003170BA">
        <w:rPr>
          <w:sz w:val="18"/>
          <w:szCs w:val="18"/>
        </w:rPr>
        <w:t>year and</w:t>
      </w:r>
      <w:r>
        <w:rPr>
          <w:sz w:val="18"/>
          <w:szCs w:val="18"/>
        </w:rPr>
        <w:t xml:space="preserve"> are based on migrants granted a permanent visa in </w:t>
      </w:r>
      <w:r w:rsidR="007D39E3">
        <w:rPr>
          <w:sz w:val="18"/>
          <w:szCs w:val="18"/>
        </w:rPr>
        <w:t>2013</w:t>
      </w:r>
      <w:r w:rsidR="00F62807">
        <w:rPr>
          <w:sz w:val="18"/>
          <w:szCs w:val="18"/>
        </w:rPr>
        <w:t>–</w:t>
      </w:r>
      <w:r w:rsidR="007D39E3">
        <w:rPr>
          <w:sz w:val="18"/>
          <w:szCs w:val="18"/>
        </w:rPr>
        <w:t>14</w:t>
      </w:r>
      <w:r>
        <w:rPr>
          <w:sz w:val="18"/>
          <w:szCs w:val="18"/>
        </w:rPr>
        <w:t>.</w:t>
      </w:r>
      <w:r w:rsidR="006B3403">
        <w:rPr>
          <w:sz w:val="18"/>
          <w:szCs w:val="18"/>
        </w:rPr>
        <w:t xml:space="preserve"> </w:t>
      </w:r>
      <w:r w:rsidR="00D7393C">
        <w:rPr>
          <w:sz w:val="18"/>
          <w:szCs w:val="18"/>
        </w:rPr>
        <w:t xml:space="preserve">The </w:t>
      </w:r>
      <w:r w:rsidR="00C939CB">
        <w:rPr>
          <w:sz w:val="18"/>
          <w:szCs w:val="18"/>
        </w:rPr>
        <w:t xml:space="preserve">quintile </w:t>
      </w:r>
      <w:r w:rsidR="006B3403">
        <w:rPr>
          <w:sz w:val="18"/>
          <w:szCs w:val="18"/>
        </w:rPr>
        <w:t xml:space="preserve">calculation excludes those with zero or negative income. </w:t>
      </w:r>
    </w:p>
    <w:p w14:paraId="4D335E27" w14:textId="77777777" w:rsidR="007252B8" w:rsidRDefault="007252B8" w:rsidP="00944A10">
      <w:pPr>
        <w:spacing w:after="0"/>
      </w:pPr>
    </w:p>
    <w:p w14:paraId="2393F7D2" w14:textId="7377CDBA" w:rsidR="00801D07" w:rsidRDefault="004253B4" w:rsidP="001A66C0">
      <w:pPr>
        <w:pStyle w:val="Heading3"/>
      </w:pPr>
      <w:bookmarkStart w:id="39" w:name="_Toc77175227"/>
      <w:r>
        <w:t xml:space="preserve">The </w:t>
      </w:r>
      <w:r w:rsidR="005F542F">
        <w:t>interaction</w:t>
      </w:r>
      <w:r>
        <w:t xml:space="preserve"> between age and income in FIONA</w:t>
      </w:r>
      <w:bookmarkEnd w:id="39"/>
    </w:p>
    <w:p w14:paraId="1354C0D0" w14:textId="0B7C0FAF" w:rsidR="00A60473" w:rsidRDefault="00801D07" w:rsidP="007F0F36">
      <w:r>
        <w:t xml:space="preserve">Within the FIONA model, it is possible to compare the </w:t>
      </w:r>
      <w:r w:rsidR="003557A6">
        <w:t xml:space="preserve">interaction between </w:t>
      </w:r>
      <w:r>
        <w:t xml:space="preserve">age and income </w:t>
      </w:r>
      <w:r w:rsidR="003557A6">
        <w:t>in determining lifetime fiscal impact</w:t>
      </w:r>
      <w:r>
        <w:t>. For instance,</w:t>
      </w:r>
      <w:r w:rsidR="009C70DF">
        <w:t xml:space="preserve"> </w:t>
      </w:r>
      <w:r w:rsidR="008C2521">
        <w:t>Chart 12</w:t>
      </w:r>
      <w:r>
        <w:t xml:space="preserve"> shows the combination of age and income at arrival that would result in an estimated fiscal impact of </w:t>
      </w:r>
      <w:r w:rsidR="00D675EE">
        <w:t xml:space="preserve">$415,000 for a primary skilled migrant with no secondary applicants </w:t>
      </w:r>
      <w:r w:rsidR="00CC2B32">
        <w:t>(</w:t>
      </w:r>
      <w:r w:rsidR="00D675EE">
        <w:t>the average fiscal impact estimated in FIONA for</w:t>
      </w:r>
      <w:r w:rsidR="00CC2B32">
        <w:t xml:space="preserve"> </w:t>
      </w:r>
      <w:r w:rsidR="00D675EE">
        <w:t>primary skilled applicants</w:t>
      </w:r>
      <w:r w:rsidR="00CC2B32">
        <w:t>)</w:t>
      </w:r>
      <w:r>
        <w:t>.</w:t>
      </w:r>
      <w:r w:rsidR="00A60473" w:rsidRPr="00A60473">
        <w:t xml:space="preserve"> </w:t>
      </w:r>
      <w:r w:rsidR="00A60473" w:rsidRPr="004663B7">
        <w:t xml:space="preserve">This calculation captures the expected income growth of a migrant as they age </w:t>
      </w:r>
      <w:r w:rsidR="006E5E41">
        <w:rPr>
          <w:rFonts w:ascii="Arial" w:hAnsi="Arial" w:cs="Arial"/>
          <w:color w:val="4A4A4A"/>
          <w:sz w:val="27"/>
          <w:szCs w:val="27"/>
          <w:shd w:val="clear" w:color="auto" w:fill="FFFFFF"/>
        </w:rPr>
        <w:t>—</w:t>
      </w:r>
      <w:r w:rsidR="00A60473" w:rsidRPr="004663B7">
        <w:t xml:space="preserve"> both because of </w:t>
      </w:r>
      <w:r w:rsidR="007F37F8">
        <w:lastRenderedPageBreak/>
        <w:t xml:space="preserve">productivity </w:t>
      </w:r>
      <w:r w:rsidR="00B42519">
        <w:t xml:space="preserve">increases </w:t>
      </w:r>
      <w:r w:rsidR="007F37F8">
        <w:t>across the Australian economy</w:t>
      </w:r>
      <w:r w:rsidR="00A60473" w:rsidRPr="004663B7">
        <w:t xml:space="preserve"> and </w:t>
      </w:r>
      <w:r w:rsidR="007F37F8">
        <w:t>because individuals gain skills and experience over time.</w:t>
      </w:r>
    </w:p>
    <w:p w14:paraId="7E96F0A7" w14:textId="327B9B27" w:rsidR="00801D07" w:rsidRDefault="00CC2B32" w:rsidP="008027CA">
      <w:r>
        <w:t>In this</w:t>
      </w:r>
      <w:r w:rsidR="00801D07">
        <w:t xml:space="preserve"> </w:t>
      </w:r>
      <w:r w:rsidR="00A60473">
        <w:t xml:space="preserve">illustrative </w:t>
      </w:r>
      <w:r w:rsidR="00801D07">
        <w:t xml:space="preserve">example, a skilled migrant arriving at age </w:t>
      </w:r>
      <w:r w:rsidR="00D675EE">
        <w:t xml:space="preserve">45 </w:t>
      </w:r>
      <w:r w:rsidR="00801D07">
        <w:t xml:space="preserve">and initially earning: </w:t>
      </w:r>
    </w:p>
    <w:p w14:paraId="7F9B2DCD" w14:textId="7F1974D0" w:rsidR="00801D07" w:rsidRPr="007F0F36" w:rsidRDefault="00801D07" w:rsidP="007F0F36">
      <w:pPr>
        <w:pStyle w:val="Bullet"/>
      </w:pPr>
      <w:r w:rsidRPr="007F0F36">
        <w:t>$</w:t>
      </w:r>
      <w:r w:rsidR="00D675EE" w:rsidRPr="007F0F36">
        <w:t>160</w:t>
      </w:r>
      <w:r w:rsidRPr="007F0F36">
        <w:t xml:space="preserve">,000 a year is projected in FIONA to </w:t>
      </w:r>
      <w:r w:rsidR="004E0518" w:rsidRPr="007F0F36">
        <w:t>have the same fiscal impact as</w:t>
      </w:r>
      <w:r w:rsidR="00D675EE" w:rsidRPr="007F0F36">
        <w:t xml:space="preserve"> the average primary skilled migrant over their lifetime in Australia.</w:t>
      </w:r>
    </w:p>
    <w:p w14:paraId="7F390A7A" w14:textId="2B5D16C3" w:rsidR="00801D07" w:rsidRPr="007F0F36" w:rsidRDefault="00801D07" w:rsidP="007F0F36">
      <w:pPr>
        <w:pStyle w:val="Bullet"/>
      </w:pPr>
      <w:r w:rsidRPr="007F0F36">
        <w:t>more than $</w:t>
      </w:r>
      <w:r w:rsidR="00D675EE" w:rsidRPr="007F0F36">
        <w:t>160</w:t>
      </w:r>
      <w:r w:rsidRPr="007F0F36">
        <w:t xml:space="preserve">,000 a year is projected to be </w:t>
      </w:r>
      <w:r w:rsidR="00D675EE" w:rsidRPr="007F0F36">
        <w:t xml:space="preserve">more fiscally positive than the average primary skilled migrant over their lifetime in </w:t>
      </w:r>
      <w:r w:rsidR="003170BA" w:rsidRPr="007F0F36">
        <w:t>Australia</w:t>
      </w:r>
      <w:r w:rsidR="003170BA" w:rsidRPr="007F0F36" w:rsidDel="00D675EE">
        <w:t>.</w:t>
      </w:r>
    </w:p>
    <w:p w14:paraId="413F41A2" w14:textId="77777777" w:rsidR="00C8266F" w:rsidRDefault="00801D07" w:rsidP="007F0F36">
      <w:pPr>
        <w:pStyle w:val="Bullet"/>
      </w:pPr>
      <w:r w:rsidRPr="007F0F36">
        <w:t>less than $</w:t>
      </w:r>
      <w:r w:rsidR="00D675EE" w:rsidRPr="007F0F36">
        <w:t>160</w:t>
      </w:r>
      <w:r w:rsidRPr="007F0F36">
        <w:t xml:space="preserve">,000 a year is projected to be </w:t>
      </w:r>
      <w:r w:rsidR="00CC7614" w:rsidRPr="007F0F36">
        <w:t>less</w:t>
      </w:r>
      <w:r w:rsidR="00D675EE" w:rsidRPr="007F0F36">
        <w:t xml:space="preserve"> fiscally positive than the average primary skilled migrant over their lifetime in Australia.</w:t>
      </w:r>
      <w:r w:rsidR="009977BE" w:rsidRPr="007F0F36">
        <w:t xml:space="preserve"> </w:t>
      </w:r>
    </w:p>
    <w:p w14:paraId="125E5127" w14:textId="219737AA" w:rsidR="00801D07" w:rsidRPr="007F0F36" w:rsidRDefault="00801D07" w:rsidP="00C8266F">
      <w:r w:rsidRPr="007F0F36">
        <w:t xml:space="preserve">In contrast, with more taxpaying years ahead of them and more time to increase their income over time, the corresponding starting income </w:t>
      </w:r>
      <w:r w:rsidR="00D675EE" w:rsidRPr="007F0F36">
        <w:t>for a 30</w:t>
      </w:r>
      <w:r w:rsidR="009C1E51">
        <w:t>-</w:t>
      </w:r>
      <w:r w:rsidR="00D675EE" w:rsidRPr="007F0F36">
        <w:t>year</w:t>
      </w:r>
      <w:r w:rsidR="009C1E51">
        <w:t>-</w:t>
      </w:r>
      <w:r w:rsidR="00D675EE" w:rsidRPr="007F0F36">
        <w:t>old to achieve the average lifetime fiscal impact for skilled migrants</w:t>
      </w:r>
      <w:r w:rsidRPr="007F0F36">
        <w:t xml:space="preserve"> is around $</w:t>
      </w:r>
      <w:r w:rsidR="00D675EE" w:rsidRPr="007F0F36">
        <w:t>100</w:t>
      </w:r>
      <w:r w:rsidRPr="007F0F36">
        <w:t xml:space="preserve">,000. </w:t>
      </w:r>
    </w:p>
    <w:p w14:paraId="079C70A1" w14:textId="6C62963E" w:rsidR="006A6A54" w:rsidRDefault="00860A05" w:rsidP="0023028F">
      <w:pPr>
        <w:pStyle w:val="ChartMainHeading"/>
      </w:pPr>
      <w:r w:rsidRPr="00F70234">
        <w:t>Chart 1</w:t>
      </w:r>
      <w:r w:rsidR="000D234B" w:rsidRPr="00F70234">
        <w:t>2</w:t>
      </w:r>
      <w:r w:rsidRPr="00F70234">
        <w:t xml:space="preserve">: </w:t>
      </w:r>
      <w:r w:rsidR="00CC2B32" w:rsidRPr="00F70234">
        <w:t>Illustrative FIONA estimates of the s</w:t>
      </w:r>
      <w:r w:rsidR="0022727B" w:rsidRPr="00F70234">
        <w:t xml:space="preserve">tarting wage required to achieve </w:t>
      </w:r>
      <w:r w:rsidR="00CF0E17" w:rsidRPr="00F70234">
        <w:t>the average lifetime fiscal impact</w:t>
      </w:r>
      <w:r w:rsidR="004635AC">
        <w:t xml:space="preserve"> of a</w:t>
      </w:r>
      <w:r w:rsidR="00CF0E17" w:rsidRPr="00F70234">
        <w:t xml:space="preserve"> primary skill</w:t>
      </w:r>
      <w:r w:rsidR="004635AC">
        <w:t>ed</w:t>
      </w:r>
      <w:r w:rsidR="00CF0E17" w:rsidRPr="00F70234">
        <w:t xml:space="preserve"> migrant</w:t>
      </w:r>
    </w:p>
    <w:p w14:paraId="62566EB7" w14:textId="7A314737" w:rsidR="00801D07" w:rsidRPr="00202786" w:rsidRDefault="00FA40C3" w:rsidP="00202786">
      <w:pPr>
        <w:rPr>
          <w:rFonts w:ascii="Arial" w:hAnsi="Arial"/>
          <w:color w:val="002C47" w:themeColor="accent1"/>
          <w:sz w:val="24"/>
        </w:rPr>
      </w:pPr>
      <w:r>
        <w:rPr>
          <w:noProof/>
          <w:sz w:val="18"/>
          <w:szCs w:val="18"/>
          <w:lang w:val="en-US" w:eastAsia="en-AU"/>
        </w:rPr>
        <w:drawing>
          <wp:inline distT="0" distB="0" distL="0" distR="0" wp14:anchorId="079E0694" wp14:editId="70AE8C56">
            <wp:extent cx="5904230" cy="2256790"/>
            <wp:effectExtent l="0" t="0" r="1270" b="0"/>
            <wp:docPr id="27" name="Picture 27" descr="This chart shows that starting wage  increases exponentially with age to achieve the average lifetime fiscal impact of a skilled primary migrant. This would indicate that younger migrants are more likely to generate higher lifetime fiscal impacts than older mi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chart shows that starting wage  increases exponentially with age to achieve the average lifetime fiscal impact of a skilled primary migrant. This would indicate that younger migrants are more likely to generate higher lifetime fiscal impacts than older migrant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4230" cy="2256790"/>
                    </a:xfrm>
                    <a:prstGeom prst="rect">
                      <a:avLst/>
                    </a:prstGeom>
                    <a:noFill/>
                    <a:ln>
                      <a:noFill/>
                    </a:ln>
                  </pic:spPr>
                </pic:pic>
              </a:graphicData>
            </a:graphic>
          </wp:inline>
        </w:drawing>
      </w:r>
      <w:r w:rsidR="00801D07" w:rsidRPr="00D03C70">
        <w:rPr>
          <w:sz w:val="18"/>
          <w:szCs w:val="18"/>
          <w:lang w:val="en-US" w:eastAsia="en-AU"/>
        </w:rPr>
        <w:t>This calculation uses the</w:t>
      </w:r>
      <w:r w:rsidR="00F751DB">
        <w:rPr>
          <w:sz w:val="18"/>
          <w:szCs w:val="18"/>
          <w:lang w:val="en-US" w:eastAsia="en-AU"/>
        </w:rPr>
        <w:t xml:space="preserve"> distribution of</w:t>
      </w:r>
      <w:r w:rsidR="00801D07" w:rsidRPr="00D03C70">
        <w:rPr>
          <w:sz w:val="18"/>
          <w:szCs w:val="18"/>
          <w:lang w:val="en-US" w:eastAsia="en-AU"/>
        </w:rPr>
        <w:t xml:space="preserve"> employment and participation rates from </w:t>
      </w:r>
      <w:r w:rsidR="00265858">
        <w:rPr>
          <w:sz w:val="18"/>
          <w:szCs w:val="18"/>
          <w:lang w:val="en-US" w:eastAsia="en-AU"/>
        </w:rPr>
        <w:t>s</w:t>
      </w:r>
      <w:r w:rsidR="00801D07" w:rsidRPr="00D03C70">
        <w:rPr>
          <w:sz w:val="18"/>
          <w:szCs w:val="18"/>
          <w:lang w:val="en-US" w:eastAsia="en-AU"/>
        </w:rPr>
        <w:t>killed</w:t>
      </w:r>
      <w:r w:rsidR="00CC02C5">
        <w:rPr>
          <w:sz w:val="18"/>
          <w:szCs w:val="18"/>
          <w:lang w:val="en-US" w:eastAsia="en-AU"/>
        </w:rPr>
        <w:t xml:space="preserve"> primary</w:t>
      </w:r>
      <w:r w:rsidR="00801D07" w:rsidRPr="00D03C70">
        <w:rPr>
          <w:sz w:val="18"/>
          <w:szCs w:val="18"/>
          <w:lang w:val="en-US" w:eastAsia="en-AU"/>
        </w:rPr>
        <w:t xml:space="preserve"> migrants.</w:t>
      </w:r>
      <w:r w:rsidR="00801D07">
        <w:rPr>
          <w:sz w:val="18"/>
          <w:szCs w:val="18"/>
          <w:lang w:val="en-US" w:eastAsia="en-AU"/>
        </w:rPr>
        <w:t xml:space="preserve"> This does not capture the fiscal impact of secondary migrants, nor does it capture any link between different levels of income and revenues and expenses outside of the personal income tax. </w:t>
      </w:r>
      <w:r w:rsidR="008F0119">
        <w:rPr>
          <w:sz w:val="18"/>
          <w:szCs w:val="18"/>
          <w:lang w:val="en-US" w:eastAsia="en-AU"/>
        </w:rPr>
        <w:t>This calculation could be repeated for secondary migrants and for migrant</w:t>
      </w:r>
      <w:r w:rsidR="00586D72">
        <w:rPr>
          <w:sz w:val="18"/>
          <w:szCs w:val="18"/>
          <w:lang w:val="en-US" w:eastAsia="en-AU"/>
        </w:rPr>
        <w:t>s</w:t>
      </w:r>
      <w:r w:rsidR="008F0119">
        <w:rPr>
          <w:sz w:val="18"/>
          <w:szCs w:val="18"/>
          <w:lang w:val="en-US" w:eastAsia="en-AU"/>
        </w:rPr>
        <w:t xml:space="preserve"> from different programs. Such a calculation would result in a different set of age and income combinations that yield that average fiscal impact. However, the general trade</w:t>
      </w:r>
      <w:r w:rsidR="009C1E51">
        <w:rPr>
          <w:sz w:val="18"/>
          <w:szCs w:val="18"/>
          <w:lang w:val="en-US" w:eastAsia="en-AU"/>
        </w:rPr>
        <w:t>-</w:t>
      </w:r>
      <w:r w:rsidR="008F0119">
        <w:rPr>
          <w:sz w:val="18"/>
          <w:szCs w:val="18"/>
          <w:lang w:val="en-US" w:eastAsia="en-AU"/>
        </w:rPr>
        <w:t xml:space="preserve">off between age and income would be similar in each of these calculations. </w:t>
      </w:r>
    </w:p>
    <w:p w14:paraId="0F2D2E0B" w14:textId="39441C5C" w:rsidR="00801D07" w:rsidRPr="00044E2B" w:rsidRDefault="00801D07" w:rsidP="001A66C0">
      <w:pPr>
        <w:pStyle w:val="Heading3"/>
      </w:pPr>
      <w:bookmarkStart w:id="40" w:name="_Toc77175228"/>
      <w:r>
        <w:t xml:space="preserve">Quantifying the </w:t>
      </w:r>
      <w:r w:rsidR="009977BE">
        <w:t xml:space="preserve">major </w:t>
      </w:r>
      <w:r w:rsidR="005F542F">
        <w:t xml:space="preserve">drivers </w:t>
      </w:r>
      <w:r w:rsidR="00AE3BF5">
        <w:t>of FIONA results</w:t>
      </w:r>
      <w:bookmarkEnd w:id="40"/>
      <w:r>
        <w:t xml:space="preserve"> </w:t>
      </w:r>
    </w:p>
    <w:p w14:paraId="46F5CB6B" w14:textId="520301F5" w:rsidR="00132BA9" w:rsidRDefault="00132BA9" w:rsidP="007F0F36">
      <w:r>
        <w:t xml:space="preserve">This section of the paper decomposes differences in estimated fiscal impact into </w:t>
      </w:r>
      <w:r w:rsidR="009977BE">
        <w:t>major</w:t>
      </w:r>
      <w:r>
        <w:t xml:space="preserve"> factors that are captured by FIONA. This calculation </w:t>
      </w:r>
      <w:r w:rsidR="009977BE">
        <w:t xml:space="preserve">confirms </w:t>
      </w:r>
      <w:r>
        <w:t>that age profile and labour market performance are the most important driver</w:t>
      </w:r>
      <w:r w:rsidR="00782E55">
        <w:t>s</w:t>
      </w:r>
      <w:r>
        <w:t xml:space="preserve">, while other </w:t>
      </w:r>
      <w:r w:rsidR="00782E55">
        <w:t>factors captured in FIONA</w:t>
      </w:r>
      <w:r>
        <w:t xml:space="preserve"> play a smaller role. </w:t>
      </w:r>
    </w:p>
    <w:p w14:paraId="2DE0BBC8" w14:textId="6282F42F" w:rsidR="005B68FB" w:rsidRDefault="00132BA9" w:rsidP="007F0F36">
      <w:r>
        <w:t>This decomposition is based on a series of calculations in which FIONA is re</w:t>
      </w:r>
      <w:r w:rsidR="009C1E51">
        <w:t>-</w:t>
      </w:r>
      <w:r w:rsidR="00AA0581">
        <w:t xml:space="preserve">estimated </w:t>
      </w:r>
      <w:r>
        <w:t xml:space="preserve">while setting migrant characteristics to be equal to the Australian population. </w:t>
      </w:r>
      <w:r w:rsidR="005B68FB">
        <w:t xml:space="preserve">In turn, this calculation isolates the impact of migrant age structure, income distribution, employment and participation rates, receipt of transfer payments, emigration, </w:t>
      </w:r>
      <w:r w:rsidR="00677442">
        <w:t xml:space="preserve">healthcare expenses (conditional on age) and Visa Application Charges. </w:t>
      </w:r>
    </w:p>
    <w:p w14:paraId="4C711D11" w14:textId="2B2E69ED" w:rsidR="00801D07" w:rsidRDefault="00801D07" w:rsidP="007F0F36">
      <w:r>
        <w:lastRenderedPageBreak/>
        <w:t xml:space="preserve">The results from this series of calculations are shown in </w:t>
      </w:r>
      <w:r w:rsidR="00AE3BF5">
        <w:t>T</w:t>
      </w:r>
      <w:r>
        <w:t xml:space="preserve">able </w:t>
      </w:r>
      <w:r w:rsidR="00D83342">
        <w:t>7</w:t>
      </w:r>
      <w:r>
        <w:t>.</w:t>
      </w:r>
      <w:r>
        <w:rPr>
          <w:rStyle w:val="FootnoteReference"/>
        </w:rPr>
        <w:footnoteReference w:id="24"/>
      </w:r>
      <w:r>
        <w:t xml:space="preserve"> For instance, if all skilled migrants were modelled as having the same age distribution as the Australian population, it would reduce the estimate in FIONA by $167,000 per person.</w:t>
      </w:r>
      <w:r w:rsidR="009977BE">
        <w:t xml:space="preserve"> </w:t>
      </w:r>
    </w:p>
    <w:p w14:paraId="2A74F3F6" w14:textId="7CD3B4A5" w:rsidR="00801D07" w:rsidRPr="00F70234" w:rsidRDefault="00801D07" w:rsidP="0023028F">
      <w:pPr>
        <w:pStyle w:val="TableHeading1"/>
      </w:pPr>
      <w:r w:rsidRPr="00F70234">
        <w:t xml:space="preserve">Table </w:t>
      </w:r>
      <w:r w:rsidR="00D83342" w:rsidRPr="00F70234">
        <w:t>7:</w:t>
      </w:r>
      <w:r w:rsidRPr="00F70234">
        <w:t xml:space="preserve"> </w:t>
      </w:r>
      <w:r w:rsidR="0022727B" w:rsidRPr="00F70234">
        <w:t xml:space="preserve">Summary of </w:t>
      </w:r>
      <w:r w:rsidR="00125A1D" w:rsidRPr="00F70234">
        <w:t xml:space="preserve">the </w:t>
      </w:r>
      <w:r w:rsidR="009977BE" w:rsidRPr="00F70234">
        <w:t xml:space="preserve">major </w:t>
      </w:r>
      <w:r w:rsidR="00125A1D" w:rsidRPr="00F70234">
        <w:t>drivers of FIONA results</w:t>
      </w:r>
      <w:r w:rsidR="00D675EE" w:rsidRPr="00F70234">
        <w:t>,</w:t>
      </w:r>
      <w:r w:rsidR="002F0F21" w:rsidRPr="00F70234">
        <w:t xml:space="preserve"> </w:t>
      </w:r>
      <w:r w:rsidR="007A5EBE" w:rsidRPr="00F70234">
        <w:t>$</w:t>
      </w:r>
      <w:r w:rsidR="00721CC4" w:rsidRPr="00F70234">
        <w:t>NPV</w:t>
      </w:r>
      <w:r w:rsidR="007A5EBE" w:rsidRPr="00F70234">
        <w:t xml:space="preserve"> per person (2018</w:t>
      </w:r>
      <w:r w:rsidR="00F62807" w:rsidRPr="00F70234">
        <w:t>–</w:t>
      </w:r>
      <w:r w:rsidR="007A5EBE" w:rsidRPr="00F70234">
        <w:t>19)</w:t>
      </w:r>
    </w:p>
    <w:tbl>
      <w:tblPr>
        <w:tblW w:w="9280" w:type="dxa"/>
        <w:tblCellMar>
          <w:left w:w="0" w:type="dxa"/>
          <w:right w:w="28" w:type="dxa"/>
        </w:tblCellMar>
        <w:tblLook w:val="04A0" w:firstRow="1" w:lastRow="0" w:firstColumn="1" w:lastColumn="0" w:noHBand="0" w:noVBand="1"/>
      </w:tblPr>
      <w:tblGrid>
        <w:gridCol w:w="3232"/>
        <w:gridCol w:w="2003"/>
        <w:gridCol w:w="2126"/>
        <w:gridCol w:w="1919"/>
      </w:tblGrid>
      <w:tr w:rsidR="00F80D49" w:rsidRPr="00877CAC" w14:paraId="22AB288A" w14:textId="77777777" w:rsidTr="008A37FD">
        <w:trPr>
          <w:trHeight w:val="340"/>
        </w:trPr>
        <w:tc>
          <w:tcPr>
            <w:tcW w:w="3232" w:type="dxa"/>
            <w:tcBorders>
              <w:top w:val="single" w:sz="4" w:space="0" w:color="auto"/>
              <w:left w:val="single" w:sz="4" w:space="0" w:color="auto"/>
              <w:bottom w:val="single" w:sz="4" w:space="0" w:color="auto"/>
              <w:right w:val="single" w:sz="4" w:space="0" w:color="auto"/>
            </w:tcBorders>
            <w:shd w:val="clear" w:color="auto" w:fill="CFDCEA"/>
            <w:tcMar>
              <w:top w:w="15" w:type="dxa"/>
              <w:left w:w="108" w:type="dxa"/>
              <w:bottom w:w="0" w:type="dxa"/>
              <w:right w:w="108" w:type="dxa"/>
            </w:tcMar>
            <w:hideMark/>
          </w:tcPr>
          <w:p w14:paraId="4AE50394" w14:textId="77777777" w:rsidR="00F80D49" w:rsidRPr="008A37FD" w:rsidRDefault="00F80D49" w:rsidP="008A37FD">
            <w:pPr>
              <w:spacing w:after="0"/>
              <w:rPr>
                <w:b/>
                <w:bCs/>
                <w:sz w:val="20"/>
                <w:szCs w:val="20"/>
              </w:rPr>
            </w:pPr>
            <w:r w:rsidRPr="008A37FD">
              <w:rPr>
                <w:b/>
                <w:bCs/>
                <w:sz w:val="20"/>
                <w:szCs w:val="20"/>
              </w:rPr>
              <w:t> </w:t>
            </w:r>
          </w:p>
        </w:tc>
        <w:tc>
          <w:tcPr>
            <w:tcW w:w="2003" w:type="dxa"/>
            <w:tcBorders>
              <w:top w:val="single" w:sz="4" w:space="0" w:color="auto"/>
              <w:left w:val="single" w:sz="4" w:space="0" w:color="auto"/>
              <w:bottom w:val="single" w:sz="4" w:space="0" w:color="auto"/>
              <w:right w:val="single" w:sz="4" w:space="0" w:color="auto"/>
            </w:tcBorders>
            <w:shd w:val="clear" w:color="auto" w:fill="CFDCEA"/>
            <w:tcMar>
              <w:top w:w="15" w:type="dxa"/>
              <w:left w:w="108" w:type="dxa"/>
              <w:bottom w:w="0" w:type="dxa"/>
              <w:right w:w="108" w:type="dxa"/>
            </w:tcMar>
            <w:hideMark/>
          </w:tcPr>
          <w:p w14:paraId="4EC71144" w14:textId="77777777" w:rsidR="00F80D49" w:rsidRPr="008A37FD" w:rsidRDefault="00F80D49" w:rsidP="00F67053">
            <w:pPr>
              <w:spacing w:after="0"/>
              <w:rPr>
                <w:rFonts w:ascii="Arial" w:eastAsia="Times New Roman" w:hAnsi="Arial" w:cs="Arial"/>
                <w:b/>
                <w:bCs/>
                <w:sz w:val="16"/>
                <w:szCs w:val="16"/>
                <w:lang w:eastAsia="en-AU"/>
              </w:rPr>
            </w:pPr>
            <w:r w:rsidRPr="008A37FD">
              <w:rPr>
                <w:rFonts w:ascii="Arial" w:eastAsia="Times New Roman" w:hAnsi="Arial" w:cs="Arial"/>
                <w:b/>
                <w:bCs/>
                <w:sz w:val="16"/>
                <w:szCs w:val="16"/>
                <w:lang w:eastAsia="en-AU"/>
              </w:rPr>
              <w:t>Skill</w:t>
            </w:r>
          </w:p>
        </w:tc>
        <w:tc>
          <w:tcPr>
            <w:tcW w:w="2126" w:type="dxa"/>
            <w:tcBorders>
              <w:top w:val="single" w:sz="4" w:space="0" w:color="auto"/>
              <w:left w:val="single" w:sz="4" w:space="0" w:color="auto"/>
              <w:bottom w:val="single" w:sz="4" w:space="0" w:color="auto"/>
              <w:right w:val="single" w:sz="4" w:space="0" w:color="auto"/>
            </w:tcBorders>
            <w:shd w:val="clear" w:color="auto" w:fill="CFDCEA"/>
            <w:tcMar>
              <w:top w:w="15" w:type="dxa"/>
              <w:left w:w="108" w:type="dxa"/>
              <w:bottom w:w="0" w:type="dxa"/>
              <w:right w:w="108" w:type="dxa"/>
            </w:tcMar>
            <w:hideMark/>
          </w:tcPr>
          <w:p w14:paraId="45EE4900" w14:textId="77777777" w:rsidR="00F80D49" w:rsidRPr="008A37FD" w:rsidRDefault="00F80D49" w:rsidP="00F67053">
            <w:pPr>
              <w:spacing w:after="0"/>
              <w:rPr>
                <w:b/>
                <w:bCs/>
                <w:sz w:val="20"/>
                <w:szCs w:val="20"/>
              </w:rPr>
            </w:pPr>
            <w:r w:rsidRPr="008A37FD">
              <w:rPr>
                <w:b/>
                <w:bCs/>
                <w:sz w:val="20"/>
                <w:szCs w:val="20"/>
              </w:rPr>
              <w:t>Family</w:t>
            </w:r>
          </w:p>
        </w:tc>
        <w:tc>
          <w:tcPr>
            <w:tcW w:w="1919" w:type="dxa"/>
            <w:tcBorders>
              <w:top w:val="single" w:sz="4" w:space="0" w:color="auto"/>
              <w:left w:val="single" w:sz="4" w:space="0" w:color="auto"/>
              <w:bottom w:val="single" w:sz="4" w:space="0" w:color="auto"/>
              <w:right w:val="single" w:sz="4" w:space="0" w:color="auto"/>
            </w:tcBorders>
            <w:shd w:val="clear" w:color="auto" w:fill="CFDCEA"/>
            <w:tcMar>
              <w:top w:w="15" w:type="dxa"/>
              <w:left w:w="108" w:type="dxa"/>
              <w:bottom w:w="0" w:type="dxa"/>
              <w:right w:w="108" w:type="dxa"/>
            </w:tcMar>
            <w:hideMark/>
          </w:tcPr>
          <w:p w14:paraId="61736309" w14:textId="77777777" w:rsidR="00F80D49" w:rsidRPr="008A37FD" w:rsidRDefault="00F80D49" w:rsidP="00F67053">
            <w:pPr>
              <w:spacing w:after="0"/>
              <w:rPr>
                <w:b/>
                <w:bCs/>
                <w:sz w:val="20"/>
                <w:szCs w:val="20"/>
              </w:rPr>
            </w:pPr>
            <w:r w:rsidRPr="008A37FD">
              <w:rPr>
                <w:b/>
                <w:bCs/>
                <w:sz w:val="20"/>
                <w:szCs w:val="20"/>
              </w:rPr>
              <w:t>Humanitarian</w:t>
            </w:r>
          </w:p>
        </w:tc>
      </w:tr>
      <w:tr w:rsidR="00F80D49" w:rsidRPr="00877CAC" w14:paraId="7363040A" w14:textId="77777777" w:rsidTr="009724A8">
        <w:trPr>
          <w:trHeight w:val="455"/>
        </w:trPr>
        <w:tc>
          <w:tcPr>
            <w:tcW w:w="323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1B3EE890" w14:textId="77777777" w:rsidR="00F80D49" w:rsidRPr="009724A8" w:rsidRDefault="00F80D49" w:rsidP="008A37FD">
            <w:pPr>
              <w:spacing w:after="0"/>
              <w:rPr>
                <w:rFonts w:ascii="Arial" w:eastAsia="Times New Roman" w:hAnsi="Arial" w:cs="Arial"/>
                <w:sz w:val="16"/>
                <w:szCs w:val="16"/>
                <w:lang w:eastAsia="en-AU"/>
              </w:rPr>
            </w:pPr>
            <w:r w:rsidRPr="009724A8">
              <w:rPr>
                <w:rFonts w:ascii="Arial" w:eastAsia="Times New Roman" w:hAnsi="Arial" w:cs="Arial"/>
                <w:sz w:val="16"/>
                <w:szCs w:val="16"/>
                <w:lang w:eastAsia="en-AU"/>
              </w:rPr>
              <w:t>Difference between migrants and the Australian population</w:t>
            </w:r>
          </w:p>
        </w:tc>
        <w:tc>
          <w:tcPr>
            <w:tcW w:w="200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76C9927" w14:textId="77777777" w:rsidR="00F80D49" w:rsidRPr="009724A8" w:rsidRDefault="00F80D49" w:rsidP="008A37FD">
            <w:pPr>
              <w:spacing w:after="0"/>
              <w:jc w:val="right"/>
              <w:rPr>
                <w:rFonts w:ascii="Arial" w:eastAsia="Times New Roman" w:hAnsi="Arial" w:cs="Arial"/>
                <w:sz w:val="16"/>
                <w:szCs w:val="16"/>
                <w:lang w:eastAsia="en-AU"/>
              </w:rPr>
            </w:pPr>
            <w:r w:rsidRPr="009724A8">
              <w:rPr>
                <w:rFonts w:ascii="Arial" w:eastAsia="Times New Roman" w:hAnsi="Arial" w:cs="Arial"/>
                <w:sz w:val="16"/>
                <w:szCs w:val="16"/>
                <w:lang w:eastAsia="en-AU"/>
              </w:rPr>
              <w:t>283,000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7C3C59E3" w14:textId="5DC1A609" w:rsidR="00F80D49" w:rsidRPr="009724A8" w:rsidRDefault="00C939CB" w:rsidP="008A37FD">
            <w:pPr>
              <w:spacing w:after="0"/>
              <w:jc w:val="right"/>
              <w:rPr>
                <w:rFonts w:ascii="Arial" w:hAnsi="Arial" w:cs="Arial"/>
                <w:sz w:val="16"/>
                <w:szCs w:val="16"/>
              </w:rPr>
            </w:pPr>
            <w:r>
              <w:rPr>
                <w:rFonts w:ascii="Arial" w:hAnsi="Arial" w:cs="Arial"/>
                <w:sz w:val="16"/>
                <w:szCs w:val="16"/>
              </w:rPr>
              <w:t>-41,000</w:t>
            </w:r>
          </w:p>
        </w:tc>
        <w:tc>
          <w:tcPr>
            <w:tcW w:w="191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325148CF" w14:textId="2CAA35BD" w:rsidR="00F80D49" w:rsidRPr="009724A8" w:rsidRDefault="00F62807" w:rsidP="008A37FD">
            <w:pPr>
              <w:spacing w:after="0"/>
              <w:jc w:val="right"/>
              <w:rPr>
                <w:rFonts w:ascii="Arial" w:hAnsi="Arial" w:cs="Arial"/>
                <w:sz w:val="16"/>
                <w:szCs w:val="16"/>
              </w:rPr>
            </w:pPr>
            <w:r w:rsidRPr="009724A8">
              <w:rPr>
                <w:rFonts w:ascii="Arial" w:hAnsi="Arial" w:cs="Arial"/>
                <w:sz w:val="16"/>
                <w:szCs w:val="16"/>
              </w:rPr>
              <w:t>–</w:t>
            </w:r>
            <w:r w:rsidR="00F80D49" w:rsidRPr="009724A8">
              <w:rPr>
                <w:rFonts w:ascii="Arial" w:hAnsi="Arial" w:cs="Arial"/>
                <w:sz w:val="16"/>
                <w:szCs w:val="16"/>
              </w:rPr>
              <w:t>315,000</w:t>
            </w:r>
          </w:p>
        </w:tc>
      </w:tr>
      <w:tr w:rsidR="00F80D49" w:rsidRPr="00877CAC" w14:paraId="729EFD68" w14:textId="77777777" w:rsidTr="009724A8">
        <w:trPr>
          <w:trHeight w:val="340"/>
        </w:trPr>
        <w:tc>
          <w:tcPr>
            <w:tcW w:w="323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389EE17A" w14:textId="77777777" w:rsidR="00F80D49" w:rsidRPr="009724A8" w:rsidRDefault="00F80D49" w:rsidP="008A37FD">
            <w:pPr>
              <w:spacing w:after="0"/>
              <w:rPr>
                <w:rFonts w:ascii="Arial" w:eastAsia="Times New Roman" w:hAnsi="Arial" w:cs="Arial"/>
                <w:b/>
                <w:bCs/>
                <w:sz w:val="16"/>
                <w:szCs w:val="16"/>
                <w:lang w:eastAsia="en-AU"/>
              </w:rPr>
            </w:pPr>
            <w:r w:rsidRPr="009724A8">
              <w:rPr>
                <w:rFonts w:ascii="Arial" w:eastAsia="Times New Roman" w:hAnsi="Arial" w:cs="Arial"/>
                <w:b/>
                <w:bCs/>
                <w:sz w:val="16"/>
                <w:szCs w:val="16"/>
                <w:lang w:eastAsia="en-AU"/>
              </w:rPr>
              <w:t>Impact of different factors</w:t>
            </w:r>
          </w:p>
        </w:tc>
        <w:tc>
          <w:tcPr>
            <w:tcW w:w="200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423CEA40" w14:textId="77777777" w:rsidR="00F80D49" w:rsidRPr="009724A8" w:rsidRDefault="00F80D49" w:rsidP="008A37FD">
            <w:pPr>
              <w:spacing w:after="0"/>
              <w:jc w:val="right"/>
              <w:rPr>
                <w:rFonts w:ascii="Arial" w:eastAsia="Times New Roman" w:hAnsi="Arial" w:cs="Arial"/>
                <w:sz w:val="16"/>
                <w:szCs w:val="16"/>
                <w:lang w:eastAsia="en-AU"/>
              </w:rPr>
            </w:pPr>
            <w:r w:rsidRPr="009724A8">
              <w:rPr>
                <w:rFonts w:ascii="Arial" w:eastAsia="Times New Roman" w:hAnsi="Arial" w:cs="Arial"/>
                <w:sz w:val="16"/>
                <w:szCs w:val="16"/>
                <w:lang w:eastAsia="en-AU"/>
              </w:rPr>
              <w:t> </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35F3666D" w14:textId="77777777" w:rsidR="00F80D49" w:rsidRPr="009724A8" w:rsidRDefault="00F80D49" w:rsidP="008A37FD">
            <w:pPr>
              <w:spacing w:after="0"/>
              <w:jc w:val="right"/>
              <w:rPr>
                <w:rFonts w:ascii="Arial" w:hAnsi="Arial" w:cs="Arial"/>
                <w:sz w:val="16"/>
                <w:szCs w:val="16"/>
              </w:rPr>
            </w:pPr>
            <w:r w:rsidRPr="009724A8">
              <w:rPr>
                <w:rFonts w:ascii="Arial" w:hAnsi="Arial" w:cs="Arial"/>
                <w:sz w:val="16"/>
                <w:szCs w:val="16"/>
              </w:rPr>
              <w:t> </w:t>
            </w:r>
          </w:p>
        </w:tc>
        <w:tc>
          <w:tcPr>
            <w:tcW w:w="191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5AD40E2" w14:textId="77777777" w:rsidR="00F80D49" w:rsidRPr="009724A8" w:rsidRDefault="00F80D49" w:rsidP="008A37FD">
            <w:pPr>
              <w:spacing w:after="0"/>
              <w:jc w:val="right"/>
              <w:rPr>
                <w:rFonts w:ascii="Arial" w:hAnsi="Arial" w:cs="Arial"/>
                <w:sz w:val="16"/>
                <w:szCs w:val="16"/>
              </w:rPr>
            </w:pPr>
            <w:r w:rsidRPr="009724A8">
              <w:rPr>
                <w:rFonts w:ascii="Arial" w:hAnsi="Arial" w:cs="Arial"/>
                <w:sz w:val="16"/>
                <w:szCs w:val="16"/>
              </w:rPr>
              <w:t> </w:t>
            </w:r>
          </w:p>
        </w:tc>
      </w:tr>
      <w:tr w:rsidR="00F80D49" w:rsidRPr="00877CAC" w14:paraId="17DFDF7E" w14:textId="77777777" w:rsidTr="009724A8">
        <w:trPr>
          <w:trHeight w:val="340"/>
        </w:trPr>
        <w:tc>
          <w:tcPr>
            <w:tcW w:w="323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86C80C8" w14:textId="77777777" w:rsidR="00F80D49" w:rsidRPr="009724A8" w:rsidRDefault="00F80D49" w:rsidP="008A37FD">
            <w:pPr>
              <w:spacing w:after="0"/>
              <w:rPr>
                <w:rFonts w:ascii="Arial" w:eastAsia="Times New Roman" w:hAnsi="Arial" w:cs="Arial"/>
                <w:sz w:val="16"/>
                <w:szCs w:val="16"/>
                <w:lang w:eastAsia="en-AU"/>
              </w:rPr>
            </w:pPr>
            <w:r w:rsidRPr="009724A8">
              <w:rPr>
                <w:rFonts w:ascii="Arial" w:eastAsia="Times New Roman" w:hAnsi="Arial" w:cs="Arial"/>
                <w:sz w:val="16"/>
                <w:szCs w:val="16"/>
                <w:lang w:eastAsia="en-AU"/>
              </w:rPr>
              <w:t>Same age profile</w:t>
            </w:r>
          </w:p>
        </w:tc>
        <w:tc>
          <w:tcPr>
            <w:tcW w:w="200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5955830" w14:textId="18DC6D6D" w:rsidR="00F80D49" w:rsidRPr="009724A8" w:rsidRDefault="00F62807" w:rsidP="008A37FD">
            <w:pPr>
              <w:spacing w:after="0"/>
              <w:jc w:val="right"/>
              <w:rPr>
                <w:rFonts w:ascii="Arial" w:eastAsia="Times New Roman" w:hAnsi="Arial" w:cs="Arial"/>
                <w:sz w:val="16"/>
                <w:szCs w:val="16"/>
                <w:lang w:eastAsia="en-AU"/>
              </w:rPr>
            </w:pPr>
            <w:r w:rsidRPr="009724A8">
              <w:rPr>
                <w:rFonts w:ascii="Arial" w:eastAsia="Times New Roman" w:hAnsi="Arial" w:cs="Arial"/>
                <w:sz w:val="16"/>
                <w:szCs w:val="16"/>
                <w:lang w:eastAsia="en-AU"/>
              </w:rPr>
              <w:t>–</w:t>
            </w:r>
            <w:r w:rsidR="00F80D49" w:rsidRPr="009724A8">
              <w:rPr>
                <w:rFonts w:ascii="Arial" w:eastAsia="Times New Roman" w:hAnsi="Arial" w:cs="Arial"/>
                <w:sz w:val="16"/>
                <w:szCs w:val="16"/>
                <w:lang w:eastAsia="en-AU"/>
              </w:rPr>
              <w:t>167,000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D6519FA" w14:textId="5B5EB94D" w:rsidR="00F80D49" w:rsidRPr="009724A8" w:rsidRDefault="00F62807" w:rsidP="008A37FD">
            <w:pPr>
              <w:spacing w:after="0"/>
              <w:jc w:val="right"/>
              <w:rPr>
                <w:rFonts w:ascii="Arial" w:hAnsi="Arial" w:cs="Arial"/>
                <w:sz w:val="16"/>
                <w:szCs w:val="16"/>
              </w:rPr>
            </w:pPr>
            <w:r w:rsidRPr="009724A8">
              <w:rPr>
                <w:rFonts w:ascii="Arial" w:hAnsi="Arial" w:cs="Arial"/>
                <w:sz w:val="16"/>
                <w:szCs w:val="16"/>
              </w:rPr>
              <w:t>–</w:t>
            </w:r>
            <w:r w:rsidR="00F80D49" w:rsidRPr="009724A8">
              <w:rPr>
                <w:rFonts w:ascii="Arial" w:hAnsi="Arial" w:cs="Arial"/>
                <w:sz w:val="16"/>
                <w:szCs w:val="16"/>
              </w:rPr>
              <w:t>48,000</w:t>
            </w:r>
          </w:p>
        </w:tc>
        <w:tc>
          <w:tcPr>
            <w:tcW w:w="191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0AA28548" w14:textId="5BF79C7B" w:rsidR="00F80D49" w:rsidRPr="009724A8" w:rsidRDefault="00F62807" w:rsidP="008A37FD">
            <w:pPr>
              <w:spacing w:after="0"/>
              <w:jc w:val="right"/>
              <w:rPr>
                <w:rFonts w:ascii="Arial" w:hAnsi="Arial" w:cs="Arial"/>
                <w:sz w:val="16"/>
                <w:szCs w:val="16"/>
              </w:rPr>
            </w:pPr>
            <w:r w:rsidRPr="009724A8">
              <w:rPr>
                <w:rFonts w:ascii="Arial" w:hAnsi="Arial" w:cs="Arial"/>
                <w:sz w:val="16"/>
                <w:szCs w:val="16"/>
              </w:rPr>
              <w:t>–</w:t>
            </w:r>
            <w:r w:rsidR="00F80D49" w:rsidRPr="009724A8">
              <w:rPr>
                <w:rFonts w:ascii="Arial" w:hAnsi="Arial" w:cs="Arial"/>
                <w:sz w:val="16"/>
                <w:szCs w:val="16"/>
              </w:rPr>
              <w:t>49,000</w:t>
            </w:r>
          </w:p>
        </w:tc>
      </w:tr>
      <w:tr w:rsidR="00F80D49" w:rsidRPr="00877CAC" w14:paraId="0CBC7F4E" w14:textId="77777777" w:rsidTr="009724A8">
        <w:trPr>
          <w:trHeight w:val="340"/>
        </w:trPr>
        <w:tc>
          <w:tcPr>
            <w:tcW w:w="323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028DB16E" w14:textId="7AAA2722" w:rsidR="00F80D49" w:rsidRPr="009724A8" w:rsidRDefault="00F80D49" w:rsidP="008A37FD">
            <w:pPr>
              <w:spacing w:after="0"/>
              <w:rPr>
                <w:rFonts w:ascii="Arial" w:eastAsia="Times New Roman" w:hAnsi="Arial" w:cs="Arial"/>
                <w:sz w:val="16"/>
                <w:szCs w:val="16"/>
                <w:lang w:eastAsia="en-AU"/>
              </w:rPr>
            </w:pPr>
            <w:r w:rsidRPr="009724A8">
              <w:rPr>
                <w:rFonts w:ascii="Arial" w:eastAsia="Times New Roman" w:hAnsi="Arial" w:cs="Arial"/>
                <w:sz w:val="16"/>
                <w:szCs w:val="16"/>
                <w:lang w:eastAsia="en-AU"/>
              </w:rPr>
              <w:t>Same income distribution</w:t>
            </w:r>
            <w:r w:rsidR="00677442" w:rsidRPr="009724A8">
              <w:rPr>
                <w:rFonts w:ascii="Arial" w:eastAsia="Times New Roman" w:hAnsi="Arial" w:cs="Arial"/>
                <w:sz w:val="16"/>
                <w:szCs w:val="16"/>
                <w:vertAlign w:val="superscript"/>
                <w:lang w:eastAsia="en-AU"/>
              </w:rPr>
              <w:footnoteReference w:id="25"/>
            </w:r>
          </w:p>
        </w:tc>
        <w:tc>
          <w:tcPr>
            <w:tcW w:w="200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10DC7579" w14:textId="453B0EE6" w:rsidR="00F80D49" w:rsidRPr="009724A8" w:rsidRDefault="00F62807" w:rsidP="008A37FD">
            <w:pPr>
              <w:spacing w:after="0"/>
              <w:jc w:val="right"/>
              <w:rPr>
                <w:rFonts w:ascii="Arial" w:eastAsia="Times New Roman" w:hAnsi="Arial" w:cs="Arial"/>
                <w:sz w:val="16"/>
                <w:szCs w:val="16"/>
                <w:lang w:eastAsia="en-AU"/>
              </w:rPr>
            </w:pPr>
            <w:r w:rsidRPr="009724A8">
              <w:rPr>
                <w:rFonts w:ascii="Arial" w:eastAsia="Times New Roman" w:hAnsi="Arial" w:cs="Arial"/>
                <w:sz w:val="16"/>
                <w:szCs w:val="16"/>
                <w:lang w:eastAsia="en-AU"/>
              </w:rPr>
              <w:t>–</w:t>
            </w:r>
            <w:r w:rsidR="00F80D49" w:rsidRPr="009724A8">
              <w:rPr>
                <w:rFonts w:ascii="Arial" w:eastAsia="Times New Roman" w:hAnsi="Arial" w:cs="Arial"/>
                <w:sz w:val="16"/>
                <w:szCs w:val="16"/>
                <w:lang w:eastAsia="en-AU"/>
              </w:rPr>
              <w:t>45,000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74935263" w14:textId="77777777" w:rsidR="00F80D49" w:rsidRPr="009724A8" w:rsidRDefault="00F80D49" w:rsidP="008A37FD">
            <w:pPr>
              <w:spacing w:after="0"/>
              <w:jc w:val="right"/>
              <w:rPr>
                <w:rFonts w:ascii="Arial" w:hAnsi="Arial" w:cs="Arial"/>
                <w:sz w:val="16"/>
                <w:szCs w:val="16"/>
              </w:rPr>
            </w:pPr>
            <w:r w:rsidRPr="009724A8">
              <w:rPr>
                <w:rFonts w:ascii="Arial" w:hAnsi="Arial" w:cs="Arial"/>
                <w:sz w:val="16"/>
                <w:szCs w:val="16"/>
              </w:rPr>
              <w:t>+85,000</w:t>
            </w:r>
          </w:p>
        </w:tc>
        <w:tc>
          <w:tcPr>
            <w:tcW w:w="191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2CC8FFB" w14:textId="77777777" w:rsidR="00F80D49" w:rsidRPr="009724A8" w:rsidRDefault="00F80D49" w:rsidP="008A37FD">
            <w:pPr>
              <w:spacing w:after="0"/>
              <w:jc w:val="right"/>
              <w:rPr>
                <w:rFonts w:ascii="Arial" w:hAnsi="Arial" w:cs="Arial"/>
                <w:sz w:val="16"/>
                <w:szCs w:val="16"/>
              </w:rPr>
            </w:pPr>
            <w:r w:rsidRPr="009724A8">
              <w:rPr>
                <w:rFonts w:ascii="Arial" w:hAnsi="Arial" w:cs="Arial"/>
                <w:sz w:val="16"/>
                <w:szCs w:val="16"/>
              </w:rPr>
              <w:t>+76,000</w:t>
            </w:r>
          </w:p>
        </w:tc>
      </w:tr>
      <w:tr w:rsidR="00F80D49" w:rsidRPr="00877CAC" w14:paraId="6D2CBDFC" w14:textId="77777777" w:rsidTr="009724A8">
        <w:trPr>
          <w:trHeight w:val="340"/>
        </w:trPr>
        <w:tc>
          <w:tcPr>
            <w:tcW w:w="323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366C9520" w14:textId="1E52A15B" w:rsidR="00F80D49" w:rsidRPr="009724A8" w:rsidRDefault="00F80D49" w:rsidP="008A37FD">
            <w:pPr>
              <w:spacing w:after="0"/>
              <w:rPr>
                <w:rFonts w:ascii="Arial" w:eastAsia="Times New Roman" w:hAnsi="Arial" w:cs="Arial"/>
                <w:sz w:val="16"/>
                <w:szCs w:val="16"/>
                <w:lang w:eastAsia="en-AU"/>
              </w:rPr>
            </w:pPr>
            <w:r w:rsidRPr="009724A8">
              <w:rPr>
                <w:rFonts w:ascii="Arial" w:eastAsia="Times New Roman" w:hAnsi="Arial" w:cs="Arial"/>
                <w:sz w:val="16"/>
                <w:szCs w:val="16"/>
                <w:lang w:eastAsia="en-AU"/>
              </w:rPr>
              <w:t>Same workforce participation</w:t>
            </w:r>
            <w:r w:rsidR="00677442" w:rsidRPr="009724A8">
              <w:rPr>
                <w:rFonts w:ascii="Arial" w:eastAsia="Times New Roman" w:hAnsi="Arial" w:cs="Arial"/>
                <w:sz w:val="16"/>
                <w:szCs w:val="16"/>
                <w:vertAlign w:val="superscript"/>
                <w:lang w:eastAsia="en-AU"/>
              </w:rPr>
              <w:footnoteReference w:id="26"/>
            </w:r>
          </w:p>
        </w:tc>
        <w:tc>
          <w:tcPr>
            <w:tcW w:w="200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7EA1B288" w14:textId="05B75CD5" w:rsidR="00F80D49" w:rsidRPr="009724A8" w:rsidRDefault="00F62807" w:rsidP="008A37FD">
            <w:pPr>
              <w:spacing w:after="0"/>
              <w:jc w:val="right"/>
              <w:rPr>
                <w:rFonts w:ascii="Arial" w:eastAsia="Times New Roman" w:hAnsi="Arial" w:cs="Arial"/>
                <w:sz w:val="16"/>
                <w:szCs w:val="16"/>
                <w:lang w:eastAsia="en-AU"/>
              </w:rPr>
            </w:pPr>
            <w:r w:rsidRPr="009724A8">
              <w:rPr>
                <w:rFonts w:ascii="Arial" w:eastAsia="Times New Roman" w:hAnsi="Arial" w:cs="Arial"/>
                <w:sz w:val="16"/>
                <w:szCs w:val="16"/>
                <w:lang w:eastAsia="en-AU"/>
              </w:rPr>
              <w:t>–</w:t>
            </w:r>
            <w:r w:rsidR="00F80D49" w:rsidRPr="009724A8">
              <w:rPr>
                <w:rFonts w:ascii="Arial" w:eastAsia="Times New Roman" w:hAnsi="Arial" w:cs="Arial"/>
                <w:sz w:val="16"/>
                <w:szCs w:val="16"/>
                <w:lang w:eastAsia="en-AU"/>
              </w:rPr>
              <w:t>15,000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1C4AF74E" w14:textId="77777777" w:rsidR="00F80D49" w:rsidRPr="009724A8" w:rsidRDefault="00F80D49" w:rsidP="008A37FD">
            <w:pPr>
              <w:spacing w:after="0"/>
              <w:jc w:val="right"/>
              <w:rPr>
                <w:rFonts w:ascii="Arial" w:hAnsi="Arial" w:cs="Arial"/>
                <w:sz w:val="16"/>
                <w:szCs w:val="16"/>
              </w:rPr>
            </w:pPr>
            <w:r w:rsidRPr="009724A8">
              <w:rPr>
                <w:rFonts w:ascii="Arial" w:hAnsi="Arial" w:cs="Arial"/>
                <w:sz w:val="16"/>
                <w:szCs w:val="16"/>
              </w:rPr>
              <w:t>+35,000</w:t>
            </w:r>
          </w:p>
        </w:tc>
        <w:tc>
          <w:tcPr>
            <w:tcW w:w="191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02FE3465" w14:textId="77777777" w:rsidR="00F80D49" w:rsidRPr="009724A8" w:rsidRDefault="00F80D49" w:rsidP="008A37FD">
            <w:pPr>
              <w:spacing w:after="0"/>
              <w:jc w:val="right"/>
              <w:rPr>
                <w:rFonts w:ascii="Arial" w:hAnsi="Arial" w:cs="Arial"/>
                <w:sz w:val="16"/>
                <w:szCs w:val="16"/>
              </w:rPr>
            </w:pPr>
            <w:r w:rsidRPr="009724A8">
              <w:rPr>
                <w:rFonts w:ascii="Arial" w:hAnsi="Arial" w:cs="Arial"/>
                <w:sz w:val="16"/>
                <w:szCs w:val="16"/>
              </w:rPr>
              <w:t>+49,000</w:t>
            </w:r>
          </w:p>
        </w:tc>
      </w:tr>
      <w:tr w:rsidR="00F80D49" w:rsidRPr="00877CAC" w14:paraId="1D99654B" w14:textId="77777777" w:rsidTr="009724A8">
        <w:trPr>
          <w:trHeight w:val="340"/>
        </w:trPr>
        <w:tc>
          <w:tcPr>
            <w:tcW w:w="323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68816EB3" w14:textId="77777777" w:rsidR="00F80D49" w:rsidRPr="009724A8" w:rsidRDefault="00F80D49" w:rsidP="008A37FD">
            <w:pPr>
              <w:spacing w:after="0"/>
              <w:rPr>
                <w:rFonts w:ascii="Arial" w:eastAsia="Times New Roman" w:hAnsi="Arial" w:cs="Arial"/>
                <w:sz w:val="16"/>
                <w:szCs w:val="16"/>
                <w:lang w:eastAsia="en-AU"/>
              </w:rPr>
            </w:pPr>
            <w:r w:rsidRPr="009724A8">
              <w:rPr>
                <w:rFonts w:ascii="Arial" w:eastAsia="Times New Roman" w:hAnsi="Arial" w:cs="Arial"/>
                <w:sz w:val="16"/>
                <w:szCs w:val="16"/>
                <w:lang w:eastAsia="en-AU"/>
              </w:rPr>
              <w:t>Same transfers</w:t>
            </w:r>
          </w:p>
        </w:tc>
        <w:tc>
          <w:tcPr>
            <w:tcW w:w="200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4880A710" w14:textId="66711199" w:rsidR="00F80D49" w:rsidRPr="009724A8" w:rsidRDefault="00F62807" w:rsidP="008A37FD">
            <w:pPr>
              <w:spacing w:after="0"/>
              <w:jc w:val="right"/>
              <w:rPr>
                <w:rFonts w:ascii="Arial" w:hAnsi="Arial" w:cs="Arial"/>
                <w:sz w:val="16"/>
                <w:szCs w:val="16"/>
              </w:rPr>
            </w:pPr>
            <w:r w:rsidRPr="009724A8">
              <w:rPr>
                <w:rFonts w:ascii="Arial" w:hAnsi="Arial" w:cs="Arial"/>
                <w:sz w:val="16"/>
                <w:szCs w:val="16"/>
              </w:rPr>
              <w:t>–</w:t>
            </w:r>
            <w:r w:rsidR="00F80D49" w:rsidRPr="009724A8">
              <w:rPr>
                <w:rFonts w:ascii="Arial" w:hAnsi="Arial" w:cs="Arial"/>
                <w:sz w:val="16"/>
                <w:szCs w:val="16"/>
              </w:rPr>
              <w:t>25,000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0A95E915" w14:textId="1ABCF998" w:rsidR="00F80D49" w:rsidRPr="009724A8" w:rsidRDefault="00F62807" w:rsidP="008A37FD">
            <w:pPr>
              <w:spacing w:after="0"/>
              <w:jc w:val="right"/>
              <w:rPr>
                <w:rFonts w:ascii="Arial" w:hAnsi="Arial" w:cs="Arial"/>
                <w:sz w:val="16"/>
                <w:szCs w:val="16"/>
              </w:rPr>
            </w:pPr>
            <w:r w:rsidRPr="009724A8">
              <w:rPr>
                <w:rFonts w:ascii="Arial" w:hAnsi="Arial" w:cs="Arial"/>
                <w:sz w:val="16"/>
                <w:szCs w:val="16"/>
              </w:rPr>
              <w:t>–</w:t>
            </w:r>
            <w:r w:rsidR="00F80D49" w:rsidRPr="009724A8">
              <w:rPr>
                <w:rFonts w:ascii="Arial" w:hAnsi="Arial" w:cs="Arial"/>
                <w:sz w:val="16"/>
                <w:szCs w:val="16"/>
              </w:rPr>
              <w:t>16,000</w:t>
            </w:r>
          </w:p>
        </w:tc>
        <w:tc>
          <w:tcPr>
            <w:tcW w:w="191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341B7D0F" w14:textId="77777777" w:rsidR="00F80D49" w:rsidRPr="009724A8" w:rsidRDefault="00F80D49" w:rsidP="008A37FD">
            <w:pPr>
              <w:spacing w:after="0"/>
              <w:jc w:val="right"/>
              <w:rPr>
                <w:rFonts w:ascii="Arial" w:hAnsi="Arial" w:cs="Arial"/>
                <w:sz w:val="16"/>
                <w:szCs w:val="16"/>
              </w:rPr>
            </w:pPr>
            <w:r w:rsidRPr="009724A8">
              <w:rPr>
                <w:rFonts w:ascii="Arial" w:hAnsi="Arial" w:cs="Arial"/>
                <w:sz w:val="16"/>
                <w:szCs w:val="16"/>
              </w:rPr>
              <w:t>+79,000</w:t>
            </w:r>
          </w:p>
        </w:tc>
      </w:tr>
      <w:tr w:rsidR="00F80D49" w:rsidRPr="00877CAC" w14:paraId="65DCC6B8" w14:textId="77777777" w:rsidTr="009724A8">
        <w:trPr>
          <w:trHeight w:val="340"/>
        </w:trPr>
        <w:tc>
          <w:tcPr>
            <w:tcW w:w="323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20CFB49B" w14:textId="77777777" w:rsidR="00F80D49" w:rsidRPr="009724A8" w:rsidRDefault="00F80D49" w:rsidP="008A37FD">
            <w:pPr>
              <w:spacing w:after="0"/>
              <w:rPr>
                <w:rFonts w:ascii="Arial" w:eastAsia="Times New Roman" w:hAnsi="Arial" w:cs="Arial"/>
                <w:sz w:val="16"/>
                <w:szCs w:val="16"/>
                <w:lang w:eastAsia="en-AU"/>
              </w:rPr>
            </w:pPr>
            <w:r w:rsidRPr="009724A8">
              <w:rPr>
                <w:rFonts w:ascii="Arial" w:eastAsia="Times New Roman" w:hAnsi="Arial" w:cs="Arial"/>
                <w:sz w:val="16"/>
                <w:szCs w:val="16"/>
                <w:lang w:eastAsia="en-AU"/>
              </w:rPr>
              <w:t>Same emigration</w:t>
            </w:r>
          </w:p>
        </w:tc>
        <w:tc>
          <w:tcPr>
            <w:tcW w:w="200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B50674A" w14:textId="5EBFFBFB" w:rsidR="00F80D49" w:rsidRPr="009724A8" w:rsidRDefault="00F62807" w:rsidP="008A37FD">
            <w:pPr>
              <w:spacing w:after="0"/>
              <w:jc w:val="right"/>
              <w:rPr>
                <w:rFonts w:ascii="Arial" w:hAnsi="Arial" w:cs="Arial"/>
                <w:sz w:val="16"/>
                <w:szCs w:val="16"/>
              </w:rPr>
            </w:pPr>
            <w:r w:rsidRPr="009724A8">
              <w:rPr>
                <w:rFonts w:ascii="Arial" w:hAnsi="Arial" w:cs="Arial"/>
                <w:sz w:val="16"/>
                <w:szCs w:val="16"/>
              </w:rPr>
              <w:t>–</w:t>
            </w:r>
            <w:r w:rsidR="00F80D49" w:rsidRPr="009724A8">
              <w:rPr>
                <w:rFonts w:ascii="Arial" w:hAnsi="Arial" w:cs="Arial"/>
                <w:sz w:val="16"/>
                <w:szCs w:val="16"/>
              </w:rPr>
              <w:t>11,000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36975893" w14:textId="77777777" w:rsidR="00F80D49" w:rsidRPr="009724A8" w:rsidRDefault="00F80D49" w:rsidP="008A37FD">
            <w:pPr>
              <w:spacing w:after="0"/>
              <w:jc w:val="right"/>
              <w:rPr>
                <w:rFonts w:ascii="Arial" w:hAnsi="Arial" w:cs="Arial"/>
                <w:sz w:val="16"/>
                <w:szCs w:val="16"/>
              </w:rPr>
            </w:pPr>
            <w:r w:rsidRPr="009724A8">
              <w:rPr>
                <w:rFonts w:ascii="Arial" w:hAnsi="Arial" w:cs="Arial"/>
                <w:sz w:val="16"/>
                <w:szCs w:val="16"/>
              </w:rPr>
              <w:t>+3,000</w:t>
            </w:r>
          </w:p>
        </w:tc>
        <w:tc>
          <w:tcPr>
            <w:tcW w:w="191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672DDF4F" w14:textId="77777777" w:rsidR="00F80D49" w:rsidRPr="009724A8" w:rsidRDefault="00F80D49" w:rsidP="008A37FD">
            <w:pPr>
              <w:spacing w:after="0"/>
              <w:jc w:val="right"/>
              <w:rPr>
                <w:rFonts w:ascii="Arial" w:hAnsi="Arial" w:cs="Arial"/>
                <w:sz w:val="16"/>
                <w:szCs w:val="16"/>
              </w:rPr>
            </w:pPr>
            <w:r w:rsidRPr="009724A8">
              <w:rPr>
                <w:rFonts w:ascii="Arial" w:hAnsi="Arial" w:cs="Arial"/>
                <w:sz w:val="16"/>
                <w:szCs w:val="16"/>
              </w:rPr>
              <w:t>+67,000</w:t>
            </w:r>
          </w:p>
        </w:tc>
      </w:tr>
      <w:tr w:rsidR="00F80D49" w:rsidRPr="00877CAC" w14:paraId="36966BE3" w14:textId="77777777" w:rsidTr="009724A8">
        <w:trPr>
          <w:trHeight w:val="340"/>
        </w:trPr>
        <w:tc>
          <w:tcPr>
            <w:tcW w:w="323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61C065B2" w14:textId="4C8A110D" w:rsidR="00F80D49" w:rsidRPr="009724A8" w:rsidRDefault="00F80D49" w:rsidP="008A37FD">
            <w:pPr>
              <w:spacing w:after="0"/>
              <w:rPr>
                <w:rFonts w:ascii="Arial" w:eastAsia="Times New Roman" w:hAnsi="Arial" w:cs="Arial"/>
                <w:sz w:val="16"/>
                <w:szCs w:val="16"/>
                <w:lang w:eastAsia="en-AU"/>
              </w:rPr>
            </w:pPr>
            <w:r w:rsidRPr="009724A8">
              <w:rPr>
                <w:rFonts w:ascii="Arial" w:eastAsia="Times New Roman" w:hAnsi="Arial" w:cs="Arial"/>
                <w:sz w:val="16"/>
                <w:szCs w:val="16"/>
                <w:lang w:eastAsia="en-AU"/>
              </w:rPr>
              <w:t>Same health costs</w:t>
            </w:r>
            <w:r w:rsidR="00677442" w:rsidRPr="009724A8">
              <w:rPr>
                <w:rFonts w:ascii="Arial" w:eastAsia="Times New Roman" w:hAnsi="Arial" w:cs="Arial"/>
                <w:sz w:val="16"/>
                <w:szCs w:val="16"/>
                <w:vertAlign w:val="superscript"/>
                <w:lang w:eastAsia="en-AU"/>
              </w:rPr>
              <w:footnoteReference w:id="27"/>
            </w:r>
          </w:p>
        </w:tc>
        <w:tc>
          <w:tcPr>
            <w:tcW w:w="200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2D0A4A3D" w14:textId="0632BC21" w:rsidR="00F80D49" w:rsidRPr="009724A8" w:rsidRDefault="00F62807" w:rsidP="008A37FD">
            <w:pPr>
              <w:spacing w:after="0"/>
              <w:jc w:val="right"/>
              <w:rPr>
                <w:rFonts w:ascii="Arial" w:hAnsi="Arial" w:cs="Arial"/>
                <w:sz w:val="16"/>
                <w:szCs w:val="16"/>
              </w:rPr>
            </w:pPr>
            <w:r w:rsidRPr="009724A8">
              <w:rPr>
                <w:rFonts w:ascii="Arial" w:hAnsi="Arial" w:cs="Arial"/>
                <w:sz w:val="16"/>
                <w:szCs w:val="16"/>
              </w:rPr>
              <w:t>–</w:t>
            </w:r>
            <w:r w:rsidR="00F80D49" w:rsidRPr="009724A8">
              <w:rPr>
                <w:rFonts w:ascii="Arial" w:hAnsi="Arial" w:cs="Arial"/>
                <w:sz w:val="16"/>
                <w:szCs w:val="16"/>
              </w:rPr>
              <w:t>8,000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7ECEC133" w14:textId="6367FFB3" w:rsidR="00F80D49" w:rsidRPr="009724A8" w:rsidRDefault="00F62807" w:rsidP="008A37FD">
            <w:pPr>
              <w:spacing w:after="0"/>
              <w:jc w:val="right"/>
              <w:rPr>
                <w:rFonts w:ascii="Arial" w:hAnsi="Arial" w:cs="Arial"/>
                <w:sz w:val="16"/>
                <w:szCs w:val="16"/>
              </w:rPr>
            </w:pPr>
            <w:r w:rsidRPr="009724A8">
              <w:rPr>
                <w:rFonts w:ascii="Arial" w:hAnsi="Arial" w:cs="Arial"/>
                <w:sz w:val="16"/>
                <w:szCs w:val="16"/>
              </w:rPr>
              <w:t>–</w:t>
            </w:r>
            <w:r w:rsidR="00F80D49" w:rsidRPr="009724A8">
              <w:rPr>
                <w:rFonts w:ascii="Arial" w:hAnsi="Arial" w:cs="Arial"/>
                <w:sz w:val="16"/>
                <w:szCs w:val="16"/>
              </w:rPr>
              <w:t>7,000</w:t>
            </w:r>
          </w:p>
        </w:tc>
        <w:tc>
          <w:tcPr>
            <w:tcW w:w="191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5CD6C6D3" w14:textId="77777777" w:rsidR="00F80D49" w:rsidRPr="009724A8" w:rsidRDefault="00F80D49" w:rsidP="008A37FD">
            <w:pPr>
              <w:spacing w:after="0"/>
              <w:jc w:val="right"/>
              <w:rPr>
                <w:rFonts w:ascii="Arial" w:hAnsi="Arial" w:cs="Arial"/>
                <w:sz w:val="16"/>
                <w:szCs w:val="16"/>
              </w:rPr>
            </w:pPr>
            <w:r w:rsidRPr="009724A8">
              <w:rPr>
                <w:rFonts w:ascii="Arial" w:hAnsi="Arial" w:cs="Arial"/>
                <w:sz w:val="16"/>
                <w:szCs w:val="16"/>
              </w:rPr>
              <w:t>+16,000</w:t>
            </w:r>
          </w:p>
        </w:tc>
      </w:tr>
      <w:tr w:rsidR="00F80D49" w:rsidRPr="00877CAC" w14:paraId="5E4430EA" w14:textId="77777777" w:rsidTr="009724A8">
        <w:trPr>
          <w:trHeight w:val="340"/>
        </w:trPr>
        <w:tc>
          <w:tcPr>
            <w:tcW w:w="3232"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43B5B822" w14:textId="77777777" w:rsidR="00F80D49" w:rsidRPr="009724A8" w:rsidRDefault="00F80D49" w:rsidP="008A37FD">
            <w:pPr>
              <w:spacing w:after="0"/>
              <w:rPr>
                <w:rFonts w:ascii="Arial" w:eastAsia="Times New Roman" w:hAnsi="Arial" w:cs="Arial"/>
                <w:sz w:val="16"/>
                <w:szCs w:val="16"/>
                <w:lang w:eastAsia="en-AU"/>
              </w:rPr>
            </w:pPr>
            <w:r w:rsidRPr="009724A8">
              <w:rPr>
                <w:rFonts w:ascii="Arial" w:eastAsia="Times New Roman" w:hAnsi="Arial" w:cs="Arial"/>
                <w:sz w:val="16"/>
                <w:szCs w:val="16"/>
                <w:lang w:eastAsia="en-AU"/>
              </w:rPr>
              <w:t>No Visa Application Charges</w:t>
            </w:r>
          </w:p>
        </w:tc>
        <w:tc>
          <w:tcPr>
            <w:tcW w:w="2003"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2D65D3EF" w14:textId="27C95B55" w:rsidR="00F80D49" w:rsidRPr="009724A8" w:rsidRDefault="00F62807" w:rsidP="008A37FD">
            <w:pPr>
              <w:spacing w:after="0"/>
              <w:jc w:val="right"/>
              <w:rPr>
                <w:rFonts w:ascii="Arial" w:hAnsi="Arial" w:cs="Arial"/>
                <w:sz w:val="16"/>
                <w:szCs w:val="16"/>
              </w:rPr>
            </w:pPr>
            <w:r w:rsidRPr="009724A8">
              <w:rPr>
                <w:rFonts w:ascii="Arial" w:hAnsi="Arial" w:cs="Arial"/>
                <w:sz w:val="16"/>
                <w:szCs w:val="16"/>
              </w:rPr>
              <w:t>–</w:t>
            </w:r>
            <w:r w:rsidR="00F80D49" w:rsidRPr="009724A8">
              <w:rPr>
                <w:rFonts w:ascii="Arial" w:hAnsi="Arial" w:cs="Arial"/>
                <w:sz w:val="16"/>
                <w:szCs w:val="16"/>
              </w:rPr>
              <w:t>3,000</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36803AA9" w14:textId="72C19588" w:rsidR="00F80D49" w:rsidRPr="009724A8" w:rsidRDefault="00F62807" w:rsidP="008A37FD">
            <w:pPr>
              <w:spacing w:after="0"/>
              <w:jc w:val="right"/>
              <w:rPr>
                <w:rFonts w:ascii="Arial" w:hAnsi="Arial" w:cs="Arial"/>
                <w:sz w:val="16"/>
                <w:szCs w:val="16"/>
              </w:rPr>
            </w:pPr>
            <w:r w:rsidRPr="009724A8">
              <w:rPr>
                <w:rFonts w:ascii="Arial" w:hAnsi="Arial" w:cs="Arial"/>
                <w:sz w:val="16"/>
                <w:szCs w:val="16"/>
              </w:rPr>
              <w:t>–</w:t>
            </w:r>
            <w:r w:rsidR="00F80D49" w:rsidRPr="009724A8">
              <w:rPr>
                <w:rFonts w:ascii="Arial" w:hAnsi="Arial" w:cs="Arial"/>
                <w:sz w:val="16"/>
                <w:szCs w:val="16"/>
              </w:rPr>
              <w:t>5,000</w:t>
            </w:r>
          </w:p>
        </w:tc>
        <w:tc>
          <w:tcPr>
            <w:tcW w:w="1919"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hideMark/>
          </w:tcPr>
          <w:p w14:paraId="70574021" w14:textId="77777777" w:rsidR="00F80D49" w:rsidRPr="009724A8" w:rsidRDefault="00F80D49" w:rsidP="008A37FD">
            <w:pPr>
              <w:spacing w:after="0"/>
              <w:jc w:val="right"/>
              <w:rPr>
                <w:rFonts w:ascii="Arial" w:hAnsi="Arial" w:cs="Arial"/>
                <w:sz w:val="16"/>
                <w:szCs w:val="16"/>
              </w:rPr>
            </w:pPr>
            <w:r w:rsidRPr="009724A8">
              <w:rPr>
                <w:rFonts w:ascii="Arial" w:hAnsi="Arial" w:cs="Arial"/>
                <w:sz w:val="16"/>
                <w:szCs w:val="16"/>
              </w:rPr>
              <w:t>0</w:t>
            </w:r>
          </w:p>
        </w:tc>
      </w:tr>
    </w:tbl>
    <w:p w14:paraId="36907E9A" w14:textId="77777777" w:rsidR="00C0796C" w:rsidRPr="00C0796C" w:rsidRDefault="00C0796C" w:rsidP="00C0796C">
      <w:pPr>
        <w:rPr>
          <w:rStyle w:val="Strong"/>
          <w:sz w:val="6"/>
          <w:szCs w:val="6"/>
        </w:rPr>
      </w:pPr>
      <w:bookmarkStart w:id="41" w:name="_Toc77175229"/>
    </w:p>
    <w:p w14:paraId="51876901" w14:textId="4FC9742E" w:rsidR="00D53483" w:rsidRDefault="00FB3614" w:rsidP="001A66C0">
      <w:pPr>
        <w:pStyle w:val="Heading3"/>
      </w:pPr>
      <w:r>
        <w:t>Comparing Commonwealth and State</w:t>
      </w:r>
      <w:r w:rsidR="002C36D9">
        <w:t xml:space="preserve"> level results</w:t>
      </w:r>
      <w:bookmarkEnd w:id="41"/>
    </w:p>
    <w:p w14:paraId="344207B4" w14:textId="46801AEB" w:rsidR="00F54D77" w:rsidRDefault="00782E55" w:rsidP="007F0F36">
      <w:pPr>
        <w:rPr>
          <w:lang w:val="en-US" w:eastAsia="en-AU"/>
        </w:rPr>
      </w:pPr>
      <w:r w:rsidRPr="007F0F36">
        <w:t>In Section 3 of this paper, it was shown that the</w:t>
      </w:r>
      <w:r w:rsidR="00F54D77" w:rsidRPr="007F0F36">
        <w:t xml:space="preserve"> major qualitative findings reported in this paper hold at both the Commonwealth and State levels. However, there are important differences between the ways that migrants interact with each level of Government. For instance, while </w:t>
      </w:r>
      <w:r w:rsidR="006C6597" w:rsidRPr="007F0F36">
        <w:t>government</w:t>
      </w:r>
      <w:r w:rsidR="00C165E9" w:rsidRPr="007F0F36">
        <w:t xml:space="preserve"> revenue and expenses</w:t>
      </w:r>
      <w:r w:rsidR="00F54D77" w:rsidRPr="007F0F36">
        <w:t xml:space="preserve"> at both the Commonwealth and State </w:t>
      </w:r>
      <w:r w:rsidR="00CC02C5" w:rsidRPr="007F0F36">
        <w:t>G</w:t>
      </w:r>
      <w:r w:rsidR="00F54D77" w:rsidRPr="007F0F36">
        <w:t>overnments display a clear profile across the lifecycle,</w:t>
      </w:r>
      <w:r w:rsidR="00F54D77">
        <w:rPr>
          <w:lang w:val="en-US" w:eastAsia="en-AU"/>
        </w:rPr>
        <w:t xml:space="preserve"> State Governments spend more on younger Australians than they do on older Australians. This pattern, which can be seen in Chart 13, means that the demographic profile of migrants presented above in Chart </w:t>
      </w:r>
      <w:r w:rsidR="00FC5698">
        <w:rPr>
          <w:lang w:val="en-US" w:eastAsia="en-AU"/>
        </w:rPr>
        <w:t xml:space="preserve">8 </w:t>
      </w:r>
      <w:r w:rsidR="00F54D77">
        <w:rPr>
          <w:lang w:val="en-US" w:eastAsia="en-AU"/>
        </w:rPr>
        <w:t>is particularly beneficial to State Governments.</w:t>
      </w:r>
    </w:p>
    <w:p w14:paraId="67F29D7C" w14:textId="6280E503" w:rsidR="00F54D77" w:rsidRDefault="00F54D77" w:rsidP="007F0F36">
      <w:pPr>
        <w:rPr>
          <w:lang w:val="en-US" w:eastAsia="en-AU"/>
        </w:rPr>
      </w:pPr>
      <w:bookmarkStart w:id="42" w:name="_Hlk72922835"/>
      <w:r>
        <w:rPr>
          <w:lang w:val="en-US" w:eastAsia="en-AU"/>
        </w:rPr>
        <w:t xml:space="preserve">Another key difference is that revenues and expenses are more progressive, in aggregate, at the Commonwealth level compared to the State level. This means that the Commonwealth tends to benefit more from </w:t>
      </w:r>
      <w:r w:rsidR="0083028F">
        <w:rPr>
          <w:lang w:val="en-US" w:eastAsia="en-AU"/>
        </w:rPr>
        <w:t>skilled</w:t>
      </w:r>
      <w:r>
        <w:rPr>
          <w:lang w:val="en-US" w:eastAsia="en-AU"/>
        </w:rPr>
        <w:t xml:space="preserve"> migrants and bear </w:t>
      </w:r>
      <w:r w:rsidR="00731A12">
        <w:rPr>
          <w:lang w:val="en-US" w:eastAsia="en-AU"/>
        </w:rPr>
        <w:t>most of the</w:t>
      </w:r>
      <w:r>
        <w:rPr>
          <w:lang w:val="en-US" w:eastAsia="en-AU"/>
        </w:rPr>
        <w:t xml:space="preserve"> costs from </w:t>
      </w:r>
      <w:r w:rsidR="00F407A4">
        <w:rPr>
          <w:lang w:val="en-US" w:eastAsia="en-AU"/>
        </w:rPr>
        <w:t>H</w:t>
      </w:r>
      <w:r w:rsidR="0083028F">
        <w:rPr>
          <w:lang w:val="en-US" w:eastAsia="en-AU"/>
        </w:rPr>
        <w:t xml:space="preserve">umanitarian and </w:t>
      </w:r>
      <w:r w:rsidR="00F407A4">
        <w:rPr>
          <w:lang w:val="en-US" w:eastAsia="en-AU"/>
        </w:rPr>
        <w:t>P</w:t>
      </w:r>
      <w:r w:rsidR="0083028F">
        <w:rPr>
          <w:lang w:val="en-US" w:eastAsia="en-AU"/>
        </w:rPr>
        <w:t>arent</w:t>
      </w:r>
      <w:r>
        <w:rPr>
          <w:lang w:val="en-US" w:eastAsia="en-AU"/>
        </w:rPr>
        <w:t xml:space="preserve"> migrants (even after accounting for the relative size of </w:t>
      </w:r>
      <w:r w:rsidR="00970F29">
        <w:rPr>
          <w:lang w:val="en-US" w:eastAsia="en-AU"/>
        </w:rPr>
        <w:t>C</w:t>
      </w:r>
      <w:r>
        <w:rPr>
          <w:lang w:val="en-US" w:eastAsia="en-AU"/>
        </w:rPr>
        <w:t xml:space="preserve">ommonwealth and </w:t>
      </w:r>
      <w:r w:rsidR="00735759">
        <w:rPr>
          <w:lang w:val="en-US" w:eastAsia="en-AU"/>
        </w:rPr>
        <w:t>s</w:t>
      </w:r>
      <w:r>
        <w:rPr>
          <w:lang w:val="en-US" w:eastAsia="en-AU"/>
        </w:rPr>
        <w:t>tate budgets).</w:t>
      </w:r>
      <w:r w:rsidR="00FE68FE">
        <w:rPr>
          <w:lang w:val="en-US" w:eastAsia="en-AU"/>
        </w:rPr>
        <w:t xml:space="preserve"> </w:t>
      </w:r>
    </w:p>
    <w:p w14:paraId="51DC97A4" w14:textId="1F8DE50E" w:rsidR="00944A10" w:rsidRPr="001A66C0" w:rsidRDefault="00944A10" w:rsidP="0023028F">
      <w:pPr>
        <w:pStyle w:val="ChartMainHeading"/>
      </w:pPr>
      <w:r w:rsidRPr="001A66C0">
        <w:lastRenderedPageBreak/>
        <w:t xml:space="preserve">Chart 13: Lifetime interaction with the </w:t>
      </w:r>
      <w:r w:rsidR="00C80273">
        <w:t>C</w:t>
      </w:r>
      <w:r w:rsidRPr="001A66C0">
        <w:t xml:space="preserve">ommonwealth and </w:t>
      </w:r>
      <w:r w:rsidR="00C80273">
        <w:t>S</w:t>
      </w:r>
      <w:r w:rsidRPr="001A66C0">
        <w:t>tate tax and transfer systems</w:t>
      </w:r>
    </w:p>
    <w:p w14:paraId="53EC7BE0" w14:textId="73C48F2C" w:rsidR="00944A10" w:rsidRPr="00202786" w:rsidRDefault="0031280B" w:rsidP="00202786">
      <w:pPr>
        <w:rPr>
          <w:rFonts w:ascii="Arial" w:hAnsi="Arial"/>
          <w:color w:val="002C47" w:themeColor="accent1"/>
          <w:sz w:val="24"/>
        </w:rPr>
      </w:pPr>
      <w:r>
        <w:rPr>
          <w:noProof/>
          <w:sz w:val="18"/>
          <w:szCs w:val="18"/>
          <w:lang w:val="en-US" w:eastAsia="en-AU"/>
        </w:rPr>
        <w:drawing>
          <wp:inline distT="0" distB="0" distL="0" distR="0" wp14:anchorId="13CFF6BA" wp14:editId="1288CDA7">
            <wp:extent cx="5878195" cy="2286000"/>
            <wp:effectExtent l="0" t="0" r="8255" b="0"/>
            <wp:docPr id="7" name="Picture 7" descr="This chart shows that the States pay a larger proportion of early life expenses compared to the Commonwealth who pay a higher proportion of end of life expenses. The Commonwealth raises more revenue between the age of 25 and 65 than the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chart shows that the States pay a larger proportion of early life expenses compared to the Commonwealth who pay a higher proportion of end of life expenses. The Commonwealth raises more revenue between the age of 25 and 65 than the Stat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78195" cy="2286000"/>
                    </a:xfrm>
                    <a:prstGeom prst="rect">
                      <a:avLst/>
                    </a:prstGeom>
                    <a:noFill/>
                    <a:ln>
                      <a:noFill/>
                    </a:ln>
                  </pic:spPr>
                </pic:pic>
              </a:graphicData>
            </a:graphic>
          </wp:inline>
        </w:drawing>
      </w:r>
      <w:r w:rsidR="00944A10">
        <w:rPr>
          <w:sz w:val="18"/>
          <w:szCs w:val="18"/>
          <w:lang w:val="en-US" w:eastAsia="en-AU"/>
        </w:rPr>
        <w:t>T</w:t>
      </w:r>
      <w:r w:rsidR="00944A10" w:rsidRPr="003326A5">
        <w:rPr>
          <w:sz w:val="18"/>
          <w:szCs w:val="18"/>
          <w:lang w:val="en-US" w:eastAsia="en-AU"/>
        </w:rPr>
        <w:t xml:space="preserve">his chart is defined in the same manner as Chart </w:t>
      </w:r>
      <w:r w:rsidR="00944A10">
        <w:rPr>
          <w:sz w:val="18"/>
          <w:szCs w:val="18"/>
          <w:lang w:val="en-US" w:eastAsia="en-AU"/>
        </w:rPr>
        <w:t>7</w:t>
      </w:r>
      <w:r w:rsidR="00944A10" w:rsidRPr="003326A5">
        <w:rPr>
          <w:sz w:val="18"/>
          <w:szCs w:val="18"/>
          <w:lang w:val="en-US" w:eastAsia="en-AU"/>
        </w:rPr>
        <w:t xml:space="preserve"> but shows the net impact on the Commonwealth and State budgets modelled in FIONA. </w:t>
      </w:r>
    </w:p>
    <w:p w14:paraId="2B51BFB2" w14:textId="5D7E40DE" w:rsidR="00801D07" w:rsidRDefault="0085439C" w:rsidP="00E079FB">
      <w:pPr>
        <w:pStyle w:val="Heading2"/>
        <w:numPr>
          <w:ilvl w:val="0"/>
          <w:numId w:val="22"/>
        </w:numPr>
        <w:spacing w:before="0" w:after="0"/>
      </w:pPr>
      <w:bookmarkStart w:id="43" w:name="_Toc77175230"/>
      <w:bookmarkEnd w:id="42"/>
      <w:r>
        <w:t>Robustness of key results to modelling assumptions</w:t>
      </w:r>
      <w:bookmarkEnd w:id="43"/>
    </w:p>
    <w:p w14:paraId="7A33E4B4" w14:textId="0D7F3460" w:rsidR="00801D07" w:rsidRDefault="00801D07" w:rsidP="007F0F36">
      <w:proofErr w:type="gramStart"/>
      <w:r>
        <w:t>In order to</w:t>
      </w:r>
      <w:proofErr w:type="gramEnd"/>
      <w:r>
        <w:t xml:space="preserve"> project the fiscal impact of migrants over the next 120 years, </w:t>
      </w:r>
      <w:r w:rsidR="006542FE">
        <w:t>FIONA</w:t>
      </w:r>
      <w:r>
        <w:t xml:space="preserve"> </w:t>
      </w:r>
      <w:r w:rsidR="00AA0581">
        <w:t xml:space="preserve">incorporates </w:t>
      </w:r>
      <w:r>
        <w:t xml:space="preserve">several important structural assumptions about </w:t>
      </w:r>
      <w:r w:rsidRPr="00DD0F79">
        <w:t>how the economy will evolve in the future, the way revenue</w:t>
      </w:r>
      <w:r w:rsidR="0092682A">
        <w:t>s</w:t>
      </w:r>
      <w:r w:rsidRPr="00DD0F79">
        <w:t xml:space="preserve"> and </w:t>
      </w:r>
      <w:r w:rsidR="00C165E9">
        <w:t>expenses</w:t>
      </w:r>
      <w:r w:rsidR="0092682A">
        <w:t xml:space="preserve"> are allocate</w:t>
      </w:r>
      <w:r w:rsidR="00443ED4">
        <w:t>d</w:t>
      </w:r>
      <w:r w:rsidRPr="00DD0F79">
        <w:t xml:space="preserve"> to individuals, and the discount rate use</w:t>
      </w:r>
      <w:r w:rsidR="0092682A">
        <w:t>d</w:t>
      </w:r>
      <w:r w:rsidRPr="00DD0F79">
        <w:t xml:space="preserve"> to convert results into </w:t>
      </w:r>
      <w:r w:rsidR="00D873A7">
        <w:t>n</w:t>
      </w:r>
      <w:r w:rsidRPr="00DD0F79">
        <w:t xml:space="preserve">et </w:t>
      </w:r>
      <w:r w:rsidR="00D873A7">
        <w:t>p</w:t>
      </w:r>
      <w:r w:rsidRPr="00DD0F79">
        <w:t xml:space="preserve">resent </w:t>
      </w:r>
      <w:r w:rsidR="00D873A7">
        <w:t>v</w:t>
      </w:r>
      <w:r w:rsidRPr="00DD0F79">
        <w:t>alues. While care has been taken to base these assumptions on the best available estimates and modern modelling practices,</w:t>
      </w:r>
      <w:r>
        <w:t xml:space="preserve"> there is inherent</w:t>
      </w:r>
      <w:r w:rsidR="00443ED4">
        <w:t xml:space="preserve">ly a great deal of </w:t>
      </w:r>
      <w:r>
        <w:t xml:space="preserve">uncertainty around these assumptions. </w:t>
      </w:r>
    </w:p>
    <w:p w14:paraId="7E8196C5" w14:textId="09C00E52" w:rsidR="0092682A" w:rsidRDefault="0092682A" w:rsidP="007F0F36">
      <w:r>
        <w:t>To test the sensitivity of the key FIONA results to changes in these assumptions, we have conducted several alternative modelling scenarios, which include exploring the effect of:</w:t>
      </w:r>
    </w:p>
    <w:p w14:paraId="4893E103" w14:textId="2EA27DFE" w:rsidR="0092682A" w:rsidRDefault="0092682A" w:rsidP="0035756D">
      <w:pPr>
        <w:pStyle w:val="Bullet"/>
      </w:pPr>
      <w:r>
        <w:t>Changing the discount rate (5 per cent in baseline estimates) to</w:t>
      </w:r>
      <w:r w:rsidR="005E3EA3">
        <w:t xml:space="preserve"> </w:t>
      </w:r>
      <w:r w:rsidR="00443ED4">
        <w:t>4 per cent or to 6 per cent</w:t>
      </w:r>
      <w:r w:rsidR="002F16E3">
        <w:t>.</w:t>
      </w:r>
    </w:p>
    <w:p w14:paraId="6C2BF924" w14:textId="2AC84B65" w:rsidR="0092682A" w:rsidRDefault="000122F0" w:rsidP="0035756D">
      <w:pPr>
        <w:pStyle w:val="Bullet"/>
      </w:pPr>
      <w:r>
        <w:t>A</w:t>
      </w:r>
      <w:r w:rsidR="0092682A">
        <w:t xml:space="preserve">llocating all Commonwealth and State government revenue and </w:t>
      </w:r>
      <w:r w:rsidR="00C165E9">
        <w:t>expenses</w:t>
      </w:r>
      <w:r>
        <w:t xml:space="preserve"> not captured in FIONA to individuals on a pro rata basis</w:t>
      </w:r>
      <w:r w:rsidR="002F16E3">
        <w:t>.</w:t>
      </w:r>
      <w:r w:rsidR="0092682A">
        <w:t xml:space="preserve"> </w:t>
      </w:r>
    </w:p>
    <w:p w14:paraId="6E01DE19" w14:textId="3B957F50" w:rsidR="0092682A" w:rsidRDefault="0092682A" w:rsidP="0035756D">
      <w:pPr>
        <w:pStyle w:val="Bullet"/>
      </w:pPr>
      <w:r>
        <w:t>Increasing the long</w:t>
      </w:r>
      <w:r w:rsidR="009C1E51">
        <w:t>-</w:t>
      </w:r>
      <w:r>
        <w:t>term health and aged care</w:t>
      </w:r>
      <w:r w:rsidR="00FC5698">
        <w:t xml:space="preserve"> spending </w:t>
      </w:r>
      <w:r>
        <w:t>growth rates</w:t>
      </w:r>
      <w:r w:rsidR="002F16E3">
        <w:t>.</w:t>
      </w:r>
      <w:r>
        <w:t xml:space="preserve"> </w:t>
      </w:r>
    </w:p>
    <w:p w14:paraId="58B26762" w14:textId="26BA2D5E" w:rsidR="0092682A" w:rsidRDefault="0092682A" w:rsidP="0035756D">
      <w:pPr>
        <w:pStyle w:val="Bullet"/>
      </w:pPr>
      <w:r>
        <w:t>Applying economic parameters that capture the impacts of COVID</w:t>
      </w:r>
      <w:r w:rsidR="009C1E51">
        <w:t>-</w:t>
      </w:r>
      <w:r>
        <w:t>19 on the Australian economy</w:t>
      </w:r>
      <w:r w:rsidR="002F16E3">
        <w:t>.</w:t>
      </w:r>
      <w:r>
        <w:t xml:space="preserve"> </w:t>
      </w:r>
    </w:p>
    <w:p w14:paraId="2CB72A91" w14:textId="3D9790BB" w:rsidR="00801D07" w:rsidRPr="001E2777" w:rsidRDefault="00801D07" w:rsidP="007F0F36">
      <w:pPr>
        <w:rPr>
          <w:rStyle w:val="normaltextrun"/>
          <w:rFonts w:cs="Arial"/>
        </w:rPr>
      </w:pPr>
      <w:r>
        <w:rPr>
          <w:rStyle w:val="normaltextrun"/>
          <w:rFonts w:cs="Arial"/>
        </w:rPr>
        <w:t xml:space="preserve">A summary of the results from these sensitivity tests is shown in Chart </w:t>
      </w:r>
      <w:r w:rsidR="00E17640">
        <w:rPr>
          <w:rStyle w:val="normaltextrun"/>
          <w:rFonts w:cs="Arial"/>
        </w:rPr>
        <w:t>14</w:t>
      </w:r>
      <w:r>
        <w:rPr>
          <w:rStyle w:val="normaltextrun"/>
          <w:rFonts w:cs="Arial"/>
        </w:rPr>
        <w:t xml:space="preserve">. This shows that the relative ordering of the different migrant streams is robust to these modelling assumptions. However, the absolute estimate of the fiscal impact of the migration program (estimated to be </w:t>
      </w:r>
      <w:r w:rsidR="007A5EBE">
        <w:rPr>
          <w:rStyle w:val="normaltextrun"/>
          <w:rFonts w:cs="Arial"/>
        </w:rPr>
        <w:t>$41,000 per migrant</w:t>
      </w:r>
      <w:r>
        <w:rPr>
          <w:rStyle w:val="normaltextrun"/>
          <w:rFonts w:cs="Arial"/>
        </w:rPr>
        <w:t> in the baseline scenario) is relatively sensitive to modelling assumptions.</w:t>
      </w:r>
      <w:r w:rsidRPr="001E2777">
        <w:rPr>
          <w:rStyle w:val="normaltextrun"/>
        </w:rPr>
        <w:t> </w:t>
      </w:r>
    </w:p>
    <w:p w14:paraId="7B9C8758" w14:textId="53E7C2E4" w:rsidR="00BB0DB2" w:rsidRDefault="00BB0DB2" w:rsidP="0023028F">
      <w:pPr>
        <w:pStyle w:val="ChartMainHeading"/>
      </w:pPr>
      <w:r w:rsidRPr="00F70234">
        <w:lastRenderedPageBreak/>
        <w:t>Chart 14:</w:t>
      </w:r>
      <w:r w:rsidR="00735759">
        <w:t xml:space="preserve"> R</w:t>
      </w:r>
      <w:r w:rsidRPr="00F70234">
        <w:t>esults from FIONA sensitivity tests</w:t>
      </w:r>
    </w:p>
    <w:p w14:paraId="6EE0AC36" w14:textId="2EEB0502" w:rsidR="00083966" w:rsidRDefault="00E7060C" w:rsidP="00830CE1">
      <w:pPr>
        <w:rPr>
          <w:rFonts w:ascii="Arial" w:hAnsi="Arial"/>
          <w:color w:val="002C47" w:themeColor="accent1"/>
          <w:sz w:val="24"/>
        </w:rPr>
      </w:pPr>
      <w:r>
        <w:rPr>
          <w:rFonts w:ascii="Arial" w:hAnsi="Arial"/>
          <w:noProof/>
          <w:color w:val="002C47" w:themeColor="accent1"/>
          <w:sz w:val="24"/>
        </w:rPr>
        <w:drawing>
          <wp:inline distT="0" distB="0" distL="0" distR="0" wp14:anchorId="4288DAE5" wp14:editId="066FF097">
            <wp:extent cx="5904230" cy="2270760"/>
            <wp:effectExtent l="0" t="0" r="1270" b="0"/>
            <wp:docPr id="32" name="Picture 32" descr="This chart shows that the relative average lifetime fiscal impact does not vary significantly under the sensitivity tests as each test affects each migrant stream simil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chart shows that the relative average lifetime fiscal impact does not vary significantly under the sensitivity tests as each test affects each migrant stream similarl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4230" cy="2270760"/>
                    </a:xfrm>
                    <a:prstGeom prst="rect">
                      <a:avLst/>
                    </a:prstGeom>
                    <a:noFill/>
                    <a:ln>
                      <a:noFill/>
                    </a:ln>
                  </pic:spPr>
                </pic:pic>
              </a:graphicData>
            </a:graphic>
          </wp:inline>
        </w:drawing>
      </w:r>
    </w:p>
    <w:p w14:paraId="3D567BBD" w14:textId="3D7F6F66" w:rsidR="00801D07" w:rsidRDefault="00801D07" w:rsidP="001A66C0">
      <w:pPr>
        <w:pStyle w:val="Heading3"/>
      </w:pPr>
      <w:bookmarkStart w:id="44" w:name="_Toc77175231"/>
      <w:r>
        <w:t>Impact of changing the discount rate</w:t>
      </w:r>
      <w:bookmarkEnd w:id="44"/>
      <w:r>
        <w:t xml:space="preserve"> </w:t>
      </w:r>
    </w:p>
    <w:p w14:paraId="5C528F2C" w14:textId="24F43A6C" w:rsidR="00801D07" w:rsidRDefault="00AC1415" w:rsidP="007F0F36">
      <w:r w:rsidRPr="00AC73DF">
        <w:t>FIONA uses</w:t>
      </w:r>
      <w:r>
        <w:t xml:space="preserve"> a discount rate of 5 per cent when</w:t>
      </w:r>
      <w:r w:rsidRPr="00AC73DF">
        <w:t xml:space="preserve"> calculat</w:t>
      </w:r>
      <w:r>
        <w:t>ing</w:t>
      </w:r>
      <w:r w:rsidRPr="00AC73DF">
        <w:t xml:space="preserve"> net present value</w:t>
      </w:r>
      <w:r>
        <w:t>s</w:t>
      </w:r>
      <w:r w:rsidR="00E46D70">
        <w:t xml:space="preserve">. </w:t>
      </w:r>
      <w:r w:rsidR="0059163B">
        <w:t xml:space="preserve">As with all lifetime models, </w:t>
      </w:r>
      <w:r w:rsidR="009F05F5">
        <w:t>t</w:t>
      </w:r>
      <w:r w:rsidR="009F05F5" w:rsidRPr="00AC73DF">
        <w:t>he</w:t>
      </w:r>
      <w:r w:rsidR="009F05F5">
        <w:t xml:space="preserve"> choice of</w:t>
      </w:r>
      <w:r w:rsidR="009F05F5" w:rsidRPr="00AC73DF">
        <w:t xml:space="preserve"> </w:t>
      </w:r>
      <w:r w:rsidR="00801D07" w:rsidRPr="00AC73DF">
        <w:t xml:space="preserve">discount </w:t>
      </w:r>
      <w:r w:rsidR="009F05F5">
        <w:t>rate</w:t>
      </w:r>
      <w:r w:rsidR="006F282C" w:rsidRPr="00AC73DF">
        <w:t xml:space="preserve"> </w:t>
      </w:r>
      <w:r w:rsidR="00801D07" w:rsidRPr="00AC73DF">
        <w:t xml:space="preserve">has </w:t>
      </w:r>
      <w:r w:rsidR="00801D07">
        <w:t xml:space="preserve">a </w:t>
      </w:r>
      <w:r w:rsidR="00801D07" w:rsidRPr="00AC73DF">
        <w:t xml:space="preserve">substantial impact </w:t>
      </w:r>
      <w:r w:rsidR="009F05F5">
        <w:t>on FIONA estimates</w:t>
      </w:r>
      <w:r w:rsidR="00801D07" w:rsidRPr="00AC73DF">
        <w:t xml:space="preserve">. </w:t>
      </w:r>
      <w:r w:rsidR="00801D07">
        <w:t xml:space="preserve">The permanent migrant cohort has a positive fiscal impact in the coming decades, followed by a period of fiscal cost as the population retires. </w:t>
      </w:r>
      <w:r w:rsidR="009F05F5">
        <w:t xml:space="preserve">This means that the higher the discount rate used, the larger the relative importance of the early years in the model </w:t>
      </w:r>
      <w:r w:rsidR="008351B5">
        <w:t xml:space="preserve">where there is </w:t>
      </w:r>
      <w:r w:rsidR="009F05F5">
        <w:t xml:space="preserve">a positive fiscal impact. </w:t>
      </w:r>
      <w:r w:rsidR="00801D07">
        <w:t>Conversely, a lower discount rate will make the final years of the model relatively more important</w:t>
      </w:r>
      <w:r w:rsidR="00D43D0E">
        <w:t>.</w:t>
      </w:r>
    </w:p>
    <w:p w14:paraId="681E0FA3" w14:textId="23884EE3" w:rsidR="0032675D" w:rsidRDefault="00BB0DB2" w:rsidP="0023028F">
      <w:pPr>
        <w:pStyle w:val="ChartMainHeading"/>
      </w:pPr>
      <w:r w:rsidRPr="00F70234">
        <w:t>Chart 1</w:t>
      </w:r>
      <w:r w:rsidR="00D83342" w:rsidRPr="00F70234">
        <w:t>5</w:t>
      </w:r>
      <w:r w:rsidRPr="00F70234">
        <w:t>: FIONA estimates with different discount rates</w:t>
      </w:r>
    </w:p>
    <w:p w14:paraId="3F4721A6" w14:textId="17F97BA7" w:rsidR="00202786" w:rsidRPr="00F70234" w:rsidRDefault="00275706" w:rsidP="008027CA">
      <w:pPr>
        <w:rPr>
          <w:rFonts w:ascii="Arial" w:hAnsi="Arial"/>
          <w:color w:val="002C47" w:themeColor="accent1"/>
          <w:sz w:val="24"/>
        </w:rPr>
      </w:pPr>
      <w:r>
        <w:rPr>
          <w:rFonts w:ascii="Arial" w:hAnsi="Arial"/>
          <w:noProof/>
          <w:color w:val="002C47" w:themeColor="accent1"/>
          <w:sz w:val="24"/>
        </w:rPr>
        <w:drawing>
          <wp:inline distT="0" distB="0" distL="0" distR="0" wp14:anchorId="55E9DB13" wp14:editId="78019C78">
            <wp:extent cx="5904230" cy="2256790"/>
            <wp:effectExtent l="0" t="0" r="1270" b="0"/>
            <wp:docPr id="34" name="Picture 34" descr="This chart shows that as the discount rate increases the fiscal impact increases. Changing the discount rate does not significantly affect the differences between migrant streams and the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chart shows that as the discount rate increases the fiscal impact increases. Changing the discount rate does not significantly affect the differences between migrant streams and the Australian populatio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4230" cy="2256790"/>
                    </a:xfrm>
                    <a:prstGeom prst="rect">
                      <a:avLst/>
                    </a:prstGeom>
                    <a:noFill/>
                    <a:ln>
                      <a:noFill/>
                    </a:ln>
                  </pic:spPr>
                </pic:pic>
              </a:graphicData>
            </a:graphic>
          </wp:inline>
        </w:drawing>
      </w:r>
    </w:p>
    <w:p w14:paraId="18B1F3FA" w14:textId="51D1F660" w:rsidR="00155B72" w:rsidRDefault="00313511" w:rsidP="001A66C0">
      <w:pPr>
        <w:pStyle w:val="Heading3"/>
      </w:pPr>
      <w:bookmarkStart w:id="45" w:name="_Toc77175232"/>
      <w:r w:rsidRPr="00313511">
        <w:t xml:space="preserve">Including all Commonwealth and State </w:t>
      </w:r>
      <w:r w:rsidR="009E31DF">
        <w:t>revenue and expenses</w:t>
      </w:r>
      <w:bookmarkEnd w:id="45"/>
    </w:p>
    <w:p w14:paraId="4307724A" w14:textId="2645038C" w:rsidR="00155B72" w:rsidRDefault="00155B72" w:rsidP="007F0F36">
      <w:r w:rsidRPr="00155B72">
        <w:t>As discussed in the methodology section of this paper, FIONA captures those government revenues and expenses that can be attributed to individuals.</w:t>
      </w:r>
      <w:r w:rsidR="00FE68FE">
        <w:t xml:space="preserve"> </w:t>
      </w:r>
      <w:r w:rsidRPr="00155B72">
        <w:t xml:space="preserve">This includes most, but not all of Commonwealth and State budgets. </w:t>
      </w:r>
      <w:r w:rsidR="0082238B">
        <w:t>Table</w:t>
      </w:r>
      <w:r w:rsidR="0082238B" w:rsidRPr="00155B72">
        <w:t xml:space="preserve"> </w:t>
      </w:r>
      <w:r w:rsidR="005E16B0">
        <w:t>8</w:t>
      </w:r>
      <w:r w:rsidR="00443ED4" w:rsidRPr="00155B72">
        <w:t xml:space="preserve"> </w:t>
      </w:r>
      <w:r w:rsidRPr="00155B72">
        <w:t>shows the 2018</w:t>
      </w:r>
      <w:r w:rsidR="00F62807">
        <w:t>–</w:t>
      </w:r>
      <w:r w:rsidRPr="00155B72">
        <w:t xml:space="preserve">19 Commonwealth and </w:t>
      </w:r>
      <w:r w:rsidR="00443ED4">
        <w:t xml:space="preserve">aggregated </w:t>
      </w:r>
      <w:r w:rsidRPr="00155B72">
        <w:t>States budgets in comparison to FIONA estimates, and displays the major ‘missing’ categories of revenues and expenses.</w:t>
      </w:r>
    </w:p>
    <w:p w14:paraId="268A2A95" w14:textId="38FFE55D" w:rsidR="00801D07" w:rsidRDefault="00155B72" w:rsidP="0023028F">
      <w:pPr>
        <w:pStyle w:val="TableHeading1"/>
        <w:rPr>
          <w:rStyle w:val="normaltextrun"/>
          <w:rFonts w:cs="Arial"/>
          <w:b/>
          <w:bCs/>
        </w:rPr>
      </w:pPr>
      <w:r w:rsidRPr="00155B72">
        <w:lastRenderedPageBreak/>
        <w:t xml:space="preserve"> </w:t>
      </w:r>
      <w:r w:rsidR="0082238B" w:rsidRPr="00F70234">
        <w:t xml:space="preserve">Table </w:t>
      </w:r>
      <w:r w:rsidR="005E16B0" w:rsidRPr="00F70234">
        <w:t>8</w:t>
      </w:r>
      <w:r w:rsidR="00314A31" w:rsidRPr="00F70234">
        <w:t>:</w:t>
      </w:r>
      <w:r w:rsidR="00801D07" w:rsidRPr="00F70234">
        <w:t> Comparison of FIONA and Commonwealth and State Budget totals</w:t>
      </w:r>
      <w:r w:rsidR="00801D07">
        <w:rPr>
          <w:rStyle w:val="normaltextrun"/>
          <w:rFonts w:cs="Arial"/>
          <w:b/>
          <w:bCs/>
        </w:rPr>
        <w:t xml:space="preserve"> </w:t>
      </w:r>
    </w:p>
    <w:tbl>
      <w:tblPr>
        <w:tblW w:w="9127" w:type="dxa"/>
        <w:tblLook w:val="04A0" w:firstRow="1" w:lastRow="0" w:firstColumn="1" w:lastColumn="0" w:noHBand="0" w:noVBand="1"/>
      </w:tblPr>
      <w:tblGrid>
        <w:gridCol w:w="1555"/>
        <w:gridCol w:w="2020"/>
        <w:gridCol w:w="2138"/>
        <w:gridCol w:w="1967"/>
        <w:gridCol w:w="1447"/>
      </w:tblGrid>
      <w:tr w:rsidR="002672BC" w:rsidRPr="002672BC" w14:paraId="6BDA54FE" w14:textId="77777777" w:rsidTr="006C184F">
        <w:trPr>
          <w:trHeight w:val="663"/>
        </w:trPr>
        <w:tc>
          <w:tcPr>
            <w:tcW w:w="1555" w:type="dxa"/>
            <w:tcBorders>
              <w:top w:val="single" w:sz="4" w:space="0" w:color="auto"/>
              <w:left w:val="single" w:sz="4" w:space="0" w:color="auto"/>
              <w:bottom w:val="single" w:sz="4" w:space="0" w:color="auto"/>
              <w:right w:val="single" w:sz="4" w:space="0" w:color="auto"/>
            </w:tcBorders>
            <w:shd w:val="clear" w:color="000000" w:fill="CFDCEA"/>
            <w:vAlign w:val="center"/>
            <w:hideMark/>
          </w:tcPr>
          <w:p w14:paraId="644CAC93" w14:textId="77777777" w:rsidR="002672BC" w:rsidRPr="006C184F" w:rsidRDefault="002672BC" w:rsidP="006C184F">
            <w:pPr>
              <w:keepNext/>
              <w:spacing w:after="0"/>
              <w:jc w:val="center"/>
              <w:rPr>
                <w:rFonts w:ascii="Arial" w:eastAsia="Times New Roman" w:hAnsi="Arial" w:cs="Arial"/>
                <w:b/>
                <w:bCs/>
                <w:color w:val="000000"/>
                <w:sz w:val="20"/>
                <w:szCs w:val="20"/>
                <w:lang w:eastAsia="en-AU"/>
              </w:rPr>
            </w:pPr>
            <w:r w:rsidRPr="006C184F">
              <w:rPr>
                <w:rFonts w:ascii="Arial" w:eastAsia="Times New Roman" w:hAnsi="Arial" w:cs="Arial"/>
                <w:b/>
                <w:bCs/>
                <w:color w:val="000000"/>
                <w:sz w:val="20"/>
                <w:szCs w:val="20"/>
                <w:lang w:eastAsia="en-AU"/>
              </w:rPr>
              <w:t> </w:t>
            </w:r>
          </w:p>
        </w:tc>
        <w:tc>
          <w:tcPr>
            <w:tcW w:w="2020" w:type="dxa"/>
            <w:tcBorders>
              <w:top w:val="single" w:sz="4" w:space="0" w:color="auto"/>
              <w:left w:val="nil"/>
              <w:bottom w:val="single" w:sz="4" w:space="0" w:color="auto"/>
              <w:right w:val="single" w:sz="4" w:space="0" w:color="auto"/>
            </w:tcBorders>
            <w:shd w:val="clear" w:color="000000" w:fill="CFDCEA"/>
            <w:vAlign w:val="center"/>
            <w:hideMark/>
          </w:tcPr>
          <w:p w14:paraId="6C8564BB" w14:textId="77777777" w:rsidR="002672BC" w:rsidRPr="006C184F" w:rsidRDefault="002672BC" w:rsidP="006C184F">
            <w:pPr>
              <w:keepNext/>
              <w:spacing w:after="0"/>
              <w:jc w:val="center"/>
              <w:rPr>
                <w:rFonts w:ascii="Arial" w:eastAsia="Times New Roman" w:hAnsi="Arial" w:cs="Arial"/>
                <w:b/>
                <w:bCs/>
                <w:color w:val="000000"/>
                <w:sz w:val="20"/>
                <w:szCs w:val="20"/>
                <w:lang w:eastAsia="en-AU"/>
              </w:rPr>
            </w:pPr>
            <w:r w:rsidRPr="006C184F">
              <w:rPr>
                <w:rFonts w:ascii="Arial" w:eastAsia="Times New Roman" w:hAnsi="Arial" w:cs="Arial"/>
                <w:b/>
                <w:bCs/>
                <w:color w:val="000000"/>
                <w:sz w:val="20"/>
                <w:szCs w:val="20"/>
                <w:lang w:eastAsia="en-AU"/>
              </w:rPr>
              <w:t>Commonwealth Expenses ($b)</w:t>
            </w:r>
          </w:p>
        </w:tc>
        <w:tc>
          <w:tcPr>
            <w:tcW w:w="2138" w:type="dxa"/>
            <w:tcBorders>
              <w:top w:val="single" w:sz="4" w:space="0" w:color="auto"/>
              <w:left w:val="nil"/>
              <w:bottom w:val="single" w:sz="4" w:space="0" w:color="auto"/>
              <w:right w:val="single" w:sz="4" w:space="0" w:color="auto"/>
            </w:tcBorders>
            <w:shd w:val="clear" w:color="000000" w:fill="CFDCEA"/>
            <w:vAlign w:val="center"/>
            <w:hideMark/>
          </w:tcPr>
          <w:p w14:paraId="54765843" w14:textId="77777777" w:rsidR="002672BC" w:rsidRPr="006C184F" w:rsidRDefault="002672BC" w:rsidP="006C184F">
            <w:pPr>
              <w:keepNext/>
              <w:spacing w:after="0"/>
              <w:jc w:val="center"/>
              <w:rPr>
                <w:rFonts w:ascii="Arial" w:eastAsia="Times New Roman" w:hAnsi="Arial" w:cs="Arial"/>
                <w:b/>
                <w:bCs/>
                <w:color w:val="000000"/>
                <w:sz w:val="20"/>
                <w:szCs w:val="20"/>
                <w:lang w:eastAsia="en-AU"/>
              </w:rPr>
            </w:pPr>
            <w:r w:rsidRPr="006C184F">
              <w:rPr>
                <w:rFonts w:ascii="Arial" w:eastAsia="Times New Roman" w:hAnsi="Arial" w:cs="Arial"/>
                <w:b/>
                <w:bCs/>
                <w:color w:val="000000"/>
                <w:sz w:val="20"/>
                <w:szCs w:val="20"/>
                <w:lang w:eastAsia="en-AU"/>
              </w:rPr>
              <w:t>Commonwealth Revenue ($b)</w:t>
            </w:r>
          </w:p>
        </w:tc>
        <w:tc>
          <w:tcPr>
            <w:tcW w:w="1967" w:type="dxa"/>
            <w:tcBorders>
              <w:top w:val="single" w:sz="4" w:space="0" w:color="auto"/>
              <w:left w:val="nil"/>
              <w:bottom w:val="single" w:sz="4" w:space="0" w:color="auto"/>
              <w:right w:val="single" w:sz="4" w:space="0" w:color="auto"/>
            </w:tcBorders>
            <w:shd w:val="clear" w:color="000000" w:fill="CFDCEA"/>
            <w:vAlign w:val="center"/>
            <w:hideMark/>
          </w:tcPr>
          <w:p w14:paraId="5B24E5C5" w14:textId="77777777" w:rsidR="002672BC" w:rsidRPr="006C184F" w:rsidRDefault="002672BC" w:rsidP="006C184F">
            <w:pPr>
              <w:keepNext/>
              <w:spacing w:after="0"/>
              <w:jc w:val="center"/>
              <w:rPr>
                <w:rFonts w:ascii="Arial" w:eastAsia="Times New Roman" w:hAnsi="Arial" w:cs="Arial"/>
                <w:b/>
                <w:bCs/>
                <w:color w:val="000000"/>
                <w:sz w:val="20"/>
                <w:szCs w:val="20"/>
                <w:lang w:eastAsia="en-AU"/>
              </w:rPr>
            </w:pPr>
            <w:r w:rsidRPr="006C184F">
              <w:rPr>
                <w:rFonts w:ascii="Arial" w:eastAsia="Times New Roman" w:hAnsi="Arial" w:cs="Arial"/>
                <w:b/>
                <w:bCs/>
                <w:color w:val="000000"/>
                <w:sz w:val="20"/>
                <w:szCs w:val="20"/>
                <w:lang w:eastAsia="en-AU"/>
              </w:rPr>
              <w:t>State Expenses ($b)</w:t>
            </w:r>
          </w:p>
        </w:tc>
        <w:tc>
          <w:tcPr>
            <w:tcW w:w="1447" w:type="dxa"/>
            <w:tcBorders>
              <w:top w:val="single" w:sz="4" w:space="0" w:color="auto"/>
              <w:left w:val="nil"/>
              <w:bottom w:val="single" w:sz="4" w:space="0" w:color="auto"/>
              <w:right w:val="single" w:sz="4" w:space="0" w:color="auto"/>
            </w:tcBorders>
            <w:shd w:val="clear" w:color="000000" w:fill="CFDCEA"/>
            <w:vAlign w:val="center"/>
            <w:hideMark/>
          </w:tcPr>
          <w:p w14:paraId="318F91D5" w14:textId="77777777" w:rsidR="002672BC" w:rsidRPr="006C184F" w:rsidRDefault="002672BC" w:rsidP="006C184F">
            <w:pPr>
              <w:keepNext/>
              <w:spacing w:after="0"/>
              <w:jc w:val="center"/>
              <w:rPr>
                <w:rFonts w:ascii="Arial" w:eastAsia="Times New Roman" w:hAnsi="Arial" w:cs="Arial"/>
                <w:b/>
                <w:bCs/>
                <w:color w:val="000000"/>
                <w:sz w:val="20"/>
                <w:szCs w:val="20"/>
                <w:lang w:eastAsia="en-AU"/>
              </w:rPr>
            </w:pPr>
            <w:r w:rsidRPr="006C184F">
              <w:rPr>
                <w:rFonts w:ascii="Arial" w:eastAsia="Times New Roman" w:hAnsi="Arial" w:cs="Arial"/>
                <w:b/>
                <w:bCs/>
                <w:color w:val="000000"/>
                <w:sz w:val="20"/>
                <w:szCs w:val="20"/>
                <w:lang w:eastAsia="en-AU"/>
              </w:rPr>
              <w:t>State Revenue ($b)</w:t>
            </w:r>
          </w:p>
        </w:tc>
      </w:tr>
      <w:tr w:rsidR="002672BC" w:rsidRPr="002672BC" w14:paraId="2670F37A" w14:textId="77777777" w:rsidTr="006C184F">
        <w:trPr>
          <w:trHeight w:val="331"/>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1FB9274" w14:textId="77777777" w:rsidR="002672BC" w:rsidRPr="0035756D" w:rsidRDefault="002672BC" w:rsidP="006C184F">
            <w:pPr>
              <w:keepNext/>
              <w:spacing w:after="0"/>
              <w:jc w:val="right"/>
              <w:rPr>
                <w:rFonts w:ascii="Arial" w:eastAsia="Times New Roman" w:hAnsi="Arial" w:cs="Arial"/>
                <w:sz w:val="20"/>
                <w:szCs w:val="20"/>
                <w:lang w:eastAsia="en-AU"/>
              </w:rPr>
            </w:pPr>
            <w:r w:rsidRPr="0035756D">
              <w:rPr>
                <w:rFonts w:ascii="Arial" w:eastAsia="Times New Roman" w:hAnsi="Arial" w:cs="Arial"/>
                <w:sz w:val="20"/>
                <w:szCs w:val="20"/>
                <w:lang w:eastAsia="en-AU"/>
              </w:rPr>
              <w:t>Budget Total</w:t>
            </w:r>
          </w:p>
        </w:tc>
        <w:tc>
          <w:tcPr>
            <w:tcW w:w="2020" w:type="dxa"/>
            <w:tcBorders>
              <w:top w:val="nil"/>
              <w:left w:val="nil"/>
              <w:bottom w:val="single" w:sz="4" w:space="0" w:color="auto"/>
              <w:right w:val="single" w:sz="4" w:space="0" w:color="auto"/>
            </w:tcBorders>
            <w:shd w:val="clear" w:color="auto" w:fill="auto"/>
            <w:vAlign w:val="center"/>
            <w:hideMark/>
          </w:tcPr>
          <w:p w14:paraId="1B2E417D" w14:textId="77777777" w:rsidR="002672BC" w:rsidRPr="0035756D" w:rsidRDefault="002672BC" w:rsidP="006C184F">
            <w:pPr>
              <w:keepNext/>
              <w:spacing w:after="0"/>
              <w:jc w:val="right"/>
              <w:rPr>
                <w:rFonts w:ascii="Arial" w:eastAsia="Times New Roman" w:hAnsi="Arial" w:cs="Arial"/>
                <w:sz w:val="18"/>
                <w:szCs w:val="18"/>
                <w:lang w:eastAsia="en-AU"/>
              </w:rPr>
            </w:pPr>
            <w:r w:rsidRPr="0035756D">
              <w:rPr>
                <w:rFonts w:ascii="Arial" w:eastAsia="Times New Roman" w:hAnsi="Arial" w:cs="Arial"/>
                <w:sz w:val="18"/>
                <w:szCs w:val="18"/>
                <w:lang w:eastAsia="en-AU"/>
              </w:rPr>
              <w:t>424</w:t>
            </w:r>
          </w:p>
        </w:tc>
        <w:tc>
          <w:tcPr>
            <w:tcW w:w="2138" w:type="dxa"/>
            <w:tcBorders>
              <w:top w:val="nil"/>
              <w:left w:val="nil"/>
              <w:bottom w:val="single" w:sz="4" w:space="0" w:color="auto"/>
              <w:right w:val="single" w:sz="4" w:space="0" w:color="auto"/>
            </w:tcBorders>
            <w:shd w:val="clear" w:color="auto" w:fill="auto"/>
            <w:vAlign w:val="center"/>
            <w:hideMark/>
          </w:tcPr>
          <w:p w14:paraId="5893079D" w14:textId="77777777" w:rsidR="002672BC" w:rsidRPr="0035756D" w:rsidRDefault="002672BC" w:rsidP="006C184F">
            <w:pPr>
              <w:keepNext/>
              <w:spacing w:after="0"/>
              <w:jc w:val="right"/>
              <w:rPr>
                <w:rFonts w:ascii="Arial" w:eastAsia="Times New Roman" w:hAnsi="Arial" w:cs="Arial"/>
                <w:sz w:val="18"/>
                <w:szCs w:val="18"/>
                <w:lang w:eastAsia="en-AU"/>
              </w:rPr>
            </w:pPr>
            <w:r w:rsidRPr="0035756D">
              <w:rPr>
                <w:rFonts w:ascii="Arial" w:eastAsia="Times New Roman" w:hAnsi="Arial" w:cs="Arial"/>
                <w:sz w:val="18"/>
                <w:szCs w:val="18"/>
                <w:lang w:eastAsia="en-AU"/>
              </w:rPr>
              <w:t>427</w:t>
            </w:r>
          </w:p>
        </w:tc>
        <w:tc>
          <w:tcPr>
            <w:tcW w:w="1967" w:type="dxa"/>
            <w:tcBorders>
              <w:top w:val="nil"/>
              <w:left w:val="nil"/>
              <w:bottom w:val="single" w:sz="4" w:space="0" w:color="auto"/>
              <w:right w:val="single" w:sz="4" w:space="0" w:color="auto"/>
            </w:tcBorders>
            <w:shd w:val="clear" w:color="auto" w:fill="auto"/>
            <w:vAlign w:val="center"/>
            <w:hideMark/>
          </w:tcPr>
          <w:p w14:paraId="1B97FC83" w14:textId="77777777" w:rsidR="002672BC" w:rsidRPr="0035756D" w:rsidRDefault="002672BC" w:rsidP="006C184F">
            <w:pPr>
              <w:keepNext/>
              <w:spacing w:after="0"/>
              <w:jc w:val="right"/>
              <w:rPr>
                <w:rFonts w:ascii="Arial" w:eastAsia="Times New Roman" w:hAnsi="Arial" w:cs="Arial"/>
                <w:sz w:val="18"/>
                <w:szCs w:val="18"/>
                <w:lang w:eastAsia="en-AU"/>
              </w:rPr>
            </w:pPr>
            <w:r w:rsidRPr="0035756D">
              <w:rPr>
                <w:rFonts w:ascii="Arial" w:eastAsia="Times New Roman" w:hAnsi="Arial" w:cs="Arial"/>
                <w:sz w:val="18"/>
                <w:szCs w:val="18"/>
                <w:lang w:eastAsia="en-AU"/>
              </w:rPr>
              <w:t>218</w:t>
            </w:r>
          </w:p>
        </w:tc>
        <w:tc>
          <w:tcPr>
            <w:tcW w:w="1447" w:type="dxa"/>
            <w:tcBorders>
              <w:top w:val="nil"/>
              <w:left w:val="nil"/>
              <w:bottom w:val="single" w:sz="4" w:space="0" w:color="auto"/>
              <w:right w:val="single" w:sz="4" w:space="0" w:color="auto"/>
            </w:tcBorders>
            <w:shd w:val="clear" w:color="auto" w:fill="auto"/>
            <w:vAlign w:val="center"/>
            <w:hideMark/>
          </w:tcPr>
          <w:p w14:paraId="30BEE556" w14:textId="77777777" w:rsidR="002672BC" w:rsidRPr="0035756D" w:rsidRDefault="002672BC" w:rsidP="006C184F">
            <w:pPr>
              <w:keepNext/>
              <w:spacing w:after="0"/>
              <w:jc w:val="right"/>
              <w:rPr>
                <w:rFonts w:ascii="Arial" w:eastAsia="Times New Roman" w:hAnsi="Arial" w:cs="Arial"/>
                <w:sz w:val="18"/>
                <w:szCs w:val="18"/>
                <w:lang w:eastAsia="en-AU"/>
              </w:rPr>
            </w:pPr>
            <w:r w:rsidRPr="0035756D">
              <w:rPr>
                <w:rFonts w:ascii="Arial" w:eastAsia="Times New Roman" w:hAnsi="Arial" w:cs="Arial"/>
                <w:sz w:val="18"/>
                <w:szCs w:val="18"/>
                <w:lang w:eastAsia="en-AU"/>
              </w:rPr>
              <w:t>198</w:t>
            </w:r>
          </w:p>
        </w:tc>
      </w:tr>
      <w:tr w:rsidR="002672BC" w:rsidRPr="002672BC" w14:paraId="390D434A" w14:textId="77777777" w:rsidTr="006C184F">
        <w:trPr>
          <w:trHeight w:val="331"/>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63963FD" w14:textId="77777777" w:rsidR="002672BC" w:rsidRPr="0035756D" w:rsidRDefault="002672BC" w:rsidP="006C184F">
            <w:pPr>
              <w:keepNext/>
              <w:spacing w:after="0"/>
              <w:jc w:val="right"/>
              <w:rPr>
                <w:rFonts w:ascii="Arial" w:eastAsia="Times New Roman" w:hAnsi="Arial" w:cs="Arial"/>
                <w:sz w:val="20"/>
                <w:szCs w:val="20"/>
                <w:lang w:eastAsia="en-AU"/>
              </w:rPr>
            </w:pPr>
            <w:r w:rsidRPr="0035756D">
              <w:rPr>
                <w:rFonts w:ascii="Arial" w:eastAsia="Times New Roman" w:hAnsi="Arial" w:cs="Arial"/>
                <w:sz w:val="20"/>
                <w:szCs w:val="20"/>
                <w:lang w:eastAsia="en-AU"/>
              </w:rPr>
              <w:t>FIONA Estimate</w:t>
            </w:r>
          </w:p>
        </w:tc>
        <w:tc>
          <w:tcPr>
            <w:tcW w:w="2020" w:type="dxa"/>
            <w:tcBorders>
              <w:top w:val="nil"/>
              <w:left w:val="nil"/>
              <w:bottom w:val="single" w:sz="4" w:space="0" w:color="auto"/>
              <w:right w:val="single" w:sz="4" w:space="0" w:color="auto"/>
            </w:tcBorders>
            <w:shd w:val="clear" w:color="auto" w:fill="auto"/>
            <w:vAlign w:val="center"/>
            <w:hideMark/>
          </w:tcPr>
          <w:p w14:paraId="72BDC47D" w14:textId="77777777" w:rsidR="002672BC" w:rsidRPr="0035756D" w:rsidRDefault="002672BC" w:rsidP="006C184F">
            <w:pPr>
              <w:keepNext/>
              <w:spacing w:after="0"/>
              <w:jc w:val="right"/>
              <w:rPr>
                <w:rFonts w:ascii="Arial" w:eastAsia="Times New Roman" w:hAnsi="Arial" w:cs="Arial"/>
                <w:sz w:val="18"/>
                <w:szCs w:val="18"/>
                <w:lang w:eastAsia="en-AU"/>
              </w:rPr>
            </w:pPr>
            <w:r w:rsidRPr="0035756D">
              <w:rPr>
                <w:rFonts w:ascii="Arial" w:eastAsia="Times New Roman" w:hAnsi="Arial" w:cs="Arial"/>
                <w:sz w:val="18"/>
                <w:szCs w:val="18"/>
                <w:lang w:eastAsia="en-AU"/>
              </w:rPr>
              <w:t>235</w:t>
            </w:r>
          </w:p>
        </w:tc>
        <w:tc>
          <w:tcPr>
            <w:tcW w:w="2138" w:type="dxa"/>
            <w:tcBorders>
              <w:top w:val="nil"/>
              <w:left w:val="nil"/>
              <w:bottom w:val="single" w:sz="4" w:space="0" w:color="auto"/>
              <w:right w:val="single" w:sz="4" w:space="0" w:color="auto"/>
            </w:tcBorders>
            <w:shd w:val="clear" w:color="auto" w:fill="auto"/>
            <w:vAlign w:val="center"/>
            <w:hideMark/>
          </w:tcPr>
          <w:p w14:paraId="7527D89B" w14:textId="77777777" w:rsidR="002672BC" w:rsidRPr="0035756D" w:rsidRDefault="002672BC" w:rsidP="006C184F">
            <w:pPr>
              <w:keepNext/>
              <w:spacing w:after="0"/>
              <w:jc w:val="right"/>
              <w:rPr>
                <w:rFonts w:ascii="Arial" w:eastAsia="Times New Roman" w:hAnsi="Arial" w:cs="Arial"/>
                <w:sz w:val="18"/>
                <w:szCs w:val="18"/>
                <w:lang w:eastAsia="en-AU"/>
              </w:rPr>
            </w:pPr>
            <w:r w:rsidRPr="0035756D">
              <w:rPr>
                <w:rFonts w:ascii="Arial" w:eastAsia="Times New Roman" w:hAnsi="Arial" w:cs="Arial"/>
                <w:sz w:val="18"/>
                <w:szCs w:val="18"/>
                <w:lang w:eastAsia="en-AU"/>
              </w:rPr>
              <w:t>244.8</w:t>
            </w:r>
          </w:p>
        </w:tc>
        <w:tc>
          <w:tcPr>
            <w:tcW w:w="1967" w:type="dxa"/>
            <w:tcBorders>
              <w:top w:val="nil"/>
              <w:left w:val="nil"/>
              <w:bottom w:val="single" w:sz="4" w:space="0" w:color="auto"/>
              <w:right w:val="single" w:sz="4" w:space="0" w:color="auto"/>
            </w:tcBorders>
            <w:shd w:val="clear" w:color="auto" w:fill="auto"/>
            <w:vAlign w:val="center"/>
            <w:hideMark/>
          </w:tcPr>
          <w:p w14:paraId="14ADB36A" w14:textId="77777777" w:rsidR="002672BC" w:rsidRPr="0035756D" w:rsidRDefault="002672BC" w:rsidP="006C184F">
            <w:pPr>
              <w:keepNext/>
              <w:spacing w:after="0"/>
              <w:jc w:val="right"/>
              <w:rPr>
                <w:rFonts w:ascii="Arial" w:eastAsia="Times New Roman" w:hAnsi="Arial" w:cs="Arial"/>
                <w:sz w:val="18"/>
                <w:szCs w:val="18"/>
                <w:lang w:eastAsia="en-AU"/>
              </w:rPr>
            </w:pPr>
            <w:r w:rsidRPr="0035756D">
              <w:rPr>
                <w:rFonts w:ascii="Arial" w:eastAsia="Times New Roman" w:hAnsi="Arial" w:cs="Arial"/>
                <w:sz w:val="18"/>
                <w:szCs w:val="18"/>
                <w:lang w:eastAsia="en-AU"/>
              </w:rPr>
              <w:t>121.5</w:t>
            </w:r>
          </w:p>
        </w:tc>
        <w:tc>
          <w:tcPr>
            <w:tcW w:w="1447" w:type="dxa"/>
            <w:tcBorders>
              <w:top w:val="nil"/>
              <w:left w:val="nil"/>
              <w:bottom w:val="single" w:sz="4" w:space="0" w:color="auto"/>
              <w:right w:val="single" w:sz="4" w:space="0" w:color="auto"/>
            </w:tcBorders>
            <w:shd w:val="clear" w:color="auto" w:fill="auto"/>
            <w:vAlign w:val="center"/>
            <w:hideMark/>
          </w:tcPr>
          <w:p w14:paraId="66C89BC8" w14:textId="77777777" w:rsidR="002672BC" w:rsidRPr="0035756D" w:rsidRDefault="002672BC" w:rsidP="006C184F">
            <w:pPr>
              <w:keepNext/>
              <w:spacing w:after="0"/>
              <w:jc w:val="right"/>
              <w:rPr>
                <w:rFonts w:ascii="Arial" w:eastAsia="Times New Roman" w:hAnsi="Arial" w:cs="Arial"/>
                <w:sz w:val="18"/>
                <w:szCs w:val="18"/>
                <w:lang w:eastAsia="en-AU"/>
              </w:rPr>
            </w:pPr>
            <w:r w:rsidRPr="0035756D">
              <w:rPr>
                <w:rFonts w:ascii="Arial" w:eastAsia="Times New Roman" w:hAnsi="Arial" w:cs="Arial"/>
                <w:sz w:val="18"/>
                <w:szCs w:val="18"/>
                <w:lang w:eastAsia="en-AU"/>
              </w:rPr>
              <w:t>117.6</w:t>
            </w:r>
          </w:p>
        </w:tc>
      </w:tr>
      <w:tr w:rsidR="002672BC" w:rsidRPr="002672BC" w14:paraId="59DC034F" w14:textId="77777777" w:rsidTr="0035756D">
        <w:trPr>
          <w:trHeight w:val="331"/>
        </w:trPr>
        <w:tc>
          <w:tcPr>
            <w:tcW w:w="1555" w:type="dxa"/>
            <w:tcBorders>
              <w:top w:val="nil"/>
              <w:left w:val="single" w:sz="4" w:space="0" w:color="auto"/>
              <w:bottom w:val="single" w:sz="8" w:space="0" w:color="auto"/>
              <w:right w:val="single" w:sz="4" w:space="0" w:color="auto"/>
            </w:tcBorders>
            <w:shd w:val="clear" w:color="auto" w:fill="auto"/>
            <w:vAlign w:val="center"/>
            <w:hideMark/>
          </w:tcPr>
          <w:p w14:paraId="4CDB3C7B" w14:textId="77777777" w:rsidR="002672BC" w:rsidRPr="0035756D" w:rsidRDefault="002672BC" w:rsidP="006C184F">
            <w:pPr>
              <w:keepNext/>
              <w:spacing w:after="0"/>
              <w:jc w:val="right"/>
              <w:rPr>
                <w:rFonts w:ascii="Arial" w:eastAsia="Times New Roman" w:hAnsi="Arial" w:cs="Arial"/>
                <w:sz w:val="20"/>
                <w:szCs w:val="20"/>
                <w:lang w:eastAsia="en-AU"/>
              </w:rPr>
            </w:pPr>
            <w:r w:rsidRPr="0035756D">
              <w:rPr>
                <w:rFonts w:ascii="Arial" w:eastAsia="Times New Roman" w:hAnsi="Arial" w:cs="Arial"/>
                <w:sz w:val="20"/>
                <w:szCs w:val="20"/>
                <w:lang w:eastAsia="en-AU"/>
              </w:rPr>
              <w:t>Total Missing</w:t>
            </w:r>
          </w:p>
        </w:tc>
        <w:tc>
          <w:tcPr>
            <w:tcW w:w="2020" w:type="dxa"/>
            <w:tcBorders>
              <w:top w:val="nil"/>
              <w:left w:val="nil"/>
              <w:bottom w:val="single" w:sz="8" w:space="0" w:color="auto"/>
              <w:right w:val="single" w:sz="4" w:space="0" w:color="auto"/>
            </w:tcBorders>
            <w:shd w:val="clear" w:color="auto" w:fill="auto"/>
            <w:vAlign w:val="center"/>
            <w:hideMark/>
          </w:tcPr>
          <w:p w14:paraId="11AC2948" w14:textId="77777777" w:rsidR="002672BC" w:rsidRPr="0035756D" w:rsidRDefault="002672BC" w:rsidP="006C184F">
            <w:pPr>
              <w:keepNext/>
              <w:spacing w:after="0"/>
              <w:jc w:val="right"/>
              <w:rPr>
                <w:rFonts w:ascii="Arial" w:eastAsia="Times New Roman" w:hAnsi="Arial" w:cs="Arial"/>
                <w:sz w:val="18"/>
                <w:szCs w:val="18"/>
                <w:lang w:eastAsia="en-AU"/>
              </w:rPr>
            </w:pPr>
            <w:r w:rsidRPr="0035756D">
              <w:rPr>
                <w:rFonts w:ascii="Arial" w:eastAsia="Times New Roman" w:hAnsi="Arial" w:cs="Arial"/>
                <w:sz w:val="18"/>
                <w:szCs w:val="18"/>
                <w:lang w:eastAsia="en-AU"/>
              </w:rPr>
              <w:t>189.4</w:t>
            </w:r>
          </w:p>
        </w:tc>
        <w:tc>
          <w:tcPr>
            <w:tcW w:w="2138" w:type="dxa"/>
            <w:tcBorders>
              <w:top w:val="nil"/>
              <w:left w:val="nil"/>
              <w:bottom w:val="single" w:sz="8" w:space="0" w:color="auto"/>
              <w:right w:val="single" w:sz="4" w:space="0" w:color="auto"/>
            </w:tcBorders>
            <w:shd w:val="clear" w:color="auto" w:fill="auto"/>
            <w:vAlign w:val="center"/>
            <w:hideMark/>
          </w:tcPr>
          <w:p w14:paraId="14B86688" w14:textId="77777777" w:rsidR="002672BC" w:rsidRPr="0035756D" w:rsidRDefault="002672BC" w:rsidP="006C184F">
            <w:pPr>
              <w:keepNext/>
              <w:spacing w:after="0"/>
              <w:jc w:val="right"/>
              <w:rPr>
                <w:rFonts w:ascii="Arial" w:eastAsia="Times New Roman" w:hAnsi="Arial" w:cs="Arial"/>
                <w:sz w:val="18"/>
                <w:szCs w:val="18"/>
                <w:lang w:eastAsia="en-AU"/>
              </w:rPr>
            </w:pPr>
            <w:r w:rsidRPr="0035756D">
              <w:rPr>
                <w:rFonts w:ascii="Arial" w:eastAsia="Times New Roman" w:hAnsi="Arial" w:cs="Arial"/>
                <w:sz w:val="18"/>
                <w:szCs w:val="18"/>
                <w:lang w:eastAsia="en-AU"/>
              </w:rPr>
              <w:t>182.1</w:t>
            </w:r>
          </w:p>
        </w:tc>
        <w:tc>
          <w:tcPr>
            <w:tcW w:w="1967" w:type="dxa"/>
            <w:tcBorders>
              <w:top w:val="nil"/>
              <w:left w:val="nil"/>
              <w:bottom w:val="single" w:sz="8" w:space="0" w:color="auto"/>
              <w:right w:val="single" w:sz="4" w:space="0" w:color="auto"/>
            </w:tcBorders>
            <w:shd w:val="clear" w:color="auto" w:fill="auto"/>
            <w:vAlign w:val="center"/>
            <w:hideMark/>
          </w:tcPr>
          <w:p w14:paraId="01422BCD" w14:textId="77777777" w:rsidR="002672BC" w:rsidRPr="0035756D" w:rsidRDefault="002672BC" w:rsidP="006C184F">
            <w:pPr>
              <w:keepNext/>
              <w:spacing w:after="0"/>
              <w:jc w:val="right"/>
              <w:rPr>
                <w:rFonts w:ascii="Arial" w:eastAsia="Times New Roman" w:hAnsi="Arial" w:cs="Arial"/>
                <w:sz w:val="18"/>
                <w:szCs w:val="18"/>
                <w:lang w:eastAsia="en-AU"/>
              </w:rPr>
            </w:pPr>
            <w:r w:rsidRPr="0035756D">
              <w:rPr>
                <w:rFonts w:ascii="Arial" w:eastAsia="Times New Roman" w:hAnsi="Arial" w:cs="Arial"/>
                <w:sz w:val="18"/>
                <w:szCs w:val="18"/>
                <w:lang w:eastAsia="en-AU"/>
              </w:rPr>
              <w:t>96.2</w:t>
            </w:r>
          </w:p>
        </w:tc>
        <w:tc>
          <w:tcPr>
            <w:tcW w:w="1447" w:type="dxa"/>
            <w:tcBorders>
              <w:top w:val="nil"/>
              <w:left w:val="nil"/>
              <w:bottom w:val="single" w:sz="8" w:space="0" w:color="auto"/>
              <w:right w:val="single" w:sz="4" w:space="0" w:color="auto"/>
            </w:tcBorders>
            <w:shd w:val="clear" w:color="auto" w:fill="auto"/>
            <w:vAlign w:val="center"/>
            <w:hideMark/>
          </w:tcPr>
          <w:p w14:paraId="62971A62" w14:textId="77777777" w:rsidR="002672BC" w:rsidRPr="0035756D" w:rsidRDefault="002672BC" w:rsidP="006C184F">
            <w:pPr>
              <w:keepNext/>
              <w:spacing w:after="0"/>
              <w:jc w:val="right"/>
              <w:rPr>
                <w:rFonts w:ascii="Arial" w:eastAsia="Times New Roman" w:hAnsi="Arial" w:cs="Arial"/>
                <w:sz w:val="18"/>
                <w:szCs w:val="18"/>
                <w:lang w:eastAsia="en-AU"/>
              </w:rPr>
            </w:pPr>
            <w:r w:rsidRPr="0035756D">
              <w:rPr>
                <w:rFonts w:ascii="Arial" w:eastAsia="Times New Roman" w:hAnsi="Arial" w:cs="Arial"/>
                <w:sz w:val="18"/>
                <w:szCs w:val="18"/>
                <w:lang w:eastAsia="en-AU"/>
              </w:rPr>
              <w:t>80.7</w:t>
            </w:r>
          </w:p>
        </w:tc>
      </w:tr>
      <w:tr w:rsidR="002672BC" w:rsidRPr="002672BC" w14:paraId="1CF03330" w14:textId="77777777" w:rsidTr="0035756D">
        <w:trPr>
          <w:trHeight w:val="331"/>
        </w:trPr>
        <w:tc>
          <w:tcPr>
            <w:tcW w:w="1555"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877CD9B" w14:textId="77777777" w:rsidR="002672BC" w:rsidRPr="006C184F" w:rsidRDefault="002672BC" w:rsidP="006C184F">
            <w:pPr>
              <w:keepNext/>
              <w:spacing w:after="0"/>
              <w:jc w:val="right"/>
              <w:rPr>
                <w:rFonts w:ascii="Arial" w:eastAsia="Times New Roman" w:hAnsi="Arial" w:cs="Arial"/>
                <w:b/>
                <w:bCs/>
                <w:sz w:val="20"/>
                <w:szCs w:val="20"/>
                <w:lang w:eastAsia="en-AU"/>
              </w:rPr>
            </w:pPr>
            <w:r w:rsidRPr="006C184F">
              <w:rPr>
                <w:rFonts w:ascii="Arial" w:eastAsia="Times New Roman" w:hAnsi="Arial" w:cs="Arial"/>
                <w:b/>
                <w:bCs/>
                <w:sz w:val="20"/>
                <w:szCs w:val="20"/>
                <w:lang w:eastAsia="en-AU"/>
              </w:rPr>
              <w:t>FIONA Coverage</w:t>
            </w:r>
          </w:p>
        </w:tc>
        <w:tc>
          <w:tcPr>
            <w:tcW w:w="2020" w:type="dxa"/>
            <w:tcBorders>
              <w:top w:val="single" w:sz="8" w:space="0" w:color="auto"/>
              <w:left w:val="nil"/>
              <w:bottom w:val="single" w:sz="8" w:space="0" w:color="auto"/>
              <w:right w:val="single" w:sz="4" w:space="0" w:color="auto"/>
            </w:tcBorders>
            <w:shd w:val="clear" w:color="auto" w:fill="auto"/>
            <w:vAlign w:val="center"/>
            <w:hideMark/>
          </w:tcPr>
          <w:p w14:paraId="5717A054" w14:textId="77777777" w:rsidR="002672BC" w:rsidRPr="0035756D" w:rsidRDefault="002672BC" w:rsidP="006C184F">
            <w:pPr>
              <w:keepNext/>
              <w:spacing w:after="0"/>
              <w:jc w:val="right"/>
              <w:rPr>
                <w:rFonts w:ascii="Arial" w:eastAsia="Times New Roman" w:hAnsi="Arial" w:cs="Arial"/>
                <w:b/>
                <w:bCs/>
                <w:sz w:val="18"/>
                <w:szCs w:val="18"/>
                <w:lang w:eastAsia="en-AU"/>
              </w:rPr>
            </w:pPr>
            <w:r w:rsidRPr="0035756D">
              <w:rPr>
                <w:rFonts w:ascii="Arial" w:eastAsia="Times New Roman" w:hAnsi="Arial" w:cs="Arial"/>
                <w:b/>
                <w:bCs/>
                <w:sz w:val="18"/>
                <w:szCs w:val="18"/>
                <w:lang w:eastAsia="en-AU"/>
              </w:rPr>
              <w:t>55.4%</w:t>
            </w:r>
          </w:p>
        </w:tc>
        <w:tc>
          <w:tcPr>
            <w:tcW w:w="2138" w:type="dxa"/>
            <w:tcBorders>
              <w:top w:val="single" w:sz="8" w:space="0" w:color="auto"/>
              <w:left w:val="nil"/>
              <w:bottom w:val="single" w:sz="8" w:space="0" w:color="auto"/>
              <w:right w:val="single" w:sz="4" w:space="0" w:color="auto"/>
            </w:tcBorders>
            <w:shd w:val="clear" w:color="auto" w:fill="auto"/>
            <w:vAlign w:val="center"/>
            <w:hideMark/>
          </w:tcPr>
          <w:p w14:paraId="406E9B5F" w14:textId="77777777" w:rsidR="002672BC" w:rsidRPr="0035756D" w:rsidRDefault="002672BC" w:rsidP="006C184F">
            <w:pPr>
              <w:keepNext/>
              <w:spacing w:after="0"/>
              <w:jc w:val="right"/>
              <w:rPr>
                <w:rFonts w:ascii="Arial" w:eastAsia="Times New Roman" w:hAnsi="Arial" w:cs="Arial"/>
                <w:b/>
                <w:bCs/>
                <w:sz w:val="18"/>
                <w:szCs w:val="18"/>
                <w:lang w:eastAsia="en-AU"/>
              </w:rPr>
            </w:pPr>
            <w:r w:rsidRPr="0035756D">
              <w:rPr>
                <w:rFonts w:ascii="Arial" w:eastAsia="Times New Roman" w:hAnsi="Arial" w:cs="Arial"/>
                <w:b/>
                <w:bCs/>
                <w:sz w:val="18"/>
                <w:szCs w:val="18"/>
                <w:lang w:eastAsia="en-AU"/>
              </w:rPr>
              <w:t>57.3%</w:t>
            </w:r>
          </w:p>
        </w:tc>
        <w:tc>
          <w:tcPr>
            <w:tcW w:w="1967" w:type="dxa"/>
            <w:tcBorders>
              <w:top w:val="single" w:sz="8" w:space="0" w:color="auto"/>
              <w:left w:val="nil"/>
              <w:bottom w:val="single" w:sz="8" w:space="0" w:color="auto"/>
              <w:right w:val="single" w:sz="4" w:space="0" w:color="auto"/>
            </w:tcBorders>
            <w:shd w:val="clear" w:color="auto" w:fill="auto"/>
            <w:vAlign w:val="center"/>
            <w:hideMark/>
          </w:tcPr>
          <w:p w14:paraId="6E4B51B8" w14:textId="77777777" w:rsidR="002672BC" w:rsidRPr="0035756D" w:rsidRDefault="002672BC" w:rsidP="006C184F">
            <w:pPr>
              <w:keepNext/>
              <w:spacing w:after="0"/>
              <w:jc w:val="right"/>
              <w:rPr>
                <w:rFonts w:ascii="Arial" w:eastAsia="Times New Roman" w:hAnsi="Arial" w:cs="Arial"/>
                <w:b/>
                <w:bCs/>
                <w:sz w:val="18"/>
                <w:szCs w:val="18"/>
                <w:lang w:eastAsia="en-AU"/>
              </w:rPr>
            </w:pPr>
            <w:r w:rsidRPr="0035756D">
              <w:rPr>
                <w:rFonts w:ascii="Arial" w:eastAsia="Times New Roman" w:hAnsi="Arial" w:cs="Arial"/>
                <w:b/>
                <w:bCs/>
                <w:sz w:val="18"/>
                <w:szCs w:val="18"/>
                <w:lang w:eastAsia="en-AU"/>
              </w:rPr>
              <w:t>55.8%</w:t>
            </w:r>
          </w:p>
        </w:tc>
        <w:tc>
          <w:tcPr>
            <w:tcW w:w="1447" w:type="dxa"/>
            <w:tcBorders>
              <w:top w:val="single" w:sz="8" w:space="0" w:color="auto"/>
              <w:left w:val="nil"/>
              <w:bottom w:val="single" w:sz="8" w:space="0" w:color="auto"/>
              <w:right w:val="single" w:sz="4" w:space="0" w:color="auto"/>
            </w:tcBorders>
            <w:shd w:val="clear" w:color="auto" w:fill="auto"/>
            <w:vAlign w:val="center"/>
            <w:hideMark/>
          </w:tcPr>
          <w:p w14:paraId="5A8AE140" w14:textId="77777777" w:rsidR="002672BC" w:rsidRPr="0035756D" w:rsidRDefault="002672BC" w:rsidP="006C184F">
            <w:pPr>
              <w:keepNext/>
              <w:spacing w:after="0"/>
              <w:jc w:val="right"/>
              <w:rPr>
                <w:rFonts w:ascii="Arial" w:eastAsia="Times New Roman" w:hAnsi="Arial" w:cs="Arial"/>
                <w:b/>
                <w:bCs/>
                <w:sz w:val="18"/>
                <w:szCs w:val="18"/>
                <w:lang w:eastAsia="en-AU"/>
              </w:rPr>
            </w:pPr>
            <w:r w:rsidRPr="0035756D">
              <w:rPr>
                <w:rFonts w:ascii="Arial" w:eastAsia="Times New Roman" w:hAnsi="Arial" w:cs="Arial"/>
                <w:b/>
                <w:bCs/>
                <w:sz w:val="18"/>
                <w:szCs w:val="18"/>
                <w:lang w:eastAsia="en-AU"/>
              </w:rPr>
              <w:t>59.3%</w:t>
            </w:r>
          </w:p>
        </w:tc>
      </w:tr>
      <w:tr w:rsidR="002672BC" w:rsidRPr="002672BC" w14:paraId="1DEDCEF4" w14:textId="77777777" w:rsidTr="0035756D">
        <w:trPr>
          <w:trHeight w:val="663"/>
        </w:trPr>
        <w:tc>
          <w:tcPr>
            <w:tcW w:w="155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5E8713C" w14:textId="77777777" w:rsidR="002672BC" w:rsidRPr="0035756D" w:rsidRDefault="002672BC" w:rsidP="006C184F">
            <w:pPr>
              <w:keepNext/>
              <w:spacing w:after="0"/>
              <w:jc w:val="center"/>
              <w:rPr>
                <w:rFonts w:ascii="Arial" w:eastAsia="Times New Roman" w:hAnsi="Arial" w:cs="Arial"/>
                <w:sz w:val="20"/>
                <w:szCs w:val="20"/>
                <w:lang w:eastAsia="en-AU"/>
              </w:rPr>
            </w:pPr>
            <w:r w:rsidRPr="0035756D">
              <w:rPr>
                <w:rFonts w:ascii="Arial" w:eastAsia="Times New Roman" w:hAnsi="Arial" w:cs="Arial"/>
                <w:sz w:val="20"/>
                <w:szCs w:val="20"/>
                <w:lang w:eastAsia="en-AU"/>
              </w:rPr>
              <w:t>Largest excluded items</w:t>
            </w:r>
          </w:p>
        </w:tc>
        <w:tc>
          <w:tcPr>
            <w:tcW w:w="2020" w:type="dxa"/>
            <w:tcBorders>
              <w:top w:val="single" w:sz="8" w:space="0" w:color="auto"/>
              <w:left w:val="nil"/>
              <w:bottom w:val="single" w:sz="4" w:space="0" w:color="auto"/>
              <w:right w:val="single" w:sz="4" w:space="0" w:color="auto"/>
            </w:tcBorders>
            <w:shd w:val="clear" w:color="auto" w:fill="auto"/>
            <w:vAlign w:val="center"/>
            <w:hideMark/>
          </w:tcPr>
          <w:p w14:paraId="014CD880" w14:textId="77777777" w:rsidR="002672BC" w:rsidRPr="0035756D" w:rsidRDefault="002672BC" w:rsidP="006C184F">
            <w:pPr>
              <w:keepNext/>
              <w:spacing w:after="0"/>
              <w:jc w:val="right"/>
              <w:rPr>
                <w:rFonts w:ascii="Arial" w:eastAsia="Times New Roman" w:hAnsi="Arial" w:cs="Arial"/>
                <w:sz w:val="18"/>
                <w:szCs w:val="18"/>
                <w:lang w:eastAsia="en-AU"/>
              </w:rPr>
            </w:pPr>
            <w:r w:rsidRPr="0035756D">
              <w:rPr>
                <w:rFonts w:ascii="Arial" w:eastAsia="Times New Roman" w:hAnsi="Arial" w:cs="Arial"/>
                <w:sz w:val="18"/>
                <w:szCs w:val="18"/>
                <w:lang w:eastAsia="en-AU"/>
              </w:rPr>
              <w:t>Defence (30.8)</w:t>
            </w:r>
          </w:p>
        </w:tc>
        <w:tc>
          <w:tcPr>
            <w:tcW w:w="2138" w:type="dxa"/>
            <w:tcBorders>
              <w:top w:val="single" w:sz="8" w:space="0" w:color="auto"/>
              <w:left w:val="nil"/>
              <w:bottom w:val="single" w:sz="4" w:space="0" w:color="auto"/>
              <w:right w:val="single" w:sz="4" w:space="0" w:color="auto"/>
            </w:tcBorders>
            <w:shd w:val="clear" w:color="auto" w:fill="auto"/>
            <w:vAlign w:val="center"/>
            <w:hideMark/>
          </w:tcPr>
          <w:p w14:paraId="7C1A67D6" w14:textId="77777777" w:rsidR="002672BC" w:rsidRPr="0035756D" w:rsidRDefault="002672BC" w:rsidP="006C184F">
            <w:pPr>
              <w:keepNext/>
              <w:spacing w:after="0"/>
              <w:jc w:val="right"/>
              <w:rPr>
                <w:rFonts w:ascii="Arial" w:eastAsia="Times New Roman" w:hAnsi="Arial" w:cs="Arial"/>
                <w:sz w:val="18"/>
                <w:szCs w:val="18"/>
                <w:lang w:eastAsia="en-AU"/>
              </w:rPr>
            </w:pPr>
            <w:r w:rsidRPr="0035756D">
              <w:rPr>
                <w:rFonts w:ascii="Arial" w:eastAsia="Times New Roman" w:hAnsi="Arial" w:cs="Arial"/>
                <w:sz w:val="18"/>
                <w:szCs w:val="18"/>
                <w:lang w:eastAsia="en-AU"/>
              </w:rPr>
              <w:t>Company tax (99.8)</w:t>
            </w:r>
          </w:p>
        </w:tc>
        <w:tc>
          <w:tcPr>
            <w:tcW w:w="1967" w:type="dxa"/>
            <w:tcBorders>
              <w:top w:val="single" w:sz="8" w:space="0" w:color="auto"/>
              <w:left w:val="nil"/>
              <w:bottom w:val="single" w:sz="4" w:space="0" w:color="auto"/>
              <w:right w:val="single" w:sz="4" w:space="0" w:color="auto"/>
            </w:tcBorders>
            <w:shd w:val="clear" w:color="auto" w:fill="auto"/>
            <w:vAlign w:val="center"/>
            <w:hideMark/>
          </w:tcPr>
          <w:p w14:paraId="1C0E6592" w14:textId="77777777" w:rsidR="002672BC" w:rsidRPr="0035756D" w:rsidRDefault="002672BC" w:rsidP="006C184F">
            <w:pPr>
              <w:keepNext/>
              <w:spacing w:after="0"/>
              <w:jc w:val="right"/>
              <w:rPr>
                <w:rFonts w:ascii="Arial" w:eastAsia="Times New Roman" w:hAnsi="Arial" w:cs="Arial"/>
                <w:sz w:val="18"/>
                <w:szCs w:val="18"/>
                <w:lang w:eastAsia="en-AU"/>
              </w:rPr>
            </w:pPr>
            <w:r w:rsidRPr="0035756D">
              <w:rPr>
                <w:rFonts w:ascii="Arial" w:eastAsia="Times New Roman" w:hAnsi="Arial" w:cs="Arial"/>
                <w:sz w:val="18"/>
                <w:szCs w:val="18"/>
                <w:lang w:eastAsia="en-AU"/>
              </w:rPr>
              <w:t>Justice (22.1)</w:t>
            </w:r>
          </w:p>
        </w:tc>
        <w:tc>
          <w:tcPr>
            <w:tcW w:w="1447" w:type="dxa"/>
            <w:tcBorders>
              <w:top w:val="single" w:sz="8" w:space="0" w:color="auto"/>
              <w:left w:val="nil"/>
              <w:bottom w:val="single" w:sz="4" w:space="0" w:color="auto"/>
              <w:right w:val="single" w:sz="4" w:space="0" w:color="auto"/>
            </w:tcBorders>
            <w:shd w:val="clear" w:color="auto" w:fill="auto"/>
            <w:vAlign w:val="center"/>
            <w:hideMark/>
          </w:tcPr>
          <w:p w14:paraId="6F5B558C" w14:textId="77777777" w:rsidR="002672BC" w:rsidRPr="0035756D" w:rsidRDefault="002672BC" w:rsidP="006C184F">
            <w:pPr>
              <w:keepNext/>
              <w:spacing w:after="0"/>
              <w:jc w:val="right"/>
              <w:rPr>
                <w:rFonts w:ascii="Arial" w:eastAsia="Times New Roman" w:hAnsi="Arial" w:cs="Arial"/>
                <w:sz w:val="18"/>
                <w:szCs w:val="18"/>
                <w:lang w:eastAsia="en-AU"/>
              </w:rPr>
            </w:pPr>
            <w:r w:rsidRPr="0035756D">
              <w:rPr>
                <w:rFonts w:ascii="Arial" w:eastAsia="Times New Roman" w:hAnsi="Arial" w:cs="Arial"/>
                <w:sz w:val="18"/>
                <w:szCs w:val="18"/>
                <w:lang w:eastAsia="en-AU"/>
              </w:rPr>
              <w:t>Sales of goods and services (26.5)</w:t>
            </w:r>
          </w:p>
        </w:tc>
      </w:tr>
      <w:tr w:rsidR="002672BC" w:rsidRPr="002672BC" w14:paraId="4BFB2AC7" w14:textId="77777777" w:rsidTr="0035756D">
        <w:trPr>
          <w:trHeight w:val="555"/>
        </w:trPr>
        <w:tc>
          <w:tcPr>
            <w:tcW w:w="1555" w:type="dxa"/>
            <w:vMerge/>
            <w:tcBorders>
              <w:top w:val="nil"/>
              <w:left w:val="single" w:sz="4" w:space="0" w:color="auto"/>
              <w:bottom w:val="single" w:sz="4" w:space="0" w:color="auto"/>
              <w:right w:val="single" w:sz="4" w:space="0" w:color="auto"/>
            </w:tcBorders>
            <w:vAlign w:val="center"/>
            <w:hideMark/>
          </w:tcPr>
          <w:p w14:paraId="47291A1E" w14:textId="77777777" w:rsidR="002672BC" w:rsidRPr="006C184F" w:rsidRDefault="002672BC" w:rsidP="006C184F">
            <w:pPr>
              <w:keepNext/>
              <w:spacing w:after="0"/>
              <w:rPr>
                <w:rFonts w:ascii="Arial" w:eastAsia="Times New Roman" w:hAnsi="Arial" w:cs="Arial"/>
                <w:b/>
                <w:bCs/>
                <w:sz w:val="20"/>
                <w:szCs w:val="20"/>
                <w:lang w:eastAsia="en-AU"/>
              </w:rPr>
            </w:pPr>
          </w:p>
        </w:tc>
        <w:tc>
          <w:tcPr>
            <w:tcW w:w="2020" w:type="dxa"/>
            <w:tcBorders>
              <w:top w:val="nil"/>
              <w:left w:val="nil"/>
              <w:bottom w:val="single" w:sz="4" w:space="0" w:color="auto"/>
              <w:right w:val="single" w:sz="4" w:space="0" w:color="auto"/>
            </w:tcBorders>
            <w:shd w:val="clear" w:color="auto" w:fill="auto"/>
            <w:vAlign w:val="center"/>
            <w:hideMark/>
          </w:tcPr>
          <w:p w14:paraId="0EDBC293" w14:textId="77777777" w:rsidR="002672BC" w:rsidRPr="0035756D" w:rsidRDefault="002672BC" w:rsidP="006C184F">
            <w:pPr>
              <w:keepNext/>
              <w:spacing w:after="0"/>
              <w:jc w:val="right"/>
              <w:rPr>
                <w:rFonts w:ascii="Arial" w:eastAsia="Times New Roman" w:hAnsi="Arial" w:cs="Arial"/>
                <w:color w:val="000000"/>
                <w:sz w:val="18"/>
                <w:szCs w:val="18"/>
                <w:lang w:eastAsia="en-AU"/>
              </w:rPr>
            </w:pPr>
            <w:r w:rsidRPr="0035756D">
              <w:rPr>
                <w:rFonts w:ascii="Arial" w:eastAsia="Times New Roman" w:hAnsi="Arial" w:cs="Arial"/>
                <w:color w:val="000000"/>
                <w:sz w:val="18"/>
                <w:szCs w:val="18"/>
                <w:lang w:eastAsia="en-AU"/>
              </w:rPr>
              <w:t>General public services (26.2)</w:t>
            </w:r>
          </w:p>
        </w:tc>
        <w:tc>
          <w:tcPr>
            <w:tcW w:w="2138" w:type="dxa"/>
            <w:tcBorders>
              <w:top w:val="nil"/>
              <w:left w:val="nil"/>
              <w:bottom w:val="single" w:sz="4" w:space="0" w:color="auto"/>
              <w:right w:val="single" w:sz="4" w:space="0" w:color="auto"/>
            </w:tcBorders>
            <w:shd w:val="clear" w:color="auto" w:fill="auto"/>
            <w:vAlign w:val="center"/>
            <w:hideMark/>
          </w:tcPr>
          <w:p w14:paraId="1FC4346E" w14:textId="1036F811" w:rsidR="002672BC" w:rsidRPr="0035756D" w:rsidRDefault="002672BC" w:rsidP="006C184F">
            <w:pPr>
              <w:keepNext/>
              <w:spacing w:after="0"/>
              <w:jc w:val="right"/>
              <w:rPr>
                <w:rFonts w:ascii="Arial" w:eastAsia="Times New Roman" w:hAnsi="Arial" w:cs="Arial"/>
                <w:color w:val="000000"/>
                <w:sz w:val="18"/>
                <w:szCs w:val="18"/>
                <w:lang w:eastAsia="en-AU"/>
              </w:rPr>
            </w:pPr>
            <w:r w:rsidRPr="0035756D">
              <w:rPr>
                <w:rFonts w:ascii="Arial" w:eastAsia="Times New Roman" w:hAnsi="Arial" w:cs="Arial"/>
                <w:color w:val="000000"/>
                <w:sz w:val="18"/>
                <w:szCs w:val="18"/>
                <w:lang w:eastAsia="en-AU"/>
              </w:rPr>
              <w:t>Non</w:t>
            </w:r>
            <w:r w:rsidR="009C1E51">
              <w:rPr>
                <w:rFonts w:ascii="Arial" w:eastAsia="Times New Roman" w:hAnsi="Arial" w:cs="Arial"/>
                <w:color w:val="000000"/>
                <w:sz w:val="18"/>
                <w:szCs w:val="18"/>
                <w:lang w:eastAsia="en-AU"/>
              </w:rPr>
              <w:t>-</w:t>
            </w:r>
            <w:r w:rsidRPr="0035756D">
              <w:rPr>
                <w:rFonts w:ascii="Arial" w:eastAsia="Times New Roman" w:hAnsi="Arial" w:cs="Arial"/>
                <w:color w:val="000000"/>
                <w:sz w:val="18"/>
                <w:szCs w:val="18"/>
                <w:lang w:eastAsia="en-AU"/>
              </w:rPr>
              <w:t>taxation revenue (37.3)</w:t>
            </w:r>
          </w:p>
        </w:tc>
        <w:tc>
          <w:tcPr>
            <w:tcW w:w="1967" w:type="dxa"/>
            <w:tcBorders>
              <w:top w:val="nil"/>
              <w:left w:val="nil"/>
              <w:bottom w:val="single" w:sz="4" w:space="0" w:color="auto"/>
              <w:right w:val="single" w:sz="4" w:space="0" w:color="auto"/>
            </w:tcBorders>
            <w:shd w:val="clear" w:color="auto" w:fill="auto"/>
            <w:vAlign w:val="center"/>
            <w:hideMark/>
          </w:tcPr>
          <w:p w14:paraId="451C2E30" w14:textId="77777777" w:rsidR="002672BC" w:rsidRPr="0035756D" w:rsidRDefault="002672BC" w:rsidP="006C184F">
            <w:pPr>
              <w:keepNext/>
              <w:spacing w:after="0"/>
              <w:jc w:val="right"/>
              <w:rPr>
                <w:rFonts w:ascii="Arial" w:eastAsia="Times New Roman" w:hAnsi="Arial" w:cs="Arial"/>
                <w:color w:val="000000"/>
                <w:sz w:val="18"/>
                <w:szCs w:val="18"/>
                <w:lang w:eastAsia="en-AU"/>
              </w:rPr>
            </w:pPr>
            <w:r w:rsidRPr="0035756D">
              <w:rPr>
                <w:rFonts w:ascii="Arial" w:eastAsia="Times New Roman" w:hAnsi="Arial" w:cs="Arial"/>
                <w:color w:val="000000"/>
                <w:sz w:val="18"/>
                <w:szCs w:val="18"/>
                <w:lang w:eastAsia="en-AU"/>
              </w:rPr>
              <w:t>Transfer payments (19.5)</w:t>
            </w:r>
          </w:p>
        </w:tc>
        <w:tc>
          <w:tcPr>
            <w:tcW w:w="1447" w:type="dxa"/>
            <w:tcBorders>
              <w:top w:val="nil"/>
              <w:left w:val="nil"/>
              <w:bottom w:val="single" w:sz="4" w:space="0" w:color="auto"/>
              <w:right w:val="single" w:sz="4" w:space="0" w:color="auto"/>
            </w:tcBorders>
            <w:shd w:val="clear" w:color="auto" w:fill="auto"/>
            <w:vAlign w:val="center"/>
            <w:hideMark/>
          </w:tcPr>
          <w:p w14:paraId="6524B330" w14:textId="77777777" w:rsidR="002672BC" w:rsidRPr="0035756D" w:rsidRDefault="002672BC" w:rsidP="006C184F">
            <w:pPr>
              <w:keepNext/>
              <w:spacing w:after="0"/>
              <w:jc w:val="right"/>
              <w:rPr>
                <w:rFonts w:ascii="Arial" w:eastAsia="Times New Roman" w:hAnsi="Arial" w:cs="Arial"/>
                <w:color w:val="000000"/>
                <w:sz w:val="18"/>
                <w:szCs w:val="18"/>
                <w:lang w:eastAsia="en-AU"/>
              </w:rPr>
            </w:pPr>
            <w:r w:rsidRPr="0035756D">
              <w:rPr>
                <w:rFonts w:ascii="Arial" w:eastAsia="Times New Roman" w:hAnsi="Arial" w:cs="Arial"/>
                <w:color w:val="000000"/>
                <w:sz w:val="18"/>
                <w:szCs w:val="18"/>
                <w:lang w:eastAsia="en-AU"/>
              </w:rPr>
              <w:t>Mining Royalties (15.5)</w:t>
            </w:r>
          </w:p>
        </w:tc>
      </w:tr>
      <w:tr w:rsidR="002672BC" w:rsidRPr="002672BC" w14:paraId="6095F3AF" w14:textId="77777777" w:rsidTr="0035756D">
        <w:trPr>
          <w:trHeight w:val="636"/>
        </w:trPr>
        <w:tc>
          <w:tcPr>
            <w:tcW w:w="1555" w:type="dxa"/>
            <w:vMerge/>
            <w:tcBorders>
              <w:top w:val="nil"/>
              <w:left w:val="single" w:sz="4" w:space="0" w:color="auto"/>
              <w:bottom w:val="single" w:sz="4" w:space="0" w:color="auto"/>
              <w:right w:val="single" w:sz="4" w:space="0" w:color="auto"/>
            </w:tcBorders>
            <w:vAlign w:val="center"/>
            <w:hideMark/>
          </w:tcPr>
          <w:p w14:paraId="7DA4F52C" w14:textId="77777777" w:rsidR="002672BC" w:rsidRPr="006C184F" w:rsidRDefault="002672BC" w:rsidP="006C184F">
            <w:pPr>
              <w:keepNext/>
              <w:spacing w:after="0"/>
              <w:rPr>
                <w:rFonts w:ascii="Arial" w:eastAsia="Times New Roman" w:hAnsi="Arial" w:cs="Arial"/>
                <w:b/>
                <w:bCs/>
                <w:sz w:val="20"/>
                <w:szCs w:val="20"/>
                <w:lang w:eastAsia="en-AU"/>
              </w:rPr>
            </w:pPr>
          </w:p>
        </w:tc>
        <w:tc>
          <w:tcPr>
            <w:tcW w:w="2020" w:type="dxa"/>
            <w:tcBorders>
              <w:top w:val="nil"/>
              <w:left w:val="nil"/>
              <w:bottom w:val="single" w:sz="4" w:space="0" w:color="auto"/>
              <w:right w:val="single" w:sz="4" w:space="0" w:color="auto"/>
            </w:tcBorders>
            <w:shd w:val="clear" w:color="auto" w:fill="auto"/>
            <w:vAlign w:val="center"/>
            <w:hideMark/>
          </w:tcPr>
          <w:p w14:paraId="3C5E93DE" w14:textId="77777777" w:rsidR="002672BC" w:rsidRPr="0035756D" w:rsidRDefault="002672BC" w:rsidP="006C184F">
            <w:pPr>
              <w:keepNext/>
              <w:spacing w:after="0"/>
              <w:jc w:val="right"/>
              <w:rPr>
                <w:rFonts w:ascii="Arial" w:eastAsia="Times New Roman" w:hAnsi="Arial" w:cs="Arial"/>
                <w:color w:val="000000"/>
                <w:sz w:val="18"/>
                <w:szCs w:val="18"/>
                <w:lang w:eastAsia="en-AU"/>
              </w:rPr>
            </w:pPr>
            <w:r w:rsidRPr="0035756D">
              <w:rPr>
                <w:rFonts w:ascii="Arial" w:eastAsia="Times New Roman" w:hAnsi="Arial" w:cs="Arial"/>
                <w:color w:val="000000"/>
                <w:sz w:val="18"/>
                <w:szCs w:val="18"/>
                <w:lang w:eastAsia="en-AU"/>
              </w:rPr>
              <w:t>Public Debt interest (17.1)</w:t>
            </w:r>
          </w:p>
        </w:tc>
        <w:tc>
          <w:tcPr>
            <w:tcW w:w="2138" w:type="dxa"/>
            <w:tcBorders>
              <w:top w:val="nil"/>
              <w:left w:val="nil"/>
              <w:bottom w:val="single" w:sz="4" w:space="0" w:color="auto"/>
              <w:right w:val="single" w:sz="4" w:space="0" w:color="auto"/>
            </w:tcBorders>
            <w:shd w:val="clear" w:color="auto" w:fill="auto"/>
            <w:vAlign w:val="center"/>
            <w:hideMark/>
          </w:tcPr>
          <w:p w14:paraId="135B814B" w14:textId="77777777" w:rsidR="002672BC" w:rsidRPr="0035756D" w:rsidRDefault="002672BC" w:rsidP="006C184F">
            <w:pPr>
              <w:keepNext/>
              <w:spacing w:after="0"/>
              <w:jc w:val="right"/>
              <w:rPr>
                <w:rFonts w:ascii="Arial" w:eastAsia="Times New Roman" w:hAnsi="Arial" w:cs="Arial"/>
                <w:color w:val="000000"/>
                <w:sz w:val="18"/>
                <w:szCs w:val="18"/>
                <w:lang w:eastAsia="en-AU"/>
              </w:rPr>
            </w:pPr>
            <w:r w:rsidRPr="0035756D">
              <w:rPr>
                <w:rFonts w:ascii="Arial" w:eastAsia="Times New Roman" w:hAnsi="Arial" w:cs="Arial"/>
                <w:color w:val="000000"/>
                <w:sz w:val="18"/>
                <w:szCs w:val="18"/>
                <w:lang w:eastAsia="en-AU"/>
              </w:rPr>
              <w:t>Personal income tax not captured by FIONA (24.1)</w:t>
            </w:r>
          </w:p>
        </w:tc>
        <w:tc>
          <w:tcPr>
            <w:tcW w:w="1967" w:type="dxa"/>
            <w:tcBorders>
              <w:top w:val="nil"/>
              <w:left w:val="nil"/>
              <w:bottom w:val="single" w:sz="4" w:space="0" w:color="auto"/>
              <w:right w:val="single" w:sz="4" w:space="0" w:color="auto"/>
            </w:tcBorders>
            <w:shd w:val="clear" w:color="auto" w:fill="auto"/>
            <w:vAlign w:val="center"/>
            <w:hideMark/>
          </w:tcPr>
          <w:p w14:paraId="387BE553" w14:textId="77777777" w:rsidR="002672BC" w:rsidRPr="0035756D" w:rsidRDefault="002672BC" w:rsidP="006C184F">
            <w:pPr>
              <w:keepNext/>
              <w:spacing w:after="0"/>
              <w:jc w:val="right"/>
              <w:rPr>
                <w:rFonts w:ascii="Arial" w:eastAsia="Times New Roman" w:hAnsi="Arial" w:cs="Arial"/>
                <w:color w:val="000000"/>
                <w:sz w:val="18"/>
                <w:szCs w:val="18"/>
                <w:lang w:eastAsia="en-AU"/>
              </w:rPr>
            </w:pPr>
            <w:r w:rsidRPr="0035756D">
              <w:rPr>
                <w:rFonts w:ascii="Arial" w:eastAsia="Times New Roman" w:hAnsi="Arial" w:cs="Arial"/>
                <w:color w:val="000000"/>
                <w:sz w:val="18"/>
                <w:szCs w:val="18"/>
                <w:lang w:eastAsia="en-AU"/>
              </w:rPr>
              <w:t>Services to Communities (8.8)</w:t>
            </w:r>
          </w:p>
        </w:tc>
        <w:tc>
          <w:tcPr>
            <w:tcW w:w="1447" w:type="dxa"/>
            <w:tcBorders>
              <w:top w:val="nil"/>
              <w:left w:val="nil"/>
              <w:bottom w:val="single" w:sz="4" w:space="0" w:color="auto"/>
              <w:right w:val="single" w:sz="4" w:space="0" w:color="auto"/>
            </w:tcBorders>
            <w:shd w:val="clear" w:color="auto" w:fill="auto"/>
            <w:vAlign w:val="center"/>
            <w:hideMark/>
          </w:tcPr>
          <w:p w14:paraId="04197B25" w14:textId="77777777" w:rsidR="002672BC" w:rsidRPr="0035756D" w:rsidRDefault="002672BC" w:rsidP="006C184F">
            <w:pPr>
              <w:keepNext/>
              <w:spacing w:after="0"/>
              <w:jc w:val="right"/>
              <w:rPr>
                <w:rFonts w:ascii="Arial" w:eastAsia="Times New Roman" w:hAnsi="Arial" w:cs="Arial"/>
                <w:color w:val="000000"/>
                <w:sz w:val="18"/>
                <w:szCs w:val="18"/>
                <w:lang w:eastAsia="en-AU"/>
              </w:rPr>
            </w:pPr>
            <w:r w:rsidRPr="0035756D">
              <w:rPr>
                <w:rFonts w:ascii="Arial" w:eastAsia="Times New Roman" w:hAnsi="Arial" w:cs="Arial"/>
                <w:color w:val="000000"/>
                <w:sz w:val="18"/>
                <w:szCs w:val="18"/>
                <w:lang w:eastAsia="en-AU"/>
              </w:rPr>
              <w:t>Dividend income (11.0)</w:t>
            </w:r>
          </w:p>
        </w:tc>
      </w:tr>
    </w:tbl>
    <w:p w14:paraId="457E18CC" w14:textId="15892BED" w:rsidR="00801D07" w:rsidRDefault="00801D07" w:rsidP="008027CA">
      <w:pPr>
        <w:spacing w:after="120"/>
        <w:rPr>
          <w:sz w:val="18"/>
          <w:szCs w:val="18"/>
        </w:rPr>
      </w:pPr>
      <w:r>
        <w:rPr>
          <w:sz w:val="18"/>
          <w:szCs w:val="18"/>
        </w:rPr>
        <w:t xml:space="preserve">Figures are based on the Fiscal balance, which includes net investment. </w:t>
      </w:r>
      <w:r w:rsidRPr="000D5D8C">
        <w:rPr>
          <w:sz w:val="18"/>
          <w:szCs w:val="18"/>
        </w:rPr>
        <w:t>Commonwealth totals from the Final Budget Outcome for 2018</w:t>
      </w:r>
      <w:r w:rsidR="00F62807">
        <w:rPr>
          <w:sz w:val="18"/>
          <w:szCs w:val="18"/>
        </w:rPr>
        <w:t>–</w:t>
      </w:r>
      <w:r w:rsidRPr="000D5D8C">
        <w:rPr>
          <w:sz w:val="18"/>
          <w:szCs w:val="18"/>
        </w:rPr>
        <w:t>19,</w:t>
      </w:r>
      <w:r w:rsidRPr="000D5D8C">
        <w:rPr>
          <w:rStyle w:val="FootnoteReference"/>
          <w:sz w:val="18"/>
          <w:szCs w:val="18"/>
        </w:rPr>
        <w:footnoteReference w:id="28"/>
      </w:r>
      <w:r w:rsidRPr="000D5D8C">
        <w:rPr>
          <w:sz w:val="18"/>
          <w:szCs w:val="18"/>
        </w:rPr>
        <w:t xml:space="preserve"> while State</w:t>
      </w:r>
      <w:r w:rsidR="0037384A">
        <w:rPr>
          <w:sz w:val="18"/>
          <w:szCs w:val="18"/>
        </w:rPr>
        <w:t xml:space="preserve"> and </w:t>
      </w:r>
      <w:r w:rsidRPr="000D5D8C">
        <w:rPr>
          <w:sz w:val="18"/>
          <w:szCs w:val="18"/>
        </w:rPr>
        <w:t>Territory totals are based on the adjusted State Totals from the Commonwealth Grants Commission.</w:t>
      </w:r>
      <w:r w:rsidRPr="000D5D8C">
        <w:rPr>
          <w:rStyle w:val="FootnoteReference"/>
          <w:sz w:val="18"/>
          <w:szCs w:val="18"/>
        </w:rPr>
        <w:footnoteReference w:id="29"/>
      </w:r>
      <w:r>
        <w:rPr>
          <w:sz w:val="18"/>
          <w:szCs w:val="18"/>
        </w:rPr>
        <w:t xml:space="preserve"> Commonwealth payments to </w:t>
      </w:r>
      <w:r w:rsidR="00AF0F03">
        <w:rPr>
          <w:sz w:val="18"/>
          <w:szCs w:val="18"/>
        </w:rPr>
        <w:t>S</w:t>
      </w:r>
      <w:r>
        <w:rPr>
          <w:sz w:val="18"/>
          <w:szCs w:val="18"/>
        </w:rPr>
        <w:t>tates ($</w:t>
      </w:r>
      <w:r w:rsidR="006164A0">
        <w:rPr>
          <w:sz w:val="18"/>
          <w:szCs w:val="18"/>
        </w:rPr>
        <w:t>61.8</w:t>
      </w:r>
      <w:r>
        <w:rPr>
          <w:sz w:val="18"/>
          <w:szCs w:val="18"/>
        </w:rPr>
        <w:t xml:space="preserve"> </w:t>
      </w:r>
      <w:r w:rsidR="0082238B">
        <w:rPr>
          <w:sz w:val="18"/>
          <w:szCs w:val="18"/>
        </w:rPr>
        <w:t xml:space="preserve">billion </w:t>
      </w:r>
      <w:r>
        <w:rPr>
          <w:sz w:val="18"/>
          <w:szCs w:val="18"/>
        </w:rPr>
        <w:t>in 2018</w:t>
      </w:r>
      <w:r w:rsidR="00F62807">
        <w:rPr>
          <w:sz w:val="18"/>
          <w:szCs w:val="18"/>
        </w:rPr>
        <w:t>–</w:t>
      </w:r>
      <w:r>
        <w:rPr>
          <w:sz w:val="18"/>
          <w:szCs w:val="18"/>
        </w:rPr>
        <w:t xml:space="preserve">19) are excluded from State revenues and expenses </w:t>
      </w:r>
      <w:proofErr w:type="gramStart"/>
      <w:r>
        <w:rPr>
          <w:sz w:val="18"/>
          <w:szCs w:val="18"/>
        </w:rPr>
        <w:t>in order to</w:t>
      </w:r>
      <w:proofErr w:type="gramEnd"/>
      <w:r>
        <w:rPr>
          <w:sz w:val="18"/>
          <w:szCs w:val="18"/>
        </w:rPr>
        <w:t xml:space="preserve"> avoid double counting these </w:t>
      </w:r>
      <w:r w:rsidR="006164A0">
        <w:rPr>
          <w:sz w:val="18"/>
          <w:szCs w:val="18"/>
        </w:rPr>
        <w:t>values</w:t>
      </w:r>
      <w:r>
        <w:rPr>
          <w:sz w:val="18"/>
          <w:szCs w:val="18"/>
        </w:rPr>
        <w:t>.</w:t>
      </w:r>
    </w:p>
    <w:p w14:paraId="118A2021" w14:textId="4A66D91F" w:rsidR="00801D07" w:rsidRDefault="00801D07" w:rsidP="007F0F36">
      <w:r>
        <w:t>This sensitivity test investigates the potential impact of excluding these categories of revenue and expense by apportioning this value equally per capita across all individuals in FIONA.</w:t>
      </w:r>
      <w:r>
        <w:rPr>
          <w:rStyle w:val="FootnoteReference"/>
        </w:rPr>
        <w:footnoteReference w:id="30"/>
      </w:r>
      <w:r>
        <w:t xml:space="preserve"> In effect, this adds an additional net cost of $7.3 billion to the Commonwealth budget and a net cost of $15.5 billion to the State budget in 2018</w:t>
      </w:r>
      <w:r w:rsidR="00F62807">
        <w:t>–</w:t>
      </w:r>
      <w:r>
        <w:t>19.</w:t>
      </w:r>
      <w:r w:rsidR="000A5798">
        <w:rPr>
          <w:rStyle w:val="FootnoteReference"/>
        </w:rPr>
        <w:footnoteReference w:id="31"/>
      </w:r>
      <w:r>
        <w:t xml:space="preserve"> These ‘missing’ revenues and expenses were then projected into future years in line with</w:t>
      </w:r>
      <w:r w:rsidR="00443ED4">
        <w:t xml:space="preserve"> projected</w:t>
      </w:r>
      <w:r>
        <w:t xml:space="preserve"> </w:t>
      </w:r>
      <w:r w:rsidR="00C64AFF">
        <w:t>wage growth</w:t>
      </w:r>
      <w:r>
        <w:t xml:space="preserve">. This calculation is </w:t>
      </w:r>
      <w:proofErr w:type="gramStart"/>
      <w:r>
        <w:t>similar to</w:t>
      </w:r>
      <w:proofErr w:type="gramEnd"/>
      <w:r>
        <w:t xml:space="preserve"> the Productivity Commission</w:t>
      </w:r>
      <w:r w:rsidR="0082238B">
        <w:t>’s</w:t>
      </w:r>
      <w:r>
        <w:t xml:space="preserve"> approach for whole of government modelling.</w:t>
      </w:r>
      <w:r>
        <w:rPr>
          <w:rStyle w:val="FootnoteReference"/>
        </w:rPr>
        <w:footnoteReference w:id="32"/>
      </w:r>
      <w:r>
        <w:t xml:space="preserve"> </w:t>
      </w:r>
    </w:p>
    <w:p w14:paraId="7AFF598B" w14:textId="6685344E" w:rsidR="00801D07" w:rsidRDefault="00801D07" w:rsidP="007F0F36">
      <w:r>
        <w:t xml:space="preserve">The results presented in </w:t>
      </w:r>
      <w:r w:rsidR="0082238B">
        <w:t xml:space="preserve">Table </w:t>
      </w:r>
      <w:r w:rsidR="005E16B0">
        <w:t>8</w:t>
      </w:r>
      <w:r w:rsidR="00D91609">
        <w:t xml:space="preserve"> </w:t>
      </w:r>
      <w:r w:rsidR="001A1D3D">
        <w:t xml:space="preserve">imply </w:t>
      </w:r>
      <w:r>
        <w:t>that including these revenues and expenses would slightly reduce the estimated fiscal impact of the 2018</w:t>
      </w:r>
      <w:r w:rsidR="00F62807">
        <w:t>–</w:t>
      </w:r>
      <w:r>
        <w:t>19 migrant cohort</w:t>
      </w:r>
      <w:r w:rsidR="0082238B">
        <w:t xml:space="preserve"> (because slightly more expenses than revenues are ‘missing’ from FIONA)</w:t>
      </w:r>
      <w:r>
        <w:t xml:space="preserve">, but would impact on all visa groups </w:t>
      </w:r>
      <w:r w:rsidR="00672624">
        <w:t xml:space="preserve">and the general population </w:t>
      </w:r>
      <w:r>
        <w:t xml:space="preserve">in </w:t>
      </w:r>
      <w:r w:rsidR="00AF0F03">
        <w:t xml:space="preserve">a similar </w:t>
      </w:r>
      <w:r>
        <w:t xml:space="preserve">way, and therefore not change the relative </w:t>
      </w:r>
      <w:r w:rsidR="00443ED4">
        <w:t>ordering between groups</w:t>
      </w:r>
      <w:r>
        <w:t xml:space="preserve">. </w:t>
      </w:r>
    </w:p>
    <w:p w14:paraId="311B153F" w14:textId="14F4089A" w:rsidR="00801D07" w:rsidRDefault="00801D07" w:rsidP="007F0F36">
      <w:r>
        <w:t xml:space="preserve">In interpreting the results from this sensitivity test, it is important to note that this is a relatively simple approach to including the full </w:t>
      </w:r>
      <w:r w:rsidR="00054900">
        <w:t>G</w:t>
      </w:r>
      <w:r>
        <w:t xml:space="preserve">overnment budget. </w:t>
      </w:r>
      <w:r w:rsidR="00E259B3">
        <w:t>These components</w:t>
      </w:r>
      <w:r>
        <w:t xml:space="preserve"> of revenue and expenses are excluded from FIONA for a variety of reasons and would be expected to be impacted by migration in different ways that are not captured by this approach. </w:t>
      </w:r>
      <w:r w:rsidR="006A4730">
        <w:t>For instance:</w:t>
      </w:r>
    </w:p>
    <w:p w14:paraId="758D4F2A" w14:textId="27B74E12" w:rsidR="00EE11CD" w:rsidRPr="007F0F36" w:rsidRDefault="00801D07" w:rsidP="007F0F36">
      <w:pPr>
        <w:pStyle w:val="Bullet"/>
      </w:pPr>
      <w:r w:rsidRPr="007F0F36">
        <w:t xml:space="preserve">Corporate income tax and other taxes levied on businesses (such as motor vehicle taxes and stamp duty paid by business) are </w:t>
      </w:r>
      <w:r w:rsidR="00EE11CD" w:rsidRPr="007F0F36">
        <w:t xml:space="preserve">expected to grow broadly in line with nominal GDP. To the </w:t>
      </w:r>
      <w:r w:rsidR="00EE11CD" w:rsidRPr="007F0F36">
        <w:lastRenderedPageBreak/>
        <w:t xml:space="preserve">extent that this is true, migrants with higher incomes (such as skilled migrants) </w:t>
      </w:r>
      <w:r w:rsidR="008351B5" w:rsidRPr="007F0F36">
        <w:t xml:space="preserve">may </w:t>
      </w:r>
      <w:r w:rsidR="00EE11CD" w:rsidRPr="007F0F36">
        <w:t xml:space="preserve">generate a larger amount of corporate income tax than the </w:t>
      </w:r>
      <w:r w:rsidR="00CB03BE">
        <w:t>typical</w:t>
      </w:r>
      <w:r w:rsidR="00EE11CD" w:rsidRPr="007F0F36">
        <w:t xml:space="preserve"> migrant. </w:t>
      </w:r>
    </w:p>
    <w:p w14:paraId="746D4501" w14:textId="5D0DA30E" w:rsidR="00801D07" w:rsidRPr="007F0F36" w:rsidRDefault="0083028F" w:rsidP="007F0F36">
      <w:pPr>
        <w:pStyle w:val="Bullet"/>
      </w:pPr>
      <w:r w:rsidRPr="007F0F36">
        <w:t>I</w:t>
      </w:r>
      <w:r w:rsidR="00801D07" w:rsidRPr="007F0F36">
        <w:t xml:space="preserve">nterest payments and mining royalties are largely detached from population size and would be expected to </w:t>
      </w:r>
      <w:r w:rsidR="006A4730" w:rsidRPr="007F0F36">
        <w:t xml:space="preserve">decrease, in per capita terms, as the population grows. </w:t>
      </w:r>
    </w:p>
    <w:p w14:paraId="1EFD30AD" w14:textId="7AC4A28A" w:rsidR="00801D07" w:rsidRPr="007F0F36" w:rsidRDefault="00EE11CD" w:rsidP="007F0F36">
      <w:pPr>
        <w:pStyle w:val="Bullet"/>
      </w:pPr>
      <w:r w:rsidRPr="007F0F36">
        <w:t xml:space="preserve">In </w:t>
      </w:r>
      <w:r w:rsidR="00F374AC" w:rsidRPr="007F0F36">
        <w:t>aggregate</w:t>
      </w:r>
      <w:r w:rsidRPr="007F0F36">
        <w:t xml:space="preserve">, other excluded </w:t>
      </w:r>
      <w:r w:rsidR="00801D07" w:rsidRPr="007F0F36">
        <w:t xml:space="preserve">revenues and expenses </w:t>
      </w:r>
      <w:r w:rsidR="008351B5" w:rsidRPr="007F0F36">
        <w:t>may be</w:t>
      </w:r>
      <w:r w:rsidR="005E16B0" w:rsidRPr="007F0F36">
        <w:t xml:space="preserve"> </w:t>
      </w:r>
      <w:r w:rsidR="00801D07" w:rsidRPr="007F0F36">
        <w:t xml:space="preserve">expected to </w:t>
      </w:r>
      <w:r w:rsidR="00D675EE" w:rsidRPr="007F0F36">
        <w:t xml:space="preserve">be influenced by age, </w:t>
      </w:r>
      <w:r w:rsidR="007C1421" w:rsidRPr="007F0F36">
        <w:t xml:space="preserve">and therefore follow a lifecycle pattern </w:t>
      </w:r>
      <w:r w:rsidR="00801D07" w:rsidRPr="007F0F36">
        <w:t>(</w:t>
      </w:r>
      <w:proofErr w:type="gramStart"/>
      <w:r w:rsidRPr="007F0F36">
        <w:t>similar to</w:t>
      </w:r>
      <w:proofErr w:type="gramEnd"/>
      <w:r w:rsidRPr="007F0F36">
        <w:t xml:space="preserve"> the pattern in Chart </w:t>
      </w:r>
      <w:r w:rsidR="005E16B0" w:rsidRPr="007F0F36">
        <w:t>7</w:t>
      </w:r>
      <w:r w:rsidR="00801D07" w:rsidRPr="007F0F36">
        <w:t>). This is not captured by a simple per capita approach.</w:t>
      </w:r>
    </w:p>
    <w:p w14:paraId="458F0CA7" w14:textId="03DB3C42" w:rsidR="00801D07" w:rsidRDefault="00801D07" w:rsidP="001A66C0">
      <w:pPr>
        <w:pStyle w:val="Heading3"/>
      </w:pPr>
      <w:bookmarkStart w:id="46" w:name="_Toc77175233"/>
      <w:r>
        <w:t>Higher Health and Aged Care</w:t>
      </w:r>
      <w:r w:rsidR="006A7B85">
        <w:t xml:space="preserve"> costs in the very long</w:t>
      </w:r>
      <w:r w:rsidR="00F70234">
        <w:t xml:space="preserve"> </w:t>
      </w:r>
      <w:r w:rsidR="006A7B85">
        <w:t>run</w:t>
      </w:r>
      <w:bookmarkEnd w:id="46"/>
    </w:p>
    <w:p w14:paraId="1BE530D2" w14:textId="066D1B4D" w:rsidR="00801D07" w:rsidRDefault="00801D07" w:rsidP="007F0F36">
      <w:pPr>
        <w:rPr>
          <w:lang w:val="en-US" w:eastAsia="en-AU"/>
        </w:rPr>
      </w:pPr>
      <w:r>
        <w:rPr>
          <w:lang w:val="en-US" w:eastAsia="en-AU"/>
        </w:rPr>
        <w:t xml:space="preserve">FIONA models the growth in health and aged care costs using an approach consistent with the </w:t>
      </w:r>
      <w:r w:rsidR="003778A9">
        <w:rPr>
          <w:lang w:val="en-US" w:eastAsia="en-AU"/>
        </w:rPr>
        <w:t xml:space="preserve">2021 </w:t>
      </w:r>
      <w:r>
        <w:rPr>
          <w:lang w:val="en-US" w:eastAsia="en-AU"/>
        </w:rPr>
        <w:t xml:space="preserve">Intergenerational </w:t>
      </w:r>
      <w:r w:rsidR="003778A9">
        <w:rPr>
          <w:lang w:val="en-US" w:eastAsia="en-AU"/>
        </w:rPr>
        <w:t>Report</w:t>
      </w:r>
      <w:r>
        <w:rPr>
          <w:lang w:val="en-US" w:eastAsia="en-AU"/>
        </w:rPr>
        <w:t xml:space="preserve">. This approach identifies that health care prices have increased at a faster rate than other prices in recent decades (even after accounting for demographic changes) and incorporates this trend into the projection of health care costs. </w:t>
      </w:r>
    </w:p>
    <w:p w14:paraId="428EAD13" w14:textId="0A8F9BC0" w:rsidR="00801D07" w:rsidRDefault="00801D07" w:rsidP="007F0F36">
      <w:pPr>
        <w:rPr>
          <w:lang w:val="en-US" w:eastAsia="en-AU"/>
        </w:rPr>
      </w:pPr>
      <w:r>
        <w:rPr>
          <w:lang w:val="en-US" w:eastAsia="en-AU"/>
        </w:rPr>
        <w:t xml:space="preserve">However, it is unclear whether this trend </w:t>
      </w:r>
      <w:r w:rsidR="0082238B">
        <w:rPr>
          <w:lang w:val="en-US" w:eastAsia="en-AU"/>
        </w:rPr>
        <w:t>will</w:t>
      </w:r>
      <w:r>
        <w:rPr>
          <w:lang w:val="en-US" w:eastAsia="en-AU"/>
        </w:rPr>
        <w:t xml:space="preserve"> persist in the very long</w:t>
      </w:r>
      <w:r w:rsidR="0080799B">
        <w:rPr>
          <w:lang w:val="en-US" w:eastAsia="en-AU"/>
        </w:rPr>
        <w:t xml:space="preserve"> </w:t>
      </w:r>
      <w:r>
        <w:rPr>
          <w:lang w:val="en-US" w:eastAsia="en-AU"/>
        </w:rPr>
        <w:t>run. Therefore, the FIONA baseline incorporates this higher growth rate until 2060, and then reverts to a growth rate of 4.025</w:t>
      </w:r>
      <w:r w:rsidR="002252F5">
        <w:rPr>
          <w:lang w:val="en-US" w:eastAsia="en-AU"/>
        </w:rPr>
        <w:t xml:space="preserve"> per cent</w:t>
      </w:r>
      <w:r>
        <w:rPr>
          <w:lang w:val="en-US" w:eastAsia="en-AU"/>
        </w:rPr>
        <w:t xml:space="preserve"> in line with </w:t>
      </w:r>
      <w:r w:rsidR="0082238B">
        <w:rPr>
          <w:lang w:val="en-US" w:eastAsia="en-AU"/>
        </w:rPr>
        <w:t>projected long</w:t>
      </w:r>
      <w:r w:rsidR="009C1E51">
        <w:rPr>
          <w:lang w:val="en-US" w:eastAsia="en-AU"/>
        </w:rPr>
        <w:t>-</w:t>
      </w:r>
      <w:r w:rsidR="0082238B">
        <w:rPr>
          <w:lang w:val="en-US" w:eastAsia="en-AU"/>
        </w:rPr>
        <w:t xml:space="preserve">term growth in </w:t>
      </w:r>
      <w:r w:rsidR="006A7B85">
        <w:rPr>
          <w:lang w:val="en-US" w:eastAsia="en-AU"/>
        </w:rPr>
        <w:t>A</w:t>
      </w:r>
      <w:r>
        <w:rPr>
          <w:lang w:val="en-US" w:eastAsia="en-AU"/>
        </w:rPr>
        <w:t xml:space="preserve">verage </w:t>
      </w:r>
      <w:r w:rsidR="006A7B85">
        <w:rPr>
          <w:lang w:val="en-US" w:eastAsia="en-AU"/>
        </w:rPr>
        <w:t>W</w:t>
      </w:r>
      <w:r>
        <w:rPr>
          <w:lang w:val="en-US" w:eastAsia="en-AU"/>
        </w:rPr>
        <w:t>eekly</w:t>
      </w:r>
      <w:r w:rsidRPr="00174033">
        <w:rPr>
          <w:lang w:val="en-US" w:eastAsia="en-AU"/>
        </w:rPr>
        <w:t xml:space="preserve"> </w:t>
      </w:r>
      <w:r w:rsidR="006A7B85">
        <w:rPr>
          <w:lang w:val="en-US" w:eastAsia="en-AU"/>
        </w:rPr>
        <w:t>E</w:t>
      </w:r>
      <w:r>
        <w:rPr>
          <w:lang w:val="en-US" w:eastAsia="en-AU"/>
        </w:rPr>
        <w:t xml:space="preserve">arnings (AWE) for the remainder of the projection period. </w:t>
      </w:r>
    </w:p>
    <w:p w14:paraId="769281FF" w14:textId="16210CAF" w:rsidR="00801D07" w:rsidRDefault="003778A9" w:rsidP="007F0F36">
      <w:pPr>
        <w:rPr>
          <w:lang w:val="en-US" w:eastAsia="en-AU"/>
        </w:rPr>
      </w:pPr>
      <w:r>
        <w:rPr>
          <w:lang w:val="en-US" w:eastAsia="en-AU"/>
        </w:rPr>
        <w:t>In this sensitivity test the higher growth rate is continued until the end of the modelling period (that is, we maintain the annual growth rate at 5.5 per cent over the period 2060</w:t>
      </w:r>
      <w:r w:rsidR="00F62807">
        <w:rPr>
          <w:lang w:val="en-US" w:eastAsia="en-AU"/>
        </w:rPr>
        <w:t>–</w:t>
      </w:r>
      <w:r>
        <w:rPr>
          <w:lang w:val="en-US" w:eastAsia="en-AU"/>
        </w:rPr>
        <w:t xml:space="preserve">2140, rather than dropping down to 4.025 per cent). </w:t>
      </w:r>
      <w:r w:rsidR="00801D07">
        <w:rPr>
          <w:lang w:val="en-US" w:eastAsia="en-AU"/>
        </w:rPr>
        <w:t xml:space="preserve">As shown in </w:t>
      </w:r>
      <w:r>
        <w:rPr>
          <w:lang w:val="en-US" w:eastAsia="en-AU"/>
        </w:rPr>
        <w:t>Chart 1</w:t>
      </w:r>
      <w:r w:rsidR="00F41BF9">
        <w:rPr>
          <w:lang w:val="en-US" w:eastAsia="en-AU"/>
        </w:rPr>
        <w:t>4</w:t>
      </w:r>
      <w:r w:rsidR="00801D07">
        <w:rPr>
          <w:lang w:val="en-US" w:eastAsia="en-AU"/>
        </w:rPr>
        <w:t xml:space="preserve"> above, this assumption has a relatively large impact on the estimate of net fiscal impact in FIONA. More generally, this sensitivity test shows that the estimates of fiscal impact in FIONA are sensitive to ageing</w:t>
      </w:r>
      <w:r w:rsidR="009C1E51">
        <w:rPr>
          <w:lang w:val="en-US" w:eastAsia="en-AU"/>
        </w:rPr>
        <w:t>-</w:t>
      </w:r>
      <w:r w:rsidR="00801D07">
        <w:rPr>
          <w:lang w:val="en-US" w:eastAsia="en-AU"/>
        </w:rPr>
        <w:t>related expenses in the long term.</w:t>
      </w:r>
    </w:p>
    <w:p w14:paraId="6D921A81" w14:textId="7CA1C1B0" w:rsidR="00801D07" w:rsidRDefault="00801D07" w:rsidP="001A66C0">
      <w:pPr>
        <w:pStyle w:val="Heading3"/>
      </w:pPr>
      <w:bookmarkStart w:id="47" w:name="_Toc77175234"/>
      <w:r>
        <w:t xml:space="preserve">Effects of </w:t>
      </w:r>
      <w:r w:rsidR="004157C4">
        <w:t>COVID</w:t>
      </w:r>
      <w:r w:rsidR="009C1E51">
        <w:t>-</w:t>
      </w:r>
      <w:r>
        <w:t>19</w:t>
      </w:r>
      <w:bookmarkStart w:id="48" w:name="_Hlk69399271"/>
      <w:bookmarkEnd w:id="47"/>
    </w:p>
    <w:p w14:paraId="43794AE2" w14:textId="60A4BD16" w:rsidR="004157C4" w:rsidRDefault="004157C4" w:rsidP="007F0F36">
      <w:pPr>
        <w:rPr>
          <w:lang w:val="en-US" w:eastAsia="en-AU"/>
        </w:rPr>
      </w:pPr>
      <w:r>
        <w:rPr>
          <w:lang w:val="en-US" w:eastAsia="en-AU"/>
        </w:rPr>
        <w:t>The fiscal estimates presented in this paper are consistent with the economic parameters and projected growth rates that underpin the 2019</w:t>
      </w:r>
      <w:r w:rsidR="00F62807">
        <w:rPr>
          <w:lang w:val="en-US" w:eastAsia="en-AU"/>
        </w:rPr>
        <w:t>–</w:t>
      </w:r>
      <w:r>
        <w:rPr>
          <w:lang w:val="en-US" w:eastAsia="en-AU"/>
        </w:rPr>
        <w:t>20 Mid</w:t>
      </w:r>
      <w:r w:rsidR="009C1E51">
        <w:rPr>
          <w:lang w:val="en-US" w:eastAsia="en-AU"/>
        </w:rPr>
        <w:t>-</w:t>
      </w:r>
      <w:r>
        <w:rPr>
          <w:lang w:val="en-US" w:eastAsia="en-AU"/>
        </w:rPr>
        <w:t>Year Economic and Fiscal Outlook</w:t>
      </w:r>
      <w:r w:rsidR="00054900">
        <w:rPr>
          <w:lang w:val="en-US" w:eastAsia="en-AU"/>
        </w:rPr>
        <w:t xml:space="preserve"> (MYEFO)</w:t>
      </w:r>
      <w:r>
        <w:rPr>
          <w:lang w:val="en-US" w:eastAsia="en-AU"/>
        </w:rPr>
        <w:t>.</w:t>
      </w:r>
      <w:r w:rsidR="00FE68FE">
        <w:rPr>
          <w:lang w:val="en-US" w:eastAsia="en-AU"/>
        </w:rPr>
        <w:t xml:space="preserve"> </w:t>
      </w:r>
      <w:r>
        <w:rPr>
          <w:lang w:val="en-US" w:eastAsia="en-AU"/>
        </w:rPr>
        <w:t>This means that they do not capture the impacts of COVID</w:t>
      </w:r>
      <w:r w:rsidR="009C1E51">
        <w:rPr>
          <w:lang w:val="en-US" w:eastAsia="en-AU"/>
        </w:rPr>
        <w:t>-</w:t>
      </w:r>
      <w:r>
        <w:rPr>
          <w:lang w:val="en-US" w:eastAsia="en-AU"/>
        </w:rPr>
        <w:t>19 on the Australian economy. This decision was made primarily on the basis that</w:t>
      </w:r>
      <w:r w:rsidR="00D24E1E">
        <w:rPr>
          <w:lang w:val="en-US" w:eastAsia="en-AU"/>
        </w:rPr>
        <w:t xml:space="preserve"> the pre</w:t>
      </w:r>
      <w:r w:rsidR="009C1E51">
        <w:rPr>
          <w:lang w:val="en-US" w:eastAsia="en-AU"/>
        </w:rPr>
        <w:t>-</w:t>
      </w:r>
      <w:r w:rsidR="00D24E1E">
        <w:rPr>
          <w:lang w:val="en-US" w:eastAsia="en-AU"/>
        </w:rPr>
        <w:t>COVID economic conditions would better represent the economic experience of future migrants</w:t>
      </w:r>
      <w:r>
        <w:rPr>
          <w:lang w:val="en-US" w:eastAsia="en-AU"/>
        </w:rPr>
        <w:t xml:space="preserve">, and that a ‘normal’ economic baseline would be </w:t>
      </w:r>
      <w:r w:rsidR="004D6C16">
        <w:rPr>
          <w:lang w:val="en-US" w:eastAsia="en-AU"/>
        </w:rPr>
        <w:t xml:space="preserve">a </w:t>
      </w:r>
      <w:r>
        <w:rPr>
          <w:lang w:val="en-US" w:eastAsia="en-AU"/>
        </w:rPr>
        <w:t>more appropriate basis of analysis.</w:t>
      </w:r>
      <w:r w:rsidR="007C1421">
        <w:rPr>
          <w:rStyle w:val="FootnoteReference"/>
          <w:lang w:val="en-US" w:eastAsia="en-AU"/>
        </w:rPr>
        <w:footnoteReference w:id="33"/>
      </w:r>
    </w:p>
    <w:p w14:paraId="0D0FAC08" w14:textId="0B251566" w:rsidR="00801D07" w:rsidRDefault="00801D07" w:rsidP="007F0F36">
      <w:pPr>
        <w:rPr>
          <w:lang w:val="en-US" w:eastAsia="en-AU"/>
        </w:rPr>
      </w:pPr>
      <w:r>
        <w:rPr>
          <w:lang w:val="en-US" w:eastAsia="en-AU"/>
        </w:rPr>
        <w:t xml:space="preserve">This sensitivity test examines how much this decision influences the FIONA results by replacing key economic parameters with </w:t>
      </w:r>
      <w:r w:rsidR="006A598D">
        <w:rPr>
          <w:lang w:val="en-US" w:eastAsia="en-AU"/>
        </w:rPr>
        <w:t xml:space="preserve">equivalent estimates from </w:t>
      </w:r>
      <w:r w:rsidR="00690E1C">
        <w:rPr>
          <w:lang w:val="en-US" w:eastAsia="en-AU"/>
        </w:rPr>
        <w:t xml:space="preserve">the </w:t>
      </w:r>
      <w:r w:rsidR="006A598D">
        <w:rPr>
          <w:lang w:val="en-US" w:eastAsia="en-AU"/>
        </w:rPr>
        <w:t>2020</w:t>
      </w:r>
      <w:r w:rsidR="00F62807">
        <w:rPr>
          <w:lang w:val="en-US" w:eastAsia="en-AU"/>
        </w:rPr>
        <w:t>–</w:t>
      </w:r>
      <w:r w:rsidR="006A598D">
        <w:rPr>
          <w:lang w:val="en-US" w:eastAsia="en-AU"/>
        </w:rPr>
        <w:t>21</w:t>
      </w:r>
      <w:r w:rsidR="00690E1C">
        <w:rPr>
          <w:lang w:val="en-US" w:eastAsia="en-AU"/>
        </w:rPr>
        <w:t xml:space="preserve"> MYEFO</w:t>
      </w:r>
      <w:r>
        <w:rPr>
          <w:lang w:val="en-US" w:eastAsia="en-AU"/>
        </w:rPr>
        <w:t>, including CPI, AWE, participation rates and employment rates.</w:t>
      </w:r>
      <w:r>
        <w:rPr>
          <w:rStyle w:val="FootnoteReference"/>
          <w:lang w:val="en-US" w:eastAsia="en-AU"/>
        </w:rPr>
        <w:footnoteReference w:id="34"/>
      </w:r>
      <w:r>
        <w:rPr>
          <w:lang w:val="en-US" w:eastAsia="en-AU"/>
        </w:rPr>
        <w:t xml:space="preserve"> </w:t>
      </w:r>
    </w:p>
    <w:p w14:paraId="0780110D" w14:textId="77777777" w:rsidR="005D5219" w:rsidRDefault="005D5219">
      <w:pPr>
        <w:spacing w:after="200" w:line="276" w:lineRule="auto"/>
        <w:rPr>
          <w:lang w:val="en-US" w:eastAsia="en-AU"/>
        </w:rPr>
      </w:pPr>
      <w:r>
        <w:rPr>
          <w:lang w:val="en-US" w:eastAsia="en-AU"/>
        </w:rPr>
        <w:br w:type="page"/>
      </w:r>
    </w:p>
    <w:p w14:paraId="2D4758B8" w14:textId="267F94E6" w:rsidR="00801D07" w:rsidRDefault="00801D07" w:rsidP="007F0F36">
      <w:pPr>
        <w:rPr>
          <w:lang w:val="en-US" w:eastAsia="en-AU"/>
        </w:rPr>
      </w:pPr>
      <w:r>
        <w:rPr>
          <w:lang w:val="en-US" w:eastAsia="en-AU"/>
        </w:rPr>
        <w:lastRenderedPageBreak/>
        <w:t xml:space="preserve">The results, which are presented in </w:t>
      </w:r>
      <w:r w:rsidR="004B7E1C">
        <w:rPr>
          <w:lang w:val="en-US" w:eastAsia="en-AU"/>
        </w:rPr>
        <w:t>Chart</w:t>
      </w:r>
      <w:r w:rsidR="00690E1C">
        <w:rPr>
          <w:lang w:val="en-US" w:eastAsia="en-AU"/>
        </w:rPr>
        <w:t xml:space="preserve"> </w:t>
      </w:r>
      <w:r w:rsidR="00C1730D">
        <w:rPr>
          <w:lang w:val="en-US" w:eastAsia="en-AU"/>
        </w:rPr>
        <w:t>1</w:t>
      </w:r>
      <w:r w:rsidR="00690E1C">
        <w:rPr>
          <w:lang w:val="en-US" w:eastAsia="en-AU"/>
        </w:rPr>
        <w:t>4</w:t>
      </w:r>
      <w:r>
        <w:rPr>
          <w:lang w:val="en-US" w:eastAsia="en-AU"/>
        </w:rPr>
        <w:t>, show that the net impact of this sensitivity test is relatively small, with skilled migrants becoming less positive, but humanitarian migrants becoming less negative. The intuition behind this result is that COVID will:</w:t>
      </w:r>
    </w:p>
    <w:p w14:paraId="25234BF5" w14:textId="7408B526" w:rsidR="00801D07" w:rsidRPr="007F0F36" w:rsidRDefault="00801D07" w:rsidP="007F0F36">
      <w:pPr>
        <w:pStyle w:val="Bullet"/>
      </w:pPr>
      <w:r w:rsidRPr="007F0F36">
        <w:t xml:space="preserve">Reduce </w:t>
      </w:r>
      <w:r w:rsidR="009865D5" w:rsidRPr="007F0F36">
        <w:t>revenue</w:t>
      </w:r>
      <w:r w:rsidRPr="007F0F36">
        <w:t xml:space="preserve"> in the short</w:t>
      </w:r>
      <w:r w:rsidR="0080799B">
        <w:t xml:space="preserve"> </w:t>
      </w:r>
      <w:r w:rsidRPr="007F0F36">
        <w:t xml:space="preserve">term, but this is a relatively small </w:t>
      </w:r>
      <w:r w:rsidR="006542FE" w:rsidRPr="007F0F36">
        <w:t>proportion</w:t>
      </w:r>
      <w:r w:rsidRPr="007F0F36">
        <w:t xml:space="preserve"> </w:t>
      </w:r>
      <w:r w:rsidR="005D7D7A" w:rsidRPr="007F0F36">
        <w:t xml:space="preserve">of </w:t>
      </w:r>
      <w:r w:rsidRPr="007F0F36">
        <w:t xml:space="preserve">the FIONA </w:t>
      </w:r>
      <w:r w:rsidR="006542FE" w:rsidRPr="007F0F36">
        <w:t>projection period</w:t>
      </w:r>
      <w:r w:rsidR="00500D1C">
        <w:t>.</w:t>
      </w:r>
    </w:p>
    <w:p w14:paraId="5625C9EC" w14:textId="47680BC1" w:rsidR="00801D07" w:rsidRPr="007F0F36" w:rsidRDefault="00801D07" w:rsidP="007F0F36">
      <w:pPr>
        <w:pStyle w:val="Bullet"/>
      </w:pPr>
      <w:r w:rsidRPr="007F0F36">
        <w:t>Reduce prices in the economy over the long</w:t>
      </w:r>
      <w:r w:rsidR="0080799B">
        <w:t xml:space="preserve"> </w:t>
      </w:r>
      <w:r w:rsidRPr="007F0F36">
        <w:t>term, which will reduce</w:t>
      </w:r>
      <w:r w:rsidR="00CC7FB7" w:rsidRPr="007F0F36">
        <w:t xml:space="preserve"> both</w:t>
      </w:r>
      <w:r w:rsidRPr="007F0F36">
        <w:t xml:space="preserve"> </w:t>
      </w:r>
      <w:r w:rsidR="009865D5" w:rsidRPr="007F0F36">
        <w:t xml:space="preserve">revenue </w:t>
      </w:r>
      <w:r w:rsidRPr="007F0F36">
        <w:t>and expenses</w:t>
      </w:r>
      <w:r w:rsidR="0009079D" w:rsidRPr="007F0F36">
        <w:t xml:space="preserve"> (</w:t>
      </w:r>
      <w:r w:rsidR="00575CC2" w:rsidRPr="007F0F36">
        <w:t>with lower tax revenue offset by lower expenses)</w:t>
      </w:r>
      <w:r w:rsidR="00111933" w:rsidRPr="007F0F36">
        <w:t>.</w:t>
      </w:r>
    </w:p>
    <w:p w14:paraId="02C04D5D" w14:textId="6DA125BF" w:rsidR="00801D07" w:rsidRDefault="006A7B85" w:rsidP="007F0F36">
      <w:pPr>
        <w:rPr>
          <w:lang w:val="en-US" w:eastAsia="en-AU"/>
        </w:rPr>
      </w:pPr>
      <w:r>
        <w:rPr>
          <w:lang w:val="en-US" w:eastAsia="en-AU"/>
        </w:rPr>
        <w:t xml:space="preserve">This sensitivity test does </w:t>
      </w:r>
      <w:r w:rsidR="00CE7992">
        <w:rPr>
          <w:lang w:val="en-US" w:eastAsia="en-AU"/>
        </w:rPr>
        <w:t xml:space="preserve">not </w:t>
      </w:r>
      <w:r>
        <w:rPr>
          <w:lang w:val="en-US" w:eastAsia="en-AU"/>
        </w:rPr>
        <w:t xml:space="preserve">capture </w:t>
      </w:r>
      <w:proofErr w:type="spellStart"/>
      <w:r>
        <w:rPr>
          <w:lang w:val="en-US" w:eastAsia="en-AU"/>
        </w:rPr>
        <w:t>JobKeeper</w:t>
      </w:r>
      <w:proofErr w:type="spellEnd"/>
      <w:r>
        <w:rPr>
          <w:lang w:val="en-US" w:eastAsia="en-AU"/>
        </w:rPr>
        <w:t xml:space="preserve"> or other temporary spending programs. It also </w:t>
      </w:r>
      <w:r w:rsidR="00801D07">
        <w:rPr>
          <w:lang w:val="en-US" w:eastAsia="en-AU"/>
        </w:rPr>
        <w:t>does</w:t>
      </w:r>
      <w:r w:rsidR="00690E1C">
        <w:rPr>
          <w:lang w:val="en-US" w:eastAsia="en-AU"/>
        </w:rPr>
        <w:t xml:space="preserve"> not</w:t>
      </w:r>
      <w:r w:rsidR="00801D07">
        <w:rPr>
          <w:lang w:val="en-US" w:eastAsia="en-AU"/>
        </w:rPr>
        <w:t xml:space="preserve"> capture the change in the composition of the permanent migration program</w:t>
      </w:r>
      <w:r w:rsidR="00BB6861">
        <w:rPr>
          <w:lang w:val="en-US" w:eastAsia="en-AU"/>
        </w:rPr>
        <w:t xml:space="preserve"> that occurred as the result of border closures during this period</w:t>
      </w:r>
      <w:r w:rsidR="00801D07">
        <w:rPr>
          <w:lang w:val="en-US" w:eastAsia="en-AU"/>
        </w:rPr>
        <w:t xml:space="preserve">. </w:t>
      </w:r>
      <w:bookmarkEnd w:id="48"/>
    </w:p>
    <w:p w14:paraId="2D706865" w14:textId="70892252" w:rsidR="00801D07" w:rsidRDefault="00801D07" w:rsidP="00E079FB">
      <w:pPr>
        <w:pStyle w:val="Heading2"/>
        <w:numPr>
          <w:ilvl w:val="0"/>
          <w:numId w:val="22"/>
        </w:numPr>
        <w:spacing w:before="0"/>
      </w:pPr>
      <w:bookmarkStart w:id="49" w:name="_Toc77175235"/>
      <w:r>
        <w:t>Future directions</w:t>
      </w:r>
      <w:bookmarkEnd w:id="49"/>
    </w:p>
    <w:p w14:paraId="4C61B159" w14:textId="6ABC2EE3" w:rsidR="00801D07" w:rsidRDefault="005C3D24" w:rsidP="007F0F36">
      <w:r>
        <w:t xml:space="preserve">FIONA </w:t>
      </w:r>
      <w:r w:rsidR="00801D07">
        <w:t>represents an advance</w:t>
      </w:r>
      <w:r w:rsidR="007C367B">
        <w:t>ment</w:t>
      </w:r>
      <w:r w:rsidR="00801D07">
        <w:t xml:space="preserve"> in our understanding of the lifetime fiscal impact of Australia’s permanent migration program.</w:t>
      </w:r>
      <w:r w:rsidR="00FE68FE">
        <w:t xml:space="preserve"> </w:t>
      </w:r>
      <w:r w:rsidR="00801D07">
        <w:t xml:space="preserve">Treasury welcomes feedback on the model </w:t>
      </w:r>
      <w:r w:rsidR="00E46D70">
        <w:t>design</w:t>
      </w:r>
      <w:r w:rsidR="00801D07">
        <w:t xml:space="preserve"> or on any of the results presented.</w:t>
      </w:r>
    </w:p>
    <w:p w14:paraId="7FBE5FA4" w14:textId="00C303BE" w:rsidR="00801D07" w:rsidRDefault="00801D07" w:rsidP="007F0F36">
      <w:r>
        <w:t>Treasury is particularly interested in any insights from readers on the more challenging issues we have encountered in developing FIONA.</w:t>
      </w:r>
      <w:r w:rsidR="00FE68FE">
        <w:t xml:space="preserve"> </w:t>
      </w:r>
      <w:r>
        <w:t>Some of these issues are outlined below.</w:t>
      </w:r>
    </w:p>
    <w:p w14:paraId="45681E59" w14:textId="623116DB" w:rsidR="00801D07" w:rsidRPr="007F0F36" w:rsidRDefault="00801D07" w:rsidP="007F0F36">
      <w:pPr>
        <w:pStyle w:val="Bullet"/>
      </w:pPr>
      <w:r w:rsidRPr="007F0F36">
        <w:t>FIONA currently treats all migrants separately as individuals, rather than estimating the overall fiscal impact of family units who migrate together.</w:t>
      </w:r>
      <w:r w:rsidR="00FE68FE">
        <w:t xml:space="preserve"> </w:t>
      </w:r>
      <w:r w:rsidRPr="007F0F36">
        <w:t xml:space="preserve">While this simplifying approach </w:t>
      </w:r>
      <w:r w:rsidR="006A7B85" w:rsidRPr="007F0F36">
        <w:t xml:space="preserve">will not </w:t>
      </w:r>
      <w:r w:rsidRPr="007F0F36">
        <w:t xml:space="preserve">affect the aggregate results, it </w:t>
      </w:r>
      <w:r w:rsidR="006A7B85" w:rsidRPr="007F0F36">
        <w:t xml:space="preserve">will </w:t>
      </w:r>
      <w:r w:rsidRPr="007F0F36">
        <w:t>affect the estimates of fiscal impact within categories</w:t>
      </w:r>
      <w:r w:rsidR="006A7B85" w:rsidRPr="007F0F36">
        <w:t xml:space="preserve"> (such as the interpretation of lifetime fiscal impact by age at arrival)</w:t>
      </w:r>
      <w:r w:rsidRPr="007F0F36">
        <w:t>. Extending FIONA’s results to family units would produce a more complete picture of the migration program.</w:t>
      </w:r>
    </w:p>
    <w:p w14:paraId="5FCD5231" w14:textId="5A68FF78" w:rsidR="00D56172" w:rsidRPr="007F0F36" w:rsidRDefault="00D56172" w:rsidP="007F0F36">
      <w:pPr>
        <w:pStyle w:val="Bullet"/>
      </w:pPr>
      <w:r w:rsidRPr="007F0F36">
        <w:t>FIONA currently has a relatively simple treatment of gender. While mortality rates and health care costs are explicitly modelled by gender, most calculation</w:t>
      </w:r>
      <w:r w:rsidR="00092DDC" w:rsidRPr="007F0F36">
        <w:t>s in FIONA</w:t>
      </w:r>
      <w:r w:rsidRPr="007F0F36">
        <w:t xml:space="preserve"> only capture these impacts implicitly. For instance, </w:t>
      </w:r>
      <w:r w:rsidR="00092DDC" w:rsidRPr="007F0F36">
        <w:t>C</w:t>
      </w:r>
      <w:r w:rsidRPr="007F0F36">
        <w:t xml:space="preserve">hart </w:t>
      </w:r>
      <w:r w:rsidR="00690E1C" w:rsidRPr="007F0F36">
        <w:t>1</w:t>
      </w:r>
      <w:r w:rsidR="00F41BF9" w:rsidRPr="007F0F36">
        <w:t>1</w:t>
      </w:r>
      <w:r w:rsidR="00690E1C" w:rsidRPr="007F0F36">
        <w:t xml:space="preserve"> </w:t>
      </w:r>
      <w:r w:rsidRPr="007F0F36">
        <w:t>shows that partner visa</w:t>
      </w:r>
      <w:r w:rsidR="00D41E30" w:rsidRPr="007F0F36">
        <w:t xml:space="preserve"> holders</w:t>
      </w:r>
      <w:r w:rsidRPr="007F0F36">
        <w:t xml:space="preserve"> have a lower level of employment than the Australian </w:t>
      </w:r>
      <w:r w:rsidR="0080799B" w:rsidRPr="007F0F36">
        <w:t>population</w:t>
      </w:r>
      <w:r w:rsidR="0080799B">
        <w:t xml:space="preserve"> </w:t>
      </w:r>
      <w:r w:rsidR="0080799B" w:rsidRPr="007F0F36">
        <w:t>but</w:t>
      </w:r>
      <w:r w:rsidRPr="007F0F36">
        <w:t xml:space="preserve"> </w:t>
      </w:r>
      <w:r w:rsidR="00690E1C" w:rsidRPr="007F0F36">
        <w:t xml:space="preserve">does not separately identify </w:t>
      </w:r>
      <w:r w:rsidR="00092DDC" w:rsidRPr="007F0F36">
        <w:t xml:space="preserve">the extent to which this occurs because there are </w:t>
      </w:r>
      <w:r w:rsidR="00690E1C" w:rsidRPr="007F0F36">
        <w:t xml:space="preserve">more women than men </w:t>
      </w:r>
      <w:r w:rsidR="00092DDC" w:rsidRPr="007F0F36">
        <w:t xml:space="preserve">in this stream (who have a lower average level of employment than men). Further research that carefully identifies the economic outcomes of migrants by gender </w:t>
      </w:r>
      <w:r w:rsidR="00DD4291" w:rsidRPr="007F0F36">
        <w:t>may provide</w:t>
      </w:r>
      <w:r w:rsidR="00BB6A11" w:rsidRPr="007F0F36">
        <w:t xml:space="preserve"> context for interpreting trends in gender equity more broadly.</w:t>
      </w:r>
    </w:p>
    <w:p w14:paraId="46611B44" w14:textId="055897A4" w:rsidR="00801D07" w:rsidRPr="007F0F36" w:rsidRDefault="00801D07" w:rsidP="007F0F36">
      <w:pPr>
        <w:pStyle w:val="Bullet"/>
      </w:pPr>
      <w:r w:rsidRPr="007F0F36">
        <w:t>FIONA does not explicitly model all elements of Commonwealth and State budgets.</w:t>
      </w:r>
      <w:r w:rsidR="00FE68FE">
        <w:t xml:space="preserve"> </w:t>
      </w:r>
      <w:r w:rsidRPr="007F0F36">
        <w:t xml:space="preserve">While in most cases we expect this would not materially affect the results, our treatment of business taxes is one possible exception. Credible analysis of how migration affects corporate income taxes and other taxes paid by businesses </w:t>
      </w:r>
      <w:r w:rsidR="00ED6C3E" w:rsidRPr="007F0F36">
        <w:t>(</w:t>
      </w:r>
      <w:r w:rsidRPr="007F0F36">
        <w:t>such as stamp duty on commercial properties and motor vehicle taxes on commercial vehicles</w:t>
      </w:r>
      <w:r w:rsidR="00ED6C3E" w:rsidRPr="007F0F36">
        <w:t>)</w:t>
      </w:r>
      <w:r w:rsidRPr="007F0F36">
        <w:t xml:space="preserve"> would help more fully evaluate the fiscal impact of migrants, </w:t>
      </w:r>
      <w:proofErr w:type="gramStart"/>
      <w:r w:rsidRPr="007F0F36">
        <w:t>in particular those</w:t>
      </w:r>
      <w:proofErr w:type="gramEnd"/>
      <w:r w:rsidRPr="007F0F36">
        <w:t xml:space="preserve"> arriving under the Business Innovation and Investment Program</w:t>
      </w:r>
      <w:r w:rsidR="00804F5C" w:rsidRPr="007F0F36">
        <w:t>.</w:t>
      </w:r>
    </w:p>
    <w:p w14:paraId="165FDEDD" w14:textId="7DB6EDF9" w:rsidR="00801D07" w:rsidRPr="007F0F36" w:rsidRDefault="00801D07" w:rsidP="007F0F36">
      <w:pPr>
        <w:pStyle w:val="Bullet"/>
      </w:pPr>
      <w:r w:rsidRPr="007F0F36">
        <w:t>The State</w:t>
      </w:r>
      <w:r w:rsidR="009C1E51">
        <w:t>-</w:t>
      </w:r>
      <w:r w:rsidRPr="007F0F36">
        <w:t>level results reported in this paper are collective totals across all eight of the States and Territories.</w:t>
      </w:r>
      <w:r w:rsidR="00FE68FE">
        <w:t xml:space="preserve"> </w:t>
      </w:r>
      <w:r w:rsidRPr="007F0F36">
        <w:t xml:space="preserve">We have not </w:t>
      </w:r>
      <w:r w:rsidR="00016517">
        <w:t>estimated</w:t>
      </w:r>
      <w:r w:rsidRPr="007F0F36">
        <w:t xml:space="preserve"> separate results for each State.</w:t>
      </w:r>
      <w:r w:rsidR="00FE68FE">
        <w:t xml:space="preserve"> </w:t>
      </w:r>
      <w:r w:rsidRPr="007F0F36">
        <w:t xml:space="preserve">This is primarily because at </w:t>
      </w:r>
      <w:r w:rsidR="00016517">
        <w:t>the State</w:t>
      </w:r>
      <w:r w:rsidR="00016517" w:rsidRPr="007F0F36">
        <w:t xml:space="preserve"> </w:t>
      </w:r>
      <w:r w:rsidRPr="007F0F36">
        <w:t xml:space="preserve">level of disaggregation, the results are highly sensitive to how Australia’s system of horizontal fiscal equalisation </w:t>
      </w:r>
      <w:r w:rsidR="004E0518" w:rsidRPr="007F0F36">
        <w:t>is</w:t>
      </w:r>
      <w:r w:rsidRPr="007F0F36">
        <w:t xml:space="preserve"> modelled. </w:t>
      </w:r>
      <w:r w:rsidR="00016517">
        <w:t>This is beyond the scope of this exercise</w:t>
      </w:r>
      <w:r w:rsidR="00016517" w:rsidRPr="007F0F36">
        <w:t>.</w:t>
      </w:r>
    </w:p>
    <w:p w14:paraId="76F591FC" w14:textId="0D2ACA84" w:rsidR="00801D07" w:rsidRPr="007F0F36" w:rsidRDefault="00801D07" w:rsidP="007F0F36">
      <w:pPr>
        <w:pStyle w:val="Bullet"/>
      </w:pPr>
      <w:r w:rsidRPr="007F0F36">
        <w:t>FIONA currently uses a basic treatment of how migrants interact with Australia’s retirement income system.</w:t>
      </w:r>
      <w:r w:rsidR="00FE68FE">
        <w:t xml:space="preserve"> </w:t>
      </w:r>
      <w:r w:rsidRPr="007F0F36">
        <w:t xml:space="preserve">For instance, it is assumed that the likelihood of receiving transfer payments </w:t>
      </w:r>
      <w:r w:rsidRPr="007F0F36">
        <w:lastRenderedPageBreak/>
        <w:t>converges towards the average rate in the Australian population over a period of twenty years.</w:t>
      </w:r>
      <w:r w:rsidR="00FE68FE">
        <w:t xml:space="preserve"> </w:t>
      </w:r>
      <w:r w:rsidRPr="007F0F36">
        <w:t xml:space="preserve">One consequence is that most migrant groups are modelled as receiving similar amounts of Age Pension </w:t>
      </w:r>
      <w:r w:rsidR="009C1E51">
        <w:rPr>
          <w:rFonts w:ascii="Arial" w:hAnsi="Arial" w:cs="Arial"/>
          <w:color w:val="4A4A4A"/>
          <w:sz w:val="27"/>
          <w:szCs w:val="27"/>
          <w:shd w:val="clear" w:color="auto" w:fill="FFFFFF"/>
        </w:rPr>
        <w:t>—</w:t>
      </w:r>
      <w:r w:rsidRPr="007F0F36">
        <w:t xml:space="preserve"> whereas a more nuanced approach that fully incorporated</w:t>
      </w:r>
      <w:r w:rsidR="00A97812" w:rsidRPr="007F0F36">
        <w:t xml:space="preserve"> asset accumu</w:t>
      </w:r>
      <w:r w:rsidR="00351985" w:rsidRPr="007F0F36">
        <w:t>l</w:t>
      </w:r>
      <w:r w:rsidR="00A97812" w:rsidRPr="007F0F36">
        <w:t>ation across lifetimes</w:t>
      </w:r>
      <w:r w:rsidR="00351985" w:rsidRPr="007F0F36">
        <w:t xml:space="preserve"> and the Age Pension income and assets tests</w:t>
      </w:r>
      <w:r w:rsidRPr="007F0F36">
        <w:t xml:space="preserve"> would likely produce larger differences between high</w:t>
      </w:r>
      <w:r w:rsidR="009C1E51">
        <w:t>-</w:t>
      </w:r>
      <w:r w:rsidRPr="007F0F36">
        <w:t xml:space="preserve"> and low</w:t>
      </w:r>
      <w:r w:rsidR="009C1E51">
        <w:t>-</w:t>
      </w:r>
      <w:r w:rsidRPr="007F0F36">
        <w:t xml:space="preserve">income migrant cohorts. </w:t>
      </w:r>
      <w:r w:rsidR="000058CC" w:rsidRPr="007F0F36">
        <w:t xml:space="preserve">Such an approach would also allow for FIONA to capture </w:t>
      </w:r>
      <w:r w:rsidR="00F05D0F" w:rsidRPr="007F0F36">
        <w:t>superannuation taxes</w:t>
      </w:r>
      <w:r w:rsidR="00A152C3" w:rsidRPr="007F0F36">
        <w:t>.</w:t>
      </w:r>
    </w:p>
    <w:p w14:paraId="64FC92C7" w14:textId="77777777" w:rsidR="00690E1C" w:rsidRDefault="00690E1C" w:rsidP="008027CA">
      <w:pPr>
        <w:spacing w:after="200"/>
        <w:rPr>
          <w:rFonts w:ascii="Arial Bold" w:hAnsi="Arial Bold" w:cs="Arial"/>
          <w:b/>
          <w:smallCaps/>
          <w:color w:val="003157"/>
          <w:sz w:val="32"/>
          <w:szCs w:val="32"/>
        </w:rPr>
      </w:pPr>
      <w:r>
        <w:br w:type="page"/>
      </w:r>
    </w:p>
    <w:p w14:paraId="79C6DDE7" w14:textId="3EC6949E" w:rsidR="00FA7FDE" w:rsidRDefault="00FA7FDE" w:rsidP="00E079FB">
      <w:pPr>
        <w:pStyle w:val="Heading2"/>
        <w:numPr>
          <w:ilvl w:val="0"/>
          <w:numId w:val="22"/>
        </w:numPr>
      </w:pPr>
      <w:bookmarkStart w:id="50" w:name="_Toc77175236"/>
      <w:r>
        <w:t xml:space="preserve">Appendix A: detailed </w:t>
      </w:r>
      <w:r w:rsidR="003170BA">
        <w:t>FIONA</w:t>
      </w:r>
      <w:r w:rsidR="00B2243B">
        <w:t xml:space="preserve"> </w:t>
      </w:r>
      <w:r>
        <w:t>methodologies</w:t>
      </w:r>
      <w:bookmarkEnd w:id="50"/>
      <w:r>
        <w:t xml:space="preserve"> </w:t>
      </w:r>
    </w:p>
    <w:p w14:paraId="5D3BCDF1" w14:textId="77777777" w:rsidR="00FA7FDE" w:rsidRDefault="00FA7FDE" w:rsidP="007F0F36">
      <w:r>
        <w:t>This Appendix provides additional technical detail to support the description of the modelling approach in section 2 of this report.</w:t>
      </w:r>
    </w:p>
    <w:p w14:paraId="1237CBD3" w14:textId="5628F302" w:rsidR="00FA7FDE" w:rsidRDefault="00FA7FDE" w:rsidP="001A66C0">
      <w:pPr>
        <w:pStyle w:val="Heading3"/>
      </w:pPr>
      <w:bookmarkStart w:id="51" w:name="_Toc77175237"/>
      <w:r>
        <w:t>Demography</w:t>
      </w:r>
      <w:bookmarkEnd w:id="51"/>
    </w:p>
    <w:p w14:paraId="01931CF9" w14:textId="77777777" w:rsidR="00FA7FDE" w:rsidRPr="00D068F8" w:rsidRDefault="00FA7FDE" w:rsidP="008027CA">
      <w:pPr>
        <w:pStyle w:val="Heading4"/>
        <w:rPr>
          <w:b w:val="0"/>
          <w:color w:val="003157"/>
        </w:rPr>
      </w:pPr>
      <w:r w:rsidRPr="00D068F8">
        <w:rPr>
          <w:color w:val="003157"/>
        </w:rPr>
        <w:t>Migrant Population</w:t>
      </w:r>
    </w:p>
    <w:p w14:paraId="394C475E" w14:textId="4D2D1969" w:rsidR="006420AE" w:rsidRDefault="006420AE" w:rsidP="007F0F36">
      <w:r>
        <w:t>The FIONA demographic calculation begins with administrative data from the Department of Home Affairs regarding the population of those granted a permanent visa in 2018</w:t>
      </w:r>
      <w:r w:rsidR="00F62807">
        <w:t>–</w:t>
      </w:r>
      <w:r>
        <w:t xml:space="preserve">19. </w:t>
      </w:r>
      <w:r w:rsidR="004D6C16">
        <w:t>These</w:t>
      </w:r>
      <w:r>
        <w:t xml:space="preserve"> data include information on visa subclass, applicant type (primary or secondary), gender and age. This is combined with information on migrants’ State of residence observed in</w:t>
      </w:r>
      <w:r w:rsidR="00427462">
        <w:t xml:space="preserve"> </w:t>
      </w:r>
      <w:r>
        <w:t>MADIP.</w:t>
      </w:r>
      <w:r>
        <w:rPr>
          <w:rStyle w:val="FootnoteReference"/>
        </w:rPr>
        <w:footnoteReference w:id="35"/>
      </w:r>
      <w:r>
        <w:t xml:space="preserve"> </w:t>
      </w:r>
    </w:p>
    <w:p w14:paraId="3942B615" w14:textId="03C20791" w:rsidR="00743C54" w:rsidRPr="006420AE" w:rsidRDefault="006420AE" w:rsidP="007F0F36">
      <w:r>
        <w:t xml:space="preserve">This paper groups visas into ‘categories’ based on the visa classifications in Table </w:t>
      </w:r>
      <w:r w:rsidR="00C30764">
        <w:t>A1</w:t>
      </w:r>
      <w:r>
        <w:t>.</w:t>
      </w:r>
    </w:p>
    <w:p w14:paraId="0840502F" w14:textId="6C61C29F" w:rsidR="00883149" w:rsidRDefault="00935EBD" w:rsidP="0023028F">
      <w:pPr>
        <w:pStyle w:val="TableHeading1"/>
      </w:pPr>
      <w:r w:rsidRPr="00F70234">
        <w:t xml:space="preserve">Table </w:t>
      </w:r>
      <w:r w:rsidR="00C30764">
        <w:t>A1</w:t>
      </w:r>
      <w:r w:rsidRPr="00F70234">
        <w:t xml:space="preserve">: </w:t>
      </w:r>
      <w:r w:rsidR="00A35A24" w:rsidRPr="00F70234">
        <w:t>Visa classifications used in this paper</w:t>
      </w:r>
    </w:p>
    <w:tbl>
      <w:tblPr>
        <w:tblW w:w="9042" w:type="dxa"/>
        <w:tblLook w:val="04A0" w:firstRow="1" w:lastRow="0" w:firstColumn="1" w:lastColumn="0" w:noHBand="0" w:noVBand="1"/>
      </w:tblPr>
      <w:tblGrid>
        <w:gridCol w:w="2397"/>
        <w:gridCol w:w="3268"/>
        <w:gridCol w:w="3377"/>
      </w:tblGrid>
      <w:tr w:rsidR="002672BC" w:rsidRPr="002672BC" w14:paraId="34FDA00C" w14:textId="77777777" w:rsidTr="00500D1C">
        <w:trPr>
          <w:trHeight w:val="346"/>
        </w:trPr>
        <w:tc>
          <w:tcPr>
            <w:tcW w:w="2397" w:type="dxa"/>
            <w:tcBorders>
              <w:top w:val="single" w:sz="4" w:space="0" w:color="auto"/>
              <w:left w:val="single" w:sz="4" w:space="0" w:color="auto"/>
              <w:bottom w:val="single" w:sz="4" w:space="0" w:color="auto"/>
              <w:right w:val="single" w:sz="4" w:space="0" w:color="auto"/>
            </w:tcBorders>
            <w:shd w:val="clear" w:color="000000" w:fill="CFDCEA"/>
            <w:vAlign w:val="center"/>
            <w:hideMark/>
          </w:tcPr>
          <w:p w14:paraId="6B260D3A" w14:textId="77777777" w:rsidR="002672BC" w:rsidRPr="002672BC" w:rsidRDefault="002672BC" w:rsidP="002672BC">
            <w:pPr>
              <w:spacing w:after="0"/>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Visa Stream</w:t>
            </w:r>
          </w:p>
        </w:tc>
        <w:tc>
          <w:tcPr>
            <w:tcW w:w="3268" w:type="dxa"/>
            <w:tcBorders>
              <w:top w:val="single" w:sz="4" w:space="0" w:color="auto"/>
              <w:left w:val="nil"/>
              <w:bottom w:val="single" w:sz="4" w:space="0" w:color="auto"/>
              <w:right w:val="single" w:sz="4" w:space="0" w:color="auto"/>
            </w:tcBorders>
            <w:shd w:val="clear" w:color="000000" w:fill="CFDCEA"/>
            <w:vAlign w:val="center"/>
            <w:hideMark/>
          </w:tcPr>
          <w:p w14:paraId="2DD64A6E" w14:textId="77777777" w:rsidR="002672BC" w:rsidRPr="002672BC" w:rsidRDefault="002672BC" w:rsidP="002672BC">
            <w:pPr>
              <w:spacing w:after="0"/>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Visa category</w:t>
            </w:r>
          </w:p>
        </w:tc>
        <w:tc>
          <w:tcPr>
            <w:tcW w:w="3377" w:type="dxa"/>
            <w:tcBorders>
              <w:top w:val="single" w:sz="4" w:space="0" w:color="auto"/>
              <w:left w:val="nil"/>
              <w:bottom w:val="single" w:sz="4" w:space="0" w:color="auto"/>
              <w:right w:val="single" w:sz="4" w:space="0" w:color="auto"/>
            </w:tcBorders>
            <w:shd w:val="clear" w:color="000000" w:fill="CFDCEA"/>
            <w:vAlign w:val="center"/>
            <w:hideMark/>
          </w:tcPr>
          <w:p w14:paraId="10F22838" w14:textId="77777777" w:rsidR="002672BC" w:rsidRPr="002672BC" w:rsidRDefault="002672BC" w:rsidP="002672BC">
            <w:pPr>
              <w:spacing w:after="0"/>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Subclasses included</w:t>
            </w:r>
          </w:p>
        </w:tc>
      </w:tr>
      <w:tr w:rsidR="002672BC" w:rsidRPr="002672BC" w14:paraId="15D3D8B8" w14:textId="77777777" w:rsidTr="00F53282">
        <w:trPr>
          <w:trHeight w:val="397"/>
        </w:trPr>
        <w:tc>
          <w:tcPr>
            <w:tcW w:w="2397" w:type="dxa"/>
            <w:tcBorders>
              <w:top w:val="nil"/>
              <w:left w:val="single" w:sz="4" w:space="0" w:color="auto"/>
              <w:bottom w:val="single" w:sz="4" w:space="0" w:color="auto"/>
              <w:right w:val="single" w:sz="4" w:space="0" w:color="auto"/>
            </w:tcBorders>
            <w:shd w:val="clear" w:color="auto" w:fill="auto"/>
            <w:vAlign w:val="center"/>
            <w:hideMark/>
          </w:tcPr>
          <w:p w14:paraId="00F1AC94" w14:textId="77777777" w:rsidR="002672BC" w:rsidRPr="002672BC" w:rsidRDefault="002672BC" w:rsidP="002672BC">
            <w:pPr>
              <w:spacing w:after="0"/>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Skilled</w:t>
            </w:r>
          </w:p>
        </w:tc>
        <w:tc>
          <w:tcPr>
            <w:tcW w:w="3268" w:type="dxa"/>
            <w:tcBorders>
              <w:top w:val="nil"/>
              <w:left w:val="nil"/>
              <w:bottom w:val="single" w:sz="4" w:space="0" w:color="auto"/>
              <w:right w:val="single" w:sz="4" w:space="0" w:color="auto"/>
            </w:tcBorders>
            <w:shd w:val="clear" w:color="auto" w:fill="auto"/>
            <w:vAlign w:val="center"/>
            <w:hideMark/>
          </w:tcPr>
          <w:p w14:paraId="5276506E" w14:textId="77777777"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Distinguished Talent</w:t>
            </w:r>
          </w:p>
        </w:tc>
        <w:tc>
          <w:tcPr>
            <w:tcW w:w="3377" w:type="dxa"/>
            <w:tcBorders>
              <w:top w:val="nil"/>
              <w:left w:val="nil"/>
              <w:bottom w:val="single" w:sz="4" w:space="0" w:color="auto"/>
              <w:right w:val="single" w:sz="4" w:space="0" w:color="auto"/>
            </w:tcBorders>
            <w:shd w:val="clear" w:color="auto" w:fill="auto"/>
            <w:vAlign w:val="center"/>
            <w:hideMark/>
          </w:tcPr>
          <w:p w14:paraId="1FF85B50" w14:textId="77777777"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124, 858</w:t>
            </w:r>
          </w:p>
        </w:tc>
      </w:tr>
      <w:tr w:rsidR="002672BC" w:rsidRPr="002672BC" w14:paraId="7DA1C036" w14:textId="77777777" w:rsidTr="00F53282">
        <w:trPr>
          <w:trHeight w:val="397"/>
        </w:trPr>
        <w:tc>
          <w:tcPr>
            <w:tcW w:w="2397" w:type="dxa"/>
            <w:tcBorders>
              <w:top w:val="nil"/>
              <w:left w:val="single" w:sz="4" w:space="0" w:color="auto"/>
              <w:bottom w:val="single" w:sz="4" w:space="0" w:color="auto"/>
              <w:right w:val="single" w:sz="4" w:space="0" w:color="auto"/>
            </w:tcBorders>
            <w:shd w:val="clear" w:color="auto" w:fill="auto"/>
            <w:vAlign w:val="center"/>
            <w:hideMark/>
          </w:tcPr>
          <w:p w14:paraId="7B2DB759" w14:textId="77777777" w:rsidR="002672BC" w:rsidRPr="002672BC" w:rsidRDefault="002672BC" w:rsidP="002672BC">
            <w:pPr>
              <w:spacing w:after="0"/>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Skilled</w:t>
            </w:r>
          </w:p>
        </w:tc>
        <w:tc>
          <w:tcPr>
            <w:tcW w:w="3268" w:type="dxa"/>
            <w:tcBorders>
              <w:top w:val="nil"/>
              <w:left w:val="nil"/>
              <w:bottom w:val="single" w:sz="4" w:space="0" w:color="auto"/>
              <w:right w:val="single" w:sz="4" w:space="0" w:color="auto"/>
            </w:tcBorders>
            <w:shd w:val="clear" w:color="auto" w:fill="auto"/>
            <w:vAlign w:val="center"/>
            <w:hideMark/>
          </w:tcPr>
          <w:p w14:paraId="23DFCD7E" w14:textId="77777777"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Skilled–Employer Sponsored</w:t>
            </w:r>
          </w:p>
        </w:tc>
        <w:tc>
          <w:tcPr>
            <w:tcW w:w="3377" w:type="dxa"/>
            <w:tcBorders>
              <w:top w:val="nil"/>
              <w:left w:val="nil"/>
              <w:bottom w:val="single" w:sz="4" w:space="0" w:color="auto"/>
              <w:right w:val="single" w:sz="4" w:space="0" w:color="auto"/>
            </w:tcBorders>
            <w:shd w:val="clear" w:color="auto" w:fill="auto"/>
            <w:vAlign w:val="center"/>
            <w:hideMark/>
          </w:tcPr>
          <w:p w14:paraId="5BDB0D80" w14:textId="77777777"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186, 187, 856</w:t>
            </w:r>
          </w:p>
        </w:tc>
      </w:tr>
      <w:tr w:rsidR="002672BC" w:rsidRPr="002672BC" w14:paraId="4F66F315" w14:textId="77777777" w:rsidTr="00F53282">
        <w:trPr>
          <w:trHeight w:val="397"/>
        </w:trPr>
        <w:tc>
          <w:tcPr>
            <w:tcW w:w="2397" w:type="dxa"/>
            <w:tcBorders>
              <w:top w:val="nil"/>
              <w:left w:val="single" w:sz="4" w:space="0" w:color="auto"/>
              <w:bottom w:val="single" w:sz="4" w:space="0" w:color="auto"/>
              <w:right w:val="single" w:sz="4" w:space="0" w:color="auto"/>
            </w:tcBorders>
            <w:shd w:val="clear" w:color="auto" w:fill="auto"/>
            <w:vAlign w:val="center"/>
            <w:hideMark/>
          </w:tcPr>
          <w:p w14:paraId="4157DA38" w14:textId="77777777" w:rsidR="002672BC" w:rsidRPr="002672BC" w:rsidRDefault="002672BC" w:rsidP="002672BC">
            <w:pPr>
              <w:spacing w:after="0"/>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Skilled</w:t>
            </w:r>
          </w:p>
        </w:tc>
        <w:tc>
          <w:tcPr>
            <w:tcW w:w="3268" w:type="dxa"/>
            <w:tcBorders>
              <w:top w:val="nil"/>
              <w:left w:val="nil"/>
              <w:bottom w:val="single" w:sz="4" w:space="0" w:color="auto"/>
              <w:right w:val="single" w:sz="4" w:space="0" w:color="auto"/>
            </w:tcBorders>
            <w:shd w:val="clear" w:color="auto" w:fill="auto"/>
            <w:vAlign w:val="center"/>
            <w:hideMark/>
          </w:tcPr>
          <w:p w14:paraId="625B60E5" w14:textId="77777777"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Skilled–Independent</w:t>
            </w:r>
          </w:p>
        </w:tc>
        <w:tc>
          <w:tcPr>
            <w:tcW w:w="3377" w:type="dxa"/>
            <w:tcBorders>
              <w:top w:val="nil"/>
              <w:left w:val="nil"/>
              <w:bottom w:val="single" w:sz="4" w:space="0" w:color="auto"/>
              <w:right w:val="single" w:sz="4" w:space="0" w:color="auto"/>
            </w:tcBorders>
            <w:shd w:val="clear" w:color="auto" w:fill="auto"/>
            <w:vAlign w:val="center"/>
            <w:hideMark/>
          </w:tcPr>
          <w:p w14:paraId="66A12720" w14:textId="77777777"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189, 175, 885</w:t>
            </w:r>
          </w:p>
        </w:tc>
      </w:tr>
      <w:tr w:rsidR="002672BC" w:rsidRPr="002672BC" w14:paraId="39C90D7A" w14:textId="77777777" w:rsidTr="00F53282">
        <w:trPr>
          <w:trHeight w:val="397"/>
        </w:trPr>
        <w:tc>
          <w:tcPr>
            <w:tcW w:w="2397" w:type="dxa"/>
            <w:tcBorders>
              <w:top w:val="nil"/>
              <w:left w:val="single" w:sz="4" w:space="0" w:color="auto"/>
              <w:bottom w:val="single" w:sz="4" w:space="0" w:color="auto"/>
              <w:right w:val="single" w:sz="4" w:space="0" w:color="auto"/>
            </w:tcBorders>
            <w:shd w:val="clear" w:color="auto" w:fill="auto"/>
            <w:vAlign w:val="center"/>
            <w:hideMark/>
          </w:tcPr>
          <w:p w14:paraId="3B883B28" w14:textId="77777777" w:rsidR="002672BC" w:rsidRPr="002672BC" w:rsidRDefault="002672BC" w:rsidP="002672BC">
            <w:pPr>
              <w:spacing w:after="0"/>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Skilled</w:t>
            </w:r>
          </w:p>
        </w:tc>
        <w:tc>
          <w:tcPr>
            <w:tcW w:w="3268" w:type="dxa"/>
            <w:tcBorders>
              <w:top w:val="nil"/>
              <w:left w:val="nil"/>
              <w:bottom w:val="single" w:sz="4" w:space="0" w:color="auto"/>
              <w:right w:val="single" w:sz="4" w:space="0" w:color="auto"/>
            </w:tcBorders>
            <w:shd w:val="clear" w:color="auto" w:fill="auto"/>
            <w:vAlign w:val="center"/>
            <w:hideMark/>
          </w:tcPr>
          <w:p w14:paraId="74522ECA" w14:textId="77777777"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Skilled–State/Territory/Regional nominated</w:t>
            </w:r>
          </w:p>
        </w:tc>
        <w:tc>
          <w:tcPr>
            <w:tcW w:w="3377" w:type="dxa"/>
            <w:tcBorders>
              <w:top w:val="nil"/>
              <w:left w:val="nil"/>
              <w:bottom w:val="single" w:sz="4" w:space="0" w:color="auto"/>
              <w:right w:val="single" w:sz="4" w:space="0" w:color="auto"/>
            </w:tcBorders>
            <w:shd w:val="clear" w:color="auto" w:fill="auto"/>
            <w:vAlign w:val="center"/>
            <w:hideMark/>
          </w:tcPr>
          <w:p w14:paraId="0FDA039B" w14:textId="77777777"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190, 487, 489, 496, 886, 887</w:t>
            </w:r>
          </w:p>
        </w:tc>
      </w:tr>
      <w:tr w:rsidR="002672BC" w:rsidRPr="002672BC" w14:paraId="04E28C79" w14:textId="77777777" w:rsidTr="00F53282">
        <w:trPr>
          <w:trHeight w:val="397"/>
        </w:trPr>
        <w:tc>
          <w:tcPr>
            <w:tcW w:w="2397" w:type="dxa"/>
            <w:tcBorders>
              <w:top w:val="nil"/>
              <w:left w:val="single" w:sz="4" w:space="0" w:color="auto"/>
              <w:bottom w:val="single" w:sz="4" w:space="0" w:color="auto"/>
              <w:right w:val="single" w:sz="4" w:space="0" w:color="auto"/>
            </w:tcBorders>
            <w:shd w:val="clear" w:color="auto" w:fill="auto"/>
            <w:vAlign w:val="center"/>
            <w:hideMark/>
          </w:tcPr>
          <w:p w14:paraId="7116D5B0" w14:textId="77777777" w:rsidR="002672BC" w:rsidRPr="002672BC" w:rsidRDefault="002672BC" w:rsidP="002672BC">
            <w:pPr>
              <w:spacing w:after="0"/>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Skilled</w:t>
            </w:r>
          </w:p>
        </w:tc>
        <w:tc>
          <w:tcPr>
            <w:tcW w:w="3268" w:type="dxa"/>
            <w:tcBorders>
              <w:top w:val="nil"/>
              <w:left w:val="nil"/>
              <w:bottom w:val="single" w:sz="4" w:space="0" w:color="auto"/>
              <w:right w:val="single" w:sz="4" w:space="0" w:color="auto"/>
            </w:tcBorders>
            <w:shd w:val="clear" w:color="auto" w:fill="auto"/>
            <w:vAlign w:val="center"/>
            <w:hideMark/>
          </w:tcPr>
          <w:p w14:paraId="1410AF03" w14:textId="77777777"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BIIP–Business Innovation and Investment Program</w:t>
            </w:r>
          </w:p>
        </w:tc>
        <w:tc>
          <w:tcPr>
            <w:tcW w:w="3377" w:type="dxa"/>
            <w:tcBorders>
              <w:top w:val="nil"/>
              <w:left w:val="nil"/>
              <w:bottom w:val="single" w:sz="4" w:space="0" w:color="auto"/>
              <w:right w:val="single" w:sz="4" w:space="0" w:color="auto"/>
            </w:tcBorders>
            <w:shd w:val="clear" w:color="auto" w:fill="auto"/>
            <w:vAlign w:val="center"/>
            <w:hideMark/>
          </w:tcPr>
          <w:p w14:paraId="5F16B31F" w14:textId="77777777"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188, 891, 132, 163, 164, 888, 890, 892, 893</w:t>
            </w:r>
          </w:p>
        </w:tc>
      </w:tr>
      <w:tr w:rsidR="002672BC" w:rsidRPr="002672BC" w14:paraId="34DFD94B" w14:textId="77777777" w:rsidTr="00F53282">
        <w:trPr>
          <w:trHeight w:val="397"/>
        </w:trPr>
        <w:tc>
          <w:tcPr>
            <w:tcW w:w="2397" w:type="dxa"/>
            <w:tcBorders>
              <w:top w:val="nil"/>
              <w:left w:val="single" w:sz="4" w:space="0" w:color="auto"/>
              <w:bottom w:val="single" w:sz="4" w:space="0" w:color="auto"/>
              <w:right w:val="single" w:sz="4" w:space="0" w:color="auto"/>
            </w:tcBorders>
            <w:shd w:val="clear" w:color="auto" w:fill="auto"/>
            <w:vAlign w:val="center"/>
            <w:hideMark/>
          </w:tcPr>
          <w:p w14:paraId="0233BA21" w14:textId="77777777" w:rsidR="002672BC" w:rsidRPr="002672BC" w:rsidRDefault="002672BC" w:rsidP="002672BC">
            <w:pPr>
              <w:spacing w:after="0"/>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Family</w:t>
            </w:r>
          </w:p>
        </w:tc>
        <w:tc>
          <w:tcPr>
            <w:tcW w:w="3268" w:type="dxa"/>
            <w:tcBorders>
              <w:top w:val="nil"/>
              <w:left w:val="nil"/>
              <w:bottom w:val="single" w:sz="4" w:space="0" w:color="auto"/>
              <w:right w:val="single" w:sz="4" w:space="0" w:color="auto"/>
            </w:tcBorders>
            <w:shd w:val="clear" w:color="auto" w:fill="auto"/>
            <w:vAlign w:val="center"/>
            <w:hideMark/>
          </w:tcPr>
          <w:p w14:paraId="157831FF" w14:textId="77777777"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Other Family</w:t>
            </w:r>
          </w:p>
        </w:tc>
        <w:tc>
          <w:tcPr>
            <w:tcW w:w="3377" w:type="dxa"/>
            <w:tcBorders>
              <w:top w:val="nil"/>
              <w:left w:val="nil"/>
              <w:bottom w:val="single" w:sz="4" w:space="0" w:color="auto"/>
              <w:right w:val="single" w:sz="4" w:space="0" w:color="auto"/>
            </w:tcBorders>
            <w:shd w:val="clear" w:color="auto" w:fill="auto"/>
            <w:vAlign w:val="center"/>
            <w:hideMark/>
          </w:tcPr>
          <w:p w14:paraId="3F22CB59" w14:textId="7860BECF" w:rsidR="002672BC" w:rsidRPr="002672BC" w:rsidRDefault="00946E36"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101,</w:t>
            </w:r>
            <w:r>
              <w:rPr>
                <w:rFonts w:ascii="Arial" w:eastAsia="Times New Roman" w:hAnsi="Arial" w:cs="Arial"/>
                <w:sz w:val="16"/>
                <w:szCs w:val="16"/>
                <w:lang w:eastAsia="en-AU"/>
              </w:rPr>
              <w:t xml:space="preserve"> </w:t>
            </w:r>
            <w:r w:rsidRPr="002672BC">
              <w:rPr>
                <w:rFonts w:ascii="Arial" w:eastAsia="Times New Roman" w:hAnsi="Arial" w:cs="Arial"/>
                <w:sz w:val="16"/>
                <w:szCs w:val="16"/>
                <w:lang w:eastAsia="en-AU"/>
              </w:rPr>
              <w:t xml:space="preserve">102, </w:t>
            </w:r>
            <w:r w:rsidR="002672BC" w:rsidRPr="002672BC">
              <w:rPr>
                <w:rFonts w:ascii="Arial" w:eastAsia="Times New Roman" w:hAnsi="Arial" w:cs="Arial"/>
                <w:sz w:val="16"/>
                <w:szCs w:val="16"/>
                <w:lang w:eastAsia="en-AU"/>
              </w:rPr>
              <w:t xml:space="preserve">114, 115, 116, 117, </w:t>
            </w:r>
            <w:r>
              <w:rPr>
                <w:rFonts w:ascii="Arial" w:eastAsia="Times New Roman" w:hAnsi="Arial" w:cs="Arial"/>
                <w:sz w:val="16"/>
                <w:szCs w:val="16"/>
                <w:lang w:eastAsia="en-AU"/>
              </w:rPr>
              <w:t xml:space="preserve">445, 802, </w:t>
            </w:r>
            <w:r w:rsidR="002672BC" w:rsidRPr="002672BC">
              <w:rPr>
                <w:rFonts w:ascii="Arial" w:eastAsia="Times New Roman" w:hAnsi="Arial" w:cs="Arial"/>
                <w:sz w:val="16"/>
                <w:szCs w:val="16"/>
                <w:lang w:eastAsia="en-AU"/>
              </w:rPr>
              <w:t>835, 836, 837, 838</w:t>
            </w:r>
          </w:p>
        </w:tc>
      </w:tr>
      <w:tr w:rsidR="002672BC" w:rsidRPr="002672BC" w14:paraId="706B9DDF" w14:textId="77777777" w:rsidTr="00F53282">
        <w:trPr>
          <w:trHeight w:val="397"/>
        </w:trPr>
        <w:tc>
          <w:tcPr>
            <w:tcW w:w="2397" w:type="dxa"/>
            <w:tcBorders>
              <w:top w:val="nil"/>
              <w:left w:val="single" w:sz="4" w:space="0" w:color="auto"/>
              <w:bottom w:val="single" w:sz="4" w:space="0" w:color="auto"/>
              <w:right w:val="single" w:sz="4" w:space="0" w:color="auto"/>
            </w:tcBorders>
            <w:shd w:val="clear" w:color="auto" w:fill="auto"/>
            <w:vAlign w:val="center"/>
            <w:hideMark/>
          </w:tcPr>
          <w:p w14:paraId="0A9FE26C" w14:textId="77777777" w:rsidR="002672BC" w:rsidRPr="002672BC" w:rsidRDefault="002672BC" w:rsidP="002672BC">
            <w:pPr>
              <w:spacing w:after="0"/>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Family</w:t>
            </w:r>
          </w:p>
        </w:tc>
        <w:tc>
          <w:tcPr>
            <w:tcW w:w="3268" w:type="dxa"/>
            <w:tcBorders>
              <w:top w:val="nil"/>
              <w:left w:val="nil"/>
              <w:bottom w:val="single" w:sz="4" w:space="0" w:color="auto"/>
              <w:right w:val="single" w:sz="4" w:space="0" w:color="auto"/>
            </w:tcBorders>
            <w:shd w:val="clear" w:color="auto" w:fill="auto"/>
            <w:vAlign w:val="center"/>
            <w:hideMark/>
          </w:tcPr>
          <w:p w14:paraId="32BE0A59" w14:textId="77777777"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Partner</w:t>
            </w:r>
          </w:p>
        </w:tc>
        <w:tc>
          <w:tcPr>
            <w:tcW w:w="3377" w:type="dxa"/>
            <w:tcBorders>
              <w:top w:val="nil"/>
              <w:left w:val="nil"/>
              <w:bottom w:val="single" w:sz="4" w:space="0" w:color="auto"/>
              <w:right w:val="single" w:sz="4" w:space="0" w:color="auto"/>
            </w:tcBorders>
            <w:shd w:val="clear" w:color="auto" w:fill="auto"/>
            <w:vAlign w:val="center"/>
            <w:hideMark/>
          </w:tcPr>
          <w:p w14:paraId="3F9FCC41" w14:textId="758E617D"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100, 300, 309, 801, 820</w:t>
            </w:r>
          </w:p>
        </w:tc>
      </w:tr>
      <w:tr w:rsidR="002672BC" w:rsidRPr="002672BC" w14:paraId="2D92E5C9" w14:textId="77777777" w:rsidTr="00F53282">
        <w:trPr>
          <w:trHeight w:val="397"/>
        </w:trPr>
        <w:tc>
          <w:tcPr>
            <w:tcW w:w="2397" w:type="dxa"/>
            <w:tcBorders>
              <w:top w:val="nil"/>
              <w:left w:val="single" w:sz="4" w:space="0" w:color="auto"/>
              <w:bottom w:val="single" w:sz="4" w:space="0" w:color="auto"/>
              <w:right w:val="single" w:sz="4" w:space="0" w:color="auto"/>
            </w:tcBorders>
            <w:shd w:val="clear" w:color="auto" w:fill="auto"/>
            <w:vAlign w:val="center"/>
            <w:hideMark/>
          </w:tcPr>
          <w:p w14:paraId="6B94600E" w14:textId="77777777" w:rsidR="002672BC" w:rsidRPr="002672BC" w:rsidRDefault="002672BC" w:rsidP="002672BC">
            <w:pPr>
              <w:spacing w:after="0"/>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Family</w:t>
            </w:r>
          </w:p>
        </w:tc>
        <w:tc>
          <w:tcPr>
            <w:tcW w:w="3268" w:type="dxa"/>
            <w:tcBorders>
              <w:top w:val="nil"/>
              <w:left w:val="nil"/>
              <w:bottom w:val="single" w:sz="4" w:space="0" w:color="auto"/>
              <w:right w:val="single" w:sz="4" w:space="0" w:color="auto"/>
            </w:tcBorders>
            <w:shd w:val="clear" w:color="auto" w:fill="auto"/>
            <w:vAlign w:val="center"/>
            <w:hideMark/>
          </w:tcPr>
          <w:p w14:paraId="3635F697" w14:textId="77777777"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Parent</w:t>
            </w:r>
          </w:p>
        </w:tc>
        <w:tc>
          <w:tcPr>
            <w:tcW w:w="3377" w:type="dxa"/>
            <w:tcBorders>
              <w:top w:val="nil"/>
              <w:left w:val="nil"/>
              <w:bottom w:val="single" w:sz="4" w:space="0" w:color="auto"/>
              <w:right w:val="single" w:sz="4" w:space="0" w:color="auto"/>
            </w:tcBorders>
            <w:shd w:val="clear" w:color="auto" w:fill="auto"/>
            <w:vAlign w:val="center"/>
            <w:hideMark/>
          </w:tcPr>
          <w:p w14:paraId="4F41E249" w14:textId="77777777"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103, 143, 173, 804, 864, 884</w:t>
            </w:r>
          </w:p>
        </w:tc>
      </w:tr>
      <w:tr w:rsidR="002672BC" w:rsidRPr="002672BC" w14:paraId="4691BDE5" w14:textId="77777777" w:rsidTr="00F53282">
        <w:trPr>
          <w:trHeight w:val="397"/>
        </w:trPr>
        <w:tc>
          <w:tcPr>
            <w:tcW w:w="2397" w:type="dxa"/>
            <w:tcBorders>
              <w:top w:val="nil"/>
              <w:left w:val="single" w:sz="4" w:space="0" w:color="auto"/>
              <w:bottom w:val="single" w:sz="4" w:space="0" w:color="auto"/>
              <w:right w:val="single" w:sz="4" w:space="0" w:color="auto"/>
            </w:tcBorders>
            <w:shd w:val="clear" w:color="auto" w:fill="auto"/>
            <w:vAlign w:val="center"/>
            <w:hideMark/>
          </w:tcPr>
          <w:p w14:paraId="77860CA2" w14:textId="77777777" w:rsidR="002672BC" w:rsidRPr="002672BC" w:rsidRDefault="002672BC" w:rsidP="002672BC">
            <w:pPr>
              <w:spacing w:after="0"/>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Humanitarian</w:t>
            </w:r>
          </w:p>
        </w:tc>
        <w:tc>
          <w:tcPr>
            <w:tcW w:w="3268" w:type="dxa"/>
            <w:tcBorders>
              <w:top w:val="nil"/>
              <w:left w:val="nil"/>
              <w:bottom w:val="single" w:sz="4" w:space="0" w:color="auto"/>
              <w:right w:val="single" w:sz="4" w:space="0" w:color="auto"/>
            </w:tcBorders>
            <w:shd w:val="clear" w:color="auto" w:fill="auto"/>
            <w:vAlign w:val="center"/>
            <w:hideMark/>
          </w:tcPr>
          <w:p w14:paraId="6C9FA107" w14:textId="77777777"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Humanitarian</w:t>
            </w:r>
          </w:p>
        </w:tc>
        <w:tc>
          <w:tcPr>
            <w:tcW w:w="3377" w:type="dxa"/>
            <w:tcBorders>
              <w:top w:val="nil"/>
              <w:left w:val="nil"/>
              <w:bottom w:val="single" w:sz="4" w:space="0" w:color="auto"/>
              <w:right w:val="single" w:sz="4" w:space="0" w:color="auto"/>
            </w:tcBorders>
            <w:shd w:val="clear" w:color="auto" w:fill="auto"/>
            <w:vAlign w:val="center"/>
            <w:hideMark/>
          </w:tcPr>
          <w:p w14:paraId="42F18540" w14:textId="77777777"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200, 201, 202, 203, 204, 866</w:t>
            </w:r>
          </w:p>
        </w:tc>
      </w:tr>
      <w:tr w:rsidR="002672BC" w:rsidRPr="002672BC" w14:paraId="659BE7CF" w14:textId="77777777" w:rsidTr="00F53282">
        <w:trPr>
          <w:trHeight w:val="397"/>
        </w:trPr>
        <w:tc>
          <w:tcPr>
            <w:tcW w:w="2397" w:type="dxa"/>
            <w:tcBorders>
              <w:top w:val="nil"/>
              <w:left w:val="single" w:sz="4" w:space="0" w:color="auto"/>
              <w:bottom w:val="single" w:sz="4" w:space="0" w:color="auto"/>
              <w:right w:val="single" w:sz="4" w:space="0" w:color="auto"/>
            </w:tcBorders>
            <w:shd w:val="clear" w:color="auto" w:fill="auto"/>
            <w:vAlign w:val="center"/>
            <w:hideMark/>
          </w:tcPr>
          <w:p w14:paraId="602EC545" w14:textId="77777777" w:rsidR="002672BC" w:rsidRPr="002672BC" w:rsidRDefault="002672BC" w:rsidP="002672BC">
            <w:pPr>
              <w:spacing w:after="0"/>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Other</w:t>
            </w:r>
          </w:p>
        </w:tc>
        <w:tc>
          <w:tcPr>
            <w:tcW w:w="3268" w:type="dxa"/>
            <w:tcBorders>
              <w:top w:val="nil"/>
              <w:left w:val="nil"/>
              <w:bottom w:val="single" w:sz="4" w:space="0" w:color="auto"/>
              <w:right w:val="single" w:sz="4" w:space="0" w:color="auto"/>
            </w:tcBorders>
            <w:shd w:val="clear" w:color="auto" w:fill="auto"/>
            <w:vAlign w:val="center"/>
            <w:hideMark/>
          </w:tcPr>
          <w:p w14:paraId="7D52C20D" w14:textId="77777777"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Other</w:t>
            </w:r>
          </w:p>
        </w:tc>
        <w:tc>
          <w:tcPr>
            <w:tcW w:w="3377" w:type="dxa"/>
            <w:tcBorders>
              <w:top w:val="nil"/>
              <w:left w:val="nil"/>
              <w:bottom w:val="single" w:sz="4" w:space="0" w:color="auto"/>
              <w:right w:val="single" w:sz="4" w:space="0" w:color="auto"/>
            </w:tcBorders>
            <w:shd w:val="clear" w:color="auto" w:fill="auto"/>
            <w:vAlign w:val="center"/>
            <w:hideMark/>
          </w:tcPr>
          <w:p w14:paraId="6AEB72B1" w14:textId="77777777" w:rsidR="002672BC" w:rsidRPr="002672BC" w:rsidRDefault="002672BC" w:rsidP="002672BC">
            <w:pPr>
              <w:spacing w:after="0"/>
              <w:rPr>
                <w:rFonts w:ascii="Arial" w:eastAsia="Times New Roman" w:hAnsi="Arial" w:cs="Arial"/>
                <w:sz w:val="16"/>
                <w:szCs w:val="16"/>
                <w:lang w:eastAsia="en-AU"/>
              </w:rPr>
            </w:pPr>
            <w:r w:rsidRPr="002672BC">
              <w:rPr>
                <w:rFonts w:ascii="Arial" w:eastAsia="Times New Roman" w:hAnsi="Arial" w:cs="Arial"/>
                <w:sz w:val="16"/>
                <w:szCs w:val="16"/>
                <w:lang w:eastAsia="en-AU"/>
              </w:rPr>
              <w:t>151, 808, 834</w:t>
            </w:r>
          </w:p>
        </w:tc>
      </w:tr>
    </w:tbl>
    <w:p w14:paraId="69618EAF" w14:textId="56C6DD15" w:rsidR="00592047" w:rsidRPr="00500D1C" w:rsidRDefault="00883149" w:rsidP="00CF0DBF">
      <w:pPr>
        <w:spacing w:after="0"/>
        <w:rPr>
          <w:sz w:val="18"/>
          <w:szCs w:val="18"/>
          <w:lang w:val="en-US" w:eastAsia="en-AU"/>
        </w:rPr>
      </w:pPr>
      <w:r w:rsidRPr="00500D1C">
        <w:rPr>
          <w:sz w:val="18"/>
          <w:szCs w:val="18"/>
          <w:lang w:val="en-US" w:eastAsia="en-AU"/>
        </w:rPr>
        <w:t>Child visa</w:t>
      </w:r>
      <w:r w:rsidR="00D41E30" w:rsidRPr="00500D1C">
        <w:rPr>
          <w:sz w:val="18"/>
          <w:szCs w:val="18"/>
          <w:lang w:val="en-US" w:eastAsia="en-AU"/>
        </w:rPr>
        <w:t xml:space="preserve"> holders</w:t>
      </w:r>
      <w:r w:rsidRPr="00500D1C">
        <w:rPr>
          <w:sz w:val="18"/>
          <w:szCs w:val="18"/>
          <w:lang w:val="en-US" w:eastAsia="en-AU"/>
        </w:rPr>
        <w:t xml:space="preserve"> are included in</w:t>
      </w:r>
      <w:r w:rsidR="00E26B86" w:rsidRPr="00500D1C">
        <w:rPr>
          <w:sz w:val="18"/>
          <w:szCs w:val="18"/>
          <w:lang w:val="en-US" w:eastAsia="en-AU"/>
        </w:rPr>
        <w:t xml:space="preserve"> the </w:t>
      </w:r>
      <w:r w:rsidR="00FD004F">
        <w:rPr>
          <w:sz w:val="18"/>
          <w:szCs w:val="18"/>
          <w:lang w:val="en-US" w:eastAsia="en-AU"/>
        </w:rPr>
        <w:t>O</w:t>
      </w:r>
      <w:r w:rsidR="00E26B86" w:rsidRPr="00500D1C">
        <w:rPr>
          <w:sz w:val="18"/>
          <w:szCs w:val="18"/>
          <w:lang w:val="en-US" w:eastAsia="en-AU"/>
        </w:rPr>
        <w:t xml:space="preserve">ther </w:t>
      </w:r>
      <w:r w:rsidR="00FD004F">
        <w:rPr>
          <w:sz w:val="18"/>
          <w:szCs w:val="18"/>
          <w:lang w:val="en-US" w:eastAsia="en-AU"/>
        </w:rPr>
        <w:t>F</w:t>
      </w:r>
      <w:r w:rsidR="00E26B86" w:rsidRPr="00500D1C">
        <w:rPr>
          <w:sz w:val="18"/>
          <w:szCs w:val="18"/>
          <w:lang w:val="en-US" w:eastAsia="en-AU"/>
        </w:rPr>
        <w:t xml:space="preserve">amily </w:t>
      </w:r>
      <w:r w:rsidR="00F07C28" w:rsidRPr="00500D1C">
        <w:rPr>
          <w:sz w:val="18"/>
          <w:szCs w:val="18"/>
          <w:lang w:val="en-US" w:eastAsia="en-AU"/>
        </w:rPr>
        <w:t>visa category</w:t>
      </w:r>
      <w:r w:rsidR="00EF486D" w:rsidRPr="00500D1C">
        <w:rPr>
          <w:sz w:val="18"/>
          <w:szCs w:val="18"/>
          <w:lang w:val="en-US" w:eastAsia="en-AU"/>
        </w:rPr>
        <w:t>.</w:t>
      </w:r>
      <w:r w:rsidR="00A7731A">
        <w:rPr>
          <w:sz w:val="18"/>
          <w:szCs w:val="18"/>
          <w:lang w:val="en-US" w:eastAsia="en-AU"/>
        </w:rPr>
        <w:t xml:space="preserve"> </w:t>
      </w:r>
      <w:r w:rsidR="00A7731A" w:rsidRPr="00A7731A">
        <w:rPr>
          <w:sz w:val="18"/>
          <w:szCs w:val="18"/>
          <w:lang w:val="en-US" w:eastAsia="en-AU"/>
        </w:rPr>
        <w:t>FIONA includes ‘two-stage’ visas (such as the 801/820 Partner visa), which provide a permanent residence pathway for visa holders from a provisional or ‘first stage’ visa to a permanent or ‘second stage’ visa. To avoid double counting, the visa holder is counted to the Migration Program at grant of the provisional or ‘first stage’ visa only. This is consistent with the approach taken in annual Migration Program Report released by the Department of Home Affairs.</w:t>
      </w:r>
    </w:p>
    <w:p w14:paraId="1C67D595" w14:textId="77777777" w:rsidR="00CF0DBF" w:rsidRPr="00796389" w:rsidRDefault="00CF0DBF" w:rsidP="00CF0DBF">
      <w:pPr>
        <w:spacing w:after="0"/>
        <w:rPr>
          <w:sz w:val="20"/>
          <w:szCs w:val="20"/>
          <w:lang w:val="en-US" w:eastAsia="en-AU"/>
        </w:rPr>
      </w:pPr>
    </w:p>
    <w:p w14:paraId="35620190" w14:textId="77777777" w:rsidR="006420AE" w:rsidRPr="00D068F8" w:rsidRDefault="006420AE" w:rsidP="008027CA">
      <w:pPr>
        <w:pStyle w:val="Heading4"/>
        <w:rPr>
          <w:b w:val="0"/>
          <w:color w:val="003157"/>
        </w:rPr>
      </w:pPr>
      <w:r w:rsidRPr="00D068F8">
        <w:rPr>
          <w:color w:val="003157"/>
        </w:rPr>
        <w:t>Migrant arrival rate</w:t>
      </w:r>
    </w:p>
    <w:p w14:paraId="0BE2CB3B" w14:textId="52C5B91D" w:rsidR="006420AE" w:rsidRDefault="006420AE" w:rsidP="007F0F36">
      <w:r>
        <w:t>Some proportion of those granted a permanent visa never arrive in Australia.</w:t>
      </w:r>
      <w:r w:rsidRPr="00485163">
        <w:t xml:space="preserve"> </w:t>
      </w:r>
      <w:r w:rsidR="009E4BE1">
        <w:t xml:space="preserve">Using </w:t>
      </w:r>
      <w:r>
        <w:t xml:space="preserve">historical visa data from MADIP </w:t>
      </w:r>
      <w:r w:rsidR="009E4BE1">
        <w:t>it is</w:t>
      </w:r>
      <w:r>
        <w:t xml:space="preserve"> estimate</w:t>
      </w:r>
      <w:r w:rsidR="009E4BE1">
        <w:t>d</w:t>
      </w:r>
      <w:r>
        <w:t xml:space="preserve"> that </w:t>
      </w:r>
      <w:r w:rsidR="00EA034F">
        <w:t>6</w:t>
      </w:r>
      <w:r w:rsidR="00690E1C">
        <w:t xml:space="preserve"> per cent</w:t>
      </w:r>
      <w:r>
        <w:t xml:space="preserve"> of all applicants granted a</w:t>
      </w:r>
      <w:r w:rsidR="00EA034F">
        <w:t xml:space="preserve"> visa </w:t>
      </w:r>
      <w:r w:rsidR="009E4BE1">
        <w:t>ne</w:t>
      </w:r>
      <w:r w:rsidR="00EA034F">
        <w:t>ver</w:t>
      </w:r>
      <w:r>
        <w:t xml:space="preserve"> arrive in Australia</w:t>
      </w:r>
      <w:r w:rsidR="009E4BE1">
        <w:t xml:space="preserve">, with </w:t>
      </w:r>
      <w:r>
        <w:t xml:space="preserve">variation across visa </w:t>
      </w:r>
      <w:r w:rsidR="00427462">
        <w:t>categories</w:t>
      </w:r>
      <w:r w:rsidR="009E4BE1">
        <w:t xml:space="preserve">. </w:t>
      </w:r>
      <w:r>
        <w:t>Humanitarian (</w:t>
      </w:r>
      <w:r w:rsidR="00FC5698">
        <w:t>99</w:t>
      </w:r>
      <w:r w:rsidR="00690E1C">
        <w:t xml:space="preserve"> per cent</w:t>
      </w:r>
      <w:r w:rsidR="00330E75">
        <w:t xml:space="preserve"> arrival</w:t>
      </w:r>
      <w:r>
        <w:t>) and Employer Sponsored visa holder</w:t>
      </w:r>
      <w:r w:rsidR="00690E1C">
        <w:t>s</w:t>
      </w:r>
      <w:r>
        <w:t xml:space="preserve"> (</w:t>
      </w:r>
      <w:r w:rsidR="00FC5698">
        <w:t>97 </w:t>
      </w:r>
      <w:r w:rsidR="00690E1C">
        <w:t>per</w:t>
      </w:r>
      <w:r w:rsidR="00FC5698">
        <w:t> </w:t>
      </w:r>
      <w:r w:rsidR="00690E1C">
        <w:t>cent</w:t>
      </w:r>
      <w:r w:rsidR="00330E75">
        <w:t xml:space="preserve"> arrival</w:t>
      </w:r>
      <w:r>
        <w:t xml:space="preserve">) </w:t>
      </w:r>
      <w:r w:rsidR="00690E1C">
        <w:t xml:space="preserve">are </w:t>
      </w:r>
      <w:r>
        <w:t>the most likely to permanently settle in Australia, and Business Innovation and Investment Program (BIIP) visa holders the least likely to permanently settle in Australia (</w:t>
      </w:r>
      <w:r w:rsidR="00FC5698">
        <w:t>77 </w:t>
      </w:r>
      <w:r w:rsidR="00690E1C">
        <w:t>per cent</w:t>
      </w:r>
      <w:r w:rsidR="00330E75">
        <w:t xml:space="preserve"> arrival</w:t>
      </w:r>
      <w:r>
        <w:t>).</w:t>
      </w:r>
      <w:r>
        <w:rPr>
          <w:rStyle w:val="FootnoteReference"/>
        </w:rPr>
        <w:footnoteReference w:id="36"/>
      </w:r>
    </w:p>
    <w:p w14:paraId="169B48B7" w14:textId="0E6A0393" w:rsidR="006420AE" w:rsidRDefault="006420AE" w:rsidP="007F0F36">
      <w:r>
        <w:t xml:space="preserve">Conditional on arriving in Australia, FIONA assumes that all migrants arrive on the same day </w:t>
      </w:r>
      <w:r>
        <w:rPr>
          <w:lang w:val="en-US" w:eastAsia="en-AU"/>
        </w:rPr>
        <w:t xml:space="preserve">(1 July 2018). In practice, there is significant variation in the time to arrival between migrants, with some arriving several years after being granted a permanent visa, and others arriving several years before on a </w:t>
      </w:r>
      <w:r w:rsidR="00427462">
        <w:rPr>
          <w:lang w:val="en-US" w:eastAsia="en-AU"/>
        </w:rPr>
        <w:t xml:space="preserve">temporary </w:t>
      </w:r>
      <w:r>
        <w:rPr>
          <w:lang w:val="en-US" w:eastAsia="en-AU"/>
        </w:rPr>
        <w:t xml:space="preserve">visa (Chart </w:t>
      </w:r>
      <w:r w:rsidR="00550D86">
        <w:rPr>
          <w:lang w:val="en-US" w:eastAsia="en-AU"/>
        </w:rPr>
        <w:t>A1</w:t>
      </w:r>
      <w:r>
        <w:rPr>
          <w:lang w:val="en-US" w:eastAsia="en-AU"/>
        </w:rPr>
        <w:t>).</w:t>
      </w:r>
    </w:p>
    <w:p w14:paraId="76BAE4C7" w14:textId="7D2C8808" w:rsidR="00FA7FDE" w:rsidRDefault="00FA7FDE" w:rsidP="0023028F">
      <w:pPr>
        <w:pStyle w:val="ChartMainHeading"/>
      </w:pPr>
      <w:r w:rsidRPr="00F70234">
        <w:t xml:space="preserve">Chart </w:t>
      </w:r>
      <w:r w:rsidR="00C30764">
        <w:t>A1</w:t>
      </w:r>
      <w:r w:rsidR="000D234B" w:rsidRPr="00F70234">
        <w:t>:</w:t>
      </w:r>
      <w:r w:rsidR="003071B8" w:rsidRPr="00F70234">
        <w:t xml:space="preserve"> Estimated</w:t>
      </w:r>
      <w:r w:rsidRPr="00F70234">
        <w:t xml:space="preserve"> </w:t>
      </w:r>
      <w:r w:rsidR="003071B8" w:rsidRPr="00F70234">
        <w:t>p</w:t>
      </w:r>
      <w:r w:rsidRPr="00F70234">
        <w:t>roportion of those granted</w:t>
      </w:r>
      <w:r w:rsidR="008A3A3E" w:rsidRPr="00F70234">
        <w:t xml:space="preserve"> a</w:t>
      </w:r>
      <w:r w:rsidRPr="00F70234">
        <w:t xml:space="preserve"> permanent visa</w:t>
      </w:r>
      <w:r w:rsidR="008A3A3E" w:rsidRPr="00F70234">
        <w:t xml:space="preserve"> holder</w:t>
      </w:r>
      <w:r w:rsidRPr="00F70234">
        <w:t xml:space="preserve"> in Australia in the years before and after being granted a visa</w:t>
      </w:r>
    </w:p>
    <w:p w14:paraId="306B87A1" w14:textId="3757B67A" w:rsidR="00735759" w:rsidRDefault="00E33FAA" w:rsidP="00500D1C">
      <w:pPr>
        <w:spacing w:after="0"/>
        <w:rPr>
          <w:rFonts w:ascii="Arial" w:hAnsi="Arial"/>
          <w:color w:val="002C47" w:themeColor="accent1"/>
          <w:sz w:val="24"/>
        </w:rPr>
      </w:pPr>
      <w:r>
        <w:rPr>
          <w:rFonts w:ascii="Arial" w:hAnsi="Arial"/>
          <w:noProof/>
          <w:color w:val="002C47" w:themeColor="accent1"/>
          <w:sz w:val="24"/>
        </w:rPr>
        <w:drawing>
          <wp:inline distT="0" distB="0" distL="0" distR="0" wp14:anchorId="4F24B9D0" wp14:editId="5BC4F2CA">
            <wp:extent cx="5904230" cy="2256790"/>
            <wp:effectExtent l="0" t="0" r="1270" b="0"/>
            <wp:docPr id="39" name="Picture 39" descr="This chart shows that the majority of migrants arrive in Australia before they are granted a permanent v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chart shows that the majority of migrants arrive in Australia before they are granted a permanent vis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4230" cy="2256790"/>
                    </a:xfrm>
                    <a:prstGeom prst="rect">
                      <a:avLst/>
                    </a:prstGeom>
                    <a:noFill/>
                    <a:ln>
                      <a:noFill/>
                    </a:ln>
                  </pic:spPr>
                </pic:pic>
              </a:graphicData>
            </a:graphic>
          </wp:inline>
        </w:drawing>
      </w:r>
    </w:p>
    <w:p w14:paraId="52597332" w14:textId="1A294384" w:rsidR="00024770" w:rsidRPr="00FD004F" w:rsidRDefault="00F07C28" w:rsidP="00FD004F">
      <w:pPr>
        <w:rPr>
          <w:rFonts w:ascii="Arial" w:hAnsi="Arial"/>
          <w:color w:val="002C47" w:themeColor="accent1"/>
          <w:szCs w:val="20"/>
        </w:rPr>
      </w:pPr>
      <w:r w:rsidRPr="00500D1C">
        <w:rPr>
          <w:sz w:val="18"/>
          <w:szCs w:val="18"/>
          <w:lang w:val="en-US" w:eastAsia="en-AU"/>
        </w:rPr>
        <w:t>Skilled – Other includes both BIIP and Distinguished talent</w:t>
      </w:r>
      <w:r w:rsidR="00202786" w:rsidRPr="00500D1C">
        <w:rPr>
          <w:sz w:val="18"/>
          <w:szCs w:val="18"/>
          <w:lang w:val="en-US" w:eastAsia="en-AU"/>
        </w:rPr>
        <w:t xml:space="preserve"> visa holders</w:t>
      </w:r>
      <w:r w:rsidRPr="00500D1C">
        <w:rPr>
          <w:sz w:val="18"/>
          <w:szCs w:val="18"/>
          <w:lang w:val="en-US" w:eastAsia="en-AU"/>
        </w:rPr>
        <w:t>.</w:t>
      </w:r>
      <w:r w:rsidR="009F2546">
        <w:rPr>
          <w:sz w:val="18"/>
          <w:szCs w:val="18"/>
          <w:lang w:val="en-US" w:eastAsia="en-AU"/>
        </w:rPr>
        <w:t xml:space="preserve"> This calculation is based on an </w:t>
      </w:r>
      <w:r w:rsidR="009F2546" w:rsidRPr="009F2546">
        <w:rPr>
          <w:sz w:val="18"/>
          <w:szCs w:val="18"/>
          <w:lang w:val="en-US" w:eastAsia="en-AU"/>
        </w:rPr>
        <w:t>average of</w:t>
      </w:r>
      <w:r w:rsidR="009F2546">
        <w:rPr>
          <w:sz w:val="18"/>
          <w:szCs w:val="18"/>
          <w:lang w:val="en-US" w:eastAsia="en-AU"/>
        </w:rPr>
        <w:t xml:space="preserve"> permanent</w:t>
      </w:r>
      <w:r w:rsidR="009F2546" w:rsidRPr="009F2546">
        <w:rPr>
          <w:sz w:val="18"/>
          <w:szCs w:val="18"/>
          <w:lang w:val="en-US" w:eastAsia="en-AU"/>
        </w:rPr>
        <w:t xml:space="preserve"> migrant cohorts from 2010-11 to 2016-17</w:t>
      </w:r>
      <w:r w:rsidR="009F2546">
        <w:rPr>
          <w:sz w:val="18"/>
          <w:szCs w:val="18"/>
          <w:lang w:val="en-US" w:eastAsia="en-AU"/>
        </w:rPr>
        <w:t>.</w:t>
      </w:r>
    </w:p>
    <w:p w14:paraId="141D0285" w14:textId="002BD6F0" w:rsidR="00B2243B" w:rsidRPr="00D068F8" w:rsidRDefault="00B2243B" w:rsidP="008027CA">
      <w:pPr>
        <w:pStyle w:val="Heading4"/>
        <w:rPr>
          <w:b w:val="0"/>
          <w:color w:val="003157"/>
        </w:rPr>
      </w:pPr>
      <w:r w:rsidRPr="00D068F8">
        <w:rPr>
          <w:color w:val="003157"/>
        </w:rPr>
        <w:t>Australian population</w:t>
      </w:r>
    </w:p>
    <w:p w14:paraId="37F6684E" w14:textId="7ABECADD" w:rsidR="00B2243B" w:rsidRDefault="007E62B6" w:rsidP="007F0F36">
      <w:r>
        <w:t xml:space="preserve">The Australian population in FIONA </w:t>
      </w:r>
      <w:r w:rsidR="00427462">
        <w:t>uses the ABS definition of the Estimated Residential Population</w:t>
      </w:r>
      <w:r w:rsidR="00D3111F">
        <w:t xml:space="preserve"> (ERP)</w:t>
      </w:r>
      <w:r w:rsidR="00427462">
        <w:t xml:space="preserve"> </w:t>
      </w:r>
      <w:r w:rsidR="0080799B">
        <w:t>on</w:t>
      </w:r>
      <w:r w:rsidR="00B2243B">
        <w:t xml:space="preserve"> </w:t>
      </w:r>
      <w:r w:rsidR="00563AEC">
        <w:t>30</w:t>
      </w:r>
      <w:r w:rsidR="00690E1C">
        <w:t xml:space="preserve"> </w:t>
      </w:r>
      <w:r w:rsidR="00F567D7">
        <w:t>June 2018</w:t>
      </w:r>
      <w:r w:rsidR="00B2243B">
        <w:t xml:space="preserve">. This population implicitly includes both permanent and temporary migrants as </w:t>
      </w:r>
      <w:r w:rsidR="00D3111F">
        <w:t>ERP includes</w:t>
      </w:r>
      <w:r w:rsidR="005809C4">
        <w:t xml:space="preserve"> all</w:t>
      </w:r>
      <w:r w:rsidR="00D3111F">
        <w:t xml:space="preserve"> individuals</w:t>
      </w:r>
      <w:r w:rsidR="005809C4">
        <w:t xml:space="preserve"> that</w:t>
      </w:r>
      <w:r w:rsidR="00D3111F">
        <w:t xml:space="preserve"> expect to be in Australia for at least 12 out of the next 16 months</w:t>
      </w:r>
      <w:r w:rsidR="00B2243B">
        <w:t>.</w:t>
      </w:r>
    </w:p>
    <w:p w14:paraId="030C56D3" w14:textId="15201E72" w:rsidR="00B2243B" w:rsidRDefault="00B2243B" w:rsidP="007F0F36">
      <w:r>
        <w:t xml:space="preserve">The share of each migrant stream and the Australian population in each Australian </w:t>
      </w:r>
      <w:r w:rsidR="00427462">
        <w:t>S</w:t>
      </w:r>
      <w:r>
        <w:t xml:space="preserve">tate and Territory is shown in Chart </w:t>
      </w:r>
      <w:r w:rsidR="00C30764">
        <w:t>A2</w:t>
      </w:r>
      <w:r>
        <w:t>.</w:t>
      </w:r>
    </w:p>
    <w:p w14:paraId="1F9F59CD" w14:textId="43BD0331" w:rsidR="00BD719F" w:rsidRDefault="00BD719F" w:rsidP="0023028F">
      <w:pPr>
        <w:pStyle w:val="ChartMainHeading"/>
      </w:pPr>
      <w:r w:rsidRPr="00F70234">
        <w:t xml:space="preserve">Chart </w:t>
      </w:r>
      <w:r w:rsidR="00C30764">
        <w:t>A2</w:t>
      </w:r>
      <w:r w:rsidRPr="00F70234">
        <w:t>:</w:t>
      </w:r>
      <w:r w:rsidR="003071B8" w:rsidRPr="00F70234">
        <w:t xml:space="preserve"> Estimated</w:t>
      </w:r>
      <w:r w:rsidRPr="00F70234">
        <w:t xml:space="preserve"> </w:t>
      </w:r>
      <w:r w:rsidR="003071B8" w:rsidRPr="00F70234">
        <w:t>p</w:t>
      </w:r>
      <w:r w:rsidRPr="00F70234">
        <w:t>roportion of</w:t>
      </w:r>
      <w:r w:rsidR="00AA0581" w:rsidRPr="00F70234">
        <w:t xml:space="preserve"> each visa stream and</w:t>
      </w:r>
      <w:r w:rsidRPr="00F70234">
        <w:t xml:space="preserve"> </w:t>
      </w:r>
      <w:r w:rsidR="00AA0581" w:rsidRPr="00F70234">
        <w:t xml:space="preserve">the </w:t>
      </w:r>
      <w:r w:rsidRPr="00F70234">
        <w:t>Australian population</w:t>
      </w:r>
      <w:r w:rsidR="00AA0581" w:rsidRPr="00F70234">
        <w:t>,</w:t>
      </w:r>
      <w:r w:rsidRPr="00F70234">
        <w:t xml:space="preserve"> by </w:t>
      </w:r>
      <w:r w:rsidR="00970F29">
        <w:t>S</w:t>
      </w:r>
      <w:r w:rsidRPr="00F70234">
        <w:t>tate</w:t>
      </w:r>
    </w:p>
    <w:p w14:paraId="73B4A3E0" w14:textId="750EAC9D" w:rsidR="00083966" w:rsidRDefault="00C84BD6" w:rsidP="00F70234">
      <w:pPr>
        <w:rPr>
          <w:rFonts w:ascii="Arial" w:hAnsi="Arial"/>
          <w:color w:val="002C47" w:themeColor="accent1"/>
          <w:sz w:val="24"/>
        </w:rPr>
      </w:pPr>
      <w:r w:rsidRPr="00C84BD6">
        <w:rPr>
          <w:rFonts w:ascii="Arial" w:hAnsi="Arial"/>
          <w:noProof/>
          <w:color w:val="002C47" w:themeColor="accent1"/>
          <w:sz w:val="24"/>
        </w:rPr>
        <w:drawing>
          <wp:inline distT="0" distB="0" distL="0" distR="0" wp14:anchorId="2FEE7BB4" wp14:editId="647D0C2B">
            <wp:extent cx="5904230" cy="2259330"/>
            <wp:effectExtent l="0" t="0" r="1270" b="7620"/>
            <wp:docPr id="8" name="Picture 8" descr="This chart shows the proportion of each visa stream in each State. Queensland has the lowest proportion of migrants compared to other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chart shows the proportion of each visa stream in each State. Queensland has the lowest proportion of migrants compared to other Stat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04230" cy="2259330"/>
                    </a:xfrm>
                    <a:prstGeom prst="rect">
                      <a:avLst/>
                    </a:prstGeom>
                    <a:noFill/>
                    <a:ln>
                      <a:noFill/>
                    </a:ln>
                  </pic:spPr>
                </pic:pic>
              </a:graphicData>
            </a:graphic>
          </wp:inline>
        </w:drawing>
      </w:r>
    </w:p>
    <w:p w14:paraId="1E80C8F0" w14:textId="77777777" w:rsidR="00B2243B" w:rsidRPr="00D068F8" w:rsidRDefault="00B2243B" w:rsidP="00A255AF">
      <w:pPr>
        <w:pStyle w:val="Heading4"/>
        <w:spacing w:after="0"/>
        <w:rPr>
          <w:b w:val="0"/>
          <w:color w:val="003157"/>
        </w:rPr>
      </w:pPr>
      <w:r w:rsidRPr="00D068F8">
        <w:rPr>
          <w:color w:val="003157"/>
        </w:rPr>
        <w:t>Mortality and emigration</w:t>
      </w:r>
    </w:p>
    <w:p w14:paraId="4DA968D7" w14:textId="3C3E8FC5" w:rsidR="00B2243B" w:rsidRDefault="00B2243B" w:rsidP="007F0F36">
      <w:r>
        <w:t>In each year there is some chance that migrants may exit the FIONA model, either due to death or permanent emigration.</w:t>
      </w:r>
      <w:r w:rsidRPr="00A248D8">
        <w:rPr>
          <w:rFonts w:cs="Calibri"/>
        </w:rPr>
        <w:t xml:space="preserve"> </w:t>
      </w:r>
      <w:r>
        <w:t>FIONA uses life tables provided by the Australian Government Actuary, which include mortality rates that vary based on age and gender. Migrants in all visa streams are assumed to have the same mortality rates as the Australian population and are calculated on a ‘period’ basis, meaning that the</w:t>
      </w:r>
      <w:r w:rsidR="005809C4">
        <w:t xml:space="preserve"> calculation</w:t>
      </w:r>
      <w:r>
        <w:t xml:space="preserve"> do</w:t>
      </w:r>
      <w:r w:rsidR="005809C4">
        <w:t>es</w:t>
      </w:r>
      <w:r>
        <w:t xml:space="preserve"> not attempt to adjust for any future improvements in mortality rates.</w:t>
      </w:r>
      <w:r>
        <w:rPr>
          <w:rStyle w:val="FootnoteReference"/>
        </w:rPr>
        <w:footnoteReference w:id="37"/>
      </w:r>
    </w:p>
    <w:p w14:paraId="7727EF25" w14:textId="47465248" w:rsidR="00B2243B" w:rsidRDefault="00B2243B" w:rsidP="007F0F36">
      <w:r>
        <w:rPr>
          <w:rFonts w:cs="Calibri"/>
        </w:rPr>
        <w:t xml:space="preserve">The emigration rate for different migrant groups was estimated using administrative visa data (accessed through MADIP) </w:t>
      </w:r>
      <w:r>
        <w:t>and is based on the average rate of emigration observed after migrants had been in Australia for five years (within the initial five years, there is significant movement while migrants settle). The emigration rates used in FIONA are provide</w:t>
      </w:r>
      <w:r w:rsidR="00423880">
        <w:t>d</w:t>
      </w:r>
      <w:r>
        <w:t xml:space="preserve"> in Table </w:t>
      </w:r>
      <w:r w:rsidR="00C30764">
        <w:t>A2</w:t>
      </w:r>
      <w:r>
        <w:t>.</w:t>
      </w:r>
    </w:p>
    <w:p w14:paraId="520E65FC" w14:textId="4F077D34" w:rsidR="00B2243B" w:rsidRDefault="00B2243B" w:rsidP="0023028F">
      <w:pPr>
        <w:pStyle w:val="TableHeading1"/>
      </w:pPr>
      <w:r w:rsidRPr="00F70234">
        <w:t xml:space="preserve">Table </w:t>
      </w:r>
      <w:r w:rsidR="00C30764">
        <w:t>A2</w:t>
      </w:r>
      <w:r w:rsidRPr="00F70234">
        <w:t>:</w:t>
      </w:r>
      <w:r w:rsidR="003071B8" w:rsidRPr="00F70234">
        <w:t xml:space="preserve"> Estimated</w:t>
      </w:r>
      <w:r w:rsidRPr="00F70234">
        <w:t xml:space="preserve"> </w:t>
      </w:r>
      <w:r w:rsidR="003071B8" w:rsidRPr="00F70234">
        <w:t>e</w:t>
      </w:r>
      <w:r w:rsidRPr="00F70234">
        <w:t>migration rates by Visa category </w:t>
      </w:r>
    </w:p>
    <w:tbl>
      <w:tblPr>
        <w:tblW w:w="9266" w:type="dxa"/>
        <w:tblLook w:val="0420" w:firstRow="1" w:lastRow="0" w:firstColumn="0" w:lastColumn="0" w:noHBand="0" w:noVBand="1"/>
      </w:tblPr>
      <w:tblGrid>
        <w:gridCol w:w="2673"/>
        <w:gridCol w:w="4268"/>
        <w:gridCol w:w="2325"/>
      </w:tblGrid>
      <w:tr w:rsidR="002672BC" w:rsidRPr="002672BC" w14:paraId="1C55A276" w14:textId="77777777" w:rsidTr="00B849A7">
        <w:trPr>
          <w:trHeight w:val="372"/>
        </w:trPr>
        <w:tc>
          <w:tcPr>
            <w:tcW w:w="2673" w:type="dxa"/>
            <w:tcBorders>
              <w:top w:val="single" w:sz="4" w:space="0" w:color="auto"/>
              <w:left w:val="single" w:sz="4" w:space="0" w:color="auto"/>
              <w:bottom w:val="single" w:sz="4" w:space="0" w:color="auto"/>
              <w:right w:val="single" w:sz="4" w:space="0" w:color="auto"/>
            </w:tcBorders>
            <w:shd w:val="clear" w:color="000000" w:fill="CFDCEA"/>
            <w:vAlign w:val="center"/>
            <w:hideMark/>
          </w:tcPr>
          <w:p w14:paraId="188828F5" w14:textId="77777777" w:rsidR="002672BC" w:rsidRPr="002672BC" w:rsidRDefault="002672BC" w:rsidP="002672BC">
            <w:pPr>
              <w:spacing w:after="0"/>
              <w:jc w:val="center"/>
              <w:rPr>
                <w:rFonts w:ascii="Arial" w:eastAsia="Times New Roman" w:hAnsi="Arial" w:cs="Arial"/>
                <w:b/>
                <w:bCs/>
                <w:color w:val="000000"/>
                <w:sz w:val="16"/>
                <w:szCs w:val="16"/>
                <w:lang w:eastAsia="en-AU"/>
              </w:rPr>
            </w:pPr>
            <w:r w:rsidRPr="002672BC">
              <w:rPr>
                <w:rFonts w:ascii="Arial" w:eastAsia="Times New Roman" w:hAnsi="Arial" w:cs="Arial"/>
                <w:b/>
                <w:bCs/>
                <w:color w:val="000000"/>
                <w:sz w:val="16"/>
                <w:szCs w:val="16"/>
                <w:lang w:eastAsia="en-AU"/>
              </w:rPr>
              <w:t>Stream</w:t>
            </w:r>
          </w:p>
        </w:tc>
        <w:tc>
          <w:tcPr>
            <w:tcW w:w="4268" w:type="dxa"/>
            <w:tcBorders>
              <w:top w:val="single" w:sz="4" w:space="0" w:color="auto"/>
              <w:left w:val="nil"/>
              <w:bottom w:val="single" w:sz="4" w:space="0" w:color="auto"/>
              <w:right w:val="single" w:sz="4" w:space="0" w:color="auto"/>
            </w:tcBorders>
            <w:shd w:val="clear" w:color="000000" w:fill="CFDCEA"/>
            <w:vAlign w:val="center"/>
            <w:hideMark/>
          </w:tcPr>
          <w:p w14:paraId="3A9805A9" w14:textId="77777777" w:rsidR="002672BC" w:rsidRPr="002672BC" w:rsidRDefault="002672BC" w:rsidP="002672BC">
            <w:pPr>
              <w:spacing w:after="0"/>
              <w:jc w:val="center"/>
              <w:rPr>
                <w:rFonts w:ascii="Arial" w:eastAsia="Times New Roman" w:hAnsi="Arial" w:cs="Arial"/>
                <w:b/>
                <w:bCs/>
                <w:color w:val="000000"/>
                <w:sz w:val="16"/>
                <w:szCs w:val="16"/>
                <w:lang w:eastAsia="en-AU"/>
              </w:rPr>
            </w:pPr>
            <w:r w:rsidRPr="002672BC">
              <w:rPr>
                <w:rFonts w:ascii="Arial" w:eastAsia="Times New Roman" w:hAnsi="Arial" w:cs="Arial"/>
                <w:b/>
                <w:bCs/>
                <w:color w:val="000000"/>
                <w:sz w:val="16"/>
                <w:szCs w:val="16"/>
                <w:lang w:eastAsia="en-AU"/>
              </w:rPr>
              <w:t>Visa category</w:t>
            </w:r>
          </w:p>
        </w:tc>
        <w:tc>
          <w:tcPr>
            <w:tcW w:w="2325" w:type="dxa"/>
            <w:tcBorders>
              <w:top w:val="single" w:sz="4" w:space="0" w:color="auto"/>
              <w:left w:val="nil"/>
              <w:bottom w:val="single" w:sz="4" w:space="0" w:color="auto"/>
              <w:right w:val="single" w:sz="4" w:space="0" w:color="auto"/>
            </w:tcBorders>
            <w:shd w:val="clear" w:color="000000" w:fill="CFDCEA"/>
            <w:vAlign w:val="center"/>
            <w:hideMark/>
          </w:tcPr>
          <w:p w14:paraId="751E093F" w14:textId="77777777" w:rsidR="002672BC" w:rsidRPr="002672BC" w:rsidRDefault="002672BC" w:rsidP="002672BC">
            <w:pPr>
              <w:spacing w:after="0"/>
              <w:jc w:val="center"/>
              <w:rPr>
                <w:rFonts w:ascii="Arial" w:eastAsia="Times New Roman" w:hAnsi="Arial" w:cs="Arial"/>
                <w:b/>
                <w:bCs/>
                <w:color w:val="000000"/>
                <w:sz w:val="16"/>
                <w:szCs w:val="16"/>
                <w:lang w:eastAsia="en-AU"/>
              </w:rPr>
            </w:pPr>
            <w:r w:rsidRPr="002672BC">
              <w:rPr>
                <w:rFonts w:ascii="Arial" w:eastAsia="Times New Roman" w:hAnsi="Arial" w:cs="Arial"/>
                <w:b/>
                <w:bCs/>
                <w:color w:val="000000"/>
                <w:sz w:val="16"/>
                <w:szCs w:val="16"/>
                <w:lang w:eastAsia="en-AU"/>
              </w:rPr>
              <w:t>Annual emigration rate (%)</w:t>
            </w:r>
          </w:p>
        </w:tc>
      </w:tr>
      <w:tr w:rsidR="002672BC" w:rsidRPr="002672BC" w14:paraId="6FA11E00" w14:textId="77777777" w:rsidTr="00B849A7">
        <w:trPr>
          <w:trHeight w:val="284"/>
        </w:trPr>
        <w:tc>
          <w:tcPr>
            <w:tcW w:w="2673" w:type="dxa"/>
            <w:tcBorders>
              <w:top w:val="nil"/>
              <w:left w:val="single" w:sz="4" w:space="0" w:color="auto"/>
              <w:bottom w:val="single" w:sz="4" w:space="0" w:color="auto"/>
              <w:right w:val="single" w:sz="4" w:space="0" w:color="auto"/>
            </w:tcBorders>
            <w:shd w:val="clear" w:color="auto" w:fill="auto"/>
            <w:vAlign w:val="center"/>
            <w:hideMark/>
          </w:tcPr>
          <w:p w14:paraId="1C4643FD" w14:textId="77777777" w:rsidR="002672BC" w:rsidRPr="002672BC" w:rsidRDefault="002672BC" w:rsidP="002672BC">
            <w:pPr>
              <w:spacing w:after="0"/>
              <w:jc w:val="right"/>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Skilled</w:t>
            </w:r>
          </w:p>
        </w:tc>
        <w:tc>
          <w:tcPr>
            <w:tcW w:w="4268" w:type="dxa"/>
            <w:tcBorders>
              <w:top w:val="nil"/>
              <w:left w:val="nil"/>
              <w:bottom w:val="single" w:sz="4" w:space="0" w:color="auto"/>
              <w:right w:val="single" w:sz="4" w:space="0" w:color="auto"/>
            </w:tcBorders>
            <w:shd w:val="clear" w:color="auto" w:fill="auto"/>
            <w:vAlign w:val="center"/>
            <w:hideMark/>
          </w:tcPr>
          <w:p w14:paraId="4EAB0073" w14:textId="6358F5EE" w:rsidR="002672BC" w:rsidRPr="002672BC" w:rsidRDefault="002672BC" w:rsidP="002672BC">
            <w:pPr>
              <w:spacing w:after="0"/>
              <w:jc w:val="right"/>
              <w:rPr>
                <w:rFonts w:ascii="Arial" w:eastAsia="Times New Roman" w:hAnsi="Arial" w:cs="Arial"/>
                <w:sz w:val="16"/>
                <w:szCs w:val="16"/>
                <w:lang w:eastAsia="en-AU"/>
              </w:rPr>
            </w:pPr>
            <w:r w:rsidRPr="002672BC">
              <w:rPr>
                <w:rFonts w:ascii="Arial" w:eastAsia="Times New Roman" w:hAnsi="Arial" w:cs="Arial"/>
                <w:sz w:val="16"/>
                <w:szCs w:val="16"/>
                <w:lang w:eastAsia="en-AU"/>
              </w:rPr>
              <w:t>Employer</w:t>
            </w:r>
            <w:r w:rsidR="009C1E51">
              <w:rPr>
                <w:rFonts w:ascii="Arial" w:eastAsia="Times New Roman" w:hAnsi="Arial" w:cs="Arial"/>
                <w:sz w:val="16"/>
                <w:szCs w:val="16"/>
                <w:lang w:eastAsia="en-AU"/>
              </w:rPr>
              <w:t>-</w:t>
            </w:r>
            <w:r w:rsidRPr="002672BC">
              <w:rPr>
                <w:rFonts w:ascii="Arial" w:eastAsia="Times New Roman" w:hAnsi="Arial" w:cs="Arial"/>
                <w:sz w:val="16"/>
                <w:szCs w:val="16"/>
                <w:lang w:eastAsia="en-AU"/>
              </w:rPr>
              <w:t>sponsored</w:t>
            </w:r>
          </w:p>
        </w:tc>
        <w:tc>
          <w:tcPr>
            <w:tcW w:w="2325" w:type="dxa"/>
            <w:tcBorders>
              <w:top w:val="nil"/>
              <w:left w:val="nil"/>
              <w:bottom w:val="single" w:sz="4" w:space="0" w:color="auto"/>
              <w:right w:val="single" w:sz="4" w:space="0" w:color="auto"/>
            </w:tcBorders>
            <w:shd w:val="clear" w:color="auto" w:fill="auto"/>
            <w:vAlign w:val="center"/>
            <w:hideMark/>
          </w:tcPr>
          <w:p w14:paraId="113D16D2" w14:textId="77777777" w:rsidR="002672BC" w:rsidRPr="002672BC" w:rsidRDefault="002672BC" w:rsidP="002672BC">
            <w:pPr>
              <w:spacing w:after="0"/>
              <w:jc w:val="right"/>
              <w:rPr>
                <w:rFonts w:ascii="Arial" w:eastAsia="Times New Roman" w:hAnsi="Arial" w:cs="Arial"/>
                <w:sz w:val="16"/>
                <w:szCs w:val="16"/>
                <w:lang w:eastAsia="en-AU"/>
              </w:rPr>
            </w:pPr>
            <w:r w:rsidRPr="002672BC">
              <w:rPr>
                <w:rFonts w:ascii="Arial" w:eastAsia="Times New Roman" w:hAnsi="Arial" w:cs="Arial"/>
                <w:sz w:val="16"/>
                <w:szCs w:val="16"/>
                <w:lang w:eastAsia="en-AU"/>
              </w:rPr>
              <w:t>1.0</w:t>
            </w:r>
          </w:p>
        </w:tc>
      </w:tr>
      <w:tr w:rsidR="002672BC" w:rsidRPr="002672BC" w14:paraId="72D798AB" w14:textId="77777777" w:rsidTr="00B849A7">
        <w:trPr>
          <w:trHeight w:val="284"/>
        </w:trPr>
        <w:tc>
          <w:tcPr>
            <w:tcW w:w="2673" w:type="dxa"/>
            <w:tcBorders>
              <w:top w:val="nil"/>
              <w:left w:val="single" w:sz="4" w:space="0" w:color="auto"/>
              <w:bottom w:val="single" w:sz="4" w:space="0" w:color="auto"/>
              <w:right w:val="single" w:sz="4" w:space="0" w:color="auto"/>
            </w:tcBorders>
            <w:shd w:val="clear" w:color="auto" w:fill="auto"/>
            <w:vAlign w:val="center"/>
            <w:hideMark/>
          </w:tcPr>
          <w:p w14:paraId="1308CA2F" w14:textId="77777777" w:rsidR="002672BC" w:rsidRPr="002672BC" w:rsidRDefault="002672BC" w:rsidP="002672BC">
            <w:pPr>
              <w:spacing w:after="0"/>
              <w:jc w:val="right"/>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Skilled</w:t>
            </w:r>
          </w:p>
        </w:tc>
        <w:tc>
          <w:tcPr>
            <w:tcW w:w="4268" w:type="dxa"/>
            <w:tcBorders>
              <w:top w:val="nil"/>
              <w:left w:val="nil"/>
              <w:bottom w:val="single" w:sz="4" w:space="0" w:color="auto"/>
              <w:right w:val="single" w:sz="4" w:space="0" w:color="auto"/>
            </w:tcBorders>
            <w:shd w:val="clear" w:color="auto" w:fill="auto"/>
            <w:vAlign w:val="center"/>
            <w:hideMark/>
          </w:tcPr>
          <w:p w14:paraId="53411B01" w14:textId="77777777" w:rsidR="002672BC" w:rsidRPr="002672BC" w:rsidRDefault="002672BC" w:rsidP="002672BC">
            <w:pPr>
              <w:spacing w:after="0"/>
              <w:jc w:val="right"/>
              <w:rPr>
                <w:rFonts w:ascii="Arial" w:eastAsia="Times New Roman" w:hAnsi="Arial" w:cs="Arial"/>
                <w:sz w:val="16"/>
                <w:szCs w:val="16"/>
                <w:lang w:eastAsia="en-AU"/>
              </w:rPr>
            </w:pPr>
            <w:r w:rsidRPr="002672BC">
              <w:rPr>
                <w:rFonts w:ascii="Arial" w:eastAsia="Times New Roman" w:hAnsi="Arial" w:cs="Arial"/>
                <w:sz w:val="16"/>
                <w:szCs w:val="16"/>
                <w:lang w:eastAsia="en-AU"/>
              </w:rPr>
              <w:t>Independent</w:t>
            </w:r>
          </w:p>
        </w:tc>
        <w:tc>
          <w:tcPr>
            <w:tcW w:w="2325" w:type="dxa"/>
            <w:tcBorders>
              <w:top w:val="nil"/>
              <w:left w:val="nil"/>
              <w:bottom w:val="single" w:sz="4" w:space="0" w:color="auto"/>
              <w:right w:val="single" w:sz="4" w:space="0" w:color="auto"/>
            </w:tcBorders>
            <w:shd w:val="clear" w:color="auto" w:fill="auto"/>
            <w:vAlign w:val="center"/>
            <w:hideMark/>
          </w:tcPr>
          <w:p w14:paraId="03B5DC78" w14:textId="77777777" w:rsidR="002672BC" w:rsidRPr="002672BC" w:rsidRDefault="002672BC" w:rsidP="002672BC">
            <w:pPr>
              <w:spacing w:after="0"/>
              <w:jc w:val="right"/>
              <w:rPr>
                <w:rFonts w:ascii="Arial" w:eastAsia="Times New Roman" w:hAnsi="Arial" w:cs="Arial"/>
                <w:sz w:val="16"/>
                <w:szCs w:val="16"/>
                <w:lang w:eastAsia="en-AU"/>
              </w:rPr>
            </w:pPr>
            <w:r w:rsidRPr="002672BC">
              <w:rPr>
                <w:rFonts w:ascii="Arial" w:eastAsia="Times New Roman" w:hAnsi="Arial" w:cs="Arial"/>
                <w:sz w:val="16"/>
                <w:szCs w:val="16"/>
                <w:lang w:eastAsia="en-AU"/>
              </w:rPr>
              <w:t>0.7</w:t>
            </w:r>
          </w:p>
        </w:tc>
      </w:tr>
      <w:tr w:rsidR="002672BC" w:rsidRPr="002672BC" w14:paraId="45700E84" w14:textId="77777777" w:rsidTr="00B849A7">
        <w:trPr>
          <w:trHeight w:val="284"/>
        </w:trPr>
        <w:tc>
          <w:tcPr>
            <w:tcW w:w="2673" w:type="dxa"/>
            <w:tcBorders>
              <w:top w:val="nil"/>
              <w:left w:val="single" w:sz="4" w:space="0" w:color="auto"/>
              <w:bottom w:val="single" w:sz="4" w:space="0" w:color="auto"/>
              <w:right w:val="single" w:sz="4" w:space="0" w:color="auto"/>
            </w:tcBorders>
            <w:shd w:val="clear" w:color="auto" w:fill="auto"/>
            <w:vAlign w:val="center"/>
            <w:hideMark/>
          </w:tcPr>
          <w:p w14:paraId="5408D759" w14:textId="77777777" w:rsidR="002672BC" w:rsidRPr="002672BC" w:rsidRDefault="002672BC" w:rsidP="002672BC">
            <w:pPr>
              <w:spacing w:after="0"/>
              <w:jc w:val="right"/>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Skilled</w:t>
            </w:r>
          </w:p>
        </w:tc>
        <w:tc>
          <w:tcPr>
            <w:tcW w:w="4268" w:type="dxa"/>
            <w:tcBorders>
              <w:top w:val="nil"/>
              <w:left w:val="nil"/>
              <w:bottom w:val="single" w:sz="4" w:space="0" w:color="auto"/>
              <w:right w:val="single" w:sz="4" w:space="0" w:color="auto"/>
            </w:tcBorders>
            <w:shd w:val="clear" w:color="auto" w:fill="auto"/>
            <w:vAlign w:val="center"/>
            <w:hideMark/>
          </w:tcPr>
          <w:p w14:paraId="723A5BA7" w14:textId="77777777" w:rsidR="002672BC" w:rsidRPr="002672BC" w:rsidRDefault="002672BC" w:rsidP="002672BC">
            <w:pPr>
              <w:spacing w:after="0"/>
              <w:jc w:val="right"/>
              <w:rPr>
                <w:rFonts w:ascii="Arial" w:eastAsia="Times New Roman" w:hAnsi="Arial" w:cs="Arial"/>
                <w:sz w:val="16"/>
                <w:szCs w:val="16"/>
                <w:lang w:eastAsia="en-AU"/>
              </w:rPr>
            </w:pPr>
            <w:r w:rsidRPr="002672BC">
              <w:rPr>
                <w:rFonts w:ascii="Arial" w:eastAsia="Times New Roman" w:hAnsi="Arial" w:cs="Arial"/>
                <w:sz w:val="16"/>
                <w:szCs w:val="16"/>
                <w:lang w:eastAsia="en-AU"/>
              </w:rPr>
              <w:t>State/Territory/Regionally nominated</w:t>
            </w:r>
          </w:p>
        </w:tc>
        <w:tc>
          <w:tcPr>
            <w:tcW w:w="2325" w:type="dxa"/>
            <w:tcBorders>
              <w:top w:val="nil"/>
              <w:left w:val="nil"/>
              <w:bottom w:val="single" w:sz="4" w:space="0" w:color="auto"/>
              <w:right w:val="single" w:sz="4" w:space="0" w:color="auto"/>
            </w:tcBorders>
            <w:shd w:val="clear" w:color="auto" w:fill="auto"/>
            <w:vAlign w:val="center"/>
            <w:hideMark/>
          </w:tcPr>
          <w:p w14:paraId="43DB0C34" w14:textId="77777777" w:rsidR="002672BC" w:rsidRPr="002672BC" w:rsidRDefault="002672BC" w:rsidP="002672BC">
            <w:pPr>
              <w:spacing w:after="0"/>
              <w:jc w:val="right"/>
              <w:rPr>
                <w:rFonts w:ascii="Arial" w:eastAsia="Times New Roman" w:hAnsi="Arial" w:cs="Arial"/>
                <w:sz w:val="16"/>
                <w:szCs w:val="16"/>
                <w:lang w:eastAsia="en-AU"/>
              </w:rPr>
            </w:pPr>
            <w:r w:rsidRPr="002672BC">
              <w:rPr>
                <w:rFonts w:ascii="Arial" w:eastAsia="Times New Roman" w:hAnsi="Arial" w:cs="Arial"/>
                <w:sz w:val="16"/>
                <w:szCs w:val="16"/>
                <w:lang w:eastAsia="en-AU"/>
              </w:rPr>
              <w:t>0.7</w:t>
            </w:r>
          </w:p>
        </w:tc>
      </w:tr>
      <w:tr w:rsidR="002672BC" w:rsidRPr="002672BC" w14:paraId="218DD023" w14:textId="77777777" w:rsidTr="00B849A7">
        <w:trPr>
          <w:trHeight w:val="284"/>
        </w:trPr>
        <w:tc>
          <w:tcPr>
            <w:tcW w:w="2673" w:type="dxa"/>
            <w:tcBorders>
              <w:top w:val="nil"/>
              <w:left w:val="single" w:sz="4" w:space="0" w:color="auto"/>
              <w:bottom w:val="single" w:sz="4" w:space="0" w:color="auto"/>
              <w:right w:val="single" w:sz="4" w:space="0" w:color="auto"/>
            </w:tcBorders>
            <w:shd w:val="clear" w:color="auto" w:fill="auto"/>
            <w:vAlign w:val="center"/>
            <w:hideMark/>
          </w:tcPr>
          <w:p w14:paraId="76E9BFCE" w14:textId="77777777" w:rsidR="002672BC" w:rsidRPr="002672BC" w:rsidRDefault="002672BC" w:rsidP="002672BC">
            <w:pPr>
              <w:spacing w:after="0"/>
              <w:jc w:val="right"/>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Skilled</w:t>
            </w:r>
          </w:p>
        </w:tc>
        <w:tc>
          <w:tcPr>
            <w:tcW w:w="4268" w:type="dxa"/>
            <w:tcBorders>
              <w:top w:val="nil"/>
              <w:left w:val="nil"/>
              <w:bottom w:val="single" w:sz="4" w:space="0" w:color="auto"/>
              <w:right w:val="single" w:sz="4" w:space="0" w:color="auto"/>
            </w:tcBorders>
            <w:shd w:val="clear" w:color="auto" w:fill="auto"/>
            <w:vAlign w:val="center"/>
            <w:hideMark/>
          </w:tcPr>
          <w:p w14:paraId="00704A96" w14:textId="77777777" w:rsidR="002672BC" w:rsidRPr="002672BC" w:rsidRDefault="002672BC" w:rsidP="002672BC">
            <w:pPr>
              <w:spacing w:after="0"/>
              <w:jc w:val="right"/>
              <w:rPr>
                <w:rFonts w:ascii="Arial" w:eastAsia="Times New Roman" w:hAnsi="Arial" w:cs="Arial"/>
                <w:sz w:val="16"/>
                <w:szCs w:val="16"/>
                <w:lang w:eastAsia="en-AU"/>
              </w:rPr>
            </w:pPr>
            <w:r w:rsidRPr="002672BC">
              <w:rPr>
                <w:rFonts w:ascii="Arial" w:eastAsia="Times New Roman" w:hAnsi="Arial" w:cs="Arial"/>
                <w:sz w:val="16"/>
                <w:szCs w:val="16"/>
                <w:lang w:eastAsia="en-AU"/>
              </w:rPr>
              <w:t>BIIP and Distinguished Talent</w:t>
            </w:r>
          </w:p>
        </w:tc>
        <w:tc>
          <w:tcPr>
            <w:tcW w:w="2325" w:type="dxa"/>
            <w:tcBorders>
              <w:top w:val="nil"/>
              <w:left w:val="nil"/>
              <w:bottom w:val="single" w:sz="4" w:space="0" w:color="auto"/>
              <w:right w:val="single" w:sz="4" w:space="0" w:color="auto"/>
            </w:tcBorders>
            <w:shd w:val="clear" w:color="auto" w:fill="auto"/>
            <w:vAlign w:val="center"/>
            <w:hideMark/>
          </w:tcPr>
          <w:p w14:paraId="6EE9FCA2" w14:textId="77777777" w:rsidR="002672BC" w:rsidRPr="002672BC" w:rsidRDefault="002672BC" w:rsidP="002672BC">
            <w:pPr>
              <w:spacing w:after="0"/>
              <w:jc w:val="right"/>
              <w:rPr>
                <w:rFonts w:ascii="Arial" w:eastAsia="Times New Roman" w:hAnsi="Arial" w:cs="Arial"/>
                <w:sz w:val="16"/>
                <w:szCs w:val="16"/>
                <w:lang w:eastAsia="en-AU"/>
              </w:rPr>
            </w:pPr>
            <w:r w:rsidRPr="002672BC">
              <w:rPr>
                <w:rFonts w:ascii="Arial" w:eastAsia="Times New Roman" w:hAnsi="Arial" w:cs="Arial"/>
                <w:sz w:val="16"/>
                <w:szCs w:val="16"/>
                <w:lang w:eastAsia="en-AU"/>
              </w:rPr>
              <w:t>2.0</w:t>
            </w:r>
          </w:p>
        </w:tc>
      </w:tr>
      <w:tr w:rsidR="002672BC" w:rsidRPr="002672BC" w14:paraId="472FAEF6" w14:textId="77777777" w:rsidTr="00B849A7">
        <w:trPr>
          <w:trHeight w:val="284"/>
        </w:trPr>
        <w:tc>
          <w:tcPr>
            <w:tcW w:w="2673" w:type="dxa"/>
            <w:tcBorders>
              <w:top w:val="nil"/>
              <w:left w:val="single" w:sz="4" w:space="0" w:color="auto"/>
              <w:bottom w:val="single" w:sz="4" w:space="0" w:color="auto"/>
              <w:right w:val="single" w:sz="4" w:space="0" w:color="auto"/>
            </w:tcBorders>
            <w:shd w:val="clear" w:color="auto" w:fill="auto"/>
            <w:vAlign w:val="center"/>
            <w:hideMark/>
          </w:tcPr>
          <w:p w14:paraId="58768257" w14:textId="77777777" w:rsidR="002672BC" w:rsidRPr="002672BC" w:rsidRDefault="002672BC" w:rsidP="002672BC">
            <w:pPr>
              <w:spacing w:after="0"/>
              <w:jc w:val="right"/>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Family</w:t>
            </w:r>
          </w:p>
        </w:tc>
        <w:tc>
          <w:tcPr>
            <w:tcW w:w="4268" w:type="dxa"/>
            <w:tcBorders>
              <w:top w:val="nil"/>
              <w:left w:val="nil"/>
              <w:bottom w:val="single" w:sz="4" w:space="0" w:color="auto"/>
              <w:right w:val="single" w:sz="4" w:space="0" w:color="auto"/>
            </w:tcBorders>
            <w:shd w:val="clear" w:color="auto" w:fill="auto"/>
            <w:vAlign w:val="center"/>
            <w:hideMark/>
          </w:tcPr>
          <w:p w14:paraId="55732337" w14:textId="77777777" w:rsidR="002672BC" w:rsidRPr="002672BC" w:rsidRDefault="002672BC" w:rsidP="002672BC">
            <w:pPr>
              <w:spacing w:after="0"/>
              <w:jc w:val="right"/>
              <w:rPr>
                <w:rFonts w:ascii="Arial" w:eastAsia="Times New Roman" w:hAnsi="Arial" w:cs="Arial"/>
                <w:sz w:val="16"/>
                <w:szCs w:val="16"/>
                <w:lang w:eastAsia="en-AU"/>
              </w:rPr>
            </w:pPr>
            <w:r w:rsidRPr="002672BC">
              <w:rPr>
                <w:rFonts w:ascii="Arial" w:eastAsia="Times New Roman" w:hAnsi="Arial" w:cs="Arial"/>
                <w:sz w:val="16"/>
                <w:szCs w:val="16"/>
                <w:lang w:eastAsia="en-AU"/>
              </w:rPr>
              <w:t>Partner</w:t>
            </w:r>
          </w:p>
        </w:tc>
        <w:tc>
          <w:tcPr>
            <w:tcW w:w="2325" w:type="dxa"/>
            <w:tcBorders>
              <w:top w:val="nil"/>
              <w:left w:val="nil"/>
              <w:bottom w:val="single" w:sz="4" w:space="0" w:color="auto"/>
              <w:right w:val="single" w:sz="4" w:space="0" w:color="auto"/>
            </w:tcBorders>
            <w:shd w:val="clear" w:color="auto" w:fill="auto"/>
            <w:vAlign w:val="center"/>
            <w:hideMark/>
          </w:tcPr>
          <w:p w14:paraId="3D1AC621" w14:textId="77777777" w:rsidR="002672BC" w:rsidRPr="002672BC" w:rsidRDefault="002672BC" w:rsidP="002672BC">
            <w:pPr>
              <w:spacing w:after="0"/>
              <w:jc w:val="right"/>
              <w:rPr>
                <w:rFonts w:ascii="Arial" w:eastAsia="Times New Roman" w:hAnsi="Arial" w:cs="Arial"/>
                <w:sz w:val="16"/>
                <w:szCs w:val="16"/>
                <w:lang w:eastAsia="en-AU"/>
              </w:rPr>
            </w:pPr>
            <w:r w:rsidRPr="002672BC">
              <w:rPr>
                <w:rFonts w:ascii="Arial" w:eastAsia="Times New Roman" w:hAnsi="Arial" w:cs="Arial"/>
                <w:sz w:val="16"/>
                <w:szCs w:val="16"/>
                <w:lang w:eastAsia="en-AU"/>
              </w:rPr>
              <w:t>0.7</w:t>
            </w:r>
          </w:p>
        </w:tc>
      </w:tr>
      <w:tr w:rsidR="002672BC" w:rsidRPr="002672BC" w14:paraId="35755446" w14:textId="77777777" w:rsidTr="00B849A7">
        <w:trPr>
          <w:trHeight w:val="284"/>
        </w:trPr>
        <w:tc>
          <w:tcPr>
            <w:tcW w:w="2673" w:type="dxa"/>
            <w:tcBorders>
              <w:top w:val="nil"/>
              <w:left w:val="single" w:sz="4" w:space="0" w:color="auto"/>
              <w:bottom w:val="single" w:sz="4" w:space="0" w:color="auto"/>
              <w:right w:val="single" w:sz="4" w:space="0" w:color="auto"/>
            </w:tcBorders>
            <w:shd w:val="clear" w:color="auto" w:fill="auto"/>
            <w:vAlign w:val="center"/>
            <w:hideMark/>
          </w:tcPr>
          <w:p w14:paraId="0B57FE71" w14:textId="77777777" w:rsidR="002672BC" w:rsidRPr="002672BC" w:rsidRDefault="002672BC" w:rsidP="002672BC">
            <w:pPr>
              <w:spacing w:after="0"/>
              <w:jc w:val="right"/>
              <w:rPr>
                <w:rFonts w:ascii="Arial" w:eastAsia="Times New Roman" w:hAnsi="Arial" w:cs="Arial"/>
                <w:b/>
                <w:bCs/>
                <w:color w:val="000000"/>
                <w:sz w:val="16"/>
                <w:szCs w:val="16"/>
                <w:lang w:eastAsia="en-AU"/>
              </w:rPr>
            </w:pPr>
            <w:r w:rsidRPr="002672BC">
              <w:rPr>
                <w:rFonts w:ascii="Arial" w:eastAsia="Times New Roman" w:hAnsi="Arial" w:cs="Arial"/>
                <w:b/>
                <w:bCs/>
                <w:color w:val="000000"/>
                <w:sz w:val="16"/>
                <w:szCs w:val="16"/>
                <w:lang w:eastAsia="en-AU"/>
              </w:rPr>
              <w:t>Family</w:t>
            </w:r>
          </w:p>
        </w:tc>
        <w:tc>
          <w:tcPr>
            <w:tcW w:w="4268" w:type="dxa"/>
            <w:tcBorders>
              <w:top w:val="nil"/>
              <w:left w:val="nil"/>
              <w:bottom w:val="single" w:sz="4" w:space="0" w:color="auto"/>
              <w:right w:val="single" w:sz="4" w:space="0" w:color="auto"/>
            </w:tcBorders>
            <w:shd w:val="clear" w:color="auto" w:fill="auto"/>
            <w:vAlign w:val="center"/>
            <w:hideMark/>
          </w:tcPr>
          <w:p w14:paraId="49C8FE2E" w14:textId="77777777" w:rsidR="002672BC" w:rsidRPr="002672BC" w:rsidRDefault="002672BC" w:rsidP="002672BC">
            <w:pPr>
              <w:spacing w:after="0"/>
              <w:jc w:val="right"/>
              <w:rPr>
                <w:rFonts w:ascii="Arial" w:eastAsia="Times New Roman" w:hAnsi="Arial" w:cs="Arial"/>
                <w:color w:val="000000"/>
                <w:sz w:val="16"/>
                <w:szCs w:val="16"/>
                <w:lang w:eastAsia="en-AU"/>
              </w:rPr>
            </w:pPr>
            <w:r w:rsidRPr="002672BC">
              <w:rPr>
                <w:rFonts w:ascii="Arial" w:eastAsia="Times New Roman" w:hAnsi="Arial" w:cs="Arial"/>
                <w:color w:val="000000"/>
                <w:sz w:val="16"/>
                <w:szCs w:val="16"/>
                <w:lang w:eastAsia="en-AU"/>
              </w:rPr>
              <w:t>Parent</w:t>
            </w:r>
          </w:p>
        </w:tc>
        <w:tc>
          <w:tcPr>
            <w:tcW w:w="2325" w:type="dxa"/>
            <w:tcBorders>
              <w:top w:val="nil"/>
              <w:left w:val="nil"/>
              <w:bottom w:val="single" w:sz="4" w:space="0" w:color="auto"/>
              <w:right w:val="single" w:sz="4" w:space="0" w:color="auto"/>
            </w:tcBorders>
            <w:shd w:val="clear" w:color="auto" w:fill="auto"/>
            <w:vAlign w:val="center"/>
            <w:hideMark/>
          </w:tcPr>
          <w:p w14:paraId="3ECC0F57" w14:textId="77777777" w:rsidR="002672BC" w:rsidRPr="002672BC" w:rsidRDefault="002672BC" w:rsidP="002672BC">
            <w:pPr>
              <w:spacing w:after="0"/>
              <w:jc w:val="right"/>
              <w:rPr>
                <w:rFonts w:ascii="Arial" w:eastAsia="Times New Roman" w:hAnsi="Arial" w:cs="Arial"/>
                <w:color w:val="000000"/>
                <w:sz w:val="16"/>
                <w:szCs w:val="16"/>
                <w:lang w:eastAsia="en-AU"/>
              </w:rPr>
            </w:pPr>
            <w:r w:rsidRPr="002672BC">
              <w:rPr>
                <w:rFonts w:ascii="Arial" w:eastAsia="Times New Roman" w:hAnsi="Arial" w:cs="Arial"/>
                <w:color w:val="000000"/>
                <w:sz w:val="16"/>
                <w:szCs w:val="16"/>
                <w:lang w:eastAsia="en-AU"/>
              </w:rPr>
              <w:t>0.2</w:t>
            </w:r>
          </w:p>
        </w:tc>
      </w:tr>
      <w:tr w:rsidR="002672BC" w:rsidRPr="002672BC" w14:paraId="71EF5A11" w14:textId="77777777" w:rsidTr="00B849A7">
        <w:trPr>
          <w:trHeight w:val="284"/>
        </w:trPr>
        <w:tc>
          <w:tcPr>
            <w:tcW w:w="2673" w:type="dxa"/>
            <w:tcBorders>
              <w:top w:val="nil"/>
              <w:left w:val="single" w:sz="4" w:space="0" w:color="auto"/>
              <w:bottom w:val="single" w:sz="4" w:space="0" w:color="auto"/>
              <w:right w:val="single" w:sz="4" w:space="0" w:color="auto"/>
            </w:tcBorders>
            <w:shd w:val="clear" w:color="auto" w:fill="auto"/>
            <w:vAlign w:val="center"/>
            <w:hideMark/>
          </w:tcPr>
          <w:p w14:paraId="712EC8D5" w14:textId="77777777" w:rsidR="002672BC" w:rsidRPr="002672BC" w:rsidRDefault="002672BC" w:rsidP="002672BC">
            <w:pPr>
              <w:spacing w:after="0"/>
              <w:jc w:val="right"/>
              <w:rPr>
                <w:rFonts w:ascii="Arial" w:eastAsia="Times New Roman" w:hAnsi="Arial" w:cs="Arial"/>
                <w:b/>
                <w:bCs/>
                <w:color w:val="000000"/>
                <w:sz w:val="16"/>
                <w:szCs w:val="16"/>
                <w:lang w:eastAsia="en-AU"/>
              </w:rPr>
            </w:pPr>
            <w:r w:rsidRPr="002672BC">
              <w:rPr>
                <w:rFonts w:ascii="Arial" w:eastAsia="Times New Roman" w:hAnsi="Arial" w:cs="Arial"/>
                <w:b/>
                <w:bCs/>
                <w:color w:val="000000"/>
                <w:sz w:val="16"/>
                <w:szCs w:val="16"/>
                <w:lang w:eastAsia="en-AU"/>
              </w:rPr>
              <w:t>Family</w:t>
            </w:r>
          </w:p>
        </w:tc>
        <w:tc>
          <w:tcPr>
            <w:tcW w:w="4268" w:type="dxa"/>
            <w:tcBorders>
              <w:top w:val="nil"/>
              <w:left w:val="nil"/>
              <w:bottom w:val="single" w:sz="4" w:space="0" w:color="auto"/>
              <w:right w:val="single" w:sz="4" w:space="0" w:color="auto"/>
            </w:tcBorders>
            <w:shd w:val="clear" w:color="auto" w:fill="auto"/>
            <w:vAlign w:val="center"/>
            <w:hideMark/>
          </w:tcPr>
          <w:p w14:paraId="2ADB978E" w14:textId="77777777" w:rsidR="002672BC" w:rsidRPr="002672BC" w:rsidRDefault="002672BC" w:rsidP="002672BC">
            <w:pPr>
              <w:spacing w:after="0"/>
              <w:jc w:val="right"/>
              <w:rPr>
                <w:rFonts w:ascii="Arial" w:eastAsia="Times New Roman" w:hAnsi="Arial" w:cs="Arial"/>
                <w:color w:val="000000"/>
                <w:sz w:val="16"/>
                <w:szCs w:val="16"/>
                <w:lang w:eastAsia="en-AU"/>
              </w:rPr>
            </w:pPr>
            <w:r w:rsidRPr="002672BC">
              <w:rPr>
                <w:rFonts w:ascii="Arial" w:eastAsia="Times New Roman" w:hAnsi="Arial" w:cs="Arial"/>
                <w:color w:val="000000"/>
                <w:sz w:val="16"/>
                <w:szCs w:val="16"/>
                <w:lang w:eastAsia="en-AU"/>
              </w:rPr>
              <w:t>Other Family</w:t>
            </w:r>
          </w:p>
        </w:tc>
        <w:tc>
          <w:tcPr>
            <w:tcW w:w="2325" w:type="dxa"/>
            <w:tcBorders>
              <w:top w:val="nil"/>
              <w:left w:val="nil"/>
              <w:bottom w:val="single" w:sz="4" w:space="0" w:color="auto"/>
              <w:right w:val="single" w:sz="4" w:space="0" w:color="auto"/>
            </w:tcBorders>
            <w:shd w:val="clear" w:color="auto" w:fill="auto"/>
            <w:vAlign w:val="center"/>
            <w:hideMark/>
          </w:tcPr>
          <w:p w14:paraId="4551E5F2" w14:textId="77777777" w:rsidR="002672BC" w:rsidRPr="002672BC" w:rsidRDefault="002672BC" w:rsidP="002672BC">
            <w:pPr>
              <w:spacing w:after="0"/>
              <w:jc w:val="right"/>
              <w:rPr>
                <w:rFonts w:ascii="Arial" w:eastAsia="Times New Roman" w:hAnsi="Arial" w:cs="Arial"/>
                <w:color w:val="000000"/>
                <w:sz w:val="16"/>
                <w:szCs w:val="16"/>
                <w:lang w:eastAsia="en-AU"/>
              </w:rPr>
            </w:pPr>
            <w:r w:rsidRPr="002672BC">
              <w:rPr>
                <w:rFonts w:ascii="Arial" w:eastAsia="Times New Roman" w:hAnsi="Arial" w:cs="Arial"/>
                <w:color w:val="000000"/>
                <w:sz w:val="16"/>
                <w:szCs w:val="16"/>
                <w:lang w:eastAsia="en-AU"/>
              </w:rPr>
              <w:t>0.5</w:t>
            </w:r>
          </w:p>
        </w:tc>
      </w:tr>
      <w:tr w:rsidR="00F53282" w:rsidRPr="002672BC" w14:paraId="311D6C8E" w14:textId="77777777" w:rsidTr="00B849A7">
        <w:trPr>
          <w:trHeight w:val="284"/>
        </w:trPr>
        <w:tc>
          <w:tcPr>
            <w:tcW w:w="2673" w:type="dxa"/>
            <w:tcBorders>
              <w:top w:val="nil"/>
              <w:left w:val="single" w:sz="4" w:space="0" w:color="auto"/>
              <w:bottom w:val="single" w:sz="4" w:space="0" w:color="auto"/>
              <w:right w:val="single" w:sz="4" w:space="0" w:color="auto"/>
            </w:tcBorders>
            <w:shd w:val="clear" w:color="auto" w:fill="auto"/>
            <w:vAlign w:val="center"/>
          </w:tcPr>
          <w:p w14:paraId="7FF30C2C" w14:textId="53CB1D31" w:rsidR="00F53282" w:rsidRPr="002672BC" w:rsidRDefault="00F53282" w:rsidP="00F53282">
            <w:pPr>
              <w:spacing w:after="0"/>
              <w:jc w:val="right"/>
              <w:rPr>
                <w:rFonts w:ascii="Arial" w:eastAsia="Times New Roman" w:hAnsi="Arial" w:cs="Arial"/>
                <w:b/>
                <w:bCs/>
                <w:sz w:val="16"/>
                <w:szCs w:val="16"/>
                <w:lang w:eastAsia="en-AU"/>
              </w:rPr>
            </w:pPr>
            <w:r w:rsidRPr="002672BC">
              <w:rPr>
                <w:rFonts w:ascii="Arial" w:eastAsia="Times New Roman" w:hAnsi="Arial" w:cs="Arial"/>
                <w:b/>
                <w:bCs/>
                <w:color w:val="000000"/>
                <w:sz w:val="16"/>
                <w:szCs w:val="16"/>
                <w:lang w:eastAsia="en-AU"/>
              </w:rPr>
              <w:t>Family</w:t>
            </w:r>
          </w:p>
        </w:tc>
        <w:tc>
          <w:tcPr>
            <w:tcW w:w="4268" w:type="dxa"/>
            <w:tcBorders>
              <w:top w:val="nil"/>
              <w:left w:val="nil"/>
              <w:bottom w:val="single" w:sz="4" w:space="0" w:color="auto"/>
              <w:right w:val="single" w:sz="4" w:space="0" w:color="auto"/>
            </w:tcBorders>
            <w:shd w:val="clear" w:color="auto" w:fill="auto"/>
            <w:vAlign w:val="center"/>
          </w:tcPr>
          <w:p w14:paraId="2A26EFFE" w14:textId="322BB924" w:rsidR="00F53282" w:rsidRPr="002672BC" w:rsidRDefault="00F53282" w:rsidP="00F53282">
            <w:pPr>
              <w:spacing w:after="0"/>
              <w:jc w:val="right"/>
              <w:rPr>
                <w:rFonts w:ascii="Arial" w:eastAsia="Times New Roman" w:hAnsi="Arial" w:cs="Arial"/>
                <w:sz w:val="16"/>
                <w:szCs w:val="16"/>
                <w:lang w:eastAsia="en-AU"/>
              </w:rPr>
            </w:pPr>
            <w:r w:rsidRPr="002672BC">
              <w:rPr>
                <w:rFonts w:ascii="Arial" w:eastAsia="Times New Roman" w:hAnsi="Arial" w:cs="Arial"/>
                <w:color w:val="000000"/>
                <w:sz w:val="16"/>
                <w:szCs w:val="16"/>
                <w:lang w:eastAsia="en-AU"/>
              </w:rPr>
              <w:t>Other</w:t>
            </w:r>
          </w:p>
        </w:tc>
        <w:tc>
          <w:tcPr>
            <w:tcW w:w="2325" w:type="dxa"/>
            <w:tcBorders>
              <w:top w:val="nil"/>
              <w:left w:val="nil"/>
              <w:bottom w:val="single" w:sz="4" w:space="0" w:color="auto"/>
              <w:right w:val="single" w:sz="4" w:space="0" w:color="auto"/>
            </w:tcBorders>
            <w:shd w:val="clear" w:color="auto" w:fill="auto"/>
            <w:vAlign w:val="center"/>
          </w:tcPr>
          <w:p w14:paraId="32D1AE6D" w14:textId="526A79D6" w:rsidR="00F53282" w:rsidRPr="002672BC" w:rsidRDefault="00F53282" w:rsidP="00F53282">
            <w:pPr>
              <w:spacing w:after="0"/>
              <w:jc w:val="right"/>
              <w:rPr>
                <w:rFonts w:ascii="Arial" w:eastAsia="Times New Roman" w:hAnsi="Arial" w:cs="Arial"/>
                <w:sz w:val="16"/>
                <w:szCs w:val="16"/>
                <w:lang w:eastAsia="en-AU"/>
              </w:rPr>
            </w:pPr>
            <w:r w:rsidRPr="002672BC">
              <w:rPr>
                <w:rFonts w:ascii="Arial" w:eastAsia="Times New Roman" w:hAnsi="Arial" w:cs="Arial"/>
                <w:color w:val="000000"/>
                <w:sz w:val="16"/>
                <w:szCs w:val="16"/>
                <w:lang w:eastAsia="en-AU"/>
              </w:rPr>
              <w:t>0.4</w:t>
            </w:r>
          </w:p>
        </w:tc>
      </w:tr>
      <w:tr w:rsidR="00F53282" w:rsidRPr="002672BC" w14:paraId="1528B3E0" w14:textId="77777777" w:rsidTr="00B849A7">
        <w:trPr>
          <w:trHeight w:val="284"/>
        </w:trPr>
        <w:tc>
          <w:tcPr>
            <w:tcW w:w="2673" w:type="dxa"/>
            <w:tcBorders>
              <w:top w:val="nil"/>
              <w:left w:val="single" w:sz="4" w:space="0" w:color="auto"/>
              <w:bottom w:val="single" w:sz="4" w:space="0" w:color="auto"/>
              <w:right w:val="single" w:sz="4" w:space="0" w:color="auto"/>
            </w:tcBorders>
            <w:shd w:val="clear" w:color="auto" w:fill="auto"/>
            <w:vAlign w:val="center"/>
            <w:hideMark/>
          </w:tcPr>
          <w:p w14:paraId="065F2043" w14:textId="77777777" w:rsidR="00F53282" w:rsidRPr="002672BC" w:rsidRDefault="00F53282" w:rsidP="00F53282">
            <w:pPr>
              <w:spacing w:after="0"/>
              <w:jc w:val="right"/>
              <w:rPr>
                <w:rFonts w:ascii="Arial" w:eastAsia="Times New Roman" w:hAnsi="Arial" w:cs="Arial"/>
                <w:b/>
                <w:bCs/>
                <w:sz w:val="16"/>
                <w:szCs w:val="16"/>
                <w:lang w:eastAsia="en-AU"/>
              </w:rPr>
            </w:pPr>
            <w:r w:rsidRPr="002672BC">
              <w:rPr>
                <w:rFonts w:ascii="Arial" w:eastAsia="Times New Roman" w:hAnsi="Arial" w:cs="Arial"/>
                <w:b/>
                <w:bCs/>
                <w:sz w:val="16"/>
                <w:szCs w:val="16"/>
                <w:lang w:eastAsia="en-AU"/>
              </w:rPr>
              <w:t>Other</w:t>
            </w:r>
          </w:p>
        </w:tc>
        <w:tc>
          <w:tcPr>
            <w:tcW w:w="4268" w:type="dxa"/>
            <w:tcBorders>
              <w:top w:val="nil"/>
              <w:left w:val="nil"/>
              <w:bottom w:val="single" w:sz="4" w:space="0" w:color="auto"/>
              <w:right w:val="single" w:sz="4" w:space="0" w:color="auto"/>
            </w:tcBorders>
            <w:shd w:val="clear" w:color="auto" w:fill="auto"/>
            <w:vAlign w:val="center"/>
            <w:hideMark/>
          </w:tcPr>
          <w:p w14:paraId="0A6554FA" w14:textId="77777777" w:rsidR="00F53282" w:rsidRPr="002672BC" w:rsidRDefault="00F53282" w:rsidP="00F53282">
            <w:pPr>
              <w:spacing w:after="0"/>
              <w:jc w:val="right"/>
              <w:rPr>
                <w:rFonts w:ascii="Arial" w:eastAsia="Times New Roman" w:hAnsi="Arial" w:cs="Arial"/>
                <w:sz w:val="16"/>
                <w:szCs w:val="16"/>
                <w:lang w:eastAsia="en-AU"/>
              </w:rPr>
            </w:pPr>
            <w:r w:rsidRPr="002672BC">
              <w:rPr>
                <w:rFonts w:ascii="Arial" w:eastAsia="Times New Roman" w:hAnsi="Arial" w:cs="Arial"/>
                <w:sz w:val="16"/>
                <w:szCs w:val="16"/>
                <w:lang w:eastAsia="en-AU"/>
              </w:rPr>
              <w:t>Child</w:t>
            </w:r>
          </w:p>
        </w:tc>
        <w:tc>
          <w:tcPr>
            <w:tcW w:w="2325" w:type="dxa"/>
            <w:tcBorders>
              <w:top w:val="nil"/>
              <w:left w:val="nil"/>
              <w:bottom w:val="single" w:sz="4" w:space="0" w:color="auto"/>
              <w:right w:val="single" w:sz="4" w:space="0" w:color="auto"/>
            </w:tcBorders>
            <w:shd w:val="clear" w:color="auto" w:fill="auto"/>
            <w:vAlign w:val="center"/>
            <w:hideMark/>
          </w:tcPr>
          <w:p w14:paraId="6C79BBDB" w14:textId="77777777" w:rsidR="00F53282" w:rsidRPr="002672BC" w:rsidRDefault="00F53282" w:rsidP="00F53282">
            <w:pPr>
              <w:spacing w:after="0"/>
              <w:jc w:val="right"/>
              <w:rPr>
                <w:rFonts w:ascii="Arial" w:eastAsia="Times New Roman" w:hAnsi="Arial" w:cs="Arial"/>
                <w:sz w:val="16"/>
                <w:szCs w:val="16"/>
                <w:lang w:eastAsia="en-AU"/>
              </w:rPr>
            </w:pPr>
            <w:r w:rsidRPr="002672BC">
              <w:rPr>
                <w:rFonts w:ascii="Arial" w:eastAsia="Times New Roman" w:hAnsi="Arial" w:cs="Arial"/>
                <w:sz w:val="16"/>
                <w:szCs w:val="16"/>
                <w:lang w:eastAsia="en-AU"/>
              </w:rPr>
              <w:t>0.4</w:t>
            </w:r>
          </w:p>
        </w:tc>
      </w:tr>
      <w:tr w:rsidR="00F53282" w:rsidRPr="002672BC" w14:paraId="2CC0CED6" w14:textId="77777777" w:rsidTr="00B849A7">
        <w:trPr>
          <w:trHeight w:val="284"/>
        </w:trPr>
        <w:tc>
          <w:tcPr>
            <w:tcW w:w="2673" w:type="dxa"/>
            <w:tcBorders>
              <w:top w:val="nil"/>
              <w:left w:val="single" w:sz="4" w:space="0" w:color="auto"/>
              <w:bottom w:val="single" w:sz="4" w:space="0" w:color="auto"/>
              <w:right w:val="single" w:sz="4" w:space="0" w:color="auto"/>
            </w:tcBorders>
            <w:shd w:val="clear" w:color="auto" w:fill="auto"/>
            <w:vAlign w:val="center"/>
            <w:hideMark/>
          </w:tcPr>
          <w:p w14:paraId="4B1B80FE" w14:textId="77777777" w:rsidR="00F53282" w:rsidRPr="002672BC" w:rsidRDefault="00F53282" w:rsidP="00F53282">
            <w:pPr>
              <w:spacing w:after="0"/>
              <w:jc w:val="right"/>
              <w:rPr>
                <w:rFonts w:ascii="Arial" w:eastAsia="Times New Roman" w:hAnsi="Arial" w:cs="Arial"/>
                <w:b/>
                <w:bCs/>
                <w:color w:val="000000"/>
                <w:sz w:val="16"/>
                <w:szCs w:val="16"/>
                <w:lang w:eastAsia="en-AU"/>
              </w:rPr>
            </w:pPr>
            <w:r w:rsidRPr="002672BC">
              <w:rPr>
                <w:rFonts w:ascii="Arial" w:eastAsia="Times New Roman" w:hAnsi="Arial" w:cs="Arial"/>
                <w:b/>
                <w:bCs/>
                <w:color w:val="000000"/>
                <w:sz w:val="16"/>
                <w:szCs w:val="16"/>
                <w:lang w:eastAsia="en-AU"/>
              </w:rPr>
              <w:t>Humanitarian</w:t>
            </w:r>
          </w:p>
        </w:tc>
        <w:tc>
          <w:tcPr>
            <w:tcW w:w="4268" w:type="dxa"/>
            <w:tcBorders>
              <w:top w:val="nil"/>
              <w:left w:val="nil"/>
              <w:bottom w:val="single" w:sz="4" w:space="0" w:color="auto"/>
              <w:right w:val="single" w:sz="4" w:space="0" w:color="auto"/>
            </w:tcBorders>
            <w:shd w:val="clear" w:color="auto" w:fill="auto"/>
            <w:vAlign w:val="center"/>
            <w:hideMark/>
          </w:tcPr>
          <w:p w14:paraId="793073A0" w14:textId="77777777" w:rsidR="00F53282" w:rsidRPr="002672BC" w:rsidRDefault="00F53282" w:rsidP="00F53282">
            <w:pPr>
              <w:spacing w:after="0"/>
              <w:jc w:val="right"/>
              <w:rPr>
                <w:rFonts w:ascii="Arial" w:eastAsia="Times New Roman" w:hAnsi="Arial" w:cs="Arial"/>
                <w:color w:val="000000"/>
                <w:sz w:val="16"/>
                <w:szCs w:val="16"/>
                <w:lang w:eastAsia="en-AU"/>
              </w:rPr>
            </w:pPr>
            <w:r w:rsidRPr="002672BC">
              <w:rPr>
                <w:rFonts w:ascii="Arial" w:eastAsia="Times New Roman" w:hAnsi="Arial" w:cs="Arial"/>
                <w:color w:val="000000"/>
                <w:sz w:val="16"/>
                <w:szCs w:val="16"/>
                <w:lang w:eastAsia="en-AU"/>
              </w:rPr>
              <w:t>Humanitarian</w:t>
            </w:r>
          </w:p>
        </w:tc>
        <w:tc>
          <w:tcPr>
            <w:tcW w:w="2325" w:type="dxa"/>
            <w:tcBorders>
              <w:top w:val="nil"/>
              <w:left w:val="nil"/>
              <w:bottom w:val="single" w:sz="4" w:space="0" w:color="auto"/>
              <w:right w:val="single" w:sz="4" w:space="0" w:color="auto"/>
            </w:tcBorders>
            <w:shd w:val="clear" w:color="auto" w:fill="auto"/>
            <w:vAlign w:val="center"/>
            <w:hideMark/>
          </w:tcPr>
          <w:p w14:paraId="52D0BBC8" w14:textId="77777777" w:rsidR="00F53282" w:rsidRPr="002672BC" w:rsidRDefault="00F53282" w:rsidP="00F53282">
            <w:pPr>
              <w:spacing w:after="0"/>
              <w:jc w:val="right"/>
              <w:rPr>
                <w:rFonts w:ascii="Arial" w:eastAsia="Times New Roman" w:hAnsi="Arial" w:cs="Arial"/>
                <w:color w:val="000000"/>
                <w:sz w:val="16"/>
                <w:szCs w:val="16"/>
                <w:lang w:eastAsia="en-AU"/>
              </w:rPr>
            </w:pPr>
            <w:r w:rsidRPr="002672BC">
              <w:rPr>
                <w:rFonts w:ascii="Arial" w:eastAsia="Times New Roman" w:hAnsi="Arial" w:cs="Arial"/>
                <w:color w:val="000000"/>
                <w:sz w:val="16"/>
                <w:szCs w:val="16"/>
                <w:lang w:eastAsia="en-AU"/>
              </w:rPr>
              <w:t>0.1</w:t>
            </w:r>
          </w:p>
        </w:tc>
      </w:tr>
      <w:tr w:rsidR="00F53282" w:rsidRPr="002672BC" w14:paraId="2AC4FFEF" w14:textId="77777777" w:rsidTr="00B849A7">
        <w:trPr>
          <w:trHeight w:val="284"/>
        </w:trPr>
        <w:tc>
          <w:tcPr>
            <w:tcW w:w="2673" w:type="dxa"/>
            <w:tcBorders>
              <w:top w:val="nil"/>
              <w:left w:val="single" w:sz="4" w:space="0" w:color="auto"/>
              <w:bottom w:val="single" w:sz="4" w:space="0" w:color="auto"/>
              <w:right w:val="single" w:sz="4" w:space="0" w:color="auto"/>
            </w:tcBorders>
            <w:shd w:val="clear" w:color="auto" w:fill="auto"/>
            <w:vAlign w:val="center"/>
            <w:hideMark/>
          </w:tcPr>
          <w:p w14:paraId="7BCB9FC9" w14:textId="77777777" w:rsidR="00F53282" w:rsidRPr="002672BC" w:rsidRDefault="00F53282" w:rsidP="00F53282">
            <w:pPr>
              <w:spacing w:after="0"/>
              <w:jc w:val="right"/>
              <w:rPr>
                <w:rFonts w:ascii="Arial" w:eastAsia="Times New Roman" w:hAnsi="Arial" w:cs="Arial"/>
                <w:b/>
                <w:bCs/>
                <w:color w:val="000000"/>
                <w:sz w:val="16"/>
                <w:szCs w:val="16"/>
                <w:lang w:eastAsia="en-AU"/>
              </w:rPr>
            </w:pPr>
            <w:r w:rsidRPr="002672BC">
              <w:rPr>
                <w:rFonts w:ascii="Arial" w:eastAsia="Times New Roman" w:hAnsi="Arial" w:cs="Arial"/>
                <w:b/>
                <w:bCs/>
                <w:color w:val="000000"/>
                <w:sz w:val="16"/>
                <w:szCs w:val="16"/>
                <w:lang w:eastAsia="en-AU"/>
              </w:rPr>
              <w:t>Australian Population</w:t>
            </w:r>
          </w:p>
        </w:tc>
        <w:tc>
          <w:tcPr>
            <w:tcW w:w="4268" w:type="dxa"/>
            <w:tcBorders>
              <w:top w:val="nil"/>
              <w:left w:val="nil"/>
              <w:bottom w:val="single" w:sz="4" w:space="0" w:color="auto"/>
              <w:right w:val="single" w:sz="4" w:space="0" w:color="auto"/>
            </w:tcBorders>
            <w:shd w:val="clear" w:color="auto" w:fill="auto"/>
            <w:vAlign w:val="center"/>
            <w:hideMark/>
          </w:tcPr>
          <w:p w14:paraId="4DBDDD20" w14:textId="77777777" w:rsidR="00F53282" w:rsidRPr="002672BC" w:rsidRDefault="00F53282" w:rsidP="00F53282">
            <w:pPr>
              <w:spacing w:after="0"/>
              <w:jc w:val="right"/>
              <w:rPr>
                <w:rFonts w:ascii="Arial" w:eastAsia="Times New Roman" w:hAnsi="Arial" w:cs="Arial"/>
                <w:color w:val="000000"/>
                <w:sz w:val="16"/>
                <w:szCs w:val="16"/>
                <w:lang w:eastAsia="en-AU"/>
              </w:rPr>
            </w:pPr>
            <w:r w:rsidRPr="002672BC">
              <w:rPr>
                <w:rFonts w:ascii="Arial" w:eastAsia="Times New Roman" w:hAnsi="Arial" w:cs="Arial"/>
                <w:color w:val="000000"/>
                <w:sz w:val="16"/>
                <w:szCs w:val="16"/>
                <w:lang w:eastAsia="en-AU"/>
              </w:rPr>
              <w:t>Australian Population</w:t>
            </w:r>
          </w:p>
        </w:tc>
        <w:tc>
          <w:tcPr>
            <w:tcW w:w="2325" w:type="dxa"/>
            <w:tcBorders>
              <w:top w:val="nil"/>
              <w:left w:val="nil"/>
              <w:bottom w:val="single" w:sz="4" w:space="0" w:color="auto"/>
              <w:right w:val="single" w:sz="4" w:space="0" w:color="auto"/>
            </w:tcBorders>
            <w:shd w:val="clear" w:color="auto" w:fill="auto"/>
            <w:vAlign w:val="center"/>
            <w:hideMark/>
          </w:tcPr>
          <w:p w14:paraId="07D8FF40" w14:textId="77777777" w:rsidR="00F53282" w:rsidRPr="002672BC" w:rsidRDefault="00F53282" w:rsidP="00F53282">
            <w:pPr>
              <w:spacing w:after="0"/>
              <w:jc w:val="right"/>
              <w:rPr>
                <w:rFonts w:ascii="Arial" w:eastAsia="Times New Roman" w:hAnsi="Arial" w:cs="Arial"/>
                <w:color w:val="000000"/>
                <w:sz w:val="16"/>
                <w:szCs w:val="16"/>
                <w:lang w:eastAsia="en-AU"/>
              </w:rPr>
            </w:pPr>
            <w:r w:rsidRPr="002672BC">
              <w:rPr>
                <w:rFonts w:ascii="Arial" w:eastAsia="Times New Roman" w:hAnsi="Arial" w:cs="Arial"/>
                <w:color w:val="000000"/>
                <w:sz w:val="16"/>
                <w:szCs w:val="16"/>
                <w:lang w:eastAsia="en-AU"/>
              </w:rPr>
              <w:t>0.6</w:t>
            </w:r>
          </w:p>
        </w:tc>
      </w:tr>
    </w:tbl>
    <w:p w14:paraId="6A3E53EA" w14:textId="74261F08" w:rsidR="00852036" w:rsidRPr="00A255AF" w:rsidRDefault="00852036" w:rsidP="008027CA">
      <w:pPr>
        <w:keepNext/>
        <w:spacing w:after="0"/>
        <w:textAlignment w:val="baseline"/>
        <w:rPr>
          <w:rFonts w:eastAsia="Times New Roman" w:cs="Arial"/>
          <w:lang w:eastAsia="en-AU"/>
        </w:rPr>
      </w:pPr>
    </w:p>
    <w:p w14:paraId="6BFC8BA5" w14:textId="77777777" w:rsidR="00B2243B" w:rsidRPr="00D068F8" w:rsidRDefault="00B2243B" w:rsidP="008027CA">
      <w:pPr>
        <w:pStyle w:val="Heading4"/>
        <w:rPr>
          <w:b w:val="0"/>
          <w:color w:val="003157"/>
        </w:rPr>
      </w:pPr>
      <w:r w:rsidRPr="00D068F8">
        <w:rPr>
          <w:color w:val="003157"/>
        </w:rPr>
        <w:t>Net Internal Migration</w:t>
      </w:r>
    </w:p>
    <w:p w14:paraId="52863027" w14:textId="74933DEF" w:rsidR="00B2243B" w:rsidRDefault="00B2243B" w:rsidP="007F0F36">
      <w:r>
        <w:t>FIONA models net internal migration in a two</w:t>
      </w:r>
      <w:r w:rsidR="009C1E51">
        <w:t>-</w:t>
      </w:r>
      <w:r>
        <w:t xml:space="preserve">part process. </w:t>
      </w:r>
      <w:r w:rsidR="00F567D7">
        <w:t>D</w:t>
      </w:r>
      <w:r>
        <w:t>eparture and arrival probabilit</w:t>
      </w:r>
      <w:r w:rsidR="00F567D7">
        <w:t xml:space="preserve">ies </w:t>
      </w:r>
      <w:r>
        <w:t xml:space="preserve">are calculated for a given migrant cohort (grouped by age, visa stream and </w:t>
      </w:r>
      <w:r w:rsidR="00970F29">
        <w:t>S</w:t>
      </w:r>
      <w:r>
        <w:t>tate of arrival/departure)</w:t>
      </w:r>
      <w:r w:rsidR="005D7D7A">
        <w:t xml:space="preserve"> for each State</w:t>
      </w:r>
      <w:r>
        <w:t xml:space="preserve">. These probabilities are then applied to the migrant cohort </w:t>
      </w:r>
      <w:r w:rsidR="00F567D7">
        <w:t xml:space="preserve">projected to be </w:t>
      </w:r>
      <w:r>
        <w:t xml:space="preserve">in </w:t>
      </w:r>
      <w:r w:rsidR="00F567D7">
        <w:t>each S</w:t>
      </w:r>
      <w:r>
        <w:t xml:space="preserve">tate at the end of each year to determine the net movement and the population of that </w:t>
      </w:r>
      <w:r w:rsidR="00970F29">
        <w:t>S</w:t>
      </w:r>
      <w:r>
        <w:t>tate for the next year.</w:t>
      </w:r>
    </w:p>
    <w:p w14:paraId="00F221B6" w14:textId="77777777" w:rsidR="00B2243B" w:rsidRDefault="00B2243B" w:rsidP="007F0F36">
      <w:r>
        <w:t>Departure and arrival probabilities are calculated as follows:</w:t>
      </w:r>
    </w:p>
    <w:p w14:paraId="6403F8EA" w14:textId="78F815C6" w:rsidR="00B2243B" w:rsidRPr="007F0F36" w:rsidRDefault="00B2243B" w:rsidP="007F0F36">
      <w:pPr>
        <w:pStyle w:val="Bullet"/>
      </w:pPr>
      <w:r w:rsidRPr="007F0F36">
        <w:t xml:space="preserve">Departures are the average proportion of each </w:t>
      </w:r>
      <w:r w:rsidR="00970F29">
        <w:t>S</w:t>
      </w:r>
      <w:r w:rsidRPr="007F0F36">
        <w:t xml:space="preserve">tate’s population that leave </w:t>
      </w:r>
      <w:proofErr w:type="gramStart"/>
      <w:r w:rsidRPr="007F0F36">
        <w:t>in a given year</w:t>
      </w:r>
      <w:proofErr w:type="gramEnd"/>
      <w:r w:rsidRPr="007F0F36">
        <w:t>.</w:t>
      </w:r>
    </w:p>
    <w:p w14:paraId="077112E3" w14:textId="1A221D2C" w:rsidR="00B2243B" w:rsidRPr="007F0F36" w:rsidRDefault="00B2243B" w:rsidP="007F0F36">
      <w:pPr>
        <w:pStyle w:val="Bullet"/>
      </w:pPr>
      <w:r w:rsidRPr="007F0F36">
        <w:t xml:space="preserve">Arrivals are the average proportion of all individuals that moved </w:t>
      </w:r>
      <w:proofErr w:type="gramStart"/>
      <w:r w:rsidRPr="007F0F36">
        <w:t>in a given year</w:t>
      </w:r>
      <w:proofErr w:type="gramEnd"/>
      <w:r w:rsidRPr="007F0F36">
        <w:t xml:space="preserve"> that arrive in </w:t>
      </w:r>
      <w:r w:rsidR="00FD004F">
        <w:t>each</w:t>
      </w:r>
      <w:r w:rsidRPr="007F0F36">
        <w:t xml:space="preserve"> </w:t>
      </w:r>
      <w:r w:rsidR="00970F29">
        <w:t>S</w:t>
      </w:r>
      <w:r w:rsidRPr="007F0F36">
        <w:t>tate.</w:t>
      </w:r>
    </w:p>
    <w:p w14:paraId="17EE404C" w14:textId="70782E08" w:rsidR="00B2243B" w:rsidRDefault="00B2243B" w:rsidP="007F0F36">
      <w:r>
        <w:t xml:space="preserve">These probabilities are estimated for the main visa streams and by age group and shown below in </w:t>
      </w:r>
      <w:r w:rsidR="00F567D7">
        <w:t>Table</w:t>
      </w:r>
      <w:r w:rsidR="001B1ED2">
        <w:t> </w:t>
      </w:r>
      <w:r w:rsidR="00C30764">
        <w:t>A3</w:t>
      </w:r>
      <w:r>
        <w:t>. These arrivals and departure probabilities are then assumed to converge towards the Australian population over a period of 15 years.</w:t>
      </w:r>
    </w:p>
    <w:p w14:paraId="2A254F12" w14:textId="5389967F" w:rsidR="00B2243B" w:rsidRDefault="00B2243B" w:rsidP="007F0F36">
      <w:r>
        <w:t>Migrant groups are found to have different patterns of net internal migration compared to the Australian population. For instance, migrants are more likely to move</w:t>
      </w:r>
      <w:r w:rsidR="00F567D7">
        <w:t xml:space="preserve"> between States</w:t>
      </w:r>
      <w:r>
        <w:t>, and</w:t>
      </w:r>
      <w:r w:rsidR="00DD4291">
        <w:t>,</w:t>
      </w:r>
      <w:r>
        <w:t xml:space="preserve"> </w:t>
      </w:r>
      <w:r w:rsidR="00DD4291">
        <w:t>when</w:t>
      </w:r>
      <w:r>
        <w:t xml:space="preserve"> they </w:t>
      </w:r>
      <w:r w:rsidR="003170BA">
        <w:t>move,</w:t>
      </w:r>
      <w:r>
        <w:t xml:space="preserve"> they are more likely to move to Victoria, Western </w:t>
      </w:r>
      <w:r w:rsidR="003170BA">
        <w:t>Australia,</w:t>
      </w:r>
      <w:r>
        <w:t xml:space="preserve"> and the ACT.</w:t>
      </w:r>
      <w:r w:rsidR="00FE68FE">
        <w:t xml:space="preserve"> </w:t>
      </w:r>
    </w:p>
    <w:p w14:paraId="74572680" w14:textId="55B90486" w:rsidR="00B2243B" w:rsidRDefault="002152F2" w:rsidP="0023028F">
      <w:pPr>
        <w:pStyle w:val="TableHeading1"/>
      </w:pPr>
      <w:r w:rsidRPr="00F70234">
        <w:t xml:space="preserve">Table </w:t>
      </w:r>
      <w:r w:rsidR="00C30764">
        <w:t>A3</w:t>
      </w:r>
      <w:r w:rsidR="00B2243B" w:rsidRPr="00F70234">
        <w:t xml:space="preserve">: Estimated net internal migration by State and </w:t>
      </w:r>
      <w:r w:rsidR="0001015A" w:rsidRPr="00F70234">
        <w:t>V</w:t>
      </w:r>
      <w:r w:rsidR="00B2243B" w:rsidRPr="00F70234">
        <w:t xml:space="preserve">isa </w:t>
      </w:r>
      <w:r w:rsidR="0001015A" w:rsidRPr="00F70234">
        <w:t>S</w:t>
      </w:r>
      <w:r w:rsidR="00B2243B" w:rsidRPr="00F70234">
        <w:t xml:space="preserve">tream </w:t>
      </w:r>
    </w:p>
    <w:tbl>
      <w:tblPr>
        <w:tblW w:w="9085" w:type="dxa"/>
        <w:tblLook w:val="04A0" w:firstRow="1" w:lastRow="0" w:firstColumn="1" w:lastColumn="0" w:noHBand="0" w:noVBand="1"/>
      </w:tblPr>
      <w:tblGrid>
        <w:gridCol w:w="1765"/>
        <w:gridCol w:w="1651"/>
        <w:gridCol w:w="1805"/>
        <w:gridCol w:w="1962"/>
        <w:gridCol w:w="1902"/>
      </w:tblGrid>
      <w:tr w:rsidR="001B1ED2" w:rsidRPr="000D5CC9" w14:paraId="1741A43D" w14:textId="77777777" w:rsidTr="001B1ED2">
        <w:trPr>
          <w:trHeight w:val="468"/>
        </w:trPr>
        <w:tc>
          <w:tcPr>
            <w:tcW w:w="1765" w:type="dxa"/>
            <w:tcBorders>
              <w:top w:val="single" w:sz="4" w:space="0" w:color="auto"/>
              <w:left w:val="single" w:sz="4" w:space="0" w:color="auto"/>
              <w:bottom w:val="single" w:sz="4" w:space="0" w:color="auto"/>
              <w:right w:val="single" w:sz="4" w:space="0" w:color="auto"/>
            </w:tcBorders>
            <w:shd w:val="clear" w:color="000000" w:fill="CFDCEA"/>
            <w:vAlign w:val="center"/>
            <w:hideMark/>
          </w:tcPr>
          <w:p w14:paraId="7B7DC366" w14:textId="77777777" w:rsidR="001B1ED2" w:rsidRPr="000D5CC9" w:rsidRDefault="001B1ED2" w:rsidP="001B1ED2">
            <w:pPr>
              <w:keepNext/>
              <w:spacing w:after="0"/>
              <w:jc w:val="center"/>
              <w:rPr>
                <w:rFonts w:ascii="Arial" w:eastAsia="Times New Roman" w:hAnsi="Arial" w:cs="Arial"/>
                <w:b/>
                <w:bCs/>
                <w:color w:val="000000"/>
                <w:sz w:val="16"/>
                <w:szCs w:val="16"/>
                <w:lang w:eastAsia="en-AU"/>
              </w:rPr>
            </w:pPr>
            <w:r w:rsidRPr="000D5CC9">
              <w:rPr>
                <w:rFonts w:ascii="Arial" w:eastAsia="Times New Roman" w:hAnsi="Arial" w:cs="Arial"/>
                <w:b/>
                <w:bCs/>
                <w:color w:val="000000"/>
                <w:sz w:val="16"/>
                <w:szCs w:val="16"/>
                <w:lang w:eastAsia="en-AU"/>
              </w:rPr>
              <w:t> </w:t>
            </w:r>
          </w:p>
        </w:tc>
        <w:tc>
          <w:tcPr>
            <w:tcW w:w="1651" w:type="dxa"/>
            <w:tcBorders>
              <w:top w:val="single" w:sz="4" w:space="0" w:color="auto"/>
              <w:left w:val="nil"/>
              <w:bottom w:val="single" w:sz="4" w:space="0" w:color="auto"/>
              <w:right w:val="single" w:sz="2" w:space="0" w:color="auto"/>
            </w:tcBorders>
            <w:shd w:val="clear" w:color="000000" w:fill="CFDCEA"/>
            <w:vAlign w:val="center"/>
          </w:tcPr>
          <w:p w14:paraId="7E31D457" w14:textId="07E5FBDC" w:rsidR="001B1ED2" w:rsidRPr="000D5CC9" w:rsidRDefault="001B1ED2" w:rsidP="001B1ED2">
            <w:pPr>
              <w:keepNext/>
              <w:spacing w:after="0"/>
              <w:jc w:val="center"/>
              <w:rPr>
                <w:rFonts w:ascii="Arial" w:eastAsia="Times New Roman" w:hAnsi="Arial" w:cs="Arial"/>
                <w:b/>
                <w:bCs/>
                <w:color w:val="000000"/>
                <w:sz w:val="16"/>
                <w:szCs w:val="16"/>
                <w:lang w:eastAsia="en-AU"/>
              </w:rPr>
            </w:pPr>
            <w:r w:rsidRPr="000D5CC9">
              <w:rPr>
                <w:rFonts w:ascii="Arial" w:eastAsia="Times New Roman" w:hAnsi="Arial" w:cs="Arial"/>
                <w:b/>
                <w:bCs/>
                <w:color w:val="000000"/>
                <w:sz w:val="16"/>
                <w:szCs w:val="16"/>
                <w:lang w:eastAsia="en-AU"/>
              </w:rPr>
              <w:t>Skilled</w:t>
            </w:r>
          </w:p>
        </w:tc>
        <w:tc>
          <w:tcPr>
            <w:tcW w:w="1805" w:type="dxa"/>
            <w:tcBorders>
              <w:top w:val="single" w:sz="4" w:space="0" w:color="auto"/>
              <w:left w:val="single" w:sz="2" w:space="0" w:color="auto"/>
              <w:bottom w:val="single" w:sz="4" w:space="0" w:color="auto"/>
              <w:right w:val="single" w:sz="4" w:space="0" w:color="auto"/>
            </w:tcBorders>
            <w:shd w:val="clear" w:color="000000" w:fill="CFDCEA"/>
            <w:vAlign w:val="center"/>
            <w:hideMark/>
          </w:tcPr>
          <w:p w14:paraId="22BE23DB" w14:textId="3CAD5DEC" w:rsidR="001B1ED2" w:rsidRPr="000D5CC9" w:rsidRDefault="001B1ED2" w:rsidP="001B1ED2">
            <w:pPr>
              <w:keepNext/>
              <w:spacing w:after="0"/>
              <w:jc w:val="center"/>
              <w:rPr>
                <w:rFonts w:ascii="Arial" w:eastAsia="Times New Roman" w:hAnsi="Arial" w:cs="Arial"/>
                <w:b/>
                <w:bCs/>
                <w:color w:val="000000"/>
                <w:sz w:val="16"/>
                <w:szCs w:val="16"/>
                <w:lang w:eastAsia="en-AU"/>
              </w:rPr>
            </w:pPr>
            <w:r w:rsidRPr="000D5CC9">
              <w:rPr>
                <w:rFonts w:ascii="Arial" w:eastAsia="Times New Roman" w:hAnsi="Arial" w:cs="Arial"/>
                <w:b/>
                <w:bCs/>
                <w:color w:val="000000"/>
                <w:sz w:val="16"/>
                <w:szCs w:val="16"/>
                <w:lang w:eastAsia="en-AU"/>
              </w:rPr>
              <w:t>Family</w:t>
            </w:r>
          </w:p>
        </w:tc>
        <w:tc>
          <w:tcPr>
            <w:tcW w:w="1962" w:type="dxa"/>
            <w:tcBorders>
              <w:top w:val="single" w:sz="4" w:space="0" w:color="auto"/>
              <w:left w:val="nil"/>
              <w:bottom w:val="single" w:sz="4" w:space="0" w:color="auto"/>
              <w:right w:val="single" w:sz="4" w:space="0" w:color="auto"/>
            </w:tcBorders>
            <w:shd w:val="clear" w:color="000000" w:fill="CFDCEA"/>
            <w:vAlign w:val="center"/>
            <w:hideMark/>
          </w:tcPr>
          <w:p w14:paraId="73724F83" w14:textId="77777777" w:rsidR="001B1ED2" w:rsidRPr="000D5CC9" w:rsidRDefault="001B1ED2" w:rsidP="001B1ED2">
            <w:pPr>
              <w:keepNext/>
              <w:spacing w:after="0"/>
              <w:jc w:val="center"/>
              <w:rPr>
                <w:rFonts w:ascii="Arial" w:eastAsia="Times New Roman" w:hAnsi="Arial" w:cs="Arial"/>
                <w:b/>
                <w:bCs/>
                <w:color w:val="000000"/>
                <w:sz w:val="16"/>
                <w:szCs w:val="16"/>
                <w:lang w:eastAsia="en-AU"/>
              </w:rPr>
            </w:pPr>
            <w:r w:rsidRPr="000D5CC9">
              <w:rPr>
                <w:rFonts w:ascii="Arial" w:eastAsia="Times New Roman" w:hAnsi="Arial" w:cs="Arial"/>
                <w:b/>
                <w:bCs/>
                <w:color w:val="000000"/>
                <w:sz w:val="16"/>
                <w:szCs w:val="16"/>
                <w:lang w:eastAsia="en-AU"/>
              </w:rPr>
              <w:t>Humanitarian</w:t>
            </w:r>
          </w:p>
        </w:tc>
        <w:tc>
          <w:tcPr>
            <w:tcW w:w="1902" w:type="dxa"/>
            <w:tcBorders>
              <w:top w:val="single" w:sz="4" w:space="0" w:color="auto"/>
              <w:left w:val="nil"/>
              <w:bottom w:val="single" w:sz="4" w:space="0" w:color="auto"/>
              <w:right w:val="single" w:sz="4" w:space="0" w:color="auto"/>
            </w:tcBorders>
            <w:shd w:val="clear" w:color="000000" w:fill="CFDCEA"/>
            <w:vAlign w:val="center"/>
            <w:hideMark/>
          </w:tcPr>
          <w:p w14:paraId="4812E0AA" w14:textId="77777777" w:rsidR="001B1ED2" w:rsidRPr="000D5CC9" w:rsidRDefault="001B1ED2" w:rsidP="001B1ED2">
            <w:pPr>
              <w:keepNext/>
              <w:spacing w:after="0"/>
              <w:jc w:val="center"/>
              <w:rPr>
                <w:rFonts w:ascii="Arial" w:eastAsia="Times New Roman" w:hAnsi="Arial" w:cs="Arial"/>
                <w:b/>
                <w:bCs/>
                <w:color w:val="000000"/>
                <w:sz w:val="16"/>
                <w:szCs w:val="16"/>
                <w:lang w:eastAsia="en-AU"/>
              </w:rPr>
            </w:pPr>
            <w:r w:rsidRPr="000D5CC9">
              <w:rPr>
                <w:rFonts w:ascii="Arial" w:eastAsia="Times New Roman" w:hAnsi="Arial" w:cs="Arial"/>
                <w:b/>
                <w:bCs/>
                <w:color w:val="000000"/>
                <w:sz w:val="16"/>
                <w:szCs w:val="16"/>
                <w:lang w:eastAsia="en-AU"/>
              </w:rPr>
              <w:t>Australian Population</w:t>
            </w:r>
          </w:p>
        </w:tc>
      </w:tr>
      <w:tr w:rsidR="001B1ED2" w:rsidRPr="000D5CC9" w14:paraId="7E090285" w14:textId="77777777" w:rsidTr="001B1ED2">
        <w:trPr>
          <w:trHeight w:val="264"/>
        </w:trPr>
        <w:tc>
          <w:tcPr>
            <w:tcW w:w="1765" w:type="dxa"/>
            <w:tcBorders>
              <w:top w:val="nil"/>
              <w:left w:val="single" w:sz="4" w:space="0" w:color="auto"/>
              <w:bottom w:val="single" w:sz="4" w:space="0" w:color="auto"/>
              <w:right w:val="single" w:sz="4" w:space="0" w:color="auto"/>
            </w:tcBorders>
            <w:shd w:val="clear" w:color="auto" w:fill="auto"/>
            <w:vAlign w:val="center"/>
            <w:hideMark/>
          </w:tcPr>
          <w:p w14:paraId="4C4680C4" w14:textId="77777777" w:rsidR="001B1ED2" w:rsidRPr="000D5CC9" w:rsidRDefault="001B1ED2" w:rsidP="001B1ED2">
            <w:pPr>
              <w:keepNext/>
              <w:spacing w:after="0"/>
              <w:jc w:val="right"/>
              <w:rPr>
                <w:rFonts w:ascii="Arial" w:eastAsia="Times New Roman" w:hAnsi="Arial" w:cs="Arial"/>
                <w:b/>
                <w:bCs/>
                <w:sz w:val="16"/>
                <w:szCs w:val="16"/>
                <w:lang w:eastAsia="en-AU"/>
              </w:rPr>
            </w:pPr>
            <w:r w:rsidRPr="000D5CC9">
              <w:rPr>
                <w:rFonts w:ascii="Arial" w:eastAsia="Times New Roman" w:hAnsi="Arial" w:cs="Arial"/>
                <w:b/>
                <w:bCs/>
                <w:sz w:val="16"/>
                <w:szCs w:val="16"/>
                <w:lang w:eastAsia="en-AU"/>
              </w:rPr>
              <w:t>ACT</w:t>
            </w:r>
          </w:p>
        </w:tc>
        <w:tc>
          <w:tcPr>
            <w:tcW w:w="1651" w:type="dxa"/>
            <w:tcBorders>
              <w:top w:val="single" w:sz="4" w:space="0" w:color="auto"/>
              <w:left w:val="nil"/>
              <w:bottom w:val="single" w:sz="4" w:space="0" w:color="auto"/>
              <w:right w:val="single" w:sz="2" w:space="0" w:color="auto"/>
            </w:tcBorders>
            <w:vAlign w:val="center"/>
          </w:tcPr>
          <w:p w14:paraId="5BDF8CD7" w14:textId="1CFBD861"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0.50%</w:t>
            </w:r>
          </w:p>
        </w:tc>
        <w:tc>
          <w:tcPr>
            <w:tcW w:w="1805" w:type="dxa"/>
            <w:tcBorders>
              <w:top w:val="nil"/>
              <w:left w:val="single" w:sz="2" w:space="0" w:color="auto"/>
              <w:bottom w:val="single" w:sz="4" w:space="0" w:color="auto"/>
              <w:right w:val="single" w:sz="4" w:space="0" w:color="auto"/>
            </w:tcBorders>
            <w:shd w:val="clear" w:color="auto" w:fill="auto"/>
            <w:vAlign w:val="center"/>
            <w:hideMark/>
          </w:tcPr>
          <w:p w14:paraId="47C6B96B" w14:textId="26EB8C58"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1.03%</w:t>
            </w:r>
          </w:p>
        </w:tc>
        <w:tc>
          <w:tcPr>
            <w:tcW w:w="1962" w:type="dxa"/>
            <w:tcBorders>
              <w:top w:val="nil"/>
              <w:left w:val="nil"/>
              <w:bottom w:val="single" w:sz="4" w:space="0" w:color="auto"/>
              <w:right w:val="single" w:sz="4" w:space="0" w:color="auto"/>
            </w:tcBorders>
            <w:shd w:val="clear" w:color="auto" w:fill="auto"/>
            <w:vAlign w:val="center"/>
            <w:hideMark/>
          </w:tcPr>
          <w:p w14:paraId="2DC40C06" w14:textId="77777777"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0.94%</w:t>
            </w:r>
          </w:p>
        </w:tc>
        <w:tc>
          <w:tcPr>
            <w:tcW w:w="1902" w:type="dxa"/>
            <w:tcBorders>
              <w:top w:val="nil"/>
              <w:left w:val="nil"/>
              <w:bottom w:val="single" w:sz="4" w:space="0" w:color="auto"/>
              <w:right w:val="single" w:sz="4" w:space="0" w:color="auto"/>
            </w:tcBorders>
            <w:shd w:val="clear" w:color="auto" w:fill="auto"/>
            <w:vAlign w:val="center"/>
            <w:hideMark/>
          </w:tcPr>
          <w:p w14:paraId="162E01D5" w14:textId="77777777"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0.04%</w:t>
            </w:r>
          </w:p>
        </w:tc>
      </w:tr>
      <w:tr w:rsidR="001B1ED2" w:rsidRPr="000D5CC9" w14:paraId="51810987" w14:textId="77777777" w:rsidTr="001B1ED2">
        <w:trPr>
          <w:trHeight w:val="264"/>
        </w:trPr>
        <w:tc>
          <w:tcPr>
            <w:tcW w:w="1765" w:type="dxa"/>
            <w:tcBorders>
              <w:top w:val="nil"/>
              <w:left w:val="single" w:sz="4" w:space="0" w:color="auto"/>
              <w:bottom w:val="single" w:sz="4" w:space="0" w:color="auto"/>
              <w:right w:val="single" w:sz="4" w:space="0" w:color="auto"/>
            </w:tcBorders>
            <w:shd w:val="clear" w:color="auto" w:fill="auto"/>
            <w:vAlign w:val="center"/>
            <w:hideMark/>
          </w:tcPr>
          <w:p w14:paraId="3AB2A6B9" w14:textId="77777777" w:rsidR="001B1ED2" w:rsidRPr="000D5CC9" w:rsidRDefault="001B1ED2" w:rsidP="001B1ED2">
            <w:pPr>
              <w:keepNext/>
              <w:spacing w:after="0"/>
              <w:jc w:val="right"/>
              <w:rPr>
                <w:rFonts w:ascii="Arial" w:eastAsia="Times New Roman" w:hAnsi="Arial" w:cs="Arial"/>
                <w:b/>
                <w:bCs/>
                <w:sz w:val="16"/>
                <w:szCs w:val="16"/>
                <w:lang w:eastAsia="en-AU"/>
              </w:rPr>
            </w:pPr>
            <w:r w:rsidRPr="000D5CC9">
              <w:rPr>
                <w:rFonts w:ascii="Arial" w:eastAsia="Times New Roman" w:hAnsi="Arial" w:cs="Arial"/>
                <w:b/>
                <w:bCs/>
                <w:sz w:val="16"/>
                <w:szCs w:val="16"/>
                <w:lang w:eastAsia="en-AU"/>
              </w:rPr>
              <w:t>NSW</w:t>
            </w:r>
          </w:p>
        </w:tc>
        <w:tc>
          <w:tcPr>
            <w:tcW w:w="1651" w:type="dxa"/>
            <w:tcBorders>
              <w:top w:val="single" w:sz="4" w:space="0" w:color="auto"/>
              <w:left w:val="nil"/>
              <w:bottom w:val="single" w:sz="4" w:space="0" w:color="auto"/>
              <w:right w:val="single" w:sz="2" w:space="0" w:color="auto"/>
            </w:tcBorders>
            <w:vAlign w:val="center"/>
          </w:tcPr>
          <w:p w14:paraId="4F5E2766" w14:textId="04A8B039"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–0.13%</w:t>
            </w:r>
          </w:p>
        </w:tc>
        <w:tc>
          <w:tcPr>
            <w:tcW w:w="1805" w:type="dxa"/>
            <w:tcBorders>
              <w:top w:val="nil"/>
              <w:left w:val="single" w:sz="2" w:space="0" w:color="auto"/>
              <w:bottom w:val="single" w:sz="4" w:space="0" w:color="auto"/>
              <w:right w:val="single" w:sz="4" w:space="0" w:color="auto"/>
            </w:tcBorders>
            <w:shd w:val="clear" w:color="auto" w:fill="auto"/>
            <w:vAlign w:val="center"/>
            <w:hideMark/>
          </w:tcPr>
          <w:p w14:paraId="72B2CB2A" w14:textId="3A3B6842"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–0.29%</w:t>
            </w:r>
          </w:p>
        </w:tc>
        <w:tc>
          <w:tcPr>
            <w:tcW w:w="1962" w:type="dxa"/>
            <w:tcBorders>
              <w:top w:val="nil"/>
              <w:left w:val="nil"/>
              <w:bottom w:val="single" w:sz="4" w:space="0" w:color="auto"/>
              <w:right w:val="single" w:sz="4" w:space="0" w:color="auto"/>
            </w:tcBorders>
            <w:shd w:val="clear" w:color="auto" w:fill="auto"/>
            <w:vAlign w:val="center"/>
            <w:hideMark/>
          </w:tcPr>
          <w:p w14:paraId="502900CB" w14:textId="77777777"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–0.35%</w:t>
            </w:r>
          </w:p>
        </w:tc>
        <w:tc>
          <w:tcPr>
            <w:tcW w:w="1902" w:type="dxa"/>
            <w:tcBorders>
              <w:top w:val="nil"/>
              <w:left w:val="nil"/>
              <w:bottom w:val="single" w:sz="4" w:space="0" w:color="auto"/>
              <w:right w:val="single" w:sz="4" w:space="0" w:color="auto"/>
            </w:tcBorders>
            <w:shd w:val="clear" w:color="auto" w:fill="auto"/>
            <w:vAlign w:val="center"/>
            <w:hideMark/>
          </w:tcPr>
          <w:p w14:paraId="1D5B455F" w14:textId="77777777"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–0.15%</w:t>
            </w:r>
          </w:p>
        </w:tc>
      </w:tr>
      <w:tr w:rsidR="001B1ED2" w:rsidRPr="000D5CC9" w14:paraId="60E8428F" w14:textId="77777777" w:rsidTr="001B1ED2">
        <w:trPr>
          <w:trHeight w:val="264"/>
        </w:trPr>
        <w:tc>
          <w:tcPr>
            <w:tcW w:w="1765" w:type="dxa"/>
            <w:tcBorders>
              <w:top w:val="nil"/>
              <w:left w:val="single" w:sz="4" w:space="0" w:color="auto"/>
              <w:bottom w:val="single" w:sz="4" w:space="0" w:color="auto"/>
              <w:right w:val="single" w:sz="4" w:space="0" w:color="auto"/>
            </w:tcBorders>
            <w:shd w:val="clear" w:color="auto" w:fill="auto"/>
            <w:vAlign w:val="center"/>
            <w:hideMark/>
          </w:tcPr>
          <w:p w14:paraId="5E576CD6" w14:textId="77777777" w:rsidR="001B1ED2" w:rsidRPr="000D5CC9" w:rsidRDefault="001B1ED2" w:rsidP="001B1ED2">
            <w:pPr>
              <w:keepNext/>
              <w:spacing w:after="0"/>
              <w:jc w:val="right"/>
              <w:rPr>
                <w:rFonts w:ascii="Arial" w:eastAsia="Times New Roman" w:hAnsi="Arial" w:cs="Arial"/>
                <w:b/>
                <w:bCs/>
                <w:sz w:val="16"/>
                <w:szCs w:val="16"/>
                <w:lang w:eastAsia="en-AU"/>
              </w:rPr>
            </w:pPr>
            <w:r w:rsidRPr="000D5CC9">
              <w:rPr>
                <w:rFonts w:ascii="Arial" w:eastAsia="Times New Roman" w:hAnsi="Arial" w:cs="Arial"/>
                <w:b/>
                <w:bCs/>
                <w:sz w:val="16"/>
                <w:szCs w:val="16"/>
                <w:lang w:eastAsia="en-AU"/>
              </w:rPr>
              <w:t>NT</w:t>
            </w:r>
          </w:p>
        </w:tc>
        <w:tc>
          <w:tcPr>
            <w:tcW w:w="1651" w:type="dxa"/>
            <w:tcBorders>
              <w:top w:val="single" w:sz="4" w:space="0" w:color="auto"/>
              <w:left w:val="nil"/>
              <w:bottom w:val="single" w:sz="4" w:space="0" w:color="auto"/>
              <w:right w:val="single" w:sz="2" w:space="0" w:color="auto"/>
            </w:tcBorders>
            <w:vAlign w:val="center"/>
          </w:tcPr>
          <w:p w14:paraId="10B1DEC5" w14:textId="567D29E9"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–2.04%</w:t>
            </w:r>
          </w:p>
        </w:tc>
        <w:tc>
          <w:tcPr>
            <w:tcW w:w="1805" w:type="dxa"/>
            <w:tcBorders>
              <w:top w:val="nil"/>
              <w:left w:val="single" w:sz="2" w:space="0" w:color="auto"/>
              <w:bottom w:val="single" w:sz="4" w:space="0" w:color="auto"/>
              <w:right w:val="single" w:sz="4" w:space="0" w:color="auto"/>
            </w:tcBorders>
            <w:shd w:val="clear" w:color="auto" w:fill="auto"/>
            <w:vAlign w:val="center"/>
            <w:hideMark/>
          </w:tcPr>
          <w:p w14:paraId="5AF7440D" w14:textId="00B2800A"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–1.12%</w:t>
            </w:r>
          </w:p>
        </w:tc>
        <w:tc>
          <w:tcPr>
            <w:tcW w:w="1962" w:type="dxa"/>
            <w:tcBorders>
              <w:top w:val="nil"/>
              <w:left w:val="nil"/>
              <w:bottom w:val="single" w:sz="4" w:space="0" w:color="auto"/>
              <w:right w:val="single" w:sz="4" w:space="0" w:color="auto"/>
            </w:tcBorders>
            <w:shd w:val="clear" w:color="auto" w:fill="auto"/>
            <w:vAlign w:val="center"/>
            <w:hideMark/>
          </w:tcPr>
          <w:p w14:paraId="5AFA9FA8" w14:textId="77777777"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–3.26%</w:t>
            </w:r>
          </w:p>
        </w:tc>
        <w:tc>
          <w:tcPr>
            <w:tcW w:w="1902" w:type="dxa"/>
            <w:tcBorders>
              <w:top w:val="nil"/>
              <w:left w:val="nil"/>
              <w:bottom w:val="single" w:sz="4" w:space="0" w:color="auto"/>
              <w:right w:val="single" w:sz="4" w:space="0" w:color="auto"/>
            </w:tcBorders>
            <w:shd w:val="clear" w:color="auto" w:fill="auto"/>
            <w:vAlign w:val="center"/>
            <w:hideMark/>
          </w:tcPr>
          <w:p w14:paraId="35037690" w14:textId="77777777"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–0.66%</w:t>
            </w:r>
          </w:p>
        </w:tc>
      </w:tr>
      <w:tr w:rsidR="001B1ED2" w:rsidRPr="000D5CC9" w14:paraId="7A451448" w14:textId="77777777" w:rsidTr="001B1ED2">
        <w:trPr>
          <w:trHeight w:val="264"/>
        </w:trPr>
        <w:tc>
          <w:tcPr>
            <w:tcW w:w="1765" w:type="dxa"/>
            <w:tcBorders>
              <w:top w:val="nil"/>
              <w:left w:val="single" w:sz="4" w:space="0" w:color="auto"/>
              <w:bottom w:val="single" w:sz="4" w:space="0" w:color="auto"/>
              <w:right w:val="single" w:sz="4" w:space="0" w:color="auto"/>
            </w:tcBorders>
            <w:shd w:val="clear" w:color="auto" w:fill="auto"/>
            <w:vAlign w:val="center"/>
            <w:hideMark/>
          </w:tcPr>
          <w:p w14:paraId="494E5665" w14:textId="77777777" w:rsidR="001B1ED2" w:rsidRPr="000D5CC9" w:rsidRDefault="001B1ED2" w:rsidP="001B1ED2">
            <w:pPr>
              <w:keepNext/>
              <w:spacing w:after="0"/>
              <w:jc w:val="right"/>
              <w:rPr>
                <w:rFonts w:ascii="Arial" w:eastAsia="Times New Roman" w:hAnsi="Arial" w:cs="Arial"/>
                <w:b/>
                <w:bCs/>
                <w:sz w:val="16"/>
                <w:szCs w:val="16"/>
                <w:lang w:eastAsia="en-AU"/>
              </w:rPr>
            </w:pPr>
            <w:r w:rsidRPr="000D5CC9">
              <w:rPr>
                <w:rFonts w:ascii="Arial" w:eastAsia="Times New Roman" w:hAnsi="Arial" w:cs="Arial"/>
                <w:b/>
                <w:bCs/>
                <w:sz w:val="16"/>
                <w:szCs w:val="16"/>
                <w:lang w:eastAsia="en-AU"/>
              </w:rPr>
              <w:t>QLD</w:t>
            </w:r>
          </w:p>
        </w:tc>
        <w:tc>
          <w:tcPr>
            <w:tcW w:w="1651" w:type="dxa"/>
            <w:tcBorders>
              <w:top w:val="single" w:sz="4" w:space="0" w:color="auto"/>
              <w:left w:val="nil"/>
              <w:bottom w:val="single" w:sz="4" w:space="0" w:color="auto"/>
              <w:right w:val="single" w:sz="2" w:space="0" w:color="auto"/>
            </w:tcBorders>
            <w:vAlign w:val="center"/>
          </w:tcPr>
          <w:p w14:paraId="4B5D26B2" w14:textId="1ABDBA1F"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0.41%</w:t>
            </w:r>
          </w:p>
        </w:tc>
        <w:tc>
          <w:tcPr>
            <w:tcW w:w="1805" w:type="dxa"/>
            <w:tcBorders>
              <w:top w:val="nil"/>
              <w:left w:val="single" w:sz="2" w:space="0" w:color="auto"/>
              <w:bottom w:val="single" w:sz="4" w:space="0" w:color="auto"/>
              <w:right w:val="single" w:sz="4" w:space="0" w:color="auto"/>
            </w:tcBorders>
            <w:shd w:val="clear" w:color="auto" w:fill="auto"/>
            <w:vAlign w:val="center"/>
            <w:hideMark/>
          </w:tcPr>
          <w:p w14:paraId="5D55307D" w14:textId="5EEAF0EC"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0.31%</w:t>
            </w:r>
          </w:p>
        </w:tc>
        <w:tc>
          <w:tcPr>
            <w:tcW w:w="1962" w:type="dxa"/>
            <w:tcBorders>
              <w:top w:val="nil"/>
              <w:left w:val="nil"/>
              <w:bottom w:val="single" w:sz="4" w:space="0" w:color="auto"/>
              <w:right w:val="single" w:sz="4" w:space="0" w:color="auto"/>
            </w:tcBorders>
            <w:shd w:val="clear" w:color="auto" w:fill="auto"/>
            <w:vAlign w:val="center"/>
            <w:hideMark/>
          </w:tcPr>
          <w:p w14:paraId="28321669" w14:textId="77777777"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–0.30%</w:t>
            </w:r>
          </w:p>
        </w:tc>
        <w:tc>
          <w:tcPr>
            <w:tcW w:w="1902" w:type="dxa"/>
            <w:tcBorders>
              <w:top w:val="nil"/>
              <w:left w:val="nil"/>
              <w:bottom w:val="single" w:sz="4" w:space="0" w:color="auto"/>
              <w:right w:val="single" w:sz="4" w:space="0" w:color="auto"/>
            </w:tcBorders>
            <w:shd w:val="clear" w:color="auto" w:fill="auto"/>
            <w:vAlign w:val="center"/>
            <w:hideMark/>
          </w:tcPr>
          <w:p w14:paraId="22B7A516" w14:textId="77777777"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0.19%</w:t>
            </w:r>
          </w:p>
        </w:tc>
      </w:tr>
      <w:tr w:rsidR="001B1ED2" w:rsidRPr="000D5CC9" w14:paraId="7F06CDCB" w14:textId="77777777" w:rsidTr="001B1ED2">
        <w:trPr>
          <w:trHeight w:val="264"/>
        </w:trPr>
        <w:tc>
          <w:tcPr>
            <w:tcW w:w="1765" w:type="dxa"/>
            <w:tcBorders>
              <w:top w:val="nil"/>
              <w:left w:val="single" w:sz="4" w:space="0" w:color="auto"/>
              <w:bottom w:val="single" w:sz="4" w:space="0" w:color="auto"/>
              <w:right w:val="single" w:sz="4" w:space="0" w:color="auto"/>
            </w:tcBorders>
            <w:shd w:val="clear" w:color="auto" w:fill="auto"/>
            <w:vAlign w:val="center"/>
            <w:hideMark/>
          </w:tcPr>
          <w:p w14:paraId="4727FF73" w14:textId="77777777" w:rsidR="001B1ED2" w:rsidRPr="000D5CC9" w:rsidRDefault="001B1ED2" w:rsidP="001B1ED2">
            <w:pPr>
              <w:keepNext/>
              <w:spacing w:after="0"/>
              <w:jc w:val="right"/>
              <w:rPr>
                <w:rFonts w:ascii="Arial" w:eastAsia="Times New Roman" w:hAnsi="Arial" w:cs="Arial"/>
                <w:b/>
                <w:bCs/>
                <w:sz w:val="16"/>
                <w:szCs w:val="16"/>
                <w:lang w:eastAsia="en-AU"/>
              </w:rPr>
            </w:pPr>
            <w:r w:rsidRPr="000D5CC9">
              <w:rPr>
                <w:rFonts w:ascii="Arial" w:eastAsia="Times New Roman" w:hAnsi="Arial" w:cs="Arial"/>
                <w:b/>
                <w:bCs/>
                <w:sz w:val="16"/>
                <w:szCs w:val="16"/>
                <w:lang w:eastAsia="en-AU"/>
              </w:rPr>
              <w:t>SA</w:t>
            </w:r>
          </w:p>
        </w:tc>
        <w:tc>
          <w:tcPr>
            <w:tcW w:w="1651" w:type="dxa"/>
            <w:tcBorders>
              <w:top w:val="single" w:sz="4" w:space="0" w:color="auto"/>
              <w:left w:val="nil"/>
              <w:bottom w:val="single" w:sz="4" w:space="0" w:color="auto"/>
              <w:right w:val="single" w:sz="2" w:space="0" w:color="auto"/>
            </w:tcBorders>
            <w:vAlign w:val="center"/>
          </w:tcPr>
          <w:p w14:paraId="21710BF6" w14:textId="7B99EF01"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–1.59%</w:t>
            </w:r>
          </w:p>
        </w:tc>
        <w:tc>
          <w:tcPr>
            <w:tcW w:w="1805" w:type="dxa"/>
            <w:tcBorders>
              <w:top w:val="nil"/>
              <w:left w:val="single" w:sz="2" w:space="0" w:color="auto"/>
              <w:bottom w:val="single" w:sz="4" w:space="0" w:color="auto"/>
              <w:right w:val="single" w:sz="4" w:space="0" w:color="auto"/>
            </w:tcBorders>
            <w:shd w:val="clear" w:color="auto" w:fill="auto"/>
            <w:vAlign w:val="center"/>
            <w:hideMark/>
          </w:tcPr>
          <w:p w14:paraId="647FAAD4" w14:textId="2F65ADD5"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–0.59%</w:t>
            </w:r>
          </w:p>
        </w:tc>
        <w:tc>
          <w:tcPr>
            <w:tcW w:w="1962" w:type="dxa"/>
            <w:tcBorders>
              <w:top w:val="nil"/>
              <w:left w:val="nil"/>
              <w:bottom w:val="single" w:sz="4" w:space="0" w:color="auto"/>
              <w:right w:val="single" w:sz="4" w:space="0" w:color="auto"/>
            </w:tcBorders>
            <w:shd w:val="clear" w:color="auto" w:fill="auto"/>
            <w:vAlign w:val="center"/>
            <w:hideMark/>
          </w:tcPr>
          <w:p w14:paraId="10C96EDF" w14:textId="77777777"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–1.55%</w:t>
            </w:r>
          </w:p>
        </w:tc>
        <w:tc>
          <w:tcPr>
            <w:tcW w:w="1902" w:type="dxa"/>
            <w:tcBorders>
              <w:top w:val="nil"/>
              <w:left w:val="nil"/>
              <w:bottom w:val="single" w:sz="4" w:space="0" w:color="auto"/>
              <w:right w:val="single" w:sz="4" w:space="0" w:color="auto"/>
            </w:tcBorders>
            <w:shd w:val="clear" w:color="auto" w:fill="auto"/>
            <w:vAlign w:val="center"/>
            <w:hideMark/>
          </w:tcPr>
          <w:p w14:paraId="4847A160" w14:textId="77777777"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–0.28%</w:t>
            </w:r>
          </w:p>
        </w:tc>
      </w:tr>
      <w:tr w:rsidR="001B1ED2" w:rsidRPr="000D5CC9" w14:paraId="416DB340" w14:textId="77777777" w:rsidTr="001B1ED2">
        <w:trPr>
          <w:trHeight w:val="264"/>
        </w:trPr>
        <w:tc>
          <w:tcPr>
            <w:tcW w:w="1765" w:type="dxa"/>
            <w:tcBorders>
              <w:top w:val="nil"/>
              <w:left w:val="single" w:sz="4" w:space="0" w:color="auto"/>
              <w:bottom w:val="single" w:sz="4" w:space="0" w:color="auto"/>
              <w:right w:val="single" w:sz="4" w:space="0" w:color="auto"/>
            </w:tcBorders>
            <w:shd w:val="clear" w:color="auto" w:fill="auto"/>
            <w:vAlign w:val="center"/>
            <w:hideMark/>
          </w:tcPr>
          <w:p w14:paraId="4311D07E" w14:textId="77777777" w:rsidR="001B1ED2" w:rsidRPr="000D5CC9" w:rsidRDefault="001B1ED2" w:rsidP="001B1ED2">
            <w:pPr>
              <w:keepNext/>
              <w:spacing w:after="0"/>
              <w:jc w:val="right"/>
              <w:rPr>
                <w:rFonts w:ascii="Arial" w:eastAsia="Times New Roman" w:hAnsi="Arial" w:cs="Arial"/>
                <w:b/>
                <w:bCs/>
                <w:color w:val="000000"/>
                <w:sz w:val="16"/>
                <w:szCs w:val="16"/>
                <w:lang w:eastAsia="en-AU"/>
              </w:rPr>
            </w:pPr>
            <w:r w:rsidRPr="000D5CC9">
              <w:rPr>
                <w:rFonts w:ascii="Arial" w:eastAsia="Times New Roman" w:hAnsi="Arial" w:cs="Arial"/>
                <w:b/>
                <w:bCs/>
                <w:color w:val="000000"/>
                <w:sz w:val="16"/>
                <w:szCs w:val="16"/>
                <w:lang w:eastAsia="en-AU"/>
              </w:rPr>
              <w:t>TAS</w:t>
            </w:r>
          </w:p>
        </w:tc>
        <w:tc>
          <w:tcPr>
            <w:tcW w:w="1651" w:type="dxa"/>
            <w:tcBorders>
              <w:top w:val="single" w:sz="4" w:space="0" w:color="auto"/>
              <w:left w:val="nil"/>
              <w:bottom w:val="single" w:sz="4" w:space="0" w:color="auto"/>
              <w:right w:val="single" w:sz="2" w:space="0" w:color="auto"/>
            </w:tcBorders>
            <w:vAlign w:val="center"/>
          </w:tcPr>
          <w:p w14:paraId="446937E4" w14:textId="5B72FEF6" w:rsidR="001B1ED2" w:rsidRPr="000D5CC9" w:rsidRDefault="001B1ED2" w:rsidP="001B1ED2">
            <w:pPr>
              <w:keepNext/>
              <w:spacing w:after="0"/>
              <w:jc w:val="right"/>
              <w:rPr>
                <w:rFonts w:ascii="Arial" w:eastAsia="Times New Roman" w:hAnsi="Arial" w:cs="Arial"/>
                <w:color w:val="000000"/>
                <w:sz w:val="16"/>
                <w:szCs w:val="16"/>
                <w:lang w:eastAsia="en-AU"/>
              </w:rPr>
            </w:pPr>
            <w:r w:rsidRPr="000D5CC9">
              <w:rPr>
                <w:rFonts w:ascii="Arial" w:eastAsia="Times New Roman" w:hAnsi="Arial" w:cs="Arial"/>
                <w:color w:val="000000"/>
                <w:sz w:val="16"/>
                <w:szCs w:val="16"/>
                <w:lang w:eastAsia="en-AU"/>
              </w:rPr>
              <w:t>–1.77%</w:t>
            </w:r>
          </w:p>
        </w:tc>
        <w:tc>
          <w:tcPr>
            <w:tcW w:w="1805" w:type="dxa"/>
            <w:tcBorders>
              <w:top w:val="nil"/>
              <w:left w:val="single" w:sz="2" w:space="0" w:color="auto"/>
              <w:bottom w:val="single" w:sz="4" w:space="0" w:color="auto"/>
              <w:right w:val="single" w:sz="4" w:space="0" w:color="auto"/>
            </w:tcBorders>
            <w:shd w:val="clear" w:color="auto" w:fill="auto"/>
            <w:vAlign w:val="center"/>
            <w:hideMark/>
          </w:tcPr>
          <w:p w14:paraId="1D785368" w14:textId="775BBC16" w:rsidR="001B1ED2" w:rsidRPr="000D5CC9" w:rsidRDefault="001B1ED2" w:rsidP="001B1ED2">
            <w:pPr>
              <w:keepNext/>
              <w:spacing w:after="0"/>
              <w:jc w:val="right"/>
              <w:rPr>
                <w:rFonts w:ascii="Arial" w:eastAsia="Times New Roman" w:hAnsi="Arial" w:cs="Arial"/>
                <w:color w:val="000000"/>
                <w:sz w:val="16"/>
                <w:szCs w:val="16"/>
                <w:lang w:eastAsia="en-AU"/>
              </w:rPr>
            </w:pPr>
            <w:r w:rsidRPr="000D5CC9">
              <w:rPr>
                <w:rFonts w:ascii="Arial" w:eastAsia="Times New Roman" w:hAnsi="Arial" w:cs="Arial"/>
                <w:color w:val="000000"/>
                <w:sz w:val="16"/>
                <w:szCs w:val="16"/>
                <w:lang w:eastAsia="en-AU"/>
              </w:rPr>
              <w:t>–0.26%</w:t>
            </w:r>
          </w:p>
        </w:tc>
        <w:tc>
          <w:tcPr>
            <w:tcW w:w="1962" w:type="dxa"/>
            <w:tcBorders>
              <w:top w:val="nil"/>
              <w:left w:val="nil"/>
              <w:bottom w:val="single" w:sz="4" w:space="0" w:color="auto"/>
              <w:right w:val="single" w:sz="4" w:space="0" w:color="auto"/>
            </w:tcBorders>
            <w:shd w:val="clear" w:color="auto" w:fill="auto"/>
            <w:vAlign w:val="center"/>
            <w:hideMark/>
          </w:tcPr>
          <w:p w14:paraId="2C248A42" w14:textId="77777777" w:rsidR="001B1ED2" w:rsidRPr="000D5CC9" w:rsidRDefault="001B1ED2" w:rsidP="001B1ED2">
            <w:pPr>
              <w:keepNext/>
              <w:spacing w:after="0"/>
              <w:jc w:val="right"/>
              <w:rPr>
                <w:rFonts w:ascii="Arial" w:eastAsia="Times New Roman" w:hAnsi="Arial" w:cs="Arial"/>
                <w:color w:val="000000"/>
                <w:sz w:val="16"/>
                <w:szCs w:val="16"/>
                <w:lang w:eastAsia="en-AU"/>
              </w:rPr>
            </w:pPr>
            <w:r w:rsidRPr="000D5CC9">
              <w:rPr>
                <w:rFonts w:ascii="Arial" w:eastAsia="Times New Roman" w:hAnsi="Arial" w:cs="Arial"/>
                <w:color w:val="000000"/>
                <w:sz w:val="16"/>
                <w:szCs w:val="16"/>
                <w:lang w:eastAsia="en-AU"/>
              </w:rPr>
              <w:t>–7.77%</w:t>
            </w:r>
          </w:p>
        </w:tc>
        <w:tc>
          <w:tcPr>
            <w:tcW w:w="1902" w:type="dxa"/>
            <w:tcBorders>
              <w:top w:val="nil"/>
              <w:left w:val="nil"/>
              <w:bottom w:val="single" w:sz="4" w:space="0" w:color="auto"/>
              <w:right w:val="single" w:sz="4" w:space="0" w:color="auto"/>
            </w:tcBorders>
            <w:shd w:val="clear" w:color="auto" w:fill="auto"/>
            <w:vAlign w:val="center"/>
            <w:hideMark/>
          </w:tcPr>
          <w:p w14:paraId="6A00F2C1" w14:textId="77777777" w:rsidR="001B1ED2" w:rsidRPr="000D5CC9" w:rsidRDefault="001B1ED2" w:rsidP="001B1ED2">
            <w:pPr>
              <w:keepNext/>
              <w:spacing w:after="0"/>
              <w:jc w:val="right"/>
              <w:rPr>
                <w:rFonts w:ascii="Arial" w:eastAsia="Times New Roman" w:hAnsi="Arial" w:cs="Arial"/>
                <w:color w:val="000000"/>
                <w:sz w:val="16"/>
                <w:szCs w:val="16"/>
                <w:lang w:eastAsia="en-AU"/>
              </w:rPr>
            </w:pPr>
            <w:r w:rsidRPr="000D5CC9">
              <w:rPr>
                <w:rFonts w:ascii="Arial" w:eastAsia="Times New Roman" w:hAnsi="Arial" w:cs="Arial"/>
                <w:color w:val="000000"/>
                <w:sz w:val="16"/>
                <w:szCs w:val="16"/>
                <w:lang w:eastAsia="en-AU"/>
              </w:rPr>
              <w:t>–0.11%</w:t>
            </w:r>
          </w:p>
        </w:tc>
      </w:tr>
      <w:tr w:rsidR="001B1ED2" w:rsidRPr="000D5CC9" w14:paraId="2FD47DDF" w14:textId="77777777" w:rsidTr="001B1ED2">
        <w:trPr>
          <w:trHeight w:val="264"/>
        </w:trPr>
        <w:tc>
          <w:tcPr>
            <w:tcW w:w="1765" w:type="dxa"/>
            <w:tcBorders>
              <w:top w:val="nil"/>
              <w:left w:val="single" w:sz="4" w:space="0" w:color="auto"/>
              <w:bottom w:val="single" w:sz="4" w:space="0" w:color="auto"/>
              <w:right w:val="single" w:sz="4" w:space="0" w:color="auto"/>
            </w:tcBorders>
            <w:shd w:val="clear" w:color="auto" w:fill="auto"/>
            <w:vAlign w:val="center"/>
            <w:hideMark/>
          </w:tcPr>
          <w:p w14:paraId="28826FA0" w14:textId="77777777" w:rsidR="001B1ED2" w:rsidRPr="000D5CC9" w:rsidRDefault="001B1ED2" w:rsidP="001B1ED2">
            <w:pPr>
              <w:keepNext/>
              <w:spacing w:after="0"/>
              <w:jc w:val="right"/>
              <w:rPr>
                <w:rFonts w:ascii="Arial" w:eastAsia="Times New Roman" w:hAnsi="Arial" w:cs="Arial"/>
                <w:b/>
                <w:bCs/>
                <w:color w:val="000000"/>
                <w:sz w:val="16"/>
                <w:szCs w:val="16"/>
                <w:lang w:eastAsia="en-AU"/>
              </w:rPr>
            </w:pPr>
            <w:r w:rsidRPr="000D5CC9">
              <w:rPr>
                <w:rFonts w:ascii="Arial" w:eastAsia="Times New Roman" w:hAnsi="Arial" w:cs="Arial"/>
                <w:b/>
                <w:bCs/>
                <w:color w:val="000000"/>
                <w:sz w:val="16"/>
                <w:szCs w:val="16"/>
                <w:lang w:eastAsia="en-AU"/>
              </w:rPr>
              <w:t>VIC</w:t>
            </w:r>
          </w:p>
        </w:tc>
        <w:tc>
          <w:tcPr>
            <w:tcW w:w="1651" w:type="dxa"/>
            <w:tcBorders>
              <w:top w:val="single" w:sz="4" w:space="0" w:color="auto"/>
              <w:left w:val="nil"/>
              <w:bottom w:val="single" w:sz="4" w:space="0" w:color="auto"/>
              <w:right w:val="single" w:sz="2" w:space="0" w:color="auto"/>
            </w:tcBorders>
            <w:vAlign w:val="center"/>
          </w:tcPr>
          <w:p w14:paraId="60FC0C75" w14:textId="65ABF81C"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0.15%</w:t>
            </w:r>
          </w:p>
        </w:tc>
        <w:tc>
          <w:tcPr>
            <w:tcW w:w="1805" w:type="dxa"/>
            <w:tcBorders>
              <w:top w:val="nil"/>
              <w:left w:val="single" w:sz="2" w:space="0" w:color="auto"/>
              <w:bottom w:val="single" w:sz="4" w:space="0" w:color="auto"/>
              <w:right w:val="single" w:sz="4" w:space="0" w:color="auto"/>
            </w:tcBorders>
            <w:shd w:val="clear" w:color="auto" w:fill="auto"/>
            <w:vAlign w:val="center"/>
            <w:hideMark/>
          </w:tcPr>
          <w:p w14:paraId="2F010AA4" w14:textId="0DFE203A"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0.24%</w:t>
            </w:r>
          </w:p>
        </w:tc>
        <w:tc>
          <w:tcPr>
            <w:tcW w:w="1962" w:type="dxa"/>
            <w:tcBorders>
              <w:top w:val="nil"/>
              <w:left w:val="nil"/>
              <w:bottom w:val="single" w:sz="4" w:space="0" w:color="auto"/>
              <w:right w:val="single" w:sz="4" w:space="0" w:color="auto"/>
            </w:tcBorders>
            <w:shd w:val="clear" w:color="auto" w:fill="auto"/>
            <w:vAlign w:val="center"/>
            <w:hideMark/>
          </w:tcPr>
          <w:p w14:paraId="56021449" w14:textId="77777777"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1.09%</w:t>
            </w:r>
          </w:p>
        </w:tc>
        <w:tc>
          <w:tcPr>
            <w:tcW w:w="1902" w:type="dxa"/>
            <w:tcBorders>
              <w:top w:val="nil"/>
              <w:left w:val="nil"/>
              <w:bottom w:val="single" w:sz="4" w:space="0" w:color="auto"/>
              <w:right w:val="single" w:sz="4" w:space="0" w:color="auto"/>
            </w:tcBorders>
            <w:shd w:val="clear" w:color="auto" w:fill="auto"/>
            <w:vAlign w:val="center"/>
            <w:hideMark/>
          </w:tcPr>
          <w:p w14:paraId="7A8A89C7" w14:textId="77777777"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0.16%</w:t>
            </w:r>
          </w:p>
        </w:tc>
      </w:tr>
      <w:tr w:rsidR="001B1ED2" w:rsidRPr="000D5CC9" w14:paraId="565591CE" w14:textId="77777777" w:rsidTr="001B1ED2">
        <w:trPr>
          <w:trHeight w:val="264"/>
        </w:trPr>
        <w:tc>
          <w:tcPr>
            <w:tcW w:w="1765" w:type="dxa"/>
            <w:tcBorders>
              <w:top w:val="nil"/>
              <w:left w:val="single" w:sz="4" w:space="0" w:color="auto"/>
              <w:bottom w:val="single" w:sz="4" w:space="0" w:color="auto"/>
              <w:right w:val="single" w:sz="4" w:space="0" w:color="auto"/>
            </w:tcBorders>
            <w:shd w:val="clear" w:color="auto" w:fill="auto"/>
            <w:vAlign w:val="center"/>
            <w:hideMark/>
          </w:tcPr>
          <w:p w14:paraId="05EDA11E" w14:textId="77777777" w:rsidR="001B1ED2" w:rsidRPr="000D5CC9" w:rsidRDefault="001B1ED2" w:rsidP="001B1ED2">
            <w:pPr>
              <w:keepNext/>
              <w:spacing w:after="0"/>
              <w:jc w:val="right"/>
              <w:rPr>
                <w:rFonts w:ascii="Arial" w:eastAsia="Times New Roman" w:hAnsi="Arial" w:cs="Arial"/>
                <w:b/>
                <w:bCs/>
                <w:sz w:val="16"/>
                <w:szCs w:val="16"/>
                <w:lang w:eastAsia="en-AU"/>
              </w:rPr>
            </w:pPr>
            <w:r w:rsidRPr="000D5CC9">
              <w:rPr>
                <w:rFonts w:ascii="Arial" w:eastAsia="Times New Roman" w:hAnsi="Arial" w:cs="Arial"/>
                <w:b/>
                <w:bCs/>
                <w:sz w:val="16"/>
                <w:szCs w:val="16"/>
                <w:lang w:eastAsia="en-AU"/>
              </w:rPr>
              <w:t>WA</w:t>
            </w:r>
          </w:p>
        </w:tc>
        <w:tc>
          <w:tcPr>
            <w:tcW w:w="1651" w:type="dxa"/>
            <w:tcBorders>
              <w:top w:val="single" w:sz="4" w:space="0" w:color="auto"/>
              <w:left w:val="nil"/>
              <w:bottom w:val="single" w:sz="4" w:space="0" w:color="auto"/>
              <w:right w:val="single" w:sz="2" w:space="0" w:color="auto"/>
            </w:tcBorders>
            <w:vAlign w:val="center"/>
          </w:tcPr>
          <w:p w14:paraId="2A287CD6" w14:textId="115A34B9"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0.41%</w:t>
            </w:r>
          </w:p>
        </w:tc>
        <w:tc>
          <w:tcPr>
            <w:tcW w:w="1805" w:type="dxa"/>
            <w:tcBorders>
              <w:top w:val="nil"/>
              <w:left w:val="single" w:sz="2" w:space="0" w:color="auto"/>
              <w:bottom w:val="single" w:sz="4" w:space="0" w:color="auto"/>
              <w:right w:val="single" w:sz="4" w:space="0" w:color="auto"/>
            </w:tcBorders>
            <w:shd w:val="clear" w:color="auto" w:fill="auto"/>
            <w:vAlign w:val="center"/>
            <w:hideMark/>
          </w:tcPr>
          <w:p w14:paraId="084AABDB" w14:textId="1AFFC85A"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0.31%</w:t>
            </w:r>
          </w:p>
        </w:tc>
        <w:tc>
          <w:tcPr>
            <w:tcW w:w="1962" w:type="dxa"/>
            <w:tcBorders>
              <w:top w:val="nil"/>
              <w:left w:val="nil"/>
              <w:bottom w:val="single" w:sz="4" w:space="0" w:color="auto"/>
              <w:right w:val="single" w:sz="4" w:space="0" w:color="auto"/>
            </w:tcBorders>
            <w:shd w:val="clear" w:color="auto" w:fill="auto"/>
            <w:vAlign w:val="center"/>
            <w:hideMark/>
          </w:tcPr>
          <w:p w14:paraId="33AFADA0" w14:textId="77777777"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0.57%</w:t>
            </w:r>
          </w:p>
        </w:tc>
        <w:tc>
          <w:tcPr>
            <w:tcW w:w="1902" w:type="dxa"/>
            <w:tcBorders>
              <w:top w:val="nil"/>
              <w:left w:val="nil"/>
              <w:bottom w:val="single" w:sz="4" w:space="0" w:color="auto"/>
              <w:right w:val="single" w:sz="4" w:space="0" w:color="auto"/>
            </w:tcBorders>
            <w:shd w:val="clear" w:color="auto" w:fill="auto"/>
            <w:vAlign w:val="center"/>
            <w:hideMark/>
          </w:tcPr>
          <w:p w14:paraId="49C2EEF2" w14:textId="77777777" w:rsidR="001B1ED2" w:rsidRPr="000D5CC9" w:rsidRDefault="001B1ED2" w:rsidP="001B1ED2">
            <w:pPr>
              <w:keepNext/>
              <w:spacing w:after="0"/>
              <w:jc w:val="right"/>
              <w:rPr>
                <w:rFonts w:ascii="Arial" w:eastAsia="Times New Roman" w:hAnsi="Arial" w:cs="Arial"/>
                <w:sz w:val="16"/>
                <w:szCs w:val="16"/>
                <w:lang w:eastAsia="en-AU"/>
              </w:rPr>
            </w:pPr>
            <w:r w:rsidRPr="000D5CC9">
              <w:rPr>
                <w:rFonts w:ascii="Arial" w:eastAsia="Times New Roman" w:hAnsi="Arial" w:cs="Arial"/>
                <w:sz w:val="16"/>
                <w:szCs w:val="16"/>
                <w:lang w:eastAsia="en-AU"/>
              </w:rPr>
              <w:t>–0.01%</w:t>
            </w:r>
          </w:p>
        </w:tc>
      </w:tr>
    </w:tbl>
    <w:p w14:paraId="1FB55EB6" w14:textId="77777777" w:rsidR="00F53282" w:rsidRPr="00F53282" w:rsidRDefault="00F53282" w:rsidP="00F53282">
      <w:pPr>
        <w:rPr>
          <w:sz w:val="8"/>
          <w:szCs w:val="8"/>
        </w:rPr>
      </w:pPr>
      <w:bookmarkStart w:id="53" w:name="_Toc77175238"/>
    </w:p>
    <w:p w14:paraId="69EBC2B9" w14:textId="70198FFA" w:rsidR="00B2243B" w:rsidRPr="00DE7BBF" w:rsidRDefault="00B2243B" w:rsidP="001A66C0">
      <w:pPr>
        <w:pStyle w:val="Heading3"/>
      </w:pPr>
      <w:r w:rsidRPr="00DE7BBF">
        <w:t>Approach to estimating revenues and expenses</w:t>
      </w:r>
      <w:bookmarkEnd w:id="53"/>
    </w:p>
    <w:p w14:paraId="149A24E0" w14:textId="529B3407" w:rsidR="00B2243B" w:rsidRDefault="00B2243B" w:rsidP="007F0F36">
      <w:r>
        <w:t xml:space="preserve">Each </w:t>
      </w:r>
      <w:r w:rsidR="00867B4C">
        <w:t xml:space="preserve">estimate of revenue and expenses </w:t>
      </w:r>
      <w:r>
        <w:t xml:space="preserve">is </w:t>
      </w:r>
      <w:r w:rsidR="00867B4C">
        <w:t>based on</w:t>
      </w:r>
      <w:r>
        <w:t xml:space="preserve"> the following broad approach</w:t>
      </w:r>
      <w:r w:rsidR="00867B4C">
        <w:t>:</w:t>
      </w:r>
    </w:p>
    <w:p w14:paraId="78856DE7" w14:textId="2521284B" w:rsidR="00B2243B" w:rsidRPr="007F0F36" w:rsidRDefault="00B2243B" w:rsidP="007F0F36">
      <w:pPr>
        <w:pStyle w:val="OutlineNumbered1"/>
      </w:pPr>
      <w:r w:rsidRPr="007F0F36">
        <w:t xml:space="preserve">The FIONA population is divided into groups based on age, gender, visa stream, </w:t>
      </w:r>
      <w:r w:rsidR="00970F29">
        <w:t>S</w:t>
      </w:r>
      <w:r w:rsidR="003170BA" w:rsidRPr="007F0F36">
        <w:t>tate,</w:t>
      </w:r>
      <w:r w:rsidRPr="007F0F36">
        <w:t xml:space="preserve"> and years since arrival in Australia (depending on data availability)</w:t>
      </w:r>
      <w:r w:rsidR="001B2C25">
        <w:t>.</w:t>
      </w:r>
      <w:r w:rsidR="00EF0F8C" w:rsidRPr="00C57813">
        <w:rPr>
          <w:rStyle w:val="FootnoteReference"/>
        </w:rPr>
        <w:footnoteReference w:id="38"/>
      </w:r>
    </w:p>
    <w:p w14:paraId="31D63087" w14:textId="77777777" w:rsidR="00B2243B" w:rsidRPr="007F0F36" w:rsidRDefault="00B2243B" w:rsidP="007F0F36">
      <w:pPr>
        <w:pStyle w:val="OutlineNumbered1"/>
      </w:pPr>
      <w:r w:rsidRPr="007F0F36">
        <w:t>Within each group, FIONA estimates the proportion of the population who either contribute to government revenue or receive direct benefit from a service.</w:t>
      </w:r>
    </w:p>
    <w:p w14:paraId="01107D65" w14:textId="0114E384" w:rsidR="00B2243B" w:rsidRPr="007F0F36" w:rsidRDefault="00B2243B" w:rsidP="007F0F36">
      <w:pPr>
        <w:pStyle w:val="OutlineNumbered1"/>
      </w:pPr>
      <w:r w:rsidRPr="007F0F36">
        <w:t>Within each group, FIONA calculates an average revenue/</w:t>
      </w:r>
      <w:r w:rsidR="003071B8" w:rsidRPr="007F0F36">
        <w:t xml:space="preserve">expense </w:t>
      </w:r>
      <w:r w:rsidRPr="007F0F36">
        <w:t>for the eligible population.</w:t>
      </w:r>
    </w:p>
    <w:p w14:paraId="70A730B4" w14:textId="1AEF2DB7" w:rsidR="00B2243B" w:rsidRPr="007F0F36" w:rsidRDefault="00B2243B" w:rsidP="007F0F36">
      <w:pPr>
        <w:pStyle w:val="OutlineNumbered1"/>
      </w:pPr>
      <w:r w:rsidRPr="007F0F36">
        <w:t xml:space="preserve">The average </w:t>
      </w:r>
      <w:r w:rsidR="003071B8" w:rsidRPr="007F0F36">
        <w:t xml:space="preserve">revenue/expense </w:t>
      </w:r>
      <w:r w:rsidRPr="007F0F36">
        <w:t xml:space="preserve">is grown into future years. </w:t>
      </w:r>
    </w:p>
    <w:p w14:paraId="59045F41" w14:textId="3D6D1DA1" w:rsidR="00B2243B" w:rsidRPr="007F0F36" w:rsidRDefault="00B2243B" w:rsidP="007F0F36">
      <w:pPr>
        <w:pStyle w:val="OutlineNumbered1"/>
      </w:pPr>
      <w:r w:rsidRPr="007F0F36">
        <w:t xml:space="preserve">The average </w:t>
      </w:r>
      <w:r w:rsidR="003071B8" w:rsidRPr="007F0F36">
        <w:t>revenue/expense</w:t>
      </w:r>
      <w:r w:rsidRPr="007F0F36">
        <w:t>, program eligibility and total population are multiplied together to create the total cost for the migrant cohort.</w:t>
      </w:r>
    </w:p>
    <w:p w14:paraId="52618FEE" w14:textId="11F9CCB9" w:rsidR="006D7D74" w:rsidRDefault="00F66B54" w:rsidP="007F0F36">
      <w:r>
        <w:t xml:space="preserve">Table </w:t>
      </w:r>
      <w:r w:rsidR="00C30764">
        <w:t>A4</w:t>
      </w:r>
      <w:r w:rsidR="00B2243B">
        <w:t xml:space="preserve"> below summarises</w:t>
      </w:r>
      <w:r w:rsidR="00EF0F8C">
        <w:t xml:space="preserve"> which variables each module varies by (step 1), the growth rate used for each module (step 4) and the main data sources.</w:t>
      </w:r>
    </w:p>
    <w:p w14:paraId="36FFDF6E" w14:textId="6EA5DBF8" w:rsidR="00B2243B" w:rsidRPr="00F70234" w:rsidRDefault="00B2243B" w:rsidP="0023028F">
      <w:pPr>
        <w:pStyle w:val="TableHeading1"/>
      </w:pPr>
      <w:r w:rsidRPr="00F70234">
        <w:t xml:space="preserve">Table </w:t>
      </w:r>
      <w:r w:rsidR="00C30764">
        <w:t>A4</w:t>
      </w:r>
      <w:r w:rsidRPr="00F70234">
        <w:t>: Overview of key model assumptions and data sources in revenue and expense calculations</w:t>
      </w:r>
    </w:p>
    <w:tbl>
      <w:tblP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0"/>
        <w:gridCol w:w="2319"/>
        <w:gridCol w:w="2319"/>
        <w:gridCol w:w="2319"/>
      </w:tblGrid>
      <w:tr w:rsidR="00852036" w:rsidRPr="00473D15" w14:paraId="4DDE087F" w14:textId="77777777" w:rsidTr="00F53282">
        <w:trPr>
          <w:trHeight w:val="260"/>
        </w:trPr>
        <w:tc>
          <w:tcPr>
            <w:tcW w:w="2115" w:type="dxa"/>
            <w:shd w:val="clear" w:color="auto" w:fill="CFDCEA"/>
            <w:tcMar>
              <w:top w:w="15" w:type="dxa"/>
              <w:left w:w="98" w:type="dxa"/>
              <w:bottom w:w="0" w:type="dxa"/>
              <w:right w:w="98" w:type="dxa"/>
            </w:tcMar>
            <w:hideMark/>
          </w:tcPr>
          <w:p w14:paraId="00F48EA6"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Program</w:t>
            </w:r>
          </w:p>
        </w:tc>
        <w:tc>
          <w:tcPr>
            <w:tcW w:w="2115" w:type="dxa"/>
            <w:shd w:val="clear" w:color="auto" w:fill="CFDCEA"/>
            <w:tcMar>
              <w:top w:w="15" w:type="dxa"/>
              <w:left w:w="98" w:type="dxa"/>
              <w:bottom w:w="0" w:type="dxa"/>
              <w:right w:w="98" w:type="dxa"/>
            </w:tcMar>
            <w:hideMark/>
          </w:tcPr>
          <w:p w14:paraId="411123C9"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Module varies by</w:t>
            </w:r>
          </w:p>
        </w:tc>
        <w:tc>
          <w:tcPr>
            <w:tcW w:w="2115" w:type="dxa"/>
            <w:shd w:val="clear" w:color="auto" w:fill="CFDCEA"/>
            <w:tcMar>
              <w:top w:w="15" w:type="dxa"/>
              <w:left w:w="98" w:type="dxa"/>
              <w:bottom w:w="0" w:type="dxa"/>
              <w:right w:w="98" w:type="dxa"/>
            </w:tcMar>
            <w:hideMark/>
          </w:tcPr>
          <w:p w14:paraId="4996B9AD"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Growth rate</w:t>
            </w:r>
          </w:p>
        </w:tc>
        <w:tc>
          <w:tcPr>
            <w:tcW w:w="2115" w:type="dxa"/>
            <w:shd w:val="clear" w:color="auto" w:fill="CFDCEA"/>
            <w:tcMar>
              <w:top w:w="15" w:type="dxa"/>
              <w:left w:w="98" w:type="dxa"/>
              <w:bottom w:w="0" w:type="dxa"/>
              <w:right w:w="98" w:type="dxa"/>
            </w:tcMar>
            <w:hideMark/>
          </w:tcPr>
          <w:p w14:paraId="365DF71E"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Primary data sources</w:t>
            </w:r>
          </w:p>
        </w:tc>
      </w:tr>
      <w:tr w:rsidR="00852036" w:rsidRPr="00473D15" w14:paraId="05FDD304" w14:textId="77777777" w:rsidTr="006D7D74">
        <w:trPr>
          <w:trHeight w:val="628"/>
        </w:trPr>
        <w:tc>
          <w:tcPr>
            <w:tcW w:w="2115" w:type="dxa"/>
            <w:shd w:val="clear" w:color="auto" w:fill="auto"/>
            <w:tcMar>
              <w:top w:w="15" w:type="dxa"/>
              <w:left w:w="98" w:type="dxa"/>
              <w:bottom w:w="0" w:type="dxa"/>
              <w:right w:w="98" w:type="dxa"/>
            </w:tcMar>
            <w:hideMark/>
          </w:tcPr>
          <w:p w14:paraId="59F8DEBB"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Personal Income Tax</w:t>
            </w:r>
          </w:p>
        </w:tc>
        <w:tc>
          <w:tcPr>
            <w:tcW w:w="2115" w:type="dxa"/>
            <w:shd w:val="clear" w:color="auto" w:fill="auto"/>
            <w:tcMar>
              <w:top w:w="15" w:type="dxa"/>
              <w:left w:w="98" w:type="dxa"/>
              <w:bottom w:w="0" w:type="dxa"/>
              <w:right w:w="98" w:type="dxa"/>
            </w:tcMar>
            <w:hideMark/>
          </w:tcPr>
          <w:p w14:paraId="3B8589AB"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Visa category, age, years since arrival</w:t>
            </w:r>
          </w:p>
        </w:tc>
        <w:tc>
          <w:tcPr>
            <w:tcW w:w="2115" w:type="dxa"/>
            <w:shd w:val="clear" w:color="auto" w:fill="auto"/>
            <w:tcMar>
              <w:top w:w="15" w:type="dxa"/>
              <w:left w:w="98" w:type="dxa"/>
              <w:bottom w:w="0" w:type="dxa"/>
              <w:right w:w="98" w:type="dxa"/>
            </w:tcMar>
            <w:hideMark/>
          </w:tcPr>
          <w:p w14:paraId="0CFF47E1" w14:textId="1EF00F3B"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Average Weekly Earnings (applied to pre</w:t>
            </w:r>
            <w:r w:rsidR="009C1E51">
              <w:rPr>
                <w:rFonts w:ascii="Arial" w:eastAsia="Times New Roman" w:hAnsi="Arial" w:cs="Arial"/>
                <w:color w:val="000000"/>
                <w:kern w:val="24"/>
                <w:sz w:val="16"/>
                <w:szCs w:val="16"/>
                <w:lang w:eastAsia="en-AU"/>
              </w:rPr>
              <w:t>-</w:t>
            </w:r>
            <w:r w:rsidRPr="004F12B1">
              <w:rPr>
                <w:rFonts w:ascii="Arial" w:eastAsia="Times New Roman" w:hAnsi="Arial" w:cs="Arial"/>
                <w:color w:val="000000"/>
                <w:kern w:val="24"/>
                <w:sz w:val="16"/>
                <w:szCs w:val="16"/>
                <w:lang w:eastAsia="en-AU"/>
              </w:rPr>
              <w:t>tax earnings)</w:t>
            </w:r>
          </w:p>
        </w:tc>
        <w:tc>
          <w:tcPr>
            <w:tcW w:w="2115" w:type="dxa"/>
            <w:shd w:val="clear" w:color="auto" w:fill="auto"/>
            <w:tcMar>
              <w:top w:w="15" w:type="dxa"/>
              <w:left w:w="98" w:type="dxa"/>
              <w:bottom w:w="0" w:type="dxa"/>
              <w:right w:w="98" w:type="dxa"/>
            </w:tcMar>
            <w:hideMark/>
          </w:tcPr>
          <w:p w14:paraId="387545A6"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Personal income tax returns Employment and participation rates based on ACMID.</w:t>
            </w:r>
          </w:p>
        </w:tc>
      </w:tr>
      <w:tr w:rsidR="00852036" w:rsidRPr="00473D15" w14:paraId="51275716" w14:textId="77777777" w:rsidTr="00F53282">
        <w:trPr>
          <w:trHeight w:val="387"/>
        </w:trPr>
        <w:tc>
          <w:tcPr>
            <w:tcW w:w="2115" w:type="dxa"/>
            <w:shd w:val="clear" w:color="auto" w:fill="auto"/>
            <w:tcMar>
              <w:top w:w="15" w:type="dxa"/>
              <w:left w:w="98" w:type="dxa"/>
              <w:bottom w:w="0" w:type="dxa"/>
              <w:right w:w="98" w:type="dxa"/>
            </w:tcMar>
            <w:hideMark/>
          </w:tcPr>
          <w:p w14:paraId="7594EE88"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GST and Excise (Fuel, Alcohol and Tobacco)</w:t>
            </w:r>
          </w:p>
        </w:tc>
        <w:tc>
          <w:tcPr>
            <w:tcW w:w="2115" w:type="dxa"/>
            <w:shd w:val="clear" w:color="auto" w:fill="auto"/>
            <w:tcMar>
              <w:top w:w="15" w:type="dxa"/>
              <w:left w:w="98" w:type="dxa"/>
              <w:bottom w:w="0" w:type="dxa"/>
              <w:right w:w="98" w:type="dxa"/>
            </w:tcMar>
            <w:hideMark/>
          </w:tcPr>
          <w:p w14:paraId="6D8FCC71"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Age, visa category (as proxy for income)</w:t>
            </w:r>
          </w:p>
        </w:tc>
        <w:tc>
          <w:tcPr>
            <w:tcW w:w="2115" w:type="dxa"/>
            <w:shd w:val="clear" w:color="auto" w:fill="auto"/>
            <w:tcMar>
              <w:top w:w="15" w:type="dxa"/>
              <w:left w:w="98" w:type="dxa"/>
              <w:bottom w:w="0" w:type="dxa"/>
              <w:right w:w="98" w:type="dxa"/>
            </w:tcMar>
            <w:hideMark/>
          </w:tcPr>
          <w:p w14:paraId="40A300C3"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Average Weekly Earnings</w:t>
            </w:r>
          </w:p>
        </w:tc>
        <w:tc>
          <w:tcPr>
            <w:tcW w:w="2115" w:type="dxa"/>
            <w:shd w:val="clear" w:color="auto" w:fill="auto"/>
            <w:tcMar>
              <w:top w:w="15" w:type="dxa"/>
              <w:left w:w="98" w:type="dxa"/>
              <w:bottom w:w="0" w:type="dxa"/>
              <w:right w:w="98" w:type="dxa"/>
            </w:tcMar>
            <w:hideMark/>
          </w:tcPr>
          <w:p w14:paraId="48612077"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Household Expenditure Survey</w:t>
            </w:r>
          </w:p>
        </w:tc>
      </w:tr>
      <w:tr w:rsidR="00852036" w:rsidRPr="00473D15" w14:paraId="6FCB6EA6" w14:textId="77777777" w:rsidTr="00F53282">
        <w:trPr>
          <w:trHeight w:val="387"/>
        </w:trPr>
        <w:tc>
          <w:tcPr>
            <w:tcW w:w="2115" w:type="dxa"/>
            <w:shd w:val="clear" w:color="auto" w:fill="auto"/>
            <w:tcMar>
              <w:top w:w="15" w:type="dxa"/>
              <w:left w:w="98" w:type="dxa"/>
              <w:bottom w:w="0" w:type="dxa"/>
              <w:right w:w="98" w:type="dxa"/>
            </w:tcMar>
            <w:hideMark/>
          </w:tcPr>
          <w:p w14:paraId="6D44C95F"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Visa Application Charge (VAC)</w:t>
            </w:r>
          </w:p>
        </w:tc>
        <w:tc>
          <w:tcPr>
            <w:tcW w:w="2115" w:type="dxa"/>
            <w:shd w:val="clear" w:color="auto" w:fill="auto"/>
            <w:tcMar>
              <w:top w:w="15" w:type="dxa"/>
              <w:left w:w="98" w:type="dxa"/>
              <w:bottom w:w="0" w:type="dxa"/>
              <w:right w:w="98" w:type="dxa"/>
            </w:tcMar>
            <w:hideMark/>
          </w:tcPr>
          <w:p w14:paraId="02EE2E50"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Visa subclass, years since arrival</w:t>
            </w:r>
          </w:p>
        </w:tc>
        <w:tc>
          <w:tcPr>
            <w:tcW w:w="2115" w:type="dxa"/>
            <w:shd w:val="clear" w:color="auto" w:fill="auto"/>
            <w:tcMar>
              <w:top w:w="15" w:type="dxa"/>
              <w:left w:w="98" w:type="dxa"/>
              <w:bottom w:w="0" w:type="dxa"/>
              <w:right w:w="98" w:type="dxa"/>
            </w:tcMar>
            <w:hideMark/>
          </w:tcPr>
          <w:p w14:paraId="06735CA7"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No growth applied as costs paid in first year of model</w:t>
            </w:r>
          </w:p>
        </w:tc>
        <w:tc>
          <w:tcPr>
            <w:tcW w:w="2115" w:type="dxa"/>
            <w:shd w:val="clear" w:color="auto" w:fill="auto"/>
            <w:tcMar>
              <w:top w:w="15" w:type="dxa"/>
              <w:left w:w="98" w:type="dxa"/>
              <w:bottom w:w="0" w:type="dxa"/>
              <w:right w:w="98" w:type="dxa"/>
            </w:tcMar>
            <w:hideMark/>
          </w:tcPr>
          <w:p w14:paraId="12B61EE2"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Administrative data from Home Affairs</w:t>
            </w:r>
          </w:p>
        </w:tc>
      </w:tr>
      <w:tr w:rsidR="00852036" w:rsidRPr="00473D15" w14:paraId="7506B9CF" w14:textId="77777777" w:rsidTr="00F53282">
        <w:trPr>
          <w:trHeight w:val="387"/>
        </w:trPr>
        <w:tc>
          <w:tcPr>
            <w:tcW w:w="2115" w:type="dxa"/>
            <w:shd w:val="clear" w:color="auto" w:fill="auto"/>
            <w:tcMar>
              <w:top w:w="15" w:type="dxa"/>
              <w:left w:w="98" w:type="dxa"/>
              <w:bottom w:w="0" w:type="dxa"/>
              <w:right w:w="98" w:type="dxa"/>
            </w:tcMar>
            <w:hideMark/>
          </w:tcPr>
          <w:p w14:paraId="6A60CDDA" w14:textId="21D885FD"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 xml:space="preserve">Settlement </w:t>
            </w:r>
            <w:r w:rsidR="00AE4857" w:rsidRPr="004F12B1">
              <w:rPr>
                <w:rFonts w:ascii="Arial" w:eastAsia="Times New Roman" w:hAnsi="Arial" w:cs="Arial"/>
                <w:b/>
                <w:bCs/>
                <w:kern w:val="24"/>
                <w:sz w:val="16"/>
                <w:szCs w:val="16"/>
                <w:lang w:eastAsia="en-AU"/>
              </w:rPr>
              <w:t>s</w:t>
            </w:r>
            <w:r w:rsidRPr="004F12B1">
              <w:rPr>
                <w:rFonts w:ascii="Arial" w:eastAsia="Times New Roman" w:hAnsi="Arial" w:cs="Arial"/>
                <w:b/>
                <w:bCs/>
                <w:kern w:val="24"/>
                <w:sz w:val="16"/>
                <w:szCs w:val="16"/>
                <w:lang w:eastAsia="en-AU"/>
              </w:rPr>
              <w:t>ervices</w:t>
            </w:r>
          </w:p>
        </w:tc>
        <w:tc>
          <w:tcPr>
            <w:tcW w:w="2115" w:type="dxa"/>
            <w:shd w:val="clear" w:color="auto" w:fill="auto"/>
            <w:tcMar>
              <w:top w:w="15" w:type="dxa"/>
              <w:left w:w="98" w:type="dxa"/>
              <w:bottom w:w="0" w:type="dxa"/>
              <w:right w:w="98" w:type="dxa"/>
            </w:tcMar>
            <w:hideMark/>
          </w:tcPr>
          <w:p w14:paraId="1EC609E0"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Visa subclass, years since arrival</w:t>
            </w:r>
          </w:p>
        </w:tc>
        <w:tc>
          <w:tcPr>
            <w:tcW w:w="2115" w:type="dxa"/>
            <w:shd w:val="clear" w:color="auto" w:fill="auto"/>
            <w:tcMar>
              <w:top w:w="15" w:type="dxa"/>
              <w:left w:w="98" w:type="dxa"/>
              <w:bottom w:w="0" w:type="dxa"/>
              <w:right w:w="98" w:type="dxa"/>
            </w:tcMar>
            <w:hideMark/>
          </w:tcPr>
          <w:p w14:paraId="2E759C82"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Wage Price Index</w:t>
            </w:r>
          </w:p>
        </w:tc>
        <w:tc>
          <w:tcPr>
            <w:tcW w:w="2115" w:type="dxa"/>
            <w:shd w:val="clear" w:color="auto" w:fill="auto"/>
            <w:tcMar>
              <w:top w:w="15" w:type="dxa"/>
              <w:left w:w="98" w:type="dxa"/>
              <w:bottom w:w="0" w:type="dxa"/>
              <w:right w:w="98" w:type="dxa"/>
            </w:tcMar>
            <w:hideMark/>
          </w:tcPr>
          <w:p w14:paraId="710201AA"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Administrative data from Home Affairs</w:t>
            </w:r>
          </w:p>
        </w:tc>
      </w:tr>
      <w:tr w:rsidR="00852036" w:rsidRPr="00473D15" w14:paraId="58EBF315" w14:textId="77777777" w:rsidTr="006D7D74">
        <w:trPr>
          <w:trHeight w:val="442"/>
        </w:trPr>
        <w:tc>
          <w:tcPr>
            <w:tcW w:w="2115" w:type="dxa"/>
            <w:shd w:val="clear" w:color="auto" w:fill="auto"/>
            <w:tcMar>
              <w:top w:w="15" w:type="dxa"/>
              <w:left w:w="98" w:type="dxa"/>
              <w:bottom w:w="0" w:type="dxa"/>
              <w:right w:w="98" w:type="dxa"/>
            </w:tcMar>
            <w:hideMark/>
          </w:tcPr>
          <w:p w14:paraId="1E133F80"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Infrastructure (Commonwealth and State)</w:t>
            </w:r>
          </w:p>
        </w:tc>
        <w:tc>
          <w:tcPr>
            <w:tcW w:w="2115" w:type="dxa"/>
            <w:shd w:val="clear" w:color="auto" w:fill="auto"/>
            <w:tcMar>
              <w:top w:w="15" w:type="dxa"/>
              <w:left w:w="98" w:type="dxa"/>
              <w:bottom w:w="0" w:type="dxa"/>
              <w:right w:w="98" w:type="dxa"/>
            </w:tcMar>
            <w:hideMark/>
          </w:tcPr>
          <w:p w14:paraId="6377CA5E" w14:textId="2E1AD06D"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 xml:space="preserve">State, </w:t>
            </w:r>
            <w:r w:rsidR="0080799B">
              <w:rPr>
                <w:rFonts w:ascii="Arial" w:eastAsia="Times New Roman" w:hAnsi="Arial" w:cs="Arial"/>
                <w:color w:val="000000"/>
                <w:kern w:val="24"/>
                <w:sz w:val="16"/>
                <w:szCs w:val="16"/>
                <w:lang w:eastAsia="en-AU"/>
              </w:rPr>
              <w:t>m</w:t>
            </w:r>
            <w:r w:rsidRPr="004F12B1">
              <w:rPr>
                <w:rFonts w:ascii="Arial" w:eastAsia="Times New Roman" w:hAnsi="Arial" w:cs="Arial"/>
                <w:color w:val="000000"/>
                <w:kern w:val="24"/>
                <w:sz w:val="16"/>
                <w:szCs w:val="16"/>
                <w:lang w:eastAsia="en-AU"/>
              </w:rPr>
              <w:t>igrant stream (based on share in cities)</w:t>
            </w:r>
          </w:p>
        </w:tc>
        <w:tc>
          <w:tcPr>
            <w:tcW w:w="2115" w:type="dxa"/>
            <w:shd w:val="clear" w:color="auto" w:fill="auto"/>
            <w:tcMar>
              <w:top w:w="15" w:type="dxa"/>
              <w:left w:w="98" w:type="dxa"/>
              <w:bottom w:w="0" w:type="dxa"/>
              <w:right w:w="98" w:type="dxa"/>
            </w:tcMar>
            <w:hideMark/>
          </w:tcPr>
          <w:p w14:paraId="059B732F"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Consumer Price Index</w:t>
            </w:r>
          </w:p>
        </w:tc>
        <w:tc>
          <w:tcPr>
            <w:tcW w:w="2115" w:type="dxa"/>
            <w:shd w:val="clear" w:color="auto" w:fill="auto"/>
            <w:tcMar>
              <w:top w:w="15" w:type="dxa"/>
              <w:left w:w="98" w:type="dxa"/>
              <w:bottom w:w="0" w:type="dxa"/>
              <w:right w:w="98" w:type="dxa"/>
            </w:tcMar>
            <w:hideMark/>
          </w:tcPr>
          <w:p w14:paraId="379E8F4B" w14:textId="6003E755"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 xml:space="preserve">Various </w:t>
            </w:r>
            <w:r w:rsidR="003071B8" w:rsidRPr="004F12B1">
              <w:rPr>
                <w:rFonts w:ascii="Arial" w:eastAsia="Times New Roman" w:hAnsi="Arial" w:cs="Arial"/>
                <w:color w:val="000000"/>
                <w:kern w:val="24"/>
                <w:sz w:val="16"/>
                <w:szCs w:val="16"/>
                <w:lang w:eastAsia="en-AU"/>
              </w:rPr>
              <w:t>S</w:t>
            </w:r>
            <w:r w:rsidRPr="004F12B1">
              <w:rPr>
                <w:rFonts w:ascii="Arial" w:eastAsia="Times New Roman" w:hAnsi="Arial" w:cs="Arial"/>
                <w:color w:val="000000"/>
                <w:kern w:val="24"/>
                <w:sz w:val="16"/>
                <w:szCs w:val="16"/>
                <w:lang w:eastAsia="en-AU"/>
              </w:rPr>
              <w:t>tate data aggregated by CGC</w:t>
            </w:r>
          </w:p>
        </w:tc>
      </w:tr>
      <w:tr w:rsidR="00852036" w:rsidRPr="00473D15" w14:paraId="55361561" w14:textId="77777777" w:rsidTr="006D7D74">
        <w:trPr>
          <w:trHeight w:val="542"/>
        </w:trPr>
        <w:tc>
          <w:tcPr>
            <w:tcW w:w="2115" w:type="dxa"/>
            <w:shd w:val="clear" w:color="auto" w:fill="auto"/>
            <w:tcMar>
              <w:top w:w="15" w:type="dxa"/>
              <w:left w:w="98" w:type="dxa"/>
              <w:bottom w:w="0" w:type="dxa"/>
              <w:right w:w="98" w:type="dxa"/>
            </w:tcMar>
            <w:hideMark/>
          </w:tcPr>
          <w:p w14:paraId="6ED9475D"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Health</w:t>
            </w:r>
          </w:p>
          <w:p w14:paraId="2093B9B7"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(Commonwealth and State)</w:t>
            </w:r>
          </w:p>
        </w:tc>
        <w:tc>
          <w:tcPr>
            <w:tcW w:w="2115" w:type="dxa"/>
            <w:shd w:val="clear" w:color="auto" w:fill="auto"/>
            <w:tcMar>
              <w:top w:w="15" w:type="dxa"/>
              <w:left w:w="98" w:type="dxa"/>
              <w:bottom w:w="0" w:type="dxa"/>
              <w:right w:w="98" w:type="dxa"/>
            </w:tcMar>
            <w:hideMark/>
          </w:tcPr>
          <w:p w14:paraId="5E486FEE" w14:textId="22AD9A74"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 xml:space="preserve">State, Age, gender, </w:t>
            </w:r>
            <w:r w:rsidR="00D34AE8" w:rsidRPr="004F12B1">
              <w:rPr>
                <w:rFonts w:ascii="Arial" w:eastAsia="Times New Roman" w:hAnsi="Arial" w:cs="Arial"/>
                <w:color w:val="000000"/>
                <w:kern w:val="24"/>
                <w:sz w:val="16"/>
                <w:szCs w:val="16"/>
                <w:lang w:eastAsia="en-AU"/>
              </w:rPr>
              <w:t>S</w:t>
            </w:r>
            <w:r w:rsidRPr="004F12B1">
              <w:rPr>
                <w:rFonts w:ascii="Arial" w:eastAsia="Times New Roman" w:hAnsi="Arial" w:cs="Arial"/>
                <w:color w:val="000000"/>
                <w:kern w:val="24"/>
                <w:sz w:val="16"/>
                <w:szCs w:val="16"/>
                <w:lang w:eastAsia="en-AU"/>
              </w:rPr>
              <w:t>tate, visa stream</w:t>
            </w:r>
          </w:p>
        </w:tc>
        <w:tc>
          <w:tcPr>
            <w:tcW w:w="2115" w:type="dxa"/>
            <w:shd w:val="clear" w:color="auto" w:fill="auto"/>
            <w:tcMar>
              <w:top w:w="15" w:type="dxa"/>
              <w:left w:w="98" w:type="dxa"/>
              <w:bottom w:w="0" w:type="dxa"/>
              <w:right w:w="98" w:type="dxa"/>
            </w:tcMar>
            <w:hideMark/>
          </w:tcPr>
          <w:p w14:paraId="1BFADE1F"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IGR growth assumptions. Post 2060 grown by AWOTE</w:t>
            </w:r>
          </w:p>
        </w:tc>
        <w:tc>
          <w:tcPr>
            <w:tcW w:w="2115" w:type="dxa"/>
            <w:shd w:val="clear" w:color="auto" w:fill="auto"/>
            <w:tcMar>
              <w:top w:w="15" w:type="dxa"/>
              <w:left w:w="98" w:type="dxa"/>
              <w:bottom w:w="0" w:type="dxa"/>
              <w:right w:w="98" w:type="dxa"/>
            </w:tcMar>
            <w:hideMark/>
          </w:tcPr>
          <w:p w14:paraId="02280AE1"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MADIP</w:t>
            </w:r>
          </w:p>
        </w:tc>
      </w:tr>
      <w:tr w:rsidR="00852036" w:rsidRPr="00473D15" w14:paraId="752219E2" w14:textId="77777777" w:rsidTr="006D7D74">
        <w:trPr>
          <w:trHeight w:val="542"/>
        </w:trPr>
        <w:tc>
          <w:tcPr>
            <w:tcW w:w="2115" w:type="dxa"/>
            <w:shd w:val="clear" w:color="auto" w:fill="auto"/>
            <w:tcMar>
              <w:top w:w="15" w:type="dxa"/>
              <w:left w:w="98" w:type="dxa"/>
              <w:bottom w:w="0" w:type="dxa"/>
              <w:right w:w="98" w:type="dxa"/>
            </w:tcMar>
            <w:hideMark/>
          </w:tcPr>
          <w:p w14:paraId="16DF1A90"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Education</w:t>
            </w:r>
          </w:p>
          <w:p w14:paraId="080AB525"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(Commonwealth and State)</w:t>
            </w:r>
          </w:p>
        </w:tc>
        <w:tc>
          <w:tcPr>
            <w:tcW w:w="2115" w:type="dxa"/>
            <w:shd w:val="clear" w:color="auto" w:fill="auto"/>
            <w:tcMar>
              <w:top w:w="15" w:type="dxa"/>
              <w:left w:w="98" w:type="dxa"/>
              <w:bottom w:w="0" w:type="dxa"/>
              <w:right w:w="98" w:type="dxa"/>
            </w:tcMar>
            <w:hideMark/>
          </w:tcPr>
          <w:p w14:paraId="1DD41413" w14:textId="322463D2"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 xml:space="preserve">Age, gender, </w:t>
            </w:r>
            <w:r w:rsidR="00D34AE8" w:rsidRPr="004F12B1">
              <w:rPr>
                <w:rFonts w:ascii="Arial" w:eastAsia="Times New Roman" w:hAnsi="Arial" w:cs="Arial"/>
                <w:color w:val="000000"/>
                <w:kern w:val="24"/>
                <w:sz w:val="16"/>
                <w:szCs w:val="16"/>
                <w:lang w:eastAsia="en-AU"/>
              </w:rPr>
              <w:t>S</w:t>
            </w:r>
            <w:r w:rsidRPr="004F12B1">
              <w:rPr>
                <w:rFonts w:ascii="Arial" w:eastAsia="Times New Roman" w:hAnsi="Arial" w:cs="Arial"/>
                <w:color w:val="000000"/>
                <w:kern w:val="24"/>
                <w:sz w:val="16"/>
                <w:szCs w:val="16"/>
                <w:lang w:eastAsia="en-AU"/>
              </w:rPr>
              <w:t>tate</w:t>
            </w:r>
          </w:p>
        </w:tc>
        <w:tc>
          <w:tcPr>
            <w:tcW w:w="2115" w:type="dxa"/>
            <w:shd w:val="clear" w:color="auto" w:fill="auto"/>
            <w:tcMar>
              <w:top w:w="15" w:type="dxa"/>
              <w:left w:w="98" w:type="dxa"/>
              <w:bottom w:w="0" w:type="dxa"/>
              <w:right w:w="98" w:type="dxa"/>
            </w:tcMar>
            <w:hideMark/>
          </w:tcPr>
          <w:p w14:paraId="6C12E940"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Legislated growth rates, then a weighted average of CPI, WPI and WCI.</w:t>
            </w:r>
            <w:r w:rsidRPr="004F12B1">
              <w:rPr>
                <w:rStyle w:val="FootnoteReference"/>
                <w:rFonts w:ascii="Arial" w:hAnsi="Arial" w:cs="Arial"/>
                <w:i/>
                <w:iCs/>
                <w:color w:val="000000"/>
                <w:sz w:val="16"/>
                <w:szCs w:val="16"/>
              </w:rPr>
              <w:t xml:space="preserve"> </w:t>
            </w:r>
            <w:r w:rsidRPr="004F12B1">
              <w:rPr>
                <w:rStyle w:val="FootnoteReference"/>
                <w:rFonts w:ascii="Arial" w:hAnsi="Arial" w:cs="Arial"/>
                <w:i/>
                <w:iCs/>
                <w:color w:val="000000"/>
                <w:sz w:val="16"/>
                <w:szCs w:val="16"/>
              </w:rPr>
              <w:footnoteReference w:id="39"/>
            </w:r>
          </w:p>
        </w:tc>
        <w:tc>
          <w:tcPr>
            <w:tcW w:w="2115" w:type="dxa"/>
            <w:shd w:val="clear" w:color="auto" w:fill="auto"/>
            <w:tcMar>
              <w:top w:w="15" w:type="dxa"/>
              <w:left w:w="98" w:type="dxa"/>
              <w:bottom w:w="0" w:type="dxa"/>
              <w:right w:w="98" w:type="dxa"/>
            </w:tcMar>
            <w:hideMark/>
          </w:tcPr>
          <w:p w14:paraId="2C8B3FFA"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Administrative data from Department of Education, Census data</w:t>
            </w:r>
          </w:p>
        </w:tc>
      </w:tr>
      <w:tr w:rsidR="00852036" w:rsidRPr="00473D15" w14:paraId="2F029D0E" w14:textId="77777777" w:rsidTr="00F53282">
        <w:trPr>
          <w:trHeight w:val="387"/>
        </w:trPr>
        <w:tc>
          <w:tcPr>
            <w:tcW w:w="2115" w:type="dxa"/>
            <w:shd w:val="clear" w:color="auto" w:fill="auto"/>
            <w:tcMar>
              <w:top w:w="15" w:type="dxa"/>
              <w:left w:w="98" w:type="dxa"/>
              <w:bottom w:w="0" w:type="dxa"/>
              <w:right w:w="98" w:type="dxa"/>
            </w:tcMar>
            <w:hideMark/>
          </w:tcPr>
          <w:p w14:paraId="3847D88E" w14:textId="5CFCD739"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 xml:space="preserve">Aged </w:t>
            </w:r>
            <w:r w:rsidR="00AE4857" w:rsidRPr="004F12B1">
              <w:rPr>
                <w:rFonts w:ascii="Arial" w:eastAsia="Times New Roman" w:hAnsi="Arial" w:cs="Arial"/>
                <w:b/>
                <w:bCs/>
                <w:kern w:val="24"/>
                <w:sz w:val="16"/>
                <w:szCs w:val="16"/>
                <w:lang w:eastAsia="en-AU"/>
              </w:rPr>
              <w:t>c</w:t>
            </w:r>
            <w:r w:rsidRPr="004F12B1">
              <w:rPr>
                <w:rFonts w:ascii="Arial" w:eastAsia="Times New Roman" w:hAnsi="Arial" w:cs="Arial"/>
                <w:b/>
                <w:bCs/>
                <w:kern w:val="24"/>
                <w:sz w:val="16"/>
                <w:szCs w:val="16"/>
                <w:lang w:eastAsia="en-AU"/>
              </w:rPr>
              <w:t>are</w:t>
            </w:r>
          </w:p>
        </w:tc>
        <w:tc>
          <w:tcPr>
            <w:tcW w:w="2115" w:type="dxa"/>
            <w:shd w:val="clear" w:color="auto" w:fill="auto"/>
            <w:tcMar>
              <w:top w:w="15" w:type="dxa"/>
              <w:left w:w="98" w:type="dxa"/>
              <w:bottom w:w="0" w:type="dxa"/>
              <w:right w:w="98" w:type="dxa"/>
            </w:tcMar>
            <w:hideMark/>
          </w:tcPr>
          <w:p w14:paraId="374B9754"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Age, gender</w:t>
            </w:r>
          </w:p>
        </w:tc>
        <w:tc>
          <w:tcPr>
            <w:tcW w:w="2115" w:type="dxa"/>
            <w:shd w:val="clear" w:color="auto" w:fill="auto"/>
            <w:tcMar>
              <w:top w:w="15" w:type="dxa"/>
              <w:left w:w="98" w:type="dxa"/>
              <w:bottom w:w="0" w:type="dxa"/>
              <w:right w:w="98" w:type="dxa"/>
            </w:tcMar>
            <w:hideMark/>
          </w:tcPr>
          <w:p w14:paraId="69F93FE3"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IGR growth assumptions. Post 2060 grown by AWOTE</w:t>
            </w:r>
          </w:p>
        </w:tc>
        <w:tc>
          <w:tcPr>
            <w:tcW w:w="2115" w:type="dxa"/>
            <w:shd w:val="clear" w:color="auto" w:fill="auto"/>
            <w:tcMar>
              <w:top w:w="15" w:type="dxa"/>
              <w:left w:w="98" w:type="dxa"/>
              <w:bottom w:w="0" w:type="dxa"/>
              <w:right w:w="98" w:type="dxa"/>
            </w:tcMar>
            <w:hideMark/>
          </w:tcPr>
          <w:p w14:paraId="1A14E785"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Australian Institute of Health and Welfare</w:t>
            </w:r>
          </w:p>
        </w:tc>
      </w:tr>
      <w:tr w:rsidR="00852036" w:rsidRPr="00473D15" w14:paraId="5DC617A2" w14:textId="77777777" w:rsidTr="00F53282">
        <w:trPr>
          <w:trHeight w:val="581"/>
        </w:trPr>
        <w:tc>
          <w:tcPr>
            <w:tcW w:w="2115" w:type="dxa"/>
            <w:shd w:val="clear" w:color="auto" w:fill="auto"/>
            <w:tcMar>
              <w:top w:w="15" w:type="dxa"/>
              <w:left w:w="98" w:type="dxa"/>
              <w:bottom w:w="0" w:type="dxa"/>
              <w:right w:w="98" w:type="dxa"/>
            </w:tcMar>
            <w:hideMark/>
          </w:tcPr>
          <w:p w14:paraId="124FDD5B" w14:textId="314110CF"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Transfer</w:t>
            </w:r>
            <w:r w:rsidR="00AE4857" w:rsidRPr="004F12B1">
              <w:rPr>
                <w:rFonts w:ascii="Arial" w:eastAsia="Times New Roman" w:hAnsi="Arial" w:cs="Arial"/>
                <w:b/>
                <w:bCs/>
                <w:kern w:val="24"/>
                <w:sz w:val="16"/>
                <w:szCs w:val="16"/>
                <w:lang w:eastAsia="en-AU"/>
              </w:rPr>
              <w:t xml:space="preserve"> payments</w:t>
            </w:r>
          </w:p>
        </w:tc>
        <w:tc>
          <w:tcPr>
            <w:tcW w:w="2115" w:type="dxa"/>
            <w:shd w:val="clear" w:color="auto" w:fill="auto"/>
            <w:tcMar>
              <w:top w:w="15" w:type="dxa"/>
              <w:left w:w="98" w:type="dxa"/>
              <w:bottom w:w="0" w:type="dxa"/>
              <w:right w:w="98" w:type="dxa"/>
            </w:tcMar>
            <w:hideMark/>
          </w:tcPr>
          <w:p w14:paraId="1CEBB989"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Age, visa category, years since arrival</w:t>
            </w:r>
          </w:p>
        </w:tc>
        <w:tc>
          <w:tcPr>
            <w:tcW w:w="2115" w:type="dxa"/>
            <w:shd w:val="clear" w:color="auto" w:fill="auto"/>
            <w:tcMar>
              <w:top w:w="15" w:type="dxa"/>
              <w:left w:w="98" w:type="dxa"/>
              <w:bottom w:w="0" w:type="dxa"/>
              <w:right w:w="98" w:type="dxa"/>
            </w:tcMar>
            <w:hideMark/>
          </w:tcPr>
          <w:p w14:paraId="1A398F91"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Provided by the Department of Social Services</w:t>
            </w:r>
          </w:p>
        </w:tc>
        <w:tc>
          <w:tcPr>
            <w:tcW w:w="2115" w:type="dxa"/>
            <w:shd w:val="clear" w:color="auto" w:fill="auto"/>
            <w:tcMar>
              <w:top w:w="15" w:type="dxa"/>
              <w:left w:w="98" w:type="dxa"/>
              <w:bottom w:w="0" w:type="dxa"/>
              <w:right w:w="98" w:type="dxa"/>
            </w:tcMar>
            <w:hideMark/>
          </w:tcPr>
          <w:p w14:paraId="2D457C80"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Administrative data from the Department of Social Services</w:t>
            </w:r>
          </w:p>
        </w:tc>
      </w:tr>
      <w:tr w:rsidR="00852036" w:rsidRPr="00473D15" w14:paraId="00622D6F" w14:textId="77777777" w:rsidTr="006D7D74">
        <w:trPr>
          <w:trHeight w:val="376"/>
        </w:trPr>
        <w:tc>
          <w:tcPr>
            <w:tcW w:w="2115" w:type="dxa"/>
            <w:shd w:val="clear" w:color="auto" w:fill="auto"/>
            <w:tcMar>
              <w:top w:w="15" w:type="dxa"/>
              <w:left w:w="98" w:type="dxa"/>
              <w:bottom w:w="0" w:type="dxa"/>
              <w:right w:w="98" w:type="dxa"/>
            </w:tcMar>
            <w:hideMark/>
          </w:tcPr>
          <w:p w14:paraId="13859997"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Land tax</w:t>
            </w:r>
          </w:p>
        </w:tc>
        <w:tc>
          <w:tcPr>
            <w:tcW w:w="2115" w:type="dxa"/>
            <w:shd w:val="clear" w:color="auto" w:fill="auto"/>
            <w:tcMar>
              <w:top w:w="15" w:type="dxa"/>
              <w:left w:w="98" w:type="dxa"/>
              <w:bottom w:w="0" w:type="dxa"/>
              <w:right w:w="98" w:type="dxa"/>
            </w:tcMar>
            <w:hideMark/>
          </w:tcPr>
          <w:p w14:paraId="0761F360" w14:textId="7EB2B649"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 xml:space="preserve">Age, </w:t>
            </w:r>
            <w:r w:rsidR="00D34AE8" w:rsidRPr="004F12B1">
              <w:rPr>
                <w:rFonts w:ascii="Arial" w:eastAsia="Times New Roman" w:hAnsi="Arial" w:cs="Arial"/>
                <w:color w:val="000000"/>
                <w:kern w:val="24"/>
                <w:sz w:val="16"/>
                <w:szCs w:val="16"/>
                <w:lang w:eastAsia="en-AU"/>
              </w:rPr>
              <w:t>S</w:t>
            </w:r>
            <w:r w:rsidRPr="004F12B1">
              <w:rPr>
                <w:rFonts w:ascii="Arial" w:eastAsia="Times New Roman" w:hAnsi="Arial" w:cs="Arial"/>
                <w:color w:val="000000"/>
                <w:kern w:val="24"/>
                <w:sz w:val="16"/>
                <w:szCs w:val="16"/>
                <w:lang w:eastAsia="en-AU"/>
              </w:rPr>
              <w:t>tate</w:t>
            </w:r>
          </w:p>
        </w:tc>
        <w:tc>
          <w:tcPr>
            <w:tcW w:w="2115" w:type="dxa"/>
            <w:shd w:val="clear" w:color="auto" w:fill="auto"/>
            <w:tcMar>
              <w:top w:w="15" w:type="dxa"/>
              <w:left w:w="98" w:type="dxa"/>
              <w:bottom w:w="0" w:type="dxa"/>
              <w:right w:w="98" w:type="dxa"/>
            </w:tcMar>
            <w:hideMark/>
          </w:tcPr>
          <w:p w14:paraId="53C26238"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Consumer Price Index</w:t>
            </w:r>
          </w:p>
        </w:tc>
        <w:tc>
          <w:tcPr>
            <w:tcW w:w="2115" w:type="dxa"/>
            <w:shd w:val="clear" w:color="auto" w:fill="auto"/>
            <w:tcMar>
              <w:top w:w="15" w:type="dxa"/>
              <w:left w:w="98" w:type="dxa"/>
              <w:bottom w:w="0" w:type="dxa"/>
              <w:right w:w="98" w:type="dxa"/>
            </w:tcMar>
            <w:hideMark/>
          </w:tcPr>
          <w:p w14:paraId="633EEEF6"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Administrative data from ATO</w:t>
            </w:r>
          </w:p>
        </w:tc>
      </w:tr>
      <w:tr w:rsidR="00852036" w:rsidRPr="00473D15" w14:paraId="0E7AEECD" w14:textId="77777777" w:rsidTr="00F53282">
        <w:trPr>
          <w:trHeight w:val="387"/>
        </w:trPr>
        <w:tc>
          <w:tcPr>
            <w:tcW w:w="2115" w:type="dxa"/>
            <w:shd w:val="clear" w:color="auto" w:fill="auto"/>
            <w:tcMar>
              <w:top w:w="15" w:type="dxa"/>
              <w:left w:w="98" w:type="dxa"/>
              <w:bottom w:w="0" w:type="dxa"/>
              <w:right w:w="98" w:type="dxa"/>
            </w:tcMar>
            <w:hideMark/>
          </w:tcPr>
          <w:p w14:paraId="5175BB89" w14:textId="2EB9F37B"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 xml:space="preserve">Stamp </w:t>
            </w:r>
            <w:r w:rsidR="00AE4857" w:rsidRPr="004F12B1">
              <w:rPr>
                <w:rFonts w:ascii="Arial" w:eastAsia="Times New Roman" w:hAnsi="Arial" w:cs="Arial"/>
                <w:b/>
                <w:bCs/>
                <w:kern w:val="24"/>
                <w:sz w:val="16"/>
                <w:szCs w:val="16"/>
                <w:lang w:eastAsia="en-AU"/>
              </w:rPr>
              <w:t>d</w:t>
            </w:r>
            <w:r w:rsidRPr="004F12B1">
              <w:rPr>
                <w:rFonts w:ascii="Arial" w:eastAsia="Times New Roman" w:hAnsi="Arial" w:cs="Arial"/>
                <w:b/>
                <w:bCs/>
                <w:kern w:val="24"/>
                <w:sz w:val="16"/>
                <w:szCs w:val="16"/>
                <w:lang w:eastAsia="en-AU"/>
              </w:rPr>
              <w:t>uty</w:t>
            </w:r>
          </w:p>
        </w:tc>
        <w:tc>
          <w:tcPr>
            <w:tcW w:w="2115" w:type="dxa"/>
            <w:shd w:val="clear" w:color="auto" w:fill="auto"/>
            <w:tcMar>
              <w:top w:w="15" w:type="dxa"/>
              <w:left w:w="98" w:type="dxa"/>
              <w:bottom w:w="0" w:type="dxa"/>
              <w:right w:w="98" w:type="dxa"/>
            </w:tcMar>
            <w:hideMark/>
          </w:tcPr>
          <w:p w14:paraId="2CA86A29" w14:textId="5D9E4C72"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 xml:space="preserve">Age, gender, </w:t>
            </w:r>
            <w:r w:rsidR="00D34AE8" w:rsidRPr="004F12B1">
              <w:rPr>
                <w:rFonts w:ascii="Arial" w:eastAsia="Times New Roman" w:hAnsi="Arial" w:cs="Arial"/>
                <w:color w:val="000000"/>
                <w:kern w:val="24"/>
                <w:sz w:val="16"/>
                <w:szCs w:val="16"/>
                <w:lang w:eastAsia="en-AU"/>
              </w:rPr>
              <w:t>S</w:t>
            </w:r>
            <w:r w:rsidRPr="004F12B1">
              <w:rPr>
                <w:rFonts w:ascii="Arial" w:eastAsia="Times New Roman" w:hAnsi="Arial" w:cs="Arial"/>
                <w:color w:val="000000"/>
                <w:kern w:val="24"/>
                <w:sz w:val="16"/>
                <w:szCs w:val="16"/>
                <w:lang w:eastAsia="en-AU"/>
              </w:rPr>
              <w:t>tate, visa category (as proxy for income)</w:t>
            </w:r>
          </w:p>
        </w:tc>
        <w:tc>
          <w:tcPr>
            <w:tcW w:w="2115" w:type="dxa"/>
            <w:shd w:val="clear" w:color="auto" w:fill="auto"/>
            <w:tcMar>
              <w:top w:w="15" w:type="dxa"/>
              <w:left w:w="98" w:type="dxa"/>
              <w:bottom w:w="0" w:type="dxa"/>
              <w:right w:w="98" w:type="dxa"/>
            </w:tcMar>
            <w:hideMark/>
          </w:tcPr>
          <w:p w14:paraId="53FD84A1"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 xml:space="preserve">ABS Established House Price Index (6416.0) </w:t>
            </w:r>
          </w:p>
        </w:tc>
        <w:tc>
          <w:tcPr>
            <w:tcW w:w="2115" w:type="dxa"/>
            <w:shd w:val="clear" w:color="auto" w:fill="auto"/>
            <w:tcMar>
              <w:top w:w="15" w:type="dxa"/>
              <w:left w:w="98" w:type="dxa"/>
              <w:bottom w:w="0" w:type="dxa"/>
              <w:right w:w="98" w:type="dxa"/>
            </w:tcMar>
            <w:hideMark/>
          </w:tcPr>
          <w:p w14:paraId="3FD5F73E"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HILDA</w:t>
            </w:r>
          </w:p>
        </w:tc>
      </w:tr>
      <w:tr w:rsidR="00852036" w:rsidRPr="00473D15" w14:paraId="31A4E0D5" w14:textId="77777777" w:rsidTr="00F53282">
        <w:trPr>
          <w:trHeight w:val="581"/>
        </w:trPr>
        <w:tc>
          <w:tcPr>
            <w:tcW w:w="2115" w:type="dxa"/>
            <w:shd w:val="clear" w:color="auto" w:fill="auto"/>
            <w:tcMar>
              <w:top w:w="15" w:type="dxa"/>
              <w:left w:w="98" w:type="dxa"/>
              <w:bottom w:w="0" w:type="dxa"/>
              <w:right w:w="98" w:type="dxa"/>
            </w:tcMar>
            <w:hideMark/>
          </w:tcPr>
          <w:p w14:paraId="1D27E9D1"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Payroll tax</w:t>
            </w:r>
          </w:p>
        </w:tc>
        <w:tc>
          <w:tcPr>
            <w:tcW w:w="2115" w:type="dxa"/>
            <w:shd w:val="clear" w:color="auto" w:fill="auto"/>
            <w:tcMar>
              <w:top w:w="15" w:type="dxa"/>
              <w:left w:w="98" w:type="dxa"/>
              <w:bottom w:w="0" w:type="dxa"/>
              <w:right w:w="98" w:type="dxa"/>
            </w:tcMar>
            <w:hideMark/>
          </w:tcPr>
          <w:p w14:paraId="1F41CB5F"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Visa category, age, years since arrival</w:t>
            </w:r>
          </w:p>
        </w:tc>
        <w:tc>
          <w:tcPr>
            <w:tcW w:w="2115" w:type="dxa"/>
            <w:shd w:val="clear" w:color="auto" w:fill="auto"/>
            <w:tcMar>
              <w:top w:w="15" w:type="dxa"/>
              <w:left w:w="98" w:type="dxa"/>
              <w:bottom w:w="0" w:type="dxa"/>
              <w:right w:w="98" w:type="dxa"/>
            </w:tcMar>
            <w:hideMark/>
          </w:tcPr>
          <w:p w14:paraId="3A23CA30"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Average Weekly Earnings</w:t>
            </w:r>
          </w:p>
        </w:tc>
        <w:tc>
          <w:tcPr>
            <w:tcW w:w="2115" w:type="dxa"/>
            <w:shd w:val="clear" w:color="auto" w:fill="auto"/>
            <w:tcMar>
              <w:top w:w="15" w:type="dxa"/>
              <w:left w:w="98" w:type="dxa"/>
              <w:bottom w:w="0" w:type="dxa"/>
              <w:right w:w="98" w:type="dxa"/>
            </w:tcMar>
            <w:hideMark/>
          </w:tcPr>
          <w:p w14:paraId="0A1062A4" w14:textId="77EAB5BA"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 xml:space="preserve">Personal income tax </w:t>
            </w:r>
            <w:r w:rsidR="002160F1">
              <w:rPr>
                <w:rFonts w:ascii="Arial" w:eastAsia="Times New Roman" w:hAnsi="Arial" w:cs="Arial"/>
                <w:color w:val="000000"/>
                <w:kern w:val="24"/>
                <w:sz w:val="16"/>
                <w:szCs w:val="16"/>
                <w:lang w:eastAsia="en-AU"/>
              </w:rPr>
              <w:t>returns</w:t>
            </w:r>
            <w:r w:rsidRPr="004F12B1">
              <w:rPr>
                <w:rFonts w:ascii="Arial" w:eastAsia="Times New Roman" w:hAnsi="Arial" w:cs="Arial"/>
                <w:color w:val="000000"/>
                <w:kern w:val="24"/>
                <w:sz w:val="16"/>
                <w:szCs w:val="16"/>
                <w:lang w:eastAsia="en-AU"/>
              </w:rPr>
              <w:t>, Government Finance Statistics</w:t>
            </w:r>
          </w:p>
        </w:tc>
      </w:tr>
      <w:tr w:rsidR="00852036" w:rsidRPr="00473D15" w14:paraId="149AAE1F" w14:textId="77777777" w:rsidTr="00F53282">
        <w:trPr>
          <w:trHeight w:val="387"/>
        </w:trPr>
        <w:tc>
          <w:tcPr>
            <w:tcW w:w="2115" w:type="dxa"/>
            <w:shd w:val="clear" w:color="auto" w:fill="auto"/>
            <w:tcMar>
              <w:top w:w="15" w:type="dxa"/>
              <w:left w:w="98" w:type="dxa"/>
              <w:bottom w:w="0" w:type="dxa"/>
              <w:right w:w="98" w:type="dxa"/>
            </w:tcMar>
            <w:hideMark/>
          </w:tcPr>
          <w:p w14:paraId="1D520826" w14:textId="2A346429"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b/>
                <w:bCs/>
                <w:kern w:val="24"/>
                <w:sz w:val="16"/>
                <w:szCs w:val="16"/>
                <w:lang w:eastAsia="en-AU"/>
              </w:rPr>
              <w:t xml:space="preserve">Motor </w:t>
            </w:r>
            <w:r w:rsidR="00AE4857" w:rsidRPr="004F12B1">
              <w:rPr>
                <w:rFonts w:ascii="Arial" w:eastAsia="Times New Roman" w:hAnsi="Arial" w:cs="Arial"/>
                <w:b/>
                <w:bCs/>
                <w:kern w:val="24"/>
                <w:sz w:val="16"/>
                <w:szCs w:val="16"/>
                <w:lang w:eastAsia="en-AU"/>
              </w:rPr>
              <w:t>v</w:t>
            </w:r>
            <w:r w:rsidRPr="004F12B1">
              <w:rPr>
                <w:rFonts w:ascii="Arial" w:eastAsia="Times New Roman" w:hAnsi="Arial" w:cs="Arial"/>
                <w:b/>
                <w:bCs/>
                <w:kern w:val="24"/>
                <w:sz w:val="16"/>
                <w:szCs w:val="16"/>
                <w:lang w:eastAsia="en-AU"/>
              </w:rPr>
              <w:t>ehicle taxes</w:t>
            </w:r>
          </w:p>
        </w:tc>
        <w:tc>
          <w:tcPr>
            <w:tcW w:w="2115" w:type="dxa"/>
            <w:shd w:val="clear" w:color="auto" w:fill="auto"/>
            <w:tcMar>
              <w:top w:w="15" w:type="dxa"/>
              <w:left w:w="98" w:type="dxa"/>
              <w:bottom w:w="0" w:type="dxa"/>
              <w:right w:w="98" w:type="dxa"/>
            </w:tcMar>
            <w:hideMark/>
          </w:tcPr>
          <w:p w14:paraId="6F0F5931" w14:textId="22730F95"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 xml:space="preserve">Age, </w:t>
            </w:r>
            <w:r w:rsidR="00D34AE8" w:rsidRPr="004F12B1">
              <w:rPr>
                <w:rFonts w:ascii="Arial" w:eastAsia="Times New Roman" w:hAnsi="Arial" w:cs="Arial"/>
                <w:color w:val="000000"/>
                <w:kern w:val="24"/>
                <w:sz w:val="16"/>
                <w:szCs w:val="16"/>
                <w:lang w:eastAsia="en-AU"/>
              </w:rPr>
              <w:t>S</w:t>
            </w:r>
            <w:r w:rsidRPr="004F12B1">
              <w:rPr>
                <w:rFonts w:ascii="Arial" w:eastAsia="Times New Roman" w:hAnsi="Arial" w:cs="Arial"/>
                <w:color w:val="000000"/>
                <w:kern w:val="24"/>
                <w:sz w:val="16"/>
                <w:szCs w:val="16"/>
                <w:lang w:eastAsia="en-AU"/>
              </w:rPr>
              <w:t>tate, visa category (as proxy for income)</w:t>
            </w:r>
          </w:p>
        </w:tc>
        <w:tc>
          <w:tcPr>
            <w:tcW w:w="2115" w:type="dxa"/>
            <w:shd w:val="clear" w:color="auto" w:fill="auto"/>
            <w:tcMar>
              <w:top w:w="15" w:type="dxa"/>
              <w:left w:w="98" w:type="dxa"/>
              <w:bottom w:w="0" w:type="dxa"/>
              <w:right w:w="98" w:type="dxa"/>
            </w:tcMar>
            <w:hideMark/>
          </w:tcPr>
          <w:p w14:paraId="3ADDA044" w14:textId="40BEE1AE" w:rsidR="00852036" w:rsidRPr="004F12B1" w:rsidRDefault="00F53282"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Consumer Price Index</w:t>
            </w:r>
          </w:p>
        </w:tc>
        <w:tc>
          <w:tcPr>
            <w:tcW w:w="2115" w:type="dxa"/>
            <w:shd w:val="clear" w:color="auto" w:fill="auto"/>
            <w:tcMar>
              <w:top w:w="15" w:type="dxa"/>
              <w:left w:w="98" w:type="dxa"/>
              <w:bottom w:w="0" w:type="dxa"/>
              <w:right w:w="98" w:type="dxa"/>
            </w:tcMar>
            <w:hideMark/>
          </w:tcPr>
          <w:p w14:paraId="635A2718" w14:textId="77777777" w:rsidR="00852036" w:rsidRPr="004F12B1" w:rsidRDefault="00852036" w:rsidP="008027CA">
            <w:pPr>
              <w:spacing w:after="0"/>
              <w:rPr>
                <w:rFonts w:ascii="Arial" w:eastAsia="Times New Roman" w:hAnsi="Arial" w:cs="Arial"/>
                <w:sz w:val="16"/>
                <w:szCs w:val="16"/>
                <w:lang w:eastAsia="en-AU"/>
              </w:rPr>
            </w:pPr>
            <w:r w:rsidRPr="004F12B1">
              <w:rPr>
                <w:rFonts w:ascii="Arial" w:eastAsia="Times New Roman" w:hAnsi="Arial" w:cs="Arial"/>
                <w:color w:val="000000"/>
                <w:kern w:val="24"/>
                <w:sz w:val="16"/>
                <w:szCs w:val="16"/>
                <w:lang w:eastAsia="en-AU"/>
              </w:rPr>
              <w:t>ACMID, Government Finance Statistics</w:t>
            </w:r>
          </w:p>
        </w:tc>
      </w:tr>
    </w:tbl>
    <w:p w14:paraId="336484EB" w14:textId="667D9EE5" w:rsidR="00B2243B" w:rsidRDefault="002160F1" w:rsidP="00A255AF">
      <w:pPr>
        <w:spacing w:after="0"/>
        <w:rPr>
          <w:sz w:val="18"/>
          <w:szCs w:val="18"/>
        </w:rPr>
      </w:pPr>
      <w:r>
        <w:rPr>
          <w:sz w:val="18"/>
          <w:szCs w:val="18"/>
        </w:rPr>
        <w:t xml:space="preserve">MADIP refers to the </w:t>
      </w:r>
      <w:r w:rsidRPr="002160F1">
        <w:rPr>
          <w:sz w:val="18"/>
          <w:szCs w:val="18"/>
        </w:rPr>
        <w:t>Multi-Agency Data Integration Project</w:t>
      </w:r>
      <w:r>
        <w:rPr>
          <w:sz w:val="18"/>
          <w:szCs w:val="18"/>
        </w:rPr>
        <w:t>.</w:t>
      </w:r>
      <w:r w:rsidRPr="002160F1">
        <w:rPr>
          <w:sz w:val="18"/>
          <w:szCs w:val="18"/>
        </w:rPr>
        <w:t xml:space="preserve"> </w:t>
      </w:r>
      <w:r w:rsidR="00B2243B" w:rsidRPr="007E62B6">
        <w:rPr>
          <w:sz w:val="18"/>
          <w:szCs w:val="18"/>
        </w:rPr>
        <w:t>ACMID refers to the Australian Census and Migrants Integrated Dataset (ABS Cat No. 3417.0.55.001). HILDA refers to The Household, Income and Labour Dynamics in Australia Survey.</w:t>
      </w:r>
    </w:p>
    <w:p w14:paraId="2C009CC8" w14:textId="77777777" w:rsidR="00A255AF" w:rsidRPr="007E62B6" w:rsidRDefault="00A255AF" w:rsidP="00A255AF">
      <w:pPr>
        <w:spacing w:after="0"/>
        <w:rPr>
          <w:sz w:val="18"/>
          <w:szCs w:val="18"/>
        </w:rPr>
      </w:pPr>
    </w:p>
    <w:p w14:paraId="324BF421" w14:textId="49251CFF" w:rsidR="00B2243B" w:rsidRDefault="00D157A4" w:rsidP="007F0F36">
      <w:r>
        <w:t>M</w:t>
      </w:r>
      <w:r w:rsidR="00B2243B">
        <w:t xml:space="preserve">any FIONA calculations (personal income tax, transfer payments, VAC, </w:t>
      </w:r>
      <w:r w:rsidR="00C80273">
        <w:t>s</w:t>
      </w:r>
      <w:r w:rsidR="00B2243B">
        <w:t>ettlement services, payroll tax and health) draw on administrative data that can be directly linked to migrants</w:t>
      </w:r>
      <w:r w:rsidR="001C1D04">
        <w:t xml:space="preserve"> (in a deidentified way)</w:t>
      </w:r>
      <w:r w:rsidR="00B2243B">
        <w:t xml:space="preserve">. </w:t>
      </w:r>
      <w:r w:rsidR="00F01897">
        <w:t xml:space="preserve">Some </w:t>
      </w:r>
      <w:r w:rsidR="00B2243B">
        <w:t xml:space="preserve">other </w:t>
      </w:r>
      <w:r w:rsidR="003C3FAE">
        <w:t xml:space="preserve">calculations </w:t>
      </w:r>
      <w:r w:rsidR="00B2243B">
        <w:t xml:space="preserve">use income differences between visa groups as a predictor of revenues and expenses (indirect taxes, land tax and stamp duty). The remaining calculations are purely demographic, and only capture differences between migrants based on age and gender profiles (education, infrastructure, and aged care). </w:t>
      </w:r>
    </w:p>
    <w:p w14:paraId="26E157C7" w14:textId="74235E51" w:rsidR="00B2243B" w:rsidRDefault="00D157A4" w:rsidP="007F0F36">
      <w:r>
        <w:t>Several</w:t>
      </w:r>
      <w:r w:rsidR="00B2243B">
        <w:t xml:space="preserve"> FIONA modules incorporate the number of years since a migrant is granted a permanent visa. This is an important factor in some FIONA modules as it can capture a transitional phase as migrants settle into life in Australia,</w:t>
      </w:r>
      <w:r w:rsidR="00B2243B">
        <w:rPr>
          <w:rStyle w:val="FootnoteReference"/>
        </w:rPr>
        <w:footnoteReference w:id="40"/>
      </w:r>
      <w:r w:rsidR="00B2243B">
        <w:t xml:space="preserve"> as well as legislated restrictions on receipt of transfers and services. However, </w:t>
      </w:r>
      <w:r w:rsidR="00540BA9">
        <w:t>this estimate relies on information from different migrant cohorts</w:t>
      </w:r>
      <w:r w:rsidR="00B2243B">
        <w:t xml:space="preserve"> (for instance, capturing a 20</w:t>
      </w:r>
      <w:r w:rsidR="009C1E51">
        <w:t>-</w:t>
      </w:r>
      <w:r w:rsidR="00B2243B">
        <w:t xml:space="preserve">year trend must use information from migrants who arrived in Australia more than 20 years ago) which may not be representative of the current cohort of migrants. </w:t>
      </w:r>
      <w:r w:rsidR="006D7D74">
        <w:t>In addition, s</w:t>
      </w:r>
      <w:r w:rsidR="00F01897">
        <w:t xml:space="preserve">uch </w:t>
      </w:r>
      <w:r w:rsidR="00B2243B">
        <w:t xml:space="preserve">historical data </w:t>
      </w:r>
      <w:r w:rsidR="0045305E">
        <w:t>are</w:t>
      </w:r>
      <w:r w:rsidR="00B2243B">
        <w:t xml:space="preserve"> not </w:t>
      </w:r>
      <w:r w:rsidR="00F01897">
        <w:t xml:space="preserve">always </w:t>
      </w:r>
      <w:r w:rsidR="00B2243B">
        <w:t xml:space="preserve">available. </w:t>
      </w:r>
    </w:p>
    <w:p w14:paraId="2DF13334" w14:textId="358F7DD5" w:rsidR="00B2243B" w:rsidRDefault="00B2243B" w:rsidP="007F0F36">
      <w:r>
        <w:t>In situations in which a long</w:t>
      </w:r>
      <w:r w:rsidR="009C1E51">
        <w:t>-</w:t>
      </w:r>
      <w:r>
        <w:t xml:space="preserve">term trend is difficult to estimate directly, FIONA assumes that some migrant </w:t>
      </w:r>
      <w:r w:rsidR="00F01897">
        <w:t xml:space="preserve">outcomes </w:t>
      </w:r>
      <w:r>
        <w:t xml:space="preserve">converge towards the </w:t>
      </w:r>
      <w:r w:rsidR="00F01897">
        <w:t xml:space="preserve">average outcomes </w:t>
      </w:r>
      <w:r>
        <w:t>of the general Australian population. For instance:</w:t>
      </w:r>
    </w:p>
    <w:p w14:paraId="1946176D" w14:textId="77777777" w:rsidR="00B2243B" w:rsidRPr="007F0F36" w:rsidRDefault="00B2243B" w:rsidP="007F0F36">
      <w:pPr>
        <w:pStyle w:val="Bullet"/>
      </w:pPr>
      <w:r w:rsidRPr="007F0F36">
        <w:t>The lifetime labour market interaction and receipt of transfer payments of all migrants granted a visa before the age of 15 is assumed to be the same as the Australian population.</w:t>
      </w:r>
    </w:p>
    <w:p w14:paraId="30FD79A7" w14:textId="122DDFC2" w:rsidR="00B2243B" w:rsidRPr="007F0F36" w:rsidRDefault="00F01897" w:rsidP="007F0F36">
      <w:pPr>
        <w:pStyle w:val="Bullet"/>
      </w:pPr>
      <w:r w:rsidRPr="007F0F36">
        <w:t>For all other migrants, t</w:t>
      </w:r>
      <w:r w:rsidR="00B2243B" w:rsidRPr="007F0F36">
        <w:t>he average receipt of government transfer payments converges towards the Australian population over a period of twenty years.</w:t>
      </w:r>
    </w:p>
    <w:p w14:paraId="22A800C9" w14:textId="50079886" w:rsidR="00FA7FDE" w:rsidRDefault="00B2243B" w:rsidP="001A66C0">
      <w:pPr>
        <w:pStyle w:val="Heading3"/>
      </w:pPr>
      <w:bookmarkStart w:id="54" w:name="_Toc77175239"/>
      <w:r>
        <w:t xml:space="preserve">Revenue and expense </w:t>
      </w:r>
      <w:r w:rsidR="003B20E3">
        <w:t>calculations</w:t>
      </w:r>
      <w:bookmarkEnd w:id="54"/>
    </w:p>
    <w:p w14:paraId="2232F20B" w14:textId="19F3ECAC" w:rsidR="00FA7FDE" w:rsidRPr="00E20C1E" w:rsidRDefault="00FA7FDE" w:rsidP="008027CA">
      <w:pPr>
        <w:pStyle w:val="Heading4"/>
        <w:rPr>
          <w:b w:val="0"/>
          <w:color w:val="003157"/>
        </w:rPr>
      </w:pPr>
      <w:r w:rsidRPr="00E20C1E">
        <w:rPr>
          <w:color w:val="003157"/>
        </w:rPr>
        <w:t xml:space="preserve">Personal </w:t>
      </w:r>
      <w:r w:rsidR="00887F81" w:rsidRPr="00E20C1E">
        <w:rPr>
          <w:color w:val="003157"/>
        </w:rPr>
        <w:t>i</w:t>
      </w:r>
      <w:r w:rsidRPr="00E20C1E">
        <w:rPr>
          <w:color w:val="003157"/>
        </w:rPr>
        <w:t xml:space="preserve">ncome </w:t>
      </w:r>
      <w:r w:rsidR="002C3F15" w:rsidRPr="00E20C1E">
        <w:rPr>
          <w:color w:val="003157"/>
        </w:rPr>
        <w:t xml:space="preserve">tax </w:t>
      </w:r>
    </w:p>
    <w:p w14:paraId="177C4D5D" w14:textId="11345649" w:rsidR="00FA7FDE" w:rsidRDefault="00273FD7" w:rsidP="007F0F36">
      <w:r>
        <w:t>FIONA estimates personal income tax paid on</w:t>
      </w:r>
      <w:r w:rsidR="00FA7FDE">
        <w:t xml:space="preserve"> earned income, which includes income from salary, </w:t>
      </w:r>
      <w:r w:rsidR="008027CA">
        <w:t>wages,</w:t>
      </w:r>
      <w:r w:rsidR="00FA7FDE">
        <w:t xml:space="preserve"> and business income, but excludes </w:t>
      </w:r>
      <w:r>
        <w:t>personal income tax paid on</w:t>
      </w:r>
      <w:r w:rsidR="00FA7FDE">
        <w:t xml:space="preserve"> interest, shares, </w:t>
      </w:r>
      <w:r w:rsidR="0080799B">
        <w:t>trusts,</w:t>
      </w:r>
      <w:r w:rsidR="00FA7FDE">
        <w:t xml:space="preserve"> and investment properties. </w:t>
      </w:r>
      <w:r w:rsidR="00F95ECE">
        <w:t xml:space="preserve">FIONA </w:t>
      </w:r>
      <w:r w:rsidR="00A152C3">
        <w:t xml:space="preserve">does not capture </w:t>
      </w:r>
      <w:r w:rsidR="00F95ECE">
        <w:t xml:space="preserve">taxes on superannuation contributions and earnings. </w:t>
      </w:r>
      <w:r w:rsidR="00FA7FDE">
        <w:t xml:space="preserve">The personal income tax calculation is </w:t>
      </w:r>
      <w:r w:rsidR="00F01897">
        <w:t xml:space="preserve">done in </w:t>
      </w:r>
      <w:r w:rsidR="00FA7FDE">
        <w:t xml:space="preserve">two steps. The first step projects the likelihood that an individual </w:t>
      </w:r>
      <w:r w:rsidR="00DB2294">
        <w:t>has positive income</w:t>
      </w:r>
      <w:r w:rsidR="00FA7FDE">
        <w:t>, while the second step calculates the expected amount of income tax paid</w:t>
      </w:r>
      <w:r w:rsidR="00AE2A8C">
        <w:t xml:space="preserve"> (including the Medicare </w:t>
      </w:r>
      <w:r w:rsidR="00F01897">
        <w:t>l</w:t>
      </w:r>
      <w:r w:rsidR="00AE2A8C">
        <w:t>evy)</w:t>
      </w:r>
      <w:r w:rsidR="00FA7FDE">
        <w:t xml:space="preserve"> </w:t>
      </w:r>
      <w:r w:rsidR="00F01897">
        <w:t xml:space="preserve">by </w:t>
      </w:r>
      <w:r w:rsidR="00FA7FDE">
        <w:t xml:space="preserve">those </w:t>
      </w:r>
      <w:r w:rsidR="00DB2294">
        <w:t>with positive income.</w:t>
      </w:r>
    </w:p>
    <w:p w14:paraId="16B0B990" w14:textId="27C8035D" w:rsidR="00FA7FDE" w:rsidRDefault="00FA7FDE" w:rsidP="007F0F36">
      <w:r>
        <w:t>The likelihood of paying personal income tax is based on Treasury macroeconomic projections of labour force participation and employment rates (which vary by age and gender).</w:t>
      </w:r>
      <w:r w:rsidR="009C5FC8">
        <w:t xml:space="preserve"> </w:t>
      </w:r>
      <w:r w:rsidR="00273FD7">
        <w:t xml:space="preserve">This </w:t>
      </w:r>
      <w:r>
        <w:t xml:space="preserve">is then adjusted up or down based on the relative likelihood of employment observed by different visa groups using ACMID data (aggregated versions of this factor are presented in </w:t>
      </w:r>
      <w:r w:rsidR="00F01897">
        <w:t xml:space="preserve">Chart </w:t>
      </w:r>
      <w:r w:rsidR="00232EEE">
        <w:t>1</w:t>
      </w:r>
      <w:r w:rsidR="00846BC7">
        <w:t>1</w:t>
      </w:r>
      <w:r w:rsidR="00C50F53">
        <w:t xml:space="preserve"> </w:t>
      </w:r>
      <w:r>
        <w:t>of this report). This</w:t>
      </w:r>
      <w:r w:rsidR="00273FD7">
        <w:t xml:space="preserve"> factor</w:t>
      </w:r>
      <w:r>
        <w:t xml:space="preserve"> captures differences in employment rates between visa groups, as well as the </w:t>
      </w:r>
      <w:r w:rsidR="00B35B66">
        <w:t>period</w:t>
      </w:r>
      <w:r>
        <w:t xml:space="preserve"> taken by </w:t>
      </w:r>
      <w:r w:rsidR="00F01897">
        <w:t xml:space="preserve">previous </w:t>
      </w:r>
      <w:r>
        <w:t xml:space="preserve">migrant </w:t>
      </w:r>
      <w:r w:rsidR="00F01897">
        <w:t xml:space="preserve">cohorts </w:t>
      </w:r>
      <w:r>
        <w:t>to settle into the Australian labour market.</w:t>
      </w:r>
    </w:p>
    <w:p w14:paraId="14CB7573" w14:textId="2E2C00B1" w:rsidR="00FA7FDE" w:rsidRDefault="00FA7FDE" w:rsidP="007F0F36">
      <w:r>
        <w:t xml:space="preserve">The calculation of income tax paid by migrants is </w:t>
      </w:r>
      <w:r w:rsidRPr="00AC73DF">
        <w:t xml:space="preserve">based on </w:t>
      </w:r>
      <w:r>
        <w:t xml:space="preserve">ATO </w:t>
      </w:r>
      <w:r w:rsidRPr="00AC73DF">
        <w:t xml:space="preserve">administrative data </w:t>
      </w:r>
      <w:r w:rsidR="00C80273">
        <w:t>that</w:t>
      </w:r>
      <w:r w:rsidRPr="00AC73DF">
        <w:t xml:space="preserve"> links personal income taxes and visa </w:t>
      </w:r>
      <w:r>
        <w:t>data</w:t>
      </w:r>
      <w:r w:rsidRPr="00AC73DF">
        <w:t>.</w:t>
      </w:r>
      <w:r>
        <w:t xml:space="preserve"> This is used to estimate the share of each migrant group within each income quintile, after controlling for differences in the age profile of migrants (aggregated versions of this income distribution is presented in </w:t>
      </w:r>
      <w:r w:rsidR="001C1D04">
        <w:t>Table 6</w:t>
      </w:r>
      <w:r w:rsidR="00C50F53">
        <w:t xml:space="preserve"> </w:t>
      </w:r>
      <w:r>
        <w:t>of this report).</w:t>
      </w:r>
      <w:r>
        <w:rPr>
          <w:rStyle w:val="FootnoteReference"/>
          <w:rFonts w:cs="Calibri"/>
        </w:rPr>
        <w:footnoteReference w:id="41"/>
      </w:r>
      <w:r>
        <w:t xml:space="preserve"> Total income tax paid is then calculated based on the average income level within each income quintile using a ‘tax calculator’.</w:t>
      </w:r>
      <w:r w:rsidR="00460F93">
        <w:rPr>
          <w:rStyle w:val="FootnoteReference"/>
          <w:rFonts w:cs="Calibri"/>
        </w:rPr>
        <w:footnoteReference w:id="42"/>
      </w:r>
      <w:r>
        <w:t xml:space="preserve"> To calculate income tax in future years, income is grown in line with average weekly earnings, with the tax calculator unchanged until 2030.</w:t>
      </w:r>
      <w:r w:rsidR="005D7D7A">
        <w:rPr>
          <w:rStyle w:val="FootnoteReference"/>
          <w:rFonts w:cs="Calibri"/>
        </w:rPr>
        <w:footnoteReference w:id="43"/>
      </w:r>
    </w:p>
    <w:p w14:paraId="6219B38A" w14:textId="23591568" w:rsidR="00706F44" w:rsidRDefault="00EF60FE" w:rsidP="008027CA">
      <m:oMathPara>
        <m:oMath>
          <m:sSub>
            <m:sSubPr>
              <m:ctrlPr>
                <w:rPr>
                  <w:rFonts w:ascii="Cambria Math" w:eastAsiaTheme="minorEastAsia" w:hAnsi="Cambria Math" w:cs="Calibri"/>
                  <w:i/>
                </w:rPr>
              </m:ctrlPr>
            </m:sSubPr>
            <m:e>
              <m:r>
                <w:rPr>
                  <w:rFonts w:ascii="Cambria Math" w:eastAsiaTheme="minorEastAsia" w:hAnsi="Cambria Math" w:cs="Calibri"/>
                </w:rPr>
                <m:t>PIT</m:t>
              </m:r>
            </m:e>
            <m:sub>
              <m:r>
                <w:rPr>
                  <w:rFonts w:ascii="Cambria Math" w:eastAsiaTheme="minorEastAsia" w:hAnsi="Cambria Math" w:cs="Calibri"/>
                </w:rPr>
                <m:t>Year, age, cat, app, ysa</m:t>
              </m:r>
            </m:sub>
          </m:sSub>
          <m:r>
            <w:rPr>
              <w:rFonts w:ascii="Cambria Math" w:eastAsiaTheme="minorEastAsia" w:hAnsi="Cambria Math" w:cs="Calibri"/>
            </w:rPr>
            <m:t xml:space="preserve"> </m:t>
          </m:r>
          <m:r>
            <w:rPr>
              <w:rFonts w:ascii="Cambria Math" w:hAnsi="Cambria Math"/>
            </w:rPr>
            <m:t>=</m:t>
          </m:r>
          <m:sSub>
            <m:sSubPr>
              <m:ctrlPr>
                <w:rPr>
                  <w:rFonts w:ascii="Cambria Math" w:hAnsi="Cambria Math"/>
                  <w:i/>
                </w:rPr>
              </m:ctrlPr>
            </m:sSubPr>
            <m:e>
              <m:r>
                <w:rPr>
                  <w:rFonts w:ascii="Cambria Math" w:hAnsi="Cambria Math"/>
                </w:rPr>
                <m:t>ER</m:t>
              </m:r>
            </m:e>
            <m:sub>
              <m:r>
                <w:rPr>
                  <w:rFonts w:ascii="Cambria Math" w:hAnsi="Cambria Math"/>
                </w:rPr>
                <m:t>age</m:t>
              </m:r>
            </m:sub>
          </m:sSub>
          <m:sSub>
            <m:sSubPr>
              <m:ctrlPr>
                <w:rPr>
                  <w:rFonts w:ascii="Cambria Math" w:hAnsi="Cambria Math"/>
                  <w:i/>
                </w:rPr>
              </m:ctrlPr>
            </m:sSubPr>
            <m:e>
              <m:r>
                <w:rPr>
                  <w:rFonts w:ascii="Cambria Math" w:hAnsi="Cambria Math"/>
                </w:rPr>
                <m:t xml:space="preserve"> . ERadj </m:t>
              </m:r>
            </m:e>
            <m:sub>
              <m:r>
                <w:rPr>
                  <w:rFonts w:ascii="Cambria Math" w:hAnsi="Cambria Math"/>
                </w:rPr>
                <m:t>Ysa,  cat, app</m:t>
              </m:r>
            </m:sub>
          </m:sSub>
          <m:r>
            <w:rPr>
              <w:rFonts w:ascii="Cambria Math" w:hAnsi="Cambria Math"/>
            </w:rPr>
            <m:t>.</m:t>
          </m:r>
          <m:nary>
            <m:naryPr>
              <m:chr m:val="∑"/>
              <m:limLoc m:val="undOvr"/>
              <m:ctrlPr>
                <w:rPr>
                  <w:rFonts w:ascii="Cambria Math" w:hAnsi="Cambria Math"/>
                  <w:i/>
                </w:rPr>
              </m:ctrlPr>
            </m:naryPr>
            <m:sub>
              <m:r>
                <w:rPr>
                  <w:rFonts w:ascii="Cambria Math" w:hAnsi="Cambria Math"/>
                </w:rPr>
                <m:t>Q=1</m:t>
              </m:r>
            </m:sub>
            <m:sup>
              <m:r>
                <w:rPr>
                  <w:rFonts w:ascii="Cambria Math" w:hAnsi="Cambria Math"/>
                </w:rPr>
                <m:t>5</m:t>
              </m:r>
            </m:sup>
            <m:e>
              <m:r>
                <w:rPr>
                  <w:rFonts w:ascii="Cambria Math" w:hAnsi="Cambria Math"/>
                </w:rPr>
                <m:t>T(E</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Q, Yr</m:t>
                      </m:r>
                    </m:sub>
                  </m:sSub>
                </m:e>
              </m:d>
              <m:sSub>
                <m:sSubPr>
                  <m:ctrlPr>
                    <w:rPr>
                      <w:rFonts w:ascii="Cambria Math" w:hAnsi="Cambria Math"/>
                      <w:i/>
                    </w:rPr>
                  </m:ctrlPr>
                </m:sSubPr>
                <m:e>
                  <m:r>
                    <w:rPr>
                      <w:rFonts w:ascii="Cambria Math" w:hAnsi="Cambria Math"/>
                    </w:rPr>
                    <m:t>).P(Q)</m:t>
                  </m:r>
                </m:e>
                <m:sub>
                  <m:r>
                    <w:rPr>
                      <w:rFonts w:ascii="Cambria Math" w:hAnsi="Cambria Math"/>
                    </w:rPr>
                    <m:t xml:space="preserve">cat, app </m:t>
                  </m:r>
                </m:sub>
              </m:sSub>
            </m:e>
          </m:nary>
        </m:oMath>
      </m:oMathPara>
    </w:p>
    <w:p w14:paraId="5E7B3014" w14:textId="5479118C" w:rsidR="00C13EE5" w:rsidRDefault="00706F44" w:rsidP="007F0F36">
      <w:r>
        <w:t>Where</w:t>
      </w:r>
      <w:r w:rsidR="00C13EE5">
        <w:t xml:space="preserve"> </w:t>
      </w:r>
      <w:r w:rsidR="008C31EC">
        <w:t>PIT is personal income tax, ER</w:t>
      </w:r>
      <w:r w:rsidR="00C13EE5">
        <w:t xml:space="preserve"> is the gross employment rate for the Australian population, </w:t>
      </w:r>
      <w:proofErr w:type="spellStart"/>
      <w:r w:rsidR="00C13EE5">
        <w:t>ERadj</w:t>
      </w:r>
      <w:proofErr w:type="spellEnd"/>
      <w:r w:rsidR="00C13EE5">
        <w:t xml:space="preserve"> is the relative rate of migrant employment, Cat is visa category, App refers to primary or secondary applicant, </w:t>
      </w:r>
      <w:proofErr w:type="spellStart"/>
      <w:r w:rsidR="00C13EE5">
        <w:t>ysa</w:t>
      </w:r>
      <w:proofErr w:type="spellEnd"/>
      <w:r w:rsidR="00C13EE5">
        <w:t xml:space="preserve"> refers to years since arrival, Q refers to the five personal income quintiles, Y is taxable income, T is the tax function described above, </w:t>
      </w:r>
      <w:proofErr w:type="spellStart"/>
      <w:r w:rsidR="00C13EE5">
        <w:t>yr</w:t>
      </w:r>
      <w:proofErr w:type="spellEnd"/>
      <w:r w:rsidR="00C13EE5">
        <w:t xml:space="preserve"> is year and P(Q) is the probability of a migrant being in each income quintile.</w:t>
      </w:r>
    </w:p>
    <w:p w14:paraId="066E3C40" w14:textId="782104F2" w:rsidR="009C5FC8" w:rsidRDefault="009C5FC8" w:rsidP="0035756D">
      <w:r>
        <w:t>The personal income tax calculation in FIONA:</w:t>
      </w:r>
    </w:p>
    <w:p w14:paraId="25C79FD7" w14:textId="18B04C90" w:rsidR="009C5FC8" w:rsidRPr="007F0F36" w:rsidRDefault="009C5FC8" w:rsidP="0035756D">
      <w:pPr>
        <w:pStyle w:val="Bullet"/>
        <w:keepNext w:val="0"/>
      </w:pPr>
      <w:r w:rsidRPr="007F0F36">
        <w:t xml:space="preserve">Captures around </w:t>
      </w:r>
      <w:r w:rsidR="00DB2294" w:rsidRPr="007F0F36">
        <w:t>90</w:t>
      </w:r>
      <w:r w:rsidR="006C3094" w:rsidRPr="007F0F36">
        <w:t xml:space="preserve"> </w:t>
      </w:r>
      <w:r w:rsidR="00283240" w:rsidRPr="007F0F36">
        <w:t>per cent</w:t>
      </w:r>
      <w:r w:rsidRPr="007F0F36">
        <w:t xml:space="preserve"> of all personal income tax</w:t>
      </w:r>
      <w:r w:rsidR="00283240" w:rsidRPr="007F0F36">
        <w:t xml:space="preserve"> in 2018</w:t>
      </w:r>
      <w:r w:rsidR="00F62807" w:rsidRPr="007F0F36">
        <w:t>–</w:t>
      </w:r>
      <w:r w:rsidR="00283240" w:rsidRPr="007F0F36">
        <w:t>19</w:t>
      </w:r>
      <w:r w:rsidRPr="007F0F36">
        <w:t xml:space="preserve">. </w:t>
      </w:r>
    </w:p>
    <w:p w14:paraId="5C656FBA" w14:textId="60B99E4E" w:rsidR="00FA7FDE" w:rsidRPr="007F0F36" w:rsidRDefault="009C5FC8" w:rsidP="0035756D">
      <w:pPr>
        <w:pStyle w:val="Bullet"/>
        <w:keepNext w:val="0"/>
      </w:pPr>
      <w:r w:rsidRPr="007F0F36">
        <w:t>Captures bracket creep within the personal income tax system</w:t>
      </w:r>
      <w:r w:rsidR="009F4C46" w:rsidRPr="007F0F36">
        <w:t xml:space="preserve"> until 2030</w:t>
      </w:r>
      <w:r w:rsidRPr="007F0F36">
        <w:t xml:space="preserve"> </w:t>
      </w:r>
      <w:r w:rsidR="00FA7FDE" w:rsidRPr="007F0F36">
        <w:t>in</w:t>
      </w:r>
      <w:r w:rsidR="009F4C46" w:rsidRPr="007F0F36">
        <w:t xml:space="preserve"> a</w:t>
      </w:r>
      <w:r w:rsidR="00FA7FDE" w:rsidRPr="007F0F36">
        <w:t xml:space="preserve"> </w:t>
      </w:r>
      <w:r w:rsidRPr="007F0F36">
        <w:t>manner consistent with Treasury medium</w:t>
      </w:r>
      <w:r w:rsidR="009C1E51">
        <w:t>-</w:t>
      </w:r>
      <w:r w:rsidRPr="007F0F36">
        <w:t>term modelling (including the IGR).</w:t>
      </w:r>
    </w:p>
    <w:p w14:paraId="223B6B50" w14:textId="38C2F9D8" w:rsidR="0097180E" w:rsidRDefault="00FA7FDE" w:rsidP="0023028F">
      <w:pPr>
        <w:pStyle w:val="ChartMainHeading"/>
      </w:pPr>
      <w:r w:rsidRPr="00F70234">
        <w:t xml:space="preserve">Chart </w:t>
      </w:r>
      <w:r w:rsidR="00C30764">
        <w:t>A3</w:t>
      </w:r>
      <w:r w:rsidR="008D5A92" w:rsidRPr="00F70234">
        <w:t>:</w:t>
      </w:r>
      <w:r w:rsidR="00790A50" w:rsidRPr="00F70234">
        <w:t xml:space="preserve"> 2018</w:t>
      </w:r>
      <w:r w:rsidR="00F62807" w:rsidRPr="00F70234">
        <w:t>–</w:t>
      </w:r>
      <w:r w:rsidR="00790A50" w:rsidRPr="00F70234">
        <w:t>19</w:t>
      </w:r>
      <w:r w:rsidR="00FB0924" w:rsidRPr="00F70234">
        <w:t xml:space="preserve"> </w:t>
      </w:r>
      <w:r w:rsidR="00AD0648">
        <w:t>e</w:t>
      </w:r>
      <w:r w:rsidR="00FB0924" w:rsidRPr="00F70234">
        <w:t>stimated</w:t>
      </w:r>
      <w:r w:rsidRPr="00F70234">
        <w:t xml:space="preserve"> </w:t>
      </w:r>
      <w:r w:rsidR="00FB0924" w:rsidRPr="00F70234">
        <w:t>a</w:t>
      </w:r>
      <w:r w:rsidRPr="00F70234">
        <w:t xml:space="preserve">verage </w:t>
      </w:r>
      <w:r w:rsidR="002C3F15" w:rsidRPr="00F70234">
        <w:t>p</w:t>
      </w:r>
      <w:r w:rsidRPr="00F70234">
        <w:t>ersonal income tax modelled in FIONA</w:t>
      </w:r>
      <w:r w:rsidR="00790A50" w:rsidRPr="00F70234">
        <w:t>, by age, applicant type and visa stream</w:t>
      </w:r>
    </w:p>
    <w:p w14:paraId="094D7F70" w14:textId="5A711C07" w:rsidR="00A255AF" w:rsidRPr="003369FB" w:rsidRDefault="0046316A" w:rsidP="003369FB">
      <w:pPr>
        <w:rPr>
          <w:rFonts w:ascii="Arial" w:hAnsi="Arial"/>
          <w:color w:val="002C47" w:themeColor="accent1"/>
          <w:sz w:val="24"/>
        </w:rPr>
      </w:pPr>
      <w:r>
        <w:rPr>
          <w:noProof/>
          <w:sz w:val="18"/>
          <w:szCs w:val="18"/>
        </w:rPr>
        <w:drawing>
          <wp:inline distT="0" distB="0" distL="0" distR="0" wp14:anchorId="1E57391C" wp14:editId="7C6F52F7">
            <wp:extent cx="5902960" cy="2263140"/>
            <wp:effectExtent l="0" t="0" r="2540" b="3810"/>
            <wp:docPr id="30" name="Picture 30" descr="This charts shows that personal income tax increases until the age of 45 to 50 before decreasing to 0 at the age of 75. Skilled primary migrants pay the most personal income tax, followed by the Australian population, Family and Humanitarian migrants. Primary migrants pay higher personal tax than secondary mi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charts shows that personal income tax increases until the age of 45 to 50 before decreasing to 0 at the age of 75. Skilled primary migrants pay the most personal income tax, followed by the Australian population, Family and Humanitarian migrants. Primary migrants pay higher personal tax than secondary migrant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02960" cy="2263140"/>
                    </a:xfrm>
                    <a:prstGeom prst="rect">
                      <a:avLst/>
                    </a:prstGeom>
                    <a:noFill/>
                    <a:ln>
                      <a:noFill/>
                    </a:ln>
                  </pic:spPr>
                </pic:pic>
              </a:graphicData>
            </a:graphic>
          </wp:inline>
        </w:drawing>
      </w:r>
      <w:r w:rsidR="00474075" w:rsidRPr="00887981">
        <w:rPr>
          <w:sz w:val="18"/>
          <w:szCs w:val="18"/>
        </w:rPr>
        <w:t xml:space="preserve">In charts </w:t>
      </w:r>
      <w:r w:rsidR="00887981" w:rsidRPr="00887981">
        <w:rPr>
          <w:sz w:val="18"/>
          <w:szCs w:val="18"/>
        </w:rPr>
        <w:t>A3-A15</w:t>
      </w:r>
      <w:r w:rsidR="00474075" w:rsidRPr="00887981">
        <w:rPr>
          <w:sz w:val="18"/>
          <w:szCs w:val="18"/>
        </w:rPr>
        <w:t xml:space="preserve">, </w:t>
      </w:r>
      <w:r w:rsidR="00887981" w:rsidRPr="00887981">
        <w:rPr>
          <w:sz w:val="18"/>
          <w:szCs w:val="18"/>
        </w:rPr>
        <w:t>d</w:t>
      </w:r>
      <w:r w:rsidR="00474075" w:rsidRPr="00887981">
        <w:rPr>
          <w:sz w:val="18"/>
          <w:szCs w:val="18"/>
        </w:rPr>
        <w:t xml:space="preserve">ata points are only shown when the population size is greater than 10. </w:t>
      </w:r>
    </w:p>
    <w:p w14:paraId="3816C8D6" w14:textId="347B6EFC" w:rsidR="00FA7FDE" w:rsidRPr="00603D97" w:rsidRDefault="00FA7FDE" w:rsidP="008027CA">
      <w:pPr>
        <w:pStyle w:val="Heading4"/>
        <w:rPr>
          <w:b w:val="0"/>
          <w:color w:val="003157"/>
        </w:rPr>
      </w:pPr>
      <w:r w:rsidRPr="00603D97">
        <w:rPr>
          <w:color w:val="003157"/>
        </w:rPr>
        <w:t xml:space="preserve">Indirect </w:t>
      </w:r>
      <w:r w:rsidR="00887F81" w:rsidRPr="00603D97">
        <w:rPr>
          <w:color w:val="003157"/>
        </w:rPr>
        <w:t>t</w:t>
      </w:r>
      <w:r w:rsidRPr="00603D97">
        <w:rPr>
          <w:color w:val="003157"/>
        </w:rPr>
        <w:t>axes (including GST)</w:t>
      </w:r>
    </w:p>
    <w:p w14:paraId="5D238D96" w14:textId="06A136B4" w:rsidR="00FA7FDE" w:rsidRPr="00AC73DF" w:rsidRDefault="005C3D24" w:rsidP="008027CA">
      <w:pPr>
        <w:rPr>
          <w:rFonts w:cs="Calibri"/>
        </w:rPr>
      </w:pPr>
      <w:r>
        <w:rPr>
          <w:rFonts w:cs="Calibri"/>
        </w:rPr>
        <w:t>FIONA</w:t>
      </w:r>
      <w:r w:rsidR="00FA7FDE" w:rsidRPr="00AC73DF">
        <w:rPr>
          <w:rFonts w:cs="Calibri"/>
        </w:rPr>
        <w:t xml:space="preserve"> includes the following indirect tax</w:t>
      </w:r>
      <w:r w:rsidR="005658C9">
        <w:rPr>
          <w:rFonts w:cs="Calibri"/>
        </w:rPr>
        <w:t>es</w:t>
      </w:r>
      <w:r w:rsidR="00FA7FDE" w:rsidRPr="00AC73DF">
        <w:rPr>
          <w:rFonts w:cs="Calibri"/>
        </w:rPr>
        <w:t>:</w:t>
      </w:r>
    </w:p>
    <w:p w14:paraId="37FB9726" w14:textId="4A6ED621" w:rsidR="00FA7FDE" w:rsidRPr="007F0F36" w:rsidRDefault="00FA7FDE" w:rsidP="007F0F36">
      <w:pPr>
        <w:pStyle w:val="Bullet"/>
      </w:pPr>
      <w:r w:rsidRPr="007F0F36">
        <w:t>GST</w:t>
      </w:r>
      <w:r w:rsidR="00287095" w:rsidRPr="007F0F36">
        <w:rPr>
          <w:rStyle w:val="FootnoteReference"/>
        </w:rPr>
        <w:footnoteReference w:id="44"/>
      </w:r>
    </w:p>
    <w:p w14:paraId="49E2569C" w14:textId="4F322592" w:rsidR="00FA7FDE" w:rsidRPr="007F0F36" w:rsidRDefault="00FA7FDE" w:rsidP="007F0F36">
      <w:pPr>
        <w:pStyle w:val="Bullet"/>
      </w:pPr>
      <w:r w:rsidRPr="007F0F36">
        <w:t>Fuel</w:t>
      </w:r>
      <w:r w:rsidR="00841F1F" w:rsidRPr="007F0F36">
        <w:t xml:space="preserve"> taxes</w:t>
      </w:r>
      <w:r w:rsidR="00DB2294" w:rsidRPr="007F0F36">
        <w:t xml:space="preserve"> </w:t>
      </w:r>
      <w:r w:rsidRPr="007F0F36">
        <w:t xml:space="preserve">(petrol, </w:t>
      </w:r>
      <w:r w:rsidR="003170BA" w:rsidRPr="007F0F36">
        <w:t>diesel,</w:t>
      </w:r>
      <w:r w:rsidRPr="007F0F36">
        <w:t xml:space="preserve"> and other fuel products)</w:t>
      </w:r>
    </w:p>
    <w:p w14:paraId="0B21754B" w14:textId="21FFC6DF" w:rsidR="00FA7FDE" w:rsidRPr="007F0F36" w:rsidRDefault="00FA7FDE" w:rsidP="007F0F36">
      <w:pPr>
        <w:pStyle w:val="Bullet"/>
      </w:pPr>
      <w:r w:rsidRPr="007F0F36">
        <w:t xml:space="preserve">Tobacco </w:t>
      </w:r>
      <w:r w:rsidR="00841F1F" w:rsidRPr="007F0F36">
        <w:t xml:space="preserve">taxes </w:t>
      </w:r>
    </w:p>
    <w:p w14:paraId="1D9D70D3" w14:textId="51D8310C" w:rsidR="00FA7FDE" w:rsidRPr="007F0F36" w:rsidRDefault="00FA7FDE" w:rsidP="007F0F36">
      <w:pPr>
        <w:pStyle w:val="Bullet"/>
      </w:pPr>
      <w:r w:rsidRPr="007F0F36">
        <w:t xml:space="preserve">Alcohol taxes (excise on beer, spirits, other alcoholic </w:t>
      </w:r>
      <w:r w:rsidR="003170BA" w:rsidRPr="007F0F36">
        <w:t>beverages,</w:t>
      </w:r>
      <w:r w:rsidRPr="007F0F36">
        <w:t xml:space="preserve"> and Wine Equalisation Tax)</w:t>
      </w:r>
    </w:p>
    <w:p w14:paraId="1E227571" w14:textId="7852182F" w:rsidR="00FA7FDE" w:rsidRDefault="005658C9" w:rsidP="007F0F36">
      <w:pPr>
        <w:rPr>
          <w:rFonts w:cs="Calibri"/>
        </w:rPr>
      </w:pPr>
      <w:r w:rsidRPr="007F0F36">
        <w:t xml:space="preserve">In each case, indirect tax revenue is modelled by grouping migrants into </w:t>
      </w:r>
      <w:r w:rsidR="000643B9" w:rsidRPr="007F0F36">
        <w:t>five</w:t>
      </w:r>
      <w:r w:rsidR="009C1E51">
        <w:t>-</w:t>
      </w:r>
      <w:r w:rsidR="000643B9" w:rsidRPr="007F0F36">
        <w:t xml:space="preserve">year </w:t>
      </w:r>
      <w:r w:rsidRPr="007F0F36">
        <w:t>age groups and disposable</w:t>
      </w:r>
      <w:r w:rsidRPr="00574AEB">
        <w:rPr>
          <w:vertAlign w:val="superscript"/>
        </w:rPr>
        <w:footnoteReference w:id="45"/>
      </w:r>
      <w:r w:rsidRPr="007F0F36">
        <w:t xml:space="preserve"> income quintiles,</w:t>
      </w:r>
      <w:r w:rsidRPr="00574AEB">
        <w:rPr>
          <w:vertAlign w:val="superscript"/>
        </w:rPr>
        <w:footnoteReference w:id="46"/>
      </w:r>
      <w:r w:rsidRPr="00574AEB">
        <w:rPr>
          <w:vertAlign w:val="superscript"/>
        </w:rPr>
        <w:t xml:space="preserve"> </w:t>
      </w:r>
      <w:r w:rsidRPr="007F0F36">
        <w:t xml:space="preserve">and then mapping these groups to estimates of the average level of consumption taxes paid </w:t>
      </w:r>
      <w:r w:rsidR="000643B9" w:rsidRPr="007F0F36">
        <w:t>by</w:t>
      </w:r>
      <w:r w:rsidRPr="007F0F36">
        <w:t xml:space="preserve"> these age/income groups from the Fiscal Incidence Study in the Household Expenditure Survey.</w:t>
      </w:r>
      <w:r w:rsidR="000643B9" w:rsidRPr="00C30764">
        <w:rPr>
          <w:vertAlign w:val="superscript"/>
        </w:rPr>
        <w:footnoteReference w:id="47"/>
      </w:r>
      <w:r w:rsidRPr="00C30764">
        <w:rPr>
          <w:vertAlign w:val="superscript"/>
        </w:rPr>
        <w:t xml:space="preserve"> </w:t>
      </w:r>
      <w:r w:rsidR="00FA7FDE" w:rsidRPr="007F0F36">
        <w:t>Consumption taxes are allocated to individuals based on their share of household income (</w:t>
      </w:r>
      <w:r w:rsidRPr="007F0F36">
        <w:t xml:space="preserve">for instance, </w:t>
      </w:r>
      <w:r w:rsidR="00FA7FDE" w:rsidRPr="007F0F36">
        <w:t xml:space="preserve">an individual with 60 per cent of household income is allocated 60 per cent of that </w:t>
      </w:r>
      <w:r w:rsidR="00FA7FDE">
        <w:rPr>
          <w:rFonts w:cs="Calibri"/>
        </w:rPr>
        <w:t xml:space="preserve">household’s consumption taxes). This estimate is then </w:t>
      </w:r>
      <w:r w:rsidR="00C92B04">
        <w:rPr>
          <w:rFonts w:cs="Calibri"/>
        </w:rPr>
        <w:t>benchmarked to the National Accounts</w:t>
      </w:r>
      <w:r w:rsidR="00FA7FDE">
        <w:rPr>
          <w:rFonts w:cs="Calibri"/>
        </w:rPr>
        <w:t xml:space="preserve"> to account for underreporting of certain consumption items in the HES.</w:t>
      </w:r>
      <w:r w:rsidR="00FA7FDE">
        <w:rPr>
          <w:rStyle w:val="FootnoteReference"/>
          <w:rFonts w:cs="Calibri"/>
        </w:rPr>
        <w:footnoteReference w:id="48"/>
      </w:r>
    </w:p>
    <w:p w14:paraId="2B0039C8" w14:textId="64887970" w:rsidR="00FA7FDE" w:rsidRDefault="00FA7FDE" w:rsidP="0023028F">
      <w:pPr>
        <w:pStyle w:val="ChartMainHeading"/>
      </w:pPr>
      <w:r w:rsidRPr="00F70234">
        <w:t xml:space="preserve">Chart </w:t>
      </w:r>
      <w:r w:rsidR="00C30764">
        <w:t>A4</w:t>
      </w:r>
      <w:r w:rsidR="008D5A92" w:rsidRPr="00F70234">
        <w:t>:</w:t>
      </w:r>
      <w:r w:rsidRPr="00F70234">
        <w:t xml:space="preserve"> </w:t>
      </w:r>
      <w:r w:rsidR="00790A50" w:rsidRPr="00F70234">
        <w:t>2018</w:t>
      </w:r>
      <w:r w:rsidR="00F62807" w:rsidRPr="00F70234">
        <w:t>–</w:t>
      </w:r>
      <w:r w:rsidR="00790A50" w:rsidRPr="00F70234">
        <w:t xml:space="preserve">19 </w:t>
      </w:r>
      <w:r w:rsidR="00AD0648">
        <w:t>e</w:t>
      </w:r>
      <w:r w:rsidR="00FB0924" w:rsidRPr="00F70234">
        <w:t>stimated average</w:t>
      </w:r>
      <w:r w:rsidRPr="00F70234">
        <w:t xml:space="preserve"> </w:t>
      </w:r>
      <w:r w:rsidR="00083966">
        <w:t>i</w:t>
      </w:r>
      <w:r w:rsidR="00BA7C0B" w:rsidRPr="00F70234">
        <w:t>ndirect taxes</w:t>
      </w:r>
      <w:r w:rsidRPr="00F70234">
        <w:t xml:space="preserve"> modelled in FIONA by age</w:t>
      </w:r>
      <w:r w:rsidR="00790A50" w:rsidRPr="00F70234">
        <w:t>, applicant type</w:t>
      </w:r>
      <w:r w:rsidRPr="00F70234">
        <w:t xml:space="preserve"> and visa stream</w:t>
      </w:r>
    </w:p>
    <w:p w14:paraId="62A79953" w14:textId="2356B829" w:rsidR="00213567" w:rsidRDefault="0046316A" w:rsidP="00830CE1">
      <w:pPr>
        <w:rPr>
          <w:rFonts w:ascii="Arial" w:hAnsi="Arial"/>
          <w:color w:val="002C47" w:themeColor="accent1"/>
          <w:sz w:val="24"/>
        </w:rPr>
      </w:pPr>
      <w:r>
        <w:rPr>
          <w:rFonts w:ascii="Arial" w:hAnsi="Arial"/>
          <w:noProof/>
          <w:color w:val="002C47" w:themeColor="accent1"/>
          <w:sz w:val="24"/>
        </w:rPr>
        <w:drawing>
          <wp:inline distT="0" distB="0" distL="0" distR="0" wp14:anchorId="10FCEDCA" wp14:editId="77523781">
            <wp:extent cx="5902960" cy="2263140"/>
            <wp:effectExtent l="0" t="0" r="2540" b="3810"/>
            <wp:docPr id="28" name="Picture 28" descr="This charts shows that skilled migrants pay the most indirect taxes followed by the Australian population, family and humanitarian migrants. The impact of age is less significant than personal income 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charts shows that skilled migrants pay the most indirect taxes followed by the Australian population, family and humanitarian migrants. The impact of age is less significant than personal income ta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02960" cy="2263140"/>
                    </a:xfrm>
                    <a:prstGeom prst="rect">
                      <a:avLst/>
                    </a:prstGeom>
                    <a:noFill/>
                    <a:ln>
                      <a:noFill/>
                    </a:ln>
                  </pic:spPr>
                </pic:pic>
              </a:graphicData>
            </a:graphic>
          </wp:inline>
        </w:drawing>
      </w:r>
    </w:p>
    <w:p w14:paraId="38BD7176" w14:textId="1F16CA46" w:rsidR="00FA7FDE" w:rsidRPr="00603D97" w:rsidRDefault="00FA7FDE" w:rsidP="008027CA">
      <w:pPr>
        <w:pStyle w:val="Heading4"/>
        <w:rPr>
          <w:b w:val="0"/>
          <w:color w:val="003157"/>
        </w:rPr>
      </w:pPr>
      <w:r w:rsidRPr="00603D97">
        <w:rPr>
          <w:color w:val="003157"/>
        </w:rPr>
        <w:t xml:space="preserve">Visa </w:t>
      </w:r>
      <w:r w:rsidR="00887F81" w:rsidRPr="00603D97">
        <w:rPr>
          <w:color w:val="003157"/>
        </w:rPr>
        <w:t>A</w:t>
      </w:r>
      <w:r w:rsidRPr="00603D97">
        <w:rPr>
          <w:color w:val="003157"/>
        </w:rPr>
        <w:t xml:space="preserve">pplication </w:t>
      </w:r>
      <w:r w:rsidR="00887F81" w:rsidRPr="00603D97">
        <w:rPr>
          <w:color w:val="003157"/>
        </w:rPr>
        <w:t>C</w:t>
      </w:r>
      <w:r w:rsidRPr="00603D97">
        <w:rPr>
          <w:color w:val="003157"/>
        </w:rPr>
        <w:t>harges</w:t>
      </w:r>
    </w:p>
    <w:p w14:paraId="56B67D81" w14:textId="33040C6C" w:rsidR="00FA7FDE" w:rsidRDefault="00FA7FDE" w:rsidP="007F0F36">
      <w:r w:rsidRPr="00AC73DF">
        <w:t xml:space="preserve">Visa Application Charges (VAC) are paid by migrants when submitting their visa application, with some migrants being required to pay a second VAC when the visa is granted. </w:t>
      </w:r>
      <w:r>
        <w:t>The Department of Home Affairs provided data on the most common VACs paid for each visa subclass by applicant type and age, along with take</w:t>
      </w:r>
      <w:r w:rsidR="009C1E51">
        <w:t>-</w:t>
      </w:r>
      <w:r>
        <w:t>up rate</w:t>
      </w:r>
      <w:r w:rsidR="00DB1983">
        <w:t>s</w:t>
      </w:r>
      <w:r>
        <w:t xml:space="preserve"> for the payment of second VACs. </w:t>
      </w:r>
      <w:r w:rsidR="00613473">
        <w:t>A</w:t>
      </w:r>
      <w:r w:rsidR="004E3AAE">
        <w:t>ll VAC</w:t>
      </w:r>
      <w:r w:rsidR="00841F1F">
        <w:t>s</w:t>
      </w:r>
      <w:r w:rsidR="004E3AAE">
        <w:t xml:space="preserve"> </w:t>
      </w:r>
      <w:r w:rsidR="00DB2294">
        <w:t>are</w:t>
      </w:r>
      <w:r w:rsidR="004E3AAE">
        <w:t xml:space="preserve"> assume</w:t>
      </w:r>
      <w:r w:rsidR="00613473">
        <w:t xml:space="preserve">d to be received </w:t>
      </w:r>
      <w:r>
        <w:t>in the first year of the model</w:t>
      </w:r>
      <w:r w:rsidR="004E3AAE">
        <w:t>.</w:t>
      </w:r>
      <w:r w:rsidR="00485188">
        <w:t xml:space="preserve"> VAC revenue received by migrants that do not arrive in Australia is not allocated to any migrant in FIONA.</w:t>
      </w:r>
      <w:r w:rsidR="000A2EDE">
        <w:t xml:space="preserve"> </w:t>
      </w:r>
      <w:r w:rsidR="002548FE">
        <w:t>FIONA does not</w:t>
      </w:r>
      <w:r w:rsidR="00F805E6">
        <w:t xml:space="preserve"> include revenue from the Skilling Australia Fund Levy.</w:t>
      </w:r>
    </w:p>
    <w:p w14:paraId="31F99C33" w14:textId="552BB126" w:rsidR="00FA7FDE" w:rsidRDefault="00FA7FDE" w:rsidP="0023028F">
      <w:pPr>
        <w:pStyle w:val="ChartMainHeading"/>
      </w:pPr>
      <w:r w:rsidRPr="00F70234">
        <w:t xml:space="preserve">Chart </w:t>
      </w:r>
      <w:r w:rsidR="00B316A8">
        <w:t>A5</w:t>
      </w:r>
      <w:r w:rsidR="008D5A92" w:rsidRPr="00F70234">
        <w:t>:</w:t>
      </w:r>
      <w:r w:rsidR="00790A50" w:rsidRPr="00F70234">
        <w:t xml:space="preserve"> 2018</w:t>
      </w:r>
      <w:r w:rsidR="00F62807" w:rsidRPr="00F70234">
        <w:t>–</w:t>
      </w:r>
      <w:r w:rsidR="00790A50" w:rsidRPr="00F70234">
        <w:t>19</w:t>
      </w:r>
      <w:r w:rsidRPr="00F70234">
        <w:t xml:space="preserve"> </w:t>
      </w:r>
      <w:r w:rsidR="00AD0648">
        <w:t>e</w:t>
      </w:r>
      <w:r w:rsidR="00FB0924" w:rsidRPr="00F70234">
        <w:t>stimated average</w:t>
      </w:r>
      <w:r w:rsidRPr="00F70234">
        <w:t xml:space="preserve"> Visa Application Charges modelled in FIONA </w:t>
      </w:r>
      <w:r w:rsidR="00790A50" w:rsidRPr="00F70234">
        <w:t>by age, applicant type and visa stream</w:t>
      </w:r>
    </w:p>
    <w:p w14:paraId="18BA2FF0" w14:textId="282D4AFE" w:rsidR="00083966" w:rsidRPr="00F70234" w:rsidRDefault="0046316A" w:rsidP="00F70234">
      <w:pPr>
        <w:rPr>
          <w:rFonts w:ascii="Arial" w:hAnsi="Arial"/>
          <w:color w:val="002C47" w:themeColor="accent1"/>
          <w:sz w:val="24"/>
        </w:rPr>
      </w:pPr>
      <w:r>
        <w:rPr>
          <w:rFonts w:ascii="Arial" w:hAnsi="Arial"/>
          <w:noProof/>
          <w:color w:val="002C47" w:themeColor="accent1"/>
          <w:sz w:val="24"/>
        </w:rPr>
        <w:drawing>
          <wp:inline distT="0" distB="0" distL="0" distR="0" wp14:anchorId="3222A96C" wp14:editId="29F9B783">
            <wp:extent cx="5902960" cy="2263140"/>
            <wp:effectExtent l="0" t="0" r="2540" b="3810"/>
            <wp:docPr id="26" name="Picture 26" descr="This chart shows that visa application charges are highest for older family mi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chart shows that visa application charges are highest for older family migrant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2960" cy="2263140"/>
                    </a:xfrm>
                    <a:prstGeom prst="rect">
                      <a:avLst/>
                    </a:prstGeom>
                    <a:noFill/>
                    <a:ln>
                      <a:noFill/>
                    </a:ln>
                  </pic:spPr>
                </pic:pic>
              </a:graphicData>
            </a:graphic>
          </wp:inline>
        </w:drawing>
      </w:r>
    </w:p>
    <w:p w14:paraId="63995EA4" w14:textId="5E36ACB5" w:rsidR="00FA7FDE" w:rsidRPr="00603D97" w:rsidRDefault="00FA7FDE" w:rsidP="008027CA">
      <w:pPr>
        <w:pStyle w:val="Heading4"/>
        <w:rPr>
          <w:b w:val="0"/>
          <w:color w:val="003157"/>
        </w:rPr>
      </w:pPr>
      <w:r w:rsidRPr="00603D97">
        <w:rPr>
          <w:color w:val="003157"/>
        </w:rPr>
        <w:t xml:space="preserve">Payroll </w:t>
      </w:r>
      <w:r w:rsidR="00887F81" w:rsidRPr="00603D97">
        <w:rPr>
          <w:color w:val="003157"/>
        </w:rPr>
        <w:t>t</w:t>
      </w:r>
      <w:r w:rsidRPr="00603D97">
        <w:rPr>
          <w:color w:val="003157"/>
        </w:rPr>
        <w:t>ax</w:t>
      </w:r>
    </w:p>
    <w:p w14:paraId="0DD09E49" w14:textId="70072F27" w:rsidR="00FA7FDE" w:rsidRDefault="00FA7FDE" w:rsidP="007F0F36">
      <w:r>
        <w:t xml:space="preserve">Payroll tax is </w:t>
      </w:r>
      <w:r w:rsidR="00BC0BC0">
        <w:t>levied</w:t>
      </w:r>
      <w:r>
        <w:t xml:space="preserve"> by States on wages and related benefits paid by employers</w:t>
      </w:r>
      <w:r w:rsidR="00841F1F">
        <w:t xml:space="preserve">. In FIONA it </w:t>
      </w:r>
      <w:r w:rsidR="00613473">
        <w:t>is</w:t>
      </w:r>
      <w:r>
        <w:t xml:space="preserve"> model</w:t>
      </w:r>
      <w:r w:rsidR="00613473">
        <w:t>led</w:t>
      </w:r>
      <w:r>
        <w:t xml:space="preserve"> using migrant wages and salaries data from the </w:t>
      </w:r>
      <w:r w:rsidR="00841F1F">
        <w:t>p</w:t>
      </w:r>
      <w:r>
        <w:t xml:space="preserve">ersonal income tax module. We attribute payroll tax to employed individuals using employment and participation rate </w:t>
      </w:r>
      <w:r w:rsidR="00B35B66">
        <w:t>data and</w:t>
      </w:r>
      <w:r>
        <w:t xml:space="preserve"> apply the effective payroll tax rate paid by businesses in each State.</w:t>
      </w:r>
      <w:r w:rsidR="00FE68FE">
        <w:t xml:space="preserve"> </w:t>
      </w:r>
      <w:r w:rsidR="00BF18CA">
        <w:t>Data</w:t>
      </w:r>
      <w:r>
        <w:t xml:space="preserve"> on </w:t>
      </w:r>
      <w:r w:rsidR="00BF18CA">
        <w:t xml:space="preserve">the </w:t>
      </w:r>
      <w:r>
        <w:t>Compensation of Employees by State is used to capture the proportion of wages subject to payroll tax</w:t>
      </w:r>
      <w:r w:rsidR="00841F1F">
        <w:t xml:space="preserve"> in each jurisdiction</w:t>
      </w:r>
      <w:r>
        <w:t xml:space="preserve">. This approach </w:t>
      </w:r>
      <w:r w:rsidR="00841F1F">
        <w:t xml:space="preserve">implicitly </w:t>
      </w:r>
      <w:r>
        <w:t xml:space="preserve">assumes migrants work at businesses subject to payroll tax </w:t>
      </w:r>
      <w:r w:rsidR="00BC0BC0">
        <w:t>in</w:t>
      </w:r>
      <w:r>
        <w:t xml:space="preserve"> the same proportion as the Australian population</w:t>
      </w:r>
      <w:r w:rsidR="00B35B66">
        <w:t>. Wage differences between migrants</w:t>
      </w:r>
      <w:r>
        <w:t xml:space="preserve"> </w:t>
      </w:r>
      <w:r w:rsidR="00666195">
        <w:t xml:space="preserve">are </w:t>
      </w:r>
      <w:r w:rsidR="00841F1F">
        <w:t xml:space="preserve">reflected in the </w:t>
      </w:r>
      <w:r>
        <w:t>personal income tax data.</w:t>
      </w:r>
    </w:p>
    <w:p w14:paraId="17550ECB" w14:textId="0C45A854" w:rsidR="00FA7FDE" w:rsidRDefault="00FA7FDE" w:rsidP="0023028F">
      <w:pPr>
        <w:pStyle w:val="ChartMainHeading"/>
      </w:pPr>
      <w:r w:rsidRPr="00F70234">
        <w:t xml:space="preserve">Chart </w:t>
      </w:r>
      <w:r w:rsidR="00C30764">
        <w:t>A</w:t>
      </w:r>
      <w:r w:rsidR="00B316A8">
        <w:t>6</w:t>
      </w:r>
      <w:r w:rsidR="008D5A92" w:rsidRPr="00F70234">
        <w:t>:</w:t>
      </w:r>
      <w:r w:rsidRPr="00F70234">
        <w:t xml:space="preserve"> </w:t>
      </w:r>
      <w:r w:rsidR="00790A50" w:rsidRPr="00F70234">
        <w:t>2018</w:t>
      </w:r>
      <w:r w:rsidR="00F62807" w:rsidRPr="00F70234">
        <w:t>–</w:t>
      </w:r>
      <w:r w:rsidR="00790A50" w:rsidRPr="00F70234">
        <w:t xml:space="preserve">19 </w:t>
      </w:r>
      <w:r w:rsidR="00AD0648">
        <w:t>e</w:t>
      </w:r>
      <w:r w:rsidR="00FB0924" w:rsidRPr="00F70234">
        <w:t>stimated average</w:t>
      </w:r>
      <w:r w:rsidRPr="00F70234">
        <w:t xml:space="preserve"> </w:t>
      </w:r>
      <w:r w:rsidR="00887F81" w:rsidRPr="00F70234">
        <w:t>p</w:t>
      </w:r>
      <w:r w:rsidRPr="00F70234">
        <w:t xml:space="preserve">ayroll tax modelled in FIONA </w:t>
      </w:r>
      <w:r w:rsidR="00790A50" w:rsidRPr="00F70234">
        <w:t>by age, applicant type and visa stream</w:t>
      </w:r>
    </w:p>
    <w:p w14:paraId="3EE6B28F" w14:textId="166FC7F3" w:rsidR="00FA7FDE" w:rsidRPr="00083966" w:rsidRDefault="0046316A" w:rsidP="00083966">
      <w:pPr>
        <w:rPr>
          <w:rFonts w:ascii="Arial" w:hAnsi="Arial"/>
          <w:color w:val="002C47" w:themeColor="accent1"/>
          <w:sz w:val="24"/>
        </w:rPr>
      </w:pPr>
      <w:r>
        <w:rPr>
          <w:rFonts w:ascii="Arial" w:hAnsi="Arial"/>
          <w:b/>
          <w:noProof/>
          <w:color w:val="003157"/>
        </w:rPr>
        <w:drawing>
          <wp:inline distT="0" distB="0" distL="0" distR="0" wp14:anchorId="0444D2D8" wp14:editId="216356A1">
            <wp:extent cx="5902960" cy="2263140"/>
            <wp:effectExtent l="0" t="0" r="2540" b="3810"/>
            <wp:docPr id="25" name="Picture 25" descr="This chart shows that payroll tax has a similar profile to personal income tax, but has a smaller magn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chart shows that payroll tax has a similar profile to personal income tax, but has a smaller magnitud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02960" cy="2263140"/>
                    </a:xfrm>
                    <a:prstGeom prst="rect">
                      <a:avLst/>
                    </a:prstGeom>
                    <a:noFill/>
                    <a:ln>
                      <a:noFill/>
                    </a:ln>
                  </pic:spPr>
                </pic:pic>
              </a:graphicData>
            </a:graphic>
          </wp:inline>
        </w:drawing>
      </w:r>
      <w:r w:rsidR="00FA7FDE" w:rsidRPr="00603D97">
        <w:rPr>
          <w:rFonts w:ascii="Arial" w:hAnsi="Arial"/>
          <w:b/>
          <w:color w:val="003157"/>
        </w:rPr>
        <w:t xml:space="preserve">Land </w:t>
      </w:r>
      <w:r w:rsidR="00887F81" w:rsidRPr="00603D97">
        <w:rPr>
          <w:rFonts w:ascii="Arial" w:hAnsi="Arial"/>
          <w:b/>
          <w:color w:val="003157"/>
        </w:rPr>
        <w:t>t</w:t>
      </w:r>
      <w:r w:rsidR="00FA7FDE" w:rsidRPr="00603D97">
        <w:rPr>
          <w:rFonts w:ascii="Arial" w:hAnsi="Arial"/>
          <w:b/>
          <w:color w:val="003157"/>
        </w:rPr>
        <w:t>ax</w:t>
      </w:r>
    </w:p>
    <w:p w14:paraId="335CE880" w14:textId="312D1FEC" w:rsidR="00FA7FDE" w:rsidRDefault="00676ECA" w:rsidP="007F0F36">
      <w:r>
        <w:t>FIONA uses</w:t>
      </w:r>
      <w:r w:rsidR="00FA7FDE">
        <w:t xml:space="preserve"> administrative data on the total amount of land tax paid by individuals (excluding corporations and trusts) in 2017</w:t>
      </w:r>
      <w:r w:rsidR="00F62807">
        <w:t>–</w:t>
      </w:r>
      <w:r w:rsidR="00FA7FDE">
        <w:t xml:space="preserve">18 (grown using total growth in land tax paid </w:t>
      </w:r>
      <w:r w:rsidR="00BF18CA">
        <w:t>from</w:t>
      </w:r>
      <w:r w:rsidR="00FA7FDE">
        <w:t xml:space="preserve"> 2017</w:t>
      </w:r>
      <w:r w:rsidR="00F62807">
        <w:t>–</w:t>
      </w:r>
      <w:r w:rsidR="00FA7FDE">
        <w:t>18 to 2018</w:t>
      </w:r>
      <w:r w:rsidR="00F62807">
        <w:t>–</w:t>
      </w:r>
      <w:r w:rsidR="00FA7FDE">
        <w:t xml:space="preserve">19) which </w:t>
      </w:r>
      <w:r w:rsidR="00BF18CA">
        <w:t>is</w:t>
      </w:r>
      <w:r w:rsidR="00FA7FDE">
        <w:t xml:space="preserve"> grouped </w:t>
      </w:r>
      <w:r w:rsidR="00BF18CA">
        <w:t>by</w:t>
      </w:r>
      <w:r w:rsidR="00FA7FDE">
        <w:t xml:space="preserve"> age and visa data to estimate the average amount of land tax paid by age and visa category.</w:t>
      </w:r>
    </w:p>
    <w:p w14:paraId="0E503418" w14:textId="422BDACC" w:rsidR="00FA7FDE" w:rsidRDefault="00FA7FDE" w:rsidP="0023028F">
      <w:pPr>
        <w:pStyle w:val="ChartMainHeading"/>
      </w:pPr>
      <w:r w:rsidRPr="00F70234">
        <w:t xml:space="preserve">Chart </w:t>
      </w:r>
      <w:r w:rsidR="00C30764">
        <w:t>A</w:t>
      </w:r>
      <w:r w:rsidR="00B316A8">
        <w:t>7</w:t>
      </w:r>
      <w:r w:rsidR="008D5A92" w:rsidRPr="00F70234">
        <w:t>:</w:t>
      </w:r>
      <w:r w:rsidRPr="00F70234">
        <w:t xml:space="preserve"> </w:t>
      </w:r>
      <w:r w:rsidR="00790A50" w:rsidRPr="00F70234">
        <w:t>2018</w:t>
      </w:r>
      <w:r w:rsidR="00F62807" w:rsidRPr="00F70234">
        <w:t>–</w:t>
      </w:r>
      <w:r w:rsidR="00790A50" w:rsidRPr="00F70234">
        <w:t xml:space="preserve">19 </w:t>
      </w:r>
      <w:r w:rsidR="00AD0648">
        <w:t>e</w:t>
      </w:r>
      <w:r w:rsidR="00FB0924" w:rsidRPr="00F70234">
        <w:t>stimated average</w:t>
      </w:r>
      <w:r w:rsidRPr="00F70234">
        <w:t xml:space="preserve"> </w:t>
      </w:r>
      <w:r w:rsidR="00887F81" w:rsidRPr="00F70234">
        <w:t>l</w:t>
      </w:r>
      <w:r w:rsidRPr="00F70234">
        <w:t xml:space="preserve">and </w:t>
      </w:r>
      <w:r w:rsidR="00887F81" w:rsidRPr="00F70234">
        <w:t>t</w:t>
      </w:r>
      <w:r w:rsidRPr="00F70234">
        <w:t xml:space="preserve">ax modelled in FIONA </w:t>
      </w:r>
      <w:r w:rsidR="00790A50" w:rsidRPr="00F70234">
        <w:t>by age, applicant type and visa stream</w:t>
      </w:r>
    </w:p>
    <w:p w14:paraId="595DA7BD" w14:textId="3FF6CFE6" w:rsidR="00083966" w:rsidRPr="00F70234" w:rsidRDefault="0046316A" w:rsidP="00500D1C">
      <w:pPr>
        <w:spacing w:after="0"/>
        <w:rPr>
          <w:rFonts w:ascii="Arial" w:hAnsi="Arial"/>
          <w:color w:val="002C47" w:themeColor="accent1"/>
          <w:sz w:val="24"/>
        </w:rPr>
      </w:pPr>
      <w:r>
        <w:rPr>
          <w:rFonts w:ascii="Arial" w:hAnsi="Arial"/>
          <w:noProof/>
          <w:color w:val="002C47" w:themeColor="accent1"/>
          <w:sz w:val="24"/>
        </w:rPr>
        <w:drawing>
          <wp:inline distT="0" distB="0" distL="0" distR="0" wp14:anchorId="1E6D1E31" wp14:editId="27133A63">
            <wp:extent cx="5902960" cy="2263140"/>
            <wp:effectExtent l="0" t="0" r="2540" b="3810"/>
            <wp:docPr id="24" name="Picture 24" descr="This chart shows that land tax profile increases until the age of approximately 60 before decreasing. Migrants tend to pay slightly more land tax than the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chart shows that land tax profile increases until the age of approximately 60 before decreasing. Migrants tend to pay slightly more land tax than the Australian populati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02960" cy="2263140"/>
                    </a:xfrm>
                    <a:prstGeom prst="rect">
                      <a:avLst/>
                    </a:prstGeom>
                    <a:noFill/>
                    <a:ln>
                      <a:noFill/>
                    </a:ln>
                  </pic:spPr>
                </pic:pic>
              </a:graphicData>
            </a:graphic>
          </wp:inline>
        </w:drawing>
      </w:r>
    </w:p>
    <w:p w14:paraId="79466D36" w14:textId="31F24F34" w:rsidR="00C740EA" w:rsidRPr="00500D1C" w:rsidRDefault="00627D8C" w:rsidP="008027CA">
      <w:pPr>
        <w:pStyle w:val="Bullet"/>
        <w:numPr>
          <w:ilvl w:val="0"/>
          <w:numId w:val="0"/>
        </w:numPr>
        <w:spacing w:after="0"/>
        <w:rPr>
          <w:sz w:val="18"/>
          <w:szCs w:val="18"/>
        </w:rPr>
      </w:pPr>
      <w:r w:rsidRPr="00500D1C">
        <w:rPr>
          <w:sz w:val="18"/>
          <w:szCs w:val="18"/>
        </w:rPr>
        <w:t>Note: Land tax calculations are based only on the age and State of migrants, leading to the counter</w:t>
      </w:r>
      <w:r w:rsidR="009C1E51">
        <w:rPr>
          <w:sz w:val="18"/>
          <w:szCs w:val="18"/>
        </w:rPr>
        <w:t>-</w:t>
      </w:r>
      <w:r w:rsidRPr="00500D1C">
        <w:rPr>
          <w:sz w:val="18"/>
          <w:szCs w:val="18"/>
        </w:rPr>
        <w:t xml:space="preserve">intuitive result that humanitarian migrants (who are more likely to live in NSW and Victoria) pay </w:t>
      </w:r>
      <w:r w:rsidR="00C740EA" w:rsidRPr="00500D1C">
        <w:rPr>
          <w:sz w:val="18"/>
          <w:szCs w:val="18"/>
        </w:rPr>
        <w:t>more</w:t>
      </w:r>
      <w:r w:rsidRPr="00500D1C">
        <w:rPr>
          <w:sz w:val="18"/>
          <w:szCs w:val="18"/>
        </w:rPr>
        <w:t xml:space="preserve"> land tax</w:t>
      </w:r>
      <w:r w:rsidR="00C740EA" w:rsidRPr="00500D1C">
        <w:rPr>
          <w:sz w:val="18"/>
          <w:szCs w:val="18"/>
        </w:rPr>
        <w:t xml:space="preserve"> than other migrants.</w:t>
      </w:r>
    </w:p>
    <w:p w14:paraId="12FB1595" w14:textId="1DD897CC" w:rsidR="00335CF6" w:rsidRPr="00627D8C" w:rsidRDefault="00627D8C" w:rsidP="008027CA">
      <w:pPr>
        <w:pStyle w:val="Bullet"/>
        <w:numPr>
          <w:ilvl w:val="0"/>
          <w:numId w:val="0"/>
        </w:numPr>
        <w:spacing w:after="0"/>
        <w:rPr>
          <w:sz w:val="20"/>
          <w:szCs w:val="20"/>
        </w:rPr>
      </w:pPr>
      <w:r w:rsidRPr="00627D8C">
        <w:rPr>
          <w:sz w:val="20"/>
          <w:szCs w:val="20"/>
        </w:rPr>
        <w:t xml:space="preserve"> </w:t>
      </w:r>
    </w:p>
    <w:p w14:paraId="4CD5A8DB" w14:textId="099106EB" w:rsidR="00FA7FDE" w:rsidRDefault="00FA7FDE" w:rsidP="008027CA">
      <w:pPr>
        <w:pStyle w:val="Bullet"/>
        <w:numPr>
          <w:ilvl w:val="0"/>
          <w:numId w:val="0"/>
        </w:numPr>
        <w:rPr>
          <w:rFonts w:ascii="Arial" w:hAnsi="Arial"/>
          <w:b/>
          <w:color w:val="003157"/>
        </w:rPr>
      </w:pPr>
      <w:r>
        <w:rPr>
          <w:rFonts w:ascii="Arial" w:hAnsi="Arial"/>
          <w:b/>
          <w:color w:val="003157"/>
        </w:rPr>
        <w:t>Stamp duty</w:t>
      </w:r>
    </w:p>
    <w:p w14:paraId="3BBBBC9D" w14:textId="6CA4729B" w:rsidR="00FA7FDE" w:rsidRDefault="00FA7FDE" w:rsidP="007F0F36">
      <w:r>
        <w:t>The likelihood of purchasing a property by people of different ages and incomes, as well as the average property price, was estimated using regression analysis on the HILDA dataset.</w:t>
      </w:r>
      <w:r>
        <w:rPr>
          <w:rStyle w:val="FootnoteReference"/>
        </w:rPr>
        <w:footnoteReference w:id="49"/>
      </w:r>
      <w:r>
        <w:t xml:space="preserve"> This analysis incorporates the age and income profile of housing purchase </w:t>
      </w:r>
      <w:r w:rsidR="0080799B">
        <w:t>decisions but</w:t>
      </w:r>
      <w:r>
        <w:t xml:space="preserve"> does not specifically incorporate information on migrants.</w:t>
      </w:r>
      <w:r w:rsidR="009F4C46">
        <w:t xml:space="preserve"> </w:t>
      </w:r>
      <w:r w:rsidR="00841F1F">
        <w:t>That is, m</w:t>
      </w:r>
      <w:r w:rsidR="009F4C46">
        <w:t>igrants are assumed to buy a house with the same likelihood as other Australians of the same age and income</w:t>
      </w:r>
      <w:r w:rsidR="00FB2A72">
        <w:t>.</w:t>
      </w:r>
      <w:r w:rsidR="00335F25">
        <w:rPr>
          <w:rStyle w:val="FootnoteReference"/>
        </w:rPr>
        <w:footnoteReference w:id="50"/>
      </w:r>
      <w:r>
        <w:t xml:space="preserve"> FIONA estimates are benchmarked to equal 80</w:t>
      </w:r>
      <w:r w:rsidR="00841F1F">
        <w:t xml:space="preserve"> per cent</w:t>
      </w:r>
      <w:r>
        <w:t xml:space="preserve"> of total stamp duty revenue</w:t>
      </w:r>
      <w:r w:rsidR="00BF18CA">
        <w:t xml:space="preserve"> in each State</w:t>
      </w:r>
      <w:r>
        <w:t xml:space="preserve"> (with the remaining 20</w:t>
      </w:r>
      <w:r w:rsidR="00841F1F">
        <w:t xml:space="preserve"> per cent</w:t>
      </w:r>
      <w:r>
        <w:t xml:space="preserve"> paid by businesses</w:t>
      </w:r>
      <w:r w:rsidR="006F1F42">
        <w:t xml:space="preserve"> and therefore out of scope for FIONA</w:t>
      </w:r>
      <w:r>
        <w:t>).</w:t>
      </w:r>
    </w:p>
    <w:p w14:paraId="22959683" w14:textId="6883D2BC" w:rsidR="00FA7FDE" w:rsidRDefault="00FA7FDE" w:rsidP="00285543">
      <w:pPr>
        <w:pStyle w:val="ChartMainHeading"/>
      </w:pPr>
      <w:r w:rsidRPr="00F70234">
        <w:t xml:space="preserve">Chart </w:t>
      </w:r>
      <w:r w:rsidR="00C30764">
        <w:t>A</w:t>
      </w:r>
      <w:r w:rsidR="00B316A8">
        <w:t>8</w:t>
      </w:r>
      <w:r w:rsidR="008D5A92" w:rsidRPr="00F70234">
        <w:t>:</w:t>
      </w:r>
      <w:r w:rsidRPr="00F70234">
        <w:t xml:space="preserve"> </w:t>
      </w:r>
      <w:r w:rsidR="00790A50" w:rsidRPr="00F70234">
        <w:t>2018</w:t>
      </w:r>
      <w:r w:rsidR="00F62807" w:rsidRPr="00F70234">
        <w:t>–</w:t>
      </w:r>
      <w:r w:rsidR="00790A50" w:rsidRPr="00F70234">
        <w:t xml:space="preserve">19 </w:t>
      </w:r>
      <w:r w:rsidR="00B83459">
        <w:t>e</w:t>
      </w:r>
      <w:r w:rsidR="00FB0924" w:rsidRPr="00F70234">
        <w:t>stimated average</w:t>
      </w:r>
      <w:r w:rsidRPr="00F70234">
        <w:t xml:space="preserve"> stamp duty modelled in FIONA </w:t>
      </w:r>
      <w:r w:rsidR="00790A50" w:rsidRPr="00F70234">
        <w:t>by age, applicant type and visa stream</w:t>
      </w:r>
    </w:p>
    <w:p w14:paraId="38B7369C" w14:textId="12BD8F62" w:rsidR="00083966" w:rsidRPr="00F70234" w:rsidRDefault="0046316A" w:rsidP="00830CE1">
      <w:pPr>
        <w:rPr>
          <w:rFonts w:ascii="Arial" w:hAnsi="Arial"/>
          <w:color w:val="002C47" w:themeColor="accent1"/>
          <w:sz w:val="24"/>
        </w:rPr>
      </w:pPr>
      <w:r>
        <w:rPr>
          <w:rFonts w:ascii="Arial" w:hAnsi="Arial"/>
          <w:noProof/>
          <w:color w:val="002C47" w:themeColor="accent1"/>
          <w:sz w:val="24"/>
        </w:rPr>
        <w:drawing>
          <wp:inline distT="0" distB="0" distL="0" distR="0" wp14:anchorId="24C056D6" wp14:editId="7B51CFD9">
            <wp:extent cx="5878195" cy="2286000"/>
            <wp:effectExtent l="0" t="0" r="8255" b="0"/>
            <wp:docPr id="23" name="Picture 23" descr="This chart shows that stamp duty paid does not vary significantly between migrants and the Australian population, and primary and secondary migrants. The highest amount of land tax is paid by 30-40 year 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chart shows that stamp duty paid does not vary significantly between migrants and the Australian population, and primary and secondary migrants. The highest amount of land tax is paid by 30-40 year old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78195" cy="2286000"/>
                    </a:xfrm>
                    <a:prstGeom prst="rect">
                      <a:avLst/>
                    </a:prstGeom>
                    <a:noFill/>
                    <a:ln>
                      <a:noFill/>
                    </a:ln>
                  </pic:spPr>
                </pic:pic>
              </a:graphicData>
            </a:graphic>
          </wp:inline>
        </w:drawing>
      </w:r>
    </w:p>
    <w:p w14:paraId="48C7495C" w14:textId="213203AE" w:rsidR="00FA7FDE" w:rsidRPr="007F0F36" w:rsidRDefault="00FA7FDE" w:rsidP="007F0F36">
      <w:pPr>
        <w:pStyle w:val="Bullet"/>
        <w:numPr>
          <w:ilvl w:val="0"/>
          <w:numId w:val="0"/>
        </w:numPr>
        <w:rPr>
          <w:rFonts w:ascii="Arial" w:hAnsi="Arial"/>
          <w:b/>
          <w:color w:val="003157"/>
        </w:rPr>
      </w:pPr>
      <w:r w:rsidRPr="00E1422F">
        <w:rPr>
          <w:rFonts w:ascii="Arial" w:hAnsi="Arial"/>
          <w:b/>
          <w:color w:val="003157"/>
        </w:rPr>
        <w:t>Motor</w:t>
      </w:r>
      <w:r w:rsidRPr="007F0F36">
        <w:rPr>
          <w:rFonts w:ascii="Arial" w:hAnsi="Arial"/>
          <w:b/>
          <w:color w:val="003157"/>
        </w:rPr>
        <w:t xml:space="preserve"> </w:t>
      </w:r>
      <w:r w:rsidR="00887F81" w:rsidRPr="00E1422F">
        <w:rPr>
          <w:rFonts w:ascii="Arial" w:hAnsi="Arial"/>
          <w:b/>
          <w:color w:val="003157"/>
        </w:rPr>
        <w:t>v</w:t>
      </w:r>
      <w:r w:rsidRPr="00E1422F">
        <w:rPr>
          <w:rFonts w:ascii="Arial" w:hAnsi="Arial"/>
          <w:b/>
          <w:color w:val="003157"/>
        </w:rPr>
        <w:t>ehicle</w:t>
      </w:r>
      <w:r w:rsidRPr="007F0F36">
        <w:rPr>
          <w:rFonts w:ascii="Arial" w:hAnsi="Arial"/>
          <w:b/>
          <w:color w:val="003157"/>
        </w:rPr>
        <w:t xml:space="preserve"> </w:t>
      </w:r>
      <w:r w:rsidRPr="00E1422F">
        <w:rPr>
          <w:rFonts w:ascii="Arial" w:hAnsi="Arial"/>
          <w:b/>
          <w:color w:val="003157"/>
        </w:rPr>
        <w:t>taxes</w:t>
      </w:r>
    </w:p>
    <w:p w14:paraId="428F0D37" w14:textId="0EA98FCC" w:rsidR="005C5F6E" w:rsidRDefault="00FA7FDE" w:rsidP="007F0F36">
      <w:r>
        <w:t xml:space="preserve">Motor vehicle taxes modelled in FIONA include </w:t>
      </w:r>
      <w:r w:rsidR="00C92481">
        <w:t>s</w:t>
      </w:r>
      <w:r>
        <w:t xml:space="preserve">tamp duty on vehicle registration and </w:t>
      </w:r>
      <w:r w:rsidR="00C92481">
        <w:t>o</w:t>
      </w:r>
      <w:r>
        <w:t>ther vehicle registration fees and taxes (categor</w:t>
      </w:r>
      <w:r w:rsidR="008547A5">
        <w:t>ies</w:t>
      </w:r>
      <w:r>
        <w:t xml:space="preserve"> 511 and 514 in Government Finance Statistics).</w:t>
      </w:r>
      <w:r w:rsidR="007117CB" w:rsidRPr="007117CB">
        <w:rPr>
          <w:rStyle w:val="FootnoteReference"/>
        </w:rPr>
        <w:t xml:space="preserve"> </w:t>
      </w:r>
      <w:r w:rsidR="007117CB">
        <w:rPr>
          <w:rStyle w:val="FootnoteReference"/>
        </w:rPr>
        <w:footnoteReference w:id="51"/>
      </w:r>
      <w:r>
        <w:t xml:space="preserve"> These taxes are </w:t>
      </w:r>
      <w:r w:rsidR="00F539CA">
        <w:t>assumed to be proportional to levels of</w:t>
      </w:r>
      <w:r>
        <w:t xml:space="preserve"> car ownership (</w:t>
      </w:r>
      <w:r w:rsidR="00F539CA">
        <w:t xml:space="preserve">in other words, </w:t>
      </w:r>
      <w:r>
        <w:t>FIONA does</w:t>
      </w:r>
      <w:r w:rsidR="009F4C46">
        <w:t xml:space="preserve"> not</w:t>
      </w:r>
      <w:r>
        <w:t xml:space="preserve"> capture any differences in car </w:t>
      </w:r>
      <w:r w:rsidR="00F340FB">
        <w:t>prices or</w:t>
      </w:r>
      <w:r>
        <w:t xml:space="preserve"> try to identify the timing of car sales to model stamp duty).</w:t>
      </w:r>
      <w:r w:rsidR="00EC186A">
        <w:rPr>
          <w:rStyle w:val="FootnoteReference"/>
        </w:rPr>
        <w:footnoteReference w:id="52"/>
      </w:r>
      <w:r>
        <w:t xml:space="preserve"> Average rates of car ownership are estimated by age, migrant stream and </w:t>
      </w:r>
      <w:r w:rsidR="00970F29">
        <w:t>S</w:t>
      </w:r>
      <w:r>
        <w:t xml:space="preserve">tate using ACMID. The average tax rate per car in each </w:t>
      </w:r>
      <w:r w:rsidR="00970F29">
        <w:t>S</w:t>
      </w:r>
      <w:r>
        <w:t>tate is found by dividing total tax revenue (from Government Finance Statistics) with the total number of cars identified in the</w:t>
      </w:r>
      <w:r w:rsidRPr="004231F9">
        <w:t xml:space="preserve"> </w:t>
      </w:r>
      <w:r>
        <w:t>Motor Vehicle Census.</w:t>
      </w:r>
      <w:r>
        <w:rPr>
          <w:rStyle w:val="FootnoteReference"/>
        </w:rPr>
        <w:footnoteReference w:id="53"/>
      </w:r>
      <w:r>
        <w:t xml:space="preserve"> This approach captures around 75</w:t>
      </w:r>
      <w:r w:rsidR="001C1D04">
        <w:t> </w:t>
      </w:r>
      <w:r w:rsidR="00841F1F">
        <w:t>per cent</w:t>
      </w:r>
      <w:r>
        <w:t xml:space="preserve"> of all motor vehicle ownership, with the remaining </w:t>
      </w:r>
      <w:r w:rsidR="00F539CA">
        <w:t xml:space="preserve">motor vehicle </w:t>
      </w:r>
      <w:r>
        <w:t>taxes paid by businesses and therefore out of scope for FIONA.</w:t>
      </w:r>
      <w:r w:rsidR="005C5F6E">
        <w:t xml:space="preserve"> </w:t>
      </w:r>
    </w:p>
    <w:p w14:paraId="4E7B0F6D" w14:textId="39EFB3B7" w:rsidR="00083966" w:rsidRDefault="0062651D" w:rsidP="00285543">
      <w:pPr>
        <w:pStyle w:val="ChartMainHeading"/>
      </w:pPr>
      <w:r w:rsidRPr="00F70234">
        <w:t xml:space="preserve">Chart </w:t>
      </w:r>
      <w:r w:rsidR="00C30764">
        <w:t>A</w:t>
      </w:r>
      <w:r w:rsidR="00B316A8">
        <w:t>9</w:t>
      </w:r>
      <w:r w:rsidRPr="00F70234">
        <w:t>: 2018</w:t>
      </w:r>
      <w:r w:rsidR="00F62807" w:rsidRPr="00F70234">
        <w:t>–</w:t>
      </w:r>
      <w:r w:rsidRPr="00F70234">
        <w:t xml:space="preserve">19 </w:t>
      </w:r>
      <w:r w:rsidR="00B83459">
        <w:t>e</w:t>
      </w:r>
      <w:r w:rsidR="00FB0924" w:rsidRPr="00F70234">
        <w:t>stimated average</w:t>
      </w:r>
      <w:r w:rsidRPr="00F70234">
        <w:t xml:space="preserve"> motor vehicle taxes modelled in FIONA by age, applicant type and visa stream</w:t>
      </w:r>
    </w:p>
    <w:p w14:paraId="4C25756D" w14:textId="461AFFFB" w:rsidR="00FA7FDE" w:rsidRPr="00083966" w:rsidRDefault="0046316A" w:rsidP="00083966">
      <w:pPr>
        <w:rPr>
          <w:b/>
          <w:bCs/>
        </w:rPr>
      </w:pPr>
      <w:r>
        <w:rPr>
          <w:rFonts w:ascii="Arial" w:hAnsi="Arial"/>
          <w:b/>
          <w:noProof/>
          <w:color w:val="003157"/>
        </w:rPr>
        <w:drawing>
          <wp:inline distT="0" distB="0" distL="0" distR="0" wp14:anchorId="5806BCFC" wp14:editId="63AC6250">
            <wp:extent cx="5902960" cy="2263140"/>
            <wp:effectExtent l="0" t="0" r="2540" b="3810"/>
            <wp:docPr id="20" name="Picture 20" descr="This chart shows that the Australian population tend to pay more motor vehicle taxes than migrants. There is not a significant difference between primary and secondary mi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chart shows that the Australian population tend to pay more motor vehicle taxes than migrants. There is not a significant difference between primary and secondary migran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02960" cy="2263140"/>
                    </a:xfrm>
                    <a:prstGeom prst="rect">
                      <a:avLst/>
                    </a:prstGeom>
                    <a:noFill/>
                    <a:ln>
                      <a:noFill/>
                    </a:ln>
                  </pic:spPr>
                </pic:pic>
              </a:graphicData>
            </a:graphic>
          </wp:inline>
        </w:drawing>
      </w:r>
      <w:r w:rsidR="00FA7FDE" w:rsidRPr="00603D97">
        <w:rPr>
          <w:rFonts w:ascii="Arial" w:hAnsi="Arial"/>
          <w:b/>
          <w:color w:val="003157"/>
        </w:rPr>
        <w:t>Aged</w:t>
      </w:r>
      <w:r w:rsidR="00FA7FDE" w:rsidRPr="007F0F36">
        <w:rPr>
          <w:rFonts w:ascii="Arial" w:hAnsi="Arial"/>
          <w:b/>
          <w:color w:val="003157"/>
        </w:rPr>
        <w:t xml:space="preserve"> </w:t>
      </w:r>
      <w:r w:rsidR="00887F81" w:rsidRPr="00603D97">
        <w:rPr>
          <w:rFonts w:ascii="Arial" w:hAnsi="Arial"/>
          <w:b/>
          <w:color w:val="003157"/>
        </w:rPr>
        <w:t>c</w:t>
      </w:r>
      <w:r w:rsidR="00FA7FDE" w:rsidRPr="00603D97">
        <w:rPr>
          <w:rFonts w:ascii="Arial" w:hAnsi="Arial"/>
          <w:b/>
          <w:color w:val="003157"/>
        </w:rPr>
        <w:t>are</w:t>
      </w:r>
    </w:p>
    <w:p w14:paraId="3E2DAAAF" w14:textId="2607A3F6" w:rsidR="0032295F" w:rsidRDefault="00FA7FDE" w:rsidP="007F0F36">
      <w:pPr>
        <w:rPr>
          <w:lang w:val="en-US" w:eastAsia="en-AU"/>
        </w:rPr>
      </w:pPr>
      <w:r>
        <w:rPr>
          <w:lang w:val="en-US" w:eastAsia="en-AU"/>
        </w:rPr>
        <w:t>The Australian Institute of Health and Welfare publish</w:t>
      </w:r>
      <w:r w:rsidR="00FD37EB">
        <w:rPr>
          <w:lang w:val="en-US" w:eastAsia="en-AU"/>
        </w:rPr>
        <w:t>es</w:t>
      </w:r>
      <w:r>
        <w:rPr>
          <w:lang w:val="en-US" w:eastAsia="en-AU"/>
        </w:rPr>
        <w:t xml:space="preserve"> data with total costs and numbers of individuals involved in residential care, home care, home support, transition care and short</w:t>
      </w:r>
      <w:r w:rsidR="009C1E51">
        <w:rPr>
          <w:lang w:val="en-US" w:eastAsia="en-AU"/>
        </w:rPr>
        <w:t>-</w:t>
      </w:r>
      <w:r>
        <w:rPr>
          <w:lang w:val="en-US" w:eastAsia="en-AU"/>
        </w:rPr>
        <w:t>term restorative care.</w:t>
      </w:r>
      <w:r>
        <w:rPr>
          <w:rStyle w:val="FootnoteReference"/>
          <w:lang w:val="en-US" w:eastAsia="en-AU"/>
        </w:rPr>
        <w:footnoteReference w:id="54"/>
      </w:r>
      <w:r>
        <w:rPr>
          <w:lang w:val="en-US" w:eastAsia="en-AU"/>
        </w:rPr>
        <w:t xml:space="preserve"> This information is used to calculate the take</w:t>
      </w:r>
      <w:r w:rsidR="009C1E51">
        <w:rPr>
          <w:lang w:val="en-US" w:eastAsia="en-AU"/>
        </w:rPr>
        <w:t>-</w:t>
      </w:r>
      <w:r>
        <w:rPr>
          <w:lang w:val="en-US" w:eastAsia="en-AU"/>
        </w:rPr>
        <w:t>up rate of these services by age and gender</w:t>
      </w:r>
      <w:r w:rsidR="00C1730D">
        <w:rPr>
          <w:lang w:val="en-US" w:eastAsia="en-AU"/>
        </w:rPr>
        <w:t>.</w:t>
      </w:r>
      <w:r>
        <w:rPr>
          <w:lang w:val="en-US" w:eastAsia="en-AU"/>
        </w:rPr>
        <w:t xml:space="preserve"> It is also assumed that the cost per year for aged care services varies across service stream, but not by other characteristics</w:t>
      </w:r>
      <w:r w:rsidR="00C82FC5">
        <w:rPr>
          <w:lang w:val="en-US" w:eastAsia="en-AU"/>
        </w:rPr>
        <w:t xml:space="preserve"> including visa category</w:t>
      </w:r>
      <w:r>
        <w:rPr>
          <w:lang w:val="en-US" w:eastAsia="en-AU"/>
        </w:rPr>
        <w:t>.</w:t>
      </w:r>
      <w:r w:rsidR="00C82FC5">
        <w:rPr>
          <w:rStyle w:val="FootnoteReference"/>
          <w:lang w:val="en-US" w:eastAsia="en-AU"/>
        </w:rPr>
        <w:footnoteReference w:id="55"/>
      </w:r>
      <w:r>
        <w:rPr>
          <w:lang w:val="en-US" w:eastAsia="en-AU"/>
        </w:rPr>
        <w:t xml:space="preserve"> </w:t>
      </w:r>
    </w:p>
    <w:p w14:paraId="32616951" w14:textId="022EA39C" w:rsidR="008D5A92" w:rsidRDefault="008D5A92" w:rsidP="00285543">
      <w:pPr>
        <w:pStyle w:val="ChartMainHeading"/>
      </w:pPr>
      <w:r w:rsidRPr="00F70234">
        <w:t xml:space="preserve">Chart </w:t>
      </w:r>
      <w:r w:rsidR="00C30764">
        <w:t>A</w:t>
      </w:r>
      <w:r w:rsidR="00B316A8">
        <w:t>10</w:t>
      </w:r>
      <w:r w:rsidRPr="00F70234">
        <w:t xml:space="preserve">: </w:t>
      </w:r>
      <w:r w:rsidR="00790A50" w:rsidRPr="00F70234">
        <w:t>2018</w:t>
      </w:r>
      <w:r w:rsidR="00F62807" w:rsidRPr="00F70234">
        <w:t>–</w:t>
      </w:r>
      <w:r w:rsidR="00790A50" w:rsidRPr="00F70234">
        <w:t xml:space="preserve">19 </w:t>
      </w:r>
      <w:r w:rsidR="00B83459">
        <w:t>e</w:t>
      </w:r>
      <w:r w:rsidR="00FB0924" w:rsidRPr="00F70234">
        <w:t>stimated average</w:t>
      </w:r>
      <w:r w:rsidRPr="00F70234">
        <w:t xml:space="preserve"> </w:t>
      </w:r>
      <w:r w:rsidR="00887F81" w:rsidRPr="00F70234">
        <w:t>a</w:t>
      </w:r>
      <w:r w:rsidRPr="00F70234">
        <w:t xml:space="preserve">ged </w:t>
      </w:r>
      <w:r w:rsidR="00887F81" w:rsidRPr="00F70234">
        <w:t>c</w:t>
      </w:r>
      <w:r w:rsidRPr="00F70234">
        <w:t>are</w:t>
      </w:r>
      <w:r w:rsidR="000404C0" w:rsidRPr="00F70234">
        <w:t xml:space="preserve"> costs</w:t>
      </w:r>
      <w:r w:rsidRPr="00F70234">
        <w:t xml:space="preserve"> modelled in FIONA </w:t>
      </w:r>
      <w:r w:rsidR="00790A50" w:rsidRPr="00F70234">
        <w:t>by age, applicant type and visa stream</w:t>
      </w:r>
    </w:p>
    <w:p w14:paraId="4FE09416" w14:textId="3DBDB8DA" w:rsidR="00083966" w:rsidRPr="00F70234" w:rsidRDefault="0046316A" w:rsidP="0032295F">
      <w:pPr>
        <w:rPr>
          <w:rFonts w:ascii="Arial" w:hAnsi="Arial"/>
          <w:color w:val="002C47" w:themeColor="accent1"/>
          <w:sz w:val="24"/>
        </w:rPr>
      </w:pPr>
      <w:r>
        <w:rPr>
          <w:rFonts w:ascii="Arial" w:hAnsi="Arial"/>
          <w:noProof/>
          <w:color w:val="002C47" w:themeColor="accent1"/>
          <w:sz w:val="24"/>
        </w:rPr>
        <w:drawing>
          <wp:inline distT="0" distB="0" distL="0" distR="0" wp14:anchorId="2279DB0C" wp14:editId="48A07499">
            <wp:extent cx="5878195" cy="2286000"/>
            <wp:effectExtent l="0" t="0" r="8255" b="0"/>
            <wp:docPr id="16" name="Picture 16" descr="This chart shows that aged care expenses increase exponentially as age increases. There is no visible difference in aged care costs between migrants and the Australian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chart shows that aged care expenses increase exponentially as age increases. There is no visible difference in aged care costs between migrants and the Australian populati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78195" cy="2286000"/>
                    </a:xfrm>
                    <a:prstGeom prst="rect">
                      <a:avLst/>
                    </a:prstGeom>
                    <a:noFill/>
                    <a:ln>
                      <a:noFill/>
                    </a:ln>
                  </pic:spPr>
                </pic:pic>
              </a:graphicData>
            </a:graphic>
          </wp:inline>
        </w:drawing>
      </w:r>
    </w:p>
    <w:p w14:paraId="6F0CA5C0" w14:textId="77777777" w:rsidR="00FA7FDE" w:rsidRDefault="00FA7FDE" w:rsidP="00A255AF">
      <w:pPr>
        <w:pStyle w:val="Bullet"/>
        <w:numPr>
          <w:ilvl w:val="0"/>
          <w:numId w:val="0"/>
        </w:numPr>
        <w:spacing w:after="0"/>
      </w:pPr>
      <w:r w:rsidRPr="00603D97">
        <w:rPr>
          <w:rFonts w:ascii="Arial" w:hAnsi="Arial"/>
          <w:b/>
          <w:color w:val="003157"/>
        </w:rPr>
        <w:t>Health</w:t>
      </w:r>
    </w:p>
    <w:p w14:paraId="44187D2A" w14:textId="5BE11755" w:rsidR="00E53041" w:rsidRDefault="00841F1F" w:rsidP="007F0F36">
      <w:r>
        <w:t xml:space="preserve">In </w:t>
      </w:r>
      <w:r w:rsidR="00FA7FDE">
        <w:t>FIONA</w:t>
      </w:r>
      <w:r w:rsidR="003970C6">
        <w:t>,</w:t>
      </w:r>
      <w:r w:rsidR="00FA7FDE">
        <w:t xml:space="preserve"> health </w:t>
      </w:r>
      <w:r>
        <w:t xml:space="preserve">costs </w:t>
      </w:r>
      <w:r w:rsidR="00FA7FDE">
        <w:t>include spending on hospitals (both Commonwealth and States), Medicare Benefits Schedule (MBS), Pharmaceutical Benefits Scheme (PBS) and private health insurance. The Department of Health provided total</w:t>
      </w:r>
      <w:r w:rsidR="00685A8E">
        <w:t xml:space="preserve"> Commonwealth</w:t>
      </w:r>
      <w:r w:rsidR="00FA7FDE">
        <w:t xml:space="preserve"> </w:t>
      </w:r>
      <w:r w:rsidR="00685A8E">
        <w:t xml:space="preserve">hospital </w:t>
      </w:r>
      <w:r w:rsidR="00FA7FDE">
        <w:t>costs by age and gender for 2018</w:t>
      </w:r>
      <w:r w:rsidR="00F62807">
        <w:t>–</w:t>
      </w:r>
      <w:r w:rsidR="00FA7FDE">
        <w:t xml:space="preserve">19 which were used to calculate average costs (assuming all individuals receive health costs), and </w:t>
      </w:r>
      <w:r w:rsidR="00CD352D">
        <w:t xml:space="preserve">these </w:t>
      </w:r>
      <w:r w:rsidR="00347F89">
        <w:t>cost relativities</w:t>
      </w:r>
      <w:r w:rsidR="00CD352D">
        <w:t xml:space="preserve"> were</w:t>
      </w:r>
      <w:r w:rsidR="00677442">
        <w:t xml:space="preserve"> </w:t>
      </w:r>
      <w:r w:rsidR="00FA7FDE">
        <w:t xml:space="preserve">used for both Commonwealth and State spending on Health. Commonwealth Grants Commission </w:t>
      </w:r>
      <w:r w:rsidR="00DB1983">
        <w:t xml:space="preserve">data were </w:t>
      </w:r>
      <w:r w:rsidR="00FA7FDE">
        <w:t>used to benchmark State spending</w:t>
      </w:r>
      <w:r w:rsidR="00F340FB">
        <w:t xml:space="preserve"> for hospitals</w:t>
      </w:r>
      <w:r w:rsidR="00FA7FDE">
        <w:t xml:space="preserve">. </w:t>
      </w:r>
    </w:p>
    <w:p w14:paraId="282FD499" w14:textId="01026100" w:rsidR="00E53041" w:rsidRDefault="00FA7FDE" w:rsidP="007F0F36">
      <w:r>
        <w:t xml:space="preserve">Medicare data in MADIP </w:t>
      </w:r>
      <w:r w:rsidR="00DB1983">
        <w:t xml:space="preserve">were </w:t>
      </w:r>
      <w:r>
        <w:t xml:space="preserve">used to </w:t>
      </w:r>
      <w:r w:rsidR="00E53041">
        <w:t>compare MBS and PBS utilisation across migrant streams</w:t>
      </w:r>
      <w:r w:rsidR="003E3A34">
        <w:t>.</w:t>
      </w:r>
      <w:r w:rsidR="00E53041">
        <w:t xml:space="preserve"> This analysis shows </w:t>
      </w:r>
      <w:r w:rsidR="00FD033C">
        <w:t>evidence of a ‘healthy migrant effect’ in which migrants from the Family and Skill streams use less healthcare than</w:t>
      </w:r>
      <w:r w:rsidR="003E3A34">
        <w:t xml:space="preserve"> Australian</w:t>
      </w:r>
      <w:r w:rsidR="00CD352D">
        <w:t>s on average</w:t>
      </w:r>
      <w:r w:rsidR="003E3A34">
        <w:t xml:space="preserve"> (conditional on age and gender)</w:t>
      </w:r>
      <w:r w:rsidR="00CD352D">
        <w:t>, while</w:t>
      </w:r>
      <w:r w:rsidR="00495CD5">
        <w:t xml:space="preserve"> Humanitarian migrants have higher health care costs</w:t>
      </w:r>
      <w:r w:rsidR="003E3A34">
        <w:t xml:space="preserve">. This analysis is used to </w:t>
      </w:r>
      <w:r w:rsidR="00495CD5">
        <w:t>adjust</w:t>
      </w:r>
      <w:r w:rsidR="003E3A34">
        <w:t xml:space="preserve"> </w:t>
      </w:r>
      <w:r w:rsidR="00495CD5">
        <w:t>MBS and PBS health costs in FIONA.</w:t>
      </w:r>
      <w:r w:rsidR="003E3A34">
        <w:t xml:space="preserve"> </w:t>
      </w:r>
      <w:r w:rsidR="00495CD5">
        <w:t>No adjustments were made to other health care expenses.</w:t>
      </w:r>
    </w:p>
    <w:p w14:paraId="4D1566ED" w14:textId="5A082275" w:rsidR="008D5A92" w:rsidRDefault="008D5A92" w:rsidP="00285543">
      <w:pPr>
        <w:pStyle w:val="ChartMainHeading"/>
      </w:pPr>
      <w:r w:rsidRPr="00F70234">
        <w:t xml:space="preserve">Chart </w:t>
      </w:r>
      <w:r w:rsidR="00C30764">
        <w:t>A1</w:t>
      </w:r>
      <w:r w:rsidR="00B316A8">
        <w:t>1</w:t>
      </w:r>
      <w:r w:rsidRPr="00F70234">
        <w:t xml:space="preserve">: </w:t>
      </w:r>
      <w:r w:rsidR="00790A50" w:rsidRPr="00F70234">
        <w:t>2018</w:t>
      </w:r>
      <w:r w:rsidR="00F62807" w:rsidRPr="00F70234">
        <w:t>–</w:t>
      </w:r>
      <w:r w:rsidR="00790A50" w:rsidRPr="00F70234">
        <w:t xml:space="preserve">19 </w:t>
      </w:r>
      <w:r w:rsidR="00B83459">
        <w:t>e</w:t>
      </w:r>
      <w:r w:rsidR="00FB0924" w:rsidRPr="00F70234">
        <w:t>stimated average</w:t>
      </w:r>
      <w:r w:rsidRPr="00F70234">
        <w:t xml:space="preserve"> </w:t>
      </w:r>
      <w:r w:rsidR="000404C0" w:rsidRPr="00F70234">
        <w:t>h</w:t>
      </w:r>
      <w:r w:rsidRPr="00F70234">
        <w:t>ealth</w:t>
      </w:r>
      <w:r w:rsidR="000404C0" w:rsidRPr="00F70234">
        <w:t xml:space="preserve"> costs</w:t>
      </w:r>
      <w:r w:rsidRPr="00F70234">
        <w:t xml:space="preserve"> modelled in FIONA </w:t>
      </w:r>
      <w:r w:rsidR="00790A50" w:rsidRPr="00F70234">
        <w:t>by age, applicant type and visa stream</w:t>
      </w:r>
    </w:p>
    <w:p w14:paraId="6DF74DAE" w14:textId="2153207E" w:rsidR="00FA7FDE" w:rsidRPr="00083966" w:rsidRDefault="0031280B" w:rsidP="00083966">
      <w:pPr>
        <w:rPr>
          <w:rFonts w:ascii="Arial" w:hAnsi="Arial"/>
          <w:color w:val="002C47" w:themeColor="accent1"/>
          <w:sz w:val="24"/>
        </w:rPr>
      </w:pPr>
      <w:r>
        <w:rPr>
          <w:rFonts w:ascii="Arial" w:hAnsi="Arial"/>
          <w:b/>
          <w:noProof/>
          <w:color w:val="003157"/>
        </w:rPr>
        <w:drawing>
          <wp:inline distT="0" distB="0" distL="0" distR="0" wp14:anchorId="1DFEEF43" wp14:editId="4D738959">
            <wp:extent cx="5902960" cy="2263140"/>
            <wp:effectExtent l="0" t="0" r="2540" b="3810"/>
            <wp:docPr id="15" name="Picture 15" descr="This chart shows that health expenses do not vary significantly between migrants and the Australian population costs. Health costs are high for the year of birth and gradually increase with age until the age of 85 before de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chart shows that health expenses do not vary significantly between migrants and the Australian population costs. Health costs are high for the year of birth and gradually increase with age until the age of 85 before decreas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02960" cy="2263140"/>
                    </a:xfrm>
                    <a:prstGeom prst="rect">
                      <a:avLst/>
                    </a:prstGeom>
                    <a:noFill/>
                    <a:ln>
                      <a:noFill/>
                    </a:ln>
                  </pic:spPr>
                </pic:pic>
              </a:graphicData>
            </a:graphic>
          </wp:inline>
        </w:drawing>
      </w:r>
      <w:r w:rsidR="00FA7FDE" w:rsidRPr="00603D97">
        <w:rPr>
          <w:rFonts w:ascii="Arial" w:hAnsi="Arial"/>
          <w:b/>
          <w:color w:val="003157"/>
        </w:rPr>
        <w:t>Infrastructure</w:t>
      </w:r>
    </w:p>
    <w:p w14:paraId="436C0F43" w14:textId="3B30A401" w:rsidR="00FA7FDE" w:rsidRDefault="00DB4B8F" w:rsidP="007F0F36">
      <w:r>
        <w:t xml:space="preserve">Infrastructure costs in FIONA are </w:t>
      </w:r>
      <w:r w:rsidR="00034DBC">
        <w:t xml:space="preserve">adapted from </w:t>
      </w:r>
      <w:r>
        <w:t>the approach used by the Commonwealth Grants Commission</w:t>
      </w:r>
      <w:r w:rsidR="002D0EAE">
        <w:t xml:space="preserve"> (CGC) and draws heavily on the data sources used by the CGC</w:t>
      </w:r>
      <w:r>
        <w:t xml:space="preserve">. </w:t>
      </w:r>
      <w:r w:rsidR="00A0151B">
        <w:t>As a model of fiscal costs, FIONA captures infrastructure that is funded through taxation</w:t>
      </w:r>
      <w:r w:rsidR="00FA7FDE">
        <w:t xml:space="preserve"> (road, transport and hospital and school infrastructure) </w:t>
      </w:r>
      <w:r w:rsidR="00A0151B">
        <w:t>but</w:t>
      </w:r>
      <w:r w:rsidR="00FA7FDE">
        <w:t xml:space="preserve"> excludes infrastructure funded through user</w:t>
      </w:r>
      <w:r w:rsidR="009C1E51">
        <w:t>-</w:t>
      </w:r>
      <w:r w:rsidR="00FA7FDE">
        <w:t>charging (such as electricity networks and airports).</w:t>
      </w:r>
      <w:r w:rsidR="00FA7FDE">
        <w:rPr>
          <w:rStyle w:val="FootnoteReference"/>
        </w:rPr>
        <w:footnoteReference w:id="56"/>
      </w:r>
      <w:r w:rsidR="00FA7FDE">
        <w:t xml:space="preserve"> The key assumption used to model infrastructure costs is that total infrastructure </w:t>
      </w:r>
      <w:r w:rsidR="004B1338">
        <w:t>requirements</w:t>
      </w:r>
      <w:r w:rsidR="00FA7FDE">
        <w:t xml:space="preserve"> will grow in line with the Australian population.</w:t>
      </w:r>
      <w:r w:rsidR="00FA7FDE">
        <w:rPr>
          <w:rStyle w:val="FootnoteReference"/>
        </w:rPr>
        <w:footnoteReference w:id="57"/>
      </w:r>
    </w:p>
    <w:p w14:paraId="208AA599" w14:textId="031342D6" w:rsidR="006D2908" w:rsidRDefault="006D2908" w:rsidP="007F0F36">
      <w:r>
        <w:t>FIONA converts i</w:t>
      </w:r>
      <w:r w:rsidR="008909F1">
        <w:t xml:space="preserve">nfrastructure costs </w:t>
      </w:r>
      <w:r>
        <w:t>into an annualised value with four components:</w:t>
      </w:r>
      <w:r w:rsidR="00CB697A">
        <w:rPr>
          <w:rStyle w:val="FootnoteReference"/>
        </w:rPr>
        <w:footnoteReference w:id="58"/>
      </w:r>
    </w:p>
    <w:p w14:paraId="56D981E2" w14:textId="7487C677" w:rsidR="007A3B39" w:rsidRPr="007F0F36" w:rsidRDefault="007A3B39" w:rsidP="007F0F36">
      <w:pPr>
        <w:pStyle w:val="Bullet"/>
      </w:pPr>
      <w:r w:rsidRPr="007F0F36">
        <w:t>The replacement value of the existing capital stock ($489 per person, on average, in 2018</w:t>
      </w:r>
      <w:r w:rsidR="00F62807" w:rsidRPr="007F0F36">
        <w:t>–</w:t>
      </w:r>
      <w:r w:rsidRPr="007F0F36">
        <w:t>19)</w:t>
      </w:r>
      <w:r w:rsidRPr="001A66C0">
        <w:rPr>
          <w:rStyle w:val="FootnoteReference"/>
        </w:rPr>
        <w:footnoteReference w:id="59"/>
      </w:r>
    </w:p>
    <w:p w14:paraId="48E8B706" w14:textId="17D5C77B" w:rsidR="006D2908" w:rsidRPr="007F0F36" w:rsidRDefault="006D2908" w:rsidP="007F0F36">
      <w:pPr>
        <w:pStyle w:val="Bullet"/>
      </w:pPr>
      <w:r w:rsidRPr="007F0F36">
        <w:t>Operating expenses ($913 per person, on average, in 2018</w:t>
      </w:r>
      <w:r w:rsidR="00F62807" w:rsidRPr="007F0F36">
        <w:t>–</w:t>
      </w:r>
      <w:r w:rsidRPr="007F0F36">
        <w:t>19)</w:t>
      </w:r>
    </w:p>
    <w:p w14:paraId="78A55C03" w14:textId="7F528415" w:rsidR="006D2908" w:rsidRPr="007F0F36" w:rsidRDefault="006D2908" w:rsidP="007F0F36">
      <w:pPr>
        <w:pStyle w:val="Bullet"/>
      </w:pPr>
      <w:r w:rsidRPr="007F0F36">
        <w:t>Capital expenses related to depreciation ($625 per person, on average, in 2018</w:t>
      </w:r>
      <w:r w:rsidR="00F62807" w:rsidRPr="007F0F36">
        <w:t>–</w:t>
      </w:r>
      <w:r w:rsidRPr="007F0F36">
        <w:t>19)</w:t>
      </w:r>
    </w:p>
    <w:p w14:paraId="64CE030A" w14:textId="1BA227FF" w:rsidR="006D2908" w:rsidRPr="007F0F36" w:rsidRDefault="006D2908" w:rsidP="007F0F36">
      <w:pPr>
        <w:pStyle w:val="Bullet"/>
      </w:pPr>
      <w:r w:rsidRPr="007F0F36">
        <w:t>Capital expenses related to capital deepening ($296 per person, on average, in 2018</w:t>
      </w:r>
      <w:r w:rsidR="00F62807" w:rsidRPr="007F0F36">
        <w:t>–</w:t>
      </w:r>
      <w:r w:rsidRPr="007F0F36">
        <w:t>19)</w:t>
      </w:r>
      <w:r w:rsidR="00F651D4" w:rsidRPr="001A66C0">
        <w:rPr>
          <w:rStyle w:val="FootnoteReference"/>
        </w:rPr>
        <w:footnoteReference w:id="60"/>
      </w:r>
    </w:p>
    <w:p w14:paraId="32FD279F" w14:textId="19BF2FD3" w:rsidR="007A3B39" w:rsidRDefault="007A3B39" w:rsidP="007F0F36">
      <w:r>
        <w:t>Conceptually, the replacement value relates to the cost of ‘scaling</w:t>
      </w:r>
      <w:r w:rsidR="009C1E51">
        <w:t>-</w:t>
      </w:r>
      <w:r>
        <w:t xml:space="preserve">up’ the infrastructure network in response to population growth, while the operating expenses and depreciation expenses are the annual costs of keeping the infrastructure network </w:t>
      </w:r>
      <w:r w:rsidR="005E1F34">
        <w:t>at that level. Finally, costs related to capital deepening</w:t>
      </w:r>
      <w:r>
        <w:t xml:space="preserve"> </w:t>
      </w:r>
      <w:r w:rsidR="008D0D31">
        <w:t xml:space="preserve">are based on recent trends in the growth of the (per capita) infrastructure stock. </w:t>
      </w:r>
    </w:p>
    <w:p w14:paraId="4435CB90" w14:textId="38604136" w:rsidR="002D0EAE" w:rsidRDefault="00FA7FDE" w:rsidP="007F0F36">
      <w:r>
        <w:t>FIONA adjusts for differences in infrastructure costs between</w:t>
      </w:r>
      <w:r w:rsidR="00D91E14">
        <w:t xml:space="preserve"> </w:t>
      </w:r>
      <w:r w:rsidR="00970F29">
        <w:t>S</w:t>
      </w:r>
      <w:r w:rsidR="00D91E14">
        <w:t xml:space="preserve">tates and between </w:t>
      </w:r>
      <w:r w:rsidR="004B1338">
        <w:t>cities and regional areas</w:t>
      </w:r>
      <w:r w:rsidR="00D91E14">
        <w:t xml:space="preserve">. This results in higher infrastructure costs for migrants relative to the Australian population due to the higher likelihood that migrants live in Australia’s largest capital cities. </w:t>
      </w:r>
      <w:r>
        <w:t xml:space="preserve">All operating expenses are assumed to be paid by the </w:t>
      </w:r>
      <w:r w:rsidR="00970F29">
        <w:t>S</w:t>
      </w:r>
      <w:r>
        <w:t xml:space="preserve">tates, with capital expenses apportioned between Commonwealth and State government based on the </w:t>
      </w:r>
      <w:r w:rsidR="00D91E14">
        <w:t xml:space="preserve">observed </w:t>
      </w:r>
      <w:r>
        <w:t>share in 2018</w:t>
      </w:r>
      <w:r w:rsidR="00F62807">
        <w:t>–</w:t>
      </w:r>
      <w:r>
        <w:t xml:space="preserve">19. </w:t>
      </w:r>
      <w:r w:rsidR="00FB2A72">
        <w:t xml:space="preserve">In addition to </w:t>
      </w:r>
      <w:r w:rsidR="00F7745B">
        <w:t>capital deepening described above, i</w:t>
      </w:r>
      <w:r>
        <w:t xml:space="preserve">nfrastructure costs are assumed to grow in line with CPI. </w:t>
      </w:r>
    </w:p>
    <w:p w14:paraId="23924B58" w14:textId="01721CEF" w:rsidR="00FA7FDE" w:rsidRDefault="00FA7FDE" w:rsidP="007F0F36">
      <w:r>
        <w:t>This approach results in an annualised infrastructure cost of between $2</w:t>
      </w:r>
      <w:r w:rsidR="009F4C46">
        <w:t>,</w:t>
      </w:r>
      <w:r>
        <w:t>000</w:t>
      </w:r>
      <w:r w:rsidR="00F62807">
        <w:t>–</w:t>
      </w:r>
      <w:r w:rsidR="00FD37EB">
        <w:t>$</w:t>
      </w:r>
      <w:r>
        <w:t>2</w:t>
      </w:r>
      <w:r w:rsidR="009F4C46">
        <w:t>,</w:t>
      </w:r>
      <w:r>
        <w:t>500 per person in 2018</w:t>
      </w:r>
      <w:r w:rsidR="00347F89">
        <w:noBreakHyphen/>
      </w:r>
      <w:r>
        <w:t xml:space="preserve">19, and a lifetime cost (in </w:t>
      </w:r>
      <w:r w:rsidR="00D873A7">
        <w:t xml:space="preserve">net present value </w:t>
      </w:r>
      <w:r>
        <w:t xml:space="preserve">terms) that varies between $40,000 </w:t>
      </w:r>
      <w:r w:rsidR="00F62807">
        <w:t>–</w:t>
      </w:r>
      <w:r>
        <w:t>$70,000 across migrant categories</w:t>
      </w:r>
      <w:r w:rsidR="00D91E14">
        <w:t>. This difference is driven by differences in</w:t>
      </w:r>
      <w:r>
        <w:t xml:space="preserve"> future life expectancy and </w:t>
      </w:r>
      <w:r w:rsidR="00970F29">
        <w:t>S</w:t>
      </w:r>
      <w:r>
        <w:t>tate of residence.</w:t>
      </w:r>
    </w:p>
    <w:p w14:paraId="6A69C51B" w14:textId="595EFAE8" w:rsidR="009559A2" w:rsidRDefault="009559A2" w:rsidP="00285543">
      <w:pPr>
        <w:pStyle w:val="ChartMainHeading"/>
      </w:pPr>
      <w:r w:rsidRPr="009F3F28">
        <w:t xml:space="preserve">Chart </w:t>
      </w:r>
      <w:r w:rsidR="00C30764" w:rsidRPr="009F3F28">
        <w:t>A1</w:t>
      </w:r>
      <w:r w:rsidR="00B316A8" w:rsidRPr="009F3F28">
        <w:t>2</w:t>
      </w:r>
      <w:r w:rsidRPr="009F3F28">
        <w:t xml:space="preserve">: </w:t>
      </w:r>
      <w:r w:rsidR="00790A50" w:rsidRPr="009F3F28">
        <w:t>2018</w:t>
      </w:r>
      <w:r w:rsidR="00F62807" w:rsidRPr="009F3F28">
        <w:t>–</w:t>
      </w:r>
      <w:r w:rsidR="00790A50" w:rsidRPr="009F3F28">
        <w:t xml:space="preserve">19 </w:t>
      </w:r>
      <w:r w:rsidR="00B83459" w:rsidRPr="009F3F28">
        <w:t>e</w:t>
      </w:r>
      <w:r w:rsidR="00FB0924" w:rsidRPr="009F3F28">
        <w:t>stimated average</w:t>
      </w:r>
      <w:r w:rsidRPr="009F3F28">
        <w:t xml:space="preserve"> </w:t>
      </w:r>
      <w:r w:rsidR="00083966" w:rsidRPr="009F3F28">
        <w:t>i</w:t>
      </w:r>
      <w:r w:rsidRPr="009F3F28">
        <w:t>nfrastructure costs in FIONA</w:t>
      </w:r>
      <w:r w:rsidR="00790A50" w:rsidRPr="009F3F28">
        <w:t xml:space="preserve"> by age, applicant type and visa stream</w:t>
      </w:r>
    </w:p>
    <w:p w14:paraId="2F546B01" w14:textId="1D9EE12E" w:rsidR="006021A2" w:rsidRPr="00083966" w:rsidRDefault="00C84BD6" w:rsidP="00083966">
      <w:pPr>
        <w:rPr>
          <w:rFonts w:ascii="Arial" w:hAnsi="Arial"/>
          <w:color w:val="002C47" w:themeColor="accent1"/>
          <w:sz w:val="24"/>
        </w:rPr>
      </w:pPr>
      <w:r w:rsidRPr="00C84BD6">
        <w:rPr>
          <w:rFonts w:ascii="Arial" w:hAnsi="Arial"/>
          <w:noProof/>
          <w:color w:val="002C47" w:themeColor="accent1"/>
          <w:sz w:val="24"/>
        </w:rPr>
        <w:drawing>
          <wp:inline distT="0" distB="0" distL="0" distR="0" wp14:anchorId="1E9004DD" wp14:editId="289855E9">
            <wp:extent cx="5904230" cy="2259330"/>
            <wp:effectExtent l="0" t="0" r="1270" b="7620"/>
            <wp:docPr id="9" name="Picture 9" descr="This chart shows that migrants pay a higher amount of infrastructure expenses than the Australian population. Age and applicant type does not affect infrastructure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chart shows that migrants pay a higher amount of infrastructure expenses than the Australian population. Age and applicant type does not affect infrastructure expens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04230" cy="2259330"/>
                    </a:xfrm>
                    <a:prstGeom prst="rect">
                      <a:avLst/>
                    </a:prstGeom>
                    <a:noFill/>
                    <a:ln>
                      <a:noFill/>
                    </a:ln>
                  </pic:spPr>
                </pic:pic>
              </a:graphicData>
            </a:graphic>
          </wp:inline>
        </w:drawing>
      </w:r>
    </w:p>
    <w:p w14:paraId="415C10F4" w14:textId="77777777" w:rsidR="00FA7FDE" w:rsidRDefault="00FA7FDE" w:rsidP="008027CA">
      <w:pPr>
        <w:pStyle w:val="Bullet"/>
        <w:numPr>
          <w:ilvl w:val="0"/>
          <w:numId w:val="0"/>
        </w:numPr>
      </w:pPr>
      <w:r w:rsidRPr="00603D97">
        <w:rPr>
          <w:rFonts w:ascii="Arial" w:hAnsi="Arial"/>
          <w:b/>
          <w:color w:val="003157"/>
        </w:rPr>
        <w:t>Education</w:t>
      </w:r>
      <w:r>
        <w:t xml:space="preserve"> </w:t>
      </w:r>
    </w:p>
    <w:p w14:paraId="04032760" w14:textId="19FE4EC4" w:rsidR="00FA7FDE" w:rsidRDefault="00FA7FDE" w:rsidP="007F0F36">
      <w:r>
        <w:t xml:space="preserve">The Commonwealth and State and Territory Governments </w:t>
      </w:r>
      <w:r w:rsidR="00CD352D">
        <w:t xml:space="preserve">jointly fund </w:t>
      </w:r>
      <w:r>
        <w:t>education</w:t>
      </w:r>
      <w:r w:rsidR="009F4C46">
        <w:t>. T</w:t>
      </w:r>
      <w:r>
        <w:t xml:space="preserve">he States have primary responsibility for </w:t>
      </w:r>
      <w:r w:rsidR="00CD352D">
        <w:t>s</w:t>
      </w:r>
      <w:r>
        <w:t xml:space="preserve">chools and the Commonwealth </w:t>
      </w:r>
      <w:r w:rsidR="00464705">
        <w:t>has primary responsibility for</w:t>
      </w:r>
      <w:r>
        <w:t xml:space="preserve"> higher education (</w:t>
      </w:r>
      <w:r w:rsidR="00464705">
        <w:t xml:space="preserve">including universities and </w:t>
      </w:r>
      <w:r w:rsidR="00CA01F8">
        <w:t>vocational education and training</w:t>
      </w:r>
      <w:r>
        <w:t>)</w:t>
      </w:r>
      <w:r w:rsidR="00464705">
        <w:t xml:space="preserve"> </w:t>
      </w:r>
      <w:r>
        <w:t>and childcare</w:t>
      </w:r>
      <w:r w:rsidR="00812222">
        <w:t>.</w:t>
      </w:r>
      <w:r>
        <w:t xml:space="preserve"> ABS data (</w:t>
      </w:r>
      <w:r w:rsidR="00347F89">
        <w:t xml:space="preserve">Cat. No. </w:t>
      </w:r>
      <w:r>
        <w:t>4221.0)</w:t>
      </w:r>
      <w:r w:rsidR="00613473">
        <w:t xml:space="preserve"> </w:t>
      </w:r>
      <w:r w:rsidR="00CD352D">
        <w:t>are</w:t>
      </w:r>
      <w:r w:rsidR="00613473">
        <w:t xml:space="preserve"> used</w:t>
      </w:r>
      <w:r>
        <w:t xml:space="preserve"> to calculate the proportion of individuals at different school types</w:t>
      </w:r>
      <w:r w:rsidR="00495CD5">
        <w:t xml:space="preserve"> by</w:t>
      </w:r>
      <w:r>
        <w:t xml:space="preserve"> State of residence, </w:t>
      </w:r>
      <w:r w:rsidR="003170BA">
        <w:t>age,</w:t>
      </w:r>
      <w:r>
        <w:t xml:space="preserve"> and gender. The Department of Education</w:t>
      </w:r>
      <w:r w:rsidR="00CA01F8">
        <w:t>, Skills and Employment</w:t>
      </w:r>
      <w:r>
        <w:t xml:space="preserve"> provided unit costs for different types of education which were used to calculate average costs.</w:t>
      </w:r>
    </w:p>
    <w:p w14:paraId="19A73361" w14:textId="742043DA" w:rsidR="009559A2" w:rsidRDefault="009559A2" w:rsidP="00285543">
      <w:pPr>
        <w:pStyle w:val="ChartMainHeading"/>
      </w:pPr>
      <w:r w:rsidRPr="00F70234">
        <w:t xml:space="preserve">Chart </w:t>
      </w:r>
      <w:r w:rsidR="00C30764">
        <w:t>A1</w:t>
      </w:r>
      <w:r w:rsidR="00B316A8">
        <w:t>3</w:t>
      </w:r>
      <w:r w:rsidRPr="00F70234">
        <w:t xml:space="preserve">: </w:t>
      </w:r>
      <w:r w:rsidR="00EB22CC" w:rsidRPr="00F70234">
        <w:t>2018</w:t>
      </w:r>
      <w:r w:rsidR="00F62807" w:rsidRPr="00F70234">
        <w:t>–</w:t>
      </w:r>
      <w:r w:rsidR="00EB22CC" w:rsidRPr="00F70234">
        <w:t xml:space="preserve">19 </w:t>
      </w:r>
      <w:r w:rsidR="00B83459">
        <w:t>e</w:t>
      </w:r>
      <w:r w:rsidR="00FB0924" w:rsidRPr="00F70234">
        <w:t>stimated average</w:t>
      </w:r>
      <w:r w:rsidRPr="00F70234">
        <w:t xml:space="preserve"> </w:t>
      </w:r>
      <w:r w:rsidR="000404C0" w:rsidRPr="00F70234">
        <w:t>e</w:t>
      </w:r>
      <w:r w:rsidRPr="00F70234">
        <w:t xml:space="preserve">ducation costs modelled in FIONA </w:t>
      </w:r>
      <w:r w:rsidR="00EB22CC" w:rsidRPr="00F70234">
        <w:t>by age, applicant type and visa stream</w:t>
      </w:r>
    </w:p>
    <w:p w14:paraId="1C86F13A" w14:textId="0357F086" w:rsidR="00083966" w:rsidRPr="00F70234" w:rsidRDefault="0031280B" w:rsidP="00830CE1">
      <w:pPr>
        <w:rPr>
          <w:rFonts w:ascii="Arial" w:hAnsi="Arial"/>
          <w:color w:val="002C47" w:themeColor="accent1"/>
          <w:sz w:val="24"/>
        </w:rPr>
      </w:pPr>
      <w:r>
        <w:rPr>
          <w:rFonts w:ascii="Arial" w:hAnsi="Arial"/>
          <w:noProof/>
          <w:color w:val="002C47" w:themeColor="accent1"/>
          <w:sz w:val="24"/>
        </w:rPr>
        <w:drawing>
          <wp:inline distT="0" distB="0" distL="0" distR="0" wp14:anchorId="31E5B9D2" wp14:editId="501923D1">
            <wp:extent cx="5902960" cy="2263140"/>
            <wp:effectExtent l="0" t="0" r="2540" b="3810"/>
            <wp:docPr id="14" name="Picture 14" descr="This chart shows that education expenses are highest between 6 and 18 before decreasing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chart shows that education expenses are highest between 6 and 18 before decreasing significantl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02960" cy="2263140"/>
                    </a:xfrm>
                    <a:prstGeom prst="rect">
                      <a:avLst/>
                    </a:prstGeom>
                    <a:noFill/>
                    <a:ln>
                      <a:noFill/>
                    </a:ln>
                  </pic:spPr>
                </pic:pic>
              </a:graphicData>
            </a:graphic>
          </wp:inline>
        </w:drawing>
      </w:r>
    </w:p>
    <w:p w14:paraId="0F2BCC55" w14:textId="7657786D" w:rsidR="00FA7FDE" w:rsidRDefault="00FA7FDE" w:rsidP="008027CA">
      <w:pPr>
        <w:pStyle w:val="Bullet"/>
        <w:numPr>
          <w:ilvl w:val="0"/>
          <w:numId w:val="0"/>
        </w:numPr>
      </w:pPr>
      <w:r w:rsidRPr="00603D97">
        <w:rPr>
          <w:rFonts w:ascii="Arial" w:hAnsi="Arial"/>
          <w:b/>
          <w:color w:val="003157"/>
        </w:rPr>
        <w:t>Transfer</w:t>
      </w:r>
      <w:r w:rsidR="00CD4D49">
        <w:t xml:space="preserve"> </w:t>
      </w:r>
      <w:r w:rsidR="00CD4D49" w:rsidRPr="00603D97">
        <w:rPr>
          <w:rFonts w:ascii="Arial" w:hAnsi="Arial"/>
          <w:b/>
          <w:color w:val="003157"/>
        </w:rPr>
        <w:t>payments</w:t>
      </w:r>
    </w:p>
    <w:p w14:paraId="55F8C4A5" w14:textId="7038428C" w:rsidR="00CD4D49" w:rsidRDefault="00FA7FDE" w:rsidP="007F0F36">
      <w:r>
        <w:t xml:space="preserve">The Department of Social Services provided administrative data on the </w:t>
      </w:r>
      <w:r w:rsidR="00CD4D49">
        <w:t xml:space="preserve">receipt of transfer payments by visa </w:t>
      </w:r>
      <w:r w:rsidR="00034DBC">
        <w:t>category, applicant type</w:t>
      </w:r>
      <w:r w:rsidR="00CD4D49">
        <w:t xml:space="preserve"> and age. </w:t>
      </w:r>
      <w:r w:rsidR="00034DBC">
        <w:t xml:space="preserve">These costs were then grown forward based on legislated growth rates (for instance, </w:t>
      </w:r>
      <w:r w:rsidR="00CA01F8">
        <w:t xml:space="preserve">working age income support payments </w:t>
      </w:r>
      <w:r w:rsidR="00034DBC">
        <w:t xml:space="preserve">grow in line with CPI, while </w:t>
      </w:r>
      <w:r w:rsidR="00CA01F8">
        <w:t>the Disability Support Payment (</w:t>
      </w:r>
      <w:r w:rsidR="00034DBC">
        <w:t>DSP</w:t>
      </w:r>
      <w:r w:rsidR="00CA01F8">
        <w:t>)</w:t>
      </w:r>
      <w:r w:rsidR="00034DBC">
        <w:t xml:space="preserve"> grows in line with average earnings). </w:t>
      </w:r>
      <w:r w:rsidR="00CD4D49">
        <w:t xml:space="preserve">FIONA captures the different waiting periods that must be observed </w:t>
      </w:r>
      <w:r w:rsidR="00ED3760">
        <w:t xml:space="preserve">by new migrants before receiving </w:t>
      </w:r>
      <w:r w:rsidR="00CD352D">
        <w:t xml:space="preserve">many transfer </w:t>
      </w:r>
      <w:r w:rsidR="00ED3760">
        <w:t>payments.</w:t>
      </w:r>
      <w:r w:rsidR="00AD73FC">
        <w:rPr>
          <w:rStyle w:val="FootnoteReference"/>
        </w:rPr>
        <w:footnoteReference w:id="61"/>
      </w:r>
      <w:r w:rsidR="00ED3760">
        <w:t xml:space="preserve"> In addition, the </w:t>
      </w:r>
      <w:r w:rsidR="00A0151B">
        <w:t>take</w:t>
      </w:r>
      <w:r w:rsidR="009C1E51">
        <w:t>-</w:t>
      </w:r>
      <w:r w:rsidR="00A0151B">
        <w:t>up rate</w:t>
      </w:r>
      <w:r w:rsidR="00ED3760">
        <w:t xml:space="preserve"> of transfer payment</w:t>
      </w:r>
      <w:r w:rsidR="0045305E">
        <w:t>s</w:t>
      </w:r>
      <w:r w:rsidR="00ED3760">
        <w:t xml:space="preserve"> converges linearly</w:t>
      </w:r>
      <w:r w:rsidR="00CD352D">
        <w:t xml:space="preserve"> in the model</w:t>
      </w:r>
      <w:r w:rsidR="00ED3760">
        <w:t xml:space="preserve"> towards that of the Australian population over a period of 20 years.</w:t>
      </w:r>
      <w:r w:rsidR="00A0151B">
        <w:rPr>
          <w:rStyle w:val="FootnoteReference"/>
        </w:rPr>
        <w:footnoteReference w:id="62"/>
      </w:r>
    </w:p>
    <w:p w14:paraId="2DF521DC" w14:textId="168C8292" w:rsidR="005C5F6E" w:rsidRDefault="00FA7FDE" w:rsidP="007F0F36">
      <w:pPr>
        <w:rPr>
          <w:lang w:val="en-US" w:eastAsia="en-AU"/>
        </w:rPr>
      </w:pPr>
      <w:r>
        <w:t>The transfer</w:t>
      </w:r>
      <w:r w:rsidR="00034DBC">
        <w:t xml:space="preserve"> payments</w:t>
      </w:r>
      <w:r>
        <w:t xml:space="preserve"> included </w:t>
      </w:r>
      <w:r w:rsidR="00ED3760">
        <w:t>in this calculation are</w:t>
      </w:r>
      <w:r w:rsidR="005C2152">
        <w:t xml:space="preserve">, </w:t>
      </w:r>
      <w:r w:rsidR="00CA01F8">
        <w:rPr>
          <w:lang w:val="en-US" w:eastAsia="en-AU"/>
        </w:rPr>
        <w:t>DSP</w:t>
      </w:r>
      <w:r w:rsidR="005C2152">
        <w:rPr>
          <w:lang w:val="en-US" w:eastAsia="en-AU"/>
        </w:rPr>
        <w:t xml:space="preserve">, </w:t>
      </w:r>
      <w:r w:rsidRPr="00847857">
        <w:rPr>
          <w:lang w:val="en-US" w:eastAsia="en-AU"/>
        </w:rPr>
        <w:t>Age Pension</w:t>
      </w:r>
      <w:r w:rsidR="005C2152">
        <w:rPr>
          <w:lang w:val="en-US" w:eastAsia="en-AU"/>
        </w:rPr>
        <w:t xml:space="preserve">, </w:t>
      </w:r>
      <w:proofErr w:type="spellStart"/>
      <w:r w:rsidRPr="00847857">
        <w:rPr>
          <w:lang w:val="en-US" w:eastAsia="en-AU"/>
        </w:rPr>
        <w:t>Carer</w:t>
      </w:r>
      <w:proofErr w:type="spellEnd"/>
      <w:r w:rsidRPr="00847857">
        <w:rPr>
          <w:lang w:val="en-US" w:eastAsia="en-AU"/>
        </w:rPr>
        <w:t xml:space="preserve"> Payments</w:t>
      </w:r>
      <w:r w:rsidR="005C2152">
        <w:rPr>
          <w:lang w:val="en-US" w:eastAsia="en-AU"/>
        </w:rPr>
        <w:t xml:space="preserve">, </w:t>
      </w:r>
      <w:r w:rsidRPr="00847857">
        <w:rPr>
          <w:lang w:val="en-US" w:eastAsia="en-AU"/>
        </w:rPr>
        <w:t>Child Care payments (for parents)</w:t>
      </w:r>
      <w:r w:rsidR="005C2152">
        <w:rPr>
          <w:lang w:val="en-US" w:eastAsia="en-AU"/>
        </w:rPr>
        <w:t xml:space="preserve">, </w:t>
      </w:r>
      <w:r w:rsidRPr="00847857">
        <w:rPr>
          <w:lang w:val="en-US" w:eastAsia="en-AU"/>
        </w:rPr>
        <w:t>Special Benefit</w:t>
      </w:r>
      <w:r w:rsidR="005C2152">
        <w:rPr>
          <w:lang w:val="en-US" w:eastAsia="en-AU"/>
        </w:rPr>
        <w:t xml:space="preserve">, </w:t>
      </w:r>
      <w:r w:rsidRPr="00847857">
        <w:rPr>
          <w:lang w:val="en-US" w:eastAsia="en-AU"/>
        </w:rPr>
        <w:t>Student payments</w:t>
      </w:r>
      <w:r w:rsidR="005C2152">
        <w:rPr>
          <w:lang w:val="en-US" w:eastAsia="en-AU"/>
        </w:rPr>
        <w:t xml:space="preserve">, </w:t>
      </w:r>
      <w:r w:rsidRPr="00847857">
        <w:rPr>
          <w:lang w:val="en-US" w:eastAsia="en-AU"/>
        </w:rPr>
        <w:t xml:space="preserve">Non </w:t>
      </w:r>
      <w:r w:rsidR="00330E75">
        <w:rPr>
          <w:lang w:val="en-US" w:eastAsia="en-AU"/>
        </w:rPr>
        <w:t>-</w:t>
      </w:r>
      <w:r w:rsidR="00330E75" w:rsidRPr="00847857">
        <w:rPr>
          <w:lang w:val="en-US" w:eastAsia="en-AU"/>
        </w:rPr>
        <w:t xml:space="preserve"> </w:t>
      </w:r>
      <w:r w:rsidRPr="00847857">
        <w:rPr>
          <w:lang w:val="en-US" w:eastAsia="en-AU"/>
        </w:rPr>
        <w:t>Income Support (</w:t>
      </w:r>
      <w:proofErr w:type="spellStart"/>
      <w:r w:rsidRPr="00847857">
        <w:rPr>
          <w:lang w:val="en-US" w:eastAsia="en-AU"/>
        </w:rPr>
        <w:t>Carer</w:t>
      </w:r>
      <w:proofErr w:type="spellEnd"/>
      <w:r w:rsidRPr="00847857">
        <w:rPr>
          <w:lang w:val="en-US" w:eastAsia="en-AU"/>
        </w:rPr>
        <w:t>)</w:t>
      </w:r>
      <w:r w:rsidR="005C2152">
        <w:rPr>
          <w:lang w:val="en-US" w:eastAsia="en-AU"/>
        </w:rPr>
        <w:t>,</w:t>
      </w:r>
      <w:r w:rsidR="00330E75">
        <w:rPr>
          <w:lang w:val="en-US" w:eastAsia="en-AU"/>
        </w:rPr>
        <w:t xml:space="preserve"> </w:t>
      </w:r>
      <w:r w:rsidRPr="00847857">
        <w:rPr>
          <w:lang w:val="en-US" w:eastAsia="en-AU"/>
        </w:rPr>
        <w:t xml:space="preserve">Non </w:t>
      </w:r>
      <w:r w:rsidR="00330E75">
        <w:rPr>
          <w:lang w:val="en-US" w:eastAsia="en-AU"/>
        </w:rPr>
        <w:t>-</w:t>
      </w:r>
      <w:r w:rsidR="00330E75" w:rsidRPr="00847857">
        <w:rPr>
          <w:lang w:val="en-US" w:eastAsia="en-AU"/>
        </w:rPr>
        <w:t xml:space="preserve"> </w:t>
      </w:r>
      <w:r w:rsidRPr="00847857">
        <w:rPr>
          <w:lang w:val="en-US" w:eastAsia="en-AU"/>
        </w:rPr>
        <w:t>Income Support (Other)</w:t>
      </w:r>
      <w:r w:rsidR="005C2152">
        <w:rPr>
          <w:lang w:val="en-US" w:eastAsia="en-AU"/>
        </w:rPr>
        <w:t xml:space="preserve">, </w:t>
      </w:r>
      <w:r w:rsidRPr="00847857">
        <w:rPr>
          <w:lang w:val="en-US" w:eastAsia="en-AU"/>
        </w:rPr>
        <w:t>Family Tax Benefit</w:t>
      </w:r>
      <w:r w:rsidR="005C2152">
        <w:rPr>
          <w:lang w:val="en-US" w:eastAsia="en-AU"/>
        </w:rPr>
        <w:t xml:space="preserve">, </w:t>
      </w:r>
      <w:proofErr w:type="gramStart"/>
      <w:r w:rsidRPr="00847857">
        <w:rPr>
          <w:lang w:val="en-US" w:eastAsia="en-AU"/>
        </w:rPr>
        <w:t>Parenting</w:t>
      </w:r>
      <w:proofErr w:type="gramEnd"/>
      <w:r w:rsidRPr="00847857">
        <w:rPr>
          <w:lang w:val="en-US" w:eastAsia="en-AU"/>
        </w:rPr>
        <w:t xml:space="preserve"> payments</w:t>
      </w:r>
      <w:r w:rsidR="005C2152">
        <w:rPr>
          <w:lang w:val="en-US" w:eastAsia="en-AU"/>
        </w:rPr>
        <w:t xml:space="preserve">, </w:t>
      </w:r>
      <w:r w:rsidRPr="00847857">
        <w:rPr>
          <w:lang w:val="en-US" w:eastAsia="en-AU"/>
        </w:rPr>
        <w:t>Working Age payments</w:t>
      </w:r>
      <w:r w:rsidR="005C2152">
        <w:rPr>
          <w:lang w:val="en-US" w:eastAsia="en-AU"/>
        </w:rPr>
        <w:t xml:space="preserve">, </w:t>
      </w:r>
      <w:r w:rsidRPr="00847857">
        <w:rPr>
          <w:lang w:val="en-US" w:eastAsia="en-AU"/>
        </w:rPr>
        <w:t>New Parents income support</w:t>
      </w:r>
      <w:r w:rsidR="00F620A2">
        <w:rPr>
          <w:lang w:val="en-US" w:eastAsia="en-AU"/>
        </w:rPr>
        <w:t xml:space="preserve"> and</w:t>
      </w:r>
      <w:r w:rsidR="005C2152">
        <w:rPr>
          <w:lang w:val="en-US" w:eastAsia="en-AU"/>
        </w:rPr>
        <w:t xml:space="preserve"> </w:t>
      </w:r>
      <w:r w:rsidRPr="00847857">
        <w:rPr>
          <w:lang w:val="en-US" w:eastAsia="en-AU"/>
        </w:rPr>
        <w:t>Income Support Dependent</w:t>
      </w:r>
      <w:r w:rsidR="005C2152">
        <w:rPr>
          <w:lang w:val="en-US" w:eastAsia="en-AU"/>
        </w:rPr>
        <w:t>.</w:t>
      </w:r>
      <w:r w:rsidR="005C5F6E">
        <w:rPr>
          <w:lang w:val="en-US" w:eastAsia="en-AU"/>
        </w:rPr>
        <w:t xml:space="preserve"> </w:t>
      </w:r>
    </w:p>
    <w:p w14:paraId="47E9C5AB" w14:textId="70599ECA" w:rsidR="006021A2" w:rsidRDefault="009559A2" w:rsidP="00285543">
      <w:pPr>
        <w:pStyle w:val="ChartMainHeading"/>
      </w:pPr>
      <w:r w:rsidRPr="00830CE1">
        <w:t xml:space="preserve">Chart </w:t>
      </w:r>
      <w:r w:rsidR="00C30764">
        <w:t>A1</w:t>
      </w:r>
      <w:r w:rsidR="00B316A8">
        <w:t>4</w:t>
      </w:r>
      <w:r w:rsidRPr="00830CE1">
        <w:t xml:space="preserve">: </w:t>
      </w:r>
      <w:r w:rsidR="00EB22CC" w:rsidRPr="00830CE1">
        <w:t>2018</w:t>
      </w:r>
      <w:r w:rsidR="00F62807" w:rsidRPr="00830CE1">
        <w:t>–</w:t>
      </w:r>
      <w:r w:rsidR="00EB22CC" w:rsidRPr="00830CE1">
        <w:t xml:space="preserve">19 </w:t>
      </w:r>
      <w:r w:rsidR="00213567">
        <w:t>e</w:t>
      </w:r>
      <w:r w:rsidR="00FB0924" w:rsidRPr="00830CE1">
        <w:t>stimated average</w:t>
      </w:r>
      <w:r w:rsidRPr="00830CE1">
        <w:t xml:space="preserve"> </w:t>
      </w:r>
      <w:r w:rsidR="002C3F15" w:rsidRPr="00830CE1">
        <w:t xml:space="preserve">cost of </w:t>
      </w:r>
      <w:r w:rsidR="000404C0" w:rsidRPr="00830CE1">
        <w:t>t</w:t>
      </w:r>
      <w:r w:rsidRPr="00830CE1">
        <w:t>ransfer</w:t>
      </w:r>
      <w:r w:rsidR="002C3F15" w:rsidRPr="00830CE1">
        <w:t xml:space="preserve"> payments</w:t>
      </w:r>
      <w:r w:rsidR="000404C0" w:rsidRPr="00830CE1">
        <w:t xml:space="preserve"> </w:t>
      </w:r>
      <w:r w:rsidRPr="00830CE1">
        <w:t>modelled in FION</w:t>
      </w:r>
      <w:r w:rsidR="00C1730D" w:rsidRPr="00830CE1">
        <w:t>A</w:t>
      </w:r>
      <w:r w:rsidRPr="00830CE1">
        <w:t xml:space="preserve"> </w:t>
      </w:r>
      <w:r w:rsidR="00EB22CC" w:rsidRPr="00830CE1">
        <w:t>by age, applicant type and visa stream</w:t>
      </w:r>
    </w:p>
    <w:p w14:paraId="2AF4D136" w14:textId="335EE76C" w:rsidR="005C5F6E" w:rsidRPr="00083966" w:rsidRDefault="0031280B" w:rsidP="00083966">
      <w:pPr>
        <w:rPr>
          <w:rFonts w:ascii="Arial" w:hAnsi="Arial"/>
          <w:color w:val="002C47" w:themeColor="accent1"/>
          <w:sz w:val="24"/>
        </w:rPr>
      </w:pPr>
      <w:r>
        <w:rPr>
          <w:noProof/>
          <w:sz w:val="18"/>
          <w:szCs w:val="18"/>
          <w:lang w:val="en-US" w:eastAsia="en-AU"/>
        </w:rPr>
        <w:drawing>
          <wp:inline distT="0" distB="0" distL="0" distR="0" wp14:anchorId="2CA79386" wp14:editId="1BBD61C0">
            <wp:extent cx="5902960" cy="2263140"/>
            <wp:effectExtent l="0" t="0" r="2540" b="3810"/>
            <wp:docPr id="13" name="Picture 13" descr="This chart shows that transfer expenses are higher for Humanitarian migrants, as skilled and family migrants do not gain access to transfers immediately after arriving in Australia. Transfers expenses tend to increase with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chart shows that transfer expenses are higher for Humanitarian migrants, as skilled and family migrants do not gain access to transfers immediately after arriving in Australia. Transfers expenses tend to increase with 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2960" cy="2263140"/>
                    </a:xfrm>
                    <a:prstGeom prst="rect">
                      <a:avLst/>
                    </a:prstGeom>
                    <a:noFill/>
                    <a:ln>
                      <a:noFill/>
                    </a:ln>
                  </pic:spPr>
                </pic:pic>
              </a:graphicData>
            </a:graphic>
          </wp:inline>
        </w:drawing>
      </w:r>
      <w:r w:rsidR="005C5F6E" w:rsidRPr="008C35A0">
        <w:rPr>
          <w:sz w:val="18"/>
          <w:szCs w:val="18"/>
          <w:lang w:val="en-US" w:eastAsia="en-AU"/>
        </w:rPr>
        <w:t>Transfer payments in 2018</w:t>
      </w:r>
      <w:r w:rsidR="00F62807" w:rsidRPr="008C35A0">
        <w:rPr>
          <w:sz w:val="18"/>
          <w:szCs w:val="18"/>
          <w:lang w:val="en-US" w:eastAsia="en-AU"/>
        </w:rPr>
        <w:t>–</w:t>
      </w:r>
      <w:r w:rsidR="005C5F6E" w:rsidRPr="008C35A0">
        <w:rPr>
          <w:sz w:val="18"/>
          <w:szCs w:val="18"/>
          <w:lang w:val="en-US" w:eastAsia="en-AU"/>
        </w:rPr>
        <w:t xml:space="preserve">19 </w:t>
      </w:r>
      <w:proofErr w:type="gramStart"/>
      <w:r w:rsidR="005C5F6E" w:rsidRPr="008C35A0">
        <w:rPr>
          <w:sz w:val="18"/>
          <w:szCs w:val="18"/>
          <w:lang w:val="en-US" w:eastAsia="en-AU"/>
        </w:rPr>
        <w:t>are</w:t>
      </w:r>
      <w:proofErr w:type="gramEnd"/>
      <w:r w:rsidR="005C5F6E" w:rsidRPr="008C35A0">
        <w:rPr>
          <w:sz w:val="18"/>
          <w:szCs w:val="18"/>
          <w:lang w:val="en-US" w:eastAsia="en-AU"/>
        </w:rPr>
        <w:t xml:space="preserve"> low for Skill and Family Stream migrants due to the waiting periods that apply to most, but not all, transfer payments.</w:t>
      </w:r>
      <w:r w:rsidR="005C5F6E" w:rsidRPr="008C35A0">
        <w:rPr>
          <w:rStyle w:val="FootnoteReference"/>
          <w:sz w:val="18"/>
          <w:szCs w:val="18"/>
          <w:lang w:val="en-US" w:eastAsia="en-AU"/>
        </w:rPr>
        <w:footnoteReference w:id="63"/>
      </w:r>
    </w:p>
    <w:p w14:paraId="25DD59D9" w14:textId="77777777" w:rsidR="000B7B44" w:rsidRPr="00887981" w:rsidRDefault="000B7B44" w:rsidP="008027CA">
      <w:pPr>
        <w:spacing w:after="0"/>
        <w:rPr>
          <w:sz w:val="12"/>
          <w:szCs w:val="12"/>
          <w:lang w:val="en-US" w:eastAsia="en-AU"/>
        </w:rPr>
      </w:pPr>
    </w:p>
    <w:p w14:paraId="08648235" w14:textId="57F7275C" w:rsidR="00FA7FDE" w:rsidRDefault="00FA7FDE" w:rsidP="008027CA">
      <w:pPr>
        <w:pStyle w:val="Bullet"/>
        <w:numPr>
          <w:ilvl w:val="0"/>
          <w:numId w:val="0"/>
        </w:numPr>
      </w:pPr>
      <w:r w:rsidRPr="00603D97">
        <w:rPr>
          <w:rFonts w:ascii="Arial" w:hAnsi="Arial"/>
          <w:b/>
          <w:color w:val="003157"/>
        </w:rPr>
        <w:t>Settlement</w:t>
      </w:r>
      <w:r>
        <w:t xml:space="preserve"> </w:t>
      </w:r>
      <w:r w:rsidR="000404C0" w:rsidRPr="00603D97">
        <w:rPr>
          <w:rFonts w:ascii="Arial" w:hAnsi="Arial"/>
          <w:b/>
          <w:color w:val="003157"/>
        </w:rPr>
        <w:t>s</w:t>
      </w:r>
      <w:r w:rsidRPr="00603D97">
        <w:rPr>
          <w:rFonts w:ascii="Arial" w:hAnsi="Arial"/>
          <w:b/>
          <w:color w:val="003157"/>
        </w:rPr>
        <w:t>ervices</w:t>
      </w:r>
    </w:p>
    <w:p w14:paraId="12E3E720" w14:textId="1E415418" w:rsidR="00FA7FDE" w:rsidRDefault="00FA7FDE" w:rsidP="007F0F36">
      <w:r>
        <w:t xml:space="preserve">Migrants arriving in </w:t>
      </w:r>
      <w:r w:rsidR="00EC2D8E">
        <w:t>Australia can</w:t>
      </w:r>
      <w:r>
        <w:t xml:space="preserve"> receive </w:t>
      </w:r>
      <w:r w:rsidR="000F0C26">
        <w:t xml:space="preserve">support under </w:t>
      </w:r>
      <w:r w:rsidR="00EC2D8E">
        <w:t>several</w:t>
      </w:r>
      <w:r>
        <w:t xml:space="preserve"> </w:t>
      </w:r>
      <w:r w:rsidR="000F0C26">
        <w:t>programs</w:t>
      </w:r>
      <w:r>
        <w:t xml:space="preserve"> includ</w:t>
      </w:r>
      <w:r w:rsidR="000F0C26">
        <w:t>ing</w:t>
      </w:r>
      <w:r>
        <w:t xml:space="preserve"> Settlement Engagement and Transition </w:t>
      </w:r>
      <w:r w:rsidR="000F0C26">
        <w:t>Support</w:t>
      </w:r>
      <w:r>
        <w:t xml:space="preserve"> (SETS), Humanitarian Settlement Program (HSP) and the Adult Migration English Program (AMEP).</w:t>
      </w:r>
      <w:r w:rsidR="000F0C26">
        <w:t xml:space="preserve"> The first two of these programs are primarily focused on providing services for the Humanitarian migrant stream. </w:t>
      </w:r>
      <w:r w:rsidR="000F0C26" w:rsidRPr="00594764">
        <w:t xml:space="preserve">AMEP is mostly used by family stream migrants, followed by humanitarian and skilled stream migrants. </w:t>
      </w:r>
      <w:r>
        <w:t xml:space="preserve">The Department of Home Affairs provided administrative data to estimate the average cost for each migrant and the number of migrants involved within each program. Eligibility factors were also applied to reflect the length of </w:t>
      </w:r>
      <w:r w:rsidR="00F07B6D">
        <w:t xml:space="preserve">time </w:t>
      </w:r>
      <w:r>
        <w:t xml:space="preserve">a migrant could </w:t>
      </w:r>
      <w:r w:rsidR="005178E8">
        <w:t xml:space="preserve">benefit from </w:t>
      </w:r>
      <w:r>
        <w:t>these assistance programs.</w:t>
      </w:r>
    </w:p>
    <w:p w14:paraId="29225C64" w14:textId="6B061CB7" w:rsidR="009559A2" w:rsidRDefault="009559A2" w:rsidP="00285543">
      <w:pPr>
        <w:pStyle w:val="ChartMainHeading"/>
      </w:pPr>
      <w:r w:rsidRPr="00830CE1">
        <w:t xml:space="preserve">Chart </w:t>
      </w:r>
      <w:r w:rsidR="00DE7433">
        <w:t>A1</w:t>
      </w:r>
      <w:r w:rsidR="00B316A8">
        <w:t>5</w:t>
      </w:r>
      <w:r w:rsidRPr="00830CE1">
        <w:t xml:space="preserve">: </w:t>
      </w:r>
      <w:r w:rsidR="00EB22CC" w:rsidRPr="00830CE1">
        <w:t>2018</w:t>
      </w:r>
      <w:r w:rsidR="00F62807" w:rsidRPr="00830CE1">
        <w:t>–</w:t>
      </w:r>
      <w:r w:rsidR="00EB22CC" w:rsidRPr="00830CE1">
        <w:t xml:space="preserve">19 </w:t>
      </w:r>
      <w:r w:rsidR="00FB0924" w:rsidRPr="00830CE1">
        <w:t>Estimated average</w:t>
      </w:r>
      <w:r w:rsidRPr="00830CE1">
        <w:t xml:space="preserve"> </w:t>
      </w:r>
      <w:r w:rsidR="000404C0" w:rsidRPr="00830CE1">
        <w:t>s</w:t>
      </w:r>
      <w:r w:rsidRPr="00830CE1">
        <w:t xml:space="preserve">ettlement </w:t>
      </w:r>
      <w:r w:rsidR="000404C0" w:rsidRPr="00830CE1">
        <w:t>s</w:t>
      </w:r>
      <w:r w:rsidRPr="00830CE1">
        <w:t>ervices</w:t>
      </w:r>
      <w:r w:rsidR="00213567">
        <w:t xml:space="preserve"> costs</w:t>
      </w:r>
      <w:r w:rsidRPr="00830CE1">
        <w:t xml:space="preserve"> modelled in FIONA</w:t>
      </w:r>
      <w:r w:rsidR="00EB22CC" w:rsidRPr="00830CE1">
        <w:t>,</w:t>
      </w:r>
      <w:r w:rsidRPr="00830CE1">
        <w:t xml:space="preserve"> </w:t>
      </w:r>
      <w:r w:rsidR="00EB22CC" w:rsidRPr="00830CE1">
        <w:t>by age, applicant type and visa stream</w:t>
      </w:r>
    </w:p>
    <w:p w14:paraId="7C5165D9" w14:textId="1D2720EB" w:rsidR="004A1D7A" w:rsidRPr="00830CE1" w:rsidRDefault="0031280B" w:rsidP="00830CE1">
      <w:pPr>
        <w:rPr>
          <w:rFonts w:ascii="Arial" w:hAnsi="Arial"/>
          <w:color w:val="002C47" w:themeColor="accent1"/>
          <w:sz w:val="24"/>
        </w:rPr>
      </w:pPr>
      <w:r>
        <w:rPr>
          <w:rFonts w:ascii="Arial" w:hAnsi="Arial"/>
          <w:noProof/>
          <w:color w:val="002C47" w:themeColor="accent1"/>
          <w:sz w:val="24"/>
        </w:rPr>
        <w:drawing>
          <wp:inline distT="0" distB="0" distL="0" distR="0" wp14:anchorId="2E064F2D" wp14:editId="1D2D69E9">
            <wp:extent cx="5901055" cy="2265045"/>
            <wp:effectExtent l="0" t="0" r="4445" b="1905"/>
            <wp:docPr id="10" name="Picture 10" descr="This chart shows that Humanitarian migrants have higher settlement services costs than other migrant streams and the Australian population. These costs do not vary significantly with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chart shows that Humanitarian migrants have higher settlement services costs than other migrant streams and the Australian population. These costs do not vary significantly with 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01055" cy="2265045"/>
                    </a:xfrm>
                    <a:prstGeom prst="rect">
                      <a:avLst/>
                    </a:prstGeom>
                    <a:noFill/>
                    <a:ln>
                      <a:noFill/>
                    </a:ln>
                  </pic:spPr>
                </pic:pic>
              </a:graphicData>
            </a:graphic>
          </wp:inline>
        </w:drawing>
      </w:r>
    </w:p>
    <w:p w14:paraId="00F6BCC3" w14:textId="2C9DA61D" w:rsidR="00FA7FDE" w:rsidRDefault="00FA7FDE" w:rsidP="00E079FB">
      <w:pPr>
        <w:pStyle w:val="Heading2"/>
        <w:numPr>
          <w:ilvl w:val="0"/>
          <w:numId w:val="22"/>
        </w:numPr>
      </w:pPr>
      <w:bookmarkStart w:id="55" w:name="_Toc77175240"/>
      <w:r>
        <w:t xml:space="preserve">Appendix B: </w:t>
      </w:r>
      <w:r w:rsidR="00F608DB">
        <w:t>Fiscal impact</w:t>
      </w:r>
      <w:r w:rsidR="007D413D">
        <w:t xml:space="preserve"> of</w:t>
      </w:r>
      <w:r w:rsidRPr="00784C38">
        <w:t xml:space="preserve"> temporary migrants</w:t>
      </w:r>
      <w:bookmarkEnd w:id="55"/>
    </w:p>
    <w:p w14:paraId="7874C91D" w14:textId="5C3B7AFE" w:rsidR="009E7361" w:rsidRDefault="001C1822" w:rsidP="008027CA">
      <w:r>
        <w:t xml:space="preserve">The Australian migration program is composed of </w:t>
      </w:r>
      <w:r w:rsidR="004F1522">
        <w:t>a permanent migration program</w:t>
      </w:r>
      <w:r w:rsidR="009B14EB">
        <w:t xml:space="preserve"> that</w:t>
      </w:r>
      <w:r w:rsidR="004319CC">
        <w:t xml:space="preserve"> allows migrant</w:t>
      </w:r>
      <w:r w:rsidR="004F1522">
        <w:t>s</w:t>
      </w:r>
      <w:r w:rsidR="004319CC">
        <w:t xml:space="preserve"> to reside in Australia indefinitely, and </w:t>
      </w:r>
      <w:r w:rsidR="004F1522">
        <w:t>a</w:t>
      </w:r>
      <w:r w:rsidR="004319CC">
        <w:t xml:space="preserve"> temporary migration program that allows migrants to temporarily enter Australia for a specific purpose, such as tourism, </w:t>
      </w:r>
      <w:r w:rsidR="003170BA">
        <w:t>study,</w:t>
      </w:r>
      <w:r w:rsidR="004319CC">
        <w:t xml:space="preserve"> or work.</w:t>
      </w:r>
      <w:r w:rsidR="009E7361">
        <w:t xml:space="preserve"> </w:t>
      </w:r>
    </w:p>
    <w:p w14:paraId="05DC4853" w14:textId="2A386A2D" w:rsidR="00BF1DA2" w:rsidRDefault="009E7361" w:rsidP="008027CA">
      <w:r>
        <w:t xml:space="preserve">FIONA is </w:t>
      </w:r>
      <w:r w:rsidR="00474E64">
        <w:t>designed to estimate</w:t>
      </w:r>
      <w:r>
        <w:t xml:space="preserve"> the fiscal impact of permanent migrants. Th</w:t>
      </w:r>
      <w:r w:rsidR="005178E8">
        <w:t xml:space="preserve">is reflects </w:t>
      </w:r>
      <w:r>
        <w:t>that permanent migrants create a long</w:t>
      </w:r>
      <w:r w:rsidR="009C1E51">
        <w:t>-</w:t>
      </w:r>
      <w:r>
        <w:t xml:space="preserve">term profile of revenues and expenses (as shown in Chart 2) and therefore </w:t>
      </w:r>
      <w:r w:rsidR="00BF1DA2">
        <w:t>are best</w:t>
      </w:r>
      <w:r>
        <w:t xml:space="preserve"> examined using a lifetime perspective, while the fiscal impact of temporary migrants can be </w:t>
      </w:r>
      <w:r w:rsidR="003577CF">
        <w:t>well represented</w:t>
      </w:r>
      <w:r>
        <w:t xml:space="preserve"> using a shorter</w:t>
      </w:r>
      <w:r w:rsidR="009C1E51">
        <w:t>-</w:t>
      </w:r>
      <w:r>
        <w:t>term framework.</w:t>
      </w:r>
      <w:r w:rsidR="00FE68FE">
        <w:t xml:space="preserve"> </w:t>
      </w:r>
    </w:p>
    <w:p w14:paraId="4EBDF592" w14:textId="557A79B3" w:rsidR="00A40BF0" w:rsidRDefault="00A40BF0" w:rsidP="008027CA">
      <w:r>
        <w:t xml:space="preserve">However, </w:t>
      </w:r>
      <w:r w:rsidR="00E33FC4">
        <w:t xml:space="preserve">this </w:t>
      </w:r>
      <w:r w:rsidR="00BF1DA2">
        <w:t>focus on permanent migration</w:t>
      </w:r>
      <w:r w:rsidR="00FB01A0">
        <w:t xml:space="preserve"> does miss some important interactions </w:t>
      </w:r>
      <w:r w:rsidR="009E7361">
        <w:t>between the permanent and temporary</w:t>
      </w:r>
      <w:r w:rsidR="00FB01A0">
        <w:t xml:space="preserve"> program</w:t>
      </w:r>
      <w:r w:rsidR="009E7361">
        <w:t>s</w:t>
      </w:r>
      <w:r w:rsidR="00502C33">
        <w:t xml:space="preserve">. </w:t>
      </w:r>
      <w:r w:rsidR="00001014">
        <w:t>For instance, A</w:t>
      </w:r>
      <w:r w:rsidR="004319CC">
        <w:t xml:space="preserve">ustralian migrants </w:t>
      </w:r>
      <w:r w:rsidR="00007D21">
        <w:t>often</w:t>
      </w:r>
      <w:r w:rsidR="004319CC">
        <w:t xml:space="preserve"> enter the country on </w:t>
      </w:r>
      <w:r w:rsidR="008A3A3E">
        <w:t xml:space="preserve">a </w:t>
      </w:r>
      <w:r w:rsidR="004319CC">
        <w:t>temporary visa before transitioning to permanent residency</w:t>
      </w:r>
      <w:r w:rsidR="009E7361">
        <w:t xml:space="preserve"> (Table </w:t>
      </w:r>
      <w:r w:rsidR="00DE7433">
        <w:t>B1</w:t>
      </w:r>
      <w:r w:rsidR="009E7361">
        <w:t>)</w:t>
      </w:r>
      <w:r w:rsidR="004319CC">
        <w:t xml:space="preserve">. This means that </w:t>
      </w:r>
      <w:r w:rsidR="009B1A5C">
        <w:t xml:space="preserve">estimates of fiscal impact calculated using FIONA will miss revenues and expenses incurred before receiving a permanent visa. </w:t>
      </w:r>
    </w:p>
    <w:p w14:paraId="11A71B67" w14:textId="23375A42" w:rsidR="00F04C98" w:rsidRPr="00830CE1" w:rsidRDefault="00F04C98" w:rsidP="00285543">
      <w:pPr>
        <w:pStyle w:val="TableHeading1"/>
      </w:pPr>
      <w:r w:rsidRPr="00830CE1">
        <w:t xml:space="preserve">Table </w:t>
      </w:r>
      <w:r w:rsidR="00DE7433">
        <w:t>B1</w:t>
      </w:r>
      <w:r w:rsidR="00B804B7" w:rsidRPr="00830CE1">
        <w:t xml:space="preserve">: </w:t>
      </w:r>
      <w:r w:rsidR="004E3AAE" w:rsidRPr="00830CE1">
        <w:t xml:space="preserve">First Australian visa </w:t>
      </w:r>
      <w:r w:rsidR="0071585E" w:rsidRPr="00830CE1">
        <w:t xml:space="preserve">of Skill and Family stream </w:t>
      </w:r>
      <w:r w:rsidR="00512E05" w:rsidRPr="00830CE1">
        <w:t>permanent migrants</w:t>
      </w:r>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00"/>
        <w:gridCol w:w="2785"/>
        <w:gridCol w:w="2451"/>
      </w:tblGrid>
      <w:tr w:rsidR="006767B5" w:rsidRPr="006E2B32" w14:paraId="5E000063" w14:textId="77777777" w:rsidTr="00A00040">
        <w:trPr>
          <w:trHeight w:val="302"/>
        </w:trPr>
        <w:tc>
          <w:tcPr>
            <w:tcW w:w="4000" w:type="dxa"/>
            <w:shd w:val="clear" w:color="auto" w:fill="CFDCEA"/>
            <w:tcMar>
              <w:top w:w="15" w:type="dxa"/>
              <w:left w:w="108" w:type="dxa"/>
              <w:bottom w:w="0" w:type="dxa"/>
              <w:right w:w="108" w:type="dxa"/>
            </w:tcMar>
            <w:hideMark/>
          </w:tcPr>
          <w:p w14:paraId="712487E6" w14:textId="622C6EBB" w:rsidR="006767B5" w:rsidRPr="009B147A" w:rsidRDefault="006767B5" w:rsidP="006767B5">
            <w:pPr>
              <w:spacing w:after="0"/>
              <w:rPr>
                <w:b/>
                <w:bCs/>
                <w:sz w:val="20"/>
                <w:szCs w:val="20"/>
              </w:rPr>
            </w:pPr>
          </w:p>
        </w:tc>
        <w:tc>
          <w:tcPr>
            <w:tcW w:w="2785" w:type="dxa"/>
            <w:shd w:val="clear" w:color="auto" w:fill="CFDCEA"/>
            <w:tcMar>
              <w:top w:w="15" w:type="dxa"/>
              <w:left w:w="108" w:type="dxa"/>
              <w:bottom w:w="0" w:type="dxa"/>
              <w:right w:w="108" w:type="dxa"/>
            </w:tcMar>
            <w:hideMark/>
          </w:tcPr>
          <w:p w14:paraId="217E6EC1" w14:textId="26D00591" w:rsidR="006767B5" w:rsidRPr="008C35A0" w:rsidRDefault="006767B5" w:rsidP="006767B5">
            <w:pPr>
              <w:spacing w:after="0"/>
              <w:rPr>
                <w:b/>
                <w:bCs/>
                <w:sz w:val="18"/>
                <w:szCs w:val="18"/>
              </w:rPr>
            </w:pPr>
            <w:r w:rsidRPr="008C35A0">
              <w:rPr>
                <w:b/>
                <w:bCs/>
                <w:sz w:val="18"/>
                <w:szCs w:val="18"/>
              </w:rPr>
              <w:t>Skill Stream</w:t>
            </w:r>
          </w:p>
        </w:tc>
        <w:tc>
          <w:tcPr>
            <w:tcW w:w="2451" w:type="dxa"/>
            <w:shd w:val="clear" w:color="auto" w:fill="CFDCEA"/>
            <w:tcMar>
              <w:top w:w="15" w:type="dxa"/>
              <w:left w:w="108" w:type="dxa"/>
              <w:bottom w:w="0" w:type="dxa"/>
              <w:right w:w="108" w:type="dxa"/>
            </w:tcMar>
            <w:hideMark/>
          </w:tcPr>
          <w:p w14:paraId="0A6BA0AF" w14:textId="5B214A83" w:rsidR="006767B5" w:rsidRPr="008C35A0" w:rsidRDefault="006767B5" w:rsidP="006767B5">
            <w:pPr>
              <w:spacing w:after="0"/>
              <w:rPr>
                <w:b/>
                <w:bCs/>
                <w:sz w:val="18"/>
                <w:szCs w:val="18"/>
              </w:rPr>
            </w:pPr>
            <w:r w:rsidRPr="008C35A0">
              <w:rPr>
                <w:b/>
                <w:bCs/>
                <w:sz w:val="18"/>
                <w:szCs w:val="18"/>
              </w:rPr>
              <w:t>Family Stream</w:t>
            </w:r>
          </w:p>
        </w:tc>
      </w:tr>
      <w:tr w:rsidR="006767B5" w:rsidRPr="006E2B32" w14:paraId="639103F3" w14:textId="77777777" w:rsidTr="00A00040">
        <w:trPr>
          <w:trHeight w:val="302"/>
        </w:trPr>
        <w:tc>
          <w:tcPr>
            <w:tcW w:w="4000" w:type="dxa"/>
            <w:shd w:val="clear" w:color="auto" w:fill="auto"/>
            <w:tcMar>
              <w:top w:w="15" w:type="dxa"/>
              <w:left w:w="108" w:type="dxa"/>
              <w:bottom w:w="0" w:type="dxa"/>
              <w:right w:w="108" w:type="dxa"/>
            </w:tcMar>
            <w:hideMark/>
          </w:tcPr>
          <w:p w14:paraId="411BB340" w14:textId="03A9BDF8" w:rsidR="006767B5" w:rsidRPr="008C35A0" w:rsidRDefault="006767B5" w:rsidP="006767B5">
            <w:pPr>
              <w:spacing w:after="0"/>
              <w:rPr>
                <w:b/>
                <w:bCs/>
                <w:sz w:val="18"/>
                <w:szCs w:val="18"/>
              </w:rPr>
            </w:pPr>
            <w:r w:rsidRPr="008C35A0">
              <w:rPr>
                <w:b/>
                <w:bCs/>
                <w:sz w:val="18"/>
                <w:szCs w:val="18"/>
              </w:rPr>
              <w:t>Student</w:t>
            </w:r>
          </w:p>
        </w:tc>
        <w:tc>
          <w:tcPr>
            <w:tcW w:w="2785" w:type="dxa"/>
            <w:shd w:val="clear" w:color="auto" w:fill="auto"/>
            <w:tcMar>
              <w:top w:w="15" w:type="dxa"/>
              <w:left w:w="108" w:type="dxa"/>
              <w:bottom w:w="0" w:type="dxa"/>
              <w:right w:w="108" w:type="dxa"/>
            </w:tcMar>
            <w:hideMark/>
          </w:tcPr>
          <w:p w14:paraId="5EB87D8F" w14:textId="0933C46E" w:rsidR="006767B5" w:rsidRPr="008C35A0" w:rsidRDefault="006767B5" w:rsidP="006767B5">
            <w:pPr>
              <w:spacing w:after="0"/>
              <w:jc w:val="right"/>
              <w:rPr>
                <w:sz w:val="18"/>
                <w:szCs w:val="18"/>
              </w:rPr>
            </w:pPr>
            <w:r w:rsidRPr="008C35A0">
              <w:rPr>
                <w:sz w:val="18"/>
                <w:szCs w:val="18"/>
              </w:rPr>
              <w:t>34%</w:t>
            </w:r>
          </w:p>
        </w:tc>
        <w:tc>
          <w:tcPr>
            <w:tcW w:w="2451" w:type="dxa"/>
            <w:shd w:val="clear" w:color="auto" w:fill="auto"/>
            <w:tcMar>
              <w:top w:w="15" w:type="dxa"/>
              <w:left w:w="108" w:type="dxa"/>
              <w:bottom w:w="0" w:type="dxa"/>
              <w:right w:w="108" w:type="dxa"/>
            </w:tcMar>
            <w:hideMark/>
          </w:tcPr>
          <w:p w14:paraId="66B5B296" w14:textId="77668D38" w:rsidR="006767B5" w:rsidRPr="008C35A0" w:rsidRDefault="006767B5" w:rsidP="006767B5">
            <w:pPr>
              <w:spacing w:after="0"/>
              <w:jc w:val="right"/>
              <w:rPr>
                <w:sz w:val="18"/>
                <w:szCs w:val="18"/>
              </w:rPr>
            </w:pPr>
            <w:r w:rsidRPr="008C35A0">
              <w:rPr>
                <w:sz w:val="18"/>
                <w:szCs w:val="18"/>
              </w:rPr>
              <w:t>21%</w:t>
            </w:r>
          </w:p>
        </w:tc>
      </w:tr>
      <w:tr w:rsidR="006767B5" w:rsidRPr="006E2B32" w14:paraId="1E473DC5" w14:textId="77777777" w:rsidTr="00A00040">
        <w:trPr>
          <w:trHeight w:val="302"/>
        </w:trPr>
        <w:tc>
          <w:tcPr>
            <w:tcW w:w="4000" w:type="dxa"/>
            <w:shd w:val="clear" w:color="auto" w:fill="auto"/>
            <w:tcMar>
              <w:top w:w="15" w:type="dxa"/>
              <w:left w:w="108" w:type="dxa"/>
              <w:bottom w:w="0" w:type="dxa"/>
              <w:right w:w="108" w:type="dxa"/>
            </w:tcMar>
            <w:hideMark/>
          </w:tcPr>
          <w:p w14:paraId="4D516ADA" w14:textId="6BE677CE" w:rsidR="006767B5" w:rsidRPr="008C35A0" w:rsidRDefault="006767B5" w:rsidP="006767B5">
            <w:pPr>
              <w:spacing w:after="0"/>
              <w:rPr>
                <w:b/>
                <w:bCs/>
                <w:sz w:val="18"/>
                <w:szCs w:val="18"/>
              </w:rPr>
            </w:pPr>
            <w:r w:rsidRPr="008C35A0">
              <w:rPr>
                <w:b/>
                <w:bCs/>
                <w:sz w:val="18"/>
                <w:szCs w:val="18"/>
              </w:rPr>
              <w:t>Temporary skill</w:t>
            </w:r>
          </w:p>
        </w:tc>
        <w:tc>
          <w:tcPr>
            <w:tcW w:w="2785" w:type="dxa"/>
            <w:shd w:val="clear" w:color="auto" w:fill="auto"/>
            <w:tcMar>
              <w:top w:w="15" w:type="dxa"/>
              <w:left w:w="108" w:type="dxa"/>
              <w:bottom w:w="0" w:type="dxa"/>
              <w:right w:w="108" w:type="dxa"/>
            </w:tcMar>
            <w:hideMark/>
          </w:tcPr>
          <w:p w14:paraId="477D0469" w14:textId="58B40A96" w:rsidR="006767B5" w:rsidRPr="008C35A0" w:rsidRDefault="006767B5" w:rsidP="006767B5">
            <w:pPr>
              <w:spacing w:after="0"/>
              <w:jc w:val="right"/>
              <w:rPr>
                <w:sz w:val="18"/>
                <w:szCs w:val="18"/>
              </w:rPr>
            </w:pPr>
            <w:r w:rsidRPr="008C35A0">
              <w:rPr>
                <w:sz w:val="18"/>
                <w:szCs w:val="18"/>
              </w:rPr>
              <w:t>24%</w:t>
            </w:r>
          </w:p>
        </w:tc>
        <w:tc>
          <w:tcPr>
            <w:tcW w:w="2451" w:type="dxa"/>
            <w:shd w:val="clear" w:color="auto" w:fill="auto"/>
            <w:tcMar>
              <w:top w:w="15" w:type="dxa"/>
              <w:left w:w="108" w:type="dxa"/>
              <w:bottom w:w="0" w:type="dxa"/>
              <w:right w:w="108" w:type="dxa"/>
            </w:tcMar>
            <w:hideMark/>
          </w:tcPr>
          <w:p w14:paraId="221F1A78" w14:textId="407D5A80" w:rsidR="006767B5" w:rsidRPr="008C35A0" w:rsidRDefault="006767B5" w:rsidP="006767B5">
            <w:pPr>
              <w:spacing w:after="0"/>
              <w:jc w:val="right"/>
              <w:rPr>
                <w:sz w:val="18"/>
                <w:szCs w:val="18"/>
              </w:rPr>
            </w:pPr>
            <w:r w:rsidRPr="008C35A0">
              <w:rPr>
                <w:sz w:val="18"/>
                <w:szCs w:val="18"/>
              </w:rPr>
              <w:t>2%</w:t>
            </w:r>
          </w:p>
        </w:tc>
      </w:tr>
      <w:tr w:rsidR="006767B5" w:rsidRPr="006E2B32" w14:paraId="3C96C2B8" w14:textId="77777777" w:rsidTr="00A00040">
        <w:trPr>
          <w:trHeight w:val="302"/>
        </w:trPr>
        <w:tc>
          <w:tcPr>
            <w:tcW w:w="4000" w:type="dxa"/>
            <w:shd w:val="clear" w:color="auto" w:fill="auto"/>
            <w:tcMar>
              <w:top w:w="15" w:type="dxa"/>
              <w:left w:w="108" w:type="dxa"/>
              <w:bottom w:w="0" w:type="dxa"/>
              <w:right w:w="108" w:type="dxa"/>
            </w:tcMar>
            <w:hideMark/>
          </w:tcPr>
          <w:p w14:paraId="2E196FAE" w14:textId="2AD9260D" w:rsidR="006767B5" w:rsidRPr="008C35A0" w:rsidRDefault="006767B5" w:rsidP="006767B5">
            <w:pPr>
              <w:spacing w:after="0"/>
              <w:rPr>
                <w:b/>
                <w:bCs/>
                <w:sz w:val="18"/>
                <w:szCs w:val="18"/>
              </w:rPr>
            </w:pPr>
            <w:r w:rsidRPr="008C35A0">
              <w:rPr>
                <w:b/>
                <w:bCs/>
                <w:sz w:val="18"/>
                <w:szCs w:val="18"/>
              </w:rPr>
              <w:t>Offshore applicant</w:t>
            </w:r>
          </w:p>
        </w:tc>
        <w:tc>
          <w:tcPr>
            <w:tcW w:w="2785" w:type="dxa"/>
            <w:shd w:val="clear" w:color="auto" w:fill="auto"/>
            <w:tcMar>
              <w:top w:w="15" w:type="dxa"/>
              <w:left w:w="108" w:type="dxa"/>
              <w:bottom w:w="0" w:type="dxa"/>
              <w:right w:w="108" w:type="dxa"/>
            </w:tcMar>
            <w:hideMark/>
          </w:tcPr>
          <w:p w14:paraId="20DE3A22" w14:textId="6C11927C" w:rsidR="006767B5" w:rsidRPr="008C35A0" w:rsidRDefault="006767B5" w:rsidP="006767B5">
            <w:pPr>
              <w:spacing w:after="0"/>
              <w:jc w:val="right"/>
              <w:rPr>
                <w:sz w:val="18"/>
                <w:szCs w:val="18"/>
              </w:rPr>
            </w:pPr>
            <w:r w:rsidRPr="008C35A0">
              <w:rPr>
                <w:sz w:val="18"/>
                <w:szCs w:val="18"/>
              </w:rPr>
              <w:t>24%</w:t>
            </w:r>
          </w:p>
        </w:tc>
        <w:tc>
          <w:tcPr>
            <w:tcW w:w="2451" w:type="dxa"/>
            <w:shd w:val="clear" w:color="auto" w:fill="auto"/>
            <w:tcMar>
              <w:top w:w="15" w:type="dxa"/>
              <w:left w:w="108" w:type="dxa"/>
              <w:bottom w:w="0" w:type="dxa"/>
              <w:right w:w="108" w:type="dxa"/>
            </w:tcMar>
            <w:hideMark/>
          </w:tcPr>
          <w:p w14:paraId="0868EE9D" w14:textId="66B9069E" w:rsidR="006767B5" w:rsidRPr="008C35A0" w:rsidRDefault="006767B5" w:rsidP="006767B5">
            <w:pPr>
              <w:spacing w:after="0"/>
              <w:jc w:val="right"/>
              <w:rPr>
                <w:sz w:val="18"/>
                <w:szCs w:val="18"/>
              </w:rPr>
            </w:pPr>
            <w:r w:rsidRPr="008C35A0">
              <w:rPr>
                <w:sz w:val="18"/>
                <w:szCs w:val="18"/>
              </w:rPr>
              <w:t>52%</w:t>
            </w:r>
          </w:p>
        </w:tc>
      </w:tr>
      <w:tr w:rsidR="006767B5" w:rsidRPr="006E2B32" w14:paraId="1CEB8D51" w14:textId="77777777" w:rsidTr="00A00040">
        <w:trPr>
          <w:trHeight w:val="302"/>
        </w:trPr>
        <w:tc>
          <w:tcPr>
            <w:tcW w:w="4000" w:type="dxa"/>
            <w:shd w:val="clear" w:color="auto" w:fill="auto"/>
            <w:tcMar>
              <w:top w:w="15" w:type="dxa"/>
              <w:left w:w="108" w:type="dxa"/>
              <w:bottom w:w="0" w:type="dxa"/>
              <w:right w:w="108" w:type="dxa"/>
            </w:tcMar>
            <w:hideMark/>
          </w:tcPr>
          <w:p w14:paraId="7EB8E3D5" w14:textId="256AE19B" w:rsidR="006767B5" w:rsidRPr="008C35A0" w:rsidRDefault="006767B5" w:rsidP="006767B5">
            <w:pPr>
              <w:spacing w:after="0"/>
              <w:rPr>
                <w:b/>
                <w:bCs/>
                <w:sz w:val="18"/>
                <w:szCs w:val="18"/>
              </w:rPr>
            </w:pPr>
            <w:r w:rsidRPr="008C35A0">
              <w:rPr>
                <w:b/>
                <w:bCs/>
                <w:sz w:val="18"/>
                <w:szCs w:val="18"/>
              </w:rPr>
              <w:t>Working holiday maker</w:t>
            </w:r>
          </w:p>
        </w:tc>
        <w:tc>
          <w:tcPr>
            <w:tcW w:w="2785" w:type="dxa"/>
            <w:shd w:val="clear" w:color="auto" w:fill="auto"/>
            <w:tcMar>
              <w:top w:w="15" w:type="dxa"/>
              <w:left w:w="108" w:type="dxa"/>
              <w:bottom w:w="0" w:type="dxa"/>
              <w:right w:w="108" w:type="dxa"/>
            </w:tcMar>
            <w:hideMark/>
          </w:tcPr>
          <w:p w14:paraId="16095E2A" w14:textId="26B86AA0" w:rsidR="006767B5" w:rsidRPr="008C35A0" w:rsidRDefault="006767B5" w:rsidP="006767B5">
            <w:pPr>
              <w:spacing w:after="0"/>
              <w:jc w:val="right"/>
              <w:rPr>
                <w:sz w:val="18"/>
                <w:szCs w:val="18"/>
              </w:rPr>
            </w:pPr>
            <w:r w:rsidRPr="008C35A0">
              <w:rPr>
                <w:sz w:val="18"/>
                <w:szCs w:val="18"/>
              </w:rPr>
              <w:t>9%</w:t>
            </w:r>
          </w:p>
        </w:tc>
        <w:tc>
          <w:tcPr>
            <w:tcW w:w="2451" w:type="dxa"/>
            <w:shd w:val="clear" w:color="auto" w:fill="auto"/>
            <w:tcMar>
              <w:top w:w="15" w:type="dxa"/>
              <w:left w:w="108" w:type="dxa"/>
              <w:bottom w:w="0" w:type="dxa"/>
              <w:right w:w="108" w:type="dxa"/>
            </w:tcMar>
            <w:hideMark/>
          </w:tcPr>
          <w:p w14:paraId="006E276F" w14:textId="0CBBF26A" w:rsidR="006767B5" w:rsidRPr="008C35A0" w:rsidRDefault="006767B5" w:rsidP="006767B5">
            <w:pPr>
              <w:spacing w:after="0"/>
              <w:jc w:val="right"/>
              <w:rPr>
                <w:sz w:val="18"/>
                <w:szCs w:val="18"/>
              </w:rPr>
            </w:pPr>
            <w:r w:rsidRPr="008C35A0">
              <w:rPr>
                <w:sz w:val="18"/>
                <w:szCs w:val="18"/>
              </w:rPr>
              <w:t>15%</w:t>
            </w:r>
          </w:p>
        </w:tc>
      </w:tr>
      <w:tr w:rsidR="006767B5" w:rsidRPr="006E2B32" w14:paraId="27AFEE04" w14:textId="77777777" w:rsidTr="00A00040">
        <w:trPr>
          <w:trHeight w:val="302"/>
        </w:trPr>
        <w:tc>
          <w:tcPr>
            <w:tcW w:w="4000" w:type="dxa"/>
            <w:shd w:val="clear" w:color="auto" w:fill="auto"/>
            <w:tcMar>
              <w:top w:w="15" w:type="dxa"/>
              <w:left w:w="108" w:type="dxa"/>
              <w:bottom w:w="0" w:type="dxa"/>
              <w:right w:w="108" w:type="dxa"/>
            </w:tcMar>
            <w:hideMark/>
          </w:tcPr>
          <w:p w14:paraId="1399148D" w14:textId="5D2F65D7" w:rsidR="006767B5" w:rsidRPr="008C35A0" w:rsidRDefault="006767B5" w:rsidP="006767B5">
            <w:pPr>
              <w:spacing w:after="0"/>
              <w:rPr>
                <w:b/>
                <w:bCs/>
                <w:sz w:val="18"/>
                <w:szCs w:val="18"/>
              </w:rPr>
            </w:pPr>
            <w:r w:rsidRPr="008C35A0">
              <w:rPr>
                <w:b/>
                <w:bCs/>
                <w:sz w:val="18"/>
                <w:szCs w:val="18"/>
              </w:rPr>
              <w:t>New Zealand</w:t>
            </w:r>
          </w:p>
        </w:tc>
        <w:tc>
          <w:tcPr>
            <w:tcW w:w="2785" w:type="dxa"/>
            <w:shd w:val="clear" w:color="auto" w:fill="auto"/>
            <w:tcMar>
              <w:top w:w="15" w:type="dxa"/>
              <w:left w:w="108" w:type="dxa"/>
              <w:bottom w:w="0" w:type="dxa"/>
              <w:right w:w="108" w:type="dxa"/>
            </w:tcMar>
            <w:hideMark/>
          </w:tcPr>
          <w:p w14:paraId="72B62612" w14:textId="49C8AA16" w:rsidR="006767B5" w:rsidRPr="008C35A0" w:rsidRDefault="006767B5" w:rsidP="006767B5">
            <w:pPr>
              <w:spacing w:after="0"/>
              <w:jc w:val="right"/>
              <w:rPr>
                <w:sz w:val="18"/>
                <w:szCs w:val="18"/>
              </w:rPr>
            </w:pPr>
            <w:r w:rsidRPr="008C35A0">
              <w:rPr>
                <w:sz w:val="18"/>
                <w:szCs w:val="18"/>
              </w:rPr>
              <w:t>6%</w:t>
            </w:r>
          </w:p>
        </w:tc>
        <w:tc>
          <w:tcPr>
            <w:tcW w:w="2451" w:type="dxa"/>
            <w:shd w:val="clear" w:color="auto" w:fill="auto"/>
            <w:tcMar>
              <w:top w:w="15" w:type="dxa"/>
              <w:left w:w="108" w:type="dxa"/>
              <w:bottom w:w="0" w:type="dxa"/>
              <w:right w:w="108" w:type="dxa"/>
            </w:tcMar>
            <w:hideMark/>
          </w:tcPr>
          <w:p w14:paraId="50DF759D" w14:textId="3E994389" w:rsidR="006767B5" w:rsidRPr="008C35A0" w:rsidRDefault="006767B5" w:rsidP="006767B5">
            <w:pPr>
              <w:spacing w:after="0"/>
              <w:jc w:val="right"/>
              <w:rPr>
                <w:sz w:val="18"/>
                <w:szCs w:val="18"/>
              </w:rPr>
            </w:pPr>
            <w:r w:rsidRPr="008C35A0">
              <w:rPr>
                <w:sz w:val="18"/>
                <w:szCs w:val="18"/>
              </w:rPr>
              <w:t>1%</w:t>
            </w:r>
          </w:p>
        </w:tc>
      </w:tr>
      <w:tr w:rsidR="006767B5" w:rsidRPr="006E2B32" w14:paraId="2895205A" w14:textId="77777777" w:rsidTr="00A00040">
        <w:trPr>
          <w:trHeight w:val="302"/>
        </w:trPr>
        <w:tc>
          <w:tcPr>
            <w:tcW w:w="4000" w:type="dxa"/>
            <w:shd w:val="clear" w:color="auto" w:fill="auto"/>
            <w:tcMar>
              <w:top w:w="15" w:type="dxa"/>
              <w:left w:w="108" w:type="dxa"/>
              <w:bottom w:w="0" w:type="dxa"/>
              <w:right w:w="108" w:type="dxa"/>
            </w:tcMar>
            <w:hideMark/>
          </w:tcPr>
          <w:p w14:paraId="234ACB19" w14:textId="4E386693" w:rsidR="006767B5" w:rsidRPr="008C35A0" w:rsidRDefault="006767B5" w:rsidP="006767B5">
            <w:pPr>
              <w:spacing w:after="0"/>
              <w:rPr>
                <w:b/>
                <w:bCs/>
                <w:sz w:val="18"/>
                <w:szCs w:val="18"/>
              </w:rPr>
            </w:pPr>
            <w:r w:rsidRPr="008C35A0">
              <w:rPr>
                <w:b/>
                <w:bCs/>
                <w:sz w:val="18"/>
                <w:szCs w:val="18"/>
              </w:rPr>
              <w:t xml:space="preserve">Temporary </w:t>
            </w:r>
            <w:r w:rsidR="00A00040" w:rsidRPr="008C35A0">
              <w:rPr>
                <w:b/>
                <w:bCs/>
                <w:sz w:val="18"/>
                <w:szCs w:val="18"/>
              </w:rPr>
              <w:t>o</w:t>
            </w:r>
            <w:r w:rsidRPr="008C35A0">
              <w:rPr>
                <w:b/>
                <w:bCs/>
                <w:sz w:val="18"/>
                <w:szCs w:val="18"/>
              </w:rPr>
              <w:t>ther</w:t>
            </w:r>
          </w:p>
        </w:tc>
        <w:tc>
          <w:tcPr>
            <w:tcW w:w="2785" w:type="dxa"/>
            <w:shd w:val="clear" w:color="auto" w:fill="auto"/>
            <w:tcMar>
              <w:top w:w="15" w:type="dxa"/>
              <w:left w:w="108" w:type="dxa"/>
              <w:bottom w:w="0" w:type="dxa"/>
              <w:right w:w="108" w:type="dxa"/>
            </w:tcMar>
            <w:hideMark/>
          </w:tcPr>
          <w:p w14:paraId="075E480A" w14:textId="1F8C4BAA" w:rsidR="006767B5" w:rsidRPr="008C35A0" w:rsidRDefault="006767B5" w:rsidP="006767B5">
            <w:pPr>
              <w:spacing w:after="0"/>
              <w:jc w:val="right"/>
              <w:rPr>
                <w:sz w:val="18"/>
                <w:szCs w:val="18"/>
              </w:rPr>
            </w:pPr>
            <w:r w:rsidRPr="008C35A0">
              <w:rPr>
                <w:sz w:val="18"/>
                <w:szCs w:val="18"/>
              </w:rPr>
              <w:t>2%</w:t>
            </w:r>
          </w:p>
        </w:tc>
        <w:tc>
          <w:tcPr>
            <w:tcW w:w="2451" w:type="dxa"/>
            <w:shd w:val="clear" w:color="auto" w:fill="auto"/>
            <w:tcMar>
              <w:top w:w="15" w:type="dxa"/>
              <w:left w:w="108" w:type="dxa"/>
              <w:bottom w:w="0" w:type="dxa"/>
              <w:right w:w="108" w:type="dxa"/>
            </w:tcMar>
            <w:hideMark/>
          </w:tcPr>
          <w:p w14:paraId="46FE65D3" w14:textId="70B20542" w:rsidR="006767B5" w:rsidRPr="008C35A0" w:rsidRDefault="006767B5" w:rsidP="006767B5">
            <w:pPr>
              <w:spacing w:after="0"/>
              <w:jc w:val="right"/>
              <w:rPr>
                <w:sz w:val="18"/>
                <w:szCs w:val="18"/>
              </w:rPr>
            </w:pPr>
            <w:r w:rsidRPr="008C35A0">
              <w:rPr>
                <w:sz w:val="18"/>
                <w:szCs w:val="18"/>
              </w:rPr>
              <w:t>9%</w:t>
            </w:r>
          </w:p>
        </w:tc>
      </w:tr>
      <w:tr w:rsidR="006767B5" w:rsidRPr="006E2B32" w14:paraId="5BE91D6B" w14:textId="77777777" w:rsidTr="00A00040">
        <w:trPr>
          <w:trHeight w:val="302"/>
        </w:trPr>
        <w:tc>
          <w:tcPr>
            <w:tcW w:w="4000" w:type="dxa"/>
            <w:shd w:val="clear" w:color="auto" w:fill="auto"/>
            <w:tcMar>
              <w:top w:w="15" w:type="dxa"/>
              <w:left w:w="108" w:type="dxa"/>
              <w:bottom w:w="0" w:type="dxa"/>
              <w:right w:w="108" w:type="dxa"/>
            </w:tcMar>
            <w:hideMark/>
          </w:tcPr>
          <w:p w14:paraId="7C06E838" w14:textId="43573E13" w:rsidR="006767B5" w:rsidRPr="008C35A0" w:rsidRDefault="00A00040" w:rsidP="006767B5">
            <w:pPr>
              <w:spacing w:after="0"/>
              <w:rPr>
                <w:b/>
                <w:bCs/>
                <w:sz w:val="18"/>
                <w:szCs w:val="18"/>
              </w:rPr>
            </w:pPr>
            <w:r w:rsidRPr="008C35A0">
              <w:rPr>
                <w:b/>
                <w:bCs/>
                <w:sz w:val="18"/>
                <w:szCs w:val="18"/>
              </w:rPr>
              <w:t>P</w:t>
            </w:r>
            <w:r w:rsidR="006767B5" w:rsidRPr="008C35A0">
              <w:rPr>
                <w:b/>
                <w:bCs/>
                <w:sz w:val="18"/>
                <w:szCs w:val="18"/>
              </w:rPr>
              <w:t>ost study work rights</w:t>
            </w:r>
          </w:p>
        </w:tc>
        <w:tc>
          <w:tcPr>
            <w:tcW w:w="2785" w:type="dxa"/>
            <w:shd w:val="clear" w:color="auto" w:fill="auto"/>
            <w:tcMar>
              <w:top w:w="15" w:type="dxa"/>
              <w:left w:w="108" w:type="dxa"/>
              <w:bottom w:w="0" w:type="dxa"/>
              <w:right w:w="108" w:type="dxa"/>
            </w:tcMar>
            <w:hideMark/>
          </w:tcPr>
          <w:p w14:paraId="3007B025" w14:textId="0DCD0DE6" w:rsidR="006767B5" w:rsidRPr="008C35A0" w:rsidRDefault="006767B5" w:rsidP="006767B5">
            <w:pPr>
              <w:spacing w:after="0"/>
              <w:jc w:val="right"/>
              <w:rPr>
                <w:sz w:val="18"/>
                <w:szCs w:val="18"/>
              </w:rPr>
            </w:pPr>
            <w:r w:rsidRPr="008C35A0">
              <w:rPr>
                <w:sz w:val="18"/>
                <w:szCs w:val="18"/>
              </w:rPr>
              <w:t>1%</w:t>
            </w:r>
          </w:p>
        </w:tc>
        <w:tc>
          <w:tcPr>
            <w:tcW w:w="2451" w:type="dxa"/>
            <w:shd w:val="clear" w:color="auto" w:fill="auto"/>
            <w:tcMar>
              <w:top w:w="15" w:type="dxa"/>
              <w:left w:w="108" w:type="dxa"/>
              <w:bottom w:w="0" w:type="dxa"/>
              <w:right w:w="108" w:type="dxa"/>
            </w:tcMar>
            <w:hideMark/>
          </w:tcPr>
          <w:p w14:paraId="31FD4266" w14:textId="6AAE9E77" w:rsidR="006767B5" w:rsidRPr="008C35A0" w:rsidRDefault="006767B5" w:rsidP="006767B5">
            <w:pPr>
              <w:spacing w:after="0"/>
              <w:jc w:val="right"/>
              <w:rPr>
                <w:sz w:val="18"/>
                <w:szCs w:val="18"/>
              </w:rPr>
            </w:pPr>
            <w:r w:rsidRPr="008C35A0">
              <w:rPr>
                <w:sz w:val="18"/>
                <w:szCs w:val="18"/>
              </w:rPr>
              <w:t>0%</w:t>
            </w:r>
          </w:p>
        </w:tc>
      </w:tr>
    </w:tbl>
    <w:p w14:paraId="5025FC5A" w14:textId="6EDB81ED" w:rsidR="0071585E" w:rsidRPr="004F1522" w:rsidRDefault="0071585E" w:rsidP="008C35A0">
      <w:pPr>
        <w:spacing w:after="0"/>
        <w:rPr>
          <w:sz w:val="18"/>
          <w:szCs w:val="18"/>
        </w:rPr>
      </w:pPr>
    </w:p>
    <w:p w14:paraId="78022F8B" w14:textId="56D20B24" w:rsidR="00512BE8" w:rsidRDefault="009B1A5C" w:rsidP="008027CA">
      <w:r>
        <w:t xml:space="preserve">This Appendix provides </w:t>
      </w:r>
      <w:r w:rsidR="00797121">
        <w:t>estimates of the fiscal impacts of temporary migrants to allow FIONA results to be interpreted within the context of this broader migration program. These calculations cover Temporary Skill Shortage visas (TSS), Working Holiday Maker (WHM), Student and Temporary Graduate visas</w:t>
      </w:r>
      <w:r w:rsidR="00797121">
        <w:rPr>
          <w:rStyle w:val="FootnoteReference"/>
        </w:rPr>
        <w:footnoteReference w:id="64"/>
      </w:r>
      <w:r w:rsidR="00797121">
        <w:t xml:space="preserve"> and are designed to be as consistent as possible with FIONA calculations in the remainder of this report. </w:t>
      </w:r>
    </w:p>
    <w:p w14:paraId="799C934C" w14:textId="4AA6B1DC" w:rsidR="001C1822" w:rsidRDefault="00512BE8" w:rsidP="008027CA">
      <w:r>
        <w:t>The key details of this calculation are:</w:t>
      </w:r>
    </w:p>
    <w:p w14:paraId="4F98E67B" w14:textId="1757D53D" w:rsidR="00797121" w:rsidRDefault="00512BE8" w:rsidP="008027CA">
      <w:pPr>
        <w:pStyle w:val="Bullet"/>
        <w:keepNext w:val="0"/>
        <w:ind w:left="612" w:hanging="612"/>
      </w:pPr>
      <w:r>
        <w:t>Personal income tax paid by temporary migrants is based on observed taxes paid by temporary migrants</w:t>
      </w:r>
      <w:r w:rsidR="00512E05">
        <w:rPr>
          <w:rStyle w:val="FootnoteReference"/>
        </w:rPr>
        <w:footnoteReference w:id="65"/>
      </w:r>
      <w:r>
        <w:t xml:space="preserve"> (and therefore captures different personal income tax treatment of </w:t>
      </w:r>
      <w:r w:rsidR="005178E8">
        <w:t>those temporary migrants who are not Australian residents for tax purposes</w:t>
      </w:r>
      <w:r>
        <w:t>)</w:t>
      </w:r>
      <w:r w:rsidR="00806FF5">
        <w:t>.</w:t>
      </w:r>
      <w:r w:rsidR="004B6F57">
        <w:rPr>
          <w:rStyle w:val="FootnoteReference"/>
        </w:rPr>
        <w:footnoteReference w:id="66"/>
      </w:r>
    </w:p>
    <w:p w14:paraId="06CACBF8" w14:textId="641357CE" w:rsidR="00512BE8" w:rsidRDefault="00E822FF" w:rsidP="008027CA">
      <w:pPr>
        <w:pStyle w:val="Bullet"/>
        <w:keepNext w:val="0"/>
        <w:ind w:left="612" w:hanging="612"/>
      </w:pPr>
      <w:r>
        <w:t>Indirect taxes</w:t>
      </w:r>
      <w:r w:rsidR="005178E8">
        <w:t xml:space="preserve"> such as GST and commodity taxes</w:t>
      </w:r>
      <w:r>
        <w:t xml:space="preserve">, </w:t>
      </w:r>
      <w:r w:rsidR="005178E8">
        <w:t xml:space="preserve">as well as </w:t>
      </w:r>
      <w:r>
        <w:t xml:space="preserve">infrastructure and Visa Application Charges follow the same approach as used in </w:t>
      </w:r>
      <w:r w:rsidR="006542FE">
        <w:t>FIONA</w:t>
      </w:r>
      <w:r>
        <w:t>.</w:t>
      </w:r>
    </w:p>
    <w:p w14:paraId="00CB98A4" w14:textId="5C48E6C6" w:rsidR="00E822FF" w:rsidRDefault="00E822FF" w:rsidP="008027CA">
      <w:pPr>
        <w:pStyle w:val="Bullet"/>
      </w:pPr>
      <w:r>
        <w:t xml:space="preserve">Other revenues and expenses were excluded on the basis that temporary migrants are not eligible for many government </w:t>
      </w:r>
      <w:r w:rsidR="008027CA">
        <w:t>services and</w:t>
      </w:r>
      <w:r>
        <w:t xml:space="preserve"> are unlikely to engage in other forms of taxable activity (such as purchasing a house).</w:t>
      </w:r>
    </w:p>
    <w:p w14:paraId="411603E5" w14:textId="00419E5F" w:rsidR="00172D5A" w:rsidRDefault="00E822FF" w:rsidP="008027CA">
      <w:pPr>
        <w:rPr>
          <w:b/>
          <w:bCs/>
        </w:rPr>
      </w:pPr>
      <w:r>
        <w:t xml:space="preserve">The results of this calculation are presented in Table </w:t>
      </w:r>
      <w:r w:rsidR="00DE7433">
        <w:t>B2</w:t>
      </w:r>
      <w:r>
        <w:t xml:space="preserve">. This shows that of the visa categories analysed, TSS visa holders </w:t>
      </w:r>
      <w:r w:rsidR="002D0DAD">
        <w:t>have the most positive fiscal impact. This result is driven by the high level of personal income tax paid by this group. Other temporary visa</w:t>
      </w:r>
      <w:r w:rsidR="00001014">
        <w:t>s</w:t>
      </w:r>
      <w:r w:rsidR="002D0DAD">
        <w:t xml:space="preserve"> analysed</w:t>
      </w:r>
      <w:r w:rsidR="00001014">
        <w:t xml:space="preserve"> in Table B2</w:t>
      </w:r>
      <w:r w:rsidR="002D0DAD">
        <w:t xml:space="preserve"> were all found to have a small positive fiscal impact.</w:t>
      </w:r>
      <w:r w:rsidR="0012441E" w:rsidDel="0012441E">
        <w:t xml:space="preserve"> </w:t>
      </w:r>
    </w:p>
    <w:p w14:paraId="5A0974D9" w14:textId="5FB42939" w:rsidR="00172D5A" w:rsidRDefault="0012441E" w:rsidP="00285543">
      <w:pPr>
        <w:pStyle w:val="TableHeading1"/>
      </w:pPr>
      <w:bookmarkStart w:id="56" w:name="_Hlk73633191"/>
      <w:r w:rsidRPr="00830CE1">
        <w:t xml:space="preserve">Table </w:t>
      </w:r>
      <w:r w:rsidR="00DE7433">
        <w:t>B2</w:t>
      </w:r>
      <w:r w:rsidRPr="00830CE1">
        <w:t xml:space="preserve">: </w:t>
      </w:r>
      <w:r w:rsidR="0072278E">
        <w:t>2018-19 estimated average</w:t>
      </w:r>
      <w:r w:rsidRPr="00830CE1">
        <w:t xml:space="preserve"> </w:t>
      </w:r>
      <w:r w:rsidR="00530E7E" w:rsidRPr="00830CE1">
        <w:t>f</w:t>
      </w:r>
      <w:r w:rsidRPr="00830CE1">
        <w:t>iscal impact</w:t>
      </w:r>
      <w:r w:rsidR="0072278E">
        <w:t xml:space="preserve">s for </w:t>
      </w:r>
      <w:r w:rsidR="0072278E" w:rsidRPr="00830CE1">
        <w:t>temporary migrant</w:t>
      </w:r>
      <w:r w:rsidR="0072278E">
        <w:t>s</w:t>
      </w:r>
    </w:p>
    <w:tbl>
      <w:tblPr>
        <w:tblW w:w="9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03"/>
        <w:gridCol w:w="1135"/>
        <w:gridCol w:w="1135"/>
        <w:gridCol w:w="1136"/>
        <w:gridCol w:w="1136"/>
        <w:gridCol w:w="1136"/>
        <w:gridCol w:w="1259"/>
        <w:gridCol w:w="1136"/>
      </w:tblGrid>
      <w:tr w:rsidR="009B147A" w:rsidRPr="009B147A" w14:paraId="12CE33B9" w14:textId="77777777" w:rsidTr="001735CE">
        <w:trPr>
          <w:trHeight w:val="679"/>
        </w:trPr>
        <w:tc>
          <w:tcPr>
            <w:tcW w:w="1103" w:type="dxa"/>
            <w:tcBorders>
              <w:top w:val="single" w:sz="2" w:space="0" w:color="auto"/>
              <w:bottom w:val="single" w:sz="2" w:space="0" w:color="auto"/>
            </w:tcBorders>
            <w:shd w:val="clear" w:color="000000" w:fill="CFDCEA"/>
            <w:vAlign w:val="center"/>
            <w:hideMark/>
          </w:tcPr>
          <w:p w14:paraId="45C55DD7" w14:textId="77777777" w:rsidR="009B147A" w:rsidRPr="009B147A" w:rsidRDefault="009B147A" w:rsidP="009B147A">
            <w:pPr>
              <w:spacing w:after="0"/>
              <w:jc w:val="right"/>
              <w:rPr>
                <w:rFonts w:ascii="Arial" w:eastAsia="Times New Roman" w:hAnsi="Arial" w:cs="Arial"/>
                <w:b/>
                <w:bCs/>
                <w:color w:val="000000"/>
                <w:sz w:val="16"/>
                <w:szCs w:val="16"/>
                <w:lang w:eastAsia="en-AU"/>
              </w:rPr>
            </w:pPr>
            <w:r w:rsidRPr="009B147A">
              <w:rPr>
                <w:rFonts w:ascii="Arial" w:eastAsia="Times New Roman" w:hAnsi="Arial" w:cs="Arial"/>
                <w:b/>
                <w:bCs/>
                <w:color w:val="000000"/>
                <w:sz w:val="16"/>
                <w:szCs w:val="16"/>
                <w:lang w:eastAsia="en-AU"/>
              </w:rPr>
              <w:t>Visa stream</w:t>
            </w:r>
          </w:p>
        </w:tc>
        <w:tc>
          <w:tcPr>
            <w:tcW w:w="1135" w:type="dxa"/>
            <w:tcBorders>
              <w:top w:val="single" w:sz="2" w:space="0" w:color="auto"/>
              <w:bottom w:val="single" w:sz="2" w:space="0" w:color="auto"/>
            </w:tcBorders>
            <w:shd w:val="clear" w:color="000000" w:fill="CFDCEA"/>
            <w:vAlign w:val="center"/>
            <w:hideMark/>
          </w:tcPr>
          <w:p w14:paraId="3FADD88C" w14:textId="6171B8B7" w:rsidR="009B147A" w:rsidRPr="009B147A" w:rsidRDefault="009B147A" w:rsidP="009B147A">
            <w:pPr>
              <w:spacing w:after="0"/>
              <w:jc w:val="right"/>
              <w:rPr>
                <w:rFonts w:ascii="Arial" w:eastAsia="Times New Roman" w:hAnsi="Arial" w:cs="Arial"/>
                <w:b/>
                <w:bCs/>
                <w:color w:val="000000"/>
                <w:sz w:val="16"/>
                <w:szCs w:val="16"/>
                <w:lang w:eastAsia="en-AU"/>
              </w:rPr>
            </w:pPr>
            <w:r w:rsidRPr="009B147A">
              <w:rPr>
                <w:rFonts w:ascii="Arial" w:eastAsia="Times New Roman" w:hAnsi="Arial" w:cs="Arial"/>
                <w:b/>
                <w:bCs/>
                <w:sz w:val="16"/>
                <w:szCs w:val="16"/>
                <w:lang w:eastAsia="en-AU"/>
              </w:rPr>
              <w:t xml:space="preserve">2018–19 </w:t>
            </w:r>
            <w:r w:rsidR="0039754A">
              <w:rPr>
                <w:rFonts w:ascii="Arial" w:eastAsia="Times New Roman" w:hAnsi="Arial" w:cs="Arial"/>
                <w:b/>
                <w:bCs/>
                <w:sz w:val="16"/>
                <w:szCs w:val="16"/>
                <w:lang w:eastAsia="en-AU"/>
              </w:rPr>
              <w:t>Visas</w:t>
            </w:r>
          </w:p>
        </w:tc>
        <w:tc>
          <w:tcPr>
            <w:tcW w:w="1135" w:type="dxa"/>
            <w:tcBorders>
              <w:top w:val="single" w:sz="2" w:space="0" w:color="auto"/>
              <w:bottom w:val="single" w:sz="2" w:space="0" w:color="auto"/>
            </w:tcBorders>
            <w:shd w:val="clear" w:color="000000" w:fill="CFDCEA"/>
            <w:vAlign w:val="center"/>
            <w:hideMark/>
          </w:tcPr>
          <w:p w14:paraId="0B594BBA" w14:textId="77777777" w:rsidR="009B147A" w:rsidRPr="009B147A" w:rsidRDefault="009B147A" w:rsidP="009B147A">
            <w:pPr>
              <w:spacing w:after="0"/>
              <w:jc w:val="right"/>
              <w:rPr>
                <w:rFonts w:ascii="Arial" w:eastAsia="Times New Roman" w:hAnsi="Arial" w:cs="Arial"/>
                <w:b/>
                <w:bCs/>
                <w:color w:val="000000"/>
                <w:sz w:val="16"/>
                <w:szCs w:val="16"/>
                <w:lang w:eastAsia="en-AU"/>
              </w:rPr>
            </w:pPr>
            <w:r w:rsidRPr="009B147A">
              <w:rPr>
                <w:rFonts w:ascii="Arial" w:eastAsia="Times New Roman" w:hAnsi="Arial" w:cs="Arial"/>
                <w:b/>
                <w:bCs/>
                <w:sz w:val="16"/>
                <w:szCs w:val="16"/>
                <w:lang w:eastAsia="en-AU"/>
              </w:rPr>
              <w:t>Length of stay (years)</w:t>
            </w:r>
          </w:p>
        </w:tc>
        <w:tc>
          <w:tcPr>
            <w:tcW w:w="1136" w:type="dxa"/>
            <w:tcBorders>
              <w:top w:val="single" w:sz="2" w:space="0" w:color="auto"/>
              <w:bottom w:val="single" w:sz="2" w:space="0" w:color="auto"/>
            </w:tcBorders>
            <w:shd w:val="clear" w:color="000000" w:fill="CFDCEA"/>
            <w:vAlign w:val="center"/>
            <w:hideMark/>
          </w:tcPr>
          <w:p w14:paraId="7BBAE261" w14:textId="77777777" w:rsidR="009B147A" w:rsidRPr="009B147A" w:rsidRDefault="009B147A" w:rsidP="009B147A">
            <w:pPr>
              <w:spacing w:after="0"/>
              <w:jc w:val="right"/>
              <w:rPr>
                <w:rFonts w:ascii="Arial" w:eastAsia="Times New Roman" w:hAnsi="Arial" w:cs="Arial"/>
                <w:b/>
                <w:bCs/>
                <w:color w:val="000000"/>
                <w:sz w:val="16"/>
                <w:szCs w:val="16"/>
                <w:lang w:eastAsia="en-AU"/>
              </w:rPr>
            </w:pPr>
            <w:r w:rsidRPr="009B147A">
              <w:rPr>
                <w:rFonts w:ascii="Arial" w:eastAsia="Times New Roman" w:hAnsi="Arial" w:cs="Arial"/>
                <w:b/>
                <w:bCs/>
                <w:sz w:val="16"/>
                <w:szCs w:val="16"/>
                <w:lang w:eastAsia="en-AU"/>
              </w:rPr>
              <w:t>Visa Application Charges ($)</w:t>
            </w:r>
          </w:p>
        </w:tc>
        <w:tc>
          <w:tcPr>
            <w:tcW w:w="1136" w:type="dxa"/>
            <w:tcBorders>
              <w:top w:val="single" w:sz="2" w:space="0" w:color="auto"/>
              <w:bottom w:val="single" w:sz="2" w:space="0" w:color="auto"/>
            </w:tcBorders>
            <w:shd w:val="clear" w:color="000000" w:fill="CFDCEA"/>
            <w:vAlign w:val="center"/>
            <w:hideMark/>
          </w:tcPr>
          <w:p w14:paraId="4B8B8BD6" w14:textId="77777777" w:rsidR="009B147A" w:rsidRPr="009B147A" w:rsidRDefault="009B147A" w:rsidP="009B147A">
            <w:pPr>
              <w:spacing w:after="0"/>
              <w:jc w:val="right"/>
              <w:rPr>
                <w:rFonts w:ascii="Arial" w:eastAsia="Times New Roman" w:hAnsi="Arial" w:cs="Arial"/>
                <w:b/>
                <w:bCs/>
                <w:color w:val="000000"/>
                <w:sz w:val="16"/>
                <w:szCs w:val="16"/>
                <w:lang w:eastAsia="en-AU"/>
              </w:rPr>
            </w:pPr>
            <w:r w:rsidRPr="009B147A">
              <w:rPr>
                <w:rFonts w:ascii="Arial" w:eastAsia="Times New Roman" w:hAnsi="Arial" w:cs="Arial"/>
                <w:b/>
                <w:bCs/>
                <w:sz w:val="16"/>
                <w:szCs w:val="16"/>
                <w:lang w:eastAsia="en-AU"/>
              </w:rPr>
              <w:t>Personal Income Tax ($)</w:t>
            </w:r>
          </w:p>
        </w:tc>
        <w:tc>
          <w:tcPr>
            <w:tcW w:w="1136" w:type="dxa"/>
            <w:tcBorders>
              <w:top w:val="single" w:sz="2" w:space="0" w:color="auto"/>
              <w:bottom w:val="single" w:sz="2" w:space="0" w:color="auto"/>
            </w:tcBorders>
            <w:shd w:val="clear" w:color="000000" w:fill="CFDCEA"/>
            <w:vAlign w:val="center"/>
            <w:hideMark/>
          </w:tcPr>
          <w:p w14:paraId="43808076" w14:textId="77777777" w:rsidR="009B147A" w:rsidRPr="009B147A" w:rsidRDefault="009B147A" w:rsidP="009B147A">
            <w:pPr>
              <w:spacing w:after="0"/>
              <w:jc w:val="right"/>
              <w:rPr>
                <w:rFonts w:ascii="Arial" w:eastAsia="Times New Roman" w:hAnsi="Arial" w:cs="Arial"/>
                <w:b/>
                <w:bCs/>
                <w:color w:val="000000"/>
                <w:sz w:val="16"/>
                <w:szCs w:val="16"/>
                <w:lang w:eastAsia="en-AU"/>
              </w:rPr>
            </w:pPr>
            <w:r w:rsidRPr="009B147A">
              <w:rPr>
                <w:rFonts w:ascii="Arial" w:eastAsia="Times New Roman" w:hAnsi="Arial" w:cs="Arial"/>
                <w:b/>
                <w:bCs/>
                <w:sz w:val="16"/>
                <w:szCs w:val="16"/>
                <w:lang w:eastAsia="en-AU"/>
              </w:rPr>
              <w:t>Indirect taxes ($)</w:t>
            </w:r>
          </w:p>
        </w:tc>
        <w:tc>
          <w:tcPr>
            <w:tcW w:w="1259" w:type="dxa"/>
            <w:tcBorders>
              <w:top w:val="single" w:sz="2" w:space="0" w:color="auto"/>
              <w:bottom w:val="single" w:sz="2" w:space="0" w:color="auto"/>
            </w:tcBorders>
            <w:shd w:val="clear" w:color="000000" w:fill="CFDCEA"/>
            <w:vAlign w:val="center"/>
            <w:hideMark/>
          </w:tcPr>
          <w:p w14:paraId="33CD020A" w14:textId="77777777" w:rsidR="009B147A" w:rsidRPr="009B147A" w:rsidRDefault="009B147A" w:rsidP="009B147A">
            <w:pPr>
              <w:spacing w:after="0"/>
              <w:jc w:val="right"/>
              <w:rPr>
                <w:rFonts w:ascii="Arial" w:eastAsia="Times New Roman" w:hAnsi="Arial" w:cs="Arial"/>
                <w:b/>
                <w:bCs/>
                <w:color w:val="000000"/>
                <w:sz w:val="16"/>
                <w:szCs w:val="16"/>
                <w:lang w:eastAsia="en-AU"/>
              </w:rPr>
            </w:pPr>
            <w:r w:rsidRPr="009B147A">
              <w:rPr>
                <w:rFonts w:ascii="Arial" w:eastAsia="Times New Roman" w:hAnsi="Arial" w:cs="Arial"/>
                <w:b/>
                <w:bCs/>
                <w:sz w:val="16"/>
                <w:szCs w:val="16"/>
                <w:lang w:eastAsia="en-AU"/>
              </w:rPr>
              <w:t>Infrastructure ($)</w:t>
            </w:r>
          </w:p>
        </w:tc>
        <w:tc>
          <w:tcPr>
            <w:tcW w:w="1136" w:type="dxa"/>
            <w:tcBorders>
              <w:top w:val="single" w:sz="2" w:space="0" w:color="auto"/>
              <w:bottom w:val="single" w:sz="2" w:space="0" w:color="auto"/>
            </w:tcBorders>
            <w:shd w:val="clear" w:color="000000" w:fill="CFDCEA"/>
            <w:vAlign w:val="center"/>
            <w:hideMark/>
          </w:tcPr>
          <w:p w14:paraId="5AD404EF" w14:textId="77777777" w:rsidR="009B147A" w:rsidRPr="009B147A" w:rsidRDefault="009B147A" w:rsidP="009B147A">
            <w:pPr>
              <w:spacing w:after="0"/>
              <w:jc w:val="right"/>
              <w:rPr>
                <w:rFonts w:ascii="Arial" w:eastAsia="Times New Roman" w:hAnsi="Arial" w:cs="Arial"/>
                <w:b/>
                <w:bCs/>
                <w:color w:val="000000"/>
                <w:sz w:val="16"/>
                <w:szCs w:val="16"/>
                <w:lang w:eastAsia="en-AU"/>
              </w:rPr>
            </w:pPr>
            <w:r w:rsidRPr="009B147A">
              <w:rPr>
                <w:rFonts w:ascii="Arial" w:eastAsia="Times New Roman" w:hAnsi="Arial" w:cs="Arial"/>
                <w:b/>
                <w:bCs/>
                <w:sz w:val="16"/>
                <w:szCs w:val="16"/>
                <w:lang w:eastAsia="en-AU"/>
              </w:rPr>
              <w:t>Total NPV ($)</w:t>
            </w:r>
          </w:p>
        </w:tc>
      </w:tr>
      <w:tr w:rsidR="00D46F04" w:rsidRPr="009B147A" w14:paraId="460C8F38" w14:textId="77777777" w:rsidTr="001735CE">
        <w:trPr>
          <w:trHeight w:val="333"/>
        </w:trPr>
        <w:tc>
          <w:tcPr>
            <w:tcW w:w="110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BA2ED18" w14:textId="77777777" w:rsidR="00D46F04" w:rsidRPr="009B147A" w:rsidRDefault="00D46F04" w:rsidP="00D46F04">
            <w:pPr>
              <w:spacing w:after="0"/>
              <w:jc w:val="right"/>
              <w:rPr>
                <w:rFonts w:ascii="Arial" w:eastAsia="Times New Roman" w:hAnsi="Arial" w:cs="Arial"/>
                <w:b/>
                <w:bCs/>
                <w:color w:val="000000"/>
                <w:sz w:val="16"/>
                <w:szCs w:val="16"/>
                <w:lang w:eastAsia="en-AU"/>
              </w:rPr>
            </w:pPr>
            <w:r w:rsidRPr="009B147A">
              <w:rPr>
                <w:rFonts w:ascii="Arial" w:eastAsia="Times New Roman" w:hAnsi="Arial" w:cs="Arial"/>
                <w:b/>
                <w:bCs/>
                <w:color w:val="000000"/>
                <w:sz w:val="16"/>
                <w:szCs w:val="16"/>
                <w:lang w:eastAsia="en-AU"/>
              </w:rPr>
              <w:t>Graduate</w:t>
            </w:r>
          </w:p>
        </w:tc>
        <w:tc>
          <w:tcPr>
            <w:tcW w:w="1135" w:type="dxa"/>
            <w:tcBorders>
              <w:top w:val="single" w:sz="2" w:space="0" w:color="auto"/>
              <w:left w:val="single" w:sz="2" w:space="0" w:color="auto"/>
              <w:bottom w:val="single" w:sz="2" w:space="0" w:color="auto"/>
              <w:right w:val="single" w:sz="2" w:space="0" w:color="auto"/>
            </w:tcBorders>
            <w:shd w:val="clear" w:color="auto" w:fill="auto"/>
            <w:hideMark/>
          </w:tcPr>
          <w:p w14:paraId="046E5DA1" w14:textId="4E98DDAE" w:rsidR="00D46F04" w:rsidRPr="00D173E0" w:rsidRDefault="00D46F04" w:rsidP="00D46F04">
            <w:pPr>
              <w:spacing w:after="0"/>
              <w:jc w:val="right"/>
              <w:rPr>
                <w:sz w:val="20"/>
                <w:szCs w:val="20"/>
              </w:rPr>
            </w:pPr>
            <w:r w:rsidRPr="00B81062">
              <w:rPr>
                <w:sz w:val="20"/>
                <w:szCs w:val="20"/>
              </w:rPr>
              <w:t>65,370</w:t>
            </w:r>
          </w:p>
        </w:tc>
        <w:tc>
          <w:tcPr>
            <w:tcW w:w="1135" w:type="dxa"/>
            <w:tcBorders>
              <w:top w:val="single" w:sz="2" w:space="0" w:color="auto"/>
              <w:left w:val="single" w:sz="2" w:space="0" w:color="auto"/>
              <w:bottom w:val="single" w:sz="2" w:space="0" w:color="auto"/>
              <w:right w:val="single" w:sz="2" w:space="0" w:color="auto"/>
            </w:tcBorders>
            <w:shd w:val="clear" w:color="auto" w:fill="auto"/>
            <w:hideMark/>
          </w:tcPr>
          <w:p w14:paraId="190AADE7" w14:textId="2214BE2E" w:rsidR="00D46F04" w:rsidRPr="00D173E0" w:rsidRDefault="00D46F04" w:rsidP="00D46F04">
            <w:pPr>
              <w:spacing w:after="0"/>
              <w:jc w:val="right"/>
              <w:rPr>
                <w:sz w:val="20"/>
                <w:szCs w:val="20"/>
              </w:rPr>
            </w:pPr>
            <w:r w:rsidRPr="00D173E0">
              <w:rPr>
                <w:sz w:val="20"/>
                <w:szCs w:val="20"/>
              </w:rPr>
              <w:t>1.</w:t>
            </w:r>
            <w:r>
              <w:rPr>
                <w:sz w:val="20"/>
                <w:szCs w:val="20"/>
              </w:rPr>
              <w:t>62</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49BE242D" w14:textId="68D5B081" w:rsidR="00D46F04" w:rsidRPr="00D173E0" w:rsidRDefault="00D46F04" w:rsidP="00D46F04">
            <w:pPr>
              <w:spacing w:after="0"/>
              <w:jc w:val="right"/>
              <w:rPr>
                <w:sz w:val="20"/>
                <w:szCs w:val="20"/>
              </w:rPr>
            </w:pPr>
            <w:r w:rsidRPr="0039754A">
              <w:rPr>
                <w:sz w:val="20"/>
                <w:szCs w:val="20"/>
              </w:rPr>
              <w:t>955</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1E7EA11A" w14:textId="26E91D0B" w:rsidR="00D46F04" w:rsidRPr="006C7861" w:rsidRDefault="00D46F04" w:rsidP="00D46F04">
            <w:pPr>
              <w:spacing w:after="0"/>
              <w:jc w:val="right"/>
              <w:rPr>
                <w:sz w:val="20"/>
                <w:szCs w:val="20"/>
              </w:rPr>
            </w:pPr>
            <w:r w:rsidRPr="00D46F04">
              <w:rPr>
                <w:sz w:val="20"/>
                <w:szCs w:val="20"/>
              </w:rPr>
              <w:t>7,120</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7AF7123F" w14:textId="5D23F4CC" w:rsidR="00D46F04" w:rsidRPr="006C7861" w:rsidRDefault="00D46F04" w:rsidP="00D46F04">
            <w:pPr>
              <w:spacing w:after="0"/>
              <w:jc w:val="right"/>
              <w:rPr>
                <w:sz w:val="20"/>
                <w:szCs w:val="20"/>
              </w:rPr>
            </w:pPr>
            <w:r w:rsidRPr="00D46F04">
              <w:rPr>
                <w:sz w:val="20"/>
                <w:szCs w:val="20"/>
              </w:rPr>
              <w:t>3,738</w:t>
            </w:r>
          </w:p>
        </w:tc>
        <w:tc>
          <w:tcPr>
            <w:tcW w:w="1259" w:type="dxa"/>
            <w:tcBorders>
              <w:top w:val="single" w:sz="2" w:space="0" w:color="auto"/>
              <w:left w:val="single" w:sz="2" w:space="0" w:color="auto"/>
              <w:bottom w:val="single" w:sz="2" w:space="0" w:color="auto"/>
              <w:right w:val="single" w:sz="2" w:space="0" w:color="auto"/>
            </w:tcBorders>
            <w:shd w:val="clear" w:color="auto" w:fill="auto"/>
            <w:hideMark/>
          </w:tcPr>
          <w:p w14:paraId="7383F6BE" w14:textId="47731DE3" w:rsidR="00D46F04" w:rsidRPr="006C7861" w:rsidRDefault="00D46F04" w:rsidP="00D46F04">
            <w:pPr>
              <w:spacing w:after="0"/>
              <w:jc w:val="right"/>
              <w:rPr>
                <w:sz w:val="20"/>
                <w:szCs w:val="20"/>
              </w:rPr>
            </w:pPr>
            <w:r w:rsidRPr="00D46F04">
              <w:rPr>
                <w:sz w:val="20"/>
                <w:szCs w:val="20"/>
              </w:rPr>
              <w:t>-4,006</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289DBA9B" w14:textId="26686955" w:rsidR="00D46F04" w:rsidRPr="006C7861" w:rsidRDefault="00D46F04" w:rsidP="00D46F04">
            <w:pPr>
              <w:spacing w:after="0"/>
              <w:jc w:val="right"/>
              <w:rPr>
                <w:sz w:val="20"/>
                <w:szCs w:val="20"/>
              </w:rPr>
            </w:pPr>
            <w:r w:rsidRPr="00D46F04">
              <w:rPr>
                <w:sz w:val="20"/>
                <w:szCs w:val="20"/>
              </w:rPr>
              <w:t>7,806</w:t>
            </w:r>
          </w:p>
        </w:tc>
      </w:tr>
      <w:tr w:rsidR="00D46F04" w:rsidRPr="009B147A" w14:paraId="396E5C0F" w14:textId="77777777" w:rsidTr="001735CE">
        <w:trPr>
          <w:trHeight w:val="333"/>
        </w:trPr>
        <w:tc>
          <w:tcPr>
            <w:tcW w:w="110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ADF390C" w14:textId="77777777" w:rsidR="00D46F04" w:rsidRPr="009B147A" w:rsidRDefault="00D46F04" w:rsidP="00D46F04">
            <w:pPr>
              <w:spacing w:after="0"/>
              <w:jc w:val="right"/>
              <w:rPr>
                <w:rFonts w:ascii="Arial" w:eastAsia="Times New Roman" w:hAnsi="Arial" w:cs="Arial"/>
                <w:b/>
                <w:bCs/>
                <w:color w:val="000000"/>
                <w:sz w:val="16"/>
                <w:szCs w:val="16"/>
                <w:lang w:eastAsia="en-AU"/>
              </w:rPr>
            </w:pPr>
            <w:r w:rsidRPr="009B147A">
              <w:rPr>
                <w:rFonts w:ascii="Arial" w:eastAsia="Times New Roman" w:hAnsi="Arial" w:cs="Arial"/>
                <w:b/>
                <w:bCs/>
                <w:color w:val="000000"/>
                <w:sz w:val="16"/>
                <w:szCs w:val="16"/>
                <w:lang w:eastAsia="en-AU"/>
              </w:rPr>
              <w:t>Student</w:t>
            </w:r>
          </w:p>
        </w:tc>
        <w:tc>
          <w:tcPr>
            <w:tcW w:w="1135" w:type="dxa"/>
            <w:tcBorders>
              <w:top w:val="single" w:sz="2" w:space="0" w:color="auto"/>
              <w:left w:val="single" w:sz="2" w:space="0" w:color="auto"/>
              <w:bottom w:val="single" w:sz="2" w:space="0" w:color="auto"/>
              <w:right w:val="single" w:sz="2" w:space="0" w:color="auto"/>
            </w:tcBorders>
            <w:shd w:val="clear" w:color="auto" w:fill="auto"/>
            <w:hideMark/>
          </w:tcPr>
          <w:p w14:paraId="109C7C2C" w14:textId="597D2F01" w:rsidR="00D46F04" w:rsidRPr="00D173E0" w:rsidRDefault="00D46F04" w:rsidP="00D46F04">
            <w:pPr>
              <w:spacing w:after="0"/>
              <w:jc w:val="right"/>
              <w:rPr>
                <w:sz w:val="20"/>
                <w:szCs w:val="20"/>
              </w:rPr>
            </w:pPr>
            <w:r w:rsidRPr="00B81062">
              <w:rPr>
                <w:sz w:val="20"/>
                <w:szCs w:val="20"/>
              </w:rPr>
              <w:t>393,973</w:t>
            </w:r>
          </w:p>
        </w:tc>
        <w:tc>
          <w:tcPr>
            <w:tcW w:w="1135" w:type="dxa"/>
            <w:tcBorders>
              <w:top w:val="single" w:sz="2" w:space="0" w:color="auto"/>
              <w:left w:val="single" w:sz="2" w:space="0" w:color="auto"/>
              <w:bottom w:val="single" w:sz="2" w:space="0" w:color="auto"/>
              <w:right w:val="single" w:sz="2" w:space="0" w:color="auto"/>
            </w:tcBorders>
            <w:shd w:val="clear" w:color="auto" w:fill="auto"/>
            <w:hideMark/>
          </w:tcPr>
          <w:p w14:paraId="5E544C5F" w14:textId="71EEE366" w:rsidR="00D46F04" w:rsidRPr="00D173E0" w:rsidRDefault="00D46F04" w:rsidP="00D46F04">
            <w:pPr>
              <w:spacing w:after="0"/>
              <w:jc w:val="right"/>
              <w:rPr>
                <w:sz w:val="20"/>
                <w:szCs w:val="20"/>
              </w:rPr>
            </w:pPr>
            <w:r>
              <w:rPr>
                <w:sz w:val="20"/>
                <w:szCs w:val="20"/>
              </w:rPr>
              <w:t>2.03</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6302AEAD" w14:textId="6A4CF4F9" w:rsidR="00D46F04" w:rsidRPr="00D173E0" w:rsidRDefault="00D46F04" w:rsidP="00D46F04">
            <w:pPr>
              <w:spacing w:after="0"/>
              <w:jc w:val="right"/>
              <w:rPr>
                <w:sz w:val="20"/>
                <w:szCs w:val="20"/>
              </w:rPr>
            </w:pPr>
            <w:r w:rsidRPr="0039754A">
              <w:rPr>
                <w:sz w:val="20"/>
                <w:szCs w:val="20"/>
              </w:rPr>
              <w:t>575</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78F41EB3" w14:textId="516B93B8" w:rsidR="00D46F04" w:rsidRPr="006C7861" w:rsidRDefault="00D46F04" w:rsidP="00D46F04">
            <w:pPr>
              <w:spacing w:after="0"/>
              <w:jc w:val="right"/>
              <w:rPr>
                <w:sz w:val="20"/>
                <w:szCs w:val="20"/>
              </w:rPr>
            </w:pPr>
            <w:r w:rsidRPr="00D46F04">
              <w:rPr>
                <w:sz w:val="20"/>
                <w:szCs w:val="20"/>
              </w:rPr>
              <w:t>1,831</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484AC2E5" w14:textId="7D57A3B4" w:rsidR="00D46F04" w:rsidRPr="006C7861" w:rsidRDefault="00D46F04" w:rsidP="00D46F04">
            <w:pPr>
              <w:spacing w:after="0"/>
              <w:jc w:val="right"/>
              <w:rPr>
                <w:sz w:val="20"/>
                <w:szCs w:val="20"/>
              </w:rPr>
            </w:pPr>
            <w:r w:rsidRPr="00D46F04">
              <w:rPr>
                <w:sz w:val="20"/>
                <w:szCs w:val="20"/>
              </w:rPr>
              <w:t>2,664</w:t>
            </w:r>
          </w:p>
        </w:tc>
        <w:tc>
          <w:tcPr>
            <w:tcW w:w="1259" w:type="dxa"/>
            <w:tcBorders>
              <w:top w:val="single" w:sz="2" w:space="0" w:color="auto"/>
              <w:left w:val="single" w:sz="2" w:space="0" w:color="auto"/>
              <w:bottom w:val="single" w:sz="2" w:space="0" w:color="auto"/>
              <w:right w:val="single" w:sz="2" w:space="0" w:color="auto"/>
            </w:tcBorders>
            <w:shd w:val="clear" w:color="auto" w:fill="auto"/>
            <w:hideMark/>
          </w:tcPr>
          <w:p w14:paraId="7723AD6B" w14:textId="26301D0A" w:rsidR="00D46F04" w:rsidRPr="006C7861" w:rsidRDefault="00D46F04" w:rsidP="00D46F04">
            <w:pPr>
              <w:spacing w:after="0"/>
              <w:jc w:val="right"/>
              <w:rPr>
                <w:sz w:val="20"/>
                <w:szCs w:val="20"/>
              </w:rPr>
            </w:pPr>
            <w:r w:rsidRPr="00D46F04">
              <w:rPr>
                <w:sz w:val="20"/>
                <w:szCs w:val="20"/>
              </w:rPr>
              <w:t>-4,853</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2EC0E718" w14:textId="312EB67F" w:rsidR="00D46F04" w:rsidRPr="006C7861" w:rsidRDefault="00D46F04" w:rsidP="00D46F04">
            <w:pPr>
              <w:spacing w:after="0"/>
              <w:jc w:val="right"/>
              <w:rPr>
                <w:sz w:val="20"/>
                <w:szCs w:val="20"/>
              </w:rPr>
            </w:pPr>
            <w:r w:rsidRPr="00D46F04">
              <w:rPr>
                <w:sz w:val="20"/>
                <w:szCs w:val="20"/>
              </w:rPr>
              <w:t>217</w:t>
            </w:r>
          </w:p>
        </w:tc>
      </w:tr>
      <w:tr w:rsidR="00D46F04" w:rsidRPr="009B147A" w14:paraId="7AC7F210" w14:textId="77777777" w:rsidTr="001735CE">
        <w:trPr>
          <w:trHeight w:val="333"/>
        </w:trPr>
        <w:tc>
          <w:tcPr>
            <w:tcW w:w="110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9CE8B35" w14:textId="77777777" w:rsidR="00D46F04" w:rsidRPr="009B147A" w:rsidRDefault="00D46F04" w:rsidP="00D46F04">
            <w:pPr>
              <w:spacing w:after="0"/>
              <w:jc w:val="right"/>
              <w:rPr>
                <w:rFonts w:ascii="Arial" w:eastAsia="Times New Roman" w:hAnsi="Arial" w:cs="Arial"/>
                <w:b/>
                <w:bCs/>
                <w:color w:val="000000"/>
                <w:sz w:val="16"/>
                <w:szCs w:val="16"/>
                <w:lang w:eastAsia="en-AU"/>
              </w:rPr>
            </w:pPr>
            <w:r w:rsidRPr="009B147A">
              <w:rPr>
                <w:rFonts w:ascii="Arial" w:eastAsia="Times New Roman" w:hAnsi="Arial" w:cs="Arial"/>
                <w:b/>
                <w:bCs/>
                <w:color w:val="000000"/>
                <w:sz w:val="16"/>
                <w:szCs w:val="16"/>
                <w:lang w:eastAsia="en-AU"/>
              </w:rPr>
              <w:t>TSS</w:t>
            </w:r>
          </w:p>
        </w:tc>
        <w:tc>
          <w:tcPr>
            <w:tcW w:w="1135" w:type="dxa"/>
            <w:tcBorders>
              <w:top w:val="single" w:sz="2" w:space="0" w:color="auto"/>
              <w:left w:val="single" w:sz="2" w:space="0" w:color="auto"/>
              <w:bottom w:val="single" w:sz="2" w:space="0" w:color="auto"/>
              <w:right w:val="single" w:sz="2" w:space="0" w:color="auto"/>
            </w:tcBorders>
            <w:shd w:val="clear" w:color="auto" w:fill="auto"/>
            <w:hideMark/>
          </w:tcPr>
          <w:p w14:paraId="63BF4F56" w14:textId="32812E8D" w:rsidR="00D46F04" w:rsidRPr="00D173E0" w:rsidRDefault="00D46F04" w:rsidP="00D46F04">
            <w:pPr>
              <w:spacing w:after="0"/>
              <w:jc w:val="right"/>
              <w:rPr>
                <w:sz w:val="20"/>
                <w:szCs w:val="20"/>
              </w:rPr>
            </w:pPr>
            <w:r w:rsidRPr="00B81062">
              <w:rPr>
                <w:sz w:val="20"/>
                <w:szCs w:val="20"/>
              </w:rPr>
              <w:t>77,258</w:t>
            </w:r>
          </w:p>
        </w:tc>
        <w:tc>
          <w:tcPr>
            <w:tcW w:w="1135" w:type="dxa"/>
            <w:tcBorders>
              <w:top w:val="single" w:sz="2" w:space="0" w:color="auto"/>
              <w:left w:val="single" w:sz="2" w:space="0" w:color="auto"/>
              <w:bottom w:val="single" w:sz="2" w:space="0" w:color="auto"/>
              <w:right w:val="single" w:sz="2" w:space="0" w:color="auto"/>
            </w:tcBorders>
            <w:shd w:val="clear" w:color="auto" w:fill="auto"/>
            <w:hideMark/>
          </w:tcPr>
          <w:p w14:paraId="3D538357" w14:textId="13866A15" w:rsidR="00D46F04" w:rsidRPr="00D173E0" w:rsidRDefault="00D46F04" w:rsidP="00D46F04">
            <w:pPr>
              <w:spacing w:after="0"/>
              <w:jc w:val="right"/>
              <w:rPr>
                <w:sz w:val="20"/>
                <w:szCs w:val="20"/>
              </w:rPr>
            </w:pPr>
            <w:r w:rsidRPr="00D173E0">
              <w:rPr>
                <w:sz w:val="20"/>
                <w:szCs w:val="20"/>
              </w:rPr>
              <w:t>2.</w:t>
            </w:r>
            <w:r>
              <w:rPr>
                <w:sz w:val="20"/>
                <w:szCs w:val="20"/>
              </w:rPr>
              <w:t>43</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47E26610" w14:textId="07942A9F" w:rsidR="00D46F04" w:rsidRPr="00D173E0" w:rsidRDefault="00D46F04" w:rsidP="00D46F04">
            <w:pPr>
              <w:spacing w:after="0"/>
              <w:jc w:val="right"/>
              <w:rPr>
                <w:sz w:val="20"/>
                <w:szCs w:val="20"/>
              </w:rPr>
            </w:pPr>
            <w:r w:rsidRPr="0039754A">
              <w:rPr>
                <w:sz w:val="20"/>
                <w:szCs w:val="20"/>
              </w:rPr>
              <w:t>1,265</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53725C43" w14:textId="14D62FE4" w:rsidR="00D46F04" w:rsidRPr="006C7861" w:rsidRDefault="00D46F04" w:rsidP="00D46F04">
            <w:pPr>
              <w:spacing w:after="0"/>
              <w:jc w:val="right"/>
              <w:rPr>
                <w:sz w:val="20"/>
                <w:szCs w:val="20"/>
              </w:rPr>
            </w:pPr>
            <w:r w:rsidRPr="00D46F04">
              <w:rPr>
                <w:sz w:val="20"/>
                <w:szCs w:val="20"/>
              </w:rPr>
              <w:t>36,592</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654A581F" w14:textId="019FE498" w:rsidR="00D46F04" w:rsidRPr="006C7861" w:rsidRDefault="00D46F04" w:rsidP="00D46F04">
            <w:pPr>
              <w:spacing w:after="0"/>
              <w:jc w:val="right"/>
              <w:rPr>
                <w:sz w:val="20"/>
                <w:szCs w:val="20"/>
              </w:rPr>
            </w:pPr>
            <w:r w:rsidRPr="00D46F04">
              <w:rPr>
                <w:sz w:val="20"/>
                <w:szCs w:val="20"/>
              </w:rPr>
              <w:t>6,606</w:t>
            </w:r>
          </w:p>
        </w:tc>
        <w:tc>
          <w:tcPr>
            <w:tcW w:w="1259" w:type="dxa"/>
            <w:tcBorders>
              <w:top w:val="single" w:sz="2" w:space="0" w:color="auto"/>
              <w:left w:val="single" w:sz="2" w:space="0" w:color="auto"/>
              <w:bottom w:val="single" w:sz="2" w:space="0" w:color="auto"/>
              <w:right w:val="single" w:sz="2" w:space="0" w:color="auto"/>
            </w:tcBorders>
            <w:shd w:val="clear" w:color="auto" w:fill="auto"/>
            <w:hideMark/>
          </w:tcPr>
          <w:p w14:paraId="702378AC" w14:textId="6E114567" w:rsidR="00D46F04" w:rsidRPr="006C7861" w:rsidRDefault="00D46F04" w:rsidP="00D46F04">
            <w:pPr>
              <w:spacing w:after="0"/>
              <w:jc w:val="right"/>
              <w:rPr>
                <w:sz w:val="20"/>
                <w:szCs w:val="20"/>
              </w:rPr>
            </w:pPr>
            <w:r w:rsidRPr="00D46F04">
              <w:rPr>
                <w:sz w:val="20"/>
                <w:szCs w:val="20"/>
              </w:rPr>
              <w:t>-5,863</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1BD94F67" w14:textId="4F3781BA" w:rsidR="00D46F04" w:rsidRPr="006C7861" w:rsidRDefault="00D46F04" w:rsidP="00D46F04">
            <w:pPr>
              <w:spacing w:after="0"/>
              <w:jc w:val="right"/>
              <w:rPr>
                <w:sz w:val="20"/>
                <w:szCs w:val="20"/>
              </w:rPr>
            </w:pPr>
            <w:r w:rsidRPr="00D46F04">
              <w:rPr>
                <w:sz w:val="20"/>
                <w:szCs w:val="20"/>
              </w:rPr>
              <w:t>38,601</w:t>
            </w:r>
          </w:p>
        </w:tc>
      </w:tr>
      <w:tr w:rsidR="00D46F04" w:rsidRPr="009B147A" w14:paraId="234229D6" w14:textId="77777777" w:rsidTr="001735CE">
        <w:trPr>
          <w:trHeight w:val="333"/>
        </w:trPr>
        <w:tc>
          <w:tcPr>
            <w:tcW w:w="110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39E533C" w14:textId="77777777" w:rsidR="00D46F04" w:rsidRPr="009B147A" w:rsidRDefault="00D46F04" w:rsidP="00D46F04">
            <w:pPr>
              <w:spacing w:after="0"/>
              <w:jc w:val="right"/>
              <w:rPr>
                <w:rFonts w:ascii="Arial" w:eastAsia="Times New Roman" w:hAnsi="Arial" w:cs="Arial"/>
                <w:b/>
                <w:bCs/>
                <w:color w:val="000000"/>
                <w:sz w:val="16"/>
                <w:szCs w:val="16"/>
                <w:lang w:eastAsia="en-AU"/>
              </w:rPr>
            </w:pPr>
            <w:r w:rsidRPr="009B147A">
              <w:rPr>
                <w:rFonts w:ascii="Arial" w:eastAsia="Times New Roman" w:hAnsi="Arial" w:cs="Arial"/>
                <w:b/>
                <w:bCs/>
                <w:color w:val="000000"/>
                <w:sz w:val="16"/>
                <w:szCs w:val="16"/>
                <w:lang w:eastAsia="en-AU"/>
              </w:rPr>
              <w:t>WHM</w:t>
            </w:r>
          </w:p>
        </w:tc>
        <w:tc>
          <w:tcPr>
            <w:tcW w:w="1135" w:type="dxa"/>
            <w:tcBorders>
              <w:top w:val="single" w:sz="2" w:space="0" w:color="auto"/>
              <w:left w:val="single" w:sz="2" w:space="0" w:color="auto"/>
              <w:bottom w:val="single" w:sz="2" w:space="0" w:color="auto"/>
              <w:right w:val="single" w:sz="2" w:space="0" w:color="auto"/>
            </w:tcBorders>
            <w:shd w:val="clear" w:color="auto" w:fill="auto"/>
            <w:hideMark/>
          </w:tcPr>
          <w:p w14:paraId="4BEC15B7" w14:textId="20E3B45C" w:rsidR="00D46F04" w:rsidRPr="00D173E0" w:rsidRDefault="00D46F04" w:rsidP="00D46F04">
            <w:pPr>
              <w:spacing w:after="0"/>
              <w:jc w:val="right"/>
              <w:rPr>
                <w:sz w:val="20"/>
                <w:szCs w:val="20"/>
              </w:rPr>
            </w:pPr>
            <w:r w:rsidRPr="00B81062">
              <w:rPr>
                <w:sz w:val="20"/>
                <w:szCs w:val="20"/>
              </w:rPr>
              <w:t>196,223</w:t>
            </w:r>
          </w:p>
        </w:tc>
        <w:tc>
          <w:tcPr>
            <w:tcW w:w="1135" w:type="dxa"/>
            <w:tcBorders>
              <w:top w:val="single" w:sz="2" w:space="0" w:color="auto"/>
              <w:left w:val="single" w:sz="2" w:space="0" w:color="auto"/>
              <w:bottom w:val="single" w:sz="2" w:space="0" w:color="auto"/>
              <w:right w:val="single" w:sz="2" w:space="0" w:color="auto"/>
            </w:tcBorders>
            <w:shd w:val="clear" w:color="auto" w:fill="auto"/>
            <w:hideMark/>
          </w:tcPr>
          <w:p w14:paraId="3B09DD0E" w14:textId="66AEDC09" w:rsidR="00D46F04" w:rsidRPr="00D173E0" w:rsidRDefault="00D46F04" w:rsidP="00D46F04">
            <w:pPr>
              <w:spacing w:after="0"/>
              <w:jc w:val="right"/>
              <w:rPr>
                <w:sz w:val="20"/>
                <w:szCs w:val="20"/>
              </w:rPr>
            </w:pPr>
            <w:r w:rsidRPr="00D173E0">
              <w:rPr>
                <w:sz w:val="20"/>
                <w:szCs w:val="20"/>
              </w:rPr>
              <w:t>1.</w:t>
            </w:r>
            <w:r>
              <w:rPr>
                <w:sz w:val="20"/>
                <w:szCs w:val="20"/>
              </w:rPr>
              <w:t>34</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0472382F" w14:textId="18119D53" w:rsidR="00D46F04" w:rsidRPr="00D173E0" w:rsidRDefault="00D46F04" w:rsidP="00D46F04">
            <w:pPr>
              <w:spacing w:after="0"/>
              <w:jc w:val="right"/>
              <w:rPr>
                <w:sz w:val="20"/>
                <w:szCs w:val="20"/>
              </w:rPr>
            </w:pPr>
            <w:r w:rsidRPr="0039754A">
              <w:rPr>
                <w:sz w:val="20"/>
                <w:szCs w:val="20"/>
              </w:rPr>
              <w:t>440</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2CE20B3D" w14:textId="72D28D6C" w:rsidR="00D46F04" w:rsidRPr="006C7861" w:rsidRDefault="00D46F04" w:rsidP="00D46F04">
            <w:pPr>
              <w:spacing w:after="0"/>
              <w:jc w:val="right"/>
              <w:rPr>
                <w:sz w:val="20"/>
                <w:szCs w:val="20"/>
              </w:rPr>
            </w:pPr>
            <w:r w:rsidRPr="00D46F04">
              <w:rPr>
                <w:sz w:val="20"/>
                <w:szCs w:val="20"/>
              </w:rPr>
              <w:t>2,710</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76D5E46B" w14:textId="14A2D34E" w:rsidR="00D46F04" w:rsidRPr="006C7861" w:rsidRDefault="00D46F04" w:rsidP="00D46F04">
            <w:pPr>
              <w:spacing w:after="0"/>
              <w:jc w:val="right"/>
              <w:rPr>
                <w:sz w:val="20"/>
                <w:szCs w:val="20"/>
              </w:rPr>
            </w:pPr>
            <w:r w:rsidRPr="00D46F04">
              <w:rPr>
                <w:sz w:val="20"/>
                <w:szCs w:val="20"/>
              </w:rPr>
              <w:t>2,164</w:t>
            </w:r>
          </w:p>
        </w:tc>
        <w:tc>
          <w:tcPr>
            <w:tcW w:w="1259" w:type="dxa"/>
            <w:tcBorders>
              <w:top w:val="single" w:sz="2" w:space="0" w:color="auto"/>
              <w:left w:val="single" w:sz="2" w:space="0" w:color="auto"/>
              <w:bottom w:val="single" w:sz="2" w:space="0" w:color="auto"/>
              <w:right w:val="single" w:sz="2" w:space="0" w:color="auto"/>
            </w:tcBorders>
            <w:shd w:val="clear" w:color="auto" w:fill="auto"/>
            <w:hideMark/>
          </w:tcPr>
          <w:p w14:paraId="06A8E518" w14:textId="45910D22" w:rsidR="00D46F04" w:rsidRPr="006C7861" w:rsidRDefault="00D46F04" w:rsidP="00D46F04">
            <w:pPr>
              <w:spacing w:after="0"/>
              <w:jc w:val="right"/>
              <w:rPr>
                <w:sz w:val="20"/>
                <w:szCs w:val="20"/>
              </w:rPr>
            </w:pPr>
            <w:r w:rsidRPr="00D46F04">
              <w:rPr>
                <w:sz w:val="20"/>
                <w:szCs w:val="20"/>
              </w:rPr>
              <w:t>-3,176</w:t>
            </w:r>
          </w:p>
        </w:tc>
        <w:tc>
          <w:tcPr>
            <w:tcW w:w="1136" w:type="dxa"/>
            <w:tcBorders>
              <w:top w:val="single" w:sz="2" w:space="0" w:color="auto"/>
              <w:left w:val="single" w:sz="2" w:space="0" w:color="auto"/>
              <w:bottom w:val="single" w:sz="2" w:space="0" w:color="auto"/>
              <w:right w:val="single" w:sz="2" w:space="0" w:color="auto"/>
            </w:tcBorders>
            <w:shd w:val="clear" w:color="auto" w:fill="auto"/>
            <w:hideMark/>
          </w:tcPr>
          <w:p w14:paraId="186985E4" w14:textId="05686CCD" w:rsidR="00D46F04" w:rsidRPr="006C7861" w:rsidRDefault="00D46F04" w:rsidP="00D46F04">
            <w:pPr>
              <w:spacing w:after="0"/>
              <w:jc w:val="right"/>
              <w:rPr>
                <w:sz w:val="20"/>
                <w:szCs w:val="20"/>
              </w:rPr>
            </w:pPr>
            <w:r w:rsidRPr="00D46F04">
              <w:rPr>
                <w:sz w:val="20"/>
                <w:szCs w:val="20"/>
              </w:rPr>
              <w:t>2,137</w:t>
            </w:r>
          </w:p>
        </w:tc>
      </w:tr>
    </w:tbl>
    <w:p w14:paraId="4F3D2DE5" w14:textId="3171F926" w:rsidR="0039754A" w:rsidRPr="007D4080" w:rsidRDefault="00877ADC" w:rsidP="008027CA">
      <w:pPr>
        <w:rPr>
          <w:sz w:val="18"/>
          <w:szCs w:val="18"/>
        </w:rPr>
      </w:pPr>
      <w:r>
        <w:rPr>
          <w:sz w:val="18"/>
          <w:szCs w:val="18"/>
        </w:rPr>
        <w:t xml:space="preserve">Table </w:t>
      </w:r>
      <w:r w:rsidR="00A33C98">
        <w:rPr>
          <w:sz w:val="18"/>
          <w:szCs w:val="18"/>
        </w:rPr>
        <w:t>B2</w:t>
      </w:r>
      <w:r>
        <w:rPr>
          <w:sz w:val="18"/>
          <w:szCs w:val="18"/>
        </w:rPr>
        <w:t xml:space="preserve"> reports the </w:t>
      </w:r>
      <w:r w:rsidR="003C2619">
        <w:rPr>
          <w:sz w:val="18"/>
          <w:szCs w:val="18"/>
        </w:rPr>
        <w:t>average</w:t>
      </w:r>
      <w:r>
        <w:rPr>
          <w:sz w:val="18"/>
          <w:szCs w:val="18"/>
        </w:rPr>
        <w:t xml:space="preserve"> fiscal impact</w:t>
      </w:r>
      <w:r w:rsidR="003C2619">
        <w:rPr>
          <w:sz w:val="18"/>
          <w:szCs w:val="18"/>
        </w:rPr>
        <w:t>s</w:t>
      </w:r>
      <w:r>
        <w:rPr>
          <w:sz w:val="18"/>
          <w:szCs w:val="18"/>
        </w:rPr>
        <w:t xml:space="preserve"> across primary and secondary applicants. The share of primary applicants </w:t>
      </w:r>
      <w:r w:rsidR="00435A0E">
        <w:rPr>
          <w:sz w:val="18"/>
          <w:szCs w:val="18"/>
        </w:rPr>
        <w:t>across these visas in 2018</w:t>
      </w:r>
      <w:r w:rsidR="00F62807">
        <w:rPr>
          <w:sz w:val="18"/>
          <w:szCs w:val="18"/>
        </w:rPr>
        <w:t>–</w:t>
      </w:r>
      <w:r w:rsidR="00435A0E">
        <w:rPr>
          <w:sz w:val="18"/>
          <w:szCs w:val="18"/>
        </w:rPr>
        <w:t xml:space="preserve">19 was </w:t>
      </w:r>
      <w:r w:rsidR="00CE7992">
        <w:rPr>
          <w:sz w:val="18"/>
          <w:szCs w:val="18"/>
        </w:rPr>
        <w:t>Graduate (</w:t>
      </w:r>
      <w:r w:rsidR="00B81062">
        <w:rPr>
          <w:sz w:val="18"/>
          <w:szCs w:val="18"/>
        </w:rPr>
        <w:t>75</w:t>
      </w:r>
      <w:r w:rsidR="002252F5">
        <w:rPr>
          <w:sz w:val="18"/>
          <w:szCs w:val="18"/>
        </w:rPr>
        <w:t xml:space="preserve"> per cent</w:t>
      </w:r>
      <w:r w:rsidR="00CE7992">
        <w:rPr>
          <w:sz w:val="18"/>
          <w:szCs w:val="18"/>
        </w:rPr>
        <w:t>), Student (8</w:t>
      </w:r>
      <w:r w:rsidR="00B81062">
        <w:rPr>
          <w:sz w:val="18"/>
          <w:szCs w:val="18"/>
        </w:rPr>
        <w:t>7</w:t>
      </w:r>
      <w:r w:rsidR="002252F5">
        <w:rPr>
          <w:sz w:val="18"/>
          <w:szCs w:val="18"/>
        </w:rPr>
        <w:t xml:space="preserve"> per cent</w:t>
      </w:r>
      <w:r w:rsidR="00CE7992">
        <w:rPr>
          <w:sz w:val="18"/>
          <w:szCs w:val="18"/>
        </w:rPr>
        <w:t>), TSS (</w:t>
      </w:r>
      <w:r w:rsidR="00B81062">
        <w:rPr>
          <w:sz w:val="18"/>
          <w:szCs w:val="18"/>
        </w:rPr>
        <w:t>51</w:t>
      </w:r>
      <w:r w:rsidR="002252F5">
        <w:rPr>
          <w:sz w:val="18"/>
          <w:szCs w:val="18"/>
        </w:rPr>
        <w:t xml:space="preserve"> per cent</w:t>
      </w:r>
      <w:r w:rsidR="00CE7992">
        <w:rPr>
          <w:sz w:val="18"/>
          <w:szCs w:val="18"/>
        </w:rPr>
        <w:t xml:space="preserve">) and </w:t>
      </w:r>
      <w:r>
        <w:rPr>
          <w:sz w:val="18"/>
          <w:szCs w:val="18"/>
        </w:rPr>
        <w:t>Working Holiday Makers (100</w:t>
      </w:r>
      <w:r w:rsidR="002252F5">
        <w:rPr>
          <w:sz w:val="18"/>
          <w:szCs w:val="18"/>
        </w:rPr>
        <w:t xml:space="preserve"> per cent</w:t>
      </w:r>
      <w:r>
        <w:rPr>
          <w:sz w:val="18"/>
          <w:szCs w:val="18"/>
        </w:rPr>
        <w:t>)</w:t>
      </w:r>
      <w:r w:rsidR="00CE7992">
        <w:rPr>
          <w:sz w:val="18"/>
          <w:szCs w:val="18"/>
        </w:rPr>
        <w:t>.</w:t>
      </w:r>
      <w:r w:rsidR="00C6342E">
        <w:rPr>
          <w:sz w:val="18"/>
          <w:szCs w:val="18"/>
        </w:rPr>
        <w:t xml:space="preserve"> </w:t>
      </w:r>
      <w:r w:rsidR="0039754A">
        <w:rPr>
          <w:sz w:val="18"/>
          <w:szCs w:val="18"/>
        </w:rPr>
        <w:t>Visa totals include onshore visa grants and offshore visa grants that arrived in Australia in 2018-19</w:t>
      </w:r>
      <w:r w:rsidR="00500D1C">
        <w:rPr>
          <w:sz w:val="18"/>
          <w:szCs w:val="18"/>
        </w:rPr>
        <w:t>.</w:t>
      </w:r>
      <w:r w:rsidR="00C6342E">
        <w:rPr>
          <w:sz w:val="18"/>
          <w:szCs w:val="18"/>
        </w:rPr>
        <w:t xml:space="preserve"> Length of stay is calculated as the</w:t>
      </w:r>
      <w:r w:rsidR="00F54D94">
        <w:rPr>
          <w:sz w:val="18"/>
          <w:szCs w:val="18"/>
        </w:rPr>
        <w:t xml:space="preserve"> time</w:t>
      </w:r>
      <w:r w:rsidR="00C6342E">
        <w:rPr>
          <w:sz w:val="18"/>
          <w:szCs w:val="18"/>
        </w:rPr>
        <w:t xml:space="preserve"> between a visa </w:t>
      </w:r>
      <w:r w:rsidR="00F54D94">
        <w:rPr>
          <w:sz w:val="18"/>
          <w:szCs w:val="18"/>
        </w:rPr>
        <w:t>being</w:t>
      </w:r>
      <w:r w:rsidR="00C6342E">
        <w:rPr>
          <w:sz w:val="18"/>
          <w:szCs w:val="18"/>
        </w:rPr>
        <w:t xml:space="preserve"> granted </w:t>
      </w:r>
      <w:r w:rsidR="00F54D94">
        <w:rPr>
          <w:sz w:val="18"/>
          <w:szCs w:val="18"/>
        </w:rPr>
        <w:t>and the visa holder</w:t>
      </w:r>
      <w:r w:rsidR="00C6342E">
        <w:rPr>
          <w:sz w:val="18"/>
          <w:szCs w:val="18"/>
        </w:rPr>
        <w:t xml:space="preserve"> transition</w:t>
      </w:r>
      <w:r w:rsidR="00F54D94">
        <w:rPr>
          <w:sz w:val="18"/>
          <w:szCs w:val="18"/>
        </w:rPr>
        <w:t>ing</w:t>
      </w:r>
      <w:r w:rsidR="00C6342E">
        <w:rPr>
          <w:sz w:val="18"/>
          <w:szCs w:val="18"/>
        </w:rPr>
        <w:t xml:space="preserve"> to another visa </w:t>
      </w:r>
      <w:r w:rsidR="00F54D94">
        <w:rPr>
          <w:sz w:val="18"/>
          <w:szCs w:val="18"/>
        </w:rPr>
        <w:t>stream</w:t>
      </w:r>
      <w:r w:rsidR="00C6342E">
        <w:rPr>
          <w:sz w:val="18"/>
          <w:szCs w:val="18"/>
        </w:rPr>
        <w:t xml:space="preserve"> or leav</w:t>
      </w:r>
      <w:r w:rsidR="00F54D94">
        <w:rPr>
          <w:sz w:val="18"/>
          <w:szCs w:val="18"/>
        </w:rPr>
        <w:t>ing</w:t>
      </w:r>
      <w:r w:rsidR="00C6342E">
        <w:rPr>
          <w:sz w:val="18"/>
          <w:szCs w:val="18"/>
        </w:rPr>
        <w:t xml:space="preserve"> the country.</w:t>
      </w:r>
    </w:p>
    <w:bookmarkEnd w:id="56"/>
    <w:p w14:paraId="63D31A91" w14:textId="4A796E50" w:rsidR="00172D5A" w:rsidRDefault="002D0DAD" w:rsidP="008027CA">
      <w:pPr>
        <w:spacing w:after="0"/>
      </w:pPr>
      <w:r>
        <w:t xml:space="preserve">In interpreting Table </w:t>
      </w:r>
      <w:r w:rsidR="00DE7433">
        <w:t>B2</w:t>
      </w:r>
      <w:r>
        <w:t xml:space="preserve"> it </w:t>
      </w:r>
      <w:r w:rsidR="00172D5A">
        <w:t>should</w:t>
      </w:r>
      <w:r>
        <w:t xml:space="preserve"> be noted</w:t>
      </w:r>
      <w:r w:rsidR="0012441E">
        <w:t xml:space="preserve"> that migrants </w:t>
      </w:r>
      <w:r w:rsidR="006471E2">
        <w:t>who transition through the temporary program into the permanent program are observed to have a different age and income distribution to the other migrants in the permanent stream.</w:t>
      </w:r>
      <w:r w:rsidR="006471E2">
        <w:rPr>
          <w:rStyle w:val="FootnoteReference"/>
        </w:rPr>
        <w:footnoteReference w:id="67"/>
      </w:r>
      <w:r w:rsidR="006471E2">
        <w:t xml:space="preserve"> Therefore, these estimates </w:t>
      </w:r>
      <w:r w:rsidR="002D5F98">
        <w:t>should not</w:t>
      </w:r>
      <w:r w:rsidR="006471E2">
        <w:t xml:space="preserve"> be directly added </w:t>
      </w:r>
      <w:r w:rsidR="003A3D12">
        <w:t>to FIONA estimates in this paper.</w:t>
      </w:r>
      <w:r w:rsidR="00C666A7">
        <w:t xml:space="preserve"> Nevertheless, the positive values in Table </w:t>
      </w:r>
      <w:r w:rsidR="00DE7433">
        <w:t>B2</w:t>
      </w:r>
      <w:r w:rsidR="00C666A7">
        <w:t xml:space="preserve"> suggest that FIONA estimates in this paper would be slightly increased if </w:t>
      </w:r>
      <w:r w:rsidR="00655DB9">
        <w:t>the period on temporary visas is included.</w:t>
      </w:r>
      <w:r w:rsidR="00C666A7">
        <w:t xml:space="preserve"> </w:t>
      </w:r>
    </w:p>
    <w:p w14:paraId="333928B7" w14:textId="77777777" w:rsidR="00172D5A" w:rsidRDefault="00172D5A" w:rsidP="008027CA">
      <w:pPr>
        <w:spacing w:after="0"/>
      </w:pPr>
    </w:p>
    <w:p w14:paraId="1453F901" w14:textId="225073BD" w:rsidR="002D0DAD" w:rsidRDefault="00172D5A" w:rsidP="008027CA">
      <w:pPr>
        <w:spacing w:after="0"/>
      </w:pPr>
      <w:r>
        <w:t xml:space="preserve">Estimates in Table </w:t>
      </w:r>
      <w:r w:rsidR="00DE7433">
        <w:t>B2</w:t>
      </w:r>
      <w:r>
        <w:t xml:space="preserve"> also exclude</w:t>
      </w:r>
      <w:r w:rsidR="002D0DAD">
        <w:t xml:space="preserve"> education fees paid by international students</w:t>
      </w:r>
      <w:r w:rsidR="004748A5">
        <w:t>. (Such fees</w:t>
      </w:r>
      <w:r w:rsidR="002D0DAD">
        <w:t xml:space="preserve"> are not taxation revenue and therefore not captured in this fiscal estimate</w:t>
      </w:r>
      <w:r w:rsidR="004748A5">
        <w:t>.)</w:t>
      </w:r>
      <w:r w:rsidR="002D0DAD">
        <w:t xml:space="preserve"> International students pay, on average, around $32,000 per year in student fees.</w:t>
      </w:r>
      <w:r w:rsidR="00FE579F">
        <w:rPr>
          <w:rStyle w:val="FootnoteReference"/>
        </w:rPr>
        <w:footnoteReference w:id="68"/>
      </w:r>
      <w:r w:rsidR="002D0DAD">
        <w:t xml:space="preserve"> </w:t>
      </w:r>
      <w:r w:rsidR="00FE579F">
        <w:t xml:space="preserve">As some proportion of international student fees are used to subsidise research in Australian universities, this </w:t>
      </w:r>
      <w:r w:rsidR="00806FF5">
        <w:t>represents a</w:t>
      </w:r>
      <w:r w:rsidR="004748A5">
        <w:t>n economic</w:t>
      </w:r>
      <w:r w:rsidR="00806FF5">
        <w:t xml:space="preserve"> benefit of student visa</w:t>
      </w:r>
      <w:r w:rsidR="008A3A3E">
        <w:t xml:space="preserve"> holders</w:t>
      </w:r>
      <w:r w:rsidR="00806FF5">
        <w:t xml:space="preserve"> in addition to the </w:t>
      </w:r>
      <w:r w:rsidR="004748A5">
        <w:t>fiscal benefits</w:t>
      </w:r>
      <w:r w:rsidR="00806FF5">
        <w:t xml:space="preserve"> in Table </w:t>
      </w:r>
      <w:r w:rsidR="00DE7433">
        <w:t>B2</w:t>
      </w:r>
      <w:r w:rsidR="00806FF5">
        <w:t>.</w:t>
      </w:r>
    </w:p>
    <w:sectPr w:rsidR="002D0DAD" w:rsidSect="008027CA">
      <w:pgSz w:w="11906" w:h="16838" w:code="9"/>
      <w:pgMar w:top="1418" w:right="1304" w:bottom="1418" w:left="130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A1C09F" w14:textId="77777777" w:rsidR="00EF60FE" w:rsidRDefault="00EF60FE" w:rsidP="005F100C">
      <w:pPr>
        <w:spacing w:after="0"/>
      </w:pPr>
      <w:r>
        <w:separator/>
      </w:r>
    </w:p>
  </w:endnote>
  <w:endnote w:type="continuationSeparator" w:id="0">
    <w:p w14:paraId="503D1814" w14:textId="77777777" w:rsidR="00EF60FE" w:rsidRDefault="00EF60FE" w:rsidP="005F10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E5740" w14:textId="77777777" w:rsidR="006A7F30" w:rsidRDefault="006A7F30" w:rsidP="00365C6D">
    <w:pPr>
      <w:pStyle w:val="Footer"/>
      <w:rPr>
        <w:rStyle w:val="PageNumber"/>
      </w:rPr>
    </w:pPr>
    <w:r w:rsidRPr="00365C6D">
      <w:rPr>
        <w:rStyle w:val="PageNumber"/>
      </w:rPr>
      <w:fldChar w:fldCharType="begin"/>
    </w:r>
    <w:r w:rsidRPr="00365C6D">
      <w:rPr>
        <w:rStyle w:val="PageNumber"/>
      </w:rPr>
      <w:instrText xml:space="preserve"> PAGE   \* MERGEFORMAT </w:instrText>
    </w:r>
    <w:r w:rsidRPr="00365C6D">
      <w:rPr>
        <w:rStyle w:val="PageNumber"/>
      </w:rPr>
      <w:fldChar w:fldCharType="separate"/>
    </w:r>
    <w:r>
      <w:rPr>
        <w:rStyle w:val="PageNumber"/>
        <w:noProof/>
      </w:rPr>
      <w:t>2</w:t>
    </w:r>
    <w:r w:rsidRPr="00365C6D">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06C12" w14:textId="00BD5F5D" w:rsidR="006A7F30" w:rsidRDefault="006A7F30" w:rsidP="00365C6D">
    <w:pPr>
      <w:pStyle w:val="Footer"/>
      <w:rPr>
        <w:rStyle w:val="PageNumber"/>
      </w:rPr>
    </w:pPr>
    <w:r w:rsidRPr="00365C6D">
      <w:rPr>
        <w:rStyle w:val="PageNumber"/>
      </w:rPr>
      <w:fldChar w:fldCharType="begin"/>
    </w:r>
    <w:r w:rsidRPr="00365C6D">
      <w:rPr>
        <w:rStyle w:val="PageNumber"/>
      </w:rPr>
      <w:instrText xml:space="preserve"> PAGE   \* MERGEFORMAT </w:instrText>
    </w:r>
    <w:r w:rsidRPr="00365C6D">
      <w:rPr>
        <w:rStyle w:val="PageNumber"/>
      </w:rPr>
      <w:fldChar w:fldCharType="separate"/>
    </w:r>
    <w:r>
      <w:rPr>
        <w:rStyle w:val="PageNumber"/>
        <w:noProof/>
      </w:rPr>
      <w:t>3</w:t>
    </w:r>
    <w:r w:rsidRPr="00365C6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35D4F" w14:textId="77777777" w:rsidR="006A7F30" w:rsidRPr="00096C34" w:rsidRDefault="006A7F30" w:rsidP="00096C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171B44" w14:textId="77777777" w:rsidR="00EF60FE" w:rsidRDefault="00EF60FE" w:rsidP="005F100C">
      <w:pPr>
        <w:spacing w:after="0"/>
      </w:pPr>
      <w:r>
        <w:separator/>
      </w:r>
    </w:p>
  </w:footnote>
  <w:footnote w:type="continuationSeparator" w:id="0">
    <w:p w14:paraId="6340DB7F" w14:textId="77777777" w:rsidR="00EF60FE" w:rsidRDefault="00EF60FE" w:rsidP="005F100C">
      <w:pPr>
        <w:spacing w:after="0"/>
      </w:pPr>
      <w:r>
        <w:continuationSeparator/>
      </w:r>
    </w:p>
  </w:footnote>
  <w:footnote w:id="1">
    <w:p w14:paraId="0F7E7FA1" w14:textId="5C677BE9"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ab/>
        <w:t xml:space="preserve">Tax Analysis Division, The Treasury, Langton Crescent, Parkes ACT 2600, Australia. Correspondence: Peter Varela, </w:t>
      </w:r>
      <w:hyperlink r:id="rId1" w:history="1">
        <w:r w:rsidRPr="00BD23B1">
          <w:rPr>
            <w:rStyle w:val="FootnoteReference"/>
            <w:sz w:val="18"/>
            <w:vertAlign w:val="baseline"/>
          </w:rPr>
          <w:t>peter.varela@treasury.gov.au</w:t>
        </w:r>
      </w:hyperlink>
      <w:r>
        <w:rPr>
          <w:sz w:val="18"/>
        </w:rPr>
        <w:t>.</w:t>
      </w:r>
    </w:p>
    <w:p w14:paraId="2263E36D" w14:textId="53EBA170"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tab/>
        <w:t xml:space="preserve">The development of the FIONA model reflects the efforts of a large number of Treasury staff. In addition to the authors of this report, this includes Gillian Beer, Rita Scholl, Angie McCosker, Michelle Fairbairn, </w:t>
      </w:r>
      <w:r>
        <w:rPr>
          <w:rStyle w:val="FootnoteReference"/>
          <w:sz w:val="18"/>
          <w:vertAlign w:val="baseline"/>
        </w:rPr>
        <w:t>M</w:t>
      </w:r>
      <w:r>
        <w:rPr>
          <w:sz w:val="18"/>
        </w:rPr>
        <w:t xml:space="preserve">ark Bott, </w:t>
      </w:r>
      <w:r w:rsidRPr="00BD23B1">
        <w:rPr>
          <w:rStyle w:val="FootnoteReference"/>
          <w:sz w:val="18"/>
          <w:vertAlign w:val="baseline"/>
        </w:rPr>
        <w:t xml:space="preserve">Nisha Dutta, Martin Stevenson, Hannah Denson, Richard Yan, Sean Parry, Simon Lang, David Li, Cindy Tao, Pippa Kuhnel, Costa </w:t>
      </w:r>
      <w:proofErr w:type="spellStart"/>
      <w:r w:rsidRPr="00BD23B1">
        <w:rPr>
          <w:rStyle w:val="FootnoteReference"/>
          <w:sz w:val="18"/>
          <w:vertAlign w:val="baseline"/>
        </w:rPr>
        <w:t>Georgeson</w:t>
      </w:r>
      <w:proofErr w:type="spellEnd"/>
      <w:r w:rsidRPr="00BD23B1">
        <w:rPr>
          <w:rStyle w:val="FootnoteReference"/>
          <w:sz w:val="18"/>
          <w:vertAlign w:val="baseline"/>
        </w:rPr>
        <w:t xml:space="preserve">, </w:t>
      </w:r>
      <w:proofErr w:type="spellStart"/>
      <w:r w:rsidRPr="00BD23B1">
        <w:rPr>
          <w:rStyle w:val="FootnoteReference"/>
          <w:sz w:val="18"/>
          <w:vertAlign w:val="baseline"/>
        </w:rPr>
        <w:t>Iyanoosh</w:t>
      </w:r>
      <w:proofErr w:type="spellEnd"/>
      <w:r w:rsidRPr="00BD23B1">
        <w:rPr>
          <w:rStyle w:val="FootnoteReference"/>
          <w:sz w:val="18"/>
          <w:vertAlign w:val="baseline"/>
        </w:rPr>
        <w:t xml:space="preserve"> Reporter, Andrew Hartley, Scott Wu, Owen Hutchison, Elliot Lavers, Martin O’Connor and Luke McKenzie.</w:t>
      </w:r>
    </w:p>
    <w:p w14:paraId="44101E8B" w14:textId="6D27B167"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tab/>
        <w:t xml:space="preserve">The authors of this paper would also like to acknowledge valuable comments on draft papers from Robert Breunig, </w:t>
      </w:r>
      <w:r w:rsidR="00284DB1" w:rsidRPr="00BD23B1">
        <w:rPr>
          <w:rStyle w:val="FootnoteReference"/>
          <w:sz w:val="18"/>
          <w:vertAlign w:val="baseline"/>
        </w:rPr>
        <w:t xml:space="preserve">Gabriela </w:t>
      </w:r>
      <w:r w:rsidRPr="00BD23B1">
        <w:rPr>
          <w:rStyle w:val="FootnoteReference"/>
          <w:sz w:val="18"/>
          <w:vertAlign w:val="baseline"/>
        </w:rPr>
        <w:t xml:space="preserve">D’Souza, the Department of Home Affairs, </w:t>
      </w:r>
      <w:r w:rsidR="000F7506">
        <w:rPr>
          <w:sz w:val="18"/>
        </w:rPr>
        <w:t xml:space="preserve">Commonwealth Grants Commission, </w:t>
      </w:r>
      <w:r w:rsidRPr="00BD23B1">
        <w:rPr>
          <w:rStyle w:val="FootnoteReference"/>
          <w:sz w:val="18"/>
          <w:vertAlign w:val="baseline"/>
        </w:rPr>
        <w:t xml:space="preserve">Productivity Commission and Grattan Institute. </w:t>
      </w:r>
      <w:r w:rsidRPr="00BD23B1">
        <w:rPr>
          <w:rStyle w:val="FootnoteReference"/>
          <w:sz w:val="18"/>
          <w:vertAlign w:val="baseline"/>
        </w:rPr>
        <w:tab/>
      </w:r>
    </w:p>
  </w:footnote>
  <w:footnote w:id="2">
    <w:p w14:paraId="19BF1EDF" w14:textId="0A2ED51B"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ab/>
        <w:t xml:space="preserve">The views expressed in this paper are those of the authors and do not necessarily reflect those of </w:t>
      </w:r>
      <w:r w:rsidRPr="00BD23B1">
        <w:rPr>
          <w:rStyle w:val="FootnoteReference"/>
          <w:sz w:val="18"/>
          <w:vertAlign w:val="baseline"/>
        </w:rPr>
        <w:br/>
        <w:t>The Treasury or the Australian Government</w:t>
      </w:r>
      <w:r>
        <w:rPr>
          <w:sz w:val="18"/>
        </w:rPr>
        <w:t>.</w:t>
      </w:r>
    </w:p>
  </w:footnote>
  <w:footnote w:id="3">
    <w:p w14:paraId="7BB5F389" w14:textId="4FB61A5E"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ab/>
        <w:t>Throughout the paper, reference to State/s refers to both State and Territory governments.</w:t>
      </w:r>
    </w:p>
  </w:footnote>
  <w:footnote w:id="4">
    <w:p w14:paraId="074145D9" w14:textId="62A79AAE" w:rsidR="006A7F30" w:rsidRPr="00BD23B1" w:rsidRDefault="006A7F30" w:rsidP="00735080">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ab/>
        <w:t xml:space="preserve">The general Australian population is based on the Australian Estimated Resident Population as defined by the Australian Bureau of Statistics </w:t>
      </w:r>
      <w:r>
        <w:rPr>
          <w:sz w:val="18"/>
        </w:rPr>
        <w:t>publication ‘</w:t>
      </w:r>
      <w:r w:rsidRPr="005F02E6">
        <w:rPr>
          <w:rStyle w:val="FootnoteReference"/>
          <w:sz w:val="18"/>
          <w:vertAlign w:val="baseline"/>
        </w:rPr>
        <w:t>National, state and territory population</w:t>
      </w:r>
      <w:r>
        <w:rPr>
          <w:sz w:val="18"/>
        </w:rPr>
        <w:t>’</w:t>
      </w:r>
      <w:r w:rsidRPr="005F02E6">
        <w:rPr>
          <w:rStyle w:val="FootnoteReference"/>
          <w:sz w:val="18"/>
          <w:vertAlign w:val="baseline"/>
        </w:rPr>
        <w:t xml:space="preserve">. </w:t>
      </w:r>
      <w:r w:rsidRPr="00BD23B1">
        <w:rPr>
          <w:rStyle w:val="FootnoteReference"/>
          <w:sz w:val="18"/>
          <w:vertAlign w:val="baseline"/>
        </w:rPr>
        <w:t>While this population includes some permanent and temporary migrants, per capita results would be very similar if these groups were removed.</w:t>
      </w:r>
    </w:p>
  </w:footnote>
  <w:footnote w:id="5">
    <w:p w14:paraId="3CAB134E" w14:textId="5CA159B2"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ab/>
        <w:t>Productivity Commission (</w:t>
      </w:r>
      <w:r w:rsidRPr="005F02E6">
        <w:rPr>
          <w:rStyle w:val="FootnoteReference"/>
          <w:sz w:val="18"/>
          <w:vertAlign w:val="baseline"/>
        </w:rPr>
        <w:t xml:space="preserve">2016), Migrant Intake into Australia, Inquiry </w:t>
      </w:r>
      <w:r w:rsidRPr="00BD23B1">
        <w:rPr>
          <w:rStyle w:val="FootnoteReference"/>
          <w:sz w:val="18"/>
          <w:vertAlign w:val="baseline"/>
        </w:rPr>
        <w:t>Report No. 77, Technical Supplements D1 and D2.</w:t>
      </w:r>
    </w:p>
  </w:footnote>
  <w:footnote w:id="6">
    <w:p w14:paraId="386469CA" w14:textId="2615EDE4"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ab/>
        <w:t>Deloitte Access Economics (2016), 2015 Migrants Fiscal Impact Model, prepared for the Department of Immigration and Border Protection (Unpublished).</w:t>
      </w:r>
    </w:p>
  </w:footnote>
  <w:footnote w:id="7">
    <w:p w14:paraId="7FC9A205" w14:textId="4B478165" w:rsidR="006A7F30" w:rsidRPr="00735080" w:rsidRDefault="006A7F30" w:rsidP="00735080">
      <w:pPr>
        <w:pStyle w:val="FootnoteText"/>
        <w:ind w:left="284" w:hanging="284"/>
        <w:rPr>
          <w:rStyle w:val="FootnoteReference"/>
          <w:sz w:val="18"/>
          <w:vertAlign w:val="baseline"/>
        </w:rPr>
      </w:pPr>
      <w:r>
        <w:rPr>
          <w:rStyle w:val="FootnoteReference"/>
        </w:rPr>
        <w:footnoteRef/>
      </w:r>
      <w:r>
        <w:tab/>
      </w:r>
      <w:r w:rsidRPr="00735080">
        <w:rPr>
          <w:rStyle w:val="FootnoteReference"/>
          <w:sz w:val="18"/>
          <w:vertAlign w:val="baseline"/>
        </w:rPr>
        <w:t>Throughout this paper, MADIP refers to</w:t>
      </w:r>
      <w:r>
        <w:rPr>
          <w:sz w:val="18"/>
        </w:rPr>
        <w:t>:</w:t>
      </w:r>
      <w:r w:rsidRPr="00735080">
        <w:rPr>
          <w:rStyle w:val="FootnoteReference"/>
          <w:sz w:val="18"/>
          <w:vertAlign w:val="baseline"/>
        </w:rPr>
        <w:t xml:space="preserve"> Australian Bureau of Statistics </w:t>
      </w:r>
      <w:r>
        <w:rPr>
          <w:rStyle w:val="FootnoteReference"/>
          <w:sz w:val="18"/>
          <w:vertAlign w:val="baseline"/>
        </w:rPr>
        <w:t>(</w:t>
      </w:r>
      <w:r w:rsidRPr="00735080">
        <w:rPr>
          <w:rStyle w:val="FootnoteReference"/>
          <w:sz w:val="18"/>
          <w:vertAlign w:val="baseline"/>
        </w:rPr>
        <w:t>2019</w:t>
      </w:r>
      <w:r>
        <w:rPr>
          <w:rStyle w:val="FootnoteReference"/>
          <w:sz w:val="18"/>
          <w:vertAlign w:val="baseline"/>
        </w:rPr>
        <w:t>)</w:t>
      </w:r>
      <w:r w:rsidRPr="00735080">
        <w:rPr>
          <w:rStyle w:val="FootnoteReference"/>
          <w:sz w:val="18"/>
          <w:vertAlign w:val="baseline"/>
        </w:rPr>
        <w:t xml:space="preserve">, MADIP Basic Longitudinal Extract, 2011-2016 (2011-2016 Cohorts), Detailed Microdata, </w:t>
      </w:r>
      <w:proofErr w:type="spellStart"/>
      <w:r w:rsidRPr="00735080">
        <w:rPr>
          <w:rStyle w:val="FootnoteReference"/>
          <w:sz w:val="18"/>
          <w:vertAlign w:val="baseline"/>
        </w:rPr>
        <w:t>DataLab</w:t>
      </w:r>
      <w:proofErr w:type="spellEnd"/>
      <w:r w:rsidRPr="00735080">
        <w:rPr>
          <w:rStyle w:val="FootnoteReference"/>
          <w:sz w:val="18"/>
          <w:vertAlign w:val="baseline"/>
        </w:rPr>
        <w:t>.</w:t>
      </w:r>
    </w:p>
  </w:footnote>
  <w:footnote w:id="8">
    <w:p w14:paraId="5A626A37" w14:textId="03CABEE7" w:rsidR="006A7F30" w:rsidRPr="00C038D9"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ab/>
      </w:r>
      <w:r w:rsidRPr="00E0639E">
        <w:rPr>
          <w:rStyle w:val="FootnoteReference"/>
          <w:sz w:val="18"/>
          <w:vertAlign w:val="baseline"/>
        </w:rPr>
        <w:t xml:space="preserve"> </w:t>
      </w:r>
      <w:hyperlink r:id="rId2" w:history="1">
        <w:r w:rsidRPr="00D901B5">
          <w:rPr>
            <w:rStyle w:val="FootnoteReference"/>
            <w:sz w:val="18"/>
            <w:vertAlign w:val="baseline"/>
          </w:rPr>
          <w:t>The Migration Act 1958 (s. 4)</w:t>
        </w:r>
      </w:hyperlink>
      <w:r w:rsidRPr="00D901B5">
        <w:rPr>
          <w:rStyle w:val="FootnoteReference"/>
          <w:sz w:val="18"/>
          <w:vertAlign w:val="baseline"/>
        </w:rPr>
        <w:t xml:space="preserve"> </w:t>
      </w:r>
      <w:r w:rsidRPr="00BD23B1">
        <w:rPr>
          <w:rStyle w:val="FootnoteReference"/>
          <w:sz w:val="18"/>
          <w:vertAlign w:val="baseline"/>
        </w:rPr>
        <w:t>specifies the national interest as the overarching object of immigration policy.</w:t>
      </w:r>
    </w:p>
  </w:footnote>
  <w:footnote w:id="9">
    <w:p w14:paraId="079EF88A" w14:textId="77777777" w:rsidR="006A7F30" w:rsidRPr="00BD23B1" w:rsidRDefault="006A7F30" w:rsidP="00FA6F32">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sidRPr="00BD23B1">
        <w:rPr>
          <w:rStyle w:val="FootnoteReference"/>
          <w:sz w:val="18"/>
          <w:vertAlign w:val="baseline"/>
        </w:rPr>
        <w:tab/>
        <w:t>For instance, the Global Talent Visa Program was launched in November 2019 and by 2020-21 had a planned visa allocation of 15,000 places (19 per cent of skilled visa holders).</w:t>
      </w:r>
    </w:p>
  </w:footnote>
  <w:footnote w:id="10">
    <w:p w14:paraId="71B090EF" w14:textId="5E53CE31"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 xml:space="preserve"> </w:t>
      </w:r>
      <w:r>
        <w:rPr>
          <w:sz w:val="18"/>
        </w:rPr>
        <w:tab/>
      </w:r>
      <w:r w:rsidRPr="00BD23B1">
        <w:rPr>
          <w:rStyle w:val="FootnoteReference"/>
          <w:sz w:val="18"/>
          <w:vertAlign w:val="baseline"/>
        </w:rPr>
        <w:t>The sensitivity of FIONA results to the economic conditions generated by COVID-19 are discussed in Section 5.</w:t>
      </w:r>
    </w:p>
  </w:footnote>
  <w:footnote w:id="11">
    <w:p w14:paraId="41775D77" w14:textId="7DD346C6"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Pr>
          <w:sz w:val="18"/>
        </w:rPr>
        <w:tab/>
      </w:r>
      <w:r w:rsidRPr="00BD23B1">
        <w:rPr>
          <w:rStyle w:val="FootnoteReference"/>
          <w:sz w:val="18"/>
          <w:vertAlign w:val="baseline"/>
        </w:rPr>
        <w:t>Research, both on Australian and international labour markets, suggests that the aggregate impact of migration on labour markets is likely to be small and may be either positive or negative. See for instance Breunig, R., Deutscher, N. and To, H. (2017</w:t>
      </w:r>
      <w:r w:rsidRPr="005F02E6">
        <w:rPr>
          <w:rStyle w:val="FootnoteReference"/>
          <w:sz w:val="18"/>
          <w:vertAlign w:val="baseline"/>
        </w:rPr>
        <w:t>). ‘</w:t>
      </w:r>
      <w:hyperlink r:id="rId3" w:anchor=":~:text=We%20find%20that%20immigration%20flows,of%20those%20born%20in%20Australia." w:history="1">
        <w:r w:rsidRPr="005F02E6">
          <w:rPr>
            <w:rStyle w:val="FootnoteReference"/>
            <w:sz w:val="18"/>
            <w:vertAlign w:val="baseline"/>
          </w:rPr>
          <w:t>The Relationship between Immigration to Australia and the Labour Market Outcomes of Australian‐Born Workers’</w:t>
        </w:r>
      </w:hyperlink>
      <w:r w:rsidRPr="005F02E6">
        <w:rPr>
          <w:rStyle w:val="FootnoteReference"/>
          <w:sz w:val="18"/>
          <w:vertAlign w:val="baseline"/>
        </w:rPr>
        <w:t xml:space="preserve"> </w:t>
      </w:r>
      <w:r w:rsidRPr="00BD23B1">
        <w:rPr>
          <w:rStyle w:val="FootnoteReference"/>
          <w:sz w:val="18"/>
          <w:vertAlign w:val="baseline"/>
        </w:rPr>
        <w:t>Economic Record.</w:t>
      </w:r>
    </w:p>
  </w:footnote>
  <w:footnote w:id="12">
    <w:p w14:paraId="568C590C" w14:textId="2D4F0EF8"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Pr>
          <w:sz w:val="18"/>
        </w:rPr>
        <w:tab/>
      </w:r>
      <w:r w:rsidRPr="00BD23B1">
        <w:rPr>
          <w:rStyle w:val="FootnoteReference"/>
          <w:sz w:val="18"/>
          <w:vertAlign w:val="baseline"/>
        </w:rPr>
        <w:t>FIONA implicitly assumes that Australia’s incoming migration program is independent of outgoing migration, which may not always be true. For instance, international social security arrangements are provided on a mutual basis between countries.</w:t>
      </w:r>
    </w:p>
  </w:footnote>
  <w:footnote w:id="13">
    <w:p w14:paraId="59740F45" w14:textId="4CFE0F71"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Pr>
          <w:rStyle w:val="FootnoteReference"/>
          <w:sz w:val="18"/>
          <w:vertAlign w:val="baseline"/>
        </w:rPr>
        <w:tab/>
      </w:r>
      <w:r w:rsidRPr="00BD23B1">
        <w:rPr>
          <w:rStyle w:val="FootnoteReference"/>
          <w:sz w:val="18"/>
          <w:vertAlign w:val="baseline"/>
        </w:rPr>
        <w:t>For instance, Australians may choose to move overseas to live with a partner in another country rather than applying for an Australian partner visa.</w:t>
      </w:r>
    </w:p>
  </w:footnote>
  <w:footnote w:id="14">
    <w:p w14:paraId="3AEA8378" w14:textId="4E003553" w:rsidR="006A7F30" w:rsidRDefault="006A7F30" w:rsidP="00A80A1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 xml:space="preserve"> </w:t>
      </w:r>
      <w:r>
        <w:rPr>
          <w:sz w:val="18"/>
        </w:rPr>
        <w:t xml:space="preserve"> </w:t>
      </w:r>
      <w:r w:rsidRPr="00BD23B1">
        <w:rPr>
          <w:rStyle w:val="FootnoteReference"/>
          <w:sz w:val="18"/>
          <w:vertAlign w:val="baseline"/>
        </w:rPr>
        <w:t xml:space="preserve">Productivity Commission </w:t>
      </w:r>
      <w:r w:rsidRPr="005F02E6">
        <w:rPr>
          <w:rStyle w:val="FootnoteReference"/>
          <w:sz w:val="18"/>
          <w:vertAlign w:val="baseline"/>
        </w:rPr>
        <w:t>2016; ‘</w:t>
      </w:r>
      <w:hyperlink r:id="rId4" w:anchor="report" w:history="1">
        <w:r w:rsidRPr="005F02E6">
          <w:rPr>
            <w:rStyle w:val="FootnoteReference"/>
            <w:sz w:val="18"/>
            <w:vertAlign w:val="baseline"/>
          </w:rPr>
          <w:t>Migrant Intake into Australia’</w:t>
        </w:r>
      </w:hyperlink>
      <w:r w:rsidRPr="005F02E6">
        <w:rPr>
          <w:rStyle w:val="FootnoteReference"/>
          <w:sz w:val="18"/>
          <w:vertAlign w:val="baseline"/>
        </w:rPr>
        <w:t xml:space="preserve">, Report </w:t>
      </w:r>
      <w:r w:rsidRPr="00BD23B1">
        <w:rPr>
          <w:rStyle w:val="FootnoteReference"/>
          <w:sz w:val="18"/>
          <w:vertAlign w:val="baseline"/>
        </w:rPr>
        <w:t>No.77, Canberra</w:t>
      </w:r>
      <w:r>
        <w:rPr>
          <w:sz w:val="18"/>
        </w:rPr>
        <w:t>,</w:t>
      </w:r>
    </w:p>
  </w:footnote>
  <w:footnote w:id="15">
    <w:p w14:paraId="1E1C04EC" w14:textId="3FC47C93" w:rsidR="006A7F30" w:rsidRDefault="006A7F30" w:rsidP="00F06E9C">
      <w:pPr>
        <w:pStyle w:val="Bullet"/>
        <w:numPr>
          <w:ilvl w:val="0"/>
          <w:numId w:val="0"/>
        </w:numPr>
        <w:spacing w:after="0"/>
        <w:ind w:left="284" w:hanging="284"/>
      </w:pPr>
      <w:r w:rsidRPr="00A80A11">
        <w:rPr>
          <w:rStyle w:val="FootnoteReference"/>
          <w:sz w:val="18"/>
          <w:vertAlign w:val="baseline"/>
        </w:rPr>
        <w:footnoteRef/>
      </w:r>
      <w:r w:rsidRPr="00A80A11">
        <w:rPr>
          <w:rStyle w:val="FootnoteReference"/>
          <w:sz w:val="18"/>
          <w:vertAlign w:val="baseline"/>
        </w:rPr>
        <w:t xml:space="preserve"> </w:t>
      </w:r>
      <w:r>
        <w:t xml:space="preserve"> </w:t>
      </w:r>
      <w:r w:rsidRPr="00A80A11">
        <w:rPr>
          <w:rStyle w:val="FootnoteReference"/>
          <w:sz w:val="18"/>
          <w:vertAlign w:val="baseline"/>
        </w:rPr>
        <w:t xml:space="preserve">Coates, B., Sherrell, H., and Mackey, W. (2021). Rethinking permanent skilled migration after the pandemic. Grattan </w:t>
      </w:r>
      <w:r w:rsidRPr="00F06E9C">
        <w:rPr>
          <w:rStyle w:val="FootnoteReference"/>
          <w:vertAlign w:val="baseline"/>
        </w:rPr>
        <w:t xml:space="preserve">  </w:t>
      </w:r>
      <w:r w:rsidRPr="00A80A11">
        <w:rPr>
          <w:rStyle w:val="FootnoteReference"/>
          <w:sz w:val="18"/>
          <w:vertAlign w:val="baseline"/>
        </w:rPr>
        <w:t>Institute.</w:t>
      </w:r>
    </w:p>
  </w:footnote>
  <w:footnote w:id="16">
    <w:p w14:paraId="1AA68C0D" w14:textId="7249E263"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 xml:space="preserve"> </w:t>
      </w:r>
      <w:r w:rsidRPr="00BD23B1">
        <w:rPr>
          <w:rStyle w:val="FootnoteReference"/>
          <w:sz w:val="18"/>
          <w:vertAlign w:val="baseline"/>
        </w:rPr>
        <w:tab/>
        <w:t>For instance, Visa Application Charges paid by parent visa holders provide a significant up-front cost which may make them look fiscally positive in the short term. However, the VAC does not offset all of the remaining lifetime fiscal impacts incurred by this cohort.</w:t>
      </w:r>
    </w:p>
  </w:footnote>
  <w:footnote w:id="17">
    <w:p w14:paraId="13A1C5DA" w14:textId="6B3811A4" w:rsidR="006A7F30" w:rsidRPr="00BD23B1"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 xml:space="preserve"> These scenarios all relate to factors that impact both migrants and the general population in a similar manner. The stability observed in Table 2 does not extend to the assumptions relating to migrant specific behaviour used in FIONA (such as, for instance, the rate that migrants use health or aged care).</w:t>
      </w:r>
    </w:p>
  </w:footnote>
  <w:footnote w:id="18">
    <w:p w14:paraId="4074BEAE" w14:textId="05AC42CD"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sidRPr="00BD23B1">
        <w:rPr>
          <w:rStyle w:val="FootnoteReference"/>
          <w:vertAlign w:val="baseline"/>
        </w:rPr>
        <w:tab/>
      </w:r>
      <w:r w:rsidRPr="00BD23B1">
        <w:rPr>
          <w:rStyle w:val="FootnoteReference"/>
          <w:sz w:val="18"/>
          <w:vertAlign w:val="baseline"/>
        </w:rPr>
        <w:t>Deutscher (2020</w:t>
      </w:r>
      <w:r w:rsidRPr="005F02E6">
        <w:rPr>
          <w:rStyle w:val="FootnoteReference"/>
          <w:sz w:val="18"/>
          <w:vertAlign w:val="baseline"/>
        </w:rPr>
        <w:t xml:space="preserve">, </w:t>
      </w:r>
      <w:hyperlink r:id="rId5" w:history="1">
        <w:r w:rsidRPr="005F02E6">
          <w:rPr>
            <w:rStyle w:val="FootnoteReference"/>
            <w:sz w:val="18"/>
            <w:vertAlign w:val="baseline"/>
          </w:rPr>
          <w:t>What drives second generation success? The roles of education, culture and context</w:t>
        </w:r>
      </w:hyperlink>
      <w:r w:rsidRPr="005F02E6">
        <w:rPr>
          <w:rStyle w:val="FootnoteReference"/>
          <w:sz w:val="18"/>
          <w:vertAlign w:val="baseline"/>
        </w:rPr>
        <w:t xml:space="preserve">, </w:t>
      </w:r>
      <w:r w:rsidRPr="00BD23B1">
        <w:rPr>
          <w:rStyle w:val="FootnoteReference"/>
          <w:sz w:val="18"/>
          <w:vertAlign w:val="baseline"/>
        </w:rPr>
        <w:t xml:space="preserve">Economic Inquiry, Volume 58, No. 4) finds that there is significant (but not full) regression to the mean amongst incomes of second-generation migrants (along with striking examples of second-generation success). This suggests that capturing the effects of both first- and second-generation migrants in FIONA would increase the positive fiscal impact of skilled migrants and increase the negative impact of low-skilled migrants, but that this effect would be modest. Second generation migrants also have higher incomes on average than Australians from similar backgrounds.   </w:t>
      </w:r>
    </w:p>
  </w:footnote>
  <w:footnote w:id="19">
    <w:p w14:paraId="68542D51" w14:textId="3C8B6174"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 xml:space="preserve"> </w:t>
      </w:r>
      <w:r w:rsidRPr="00BD23B1">
        <w:rPr>
          <w:rStyle w:val="FootnoteReference"/>
          <w:vertAlign w:val="baseline"/>
        </w:rPr>
        <w:tab/>
      </w:r>
      <w:r w:rsidRPr="00BD23B1">
        <w:rPr>
          <w:rStyle w:val="FootnoteReference"/>
          <w:sz w:val="18"/>
          <w:vertAlign w:val="baseline"/>
        </w:rPr>
        <w:t>Several FIONA revenue and expense calculations use a simplified approach to economic incidence due to data availability. For instance, empirical studies suggest that the economic incidence of stamp duty is split between house buyers and house sellers, while FIONA assumes that all stamp duty is borne by house buyers.</w:t>
      </w:r>
    </w:p>
  </w:footnote>
  <w:footnote w:id="20">
    <w:p w14:paraId="5E399B7A" w14:textId="73EC70E7"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Pr>
          <w:rStyle w:val="FootnoteReference"/>
          <w:sz w:val="18"/>
          <w:vertAlign w:val="baseline"/>
        </w:rPr>
        <w:tab/>
      </w:r>
      <w:r>
        <w:rPr>
          <w:sz w:val="18"/>
        </w:rPr>
        <w:t xml:space="preserve"> </w:t>
      </w:r>
      <w:r w:rsidRPr="00BD23B1">
        <w:rPr>
          <w:rStyle w:val="FootnoteReference"/>
          <w:sz w:val="18"/>
          <w:vertAlign w:val="baseline"/>
        </w:rPr>
        <w:t>In combination with migrant-specific employment rates and health care utilisation, this assumption allows FIONA to</w:t>
      </w:r>
      <w:r>
        <w:rPr>
          <w:sz w:val="18"/>
        </w:rPr>
        <w:t xml:space="preserve"> </w:t>
      </w:r>
      <w:r w:rsidRPr="00BD23B1">
        <w:rPr>
          <w:rStyle w:val="FootnoteReference"/>
          <w:sz w:val="18"/>
          <w:vertAlign w:val="baseline"/>
        </w:rPr>
        <w:t>capture the fiscal impact associated with births to new migrants.</w:t>
      </w:r>
    </w:p>
  </w:footnote>
  <w:footnote w:id="21">
    <w:p w14:paraId="4D8B7A62" w14:textId="7FCBFF4C"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ab/>
        <w:t>Within each revenue and expense calculation, all subgroups are grown at the same rate.</w:t>
      </w:r>
      <w:r>
        <w:t xml:space="preserve"> </w:t>
      </w:r>
    </w:p>
  </w:footnote>
  <w:footnote w:id="22">
    <w:p w14:paraId="5DC59BD0" w14:textId="500DF6C7"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 xml:space="preserve"> </w:t>
      </w:r>
      <w:r>
        <w:rPr>
          <w:sz w:val="18"/>
        </w:rPr>
        <w:tab/>
      </w:r>
      <w:r w:rsidRPr="00BD23B1">
        <w:rPr>
          <w:rStyle w:val="FootnoteReference"/>
          <w:sz w:val="18"/>
          <w:vertAlign w:val="baseline"/>
        </w:rPr>
        <w:t>In addition, Humanitarian migrants are not subject to the waiting periods that other migrants must observe before receiving transfer payments.</w:t>
      </w:r>
    </w:p>
  </w:footnote>
  <w:footnote w:id="23">
    <w:p w14:paraId="6CE77C5A" w14:textId="77777777"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 xml:space="preserve"> Based on the proportion of migrants in each income quintile within a 5-year age range.</w:t>
      </w:r>
      <w:r>
        <w:t xml:space="preserve"> </w:t>
      </w:r>
    </w:p>
  </w:footnote>
  <w:footnote w:id="24">
    <w:p w14:paraId="079A7366" w14:textId="475B1685"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Pr>
          <w:sz w:val="18"/>
        </w:rPr>
        <w:tab/>
      </w:r>
      <w:r w:rsidRPr="00BD23B1">
        <w:rPr>
          <w:rStyle w:val="FootnoteReference"/>
          <w:sz w:val="18"/>
          <w:vertAlign w:val="baseline"/>
        </w:rPr>
        <w:t>Note that values in Table 7 can’t be added together due to interactions between these factors. For instance, the combined impact of demography and income won’t be equal to the sum of these factors evaluated individually.</w:t>
      </w:r>
    </w:p>
  </w:footnote>
  <w:footnote w:id="25">
    <w:p w14:paraId="6CAC317E" w14:textId="65B13C29"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ab/>
        <w:t>This is calculated by equalising the income distribution shown in Table 6.</w:t>
      </w:r>
    </w:p>
  </w:footnote>
  <w:footnote w:id="26">
    <w:p w14:paraId="6304DC73" w14:textId="5B5DD5C0"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ab/>
        <w:t>This is calculated by setting the employment factor shown in Chart 11 to a value of 1.</w:t>
      </w:r>
    </w:p>
  </w:footnote>
  <w:footnote w:id="27">
    <w:p w14:paraId="67BD016D" w14:textId="39DE03F6"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ab/>
        <w:t>This is calculated by removing the healthcare adjustment factor described in Appendix A.</w:t>
      </w:r>
    </w:p>
  </w:footnote>
  <w:footnote w:id="28">
    <w:p w14:paraId="6B04F5A5" w14:textId="1C3150D1" w:rsidR="006A7F30" w:rsidRPr="00FC5698"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ab/>
      </w:r>
      <w:r>
        <w:rPr>
          <w:rStyle w:val="FootnoteReference"/>
          <w:sz w:val="18"/>
          <w:vertAlign w:val="baseline"/>
        </w:rPr>
        <w:t>T</w:t>
      </w:r>
      <w:r>
        <w:rPr>
          <w:sz w:val="18"/>
        </w:rPr>
        <w:t>he</w:t>
      </w:r>
      <w:r w:rsidRPr="00BD23B1">
        <w:rPr>
          <w:rStyle w:val="FootnoteReference"/>
          <w:sz w:val="18"/>
          <w:vertAlign w:val="baseline"/>
        </w:rPr>
        <w:t xml:space="preserve"> Treasury.</w:t>
      </w:r>
      <w:r>
        <w:rPr>
          <w:rStyle w:val="FootnoteReference"/>
          <w:sz w:val="18"/>
          <w:vertAlign w:val="baseline"/>
        </w:rPr>
        <w:t xml:space="preserve"> </w:t>
      </w:r>
      <w:r w:rsidRPr="00BD23B1">
        <w:rPr>
          <w:rStyle w:val="FootnoteReference"/>
          <w:sz w:val="18"/>
          <w:vertAlign w:val="baseline"/>
        </w:rPr>
        <w:t>2018-19 Final budget outcome,</w:t>
      </w:r>
      <w:r>
        <w:rPr>
          <w:rStyle w:val="FootnoteReference"/>
          <w:sz w:val="18"/>
          <w:vertAlign w:val="baseline"/>
        </w:rPr>
        <w:t xml:space="preserve"> </w:t>
      </w:r>
      <w:hyperlink r:id="rId6" w:history="1">
        <w:r w:rsidRPr="00E67641">
          <w:rPr>
            <w:rStyle w:val="FootnoteReference"/>
            <w:color w:val="0070C0"/>
            <w:sz w:val="18"/>
            <w:vertAlign w:val="baseline"/>
          </w:rPr>
          <w:t>https://archive.budget.gov.au/2018-19/index.htm</w:t>
        </w:r>
      </w:hyperlink>
      <w:r w:rsidRPr="00FC5698">
        <w:rPr>
          <w:rStyle w:val="FootnoteReference"/>
          <w:sz w:val="18"/>
          <w:vertAlign w:val="baseline"/>
        </w:rPr>
        <w:t>, Table 2</w:t>
      </w:r>
    </w:p>
  </w:footnote>
  <w:footnote w:id="29">
    <w:p w14:paraId="3850B29A" w14:textId="0CD84FAD"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FC5698">
        <w:rPr>
          <w:rStyle w:val="FootnoteReference"/>
          <w:sz w:val="18"/>
          <w:vertAlign w:val="baseline"/>
        </w:rPr>
        <w:footnoteRef/>
      </w:r>
      <w:r w:rsidRPr="00FC5698">
        <w:rPr>
          <w:rStyle w:val="FootnoteReference"/>
          <w:sz w:val="18"/>
          <w:vertAlign w:val="baseline"/>
        </w:rPr>
        <w:tab/>
        <w:t xml:space="preserve">Commonwealth Grants Commission, 2019 update, </w:t>
      </w:r>
      <w:hyperlink r:id="rId7" w:history="1">
        <w:r w:rsidRPr="00E67641">
          <w:rPr>
            <w:rStyle w:val="FootnoteReference"/>
            <w:color w:val="0070C0"/>
            <w:sz w:val="18"/>
            <w:vertAlign w:val="baseline"/>
          </w:rPr>
          <w:t>https://www.cgc.gov.au/inquiries/2019-update</w:t>
        </w:r>
      </w:hyperlink>
    </w:p>
  </w:footnote>
  <w:footnote w:id="30">
    <w:p w14:paraId="0AE09AEF" w14:textId="154ACCB6"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Pr>
          <w:sz w:val="18"/>
        </w:rPr>
        <w:tab/>
      </w:r>
      <w:r w:rsidRPr="00BD23B1">
        <w:rPr>
          <w:rStyle w:val="FootnoteReference"/>
          <w:sz w:val="18"/>
          <w:vertAlign w:val="baseline"/>
        </w:rPr>
        <w:t xml:space="preserve">This is equivalent to assuming that the Australian population in FIONA in 2018-19 has the same net fiscal deficit as reported in the 2018-19 Final budget outcome and CGC data.  </w:t>
      </w:r>
    </w:p>
  </w:footnote>
  <w:footnote w:id="31">
    <w:p w14:paraId="2DCD0B10" w14:textId="617566A7"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ab/>
        <w:t xml:space="preserve">This equates to a per person cost of $292 dollars at the Commonwealth level and $620 at State level. </w:t>
      </w:r>
    </w:p>
  </w:footnote>
  <w:footnote w:id="32">
    <w:p w14:paraId="65A48642" w14:textId="6FF00775"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 xml:space="preserve"> </w:t>
      </w:r>
      <w:r>
        <w:rPr>
          <w:sz w:val="18"/>
        </w:rPr>
        <w:tab/>
      </w:r>
      <w:r w:rsidRPr="00BD23B1">
        <w:rPr>
          <w:rStyle w:val="FootnoteReference"/>
          <w:sz w:val="18"/>
          <w:vertAlign w:val="baseline"/>
        </w:rPr>
        <w:t xml:space="preserve">Productivity Commission </w:t>
      </w:r>
      <w:r w:rsidRPr="005F02E6">
        <w:rPr>
          <w:rStyle w:val="FootnoteReference"/>
          <w:sz w:val="18"/>
          <w:vertAlign w:val="baseline"/>
        </w:rPr>
        <w:t>2016; ‘</w:t>
      </w:r>
      <w:hyperlink r:id="rId8" w:anchor="report" w:history="1">
        <w:r w:rsidRPr="005F02E6">
          <w:rPr>
            <w:rStyle w:val="FootnoteReference"/>
            <w:sz w:val="18"/>
            <w:vertAlign w:val="baseline"/>
          </w:rPr>
          <w:t>Migrant Intake into Australia’</w:t>
        </w:r>
      </w:hyperlink>
      <w:r w:rsidRPr="005F02E6">
        <w:rPr>
          <w:rStyle w:val="FootnoteReference"/>
          <w:sz w:val="18"/>
          <w:vertAlign w:val="baseline"/>
        </w:rPr>
        <w:t xml:space="preserve">, Report </w:t>
      </w:r>
      <w:r w:rsidRPr="00BD23B1">
        <w:rPr>
          <w:rStyle w:val="FootnoteReference"/>
          <w:sz w:val="18"/>
          <w:vertAlign w:val="baseline"/>
        </w:rPr>
        <w:t>No.77, Canberra Supplement D, Figure D.8.</w:t>
      </w:r>
    </w:p>
  </w:footnote>
  <w:footnote w:id="33">
    <w:p w14:paraId="11C42F3F" w14:textId="4B402E12"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Pr>
          <w:rStyle w:val="FootnoteReference"/>
          <w:sz w:val="18"/>
          <w:vertAlign w:val="baseline"/>
        </w:rPr>
        <w:tab/>
      </w:r>
      <w:r w:rsidRPr="00BD23B1">
        <w:rPr>
          <w:rStyle w:val="FootnoteReference"/>
          <w:sz w:val="18"/>
          <w:vertAlign w:val="baseline"/>
        </w:rPr>
        <w:t>In addition, different data sources used in FIONA are released at different intervals, meaning that some would capture the effects of COVID while others wouldn’t. Therefore, updating FIONA to fully capture the impacts of COVID-19 would present significant technical challenges.</w:t>
      </w:r>
    </w:p>
  </w:footnote>
  <w:footnote w:id="34">
    <w:p w14:paraId="73BF7E18" w14:textId="78343A6F"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 xml:space="preserve"> </w:t>
      </w:r>
      <w:r>
        <w:rPr>
          <w:rStyle w:val="FootnoteReference"/>
          <w:sz w:val="18"/>
          <w:vertAlign w:val="baseline"/>
        </w:rPr>
        <w:tab/>
      </w:r>
      <w:r w:rsidRPr="00BD23B1">
        <w:rPr>
          <w:rStyle w:val="FootnoteReference"/>
          <w:sz w:val="18"/>
          <w:vertAlign w:val="baseline"/>
        </w:rPr>
        <w:t xml:space="preserve">Note that this sensitivity test is not able to capture </w:t>
      </w:r>
      <w:proofErr w:type="spellStart"/>
      <w:r w:rsidRPr="00BD23B1">
        <w:rPr>
          <w:rStyle w:val="FootnoteReference"/>
          <w:sz w:val="18"/>
          <w:vertAlign w:val="baseline"/>
        </w:rPr>
        <w:t>JobKeeper</w:t>
      </w:r>
      <w:proofErr w:type="spellEnd"/>
      <w:r w:rsidRPr="00BD23B1">
        <w:rPr>
          <w:rStyle w:val="FootnoteReference"/>
          <w:sz w:val="18"/>
          <w:vertAlign w:val="baseline"/>
        </w:rPr>
        <w:t xml:space="preserve"> or other temporary spending programs.</w:t>
      </w:r>
    </w:p>
  </w:footnote>
  <w:footnote w:id="35">
    <w:p w14:paraId="35F019AF" w14:textId="0BF595A2"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Pr>
          <w:sz w:val="18"/>
        </w:rPr>
        <w:t xml:space="preserve">   </w:t>
      </w:r>
      <w:r w:rsidRPr="00BD23B1">
        <w:rPr>
          <w:rStyle w:val="FootnoteReference"/>
          <w:sz w:val="18"/>
          <w:vertAlign w:val="baseline"/>
        </w:rPr>
        <w:t>Based on the share of newly arrived migrants in each State between 2011-12 and 2015-16, by age group and visa stream.</w:t>
      </w:r>
    </w:p>
  </w:footnote>
  <w:footnote w:id="36">
    <w:p w14:paraId="5E414362" w14:textId="1B0FE079"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ab/>
        <w:t xml:space="preserve"> Arrival rates by visa category are presented in Table 1 of this paper.</w:t>
      </w:r>
    </w:p>
  </w:footnote>
  <w:footnote w:id="37">
    <w:p w14:paraId="439F92C8" w14:textId="083F42E6"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bookmarkStart w:id="52" w:name="_Hlk86660129"/>
      <w:r w:rsidRPr="00BD23B1">
        <w:rPr>
          <w:rStyle w:val="FootnoteReference"/>
          <w:sz w:val="18"/>
          <w:vertAlign w:val="baseline"/>
        </w:rPr>
        <w:t xml:space="preserve"> </w:t>
      </w:r>
      <w:r>
        <w:rPr>
          <w:rStyle w:val="FootnoteReference"/>
          <w:sz w:val="18"/>
          <w:vertAlign w:val="baseline"/>
        </w:rPr>
        <w:tab/>
      </w:r>
      <w:bookmarkEnd w:id="52"/>
      <w:r w:rsidRPr="00BD23B1">
        <w:rPr>
          <w:rStyle w:val="FootnoteReference"/>
          <w:sz w:val="18"/>
          <w:vertAlign w:val="baseline"/>
        </w:rPr>
        <w:t>The FIONA model uses estimates of revenue and expense defined in a way that is consistent with period life expectancy. For instance, FIONA health care costs are implicitly based on ‘period’ morbidity rates. Therefore, the incorporation of cohort mortality rates into FIONA would also need to account for associated changes in unit costs.</w:t>
      </w:r>
    </w:p>
  </w:footnote>
  <w:footnote w:id="38">
    <w:p w14:paraId="04CCB0C4" w14:textId="63C08C6F"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 xml:space="preserve"> </w:t>
      </w:r>
      <w:r>
        <w:rPr>
          <w:rStyle w:val="FootnoteReference"/>
          <w:sz w:val="18"/>
          <w:vertAlign w:val="baseline"/>
        </w:rPr>
        <w:tab/>
      </w:r>
      <w:r w:rsidRPr="00BD23B1">
        <w:rPr>
          <w:rStyle w:val="FootnoteReference"/>
          <w:sz w:val="18"/>
          <w:vertAlign w:val="baseline"/>
        </w:rPr>
        <w:t>Where available, information on visa grouping is used as this is the key variable of interest for FIONA. After this, co-variates are prioritised with strong connection to the revenue or expense.</w:t>
      </w:r>
      <w:r>
        <w:t xml:space="preserve"> </w:t>
      </w:r>
    </w:p>
  </w:footnote>
  <w:footnote w:id="39">
    <w:p w14:paraId="0D168C0B" w14:textId="1371EE6B"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ab/>
        <w:t>Different growth rates are applied to schools, university, and VET.</w:t>
      </w:r>
    </w:p>
  </w:footnote>
  <w:footnote w:id="40">
    <w:p w14:paraId="16BDC9D2" w14:textId="119ACCAB"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 xml:space="preserve"> </w:t>
      </w:r>
      <w:r>
        <w:rPr>
          <w:sz w:val="18"/>
        </w:rPr>
        <w:tab/>
      </w:r>
      <w:r w:rsidRPr="00BD23B1">
        <w:rPr>
          <w:rStyle w:val="FootnoteReference"/>
          <w:sz w:val="18"/>
          <w:vertAlign w:val="baseline"/>
        </w:rPr>
        <w:t>For instance, employment and participation rates for some visa types are significantly lower in the years immediately after migration before steadily increasing and then stabilising after 3 to 5 years.</w:t>
      </w:r>
      <w:r>
        <w:t xml:space="preserve"> </w:t>
      </w:r>
    </w:p>
  </w:footnote>
  <w:footnote w:id="41">
    <w:p w14:paraId="46502F24" w14:textId="32EABE03" w:rsidR="006A7F30" w:rsidRDefault="006A7F30" w:rsidP="0097242D">
      <w:pPr>
        <w:spacing w:after="0"/>
        <w:ind w:left="284" w:hanging="284"/>
      </w:pPr>
      <w:r>
        <w:rPr>
          <w:rStyle w:val="FootnoteReference"/>
        </w:rPr>
        <w:footnoteRef/>
      </w:r>
      <w:r>
        <w:t xml:space="preserve">   </w:t>
      </w:r>
      <w:r w:rsidRPr="00A21DD7">
        <w:rPr>
          <w:sz w:val="18"/>
          <w:szCs w:val="18"/>
        </w:rPr>
        <w:t xml:space="preserve">Specifically, this calculation takes the share of people in each income quintile within a 5-year age range. Then, takes a weighted average across the population based on the share of migrants in each age group. This income distribution is maintained through all years of the model. </w:t>
      </w:r>
    </w:p>
  </w:footnote>
  <w:footnote w:id="42">
    <w:p w14:paraId="2CBAAECB" w14:textId="41B21A4A" w:rsidR="006A7F30" w:rsidRDefault="006A7F30" w:rsidP="0097242D">
      <w:pPr>
        <w:spacing w:after="0"/>
        <w:ind w:left="284" w:hanging="284"/>
      </w:pPr>
      <w:r>
        <w:rPr>
          <w:rStyle w:val="FootnoteReference"/>
        </w:rPr>
        <w:footnoteRef/>
      </w:r>
      <w:r>
        <w:t xml:space="preserve">   </w:t>
      </w:r>
      <w:r w:rsidRPr="00A21DD7">
        <w:rPr>
          <w:sz w:val="18"/>
          <w:szCs w:val="18"/>
        </w:rPr>
        <w:t xml:space="preserve">This tax calculator is based on the personal income tax system in 2018-19 (including planned changes </w:t>
      </w:r>
      <w:r>
        <w:rPr>
          <w:sz w:val="18"/>
          <w:szCs w:val="18"/>
        </w:rPr>
        <w:t>under</w:t>
      </w:r>
      <w:r w:rsidRPr="00A21DD7">
        <w:rPr>
          <w:sz w:val="18"/>
          <w:szCs w:val="18"/>
        </w:rPr>
        <w:t xml:space="preserve"> the Government’s personal tax plan). It is simplified in the sense that it includes the main tax rates and thresholds from the personal income tax system but does not include </w:t>
      </w:r>
      <w:proofErr w:type="gramStart"/>
      <w:r w:rsidRPr="00A21DD7">
        <w:rPr>
          <w:sz w:val="18"/>
          <w:szCs w:val="18"/>
        </w:rPr>
        <w:t>all of</w:t>
      </w:r>
      <w:proofErr w:type="gramEnd"/>
      <w:r w:rsidRPr="00A21DD7">
        <w:rPr>
          <w:sz w:val="18"/>
          <w:szCs w:val="18"/>
        </w:rPr>
        <w:t xml:space="preserve"> the details of the system, such as rebates and tax offsets.</w:t>
      </w:r>
    </w:p>
  </w:footnote>
  <w:footnote w:id="43">
    <w:p w14:paraId="1F21C815" w14:textId="71948142" w:rsidR="006A7F30" w:rsidRDefault="006A7F30" w:rsidP="00981A25">
      <w:pPr>
        <w:pStyle w:val="FootnoteText"/>
        <w:tabs>
          <w:tab w:val="clear" w:pos="567"/>
          <w:tab w:val="left" w:pos="284"/>
        </w:tabs>
        <w:spacing w:after="40"/>
        <w:ind w:left="284" w:hanging="284"/>
      </w:pPr>
      <w:r w:rsidRPr="00981A25">
        <w:rPr>
          <w:rStyle w:val="FootnoteReference"/>
          <w:sz w:val="18"/>
          <w:vertAlign w:val="baseline"/>
        </w:rPr>
        <w:footnoteRef/>
      </w:r>
      <w:r w:rsidRPr="00981A25">
        <w:rPr>
          <w:rStyle w:val="FootnoteReference"/>
          <w:sz w:val="18"/>
          <w:vertAlign w:val="baseline"/>
        </w:rPr>
        <w:t xml:space="preserve"> </w:t>
      </w:r>
      <w:r>
        <w:rPr>
          <w:sz w:val="18"/>
        </w:rPr>
        <w:tab/>
      </w:r>
      <w:r w:rsidRPr="00981A25">
        <w:rPr>
          <w:rStyle w:val="FootnoteReference"/>
          <w:sz w:val="18"/>
          <w:vertAlign w:val="baseline"/>
        </w:rPr>
        <w:t>After 2030, the thresholds in the personal income tax calculator are allowed to rise in line with projected growth in average weekly earnings. This avoids the unrealistic scenario where average tax rates increase indefinitely.</w:t>
      </w:r>
      <w:r>
        <w:t xml:space="preserve"> </w:t>
      </w:r>
    </w:p>
  </w:footnote>
  <w:footnote w:id="44">
    <w:p w14:paraId="19198842" w14:textId="3D5DC511"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sidRPr="00981A25">
        <w:rPr>
          <w:rStyle w:val="FootnoteReference"/>
          <w:vertAlign w:val="baseline"/>
        </w:rPr>
        <w:tab/>
      </w:r>
      <w:r w:rsidRPr="00BD23B1">
        <w:rPr>
          <w:rStyle w:val="FootnoteReference"/>
          <w:sz w:val="18"/>
          <w:vertAlign w:val="baseline"/>
        </w:rPr>
        <w:t>In FIONA, GST revenue refers to the amount collected by the Commonwealth on behalf of the States.</w:t>
      </w:r>
      <w:r>
        <w:rPr>
          <w:rStyle w:val="FootnoteReference"/>
          <w:sz w:val="18"/>
          <w:vertAlign w:val="baseline"/>
        </w:rPr>
        <w:t xml:space="preserve"> </w:t>
      </w:r>
      <w:r w:rsidRPr="00BD23B1">
        <w:rPr>
          <w:rStyle w:val="FootnoteReference"/>
          <w:sz w:val="18"/>
          <w:vertAlign w:val="baseline"/>
        </w:rPr>
        <w:t>The value of ‘top-up’ payments made by the Commonwealth to certain States is not captured.</w:t>
      </w:r>
    </w:p>
  </w:footnote>
  <w:footnote w:id="45">
    <w:p w14:paraId="43A8F909" w14:textId="7A16A083"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sidRPr="00981A25">
        <w:rPr>
          <w:rStyle w:val="FootnoteReference"/>
          <w:vertAlign w:val="baseline"/>
        </w:rPr>
        <w:tab/>
      </w:r>
      <w:r w:rsidRPr="00BD23B1">
        <w:rPr>
          <w:rStyle w:val="FootnoteReference"/>
          <w:sz w:val="18"/>
          <w:vertAlign w:val="baseline"/>
        </w:rPr>
        <w:t xml:space="preserve">Disposable income is income </w:t>
      </w:r>
      <w:r>
        <w:rPr>
          <w:rStyle w:val="FootnoteReference"/>
          <w:sz w:val="18"/>
          <w:vertAlign w:val="baseline"/>
        </w:rPr>
        <w:t>n</w:t>
      </w:r>
      <w:r>
        <w:rPr>
          <w:sz w:val="18"/>
        </w:rPr>
        <w:t>et of</w:t>
      </w:r>
      <w:r w:rsidRPr="00BD23B1">
        <w:rPr>
          <w:rStyle w:val="FootnoteReference"/>
          <w:sz w:val="18"/>
          <w:vertAlign w:val="baseline"/>
        </w:rPr>
        <w:t xml:space="preserve"> personal income tax and transfer payments. Note that this is a different definition of income to that used in the personal income tax module.</w:t>
      </w:r>
    </w:p>
  </w:footnote>
  <w:footnote w:id="46">
    <w:p w14:paraId="4919EA68" w14:textId="3D094F32"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sidRPr="00981A25">
        <w:rPr>
          <w:rStyle w:val="FootnoteReference"/>
          <w:vertAlign w:val="baseline"/>
        </w:rPr>
        <w:tab/>
      </w:r>
      <w:r w:rsidRPr="00BD23B1">
        <w:rPr>
          <w:rStyle w:val="FootnoteReference"/>
          <w:sz w:val="18"/>
          <w:vertAlign w:val="baseline"/>
        </w:rPr>
        <w:t xml:space="preserve">As is in the personal income tax calculation, this income distribution is adjusted for age profile, and then assumed to be stable for the remainder of an individual’s lifetime. </w:t>
      </w:r>
    </w:p>
  </w:footnote>
  <w:footnote w:id="47">
    <w:p w14:paraId="6FACA73C" w14:textId="292FF640" w:rsidR="006A7F30" w:rsidRPr="00981A25"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sidRPr="00981A25">
        <w:rPr>
          <w:rStyle w:val="FootnoteReference"/>
          <w:vertAlign w:val="baseline"/>
        </w:rPr>
        <w:tab/>
      </w:r>
      <w:r w:rsidRPr="00BD23B1">
        <w:rPr>
          <w:rStyle w:val="FootnoteReference"/>
          <w:sz w:val="18"/>
          <w:vertAlign w:val="baseline"/>
        </w:rPr>
        <w:t>The Fiscal Incidence Study is described in the Australian Bureau of Statistics Household Expenditure Survey and Survey of Income and Housing User Guide, 2015-16.</w:t>
      </w:r>
    </w:p>
  </w:footnote>
  <w:footnote w:id="48">
    <w:p w14:paraId="45B80052" w14:textId="4145E590"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 xml:space="preserve"> </w:t>
      </w:r>
      <w:r>
        <w:rPr>
          <w:rStyle w:val="FootnoteReference"/>
          <w:sz w:val="18"/>
          <w:vertAlign w:val="baseline"/>
        </w:rPr>
        <w:tab/>
      </w:r>
      <w:r w:rsidRPr="00BD23B1">
        <w:rPr>
          <w:rStyle w:val="FootnoteReference"/>
          <w:sz w:val="18"/>
          <w:vertAlign w:val="baseline"/>
        </w:rPr>
        <w:t xml:space="preserve">Adjustment is based on </w:t>
      </w:r>
      <w:r w:rsidRPr="00EE2ABA">
        <w:rPr>
          <w:rStyle w:val="FootnoteReference"/>
          <w:sz w:val="18"/>
          <w:vertAlign w:val="baseline"/>
        </w:rPr>
        <w:t>Household Expenditure Survey and Survey of Income and Housing</w:t>
      </w:r>
      <w:r>
        <w:rPr>
          <w:sz w:val="18"/>
        </w:rPr>
        <w:t>,</w:t>
      </w:r>
      <w:r w:rsidRPr="00EE2ABA">
        <w:rPr>
          <w:rStyle w:val="FootnoteReference"/>
          <w:sz w:val="18"/>
          <w:vertAlign w:val="baseline"/>
        </w:rPr>
        <w:t xml:space="preserve"> User Guide, </w:t>
      </w:r>
      <w:r>
        <w:rPr>
          <w:rStyle w:val="FootnoteReference"/>
          <w:sz w:val="18"/>
          <w:vertAlign w:val="baseline"/>
        </w:rPr>
        <w:t>A</w:t>
      </w:r>
      <w:r>
        <w:rPr>
          <w:sz w:val="18"/>
        </w:rPr>
        <w:t xml:space="preserve">BS Cat. No. </w:t>
      </w:r>
      <w:r w:rsidRPr="00F07232">
        <w:rPr>
          <w:sz w:val="18"/>
        </w:rPr>
        <w:t>6503.0</w:t>
      </w:r>
      <w:r>
        <w:rPr>
          <w:sz w:val="18"/>
        </w:rPr>
        <w:t>.</w:t>
      </w:r>
    </w:p>
  </w:footnote>
  <w:footnote w:id="49">
    <w:p w14:paraId="3EF118EA" w14:textId="7713A2E3"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Pr>
          <w:rStyle w:val="FootnoteReference"/>
          <w:sz w:val="18"/>
          <w:vertAlign w:val="baseline"/>
        </w:rPr>
        <w:tab/>
      </w:r>
      <w:r w:rsidRPr="00BD23B1">
        <w:rPr>
          <w:rStyle w:val="FootnoteReference"/>
          <w:sz w:val="18"/>
          <w:vertAlign w:val="baseline"/>
        </w:rPr>
        <w:t xml:space="preserve">The likelihood of purchasing a property is estimated using a </w:t>
      </w:r>
      <w:proofErr w:type="spellStart"/>
      <w:r w:rsidRPr="00BD23B1">
        <w:rPr>
          <w:rStyle w:val="FootnoteReference"/>
          <w:sz w:val="18"/>
          <w:vertAlign w:val="baseline"/>
        </w:rPr>
        <w:t>probit</w:t>
      </w:r>
      <w:proofErr w:type="spellEnd"/>
      <w:r w:rsidRPr="00BD23B1">
        <w:rPr>
          <w:rStyle w:val="FootnoteReference"/>
          <w:sz w:val="18"/>
          <w:vertAlign w:val="baseline"/>
        </w:rPr>
        <w:t xml:space="preserve"> regression on 18 pooled waves of the HILDA survey. Explanatory variables include 5-year age bins, income quintiles (as defined in the FIONA personal income tax calculation), </w:t>
      </w:r>
      <w:r>
        <w:rPr>
          <w:sz w:val="18"/>
        </w:rPr>
        <w:t>S</w:t>
      </w:r>
      <w:r w:rsidRPr="00BD23B1">
        <w:rPr>
          <w:rStyle w:val="FootnoteReference"/>
          <w:sz w:val="18"/>
          <w:vertAlign w:val="baseline"/>
        </w:rPr>
        <w:t xml:space="preserve">tate, sex, and year. Housing purchase price predictions use a linear model with the same explanatory variables. Housing purchase events are imputed in HILDA based on movement of address and home ownership (for owner occupied properties) and changes in properties owned (for investment properties). </w:t>
      </w:r>
    </w:p>
  </w:footnote>
  <w:footnote w:id="50">
    <w:p w14:paraId="30688EB8" w14:textId="62281D56"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 xml:space="preserve"> </w:t>
      </w:r>
      <w:r>
        <w:rPr>
          <w:sz w:val="18"/>
        </w:rPr>
        <w:tab/>
      </w:r>
      <w:r w:rsidRPr="00BD23B1">
        <w:rPr>
          <w:rStyle w:val="FootnoteReference"/>
          <w:sz w:val="18"/>
          <w:vertAlign w:val="baseline"/>
        </w:rPr>
        <w:t>Existing evidence of home ownership amongst migrants is mostly focused on the stock of housing rather than the turn-over, while analysis of housing purchases using HILDA produced estimates that were highly sensitive to model specification.</w:t>
      </w:r>
    </w:p>
  </w:footnote>
  <w:footnote w:id="51">
    <w:p w14:paraId="53200137" w14:textId="4A572756"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ab/>
        <w:t xml:space="preserve">Australian Bureau of Statistics </w:t>
      </w:r>
      <w:r w:rsidRPr="005F02E6">
        <w:rPr>
          <w:rStyle w:val="FootnoteReference"/>
          <w:sz w:val="18"/>
          <w:vertAlign w:val="baseline"/>
        </w:rPr>
        <w:t>2020, Government Finance Statistics</w:t>
      </w:r>
      <w:r>
        <w:rPr>
          <w:sz w:val="18"/>
        </w:rPr>
        <w:t>.</w:t>
      </w:r>
    </w:p>
  </w:footnote>
  <w:footnote w:id="52">
    <w:p w14:paraId="1F291809" w14:textId="7978E07F"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Pr>
          <w:sz w:val="18"/>
        </w:rPr>
        <w:tab/>
      </w:r>
      <w:r w:rsidRPr="00BD23B1">
        <w:rPr>
          <w:rStyle w:val="FootnoteReference"/>
          <w:sz w:val="18"/>
          <w:vertAlign w:val="baseline"/>
        </w:rPr>
        <w:t>To the extent that skilled migrants are more likely to purchase expensive cars, or to buy cars more frequently than other migrants, this assumption will underestimate the difference in motor vehicle taxes paid across visa streams. However, the relatively small scale of motor vehicle taxes compared to other revenue heads means that this assumption will have a small impact on overall FIONA results.</w:t>
      </w:r>
    </w:p>
  </w:footnote>
  <w:footnote w:id="53">
    <w:p w14:paraId="69413CEB" w14:textId="513E2247"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ab/>
      </w:r>
      <w:r>
        <w:rPr>
          <w:sz w:val="18"/>
        </w:rPr>
        <w:t>A</w:t>
      </w:r>
      <w:r w:rsidRPr="00BD23B1">
        <w:rPr>
          <w:rStyle w:val="FootnoteReference"/>
          <w:sz w:val="18"/>
          <w:vertAlign w:val="baseline"/>
        </w:rPr>
        <w:t xml:space="preserve">ustralian Bureau Statistics </w:t>
      </w:r>
      <w:r w:rsidRPr="005F02E6">
        <w:rPr>
          <w:rStyle w:val="FootnoteReference"/>
          <w:sz w:val="18"/>
          <w:vertAlign w:val="baseline"/>
        </w:rPr>
        <w:t>2020, Motor Vehicle Census.</w:t>
      </w:r>
    </w:p>
  </w:footnote>
  <w:footnote w:id="54">
    <w:p w14:paraId="06CAE8C1" w14:textId="1FA88737" w:rsidR="006A7F30" w:rsidRPr="00FD37EB"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ab/>
        <w:t xml:space="preserve">Australian Institute </w:t>
      </w:r>
      <w:r w:rsidRPr="00FD37EB">
        <w:rPr>
          <w:rStyle w:val="FootnoteReference"/>
          <w:sz w:val="18"/>
          <w:vertAlign w:val="baseline"/>
        </w:rPr>
        <w:t xml:space="preserve">of Health and Welfare (2019), </w:t>
      </w:r>
      <w:hyperlink r:id="rId9" w:history="1">
        <w:r w:rsidRPr="00E67641">
          <w:rPr>
            <w:rStyle w:val="FootnoteReference"/>
            <w:color w:val="0070C0"/>
            <w:sz w:val="18"/>
            <w:vertAlign w:val="baseline"/>
          </w:rPr>
          <w:t>Aged care data snapshot - 2019</w:t>
        </w:r>
      </w:hyperlink>
      <w:r w:rsidRPr="00FD37EB">
        <w:rPr>
          <w:rStyle w:val="FootnoteReference"/>
          <w:sz w:val="18"/>
          <w:vertAlign w:val="baseline"/>
        </w:rPr>
        <w:t>.</w:t>
      </w:r>
    </w:p>
  </w:footnote>
  <w:footnote w:id="55">
    <w:p w14:paraId="6A1CEA6F" w14:textId="686AE789" w:rsidR="006A7F30" w:rsidRDefault="006A7F30" w:rsidP="00BD23B1">
      <w:pPr>
        <w:pStyle w:val="FootnoteText"/>
        <w:tabs>
          <w:tab w:val="clear" w:pos="567"/>
          <w:tab w:val="left" w:pos="284"/>
        </w:tabs>
        <w:spacing w:after="40"/>
        <w:ind w:left="284" w:hanging="284"/>
      </w:pPr>
      <w:r w:rsidRPr="00FD37EB">
        <w:rPr>
          <w:rStyle w:val="FootnoteReference"/>
          <w:sz w:val="18"/>
          <w:vertAlign w:val="baseline"/>
        </w:rPr>
        <w:footnoteRef/>
      </w:r>
      <w:r w:rsidRPr="00FD37EB">
        <w:rPr>
          <w:rStyle w:val="FootnoteReference"/>
          <w:sz w:val="18"/>
          <w:vertAlign w:val="baseline"/>
        </w:rPr>
        <w:t xml:space="preserve"> </w:t>
      </w:r>
      <w:r w:rsidRPr="00FD37EB">
        <w:rPr>
          <w:sz w:val="18"/>
        </w:rPr>
        <w:tab/>
      </w:r>
      <w:r w:rsidRPr="00FD37EB">
        <w:rPr>
          <w:rStyle w:val="FootnoteReference"/>
          <w:sz w:val="18"/>
          <w:vertAlign w:val="baseline"/>
        </w:rPr>
        <w:t>While there is some evidence that migrants use less aged care services than non-migrants (for instance, AIHW 2007</w:t>
      </w:r>
      <w:r w:rsidRPr="00E67641">
        <w:rPr>
          <w:rStyle w:val="FootnoteReference"/>
          <w:color w:val="0070C0"/>
          <w:sz w:val="18"/>
          <w:vertAlign w:val="baseline"/>
        </w:rPr>
        <w:t xml:space="preserve">, </w:t>
      </w:r>
      <w:hyperlink r:id="rId10" w:history="1">
        <w:r w:rsidRPr="00E67641">
          <w:rPr>
            <w:rStyle w:val="FootnoteReference"/>
            <w:color w:val="0070C0"/>
            <w:sz w:val="18"/>
            <w:vertAlign w:val="baseline"/>
          </w:rPr>
          <w:t>Older Australia at a glance</w:t>
        </w:r>
      </w:hyperlink>
      <w:r w:rsidRPr="00FD37EB">
        <w:rPr>
          <w:rStyle w:val="FootnoteReference"/>
          <w:sz w:val="18"/>
          <w:vertAlign w:val="baseline"/>
        </w:rPr>
        <w:t>) these differences are less pronounced at older ages where the majority of aged care costs are observed. In addition, it is unclear whether current migrants in aged care (who arrived in Australia many decades ago) are representative of migrants arriving in 2018</w:t>
      </w:r>
      <w:r w:rsidRPr="00FD37EB">
        <w:rPr>
          <w:rStyle w:val="FootnoteReference"/>
          <w:sz w:val="18"/>
          <w:vertAlign w:val="baseline"/>
        </w:rPr>
        <w:noBreakHyphen/>
        <w:t>19.</w:t>
      </w:r>
      <w:r w:rsidRPr="00FD37EB">
        <w:t xml:space="preserve">  </w:t>
      </w:r>
    </w:p>
  </w:footnote>
  <w:footnote w:id="56">
    <w:p w14:paraId="314FDE60" w14:textId="39DBDE2D"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Pr>
          <w:sz w:val="18"/>
        </w:rPr>
        <w:tab/>
      </w:r>
      <w:r w:rsidRPr="00BD23B1">
        <w:rPr>
          <w:rStyle w:val="FootnoteReference"/>
          <w:sz w:val="18"/>
          <w:vertAlign w:val="baseline"/>
        </w:rPr>
        <w:t>The specific definition of infrastructure used in FIONA is the same as that used by the CGC.</w:t>
      </w:r>
    </w:p>
  </w:footnote>
  <w:footnote w:id="57">
    <w:p w14:paraId="6012CD6F" w14:textId="72BC38CC"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Pr>
          <w:sz w:val="18"/>
        </w:rPr>
        <w:tab/>
      </w:r>
      <w:r w:rsidRPr="00BD23B1">
        <w:rPr>
          <w:rStyle w:val="FootnoteReference"/>
          <w:sz w:val="18"/>
          <w:vertAlign w:val="baseline"/>
        </w:rPr>
        <w:t>Infrastructure is assumed to exhibit constant returns to scale, which means that if the Australian population increased by 10 per cent, then Australia would need an infrastructure stock that was 10 per cent larger.</w:t>
      </w:r>
    </w:p>
  </w:footnote>
  <w:footnote w:id="58">
    <w:p w14:paraId="14F7ABE4" w14:textId="1F57FE55"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ab/>
        <w:t>Estimates are based on data sources used by the Commonwealth Grants Commission.</w:t>
      </w:r>
    </w:p>
  </w:footnote>
  <w:footnote w:id="59">
    <w:p w14:paraId="7158AA71" w14:textId="42E725C3"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Pr>
          <w:sz w:val="18"/>
        </w:rPr>
        <w:tab/>
      </w:r>
      <w:r w:rsidRPr="00BD23B1">
        <w:rPr>
          <w:rStyle w:val="FootnoteReference"/>
          <w:sz w:val="18"/>
          <w:vertAlign w:val="baseline"/>
        </w:rPr>
        <w:t>The replacement value of the existing asset base is reported by State Governments, which is converted to an annualised value using a rate of return equal to the FIONA discount rate.</w:t>
      </w:r>
    </w:p>
  </w:footnote>
  <w:footnote w:id="60">
    <w:p w14:paraId="31C4D36F" w14:textId="38A07345"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 xml:space="preserve"> </w:t>
      </w:r>
      <w:r>
        <w:rPr>
          <w:sz w:val="18"/>
        </w:rPr>
        <w:tab/>
      </w:r>
      <w:r w:rsidRPr="00BD23B1">
        <w:rPr>
          <w:rStyle w:val="FootnoteReference"/>
          <w:sz w:val="18"/>
          <w:vertAlign w:val="baseline"/>
        </w:rPr>
        <w:t>FIONA assumes that the rate of capital deepening observed in 2018-19 continues into future years.</w:t>
      </w:r>
      <w:r>
        <w:t xml:space="preserve"> </w:t>
      </w:r>
    </w:p>
  </w:footnote>
  <w:footnote w:id="61">
    <w:p w14:paraId="6EB06700" w14:textId="6279823D"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Pr>
          <w:sz w:val="18"/>
        </w:rPr>
        <w:tab/>
      </w:r>
      <w:r w:rsidRPr="00BD23B1">
        <w:rPr>
          <w:rStyle w:val="FootnoteReference"/>
          <w:sz w:val="18"/>
          <w:vertAlign w:val="baseline"/>
        </w:rPr>
        <w:t>As FIONA is based on policy in place in 2018-19, it does not incorporate recent changes to the Newly Arrived Resident’s Waiting Period.</w:t>
      </w:r>
    </w:p>
  </w:footnote>
  <w:footnote w:id="62">
    <w:p w14:paraId="3153B689" w14:textId="0DC4C2F2"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ab/>
        <w:t>Unit costs are not converged.</w:t>
      </w:r>
    </w:p>
  </w:footnote>
  <w:footnote w:id="63">
    <w:p w14:paraId="0D0ACFC6" w14:textId="19BDE9F3"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 xml:space="preserve"> </w:t>
      </w:r>
      <w:r>
        <w:rPr>
          <w:sz w:val="18"/>
        </w:rPr>
        <w:tab/>
      </w:r>
      <w:r>
        <w:rPr>
          <w:rStyle w:val="FootnoteReference"/>
          <w:sz w:val="18"/>
          <w:vertAlign w:val="baseline"/>
        </w:rPr>
        <w:t>A</w:t>
      </w:r>
      <w:r>
        <w:rPr>
          <w:sz w:val="18"/>
        </w:rPr>
        <w:t xml:space="preserve"> f</w:t>
      </w:r>
      <w:r w:rsidRPr="00BD23B1">
        <w:rPr>
          <w:rStyle w:val="FootnoteReference"/>
          <w:sz w:val="18"/>
          <w:vertAlign w:val="baseline"/>
        </w:rPr>
        <w:t xml:space="preserve">ull list of </w:t>
      </w:r>
      <w:r w:rsidRPr="00FE10C0">
        <w:rPr>
          <w:rStyle w:val="FootnoteReference"/>
          <w:sz w:val="18"/>
          <w:vertAlign w:val="baseline"/>
        </w:rPr>
        <w:t xml:space="preserve">waiting periods </w:t>
      </w:r>
      <w:r w:rsidRPr="00FE10C0">
        <w:rPr>
          <w:sz w:val="18"/>
        </w:rPr>
        <w:t xml:space="preserve">for recent migrants </w:t>
      </w:r>
      <w:r w:rsidRPr="00FE10C0">
        <w:rPr>
          <w:rStyle w:val="FootnoteReference"/>
          <w:sz w:val="18"/>
          <w:vertAlign w:val="baseline"/>
        </w:rPr>
        <w:t xml:space="preserve">is </w:t>
      </w:r>
      <w:r w:rsidRPr="00FE10C0">
        <w:rPr>
          <w:sz w:val="18"/>
        </w:rPr>
        <w:t>available on</w:t>
      </w:r>
      <w:r w:rsidRPr="00FE10C0">
        <w:rPr>
          <w:rStyle w:val="FootnoteReference"/>
          <w:sz w:val="18"/>
          <w:vertAlign w:val="baseline"/>
        </w:rPr>
        <w:t xml:space="preserve"> the Department of Social Services </w:t>
      </w:r>
      <w:r w:rsidRPr="00FE10C0">
        <w:rPr>
          <w:sz w:val="18"/>
        </w:rPr>
        <w:t>website -</w:t>
      </w:r>
      <w:r w:rsidRPr="00FE10C0">
        <w:rPr>
          <w:rStyle w:val="FootnoteReference"/>
          <w:sz w:val="18"/>
          <w:vertAlign w:val="baseline"/>
        </w:rPr>
        <w:t xml:space="preserve"> </w:t>
      </w:r>
      <w:hyperlink r:id="rId11" w:history="1">
        <w:r w:rsidRPr="00E67641">
          <w:rPr>
            <w:rStyle w:val="FootnoteReference"/>
            <w:color w:val="0070C0"/>
            <w:sz w:val="18"/>
            <w:vertAlign w:val="baseline"/>
          </w:rPr>
          <w:t>Waiting period for welfare payments for new migrants</w:t>
        </w:r>
      </w:hyperlink>
      <w:r w:rsidRPr="00FE10C0">
        <w:rPr>
          <w:sz w:val="18"/>
        </w:rPr>
        <w:t>.</w:t>
      </w:r>
      <w:r w:rsidRPr="00FE10C0">
        <w:rPr>
          <w:i/>
          <w:iCs/>
        </w:rPr>
        <w:t xml:space="preserve"> </w:t>
      </w:r>
    </w:p>
  </w:footnote>
  <w:footnote w:id="64">
    <w:p w14:paraId="65CB2F2E" w14:textId="2B4F823B"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Pr>
          <w:rStyle w:val="FootnoteReference"/>
          <w:sz w:val="18"/>
          <w:vertAlign w:val="baseline"/>
        </w:rPr>
        <w:tab/>
      </w:r>
      <w:r w:rsidRPr="00BD23B1">
        <w:rPr>
          <w:rStyle w:val="FootnoteReference"/>
          <w:sz w:val="18"/>
          <w:vertAlign w:val="baseline"/>
        </w:rPr>
        <w:t>Other temporary visas (including Visitors, Special category, Bridging visas and New Zealand migrants) were excluded from the analysis because they do not have a strong relationship to the permanent migration program, or they only make up a small proportion of temporary visa grants.</w:t>
      </w:r>
    </w:p>
  </w:footnote>
  <w:footnote w:id="65">
    <w:p w14:paraId="001B6A70" w14:textId="2443EAE6" w:rsidR="006A7F30" w:rsidRPr="00BD23B1" w:rsidRDefault="006A7F30" w:rsidP="00BD23B1">
      <w:pPr>
        <w:pStyle w:val="FootnoteText"/>
        <w:tabs>
          <w:tab w:val="clear" w:pos="567"/>
          <w:tab w:val="left" w:pos="284"/>
        </w:tabs>
        <w:spacing w:after="40"/>
        <w:ind w:left="284" w:hanging="284"/>
        <w:rPr>
          <w:rStyle w:val="FootnoteReference"/>
          <w:sz w:val="18"/>
          <w:vertAlign w:val="baseline"/>
        </w:rPr>
      </w:pPr>
      <w:r w:rsidRPr="00BD23B1">
        <w:rPr>
          <w:rStyle w:val="FootnoteReference"/>
          <w:sz w:val="18"/>
          <w:vertAlign w:val="baseline"/>
        </w:rPr>
        <w:footnoteRef/>
      </w:r>
      <w:r w:rsidRPr="00BD23B1">
        <w:rPr>
          <w:rStyle w:val="FootnoteReference"/>
          <w:sz w:val="18"/>
          <w:vertAlign w:val="baseline"/>
        </w:rPr>
        <w:t xml:space="preserve"> </w:t>
      </w:r>
      <w:r>
        <w:rPr>
          <w:sz w:val="18"/>
        </w:rPr>
        <w:tab/>
      </w:r>
      <w:r w:rsidRPr="00BD23B1">
        <w:rPr>
          <w:rStyle w:val="FootnoteReference"/>
          <w:sz w:val="18"/>
          <w:vertAlign w:val="baseline"/>
        </w:rPr>
        <w:t>Note that this approach differs from the personal income tax calculation in FIONA, which is based on income quintiles.</w:t>
      </w:r>
    </w:p>
  </w:footnote>
  <w:footnote w:id="66">
    <w:p w14:paraId="5B052494" w14:textId="0896301D" w:rsidR="006A7F30" w:rsidRDefault="006A7F30" w:rsidP="00BD23B1">
      <w:pPr>
        <w:pStyle w:val="FootnoteText"/>
        <w:tabs>
          <w:tab w:val="clear" w:pos="567"/>
          <w:tab w:val="left" w:pos="284"/>
        </w:tabs>
        <w:spacing w:after="40"/>
        <w:ind w:left="284" w:hanging="284"/>
      </w:pPr>
      <w:r w:rsidRPr="00BD23B1">
        <w:rPr>
          <w:rStyle w:val="FootnoteReference"/>
          <w:sz w:val="18"/>
          <w:vertAlign w:val="baseline"/>
        </w:rPr>
        <w:footnoteRef/>
      </w:r>
      <w:r w:rsidRPr="00BD23B1">
        <w:rPr>
          <w:rStyle w:val="FootnoteReference"/>
          <w:sz w:val="18"/>
          <w:vertAlign w:val="baseline"/>
        </w:rPr>
        <w:tab/>
      </w:r>
      <w:r>
        <w:rPr>
          <w:sz w:val="18"/>
        </w:rPr>
        <w:t xml:space="preserve">The </w:t>
      </w:r>
      <w:r w:rsidRPr="00BD23B1">
        <w:rPr>
          <w:rStyle w:val="FootnoteReference"/>
          <w:sz w:val="18"/>
          <w:vertAlign w:val="baseline"/>
        </w:rPr>
        <w:t>Australian Taxation Office</w:t>
      </w:r>
      <w:r>
        <w:rPr>
          <w:sz w:val="18"/>
        </w:rPr>
        <w:t xml:space="preserve"> </w:t>
      </w:r>
      <w:r w:rsidRPr="00FE10C0">
        <w:rPr>
          <w:sz w:val="18"/>
        </w:rPr>
        <w:t>website</w:t>
      </w:r>
      <w:r w:rsidRPr="00FE10C0">
        <w:rPr>
          <w:rStyle w:val="FootnoteReference"/>
          <w:sz w:val="18"/>
          <w:vertAlign w:val="baseline"/>
        </w:rPr>
        <w:t xml:space="preserve"> provides </w:t>
      </w:r>
      <w:hyperlink r:id="rId12" w:anchor="Foreignresidents" w:history="1">
        <w:r w:rsidRPr="00E67641">
          <w:rPr>
            <w:rStyle w:val="FootnoteReference"/>
            <w:color w:val="0070C0"/>
            <w:sz w:val="18"/>
            <w:vertAlign w:val="baseline"/>
          </w:rPr>
          <w:t>Foreign Resident tax rates</w:t>
        </w:r>
      </w:hyperlink>
      <w:r w:rsidRPr="00FE10C0">
        <w:rPr>
          <w:rStyle w:val="FootnoteReference"/>
          <w:sz w:val="18"/>
          <w:vertAlign w:val="baseline"/>
        </w:rPr>
        <w:t>.</w:t>
      </w:r>
      <w:r w:rsidRPr="00FE10C0">
        <w:t xml:space="preserve"> </w:t>
      </w:r>
    </w:p>
  </w:footnote>
  <w:footnote w:id="67">
    <w:p w14:paraId="76B3207A" w14:textId="461D229D" w:rsidR="006A7F30" w:rsidRPr="009756A0" w:rsidRDefault="006A7F30" w:rsidP="009756A0">
      <w:pPr>
        <w:pStyle w:val="FootnoteText"/>
        <w:tabs>
          <w:tab w:val="clear" w:pos="567"/>
          <w:tab w:val="left" w:pos="284"/>
        </w:tabs>
        <w:spacing w:after="40"/>
        <w:ind w:left="284" w:hanging="284"/>
        <w:rPr>
          <w:rStyle w:val="FootnoteReference"/>
          <w:sz w:val="18"/>
          <w:vertAlign w:val="baseline"/>
        </w:rPr>
      </w:pPr>
      <w:r w:rsidRPr="009756A0">
        <w:rPr>
          <w:rStyle w:val="FootnoteReference"/>
          <w:sz w:val="18"/>
          <w:vertAlign w:val="baseline"/>
        </w:rPr>
        <w:footnoteRef/>
      </w:r>
      <w:r w:rsidRPr="009756A0">
        <w:rPr>
          <w:rStyle w:val="FootnoteReference"/>
          <w:sz w:val="18"/>
          <w:vertAlign w:val="baseline"/>
        </w:rPr>
        <w:t xml:space="preserve"> </w:t>
      </w:r>
      <w:r>
        <w:rPr>
          <w:sz w:val="18"/>
        </w:rPr>
        <w:tab/>
      </w:r>
      <w:r w:rsidRPr="009756A0">
        <w:rPr>
          <w:rStyle w:val="FootnoteReference"/>
          <w:sz w:val="18"/>
          <w:vertAlign w:val="baseline"/>
        </w:rPr>
        <w:t>For instance, permanent migrants that transition through the TSS program are observed to earn more than other permanent migrants in the same permanent visa categories.</w:t>
      </w:r>
    </w:p>
  </w:footnote>
  <w:footnote w:id="68">
    <w:p w14:paraId="3A99BCF2" w14:textId="04C06E74" w:rsidR="006A7F30" w:rsidRDefault="006A7F30" w:rsidP="009756A0">
      <w:pPr>
        <w:pStyle w:val="FootnoteText"/>
        <w:tabs>
          <w:tab w:val="clear" w:pos="567"/>
          <w:tab w:val="left" w:pos="284"/>
        </w:tabs>
        <w:spacing w:after="40"/>
        <w:ind w:left="284" w:hanging="284"/>
      </w:pPr>
      <w:r w:rsidRPr="009756A0">
        <w:rPr>
          <w:rStyle w:val="FootnoteReference"/>
          <w:sz w:val="18"/>
          <w:vertAlign w:val="baseline"/>
        </w:rPr>
        <w:footnoteRef/>
      </w:r>
      <w:r w:rsidRPr="009756A0">
        <w:rPr>
          <w:rStyle w:val="FootnoteReference"/>
          <w:sz w:val="18"/>
          <w:vertAlign w:val="baseline"/>
        </w:rPr>
        <w:t xml:space="preserve"> </w:t>
      </w:r>
      <w:r>
        <w:rPr>
          <w:sz w:val="18"/>
        </w:rPr>
        <w:tab/>
      </w:r>
      <w:r w:rsidRPr="009756A0">
        <w:rPr>
          <w:rStyle w:val="FootnoteReference"/>
          <w:sz w:val="18"/>
          <w:vertAlign w:val="baseline"/>
        </w:rPr>
        <w:t>Calculation is based on the exports of education services in Australian Bureau of Statistics, International Trade: Supplementary Information, Calendar Year, 2017 and international student numbers from the Department of Education, Skills and Emp</w:t>
      </w:r>
      <w:r w:rsidRPr="00FE10C0">
        <w:rPr>
          <w:rStyle w:val="FootnoteReference"/>
          <w:sz w:val="18"/>
          <w:vertAlign w:val="baseline"/>
        </w:rPr>
        <w:t xml:space="preserve">loyment </w:t>
      </w:r>
      <w:hyperlink r:id="rId13" w:history="1">
        <w:r w:rsidRPr="00E67641">
          <w:rPr>
            <w:rStyle w:val="FootnoteReference"/>
            <w:color w:val="0070C0"/>
            <w:sz w:val="18"/>
            <w:vertAlign w:val="baseline"/>
          </w:rPr>
          <w:t>Selected Higher Education Statistics – 2019 Student Data</w:t>
        </w:r>
      </w:hyperlink>
      <w:r w:rsidRPr="00FE10C0">
        <w:rPr>
          <w:rStyle w:val="FootnoteReference"/>
          <w:sz w:val="18"/>
          <w:vertAlign w:val="baselin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FF891" w14:textId="019B530A" w:rsidR="006A7F30" w:rsidRPr="00F012EA" w:rsidRDefault="006A7F30" w:rsidP="00F012EA">
    <w:pPr>
      <w:pStyle w:val="Header"/>
    </w:pPr>
    <w:r>
      <w:rPr>
        <w:noProof/>
      </w:rPr>
      <w:drawing>
        <wp:anchor distT="0" distB="0" distL="114300" distR="114300" simplePos="0" relativeHeight="251659264" behindDoc="1" locked="0" layoutInCell="1" allowOverlap="1" wp14:anchorId="3ECD5A1C" wp14:editId="7B650151">
          <wp:simplePos x="0" y="0"/>
          <wp:positionH relativeFrom="page">
            <wp:posOffset>-635</wp:posOffset>
          </wp:positionH>
          <wp:positionV relativeFrom="page">
            <wp:align>top</wp:align>
          </wp:positionV>
          <wp:extent cx="7560000" cy="1049122"/>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4912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5B254" w14:textId="210BBA8C" w:rsidR="006A7F30" w:rsidRDefault="006A7F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392A5" w14:textId="5A005A8F" w:rsidR="006A7F30" w:rsidRDefault="006A7F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F68BA" w14:textId="2B4F6CC0" w:rsidR="006A7F30" w:rsidRPr="00F012EA" w:rsidRDefault="006A7F30" w:rsidP="00F012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0627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CB28C4"/>
    <w:multiLevelType w:val="multilevel"/>
    <w:tmpl w:val="FB966738"/>
    <w:lvl w:ilvl="0">
      <w:start w:val="1"/>
      <w:numFmt w:val="upperLetter"/>
      <w:lvlRestart w:val="0"/>
      <w:pStyle w:val="AppendixHeadingNotNumbered"/>
      <w:suff w:val="nothing"/>
      <w:lvlText w:val=""/>
      <w:lvlJc w:val="left"/>
      <w:pPr>
        <w:ind w:left="0" w:firstLine="0"/>
      </w:pPr>
      <w:rPr>
        <w:rFonts w:hint="default"/>
        <w:b w:val="0"/>
        <w:i w:val="0"/>
        <w:color w:val="000000"/>
      </w:rPr>
    </w:lvl>
    <w:lvl w:ilvl="1">
      <w:start w:val="1"/>
      <w:numFmt w:val="decimal"/>
      <w:pStyle w:val="AppendixHeadingLevel2"/>
      <w:lvlText w:val="%1.%2"/>
      <w:lvlJc w:val="left"/>
      <w:pPr>
        <w:tabs>
          <w:tab w:val="num" w:pos="1134"/>
        </w:tabs>
        <w:ind w:left="0" w:firstLine="0"/>
      </w:pPr>
      <w:rPr>
        <w:rFonts w:ascii="Arial Bold" w:hAnsi="Arial Bold" w:cs="Arial" w:hint="default"/>
        <w:b/>
        <w:i w:val="0"/>
        <w:color w:val="003157"/>
      </w:rPr>
    </w:lvl>
    <w:lvl w:ilvl="2">
      <w:start w:val="1"/>
      <w:numFmt w:val="decimal"/>
      <w:pStyle w:val="AppendixHeadingLevel3"/>
      <w:lvlText w:val="%1.%2.%3"/>
      <w:lvlJc w:val="left"/>
      <w:pPr>
        <w:tabs>
          <w:tab w:val="num" w:pos="1134"/>
        </w:tabs>
        <w:ind w:left="0" w:firstLine="0"/>
      </w:pPr>
      <w:rPr>
        <w:rFonts w:ascii="Arial Bold" w:hAnsi="Arial Bold" w:cs="Arial" w:hint="default"/>
        <w:b/>
        <w:i w:val="0"/>
        <w:color w:val="003157"/>
      </w:rPr>
    </w:lvl>
    <w:lvl w:ilvl="3">
      <w:start w:val="1"/>
      <w:numFmt w:val="decimal"/>
      <w:pStyle w:val="AppendixHeadingLevel4"/>
      <w:lvlText w:val="%1.%2.%3.%4"/>
      <w:lvlJc w:val="left"/>
      <w:pPr>
        <w:tabs>
          <w:tab w:val="num" w:pos="1135"/>
        </w:tabs>
        <w:ind w:left="1" w:hanging="1"/>
      </w:pPr>
      <w:rPr>
        <w:rFonts w:ascii="Arial" w:hAnsi="Arial" w:cs="Arial" w:hint="default"/>
        <w:b w:val="0"/>
        <w:i w:val="0"/>
        <w:color w:val="003157"/>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2" w15:restartNumberingAfterBreak="0">
    <w:nsid w:val="07D9426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7ED3FC7"/>
    <w:multiLevelType w:val="multilevel"/>
    <w:tmpl w:val="F8BE2F76"/>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 w15:restartNumberingAfterBreak="0">
    <w:nsid w:val="090B0DB0"/>
    <w:multiLevelType w:val="multilevel"/>
    <w:tmpl w:val="D9A8A212"/>
    <w:styleLink w:val="RomanNumeralList"/>
    <w:lvl w:ilvl="0">
      <w:start w:val="1"/>
      <w:numFmt w:val="lowerRoman"/>
      <w:pStyle w:val="Romannumeral"/>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CC4E5D"/>
    <w:multiLevelType w:val="multilevel"/>
    <w:tmpl w:val="D10E9CF6"/>
    <w:numStyleLink w:val="OneLevelList"/>
  </w:abstractNum>
  <w:abstractNum w:abstractNumId="7" w15:restartNumberingAfterBreak="0">
    <w:nsid w:val="17DF771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9C960FD"/>
    <w:multiLevelType w:val="multilevel"/>
    <w:tmpl w:val="F9EA08CE"/>
    <w:lvl w:ilvl="0">
      <w:start w:val="1"/>
      <w:numFmt w:val="decimal"/>
      <w:lvlRestart w:val="0"/>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9" w15:restartNumberingAfterBreak="0">
    <w:nsid w:val="1E6B29F1"/>
    <w:multiLevelType w:val="multilevel"/>
    <w:tmpl w:val="EDEE4FB6"/>
    <w:styleLink w:val="RecommendationBulletList"/>
    <w:lvl w:ilvl="0">
      <w:start w:val="1"/>
      <w:numFmt w:val="bullet"/>
      <w:pStyle w:val="RecommendationBullet"/>
      <w:lvlText w:val="•"/>
      <w:lvlJc w:val="left"/>
      <w:pPr>
        <w:tabs>
          <w:tab w:val="num" w:pos="284"/>
        </w:tabs>
        <w:ind w:left="284" w:hanging="284"/>
      </w:pPr>
      <w:rPr>
        <w:rFonts w:ascii="Times New Roman" w:hAnsi="Times New Roman" w:cs="Times New Roman" w:hint="default"/>
      </w:rPr>
    </w:lvl>
    <w:lvl w:ilvl="1">
      <w:start w:val="1"/>
      <w:numFmt w:val="bullet"/>
      <w:pStyle w:val="RecommendationDash"/>
      <w:lvlText w:val=":"/>
      <w:lvlJc w:val="left"/>
      <w:pPr>
        <w:tabs>
          <w:tab w:val="num" w:pos="567"/>
        </w:tabs>
        <w:ind w:left="567" w:hanging="283"/>
      </w:pPr>
      <w:rPr>
        <w:rFonts w:hint="default"/>
      </w:rPr>
    </w:lvl>
    <w:lvl w:ilvl="2">
      <w:start w:val="1"/>
      <w:numFmt w:val="bullet"/>
      <w:pStyle w:val="RecommendationDoubleDot"/>
      <w:lvlText w:val="–"/>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5EA2A0F"/>
    <w:multiLevelType w:val="multilevel"/>
    <w:tmpl w:val="18BC553E"/>
    <w:styleLink w:val="TableTextBulletList"/>
    <w:lvl w:ilvl="0">
      <w:start w:val="1"/>
      <w:numFmt w:val="bullet"/>
      <w:pStyle w:val="TableText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2" w15:restartNumberingAfterBreak="0">
    <w:nsid w:val="278D78E7"/>
    <w:multiLevelType w:val="multilevel"/>
    <w:tmpl w:val="227083C4"/>
    <w:name w:val="OneLevelRomanNumeralList"/>
    <w:lvl w:ilvl="0">
      <w:start w:val="1"/>
      <w:numFmt w:val="lowerRoman"/>
      <w:lvlRestart w:val="0"/>
      <w:lvlText w:val="(%1)"/>
      <w:lvlJc w:val="left"/>
      <w:pPr>
        <w:tabs>
          <w:tab w:val="num" w:pos="567"/>
        </w:tabs>
        <w:ind w:left="567" w:hanging="567"/>
      </w:pPr>
      <w:rPr>
        <w:b w:val="0"/>
        <w:i w:val="0"/>
        <w:color w:val="00000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3" w15:restartNumberingAfterBreak="0">
    <w:nsid w:val="2D665DFA"/>
    <w:multiLevelType w:val="singleLevel"/>
    <w:tmpl w:val="4120B65C"/>
    <w:lvl w:ilvl="0">
      <w:start w:val="1"/>
      <w:numFmt w:val="lowerLetter"/>
      <w:lvlText w:val="(%1)"/>
      <w:lvlJc w:val="left"/>
      <w:pPr>
        <w:ind w:left="360" w:hanging="360"/>
      </w:pPr>
      <w:rPr>
        <w:rFonts w:ascii="Calibri" w:hAnsi="Calibri" w:hint="default"/>
        <w:b w:val="0"/>
        <w:i w:val="0"/>
        <w:sz w:val="20"/>
      </w:rPr>
    </w:lvl>
  </w:abstractNum>
  <w:abstractNum w:abstractNumId="14" w15:restartNumberingAfterBreak="0">
    <w:nsid w:val="2E676638"/>
    <w:multiLevelType w:val="multilevel"/>
    <w:tmpl w:val="32F2C594"/>
    <w:lvl w:ilvl="0">
      <w:start w:val="1"/>
      <w:numFmt w:val="bullet"/>
      <w:pStyle w:val="Bullet"/>
      <w:lvlText w:val="•"/>
      <w:lvlJc w:val="left"/>
      <w:pPr>
        <w:tabs>
          <w:tab w:val="num" w:pos="614"/>
        </w:tabs>
        <w:ind w:left="614" w:hanging="614"/>
      </w:pPr>
      <w:rPr>
        <w:rFonts w:ascii="Times New Roman" w:hAnsi="Times New Roman" w:cs="Times New Roman"/>
      </w:rPr>
    </w:lvl>
    <w:lvl w:ilvl="1">
      <w:start w:val="1"/>
      <w:numFmt w:val="bullet"/>
      <w:pStyle w:val="Dash"/>
      <w:lvlText w:val="–"/>
      <w:lvlJc w:val="left"/>
      <w:pPr>
        <w:tabs>
          <w:tab w:val="num" w:pos="1228"/>
        </w:tabs>
        <w:ind w:left="1228" w:hanging="614"/>
      </w:pPr>
      <w:rPr>
        <w:rFonts w:ascii="Times New Roman" w:hAnsi="Times New Roman" w:cs="Times New Roman"/>
      </w:rPr>
    </w:lvl>
    <w:lvl w:ilvl="2">
      <w:start w:val="1"/>
      <w:numFmt w:val="bullet"/>
      <w:pStyle w:val="DoubleDot"/>
      <w:lvlText w:val=":"/>
      <w:lvlJc w:val="left"/>
      <w:pPr>
        <w:tabs>
          <w:tab w:val="num" w:pos="1842"/>
        </w:tabs>
        <w:ind w:left="1842" w:hanging="614"/>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08C2710"/>
    <w:multiLevelType w:val="multilevel"/>
    <w:tmpl w:val="72940280"/>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6" w15:restartNumberingAfterBreak="0">
    <w:nsid w:val="30EB5FC2"/>
    <w:multiLevelType w:val="multilevel"/>
    <w:tmpl w:val="542A6600"/>
    <w:lvl w:ilvl="0">
      <w:start w:val="1"/>
      <w:numFmt w:val="decimal"/>
      <w:lvlRestart w:val="0"/>
      <w:lvlText w:val="%1."/>
      <w:lvlJc w:val="left"/>
      <w:pPr>
        <w:tabs>
          <w:tab w:val="num" w:pos="567"/>
        </w:tabs>
        <w:ind w:left="567" w:hanging="567"/>
      </w:pPr>
      <w:rPr>
        <w:rFonts w:ascii="Book Antiqua" w:hAnsi="Book Antiqua" w:hint="default"/>
        <w:b w:val="0"/>
        <w:i w:val="0"/>
      </w:rPr>
    </w:lvl>
    <w:lvl w:ilvl="1">
      <w:start w:val="1"/>
      <w:numFmt w:val="decimal"/>
      <w:lvlText w:val="%1.%2"/>
      <w:lvlJc w:val="left"/>
      <w:pPr>
        <w:tabs>
          <w:tab w:val="num" w:pos="567"/>
        </w:tabs>
        <w:ind w:left="567" w:hanging="567"/>
      </w:pPr>
      <w:rPr>
        <w:rFonts w:ascii="Book Antiqua" w:hAnsi="Book Antiqua" w:hint="default"/>
        <w:b w:val="0"/>
        <w:i w:val="0"/>
      </w:rPr>
    </w:lvl>
    <w:lvl w:ilvl="2">
      <w:start w:val="1"/>
      <w:numFmt w:val="decimal"/>
      <w:lvlText w:val="%1.%2.%3"/>
      <w:lvlJc w:val="left"/>
      <w:pPr>
        <w:tabs>
          <w:tab w:val="num" w:pos="851"/>
        </w:tabs>
        <w:ind w:left="851" w:hanging="851"/>
      </w:pPr>
      <w:rPr>
        <w:rFonts w:ascii="Book Antiqua" w:hAnsi="Book Antiqua" w:hint="default"/>
        <w:b w:val="0"/>
        <w:i w:val="0"/>
      </w:rPr>
    </w:lvl>
    <w:lvl w:ilvl="3">
      <w:start w:val="1"/>
      <w:numFmt w:val="decimal"/>
      <w:lvlText w:val="%1.%2.%3.%4"/>
      <w:lvlJc w:val="left"/>
      <w:pPr>
        <w:tabs>
          <w:tab w:val="num" w:pos="851"/>
        </w:tabs>
        <w:ind w:left="851" w:hanging="851"/>
      </w:pPr>
      <w:rPr>
        <w:rFonts w:ascii="Book Antiqua" w:hAnsi="Book Antiqua" w:hint="default"/>
        <w:b w:val="0"/>
        <w:i w:val="0"/>
      </w:rPr>
    </w:lvl>
    <w:lvl w:ilvl="4">
      <w:start w:val="1"/>
      <w:numFmt w:val="decimal"/>
      <w:lvlText w:val="%1.%2.%3.%4.%5"/>
      <w:lvlJc w:val="left"/>
      <w:pPr>
        <w:tabs>
          <w:tab w:val="num" w:pos="1008"/>
        </w:tabs>
        <w:ind w:left="1008" w:hanging="1008"/>
      </w:pPr>
      <w:rPr>
        <w:rFonts w:hint="default"/>
        <w:b w:val="0"/>
        <w:i w:val="0"/>
      </w:rPr>
    </w:lvl>
    <w:lvl w:ilvl="5">
      <w:start w:val="1"/>
      <w:numFmt w:val="decimal"/>
      <w:lvlText w:val="%1.%2.%3.%4.%5.%6"/>
      <w:lvlJc w:val="left"/>
      <w:pPr>
        <w:tabs>
          <w:tab w:val="num" w:pos="1152"/>
        </w:tabs>
        <w:ind w:left="1152" w:hanging="1152"/>
      </w:pPr>
      <w:rPr>
        <w:rFonts w:hint="default"/>
        <w:b w:val="0"/>
        <w:i w:val="0"/>
      </w:rPr>
    </w:lvl>
    <w:lvl w:ilvl="6">
      <w:start w:val="1"/>
      <w:numFmt w:val="decimal"/>
      <w:lvlText w:val="%1.%2.%3.%4.%5.%6.%7"/>
      <w:lvlJc w:val="left"/>
      <w:pPr>
        <w:tabs>
          <w:tab w:val="num" w:pos="1296"/>
        </w:tabs>
        <w:ind w:left="1296" w:hanging="1296"/>
      </w:pPr>
      <w:rPr>
        <w:rFonts w:hint="default"/>
        <w:b w:val="0"/>
        <w:i w:val="0"/>
      </w:rPr>
    </w:lvl>
    <w:lvl w:ilvl="7">
      <w:start w:val="1"/>
      <w:numFmt w:val="decimal"/>
      <w:lvlText w:val="%1.%2.%3.%4.%5.%6.%7.%8"/>
      <w:lvlJc w:val="left"/>
      <w:pPr>
        <w:tabs>
          <w:tab w:val="num" w:pos="1440"/>
        </w:tabs>
        <w:ind w:left="1440" w:hanging="1440"/>
      </w:pPr>
      <w:rPr>
        <w:rFonts w:hint="default"/>
        <w:b w:val="0"/>
        <w:i w:val="0"/>
      </w:rPr>
    </w:lvl>
    <w:lvl w:ilvl="8">
      <w:start w:val="1"/>
      <w:numFmt w:val="decimal"/>
      <w:lvlText w:val="%1.%2.%3.%4.%5.%6.%7.%8.%9"/>
      <w:lvlJc w:val="left"/>
      <w:pPr>
        <w:tabs>
          <w:tab w:val="num" w:pos="1584"/>
        </w:tabs>
        <w:ind w:left="1584" w:hanging="1584"/>
      </w:pPr>
      <w:rPr>
        <w:rFonts w:hint="default"/>
        <w:b w:val="0"/>
        <w:i w:val="0"/>
      </w:rPr>
    </w:lvl>
  </w:abstractNum>
  <w:abstractNum w:abstractNumId="17" w15:restartNumberingAfterBreak="0">
    <w:nsid w:val="3238442C"/>
    <w:multiLevelType w:val="multilevel"/>
    <w:tmpl w:val="4DAA0B3E"/>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CF41562"/>
    <w:multiLevelType w:val="singleLevel"/>
    <w:tmpl w:val="EB5E137A"/>
    <w:lvl w:ilvl="0">
      <w:start w:val="1"/>
      <w:numFmt w:val="bullet"/>
      <w:pStyle w:val="ExampleBullet"/>
      <w:lvlText w:val=""/>
      <w:lvlJc w:val="left"/>
      <w:pPr>
        <w:tabs>
          <w:tab w:val="num" w:pos="360"/>
        </w:tabs>
        <w:ind w:left="284" w:hanging="284"/>
      </w:pPr>
      <w:rPr>
        <w:rFonts w:ascii="Wingdings" w:hAnsi="Wingdings" w:hint="default"/>
        <w:sz w:val="10"/>
      </w:rPr>
    </w:lvl>
  </w:abstractNum>
  <w:abstractNum w:abstractNumId="20" w15:restartNumberingAfterBreak="0">
    <w:nsid w:val="41021F54"/>
    <w:multiLevelType w:val="hybridMultilevel"/>
    <w:tmpl w:val="358E0ABE"/>
    <w:lvl w:ilvl="0" w:tplc="548A9F96">
      <w:start w:val="1"/>
      <w:numFmt w:val="lowerRoman"/>
      <w:pStyle w:val="Alphanumbered"/>
      <w:lvlText w:val="(%1)"/>
      <w:lvlJc w:val="left"/>
      <w:pPr>
        <w:tabs>
          <w:tab w:val="num" w:pos="357"/>
        </w:tabs>
        <w:ind w:left="357" w:hanging="35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445B0A7E"/>
    <w:multiLevelType w:val="multilevel"/>
    <w:tmpl w:val="EDEE4FB6"/>
    <w:numStyleLink w:val="RecommendationBulletList"/>
  </w:abstractNum>
  <w:abstractNum w:abstractNumId="22" w15:restartNumberingAfterBreak="0">
    <w:nsid w:val="483E25F6"/>
    <w:multiLevelType w:val="multilevel"/>
    <w:tmpl w:val="2D022FDA"/>
    <w:styleLink w:val="AlphaParagraphList"/>
    <w:lvl w:ilvl="0">
      <w:start w:val="1"/>
      <w:numFmt w:val="lowerLetter"/>
      <w:pStyle w:val="AlphaParagraph"/>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4" w15:restartNumberingAfterBreak="0">
    <w:nsid w:val="51002E86"/>
    <w:multiLevelType w:val="hybridMultilevel"/>
    <w:tmpl w:val="AEE416AE"/>
    <w:lvl w:ilvl="0" w:tplc="779E70D4">
      <w:start w:val="1"/>
      <w:numFmt w:val="lowerRoman"/>
      <w:lvlText w:val="(%1)"/>
      <w:lvlJc w:val="left"/>
      <w:pPr>
        <w:tabs>
          <w:tab w:val="num" w:pos="1134"/>
        </w:tabs>
        <w:ind w:left="1134" w:hanging="567"/>
      </w:pPr>
      <w:rPr>
        <w:rFonts w:ascii="Book Antiqua" w:hAnsi="Book Antiqua" w:cs="Times New Roman" w:hint="default"/>
        <w:b w:val="0"/>
        <w:bCs w:val="0"/>
        <w:i w:val="0"/>
        <w:iCs w:val="0"/>
        <w:caps w:val="0"/>
        <w:smallCaps w:val="0"/>
        <w:strike w:val="0"/>
        <w:dstrike w:val="0"/>
        <w:noProof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0808AA">
      <w:start w:val="1"/>
      <w:numFmt w:val="none"/>
      <w:lvlText w:val="(b)"/>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510D2021"/>
    <w:multiLevelType w:val="multilevel"/>
    <w:tmpl w:val="72F8140E"/>
    <w:numStyleLink w:val="OutlineList"/>
  </w:abstractNum>
  <w:abstractNum w:abstractNumId="26" w15:restartNumberingAfterBreak="0">
    <w:nsid w:val="55AB4DA1"/>
    <w:multiLevelType w:val="multilevel"/>
    <w:tmpl w:val="7E40BB68"/>
    <w:styleLink w:val="TableTestBulletList"/>
    <w:lvl w:ilvl="0">
      <w:start w:val="1"/>
      <w:numFmt w:val="bullet"/>
      <w:lvlText w:val="•"/>
      <w:lvlJc w:val="left"/>
      <w:pPr>
        <w:tabs>
          <w:tab w:val="num" w:pos="284"/>
        </w:tabs>
        <w:ind w:left="284" w:hanging="284"/>
      </w:pPr>
      <w:rPr>
        <w:rFonts w:ascii="Times New Roman" w:hAnsi="Times New Roman" w:cs="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5F73129"/>
    <w:multiLevelType w:val="multilevel"/>
    <w:tmpl w:val="D9A8A212"/>
    <w:numStyleLink w:val="RomanNumeralList"/>
  </w:abstractNum>
  <w:abstractNum w:abstractNumId="28" w15:restartNumberingAfterBreak="0">
    <w:nsid w:val="58101827"/>
    <w:multiLevelType w:val="multilevel"/>
    <w:tmpl w:val="414EA7D2"/>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9" w15:restartNumberingAfterBreak="0">
    <w:nsid w:val="5D3F068E"/>
    <w:multiLevelType w:val="multilevel"/>
    <w:tmpl w:val="4D04F1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E0A6F8D"/>
    <w:multiLevelType w:val="multilevel"/>
    <w:tmpl w:val="51941ED6"/>
    <w:lvl w:ilvl="0">
      <w:start w:val="1"/>
      <w:numFmt w:val="bullet"/>
      <w:lvlRestart w:val="0"/>
      <w:lvlText w:val="•"/>
      <w:lvlJc w:val="left"/>
      <w:pPr>
        <w:tabs>
          <w:tab w:val="num" w:pos="283"/>
        </w:tabs>
        <w:ind w:left="283" w:hanging="283"/>
      </w:pPr>
      <w:rPr>
        <w:b w:val="0"/>
        <w:i w:val="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31" w15:restartNumberingAfterBreak="0">
    <w:nsid w:val="5E9A7DFC"/>
    <w:multiLevelType w:val="hybridMultilevel"/>
    <w:tmpl w:val="14A2037C"/>
    <w:lvl w:ilvl="0" w:tplc="1E7AB46A">
      <w:start w:val="1"/>
      <w:numFmt w:val="lowerLetter"/>
      <w:lvlText w:val="(%1)"/>
      <w:lvlJc w:val="left"/>
      <w:pPr>
        <w:ind w:left="720" w:hanging="360"/>
      </w:pPr>
      <w:rPr>
        <w:rFonts w:ascii="Arial" w:hAnsi="Arial" w:cs="Arial" w:hint="default"/>
        <w:b w:val="0"/>
        <w:i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6022277"/>
    <w:multiLevelType w:val="singleLevel"/>
    <w:tmpl w:val="9ECEC236"/>
    <w:name w:val="AlphaChartTableFootnoteList"/>
    <w:lvl w:ilvl="0">
      <w:start w:val="1"/>
      <w:numFmt w:val="lowerLetter"/>
      <w:pStyle w:val="CaptionandTableFootnoteAlpha"/>
      <w:lvlText w:val="(%1)"/>
      <w:lvlJc w:val="left"/>
      <w:pPr>
        <w:ind w:left="360" w:hanging="360"/>
      </w:pPr>
      <w:rPr>
        <w:rFonts w:ascii="Calibri" w:hAnsi="Calibri" w:cs="Arial" w:hint="default"/>
        <w:b w:val="0"/>
        <w:i w:val="0"/>
        <w:color w:val="000000"/>
        <w:sz w:val="20"/>
      </w:rPr>
    </w:lvl>
  </w:abstractNum>
  <w:abstractNum w:abstractNumId="33" w15:restartNumberingAfterBreak="0">
    <w:nsid w:val="6A5F7B24"/>
    <w:multiLevelType w:val="multilevel"/>
    <w:tmpl w:val="2090AC60"/>
    <w:lvl w:ilvl="0">
      <w:start w:val="1"/>
      <w:numFmt w:val="decimal"/>
      <w:lvlRestart w:val="0"/>
      <w:pStyle w:val="Heading2"/>
      <w:lvlText w:val="%1."/>
      <w:lvlJc w:val="left"/>
      <w:pPr>
        <w:tabs>
          <w:tab w:val="num" w:pos="3402"/>
        </w:tabs>
        <w:ind w:left="2552" w:firstLine="0"/>
      </w:pPr>
      <w:rPr>
        <w:rFonts w:ascii="Arial Bold" w:hAnsi="Arial Bold" w:cs="Arial" w:hint="default"/>
        <w:b/>
        <w:i w:val="0"/>
        <w:color w:val="003157"/>
      </w:rPr>
    </w:lvl>
    <w:lvl w:ilvl="1">
      <w:start w:val="1"/>
      <w:numFmt w:val="decimal"/>
      <w:lvlText w:val="%1.%2"/>
      <w:lvlJc w:val="left"/>
      <w:pPr>
        <w:tabs>
          <w:tab w:val="num" w:pos="850"/>
        </w:tabs>
        <w:ind w:left="0" w:firstLine="0"/>
      </w:pPr>
      <w:rPr>
        <w:rFonts w:ascii="Arial Bold" w:hAnsi="Arial Bold" w:cs="Arial" w:hint="default"/>
        <w:b/>
        <w:i w:val="0"/>
        <w:color w:val="003157"/>
      </w:rPr>
    </w:lvl>
    <w:lvl w:ilvl="2">
      <w:start w:val="1"/>
      <w:numFmt w:val="none"/>
      <w:pStyle w:val="Heading4"/>
      <w:lvlText w:val=""/>
      <w:lvlJc w:val="left"/>
      <w:pPr>
        <w:tabs>
          <w:tab w:val="num" w:pos="0"/>
        </w:tabs>
        <w:ind w:left="0" w:firstLine="0"/>
      </w:pPr>
      <w:rPr>
        <w:rFonts w:ascii="Arial" w:hAnsi="Arial" w:cs="Arial" w:hint="default"/>
        <w:b w:val="0"/>
        <w:i w:val="0"/>
        <w:color w:val="003157"/>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34" w15:restartNumberingAfterBreak="0">
    <w:nsid w:val="703156AC"/>
    <w:multiLevelType w:val="hybridMultilevel"/>
    <w:tmpl w:val="DB02990C"/>
    <w:lvl w:ilvl="0" w:tplc="DD606940">
      <w:start w:val="1"/>
      <w:numFmt w:val="decimal"/>
      <w:pStyle w:val="NumberedParagraph"/>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06C25F4"/>
    <w:multiLevelType w:val="multilevel"/>
    <w:tmpl w:val="49A2339C"/>
    <w:lvl w:ilvl="0">
      <w:start w:val="1"/>
      <w:numFmt w:val="decimal"/>
      <w:lvlText w:val="%1."/>
      <w:lvlJc w:val="left"/>
      <w:pPr>
        <w:tabs>
          <w:tab w:val="num" w:pos="567"/>
        </w:tabs>
        <w:ind w:left="567" w:hanging="567"/>
      </w:pPr>
      <w:rPr>
        <w:rFonts w:ascii="Calibri" w:hAnsi="Calibri" w:hint="default"/>
        <w:b w:val="0"/>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73CA6E80"/>
    <w:multiLevelType w:val="multilevel"/>
    <w:tmpl w:val="00F03A94"/>
    <w:lvl w:ilvl="0">
      <w:start w:val="1"/>
      <w:numFmt w:val="none"/>
      <w:lvlText w:val=""/>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EE86C41"/>
    <w:multiLevelType w:val="multilevel"/>
    <w:tmpl w:val="3E00F446"/>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15"/>
  </w:num>
  <w:num w:numId="2">
    <w:abstractNumId w:val="3"/>
  </w:num>
  <w:num w:numId="3">
    <w:abstractNumId w:val="22"/>
  </w:num>
  <w:num w:numId="4">
    <w:abstractNumId w:val="18"/>
  </w:num>
  <w:num w:numId="5">
    <w:abstractNumId w:val="5"/>
  </w:num>
  <w:num w:numId="6">
    <w:abstractNumId w:val="9"/>
  </w:num>
  <w:num w:numId="7">
    <w:abstractNumId w:val="4"/>
  </w:num>
  <w:num w:numId="8">
    <w:abstractNumId w:val="6"/>
  </w:num>
  <w:num w:numId="9">
    <w:abstractNumId w:val="25"/>
  </w:num>
  <w:num w:numId="10">
    <w:abstractNumId w:val="21"/>
  </w:num>
  <w:num w:numId="11">
    <w:abstractNumId w:val="27"/>
  </w:num>
  <w:num w:numId="12">
    <w:abstractNumId w:val="17"/>
  </w:num>
  <w:num w:numId="13">
    <w:abstractNumId w:val="26"/>
  </w:num>
  <w:num w:numId="14">
    <w:abstractNumId w:val="10"/>
  </w:num>
  <w:num w:numId="15">
    <w:abstractNumId w:val="20"/>
  </w:num>
  <w:num w:numId="16">
    <w:abstractNumId w:val="1"/>
  </w:num>
  <w:num w:numId="17">
    <w:abstractNumId w:val="32"/>
  </w:num>
  <w:num w:numId="18">
    <w:abstractNumId w:val="14"/>
  </w:num>
  <w:num w:numId="19">
    <w:abstractNumId w:val="19"/>
  </w:num>
  <w:num w:numId="20">
    <w:abstractNumId w:val="33"/>
  </w:num>
  <w:num w:numId="21">
    <w:abstractNumId w:val="34"/>
  </w:num>
  <w:num w:numId="22">
    <w:abstractNumId w:val="29"/>
  </w:num>
  <w:num w:numId="23">
    <w:abstractNumId w:val="39"/>
  </w:num>
  <w:num w:numId="24">
    <w:abstractNumId w:val="24"/>
  </w:num>
  <w:num w:numId="25">
    <w:abstractNumId w:val="13"/>
  </w:num>
  <w:num w:numId="26">
    <w:abstractNumId w:val="28"/>
  </w:num>
  <w:num w:numId="27">
    <w:abstractNumId w:val="23"/>
  </w:num>
  <w:num w:numId="28">
    <w:abstractNumId w:val="11"/>
  </w:num>
  <w:num w:numId="29">
    <w:abstractNumId w:val="35"/>
  </w:num>
  <w:num w:numId="30">
    <w:abstractNumId w:val="8"/>
  </w:num>
  <w:num w:numId="31">
    <w:abstractNumId w:val="16"/>
  </w:num>
  <w:num w:numId="32">
    <w:abstractNumId w:val="30"/>
  </w:num>
  <w:num w:numId="33">
    <w:abstractNumId w:val="12"/>
  </w:num>
  <w:num w:numId="34">
    <w:abstractNumId w:val="37"/>
  </w:num>
  <w:num w:numId="35">
    <w:abstractNumId w:val="31"/>
  </w:num>
  <w:num w:numId="36">
    <w:abstractNumId w:val="7"/>
  </w:num>
  <w:num w:numId="37">
    <w:abstractNumId w:val="2"/>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OIClassificationInHeader" w:val="False"/>
    <w:docVar w:name="SecurityClassificationInHeader" w:val="False"/>
    <w:docVar w:name="SecurityDLMInHeader" w:val="False"/>
  </w:docVars>
  <w:rsids>
    <w:rsidRoot w:val="00662350"/>
    <w:rsid w:val="000003AC"/>
    <w:rsid w:val="00001014"/>
    <w:rsid w:val="00002844"/>
    <w:rsid w:val="00003ACD"/>
    <w:rsid w:val="000058CC"/>
    <w:rsid w:val="00006326"/>
    <w:rsid w:val="000067F7"/>
    <w:rsid w:val="00006A0D"/>
    <w:rsid w:val="00007CDE"/>
    <w:rsid w:val="00007D21"/>
    <w:rsid w:val="00007D9A"/>
    <w:rsid w:val="0001015A"/>
    <w:rsid w:val="000122F0"/>
    <w:rsid w:val="00013F66"/>
    <w:rsid w:val="00016517"/>
    <w:rsid w:val="000167A9"/>
    <w:rsid w:val="00021E0C"/>
    <w:rsid w:val="00022FD0"/>
    <w:rsid w:val="00024770"/>
    <w:rsid w:val="000253B7"/>
    <w:rsid w:val="00025888"/>
    <w:rsid w:val="00026BC8"/>
    <w:rsid w:val="00027EE7"/>
    <w:rsid w:val="00027FBF"/>
    <w:rsid w:val="000305E3"/>
    <w:rsid w:val="0003128E"/>
    <w:rsid w:val="00031DA3"/>
    <w:rsid w:val="00034DBC"/>
    <w:rsid w:val="000404C0"/>
    <w:rsid w:val="000408BC"/>
    <w:rsid w:val="00040BB9"/>
    <w:rsid w:val="0004274F"/>
    <w:rsid w:val="00043CF6"/>
    <w:rsid w:val="00044631"/>
    <w:rsid w:val="000464B6"/>
    <w:rsid w:val="00046633"/>
    <w:rsid w:val="000472BB"/>
    <w:rsid w:val="00047691"/>
    <w:rsid w:val="00051C46"/>
    <w:rsid w:val="00052312"/>
    <w:rsid w:val="0005299F"/>
    <w:rsid w:val="00052FD6"/>
    <w:rsid w:val="000533E7"/>
    <w:rsid w:val="0005483C"/>
    <w:rsid w:val="00054900"/>
    <w:rsid w:val="00057A6E"/>
    <w:rsid w:val="00060990"/>
    <w:rsid w:val="00062290"/>
    <w:rsid w:val="000622B2"/>
    <w:rsid w:val="00062875"/>
    <w:rsid w:val="000643B9"/>
    <w:rsid w:val="000656CB"/>
    <w:rsid w:val="00066E94"/>
    <w:rsid w:val="00067959"/>
    <w:rsid w:val="00077D52"/>
    <w:rsid w:val="00080689"/>
    <w:rsid w:val="00080ECC"/>
    <w:rsid w:val="000836D8"/>
    <w:rsid w:val="00083966"/>
    <w:rsid w:val="00084241"/>
    <w:rsid w:val="00084302"/>
    <w:rsid w:val="000849BB"/>
    <w:rsid w:val="0009079D"/>
    <w:rsid w:val="00091054"/>
    <w:rsid w:val="00092DDC"/>
    <w:rsid w:val="00094AC3"/>
    <w:rsid w:val="00094DC9"/>
    <w:rsid w:val="00095C3F"/>
    <w:rsid w:val="00096C34"/>
    <w:rsid w:val="000970E0"/>
    <w:rsid w:val="000972A1"/>
    <w:rsid w:val="00097C67"/>
    <w:rsid w:val="00097CB9"/>
    <w:rsid w:val="000A12BC"/>
    <w:rsid w:val="000A2EDE"/>
    <w:rsid w:val="000A4698"/>
    <w:rsid w:val="000A4A50"/>
    <w:rsid w:val="000A5798"/>
    <w:rsid w:val="000A58E7"/>
    <w:rsid w:val="000A5996"/>
    <w:rsid w:val="000B2730"/>
    <w:rsid w:val="000B412D"/>
    <w:rsid w:val="000B49F4"/>
    <w:rsid w:val="000B5B53"/>
    <w:rsid w:val="000B7B44"/>
    <w:rsid w:val="000B7DD0"/>
    <w:rsid w:val="000C0F7A"/>
    <w:rsid w:val="000C2A50"/>
    <w:rsid w:val="000C3135"/>
    <w:rsid w:val="000C4D98"/>
    <w:rsid w:val="000C559A"/>
    <w:rsid w:val="000C68B2"/>
    <w:rsid w:val="000C7AB9"/>
    <w:rsid w:val="000C7C63"/>
    <w:rsid w:val="000D01E6"/>
    <w:rsid w:val="000D1D28"/>
    <w:rsid w:val="000D234B"/>
    <w:rsid w:val="000D47AE"/>
    <w:rsid w:val="000D59D3"/>
    <w:rsid w:val="000D5CC9"/>
    <w:rsid w:val="000D68B5"/>
    <w:rsid w:val="000D72CB"/>
    <w:rsid w:val="000E2271"/>
    <w:rsid w:val="000E5C17"/>
    <w:rsid w:val="000E6F08"/>
    <w:rsid w:val="000F07E4"/>
    <w:rsid w:val="000F0C26"/>
    <w:rsid w:val="000F2720"/>
    <w:rsid w:val="000F5C54"/>
    <w:rsid w:val="000F70BC"/>
    <w:rsid w:val="000F7506"/>
    <w:rsid w:val="00100135"/>
    <w:rsid w:val="0010021B"/>
    <w:rsid w:val="0010072A"/>
    <w:rsid w:val="0010213F"/>
    <w:rsid w:val="00102FDE"/>
    <w:rsid w:val="00110A48"/>
    <w:rsid w:val="00111933"/>
    <w:rsid w:val="001119D7"/>
    <w:rsid w:val="0011287A"/>
    <w:rsid w:val="00114859"/>
    <w:rsid w:val="001155CB"/>
    <w:rsid w:val="00116348"/>
    <w:rsid w:val="00116AD4"/>
    <w:rsid w:val="00116BC6"/>
    <w:rsid w:val="0012441E"/>
    <w:rsid w:val="00125A1D"/>
    <w:rsid w:val="00125F81"/>
    <w:rsid w:val="00126980"/>
    <w:rsid w:val="001274A1"/>
    <w:rsid w:val="00127678"/>
    <w:rsid w:val="00130BCE"/>
    <w:rsid w:val="00131256"/>
    <w:rsid w:val="00132BA9"/>
    <w:rsid w:val="00132E47"/>
    <w:rsid w:val="00133581"/>
    <w:rsid w:val="00133D23"/>
    <w:rsid w:val="00134665"/>
    <w:rsid w:val="001348C3"/>
    <w:rsid w:val="00134D21"/>
    <w:rsid w:val="0013507E"/>
    <w:rsid w:val="00141185"/>
    <w:rsid w:val="00141A4D"/>
    <w:rsid w:val="00141DA7"/>
    <w:rsid w:val="00141DD3"/>
    <w:rsid w:val="001421F6"/>
    <w:rsid w:val="00142364"/>
    <w:rsid w:val="001453EA"/>
    <w:rsid w:val="00145968"/>
    <w:rsid w:val="00147046"/>
    <w:rsid w:val="001472B8"/>
    <w:rsid w:val="00150346"/>
    <w:rsid w:val="00150A17"/>
    <w:rsid w:val="00150F88"/>
    <w:rsid w:val="00151C39"/>
    <w:rsid w:val="00155970"/>
    <w:rsid w:val="00155B72"/>
    <w:rsid w:val="00162298"/>
    <w:rsid w:val="00162F3C"/>
    <w:rsid w:val="001643B9"/>
    <w:rsid w:val="00164B7C"/>
    <w:rsid w:val="00165D96"/>
    <w:rsid w:val="00166531"/>
    <w:rsid w:val="0016671D"/>
    <w:rsid w:val="001676AA"/>
    <w:rsid w:val="00170663"/>
    <w:rsid w:val="00170F3C"/>
    <w:rsid w:val="001721AA"/>
    <w:rsid w:val="00172D5A"/>
    <w:rsid w:val="001735CE"/>
    <w:rsid w:val="00174CE4"/>
    <w:rsid w:val="00175366"/>
    <w:rsid w:val="001759E9"/>
    <w:rsid w:val="00175CE7"/>
    <w:rsid w:val="00181012"/>
    <w:rsid w:val="00181B4F"/>
    <w:rsid w:val="00183666"/>
    <w:rsid w:val="00184F4E"/>
    <w:rsid w:val="001857B7"/>
    <w:rsid w:val="00187182"/>
    <w:rsid w:val="00191688"/>
    <w:rsid w:val="00192AC3"/>
    <w:rsid w:val="0019365A"/>
    <w:rsid w:val="0019419A"/>
    <w:rsid w:val="0019526D"/>
    <w:rsid w:val="00195474"/>
    <w:rsid w:val="001A1B60"/>
    <w:rsid w:val="001A1D3D"/>
    <w:rsid w:val="001A420D"/>
    <w:rsid w:val="001A66C0"/>
    <w:rsid w:val="001B0386"/>
    <w:rsid w:val="001B0870"/>
    <w:rsid w:val="001B1AC5"/>
    <w:rsid w:val="001B1ED2"/>
    <w:rsid w:val="001B2C25"/>
    <w:rsid w:val="001B2EB9"/>
    <w:rsid w:val="001B670C"/>
    <w:rsid w:val="001B755D"/>
    <w:rsid w:val="001C0240"/>
    <w:rsid w:val="001C1822"/>
    <w:rsid w:val="001C1D04"/>
    <w:rsid w:val="001C5CB3"/>
    <w:rsid w:val="001D015D"/>
    <w:rsid w:val="001D0F7E"/>
    <w:rsid w:val="001D1976"/>
    <w:rsid w:val="001D27A9"/>
    <w:rsid w:val="001D616E"/>
    <w:rsid w:val="001E10D7"/>
    <w:rsid w:val="001E1D66"/>
    <w:rsid w:val="001E251B"/>
    <w:rsid w:val="001E3671"/>
    <w:rsid w:val="001E4126"/>
    <w:rsid w:val="001E5133"/>
    <w:rsid w:val="001E5C33"/>
    <w:rsid w:val="001E664D"/>
    <w:rsid w:val="001F04AD"/>
    <w:rsid w:val="001F0F7A"/>
    <w:rsid w:val="001F793C"/>
    <w:rsid w:val="00200257"/>
    <w:rsid w:val="002012CA"/>
    <w:rsid w:val="002013AE"/>
    <w:rsid w:val="002015AB"/>
    <w:rsid w:val="00202786"/>
    <w:rsid w:val="00202903"/>
    <w:rsid w:val="00202D23"/>
    <w:rsid w:val="0020335C"/>
    <w:rsid w:val="00203924"/>
    <w:rsid w:val="00205918"/>
    <w:rsid w:val="0020609E"/>
    <w:rsid w:val="00206359"/>
    <w:rsid w:val="002066F6"/>
    <w:rsid w:val="00211545"/>
    <w:rsid w:val="00211590"/>
    <w:rsid w:val="00211CE3"/>
    <w:rsid w:val="00211E0C"/>
    <w:rsid w:val="0021225D"/>
    <w:rsid w:val="00213567"/>
    <w:rsid w:val="00213876"/>
    <w:rsid w:val="00214B60"/>
    <w:rsid w:val="002152F2"/>
    <w:rsid w:val="002154E8"/>
    <w:rsid w:val="00215C16"/>
    <w:rsid w:val="00215F7B"/>
    <w:rsid w:val="002160F1"/>
    <w:rsid w:val="0021613B"/>
    <w:rsid w:val="002171AC"/>
    <w:rsid w:val="002224AB"/>
    <w:rsid w:val="002249D2"/>
    <w:rsid w:val="002252F5"/>
    <w:rsid w:val="002264A1"/>
    <w:rsid w:val="002271BB"/>
    <w:rsid w:val="0022727B"/>
    <w:rsid w:val="0023028F"/>
    <w:rsid w:val="00230FA3"/>
    <w:rsid w:val="0023195B"/>
    <w:rsid w:val="00232384"/>
    <w:rsid w:val="00232A38"/>
    <w:rsid w:val="00232D4A"/>
    <w:rsid w:val="00232EEE"/>
    <w:rsid w:val="002330AC"/>
    <w:rsid w:val="00233B29"/>
    <w:rsid w:val="00234303"/>
    <w:rsid w:val="00234E52"/>
    <w:rsid w:val="00235259"/>
    <w:rsid w:val="00235323"/>
    <w:rsid w:val="002377C4"/>
    <w:rsid w:val="0024075E"/>
    <w:rsid w:val="0024172A"/>
    <w:rsid w:val="0024270A"/>
    <w:rsid w:val="00243004"/>
    <w:rsid w:val="0024451A"/>
    <w:rsid w:val="0024548A"/>
    <w:rsid w:val="002464F1"/>
    <w:rsid w:val="00246BC4"/>
    <w:rsid w:val="002548FE"/>
    <w:rsid w:val="00254C91"/>
    <w:rsid w:val="00257A2D"/>
    <w:rsid w:val="0026242F"/>
    <w:rsid w:val="00262C72"/>
    <w:rsid w:val="002638E3"/>
    <w:rsid w:val="00265858"/>
    <w:rsid w:val="00266767"/>
    <w:rsid w:val="002672BC"/>
    <w:rsid w:val="00270C4D"/>
    <w:rsid w:val="002711FD"/>
    <w:rsid w:val="002733FC"/>
    <w:rsid w:val="00273FD7"/>
    <w:rsid w:val="0027514C"/>
    <w:rsid w:val="002751CE"/>
    <w:rsid w:val="002752EA"/>
    <w:rsid w:val="00275697"/>
    <w:rsid w:val="00275706"/>
    <w:rsid w:val="00275A14"/>
    <w:rsid w:val="0027686F"/>
    <w:rsid w:val="002768B3"/>
    <w:rsid w:val="002809A6"/>
    <w:rsid w:val="00280D28"/>
    <w:rsid w:val="00282C9C"/>
    <w:rsid w:val="00283240"/>
    <w:rsid w:val="00284DB1"/>
    <w:rsid w:val="0028552C"/>
    <w:rsid w:val="00285543"/>
    <w:rsid w:val="00285BAC"/>
    <w:rsid w:val="00285C04"/>
    <w:rsid w:val="00287095"/>
    <w:rsid w:val="00290072"/>
    <w:rsid w:val="00291937"/>
    <w:rsid w:val="00297324"/>
    <w:rsid w:val="00297C46"/>
    <w:rsid w:val="002A50C7"/>
    <w:rsid w:val="002A5142"/>
    <w:rsid w:val="002B2A6F"/>
    <w:rsid w:val="002B52C4"/>
    <w:rsid w:val="002B53E2"/>
    <w:rsid w:val="002B5612"/>
    <w:rsid w:val="002B5AA4"/>
    <w:rsid w:val="002B7255"/>
    <w:rsid w:val="002B7F7B"/>
    <w:rsid w:val="002C04C6"/>
    <w:rsid w:val="002C0F95"/>
    <w:rsid w:val="002C20C1"/>
    <w:rsid w:val="002C3075"/>
    <w:rsid w:val="002C3379"/>
    <w:rsid w:val="002C36D9"/>
    <w:rsid w:val="002C3C4D"/>
    <w:rsid w:val="002C3F15"/>
    <w:rsid w:val="002C5398"/>
    <w:rsid w:val="002C5418"/>
    <w:rsid w:val="002C5596"/>
    <w:rsid w:val="002D0261"/>
    <w:rsid w:val="002D0DAD"/>
    <w:rsid w:val="002D0EAE"/>
    <w:rsid w:val="002D1D24"/>
    <w:rsid w:val="002D316D"/>
    <w:rsid w:val="002D3AAD"/>
    <w:rsid w:val="002D4585"/>
    <w:rsid w:val="002D5F98"/>
    <w:rsid w:val="002D6D95"/>
    <w:rsid w:val="002D7BE4"/>
    <w:rsid w:val="002E1AEC"/>
    <w:rsid w:val="002E5F5C"/>
    <w:rsid w:val="002E634D"/>
    <w:rsid w:val="002E71CA"/>
    <w:rsid w:val="002E7527"/>
    <w:rsid w:val="002E7BDD"/>
    <w:rsid w:val="002F0F21"/>
    <w:rsid w:val="002F16E3"/>
    <w:rsid w:val="002F33B6"/>
    <w:rsid w:val="002F3DFC"/>
    <w:rsid w:val="002F424F"/>
    <w:rsid w:val="002F4E1A"/>
    <w:rsid w:val="002F576C"/>
    <w:rsid w:val="002F727C"/>
    <w:rsid w:val="002F73DF"/>
    <w:rsid w:val="002F7E3F"/>
    <w:rsid w:val="003015BF"/>
    <w:rsid w:val="00301A52"/>
    <w:rsid w:val="00301E40"/>
    <w:rsid w:val="00302369"/>
    <w:rsid w:val="003035E4"/>
    <w:rsid w:val="00305045"/>
    <w:rsid w:val="0030540C"/>
    <w:rsid w:val="003070A1"/>
    <w:rsid w:val="003071B8"/>
    <w:rsid w:val="0031280B"/>
    <w:rsid w:val="00313511"/>
    <w:rsid w:val="00314758"/>
    <w:rsid w:val="00314A31"/>
    <w:rsid w:val="0031570A"/>
    <w:rsid w:val="003170BA"/>
    <w:rsid w:val="0032145A"/>
    <w:rsid w:val="0032254E"/>
    <w:rsid w:val="0032295F"/>
    <w:rsid w:val="00322AEF"/>
    <w:rsid w:val="0032675D"/>
    <w:rsid w:val="00326CF5"/>
    <w:rsid w:val="00330E75"/>
    <w:rsid w:val="0033201B"/>
    <w:rsid w:val="003326A5"/>
    <w:rsid w:val="003326C6"/>
    <w:rsid w:val="00334335"/>
    <w:rsid w:val="0033438E"/>
    <w:rsid w:val="00334B24"/>
    <w:rsid w:val="003355B6"/>
    <w:rsid w:val="00335CF6"/>
    <w:rsid w:val="00335F25"/>
    <w:rsid w:val="0033682F"/>
    <w:rsid w:val="003369FB"/>
    <w:rsid w:val="00337364"/>
    <w:rsid w:val="003406DF"/>
    <w:rsid w:val="003431D3"/>
    <w:rsid w:val="0034329B"/>
    <w:rsid w:val="00343F5D"/>
    <w:rsid w:val="003462D6"/>
    <w:rsid w:val="003475BF"/>
    <w:rsid w:val="00347F89"/>
    <w:rsid w:val="00350F10"/>
    <w:rsid w:val="00351985"/>
    <w:rsid w:val="00351A06"/>
    <w:rsid w:val="0035270D"/>
    <w:rsid w:val="00352EA6"/>
    <w:rsid w:val="003548D3"/>
    <w:rsid w:val="00354EAA"/>
    <w:rsid w:val="003557A6"/>
    <w:rsid w:val="00355DCB"/>
    <w:rsid w:val="00356157"/>
    <w:rsid w:val="00356616"/>
    <w:rsid w:val="0035756D"/>
    <w:rsid w:val="003577CF"/>
    <w:rsid w:val="00361B14"/>
    <w:rsid w:val="00362D86"/>
    <w:rsid w:val="003641BA"/>
    <w:rsid w:val="00364341"/>
    <w:rsid w:val="00365C6D"/>
    <w:rsid w:val="00367BBA"/>
    <w:rsid w:val="003718E4"/>
    <w:rsid w:val="0037244B"/>
    <w:rsid w:val="0037384A"/>
    <w:rsid w:val="00373B55"/>
    <w:rsid w:val="00375893"/>
    <w:rsid w:val="003778A9"/>
    <w:rsid w:val="00377DAF"/>
    <w:rsid w:val="003809EA"/>
    <w:rsid w:val="0038106E"/>
    <w:rsid w:val="00381739"/>
    <w:rsid w:val="00382943"/>
    <w:rsid w:val="00384061"/>
    <w:rsid w:val="00390529"/>
    <w:rsid w:val="0039071D"/>
    <w:rsid w:val="00391599"/>
    <w:rsid w:val="0039315F"/>
    <w:rsid w:val="0039317C"/>
    <w:rsid w:val="0039458F"/>
    <w:rsid w:val="003949B9"/>
    <w:rsid w:val="00394BF6"/>
    <w:rsid w:val="003955FC"/>
    <w:rsid w:val="00395977"/>
    <w:rsid w:val="00395A05"/>
    <w:rsid w:val="00395EFE"/>
    <w:rsid w:val="00396D90"/>
    <w:rsid w:val="003970C6"/>
    <w:rsid w:val="00397506"/>
    <w:rsid w:val="0039754A"/>
    <w:rsid w:val="00397A93"/>
    <w:rsid w:val="003A0043"/>
    <w:rsid w:val="003A1A88"/>
    <w:rsid w:val="003A3D12"/>
    <w:rsid w:val="003A66BB"/>
    <w:rsid w:val="003A6C14"/>
    <w:rsid w:val="003A773A"/>
    <w:rsid w:val="003A7E94"/>
    <w:rsid w:val="003B0235"/>
    <w:rsid w:val="003B0501"/>
    <w:rsid w:val="003B05FD"/>
    <w:rsid w:val="003B20E3"/>
    <w:rsid w:val="003B34F7"/>
    <w:rsid w:val="003B411D"/>
    <w:rsid w:val="003B4C7B"/>
    <w:rsid w:val="003B512D"/>
    <w:rsid w:val="003B5704"/>
    <w:rsid w:val="003B707C"/>
    <w:rsid w:val="003B7E67"/>
    <w:rsid w:val="003C2619"/>
    <w:rsid w:val="003C36A2"/>
    <w:rsid w:val="003C3FAE"/>
    <w:rsid w:val="003C53FA"/>
    <w:rsid w:val="003C684B"/>
    <w:rsid w:val="003C720F"/>
    <w:rsid w:val="003D19FB"/>
    <w:rsid w:val="003D27B3"/>
    <w:rsid w:val="003D296C"/>
    <w:rsid w:val="003D3DC9"/>
    <w:rsid w:val="003E0E7B"/>
    <w:rsid w:val="003E3374"/>
    <w:rsid w:val="003E37D8"/>
    <w:rsid w:val="003E3A34"/>
    <w:rsid w:val="003E3BD9"/>
    <w:rsid w:val="003E3CE7"/>
    <w:rsid w:val="003E6B90"/>
    <w:rsid w:val="003E72A1"/>
    <w:rsid w:val="003E7D48"/>
    <w:rsid w:val="003F1A22"/>
    <w:rsid w:val="003F4BB3"/>
    <w:rsid w:val="003F5F8C"/>
    <w:rsid w:val="003F68A0"/>
    <w:rsid w:val="00400001"/>
    <w:rsid w:val="004037A0"/>
    <w:rsid w:val="004049BB"/>
    <w:rsid w:val="00406016"/>
    <w:rsid w:val="00407131"/>
    <w:rsid w:val="004074FA"/>
    <w:rsid w:val="00407666"/>
    <w:rsid w:val="00410860"/>
    <w:rsid w:val="004129ED"/>
    <w:rsid w:val="004155BA"/>
    <w:rsid w:val="004157C4"/>
    <w:rsid w:val="00415AA0"/>
    <w:rsid w:val="00416058"/>
    <w:rsid w:val="00416545"/>
    <w:rsid w:val="00416E7C"/>
    <w:rsid w:val="004200B5"/>
    <w:rsid w:val="00421947"/>
    <w:rsid w:val="00422C3E"/>
    <w:rsid w:val="00423841"/>
    <w:rsid w:val="00423880"/>
    <w:rsid w:val="00424EEE"/>
    <w:rsid w:val="004253B4"/>
    <w:rsid w:val="00426CC1"/>
    <w:rsid w:val="00427462"/>
    <w:rsid w:val="004319CC"/>
    <w:rsid w:val="004349B3"/>
    <w:rsid w:val="0043571C"/>
    <w:rsid w:val="00435A0E"/>
    <w:rsid w:val="00435FDF"/>
    <w:rsid w:val="004370F4"/>
    <w:rsid w:val="004377CF"/>
    <w:rsid w:val="004419E6"/>
    <w:rsid w:val="00443ED4"/>
    <w:rsid w:val="00450445"/>
    <w:rsid w:val="004508EB"/>
    <w:rsid w:val="00451B8A"/>
    <w:rsid w:val="00451D40"/>
    <w:rsid w:val="00452552"/>
    <w:rsid w:val="0045305E"/>
    <w:rsid w:val="004555C1"/>
    <w:rsid w:val="004566E8"/>
    <w:rsid w:val="00456847"/>
    <w:rsid w:val="00457AC1"/>
    <w:rsid w:val="00460338"/>
    <w:rsid w:val="00460A29"/>
    <w:rsid w:val="00460C65"/>
    <w:rsid w:val="00460F93"/>
    <w:rsid w:val="00461CC2"/>
    <w:rsid w:val="00461DDA"/>
    <w:rsid w:val="00462B3F"/>
    <w:rsid w:val="00462EB8"/>
    <w:rsid w:val="004630C0"/>
    <w:rsid w:val="0046316A"/>
    <w:rsid w:val="004635AC"/>
    <w:rsid w:val="004644F0"/>
    <w:rsid w:val="00464705"/>
    <w:rsid w:val="00466635"/>
    <w:rsid w:val="004678FD"/>
    <w:rsid w:val="00467DBE"/>
    <w:rsid w:val="00473EFB"/>
    <w:rsid w:val="00474075"/>
    <w:rsid w:val="004748A5"/>
    <w:rsid w:val="00474E64"/>
    <w:rsid w:val="00476556"/>
    <w:rsid w:val="004809AC"/>
    <w:rsid w:val="00485188"/>
    <w:rsid w:val="0048569E"/>
    <w:rsid w:val="004942A1"/>
    <w:rsid w:val="00494DE6"/>
    <w:rsid w:val="00495CD5"/>
    <w:rsid w:val="0049706E"/>
    <w:rsid w:val="004970B5"/>
    <w:rsid w:val="00497C89"/>
    <w:rsid w:val="004A0856"/>
    <w:rsid w:val="004A1D7A"/>
    <w:rsid w:val="004A41EB"/>
    <w:rsid w:val="004A7A8C"/>
    <w:rsid w:val="004B07A5"/>
    <w:rsid w:val="004B1338"/>
    <w:rsid w:val="004B1A57"/>
    <w:rsid w:val="004B2983"/>
    <w:rsid w:val="004B29C1"/>
    <w:rsid w:val="004B6F57"/>
    <w:rsid w:val="004B7E1C"/>
    <w:rsid w:val="004C167F"/>
    <w:rsid w:val="004C37C7"/>
    <w:rsid w:val="004C5DB0"/>
    <w:rsid w:val="004C6720"/>
    <w:rsid w:val="004C6ED1"/>
    <w:rsid w:val="004D17A5"/>
    <w:rsid w:val="004D18A5"/>
    <w:rsid w:val="004D5523"/>
    <w:rsid w:val="004D6C16"/>
    <w:rsid w:val="004D7E4A"/>
    <w:rsid w:val="004E006C"/>
    <w:rsid w:val="004E0518"/>
    <w:rsid w:val="004E0EBB"/>
    <w:rsid w:val="004E2B38"/>
    <w:rsid w:val="004E2E91"/>
    <w:rsid w:val="004E2F37"/>
    <w:rsid w:val="004E3AAE"/>
    <w:rsid w:val="004E7040"/>
    <w:rsid w:val="004E76BF"/>
    <w:rsid w:val="004F02EA"/>
    <w:rsid w:val="004F0490"/>
    <w:rsid w:val="004F12B1"/>
    <w:rsid w:val="004F1522"/>
    <w:rsid w:val="004F27DE"/>
    <w:rsid w:val="004F2D94"/>
    <w:rsid w:val="004F4EE7"/>
    <w:rsid w:val="004F6034"/>
    <w:rsid w:val="004F6C7B"/>
    <w:rsid w:val="004F76CF"/>
    <w:rsid w:val="00500704"/>
    <w:rsid w:val="00500D1C"/>
    <w:rsid w:val="00501FB2"/>
    <w:rsid w:val="005020B9"/>
    <w:rsid w:val="00502C33"/>
    <w:rsid w:val="00503B40"/>
    <w:rsid w:val="00504B9A"/>
    <w:rsid w:val="00504CC8"/>
    <w:rsid w:val="005050C9"/>
    <w:rsid w:val="005051E0"/>
    <w:rsid w:val="00507C50"/>
    <w:rsid w:val="00510526"/>
    <w:rsid w:val="00511EFA"/>
    <w:rsid w:val="00511FF5"/>
    <w:rsid w:val="0051251F"/>
    <w:rsid w:val="00512BE8"/>
    <w:rsid w:val="00512E05"/>
    <w:rsid w:val="00517339"/>
    <w:rsid w:val="00517460"/>
    <w:rsid w:val="005178E8"/>
    <w:rsid w:val="0052146B"/>
    <w:rsid w:val="00522896"/>
    <w:rsid w:val="0052386C"/>
    <w:rsid w:val="00524834"/>
    <w:rsid w:val="0052700B"/>
    <w:rsid w:val="00530E7E"/>
    <w:rsid w:val="00531452"/>
    <w:rsid w:val="00531B46"/>
    <w:rsid w:val="00534232"/>
    <w:rsid w:val="005342B2"/>
    <w:rsid w:val="00534B7E"/>
    <w:rsid w:val="00535636"/>
    <w:rsid w:val="0053733A"/>
    <w:rsid w:val="00540BA9"/>
    <w:rsid w:val="005472A5"/>
    <w:rsid w:val="00547627"/>
    <w:rsid w:val="00550D86"/>
    <w:rsid w:val="005541FC"/>
    <w:rsid w:val="00555B0A"/>
    <w:rsid w:val="0056060C"/>
    <w:rsid w:val="00560E80"/>
    <w:rsid w:val="00562036"/>
    <w:rsid w:val="00562EFB"/>
    <w:rsid w:val="00563AEC"/>
    <w:rsid w:val="005647AA"/>
    <w:rsid w:val="005647E0"/>
    <w:rsid w:val="005651BF"/>
    <w:rsid w:val="005658C9"/>
    <w:rsid w:val="00566787"/>
    <w:rsid w:val="005675A6"/>
    <w:rsid w:val="00567F30"/>
    <w:rsid w:val="0057074A"/>
    <w:rsid w:val="00573F8D"/>
    <w:rsid w:val="0057403B"/>
    <w:rsid w:val="00574A1E"/>
    <w:rsid w:val="00574AEB"/>
    <w:rsid w:val="00574F58"/>
    <w:rsid w:val="0057552F"/>
    <w:rsid w:val="00575CC2"/>
    <w:rsid w:val="00577BE2"/>
    <w:rsid w:val="00577D70"/>
    <w:rsid w:val="005809C4"/>
    <w:rsid w:val="00586D72"/>
    <w:rsid w:val="005903A2"/>
    <w:rsid w:val="005904CD"/>
    <w:rsid w:val="0059163B"/>
    <w:rsid w:val="00592047"/>
    <w:rsid w:val="005922E1"/>
    <w:rsid w:val="005A01EF"/>
    <w:rsid w:val="005A0BB7"/>
    <w:rsid w:val="005A2D64"/>
    <w:rsid w:val="005A56D2"/>
    <w:rsid w:val="005A6030"/>
    <w:rsid w:val="005B062A"/>
    <w:rsid w:val="005B0640"/>
    <w:rsid w:val="005B2CDB"/>
    <w:rsid w:val="005B4829"/>
    <w:rsid w:val="005B52C6"/>
    <w:rsid w:val="005B5908"/>
    <w:rsid w:val="005B6702"/>
    <w:rsid w:val="005B68FB"/>
    <w:rsid w:val="005B7BAC"/>
    <w:rsid w:val="005C0F8D"/>
    <w:rsid w:val="005C2152"/>
    <w:rsid w:val="005C34E7"/>
    <w:rsid w:val="005C3D24"/>
    <w:rsid w:val="005C5F6E"/>
    <w:rsid w:val="005C6661"/>
    <w:rsid w:val="005C7CED"/>
    <w:rsid w:val="005D0101"/>
    <w:rsid w:val="005D07DB"/>
    <w:rsid w:val="005D5219"/>
    <w:rsid w:val="005D5555"/>
    <w:rsid w:val="005D6303"/>
    <w:rsid w:val="005D6A2A"/>
    <w:rsid w:val="005D7036"/>
    <w:rsid w:val="005D70D8"/>
    <w:rsid w:val="005D737E"/>
    <w:rsid w:val="005D7D7A"/>
    <w:rsid w:val="005E16B0"/>
    <w:rsid w:val="005E1F34"/>
    <w:rsid w:val="005E30E9"/>
    <w:rsid w:val="005E3EA3"/>
    <w:rsid w:val="005E69CA"/>
    <w:rsid w:val="005E719D"/>
    <w:rsid w:val="005F02E6"/>
    <w:rsid w:val="005F100C"/>
    <w:rsid w:val="005F27DC"/>
    <w:rsid w:val="005F3390"/>
    <w:rsid w:val="005F3F9A"/>
    <w:rsid w:val="005F4629"/>
    <w:rsid w:val="005F53BD"/>
    <w:rsid w:val="005F542F"/>
    <w:rsid w:val="005F5653"/>
    <w:rsid w:val="005F66EC"/>
    <w:rsid w:val="005F6EA2"/>
    <w:rsid w:val="005F6F6F"/>
    <w:rsid w:val="005F7187"/>
    <w:rsid w:val="00601652"/>
    <w:rsid w:val="006021A2"/>
    <w:rsid w:val="00603D97"/>
    <w:rsid w:val="006054B0"/>
    <w:rsid w:val="00605CAD"/>
    <w:rsid w:val="006063D9"/>
    <w:rsid w:val="00613473"/>
    <w:rsid w:val="006143B9"/>
    <w:rsid w:val="00614BAC"/>
    <w:rsid w:val="006159E5"/>
    <w:rsid w:val="006164A0"/>
    <w:rsid w:val="00616D05"/>
    <w:rsid w:val="00617326"/>
    <w:rsid w:val="00620E7B"/>
    <w:rsid w:val="006216D0"/>
    <w:rsid w:val="00621889"/>
    <w:rsid w:val="00626094"/>
    <w:rsid w:val="0062651D"/>
    <w:rsid w:val="0062713C"/>
    <w:rsid w:val="0062753D"/>
    <w:rsid w:val="00627AF3"/>
    <w:rsid w:val="00627D8C"/>
    <w:rsid w:val="006324A3"/>
    <w:rsid w:val="0063425E"/>
    <w:rsid w:val="0063482B"/>
    <w:rsid w:val="006352CF"/>
    <w:rsid w:val="006355FD"/>
    <w:rsid w:val="006371AC"/>
    <w:rsid w:val="0063760D"/>
    <w:rsid w:val="00640044"/>
    <w:rsid w:val="006420AE"/>
    <w:rsid w:val="0064308D"/>
    <w:rsid w:val="006446AE"/>
    <w:rsid w:val="00644EC0"/>
    <w:rsid w:val="006457CC"/>
    <w:rsid w:val="006471E2"/>
    <w:rsid w:val="006512B7"/>
    <w:rsid w:val="00652592"/>
    <w:rsid w:val="006527CE"/>
    <w:rsid w:val="00653A37"/>
    <w:rsid w:val="006542FE"/>
    <w:rsid w:val="00654CA4"/>
    <w:rsid w:val="00655DB9"/>
    <w:rsid w:val="00656C00"/>
    <w:rsid w:val="00662350"/>
    <w:rsid w:val="00662AF2"/>
    <w:rsid w:val="0066395A"/>
    <w:rsid w:val="0066472E"/>
    <w:rsid w:val="006649DB"/>
    <w:rsid w:val="00664FA8"/>
    <w:rsid w:val="006657D0"/>
    <w:rsid w:val="00666195"/>
    <w:rsid w:val="00666943"/>
    <w:rsid w:val="00667162"/>
    <w:rsid w:val="00672387"/>
    <w:rsid w:val="00672624"/>
    <w:rsid w:val="00672DF6"/>
    <w:rsid w:val="00674D1F"/>
    <w:rsid w:val="006761AF"/>
    <w:rsid w:val="006765D0"/>
    <w:rsid w:val="006767B5"/>
    <w:rsid w:val="00676B7F"/>
    <w:rsid w:val="00676ECA"/>
    <w:rsid w:val="00677442"/>
    <w:rsid w:val="00680110"/>
    <w:rsid w:val="00682188"/>
    <w:rsid w:val="0068343C"/>
    <w:rsid w:val="00684024"/>
    <w:rsid w:val="00684BDB"/>
    <w:rsid w:val="00685A8E"/>
    <w:rsid w:val="00685B50"/>
    <w:rsid w:val="00690E1C"/>
    <w:rsid w:val="00691A08"/>
    <w:rsid w:val="00692886"/>
    <w:rsid w:val="006934C8"/>
    <w:rsid w:val="006971A2"/>
    <w:rsid w:val="006A07AB"/>
    <w:rsid w:val="006A30A5"/>
    <w:rsid w:val="006A4730"/>
    <w:rsid w:val="006A598D"/>
    <w:rsid w:val="006A6A54"/>
    <w:rsid w:val="006A7AC9"/>
    <w:rsid w:val="006A7B85"/>
    <w:rsid w:val="006A7F30"/>
    <w:rsid w:val="006B0232"/>
    <w:rsid w:val="006B195E"/>
    <w:rsid w:val="006B29F1"/>
    <w:rsid w:val="006B3403"/>
    <w:rsid w:val="006B430C"/>
    <w:rsid w:val="006B46EB"/>
    <w:rsid w:val="006B625B"/>
    <w:rsid w:val="006B6463"/>
    <w:rsid w:val="006B7C51"/>
    <w:rsid w:val="006C066C"/>
    <w:rsid w:val="006C184F"/>
    <w:rsid w:val="006C2A4E"/>
    <w:rsid w:val="006C3094"/>
    <w:rsid w:val="006C3E52"/>
    <w:rsid w:val="006C5B86"/>
    <w:rsid w:val="006C6597"/>
    <w:rsid w:val="006C6BCB"/>
    <w:rsid w:val="006C7395"/>
    <w:rsid w:val="006C7861"/>
    <w:rsid w:val="006D2908"/>
    <w:rsid w:val="006D29E7"/>
    <w:rsid w:val="006D31B7"/>
    <w:rsid w:val="006D47D9"/>
    <w:rsid w:val="006D6023"/>
    <w:rsid w:val="006D7D74"/>
    <w:rsid w:val="006E0C55"/>
    <w:rsid w:val="006E0D0D"/>
    <w:rsid w:val="006E0FB9"/>
    <w:rsid w:val="006E4318"/>
    <w:rsid w:val="006E5E41"/>
    <w:rsid w:val="006E615F"/>
    <w:rsid w:val="006E6E4B"/>
    <w:rsid w:val="006E7B34"/>
    <w:rsid w:val="006F18A0"/>
    <w:rsid w:val="006F1B55"/>
    <w:rsid w:val="006F1F42"/>
    <w:rsid w:val="006F245E"/>
    <w:rsid w:val="006F282C"/>
    <w:rsid w:val="006F3D35"/>
    <w:rsid w:val="006F3DEE"/>
    <w:rsid w:val="006F3E0E"/>
    <w:rsid w:val="006F6982"/>
    <w:rsid w:val="006F703A"/>
    <w:rsid w:val="006F772F"/>
    <w:rsid w:val="007002C2"/>
    <w:rsid w:val="00703B6B"/>
    <w:rsid w:val="00704485"/>
    <w:rsid w:val="00705022"/>
    <w:rsid w:val="007062F0"/>
    <w:rsid w:val="00706F44"/>
    <w:rsid w:val="007117CB"/>
    <w:rsid w:val="007127F8"/>
    <w:rsid w:val="00714153"/>
    <w:rsid w:val="00714345"/>
    <w:rsid w:val="0071458D"/>
    <w:rsid w:val="0071585E"/>
    <w:rsid w:val="007207E8"/>
    <w:rsid w:val="00721CC4"/>
    <w:rsid w:val="00721F88"/>
    <w:rsid w:val="007220DE"/>
    <w:rsid w:val="0072256A"/>
    <w:rsid w:val="0072278E"/>
    <w:rsid w:val="00722CBF"/>
    <w:rsid w:val="00724146"/>
    <w:rsid w:val="007252B8"/>
    <w:rsid w:val="00726A1A"/>
    <w:rsid w:val="00726C23"/>
    <w:rsid w:val="00731A12"/>
    <w:rsid w:val="00732A67"/>
    <w:rsid w:val="00732E0C"/>
    <w:rsid w:val="0073469E"/>
    <w:rsid w:val="00735080"/>
    <w:rsid w:val="00735759"/>
    <w:rsid w:val="00737871"/>
    <w:rsid w:val="00741EEA"/>
    <w:rsid w:val="00742653"/>
    <w:rsid w:val="00743C54"/>
    <w:rsid w:val="007462EB"/>
    <w:rsid w:val="00747CAB"/>
    <w:rsid w:val="007501C6"/>
    <w:rsid w:val="0075445F"/>
    <w:rsid w:val="0075454E"/>
    <w:rsid w:val="0076091B"/>
    <w:rsid w:val="00760F66"/>
    <w:rsid w:val="00762D26"/>
    <w:rsid w:val="00767E78"/>
    <w:rsid w:val="00767F36"/>
    <w:rsid w:val="00770636"/>
    <w:rsid w:val="007719F1"/>
    <w:rsid w:val="00773965"/>
    <w:rsid w:val="00775020"/>
    <w:rsid w:val="007764E8"/>
    <w:rsid w:val="00776B97"/>
    <w:rsid w:val="00780AD3"/>
    <w:rsid w:val="00782128"/>
    <w:rsid w:val="00782E55"/>
    <w:rsid w:val="00782FF1"/>
    <w:rsid w:val="0078304B"/>
    <w:rsid w:val="0078437A"/>
    <w:rsid w:val="00784C38"/>
    <w:rsid w:val="00787287"/>
    <w:rsid w:val="00790A50"/>
    <w:rsid w:val="00796389"/>
    <w:rsid w:val="00797121"/>
    <w:rsid w:val="007A247B"/>
    <w:rsid w:val="007A2ACB"/>
    <w:rsid w:val="007A393C"/>
    <w:rsid w:val="007A3B39"/>
    <w:rsid w:val="007A4387"/>
    <w:rsid w:val="007A5EBE"/>
    <w:rsid w:val="007A6A8F"/>
    <w:rsid w:val="007B00E3"/>
    <w:rsid w:val="007B0C23"/>
    <w:rsid w:val="007B1D99"/>
    <w:rsid w:val="007B3476"/>
    <w:rsid w:val="007B4EF9"/>
    <w:rsid w:val="007B614D"/>
    <w:rsid w:val="007B6551"/>
    <w:rsid w:val="007B747C"/>
    <w:rsid w:val="007C1421"/>
    <w:rsid w:val="007C14A6"/>
    <w:rsid w:val="007C367B"/>
    <w:rsid w:val="007C47DE"/>
    <w:rsid w:val="007C48F0"/>
    <w:rsid w:val="007C7071"/>
    <w:rsid w:val="007D2197"/>
    <w:rsid w:val="007D24C6"/>
    <w:rsid w:val="007D39E3"/>
    <w:rsid w:val="007D4019"/>
    <w:rsid w:val="007D4080"/>
    <w:rsid w:val="007D413D"/>
    <w:rsid w:val="007D43AF"/>
    <w:rsid w:val="007D5477"/>
    <w:rsid w:val="007E1471"/>
    <w:rsid w:val="007E558E"/>
    <w:rsid w:val="007E62B6"/>
    <w:rsid w:val="007E7E68"/>
    <w:rsid w:val="007F0F36"/>
    <w:rsid w:val="007F1509"/>
    <w:rsid w:val="007F2C3F"/>
    <w:rsid w:val="007F37F8"/>
    <w:rsid w:val="008010E6"/>
    <w:rsid w:val="00801D07"/>
    <w:rsid w:val="008027CA"/>
    <w:rsid w:val="00803B2A"/>
    <w:rsid w:val="0080461C"/>
    <w:rsid w:val="00804A46"/>
    <w:rsid w:val="00804F5C"/>
    <w:rsid w:val="00806F48"/>
    <w:rsid w:val="00806FF5"/>
    <w:rsid w:val="008071D2"/>
    <w:rsid w:val="0080799B"/>
    <w:rsid w:val="00807A66"/>
    <w:rsid w:val="00812222"/>
    <w:rsid w:val="00812433"/>
    <w:rsid w:val="008131BB"/>
    <w:rsid w:val="0081427D"/>
    <w:rsid w:val="00815B10"/>
    <w:rsid w:val="008161A1"/>
    <w:rsid w:val="00816911"/>
    <w:rsid w:val="00817335"/>
    <w:rsid w:val="008201E7"/>
    <w:rsid w:val="0082097D"/>
    <w:rsid w:val="00821162"/>
    <w:rsid w:val="0082238B"/>
    <w:rsid w:val="0082396F"/>
    <w:rsid w:val="00824C20"/>
    <w:rsid w:val="00825E78"/>
    <w:rsid w:val="0082601A"/>
    <w:rsid w:val="0083028F"/>
    <w:rsid w:val="00830CE1"/>
    <w:rsid w:val="008337A4"/>
    <w:rsid w:val="00833945"/>
    <w:rsid w:val="008340F2"/>
    <w:rsid w:val="008351B5"/>
    <w:rsid w:val="00840B3F"/>
    <w:rsid w:val="00841F1F"/>
    <w:rsid w:val="00842596"/>
    <w:rsid w:val="00844C47"/>
    <w:rsid w:val="0084525A"/>
    <w:rsid w:val="0084579F"/>
    <w:rsid w:val="00846BC7"/>
    <w:rsid w:val="0084797B"/>
    <w:rsid w:val="00852036"/>
    <w:rsid w:val="00852D98"/>
    <w:rsid w:val="00852F72"/>
    <w:rsid w:val="0085439C"/>
    <w:rsid w:val="008547A5"/>
    <w:rsid w:val="008556DF"/>
    <w:rsid w:val="00855921"/>
    <w:rsid w:val="00856588"/>
    <w:rsid w:val="00860A05"/>
    <w:rsid w:val="008613CD"/>
    <w:rsid w:val="008627B1"/>
    <w:rsid w:val="008628B5"/>
    <w:rsid w:val="00863076"/>
    <w:rsid w:val="0086463B"/>
    <w:rsid w:val="00864D1D"/>
    <w:rsid w:val="00867018"/>
    <w:rsid w:val="00867B4C"/>
    <w:rsid w:val="00870BA7"/>
    <w:rsid w:val="00871C09"/>
    <w:rsid w:val="008724E7"/>
    <w:rsid w:val="00874427"/>
    <w:rsid w:val="00877ADC"/>
    <w:rsid w:val="0088045B"/>
    <w:rsid w:val="00880653"/>
    <w:rsid w:val="00880943"/>
    <w:rsid w:val="00880ADB"/>
    <w:rsid w:val="00880F6F"/>
    <w:rsid w:val="00883149"/>
    <w:rsid w:val="0088411D"/>
    <w:rsid w:val="008847CC"/>
    <w:rsid w:val="00885FAA"/>
    <w:rsid w:val="00886533"/>
    <w:rsid w:val="00887981"/>
    <w:rsid w:val="00887F81"/>
    <w:rsid w:val="008909F1"/>
    <w:rsid w:val="008915EC"/>
    <w:rsid w:val="00892488"/>
    <w:rsid w:val="00894C12"/>
    <w:rsid w:val="008974CE"/>
    <w:rsid w:val="008A07C9"/>
    <w:rsid w:val="008A0990"/>
    <w:rsid w:val="008A37FD"/>
    <w:rsid w:val="008A3A3E"/>
    <w:rsid w:val="008A6066"/>
    <w:rsid w:val="008A6469"/>
    <w:rsid w:val="008A64D6"/>
    <w:rsid w:val="008A6702"/>
    <w:rsid w:val="008A7CAC"/>
    <w:rsid w:val="008A7EDB"/>
    <w:rsid w:val="008B040B"/>
    <w:rsid w:val="008B05F8"/>
    <w:rsid w:val="008B0FB4"/>
    <w:rsid w:val="008B264E"/>
    <w:rsid w:val="008B5F2C"/>
    <w:rsid w:val="008C0793"/>
    <w:rsid w:val="008C1101"/>
    <w:rsid w:val="008C2521"/>
    <w:rsid w:val="008C2C6B"/>
    <w:rsid w:val="008C31EC"/>
    <w:rsid w:val="008C3265"/>
    <w:rsid w:val="008C35A0"/>
    <w:rsid w:val="008C43A9"/>
    <w:rsid w:val="008C5B74"/>
    <w:rsid w:val="008D0618"/>
    <w:rsid w:val="008D08BE"/>
    <w:rsid w:val="008D0CD8"/>
    <w:rsid w:val="008D0D31"/>
    <w:rsid w:val="008D2095"/>
    <w:rsid w:val="008D39A0"/>
    <w:rsid w:val="008D5A92"/>
    <w:rsid w:val="008D6289"/>
    <w:rsid w:val="008D696B"/>
    <w:rsid w:val="008E2D0C"/>
    <w:rsid w:val="008F0119"/>
    <w:rsid w:val="008F1267"/>
    <w:rsid w:val="008F17C5"/>
    <w:rsid w:val="008F1973"/>
    <w:rsid w:val="008F1ACC"/>
    <w:rsid w:val="008F373B"/>
    <w:rsid w:val="008F4348"/>
    <w:rsid w:val="008F5C15"/>
    <w:rsid w:val="008F6108"/>
    <w:rsid w:val="008F79BA"/>
    <w:rsid w:val="0090339D"/>
    <w:rsid w:val="009039F9"/>
    <w:rsid w:val="0090481D"/>
    <w:rsid w:val="00904EA8"/>
    <w:rsid w:val="009058D7"/>
    <w:rsid w:val="00906ABF"/>
    <w:rsid w:val="00907784"/>
    <w:rsid w:val="00907E8C"/>
    <w:rsid w:val="00913A9D"/>
    <w:rsid w:val="00913F8C"/>
    <w:rsid w:val="009150FE"/>
    <w:rsid w:val="0091615B"/>
    <w:rsid w:val="00916453"/>
    <w:rsid w:val="00917255"/>
    <w:rsid w:val="009172F7"/>
    <w:rsid w:val="00921460"/>
    <w:rsid w:val="00921F10"/>
    <w:rsid w:val="00922A3A"/>
    <w:rsid w:val="00923223"/>
    <w:rsid w:val="0092354D"/>
    <w:rsid w:val="009237F3"/>
    <w:rsid w:val="009238D3"/>
    <w:rsid w:val="009256E9"/>
    <w:rsid w:val="00926058"/>
    <w:rsid w:val="0092622A"/>
    <w:rsid w:val="0092682A"/>
    <w:rsid w:val="00927165"/>
    <w:rsid w:val="0093164A"/>
    <w:rsid w:val="009323BF"/>
    <w:rsid w:val="0093250E"/>
    <w:rsid w:val="00935B3D"/>
    <w:rsid w:val="00935EBD"/>
    <w:rsid w:val="00936238"/>
    <w:rsid w:val="009406CD"/>
    <w:rsid w:val="00940813"/>
    <w:rsid w:val="0094096C"/>
    <w:rsid w:val="00940F7A"/>
    <w:rsid w:val="00942F1C"/>
    <w:rsid w:val="00943217"/>
    <w:rsid w:val="00944A10"/>
    <w:rsid w:val="00945349"/>
    <w:rsid w:val="00946E36"/>
    <w:rsid w:val="00947C9F"/>
    <w:rsid w:val="00950A00"/>
    <w:rsid w:val="00950E70"/>
    <w:rsid w:val="00953280"/>
    <w:rsid w:val="0095562B"/>
    <w:rsid w:val="009559A2"/>
    <w:rsid w:val="00955F52"/>
    <w:rsid w:val="00955F84"/>
    <w:rsid w:val="009561AE"/>
    <w:rsid w:val="00956925"/>
    <w:rsid w:val="00962F52"/>
    <w:rsid w:val="00963135"/>
    <w:rsid w:val="00963CC9"/>
    <w:rsid w:val="00970129"/>
    <w:rsid w:val="009709BD"/>
    <w:rsid w:val="00970F29"/>
    <w:rsid w:val="0097180E"/>
    <w:rsid w:val="0097242D"/>
    <w:rsid w:val="009724A8"/>
    <w:rsid w:val="0097280B"/>
    <w:rsid w:val="00973FA6"/>
    <w:rsid w:val="0097555E"/>
    <w:rsid w:val="0097555F"/>
    <w:rsid w:val="009756A0"/>
    <w:rsid w:val="00976794"/>
    <w:rsid w:val="00977663"/>
    <w:rsid w:val="00981A25"/>
    <w:rsid w:val="00982D03"/>
    <w:rsid w:val="00983DA8"/>
    <w:rsid w:val="00983E7A"/>
    <w:rsid w:val="00983FED"/>
    <w:rsid w:val="009843D7"/>
    <w:rsid w:val="009850D5"/>
    <w:rsid w:val="009862D1"/>
    <w:rsid w:val="009865D5"/>
    <w:rsid w:val="009866BF"/>
    <w:rsid w:val="00986C3E"/>
    <w:rsid w:val="009911EE"/>
    <w:rsid w:val="0099283B"/>
    <w:rsid w:val="009954E3"/>
    <w:rsid w:val="009959E2"/>
    <w:rsid w:val="0099768C"/>
    <w:rsid w:val="009977BE"/>
    <w:rsid w:val="009A330A"/>
    <w:rsid w:val="009A3F30"/>
    <w:rsid w:val="009A48D3"/>
    <w:rsid w:val="009A5971"/>
    <w:rsid w:val="009A7CD9"/>
    <w:rsid w:val="009B147A"/>
    <w:rsid w:val="009B14EB"/>
    <w:rsid w:val="009B1A5C"/>
    <w:rsid w:val="009B1A7F"/>
    <w:rsid w:val="009B2AE6"/>
    <w:rsid w:val="009B5C6D"/>
    <w:rsid w:val="009B6808"/>
    <w:rsid w:val="009B72AB"/>
    <w:rsid w:val="009C0F3C"/>
    <w:rsid w:val="009C1116"/>
    <w:rsid w:val="009C11D4"/>
    <w:rsid w:val="009C1E51"/>
    <w:rsid w:val="009C21CC"/>
    <w:rsid w:val="009C2645"/>
    <w:rsid w:val="009C2B46"/>
    <w:rsid w:val="009C382A"/>
    <w:rsid w:val="009C43A7"/>
    <w:rsid w:val="009C57C2"/>
    <w:rsid w:val="009C5F42"/>
    <w:rsid w:val="009C5FC8"/>
    <w:rsid w:val="009C70DF"/>
    <w:rsid w:val="009C7A07"/>
    <w:rsid w:val="009C7E17"/>
    <w:rsid w:val="009D0685"/>
    <w:rsid w:val="009D0790"/>
    <w:rsid w:val="009D1606"/>
    <w:rsid w:val="009D36ED"/>
    <w:rsid w:val="009D4240"/>
    <w:rsid w:val="009D5FB2"/>
    <w:rsid w:val="009D65F6"/>
    <w:rsid w:val="009E003F"/>
    <w:rsid w:val="009E0090"/>
    <w:rsid w:val="009E21E0"/>
    <w:rsid w:val="009E2200"/>
    <w:rsid w:val="009E31DF"/>
    <w:rsid w:val="009E37A9"/>
    <w:rsid w:val="009E39AC"/>
    <w:rsid w:val="009E4BE1"/>
    <w:rsid w:val="009E7361"/>
    <w:rsid w:val="009E78BF"/>
    <w:rsid w:val="009F05F5"/>
    <w:rsid w:val="009F2546"/>
    <w:rsid w:val="009F3F28"/>
    <w:rsid w:val="009F41EB"/>
    <w:rsid w:val="009F487D"/>
    <w:rsid w:val="009F4C46"/>
    <w:rsid w:val="009F5F01"/>
    <w:rsid w:val="009F68EF"/>
    <w:rsid w:val="009F747C"/>
    <w:rsid w:val="009F7994"/>
    <w:rsid w:val="00A00040"/>
    <w:rsid w:val="00A002C4"/>
    <w:rsid w:val="00A009EF"/>
    <w:rsid w:val="00A00BE1"/>
    <w:rsid w:val="00A00BFE"/>
    <w:rsid w:val="00A0151B"/>
    <w:rsid w:val="00A01D86"/>
    <w:rsid w:val="00A026B5"/>
    <w:rsid w:val="00A031F3"/>
    <w:rsid w:val="00A04550"/>
    <w:rsid w:val="00A04740"/>
    <w:rsid w:val="00A0583D"/>
    <w:rsid w:val="00A05F9E"/>
    <w:rsid w:val="00A061D6"/>
    <w:rsid w:val="00A101F2"/>
    <w:rsid w:val="00A109A7"/>
    <w:rsid w:val="00A10E93"/>
    <w:rsid w:val="00A11E85"/>
    <w:rsid w:val="00A132B6"/>
    <w:rsid w:val="00A14BB5"/>
    <w:rsid w:val="00A14CD9"/>
    <w:rsid w:val="00A152C3"/>
    <w:rsid w:val="00A15C9F"/>
    <w:rsid w:val="00A1658C"/>
    <w:rsid w:val="00A16C8E"/>
    <w:rsid w:val="00A20469"/>
    <w:rsid w:val="00A21DD7"/>
    <w:rsid w:val="00A223F3"/>
    <w:rsid w:val="00A2407B"/>
    <w:rsid w:val="00A248D8"/>
    <w:rsid w:val="00A255AF"/>
    <w:rsid w:val="00A2599E"/>
    <w:rsid w:val="00A25EEC"/>
    <w:rsid w:val="00A279CA"/>
    <w:rsid w:val="00A32BB3"/>
    <w:rsid w:val="00A32F5E"/>
    <w:rsid w:val="00A33C98"/>
    <w:rsid w:val="00A342DB"/>
    <w:rsid w:val="00A3513E"/>
    <w:rsid w:val="00A35A24"/>
    <w:rsid w:val="00A37C75"/>
    <w:rsid w:val="00A40BF0"/>
    <w:rsid w:val="00A410CA"/>
    <w:rsid w:val="00A416B4"/>
    <w:rsid w:val="00A41744"/>
    <w:rsid w:val="00A42160"/>
    <w:rsid w:val="00A42F49"/>
    <w:rsid w:val="00A44201"/>
    <w:rsid w:val="00A46ED9"/>
    <w:rsid w:val="00A5336C"/>
    <w:rsid w:val="00A537E0"/>
    <w:rsid w:val="00A569C7"/>
    <w:rsid w:val="00A57848"/>
    <w:rsid w:val="00A60473"/>
    <w:rsid w:val="00A613D5"/>
    <w:rsid w:val="00A61899"/>
    <w:rsid w:val="00A66A63"/>
    <w:rsid w:val="00A675A0"/>
    <w:rsid w:val="00A67641"/>
    <w:rsid w:val="00A723B1"/>
    <w:rsid w:val="00A72646"/>
    <w:rsid w:val="00A7333E"/>
    <w:rsid w:val="00A7344B"/>
    <w:rsid w:val="00A759AB"/>
    <w:rsid w:val="00A75F04"/>
    <w:rsid w:val="00A7731A"/>
    <w:rsid w:val="00A77E0F"/>
    <w:rsid w:val="00A80A11"/>
    <w:rsid w:val="00A81207"/>
    <w:rsid w:val="00A830C0"/>
    <w:rsid w:val="00A8375A"/>
    <w:rsid w:val="00A83C77"/>
    <w:rsid w:val="00A840F2"/>
    <w:rsid w:val="00A859E2"/>
    <w:rsid w:val="00A85F06"/>
    <w:rsid w:val="00A90008"/>
    <w:rsid w:val="00A93291"/>
    <w:rsid w:val="00A9572D"/>
    <w:rsid w:val="00A959EA"/>
    <w:rsid w:val="00A97812"/>
    <w:rsid w:val="00AA0029"/>
    <w:rsid w:val="00AA0581"/>
    <w:rsid w:val="00AA20D3"/>
    <w:rsid w:val="00AA2246"/>
    <w:rsid w:val="00AA2C81"/>
    <w:rsid w:val="00AA3317"/>
    <w:rsid w:val="00AA3AA9"/>
    <w:rsid w:val="00AA3EDB"/>
    <w:rsid w:val="00AA4528"/>
    <w:rsid w:val="00AA66C7"/>
    <w:rsid w:val="00AB1478"/>
    <w:rsid w:val="00AB1E90"/>
    <w:rsid w:val="00AB2064"/>
    <w:rsid w:val="00AB26BB"/>
    <w:rsid w:val="00AB44F0"/>
    <w:rsid w:val="00AB525B"/>
    <w:rsid w:val="00AB551D"/>
    <w:rsid w:val="00AB5B47"/>
    <w:rsid w:val="00AC0D15"/>
    <w:rsid w:val="00AC1415"/>
    <w:rsid w:val="00AC2B20"/>
    <w:rsid w:val="00AC3A6B"/>
    <w:rsid w:val="00AC50F4"/>
    <w:rsid w:val="00AC7161"/>
    <w:rsid w:val="00AD0648"/>
    <w:rsid w:val="00AD27DF"/>
    <w:rsid w:val="00AD6475"/>
    <w:rsid w:val="00AD73FC"/>
    <w:rsid w:val="00AE0DFE"/>
    <w:rsid w:val="00AE116B"/>
    <w:rsid w:val="00AE2A8C"/>
    <w:rsid w:val="00AE3BF5"/>
    <w:rsid w:val="00AE4857"/>
    <w:rsid w:val="00AF0F03"/>
    <w:rsid w:val="00AF14A7"/>
    <w:rsid w:val="00AF53CD"/>
    <w:rsid w:val="00AF5EB9"/>
    <w:rsid w:val="00AF62D7"/>
    <w:rsid w:val="00B00130"/>
    <w:rsid w:val="00B0026A"/>
    <w:rsid w:val="00B00FAC"/>
    <w:rsid w:val="00B01997"/>
    <w:rsid w:val="00B029EF"/>
    <w:rsid w:val="00B033A6"/>
    <w:rsid w:val="00B048ED"/>
    <w:rsid w:val="00B07E74"/>
    <w:rsid w:val="00B10796"/>
    <w:rsid w:val="00B111A7"/>
    <w:rsid w:val="00B12D4A"/>
    <w:rsid w:val="00B144B9"/>
    <w:rsid w:val="00B17042"/>
    <w:rsid w:val="00B17770"/>
    <w:rsid w:val="00B2243B"/>
    <w:rsid w:val="00B233B5"/>
    <w:rsid w:val="00B23F10"/>
    <w:rsid w:val="00B2418F"/>
    <w:rsid w:val="00B25F81"/>
    <w:rsid w:val="00B310D1"/>
    <w:rsid w:val="00B316A8"/>
    <w:rsid w:val="00B31FF6"/>
    <w:rsid w:val="00B3327E"/>
    <w:rsid w:val="00B33CF6"/>
    <w:rsid w:val="00B3471D"/>
    <w:rsid w:val="00B35B66"/>
    <w:rsid w:val="00B366AB"/>
    <w:rsid w:val="00B37000"/>
    <w:rsid w:val="00B42464"/>
    <w:rsid w:val="00B42519"/>
    <w:rsid w:val="00B43148"/>
    <w:rsid w:val="00B43E35"/>
    <w:rsid w:val="00B45476"/>
    <w:rsid w:val="00B47E4B"/>
    <w:rsid w:val="00B52FE8"/>
    <w:rsid w:val="00B538A1"/>
    <w:rsid w:val="00B55137"/>
    <w:rsid w:val="00B57608"/>
    <w:rsid w:val="00B603BC"/>
    <w:rsid w:val="00B6077D"/>
    <w:rsid w:val="00B65C28"/>
    <w:rsid w:val="00B66E65"/>
    <w:rsid w:val="00B6721B"/>
    <w:rsid w:val="00B67D91"/>
    <w:rsid w:val="00B70A5F"/>
    <w:rsid w:val="00B70B30"/>
    <w:rsid w:val="00B70BA4"/>
    <w:rsid w:val="00B72311"/>
    <w:rsid w:val="00B72941"/>
    <w:rsid w:val="00B73712"/>
    <w:rsid w:val="00B75946"/>
    <w:rsid w:val="00B75FC6"/>
    <w:rsid w:val="00B76D54"/>
    <w:rsid w:val="00B777A5"/>
    <w:rsid w:val="00B804B7"/>
    <w:rsid w:val="00B804EF"/>
    <w:rsid w:val="00B81062"/>
    <w:rsid w:val="00B810A8"/>
    <w:rsid w:val="00B8155F"/>
    <w:rsid w:val="00B81DDA"/>
    <w:rsid w:val="00B8216F"/>
    <w:rsid w:val="00B8260C"/>
    <w:rsid w:val="00B83459"/>
    <w:rsid w:val="00B835CF"/>
    <w:rsid w:val="00B849A7"/>
    <w:rsid w:val="00B87643"/>
    <w:rsid w:val="00B90588"/>
    <w:rsid w:val="00B94A2B"/>
    <w:rsid w:val="00B94D0D"/>
    <w:rsid w:val="00B9529A"/>
    <w:rsid w:val="00B961F2"/>
    <w:rsid w:val="00BA160F"/>
    <w:rsid w:val="00BA1B01"/>
    <w:rsid w:val="00BA3C52"/>
    <w:rsid w:val="00BA66B8"/>
    <w:rsid w:val="00BA689B"/>
    <w:rsid w:val="00BA6BF3"/>
    <w:rsid w:val="00BA7892"/>
    <w:rsid w:val="00BA7AE5"/>
    <w:rsid w:val="00BA7B01"/>
    <w:rsid w:val="00BA7C0B"/>
    <w:rsid w:val="00BB0741"/>
    <w:rsid w:val="00BB0DB2"/>
    <w:rsid w:val="00BB173D"/>
    <w:rsid w:val="00BB25EA"/>
    <w:rsid w:val="00BB3278"/>
    <w:rsid w:val="00BB62E8"/>
    <w:rsid w:val="00BB64D7"/>
    <w:rsid w:val="00BB6861"/>
    <w:rsid w:val="00BB6A11"/>
    <w:rsid w:val="00BB7916"/>
    <w:rsid w:val="00BC01FF"/>
    <w:rsid w:val="00BC0BC0"/>
    <w:rsid w:val="00BC111F"/>
    <w:rsid w:val="00BC1618"/>
    <w:rsid w:val="00BC33D1"/>
    <w:rsid w:val="00BC4ADF"/>
    <w:rsid w:val="00BC5A10"/>
    <w:rsid w:val="00BC5F33"/>
    <w:rsid w:val="00BC6527"/>
    <w:rsid w:val="00BC76D5"/>
    <w:rsid w:val="00BD002C"/>
    <w:rsid w:val="00BD23B1"/>
    <w:rsid w:val="00BD3826"/>
    <w:rsid w:val="00BD491D"/>
    <w:rsid w:val="00BD53CA"/>
    <w:rsid w:val="00BD719F"/>
    <w:rsid w:val="00BE03B6"/>
    <w:rsid w:val="00BE0879"/>
    <w:rsid w:val="00BE4525"/>
    <w:rsid w:val="00BE55D8"/>
    <w:rsid w:val="00BE59DB"/>
    <w:rsid w:val="00BE5B84"/>
    <w:rsid w:val="00BE6998"/>
    <w:rsid w:val="00BF18CA"/>
    <w:rsid w:val="00BF1DA2"/>
    <w:rsid w:val="00BF3185"/>
    <w:rsid w:val="00BF32B3"/>
    <w:rsid w:val="00BF57C8"/>
    <w:rsid w:val="00BF5C4C"/>
    <w:rsid w:val="00BF6F90"/>
    <w:rsid w:val="00BF70D7"/>
    <w:rsid w:val="00C00281"/>
    <w:rsid w:val="00C01044"/>
    <w:rsid w:val="00C02934"/>
    <w:rsid w:val="00C038D9"/>
    <w:rsid w:val="00C03A52"/>
    <w:rsid w:val="00C0576E"/>
    <w:rsid w:val="00C062B7"/>
    <w:rsid w:val="00C0796C"/>
    <w:rsid w:val="00C07F94"/>
    <w:rsid w:val="00C13EE5"/>
    <w:rsid w:val="00C165E9"/>
    <w:rsid w:val="00C1730D"/>
    <w:rsid w:val="00C1755C"/>
    <w:rsid w:val="00C177DD"/>
    <w:rsid w:val="00C200E9"/>
    <w:rsid w:val="00C218B9"/>
    <w:rsid w:val="00C22029"/>
    <w:rsid w:val="00C23595"/>
    <w:rsid w:val="00C242B6"/>
    <w:rsid w:val="00C2430B"/>
    <w:rsid w:val="00C26351"/>
    <w:rsid w:val="00C30764"/>
    <w:rsid w:val="00C307FB"/>
    <w:rsid w:val="00C3087F"/>
    <w:rsid w:val="00C33B83"/>
    <w:rsid w:val="00C35AA2"/>
    <w:rsid w:val="00C37512"/>
    <w:rsid w:val="00C405FA"/>
    <w:rsid w:val="00C408A3"/>
    <w:rsid w:val="00C41DEA"/>
    <w:rsid w:val="00C44508"/>
    <w:rsid w:val="00C47276"/>
    <w:rsid w:val="00C47DB9"/>
    <w:rsid w:val="00C50F53"/>
    <w:rsid w:val="00C532C9"/>
    <w:rsid w:val="00C53DA6"/>
    <w:rsid w:val="00C57813"/>
    <w:rsid w:val="00C60367"/>
    <w:rsid w:val="00C619E0"/>
    <w:rsid w:val="00C62A7F"/>
    <w:rsid w:val="00C6342E"/>
    <w:rsid w:val="00C6345F"/>
    <w:rsid w:val="00C63733"/>
    <w:rsid w:val="00C63763"/>
    <w:rsid w:val="00C63F96"/>
    <w:rsid w:val="00C6413C"/>
    <w:rsid w:val="00C64AFF"/>
    <w:rsid w:val="00C64F81"/>
    <w:rsid w:val="00C65FF8"/>
    <w:rsid w:val="00C663A9"/>
    <w:rsid w:val="00C666A7"/>
    <w:rsid w:val="00C70187"/>
    <w:rsid w:val="00C71428"/>
    <w:rsid w:val="00C72C74"/>
    <w:rsid w:val="00C72CA7"/>
    <w:rsid w:val="00C730EE"/>
    <w:rsid w:val="00C740EA"/>
    <w:rsid w:val="00C741F3"/>
    <w:rsid w:val="00C74475"/>
    <w:rsid w:val="00C77DF0"/>
    <w:rsid w:val="00C80273"/>
    <w:rsid w:val="00C8130F"/>
    <w:rsid w:val="00C823FA"/>
    <w:rsid w:val="00C8266F"/>
    <w:rsid w:val="00C82FC5"/>
    <w:rsid w:val="00C84BD6"/>
    <w:rsid w:val="00C86465"/>
    <w:rsid w:val="00C8767F"/>
    <w:rsid w:val="00C911C1"/>
    <w:rsid w:val="00C92481"/>
    <w:rsid w:val="00C92B04"/>
    <w:rsid w:val="00C9318D"/>
    <w:rsid w:val="00C9344C"/>
    <w:rsid w:val="00C939CB"/>
    <w:rsid w:val="00C9635A"/>
    <w:rsid w:val="00CA01F8"/>
    <w:rsid w:val="00CA2B10"/>
    <w:rsid w:val="00CA32DE"/>
    <w:rsid w:val="00CA51EB"/>
    <w:rsid w:val="00CA6DE9"/>
    <w:rsid w:val="00CB03BE"/>
    <w:rsid w:val="00CB12B6"/>
    <w:rsid w:val="00CB1E5D"/>
    <w:rsid w:val="00CB2127"/>
    <w:rsid w:val="00CB224A"/>
    <w:rsid w:val="00CB4275"/>
    <w:rsid w:val="00CB539F"/>
    <w:rsid w:val="00CB5FB5"/>
    <w:rsid w:val="00CB697A"/>
    <w:rsid w:val="00CB6A9A"/>
    <w:rsid w:val="00CB6AA7"/>
    <w:rsid w:val="00CC02C5"/>
    <w:rsid w:val="00CC0385"/>
    <w:rsid w:val="00CC086B"/>
    <w:rsid w:val="00CC0EA1"/>
    <w:rsid w:val="00CC1A8A"/>
    <w:rsid w:val="00CC2B32"/>
    <w:rsid w:val="00CC2C35"/>
    <w:rsid w:val="00CC3BD3"/>
    <w:rsid w:val="00CC579F"/>
    <w:rsid w:val="00CC67EF"/>
    <w:rsid w:val="00CC755F"/>
    <w:rsid w:val="00CC7614"/>
    <w:rsid w:val="00CC7B9F"/>
    <w:rsid w:val="00CC7F11"/>
    <w:rsid w:val="00CC7FB7"/>
    <w:rsid w:val="00CD0581"/>
    <w:rsid w:val="00CD0632"/>
    <w:rsid w:val="00CD0EB4"/>
    <w:rsid w:val="00CD1967"/>
    <w:rsid w:val="00CD1BBD"/>
    <w:rsid w:val="00CD3037"/>
    <w:rsid w:val="00CD352D"/>
    <w:rsid w:val="00CD4D49"/>
    <w:rsid w:val="00CE339A"/>
    <w:rsid w:val="00CE47E8"/>
    <w:rsid w:val="00CE59F6"/>
    <w:rsid w:val="00CE7992"/>
    <w:rsid w:val="00CE7A35"/>
    <w:rsid w:val="00CF0660"/>
    <w:rsid w:val="00CF0DBF"/>
    <w:rsid w:val="00CF0E17"/>
    <w:rsid w:val="00CF19B7"/>
    <w:rsid w:val="00CF218A"/>
    <w:rsid w:val="00CF77D1"/>
    <w:rsid w:val="00D00B81"/>
    <w:rsid w:val="00D01001"/>
    <w:rsid w:val="00D01A12"/>
    <w:rsid w:val="00D04E8B"/>
    <w:rsid w:val="00D068F8"/>
    <w:rsid w:val="00D10EB1"/>
    <w:rsid w:val="00D11517"/>
    <w:rsid w:val="00D11BDE"/>
    <w:rsid w:val="00D136F7"/>
    <w:rsid w:val="00D13C66"/>
    <w:rsid w:val="00D14DD0"/>
    <w:rsid w:val="00D157A4"/>
    <w:rsid w:val="00D172BB"/>
    <w:rsid w:val="00D173E0"/>
    <w:rsid w:val="00D23C0D"/>
    <w:rsid w:val="00D24E1E"/>
    <w:rsid w:val="00D25C58"/>
    <w:rsid w:val="00D27E8A"/>
    <w:rsid w:val="00D3111F"/>
    <w:rsid w:val="00D34176"/>
    <w:rsid w:val="00D34AE8"/>
    <w:rsid w:val="00D34F6E"/>
    <w:rsid w:val="00D4005D"/>
    <w:rsid w:val="00D40F35"/>
    <w:rsid w:val="00D41E30"/>
    <w:rsid w:val="00D4303D"/>
    <w:rsid w:val="00D43D0E"/>
    <w:rsid w:val="00D447BD"/>
    <w:rsid w:val="00D46242"/>
    <w:rsid w:val="00D46334"/>
    <w:rsid w:val="00D46F04"/>
    <w:rsid w:val="00D510B1"/>
    <w:rsid w:val="00D5346E"/>
    <w:rsid w:val="00D53483"/>
    <w:rsid w:val="00D54460"/>
    <w:rsid w:val="00D54C63"/>
    <w:rsid w:val="00D55C35"/>
    <w:rsid w:val="00D55EA0"/>
    <w:rsid w:val="00D55FCB"/>
    <w:rsid w:val="00D56172"/>
    <w:rsid w:val="00D5720F"/>
    <w:rsid w:val="00D605F5"/>
    <w:rsid w:val="00D6113D"/>
    <w:rsid w:val="00D61C0C"/>
    <w:rsid w:val="00D624CF"/>
    <w:rsid w:val="00D62516"/>
    <w:rsid w:val="00D6257B"/>
    <w:rsid w:val="00D63FB1"/>
    <w:rsid w:val="00D64AA1"/>
    <w:rsid w:val="00D67101"/>
    <w:rsid w:val="00D675EE"/>
    <w:rsid w:val="00D70526"/>
    <w:rsid w:val="00D718BC"/>
    <w:rsid w:val="00D727C6"/>
    <w:rsid w:val="00D7393C"/>
    <w:rsid w:val="00D75066"/>
    <w:rsid w:val="00D75AB6"/>
    <w:rsid w:val="00D77251"/>
    <w:rsid w:val="00D8244C"/>
    <w:rsid w:val="00D83052"/>
    <w:rsid w:val="00D83342"/>
    <w:rsid w:val="00D83627"/>
    <w:rsid w:val="00D85FA4"/>
    <w:rsid w:val="00D873A7"/>
    <w:rsid w:val="00D87541"/>
    <w:rsid w:val="00D901B5"/>
    <w:rsid w:val="00D90611"/>
    <w:rsid w:val="00D90889"/>
    <w:rsid w:val="00D90D3B"/>
    <w:rsid w:val="00D91609"/>
    <w:rsid w:val="00D91E14"/>
    <w:rsid w:val="00D91FE2"/>
    <w:rsid w:val="00D9461F"/>
    <w:rsid w:val="00D968AD"/>
    <w:rsid w:val="00DA0D88"/>
    <w:rsid w:val="00DA0F22"/>
    <w:rsid w:val="00DA2031"/>
    <w:rsid w:val="00DA60CA"/>
    <w:rsid w:val="00DB0E46"/>
    <w:rsid w:val="00DB1983"/>
    <w:rsid w:val="00DB2294"/>
    <w:rsid w:val="00DB3D78"/>
    <w:rsid w:val="00DB4B8F"/>
    <w:rsid w:val="00DB574E"/>
    <w:rsid w:val="00DB5AFB"/>
    <w:rsid w:val="00DB6720"/>
    <w:rsid w:val="00DC021B"/>
    <w:rsid w:val="00DC1461"/>
    <w:rsid w:val="00DC3298"/>
    <w:rsid w:val="00DC5528"/>
    <w:rsid w:val="00DC5747"/>
    <w:rsid w:val="00DC6201"/>
    <w:rsid w:val="00DD0297"/>
    <w:rsid w:val="00DD0EC3"/>
    <w:rsid w:val="00DD2616"/>
    <w:rsid w:val="00DD266B"/>
    <w:rsid w:val="00DD31B1"/>
    <w:rsid w:val="00DD3BFF"/>
    <w:rsid w:val="00DD4291"/>
    <w:rsid w:val="00DD5D2B"/>
    <w:rsid w:val="00DD7E86"/>
    <w:rsid w:val="00DD7F45"/>
    <w:rsid w:val="00DE07A5"/>
    <w:rsid w:val="00DE113B"/>
    <w:rsid w:val="00DE181C"/>
    <w:rsid w:val="00DE256F"/>
    <w:rsid w:val="00DE2B14"/>
    <w:rsid w:val="00DE3ACE"/>
    <w:rsid w:val="00DE5329"/>
    <w:rsid w:val="00DE5B15"/>
    <w:rsid w:val="00DE6323"/>
    <w:rsid w:val="00DE73BA"/>
    <w:rsid w:val="00DE7433"/>
    <w:rsid w:val="00DF0079"/>
    <w:rsid w:val="00DF06EC"/>
    <w:rsid w:val="00DF152C"/>
    <w:rsid w:val="00DF31B7"/>
    <w:rsid w:val="00DF3483"/>
    <w:rsid w:val="00DF463C"/>
    <w:rsid w:val="00DF4F94"/>
    <w:rsid w:val="00DF54F1"/>
    <w:rsid w:val="00DF6304"/>
    <w:rsid w:val="00E0148A"/>
    <w:rsid w:val="00E02339"/>
    <w:rsid w:val="00E026B0"/>
    <w:rsid w:val="00E02C09"/>
    <w:rsid w:val="00E0639E"/>
    <w:rsid w:val="00E06A8F"/>
    <w:rsid w:val="00E06CC2"/>
    <w:rsid w:val="00E079FB"/>
    <w:rsid w:val="00E07FF5"/>
    <w:rsid w:val="00E113AB"/>
    <w:rsid w:val="00E11736"/>
    <w:rsid w:val="00E13B71"/>
    <w:rsid w:val="00E1422F"/>
    <w:rsid w:val="00E14E94"/>
    <w:rsid w:val="00E15DF9"/>
    <w:rsid w:val="00E17386"/>
    <w:rsid w:val="00E17640"/>
    <w:rsid w:val="00E177C9"/>
    <w:rsid w:val="00E20360"/>
    <w:rsid w:val="00E20C1E"/>
    <w:rsid w:val="00E23000"/>
    <w:rsid w:val="00E2311C"/>
    <w:rsid w:val="00E23984"/>
    <w:rsid w:val="00E2425F"/>
    <w:rsid w:val="00E259B3"/>
    <w:rsid w:val="00E264DC"/>
    <w:rsid w:val="00E26B86"/>
    <w:rsid w:val="00E26F69"/>
    <w:rsid w:val="00E30F9A"/>
    <w:rsid w:val="00E315E2"/>
    <w:rsid w:val="00E32A37"/>
    <w:rsid w:val="00E33E04"/>
    <w:rsid w:val="00E33FAA"/>
    <w:rsid w:val="00E33FC4"/>
    <w:rsid w:val="00E344D1"/>
    <w:rsid w:val="00E3605A"/>
    <w:rsid w:val="00E36A72"/>
    <w:rsid w:val="00E36B51"/>
    <w:rsid w:val="00E37313"/>
    <w:rsid w:val="00E43859"/>
    <w:rsid w:val="00E44260"/>
    <w:rsid w:val="00E4499D"/>
    <w:rsid w:val="00E44E50"/>
    <w:rsid w:val="00E45379"/>
    <w:rsid w:val="00E45D69"/>
    <w:rsid w:val="00E46D70"/>
    <w:rsid w:val="00E52AD1"/>
    <w:rsid w:val="00E52B58"/>
    <w:rsid w:val="00E52BFF"/>
    <w:rsid w:val="00E52D87"/>
    <w:rsid w:val="00E53041"/>
    <w:rsid w:val="00E532A3"/>
    <w:rsid w:val="00E540A7"/>
    <w:rsid w:val="00E54BA2"/>
    <w:rsid w:val="00E54DB4"/>
    <w:rsid w:val="00E55AEE"/>
    <w:rsid w:val="00E567A5"/>
    <w:rsid w:val="00E57F4F"/>
    <w:rsid w:val="00E60A08"/>
    <w:rsid w:val="00E619AD"/>
    <w:rsid w:val="00E61D1D"/>
    <w:rsid w:val="00E61E65"/>
    <w:rsid w:val="00E62A40"/>
    <w:rsid w:val="00E67641"/>
    <w:rsid w:val="00E67C44"/>
    <w:rsid w:val="00E700AB"/>
    <w:rsid w:val="00E7060C"/>
    <w:rsid w:val="00E708D7"/>
    <w:rsid w:val="00E70920"/>
    <w:rsid w:val="00E71760"/>
    <w:rsid w:val="00E73DCD"/>
    <w:rsid w:val="00E751A3"/>
    <w:rsid w:val="00E75AC9"/>
    <w:rsid w:val="00E762D6"/>
    <w:rsid w:val="00E81778"/>
    <w:rsid w:val="00E822FF"/>
    <w:rsid w:val="00E82A5A"/>
    <w:rsid w:val="00E82B2F"/>
    <w:rsid w:val="00E82BFA"/>
    <w:rsid w:val="00E82CCC"/>
    <w:rsid w:val="00E83EC1"/>
    <w:rsid w:val="00E84D5D"/>
    <w:rsid w:val="00E85AD0"/>
    <w:rsid w:val="00E85AE5"/>
    <w:rsid w:val="00E903B3"/>
    <w:rsid w:val="00E94BDC"/>
    <w:rsid w:val="00E96C21"/>
    <w:rsid w:val="00E97758"/>
    <w:rsid w:val="00E977F0"/>
    <w:rsid w:val="00EA034F"/>
    <w:rsid w:val="00EA1CA8"/>
    <w:rsid w:val="00EA2510"/>
    <w:rsid w:val="00EA2A96"/>
    <w:rsid w:val="00EA2D86"/>
    <w:rsid w:val="00EA3189"/>
    <w:rsid w:val="00EA5663"/>
    <w:rsid w:val="00EA5D39"/>
    <w:rsid w:val="00EA666C"/>
    <w:rsid w:val="00EA7946"/>
    <w:rsid w:val="00EA7ACA"/>
    <w:rsid w:val="00EB169C"/>
    <w:rsid w:val="00EB1F20"/>
    <w:rsid w:val="00EB2138"/>
    <w:rsid w:val="00EB22CC"/>
    <w:rsid w:val="00EB31F1"/>
    <w:rsid w:val="00EB3CEA"/>
    <w:rsid w:val="00EB68C8"/>
    <w:rsid w:val="00EC186A"/>
    <w:rsid w:val="00EC2D8E"/>
    <w:rsid w:val="00EC4B2E"/>
    <w:rsid w:val="00EC4FBB"/>
    <w:rsid w:val="00ED3760"/>
    <w:rsid w:val="00ED4364"/>
    <w:rsid w:val="00ED65AF"/>
    <w:rsid w:val="00ED6C3E"/>
    <w:rsid w:val="00ED779B"/>
    <w:rsid w:val="00EE11CD"/>
    <w:rsid w:val="00EE2ABA"/>
    <w:rsid w:val="00EE4402"/>
    <w:rsid w:val="00EE4741"/>
    <w:rsid w:val="00EE4A4B"/>
    <w:rsid w:val="00EE4B61"/>
    <w:rsid w:val="00EE6455"/>
    <w:rsid w:val="00EE6F94"/>
    <w:rsid w:val="00EF0084"/>
    <w:rsid w:val="00EF060E"/>
    <w:rsid w:val="00EF0F8C"/>
    <w:rsid w:val="00EF23B9"/>
    <w:rsid w:val="00EF3E90"/>
    <w:rsid w:val="00EF428B"/>
    <w:rsid w:val="00EF486D"/>
    <w:rsid w:val="00EF5D56"/>
    <w:rsid w:val="00EF5F36"/>
    <w:rsid w:val="00EF60FE"/>
    <w:rsid w:val="00EF745D"/>
    <w:rsid w:val="00F009F9"/>
    <w:rsid w:val="00F012EA"/>
    <w:rsid w:val="00F01894"/>
    <w:rsid w:val="00F01897"/>
    <w:rsid w:val="00F026D5"/>
    <w:rsid w:val="00F03473"/>
    <w:rsid w:val="00F036EF"/>
    <w:rsid w:val="00F0396D"/>
    <w:rsid w:val="00F04C98"/>
    <w:rsid w:val="00F05D0F"/>
    <w:rsid w:val="00F06E9C"/>
    <w:rsid w:val="00F0714A"/>
    <w:rsid w:val="00F07232"/>
    <w:rsid w:val="00F07631"/>
    <w:rsid w:val="00F07B6D"/>
    <w:rsid w:val="00F07C28"/>
    <w:rsid w:val="00F10822"/>
    <w:rsid w:val="00F11796"/>
    <w:rsid w:val="00F117F4"/>
    <w:rsid w:val="00F11DF2"/>
    <w:rsid w:val="00F1260E"/>
    <w:rsid w:val="00F20593"/>
    <w:rsid w:val="00F25716"/>
    <w:rsid w:val="00F2593F"/>
    <w:rsid w:val="00F2639E"/>
    <w:rsid w:val="00F264DD"/>
    <w:rsid w:val="00F27CF6"/>
    <w:rsid w:val="00F311D4"/>
    <w:rsid w:val="00F313E9"/>
    <w:rsid w:val="00F317CC"/>
    <w:rsid w:val="00F33680"/>
    <w:rsid w:val="00F33A6A"/>
    <w:rsid w:val="00F34029"/>
    <w:rsid w:val="00F340FB"/>
    <w:rsid w:val="00F374AC"/>
    <w:rsid w:val="00F40101"/>
    <w:rsid w:val="00F407A4"/>
    <w:rsid w:val="00F414C6"/>
    <w:rsid w:val="00F4177C"/>
    <w:rsid w:val="00F41BF9"/>
    <w:rsid w:val="00F41E21"/>
    <w:rsid w:val="00F41E30"/>
    <w:rsid w:val="00F42F99"/>
    <w:rsid w:val="00F43D21"/>
    <w:rsid w:val="00F447E1"/>
    <w:rsid w:val="00F520C0"/>
    <w:rsid w:val="00F53282"/>
    <w:rsid w:val="00F539CA"/>
    <w:rsid w:val="00F54D77"/>
    <w:rsid w:val="00F54D94"/>
    <w:rsid w:val="00F567D7"/>
    <w:rsid w:val="00F60530"/>
    <w:rsid w:val="00F608DB"/>
    <w:rsid w:val="00F61BB9"/>
    <w:rsid w:val="00F620A2"/>
    <w:rsid w:val="00F62807"/>
    <w:rsid w:val="00F62C2E"/>
    <w:rsid w:val="00F63840"/>
    <w:rsid w:val="00F64584"/>
    <w:rsid w:val="00F651D4"/>
    <w:rsid w:val="00F65A45"/>
    <w:rsid w:val="00F66B54"/>
    <w:rsid w:val="00F67053"/>
    <w:rsid w:val="00F70234"/>
    <w:rsid w:val="00F703DE"/>
    <w:rsid w:val="00F70FC8"/>
    <w:rsid w:val="00F71677"/>
    <w:rsid w:val="00F719C8"/>
    <w:rsid w:val="00F73064"/>
    <w:rsid w:val="00F74714"/>
    <w:rsid w:val="00F751DB"/>
    <w:rsid w:val="00F76FCE"/>
    <w:rsid w:val="00F771ED"/>
    <w:rsid w:val="00F7745B"/>
    <w:rsid w:val="00F805AB"/>
    <w:rsid w:val="00F805E6"/>
    <w:rsid w:val="00F80D49"/>
    <w:rsid w:val="00F81046"/>
    <w:rsid w:val="00F84DC0"/>
    <w:rsid w:val="00F850D8"/>
    <w:rsid w:val="00F8675B"/>
    <w:rsid w:val="00F868F4"/>
    <w:rsid w:val="00F86A0F"/>
    <w:rsid w:val="00F87048"/>
    <w:rsid w:val="00F8725B"/>
    <w:rsid w:val="00F90417"/>
    <w:rsid w:val="00F913A3"/>
    <w:rsid w:val="00F928F8"/>
    <w:rsid w:val="00F9330B"/>
    <w:rsid w:val="00F942E9"/>
    <w:rsid w:val="00F95E0C"/>
    <w:rsid w:val="00F95ECE"/>
    <w:rsid w:val="00FA0D2B"/>
    <w:rsid w:val="00FA22BD"/>
    <w:rsid w:val="00FA26E3"/>
    <w:rsid w:val="00FA40C3"/>
    <w:rsid w:val="00FA55A1"/>
    <w:rsid w:val="00FA6F32"/>
    <w:rsid w:val="00FA7FDE"/>
    <w:rsid w:val="00FB01A0"/>
    <w:rsid w:val="00FB0712"/>
    <w:rsid w:val="00FB0924"/>
    <w:rsid w:val="00FB102E"/>
    <w:rsid w:val="00FB1103"/>
    <w:rsid w:val="00FB1FDF"/>
    <w:rsid w:val="00FB2063"/>
    <w:rsid w:val="00FB2A72"/>
    <w:rsid w:val="00FB2B1A"/>
    <w:rsid w:val="00FB3614"/>
    <w:rsid w:val="00FB3FED"/>
    <w:rsid w:val="00FB489D"/>
    <w:rsid w:val="00FB4BEE"/>
    <w:rsid w:val="00FB5555"/>
    <w:rsid w:val="00FB59AE"/>
    <w:rsid w:val="00FC0B55"/>
    <w:rsid w:val="00FC19D8"/>
    <w:rsid w:val="00FC42BC"/>
    <w:rsid w:val="00FC5698"/>
    <w:rsid w:val="00FC5EAB"/>
    <w:rsid w:val="00FC5FFA"/>
    <w:rsid w:val="00FC76DC"/>
    <w:rsid w:val="00FC7A0F"/>
    <w:rsid w:val="00FD004F"/>
    <w:rsid w:val="00FD033C"/>
    <w:rsid w:val="00FD0EB4"/>
    <w:rsid w:val="00FD161A"/>
    <w:rsid w:val="00FD20EF"/>
    <w:rsid w:val="00FD37EB"/>
    <w:rsid w:val="00FD3A14"/>
    <w:rsid w:val="00FD6532"/>
    <w:rsid w:val="00FD684A"/>
    <w:rsid w:val="00FD79C5"/>
    <w:rsid w:val="00FE048D"/>
    <w:rsid w:val="00FE0BA1"/>
    <w:rsid w:val="00FE10C0"/>
    <w:rsid w:val="00FE130A"/>
    <w:rsid w:val="00FE25C0"/>
    <w:rsid w:val="00FE266C"/>
    <w:rsid w:val="00FE27A8"/>
    <w:rsid w:val="00FE3238"/>
    <w:rsid w:val="00FE483D"/>
    <w:rsid w:val="00FE4FE9"/>
    <w:rsid w:val="00FE568B"/>
    <w:rsid w:val="00FE579F"/>
    <w:rsid w:val="00FE68FE"/>
    <w:rsid w:val="00FF08CB"/>
    <w:rsid w:val="00FF0B0F"/>
    <w:rsid w:val="00FF130B"/>
    <w:rsid w:val="00FF38B5"/>
    <w:rsid w:val="00FF3EE0"/>
    <w:rsid w:val="00FF476C"/>
    <w:rsid w:val="00FF4FD6"/>
    <w:rsid w:val="00FF6FE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92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0A1"/>
    <w:pPr>
      <w:spacing w:after="160" w:line="259" w:lineRule="auto"/>
    </w:pPr>
  </w:style>
  <w:style w:type="paragraph" w:styleId="Heading1">
    <w:name w:val="heading 1"/>
    <w:basedOn w:val="HeadingBaseStyle"/>
    <w:next w:val="Normal"/>
    <w:link w:val="Heading1Char"/>
    <w:autoRedefine/>
    <w:qFormat/>
    <w:rsid w:val="00A613D5"/>
    <w:pPr>
      <w:spacing w:before="480" w:after="240"/>
      <w:jc w:val="center"/>
      <w:outlineLvl w:val="0"/>
    </w:pPr>
    <w:rPr>
      <w:rFonts w:ascii="Arial Bold" w:hAnsi="Arial Bold"/>
      <w:b/>
      <w:smallCaps/>
      <w:sz w:val="36"/>
    </w:rPr>
  </w:style>
  <w:style w:type="paragraph" w:styleId="Heading2">
    <w:name w:val="heading 2"/>
    <w:basedOn w:val="HeadingBaseStyle"/>
    <w:next w:val="Normal"/>
    <w:link w:val="Heading2Char"/>
    <w:qFormat/>
    <w:rsid w:val="00A613D5"/>
    <w:pPr>
      <w:widowControl w:val="0"/>
      <w:numPr>
        <w:numId w:val="20"/>
      </w:numPr>
      <w:tabs>
        <w:tab w:val="left" w:pos="426"/>
      </w:tabs>
      <w:adjustRightInd w:val="0"/>
      <w:spacing w:before="360" w:after="240"/>
      <w:ind w:left="0"/>
      <w:textAlignment w:val="baseline"/>
      <w:outlineLvl w:val="1"/>
    </w:pPr>
    <w:rPr>
      <w:rFonts w:ascii="Arial Bold" w:hAnsi="Arial Bold"/>
      <w:b/>
      <w:smallCaps/>
      <w:sz w:val="32"/>
    </w:rPr>
  </w:style>
  <w:style w:type="paragraph" w:styleId="Heading3">
    <w:name w:val="heading 3"/>
    <w:basedOn w:val="Normal"/>
    <w:next w:val="Normal"/>
    <w:link w:val="Heading3Char"/>
    <w:autoRedefine/>
    <w:qFormat/>
    <w:rsid w:val="00A613D5"/>
    <w:pPr>
      <w:keepNext/>
      <w:widowControl w:val="0"/>
      <w:tabs>
        <w:tab w:val="left" w:pos="0"/>
      </w:tabs>
      <w:adjustRightInd w:val="0"/>
      <w:spacing w:before="120" w:after="240"/>
      <w:textAlignment w:val="baseline"/>
      <w:outlineLvl w:val="2"/>
    </w:pPr>
    <w:rPr>
      <w:rFonts w:ascii="Arial" w:eastAsia="Times New Roman" w:hAnsi="Arial" w:cs="Times New Roman"/>
      <w:color w:val="003157"/>
      <w:sz w:val="28"/>
      <w:szCs w:val="20"/>
      <w:lang w:val="en-US" w:eastAsia="en-AU"/>
    </w:rPr>
  </w:style>
  <w:style w:type="paragraph" w:styleId="Heading4">
    <w:name w:val="heading 4"/>
    <w:basedOn w:val="HeadingBaseStyle"/>
    <w:next w:val="Normal"/>
    <w:link w:val="Heading4Char"/>
    <w:autoRedefine/>
    <w:qFormat/>
    <w:rsid w:val="00A613D5"/>
    <w:pPr>
      <w:numPr>
        <w:ilvl w:val="2"/>
        <w:numId w:val="20"/>
      </w:numPr>
      <w:tabs>
        <w:tab w:val="left" w:pos="680"/>
      </w:tabs>
      <w:spacing w:after="120"/>
      <w:outlineLvl w:val="3"/>
    </w:pPr>
    <w:rPr>
      <w:b/>
    </w:rPr>
  </w:style>
  <w:style w:type="paragraph" w:styleId="Heading5">
    <w:name w:val="heading 5"/>
    <w:basedOn w:val="HeadingBaseStyle"/>
    <w:next w:val="Normal"/>
    <w:link w:val="Heading5Char"/>
    <w:autoRedefine/>
    <w:rsid w:val="00A613D5"/>
    <w:pPr>
      <w:spacing w:after="240"/>
      <w:outlineLvl w:val="4"/>
    </w:pPr>
    <w:rPr>
      <w:i/>
    </w:rPr>
  </w:style>
  <w:style w:type="paragraph" w:styleId="Heading6">
    <w:name w:val="heading 6"/>
    <w:basedOn w:val="HeadingBaseStyle"/>
    <w:next w:val="Normal"/>
    <w:link w:val="Heading6Char"/>
    <w:rsid w:val="00A613D5"/>
    <w:pPr>
      <w:widowControl w:val="0"/>
      <w:spacing w:after="60"/>
      <w:outlineLvl w:val="5"/>
    </w:pPr>
    <w:rPr>
      <w:snapToGrid w:val="0"/>
      <w:sz w:val="19"/>
    </w:rPr>
  </w:style>
  <w:style w:type="paragraph" w:styleId="Heading7">
    <w:name w:val="heading 7"/>
    <w:basedOn w:val="Normal"/>
    <w:next w:val="Normal"/>
    <w:link w:val="Heading7Char"/>
    <w:rsid w:val="00A613D5"/>
    <w:pPr>
      <w:spacing w:after="0"/>
      <w:outlineLvl w:val="6"/>
    </w:pPr>
    <w:rPr>
      <w:rFonts w:ascii="Arial" w:hAnsi="Arial"/>
      <w:color w:val="000080"/>
      <w:sz w:val="19"/>
      <w:u w:val="single"/>
    </w:rPr>
  </w:style>
  <w:style w:type="paragraph" w:styleId="Heading8">
    <w:name w:val="heading 8"/>
    <w:basedOn w:val="Normal"/>
    <w:next w:val="Normal"/>
    <w:link w:val="Heading8Char"/>
    <w:rsid w:val="00A613D5"/>
    <w:pPr>
      <w:keepNext/>
      <w:spacing w:before="120" w:after="60" w:line="0" w:lineRule="atLeast"/>
      <w:outlineLvl w:val="7"/>
    </w:pPr>
    <w:rPr>
      <w:b/>
      <w:color w:val="000080"/>
    </w:rPr>
  </w:style>
  <w:style w:type="paragraph" w:styleId="Heading9">
    <w:name w:val="heading 9"/>
    <w:basedOn w:val="Normal"/>
    <w:next w:val="Normal"/>
    <w:link w:val="Heading9Char"/>
    <w:rsid w:val="00A613D5"/>
    <w:pPr>
      <w:spacing w:before="240" w:after="60"/>
      <w:outlineLvl w:val="8"/>
    </w:pPr>
    <w:rPr>
      <w:color w:val="000080"/>
      <w:u w:val="single"/>
    </w:rPr>
  </w:style>
  <w:style w:type="character" w:default="1" w:styleId="DefaultParagraphFont">
    <w:name w:val="Default Paragraph Font"/>
    <w:uiPriority w:val="1"/>
    <w:semiHidden/>
    <w:unhideWhenUsed/>
    <w:rsid w:val="003070A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070A1"/>
  </w:style>
  <w:style w:type="paragraph" w:customStyle="1" w:styleId="HeadingBase">
    <w:name w:val="Heading Base"/>
    <w:next w:val="Normal"/>
    <w:rsid w:val="00A613D5"/>
    <w:pPr>
      <w:keepNext/>
      <w:spacing w:after="0" w:line="240" w:lineRule="auto"/>
    </w:pPr>
    <w:rPr>
      <w:rFonts w:asciiTheme="majorHAnsi" w:eastAsia="Times New Roman" w:hAnsiTheme="majorHAnsi" w:cs="Times New Roman"/>
      <w:color w:val="003057"/>
      <w:sz w:val="20"/>
      <w:szCs w:val="20"/>
      <w:lang w:eastAsia="en-AU"/>
    </w:rPr>
  </w:style>
  <w:style w:type="character" w:customStyle="1" w:styleId="Heading1Char">
    <w:name w:val="Heading 1 Char"/>
    <w:basedOn w:val="DefaultParagraphFont"/>
    <w:link w:val="Heading1"/>
    <w:rsid w:val="00A613D5"/>
    <w:rPr>
      <w:rFonts w:ascii="Arial Bold" w:hAnsi="Arial Bold"/>
      <w:b/>
      <w:smallCaps/>
      <w:color w:val="002C47" w:themeColor="accent1"/>
      <w:sz w:val="36"/>
    </w:rPr>
  </w:style>
  <w:style w:type="character" w:customStyle="1" w:styleId="Heading2Char">
    <w:name w:val="Heading 2 Char"/>
    <w:basedOn w:val="DefaultParagraphFont"/>
    <w:link w:val="Heading2"/>
    <w:rsid w:val="00A613D5"/>
    <w:rPr>
      <w:rFonts w:ascii="Arial Bold" w:hAnsi="Arial Bold"/>
      <w:b/>
      <w:smallCaps/>
      <w:color w:val="002C47" w:themeColor="accent1"/>
      <w:sz w:val="32"/>
    </w:rPr>
  </w:style>
  <w:style w:type="character" w:customStyle="1" w:styleId="Heading3Char">
    <w:name w:val="Heading 3 Char"/>
    <w:basedOn w:val="DefaultParagraphFont"/>
    <w:link w:val="Heading3"/>
    <w:rsid w:val="00A613D5"/>
    <w:rPr>
      <w:rFonts w:ascii="Arial" w:eastAsia="Times New Roman" w:hAnsi="Arial" w:cs="Times New Roman"/>
      <w:color w:val="003157"/>
      <w:sz w:val="28"/>
      <w:szCs w:val="20"/>
      <w:lang w:val="en-US" w:eastAsia="en-AU"/>
    </w:rPr>
  </w:style>
  <w:style w:type="character" w:customStyle="1" w:styleId="Heading4Char">
    <w:name w:val="Heading 4 Char"/>
    <w:basedOn w:val="DefaultParagraphFont"/>
    <w:link w:val="Heading4"/>
    <w:rsid w:val="00A613D5"/>
    <w:rPr>
      <w:rFonts w:ascii="Arial" w:hAnsi="Arial"/>
      <w:b/>
      <w:color w:val="002C47" w:themeColor="accent1"/>
    </w:rPr>
  </w:style>
  <w:style w:type="character" w:customStyle="1" w:styleId="Heading5Char">
    <w:name w:val="Heading 5 Char"/>
    <w:basedOn w:val="DefaultParagraphFont"/>
    <w:link w:val="Heading5"/>
    <w:rsid w:val="00A613D5"/>
    <w:rPr>
      <w:rFonts w:ascii="Arial" w:hAnsi="Arial"/>
      <w:i/>
      <w:color w:val="002C47" w:themeColor="accent1"/>
    </w:rPr>
  </w:style>
  <w:style w:type="character" w:customStyle="1" w:styleId="Heading6Char">
    <w:name w:val="Heading 6 Char"/>
    <w:basedOn w:val="DefaultParagraphFont"/>
    <w:link w:val="Heading6"/>
    <w:rsid w:val="00A613D5"/>
    <w:rPr>
      <w:rFonts w:ascii="Arial" w:hAnsi="Arial"/>
      <w:snapToGrid w:val="0"/>
      <w:color w:val="002C47" w:themeColor="accent1"/>
      <w:sz w:val="19"/>
    </w:rPr>
  </w:style>
  <w:style w:type="character" w:customStyle="1" w:styleId="Heading7Char">
    <w:name w:val="Heading 7 Char"/>
    <w:basedOn w:val="DefaultParagraphFont"/>
    <w:link w:val="Heading7"/>
    <w:rsid w:val="00A613D5"/>
    <w:rPr>
      <w:rFonts w:ascii="Arial" w:hAnsi="Arial"/>
      <w:color w:val="000080"/>
      <w:sz w:val="19"/>
      <w:u w:val="single"/>
    </w:rPr>
  </w:style>
  <w:style w:type="character" w:customStyle="1" w:styleId="Heading8Char">
    <w:name w:val="Heading 8 Char"/>
    <w:basedOn w:val="DefaultParagraphFont"/>
    <w:link w:val="Heading8"/>
    <w:rsid w:val="00A613D5"/>
    <w:rPr>
      <w:rFonts w:ascii="Calibri" w:hAnsi="Calibri"/>
      <w:b/>
      <w:color w:val="000080"/>
    </w:rPr>
  </w:style>
  <w:style w:type="character" w:customStyle="1" w:styleId="Heading9Char">
    <w:name w:val="Heading 9 Char"/>
    <w:basedOn w:val="DefaultParagraphFont"/>
    <w:link w:val="Heading9"/>
    <w:rsid w:val="00A613D5"/>
    <w:rPr>
      <w:rFonts w:ascii="Calibri" w:hAnsi="Calibri"/>
      <w:color w:val="000080"/>
      <w:u w:val="single"/>
    </w:rPr>
  </w:style>
  <w:style w:type="paragraph" w:customStyle="1" w:styleId="ChartGraphic">
    <w:name w:val="Chart Graphic"/>
    <w:basedOn w:val="HeadingBase"/>
    <w:next w:val="Normal"/>
    <w:rsid w:val="00A613D5"/>
    <w:pPr>
      <w:jc w:val="center"/>
    </w:pPr>
  </w:style>
  <w:style w:type="paragraph" w:customStyle="1" w:styleId="TableGraphic">
    <w:name w:val="Table Graphic"/>
    <w:basedOn w:val="HeadingBase"/>
    <w:next w:val="Normal"/>
    <w:rsid w:val="00A613D5"/>
  </w:style>
  <w:style w:type="paragraph" w:customStyle="1" w:styleId="AlphaParagraph">
    <w:name w:val="Alpha Paragraph"/>
    <w:basedOn w:val="Normal"/>
    <w:qFormat/>
    <w:rsid w:val="00A613D5"/>
    <w:pPr>
      <w:numPr>
        <w:numId w:val="3"/>
      </w:numPr>
    </w:pPr>
  </w:style>
  <w:style w:type="paragraph" w:customStyle="1" w:styleId="AppendixHeading">
    <w:name w:val="Appendix Heading"/>
    <w:basedOn w:val="HeadingBase"/>
    <w:next w:val="Normal"/>
    <w:rsid w:val="00A613D5"/>
    <w:pPr>
      <w:spacing w:before="720" w:after="360"/>
      <w:outlineLvl w:val="0"/>
    </w:pPr>
    <w:rPr>
      <w:sz w:val="36"/>
      <w:szCs w:val="36"/>
    </w:rPr>
  </w:style>
  <w:style w:type="paragraph" w:styleId="BalloonText">
    <w:name w:val="Balloon Text"/>
    <w:basedOn w:val="Normal"/>
    <w:link w:val="BalloonTextChar"/>
    <w:rsid w:val="00A613D5"/>
    <w:pPr>
      <w:spacing w:after="0"/>
    </w:pPr>
    <w:rPr>
      <w:rFonts w:ascii="Tahoma" w:hAnsi="Tahoma" w:cs="Tahoma"/>
      <w:sz w:val="16"/>
      <w:szCs w:val="16"/>
    </w:rPr>
  </w:style>
  <w:style w:type="character" w:customStyle="1" w:styleId="BalloonTextChar">
    <w:name w:val="Balloon Text Char"/>
    <w:basedOn w:val="DefaultParagraphFont"/>
    <w:link w:val="BalloonText"/>
    <w:rsid w:val="00A613D5"/>
    <w:rPr>
      <w:rFonts w:ascii="Tahoma" w:hAnsi="Tahoma" w:cs="Tahoma"/>
      <w:color w:val="000000" w:themeColor="text1"/>
      <w:sz w:val="16"/>
      <w:szCs w:val="16"/>
    </w:rPr>
  </w:style>
  <w:style w:type="character" w:customStyle="1" w:styleId="Bold">
    <w:name w:val="Bold"/>
    <w:basedOn w:val="DefaultParagraphFont"/>
    <w:rsid w:val="00A613D5"/>
    <w:rPr>
      <w:b/>
    </w:rPr>
  </w:style>
  <w:style w:type="paragraph" w:customStyle="1" w:styleId="BoxTextBase">
    <w:name w:val="Box Text Base"/>
    <w:basedOn w:val="Normal"/>
    <w:rsid w:val="00A613D5"/>
  </w:style>
  <w:style w:type="paragraph" w:customStyle="1" w:styleId="BoxBullet">
    <w:name w:val="Box Bullet"/>
    <w:basedOn w:val="BoxTextBase"/>
    <w:rsid w:val="00A613D5"/>
    <w:pPr>
      <w:numPr>
        <w:numId w:val="2"/>
      </w:numPr>
    </w:pPr>
  </w:style>
  <w:style w:type="paragraph" w:customStyle="1" w:styleId="BoxDash">
    <w:name w:val="Box Dash"/>
    <w:basedOn w:val="Normal"/>
    <w:rsid w:val="00A613D5"/>
    <w:pPr>
      <w:numPr>
        <w:ilvl w:val="1"/>
        <w:numId w:val="2"/>
      </w:numPr>
    </w:pPr>
  </w:style>
  <w:style w:type="paragraph" w:customStyle="1" w:styleId="BoxDoubleDot">
    <w:name w:val="Box Double Dot"/>
    <w:basedOn w:val="BoxTextBase"/>
    <w:rsid w:val="00A613D5"/>
    <w:pPr>
      <w:numPr>
        <w:ilvl w:val="2"/>
        <w:numId w:val="2"/>
      </w:numPr>
    </w:pPr>
  </w:style>
  <w:style w:type="paragraph" w:customStyle="1" w:styleId="BoxHeading">
    <w:name w:val="Box Heading"/>
    <w:basedOn w:val="HeadingBaseStyle"/>
    <w:next w:val="Normal"/>
    <w:rsid w:val="00A613D5"/>
    <w:pPr>
      <w:spacing w:before="240" w:after="240"/>
    </w:pPr>
    <w:rPr>
      <w:sz w:val="24"/>
    </w:rPr>
  </w:style>
  <w:style w:type="paragraph" w:customStyle="1" w:styleId="BoxText">
    <w:name w:val="Box Text"/>
    <w:basedOn w:val="BoxTextBase"/>
    <w:rsid w:val="00A613D5"/>
  </w:style>
  <w:style w:type="paragraph" w:customStyle="1" w:styleId="Bullet">
    <w:name w:val="Bullet"/>
    <w:basedOn w:val="Normal"/>
    <w:link w:val="BulletChar"/>
    <w:rsid w:val="00A613D5"/>
    <w:pPr>
      <w:keepNext/>
      <w:numPr>
        <w:numId w:val="18"/>
      </w:numPr>
    </w:pPr>
  </w:style>
  <w:style w:type="paragraph" w:styleId="NormalIndent">
    <w:name w:val="Normal Indent"/>
    <w:basedOn w:val="Normal"/>
    <w:rsid w:val="00A613D5"/>
    <w:pPr>
      <w:ind w:left="567"/>
    </w:pPr>
    <w:rPr>
      <w:rFonts w:ascii="Book Antiqua" w:hAnsi="Book Antiqua"/>
      <w:sz w:val="20"/>
    </w:rPr>
  </w:style>
  <w:style w:type="paragraph" w:customStyle="1" w:styleId="ChartandTableFootnoteAlpha">
    <w:name w:val="Chart and Table Footnote Alpha"/>
    <w:rsid w:val="00A613D5"/>
    <w:pPr>
      <w:numPr>
        <w:numId w:val="12"/>
      </w:numPr>
      <w:spacing w:after="0" w:line="240" w:lineRule="auto"/>
      <w:jc w:val="both"/>
    </w:pPr>
    <w:rPr>
      <w:rFonts w:ascii="Arial" w:eastAsia="Times New Roman" w:hAnsi="Arial" w:cs="Times New Roman"/>
      <w:color w:val="000000"/>
      <w:sz w:val="16"/>
      <w:szCs w:val="16"/>
      <w:lang w:eastAsia="en-AU"/>
    </w:rPr>
  </w:style>
  <w:style w:type="paragraph" w:customStyle="1" w:styleId="ChartMainHeading">
    <w:name w:val="Chart Main Heading"/>
    <w:basedOn w:val="HeadingBase"/>
    <w:next w:val="ChartGraphic"/>
    <w:rsid w:val="00A613D5"/>
    <w:pPr>
      <w:spacing w:after="20"/>
      <w:jc w:val="center"/>
    </w:pPr>
    <w:rPr>
      <w:b/>
      <w:color w:val="002C47" w:themeColor="accent1"/>
      <w:sz w:val="24"/>
    </w:rPr>
  </w:style>
  <w:style w:type="paragraph" w:customStyle="1" w:styleId="ChartorTableNote">
    <w:name w:val="Chart or Table Note"/>
    <w:next w:val="Normal"/>
    <w:rsid w:val="00A613D5"/>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A613D5"/>
    <w:pPr>
      <w:spacing w:after="20"/>
      <w:jc w:val="center"/>
    </w:pPr>
    <w:rPr>
      <w:color w:val="002C47" w:themeColor="accent1"/>
    </w:rPr>
  </w:style>
  <w:style w:type="paragraph" w:customStyle="1" w:styleId="Classification">
    <w:name w:val="Classification"/>
    <w:basedOn w:val="HeadingBase"/>
    <w:next w:val="Footer"/>
    <w:rsid w:val="00A613D5"/>
    <w:pPr>
      <w:spacing w:after="120"/>
      <w:jc w:val="center"/>
    </w:pPr>
    <w:rPr>
      <w:b/>
      <w:smallCaps/>
    </w:rPr>
  </w:style>
  <w:style w:type="paragraph" w:styleId="Footer">
    <w:name w:val="footer"/>
    <w:basedOn w:val="Normal"/>
    <w:link w:val="FooterChar"/>
    <w:uiPriority w:val="99"/>
    <w:rsid w:val="00A613D5"/>
    <w:pPr>
      <w:tabs>
        <w:tab w:val="right" w:pos="5670"/>
      </w:tabs>
      <w:spacing w:after="0"/>
      <w:jc w:val="right"/>
    </w:pPr>
    <w:rPr>
      <w:rFonts w:ascii="Arial" w:hAnsi="Arial"/>
      <w:color w:val="003157"/>
      <w:sz w:val="18"/>
    </w:rPr>
  </w:style>
  <w:style w:type="character" w:customStyle="1" w:styleId="FooterChar">
    <w:name w:val="Footer Char"/>
    <w:basedOn w:val="DefaultParagraphFont"/>
    <w:link w:val="Footer"/>
    <w:uiPriority w:val="99"/>
    <w:rsid w:val="00A613D5"/>
    <w:rPr>
      <w:rFonts w:ascii="Arial" w:hAnsi="Arial"/>
      <w:color w:val="003157"/>
      <w:sz w:val="18"/>
    </w:rPr>
  </w:style>
  <w:style w:type="paragraph" w:customStyle="1" w:styleId="ContentsHeading">
    <w:name w:val="Contents Heading"/>
    <w:basedOn w:val="Normal"/>
    <w:next w:val="Normal"/>
    <w:rsid w:val="00A613D5"/>
    <w:pPr>
      <w:spacing w:after="360"/>
      <w:jc w:val="center"/>
    </w:pPr>
    <w:rPr>
      <w:rFonts w:ascii="Arial Bold" w:hAnsi="Arial Bold"/>
      <w:b/>
      <w:smallCaps/>
      <w:color w:val="003157"/>
      <w:kern w:val="28"/>
      <w:sz w:val="36"/>
    </w:rPr>
  </w:style>
  <w:style w:type="paragraph" w:customStyle="1" w:styleId="CoverTitleSub">
    <w:name w:val="Cover Title Sub"/>
    <w:basedOn w:val="HeadingBase"/>
    <w:rsid w:val="00A613D5"/>
    <w:pPr>
      <w:spacing w:after="360"/>
      <w:jc w:val="center"/>
    </w:pPr>
    <w:rPr>
      <w:sz w:val="36"/>
    </w:rPr>
  </w:style>
  <w:style w:type="paragraph" w:customStyle="1" w:styleId="Covertitlelevel3">
    <w:name w:val="Cover title level 3"/>
    <w:basedOn w:val="CoverTitleSub"/>
    <w:rsid w:val="00A613D5"/>
    <w:pPr>
      <w:spacing w:after="120"/>
    </w:pPr>
    <w:rPr>
      <w:sz w:val="28"/>
      <w:szCs w:val="28"/>
    </w:rPr>
  </w:style>
  <w:style w:type="paragraph" w:customStyle="1" w:styleId="CoverTitleMain">
    <w:name w:val="Cover Title Main"/>
    <w:basedOn w:val="HeadingBase"/>
    <w:next w:val="Normal"/>
    <w:rsid w:val="00A613D5"/>
    <w:pPr>
      <w:spacing w:after="480"/>
      <w:jc w:val="center"/>
    </w:pPr>
    <w:rPr>
      <w:b/>
      <w:sz w:val="48"/>
    </w:rPr>
  </w:style>
  <w:style w:type="paragraph" w:customStyle="1" w:styleId="Dash">
    <w:name w:val="Dash"/>
    <w:basedOn w:val="Normal"/>
    <w:link w:val="DashChar"/>
    <w:rsid w:val="00A613D5"/>
    <w:pPr>
      <w:numPr>
        <w:ilvl w:val="1"/>
        <w:numId w:val="18"/>
      </w:numPr>
    </w:pPr>
  </w:style>
  <w:style w:type="paragraph" w:customStyle="1" w:styleId="DoubleDot">
    <w:name w:val="Double Dot"/>
    <w:basedOn w:val="Dash"/>
    <w:rsid w:val="00A613D5"/>
    <w:pPr>
      <w:numPr>
        <w:ilvl w:val="2"/>
      </w:numPr>
    </w:pPr>
  </w:style>
  <w:style w:type="paragraph" w:customStyle="1" w:styleId="Figuregraphic">
    <w:name w:val="Figure graphic"/>
    <w:basedOn w:val="Normal"/>
    <w:rsid w:val="00A613D5"/>
    <w:pPr>
      <w:jc w:val="center"/>
    </w:pPr>
  </w:style>
  <w:style w:type="paragraph" w:customStyle="1" w:styleId="FigureHeading">
    <w:name w:val="Figure Heading"/>
    <w:basedOn w:val="HeadingBase"/>
    <w:next w:val="Figuregraphic"/>
    <w:rsid w:val="00A613D5"/>
    <w:pPr>
      <w:spacing w:after="20"/>
      <w:jc w:val="center"/>
    </w:pPr>
    <w:rPr>
      <w:rFonts w:ascii="Arial Bold" w:hAnsi="Arial Bold"/>
      <w:b/>
      <w:sz w:val="22"/>
      <w:szCs w:val="22"/>
    </w:rPr>
  </w:style>
  <w:style w:type="paragraph" w:customStyle="1" w:styleId="FigureSecondHeading">
    <w:name w:val="Figure Second Heading"/>
    <w:basedOn w:val="HeadingBase"/>
    <w:next w:val="Figuregraphic"/>
    <w:rsid w:val="00A613D5"/>
    <w:pPr>
      <w:spacing w:after="20"/>
      <w:jc w:val="center"/>
    </w:pPr>
  </w:style>
  <w:style w:type="paragraph" w:customStyle="1" w:styleId="TableMainHeading">
    <w:name w:val="Table Main Heading"/>
    <w:basedOn w:val="HeadingBase"/>
    <w:next w:val="TableGraphic"/>
    <w:rsid w:val="00A613D5"/>
    <w:pPr>
      <w:spacing w:after="20"/>
    </w:pPr>
    <w:rPr>
      <w:b/>
      <w:color w:val="002C47" w:themeColor="accent1"/>
      <w:sz w:val="22"/>
    </w:rPr>
  </w:style>
  <w:style w:type="paragraph" w:customStyle="1" w:styleId="FooterCentered">
    <w:name w:val="Footer Centered"/>
    <w:basedOn w:val="Footer"/>
    <w:rsid w:val="00A613D5"/>
    <w:pPr>
      <w:jc w:val="center"/>
    </w:pPr>
  </w:style>
  <w:style w:type="paragraph" w:customStyle="1" w:styleId="FooterEven">
    <w:name w:val="Footer Even"/>
    <w:basedOn w:val="Footer"/>
    <w:rsid w:val="00A613D5"/>
  </w:style>
  <w:style w:type="paragraph" w:customStyle="1" w:styleId="FooterOdd">
    <w:name w:val="Footer Odd"/>
    <w:basedOn w:val="Footer"/>
    <w:rsid w:val="00A613D5"/>
  </w:style>
  <w:style w:type="character" w:styleId="FootnoteReference">
    <w:name w:val="footnote reference"/>
    <w:basedOn w:val="DefaultParagraphFont"/>
    <w:rsid w:val="00A613D5"/>
    <w:rPr>
      <w:vertAlign w:val="superscript"/>
    </w:rPr>
  </w:style>
  <w:style w:type="paragraph" w:styleId="FootnoteText">
    <w:name w:val="footnote text"/>
    <w:basedOn w:val="Normal"/>
    <w:link w:val="FootnoteTextChar"/>
    <w:rsid w:val="00A613D5"/>
    <w:pPr>
      <w:tabs>
        <w:tab w:val="left" w:pos="567"/>
      </w:tabs>
      <w:spacing w:after="0"/>
      <w:ind w:left="567" w:hanging="567"/>
    </w:pPr>
  </w:style>
  <w:style w:type="character" w:customStyle="1" w:styleId="FootnoteTextChar">
    <w:name w:val="Footnote Text Char"/>
    <w:basedOn w:val="DefaultParagraphFont"/>
    <w:link w:val="FootnoteText"/>
    <w:rsid w:val="00A613D5"/>
    <w:rPr>
      <w:rFonts w:ascii="Calibri" w:hAnsi="Calibri"/>
      <w:color w:val="000000" w:themeColor="text1"/>
    </w:rPr>
  </w:style>
  <w:style w:type="character" w:customStyle="1" w:styleId="FramedFooter">
    <w:name w:val="Framed Footer"/>
    <w:rsid w:val="00A613D5"/>
    <w:rPr>
      <w:rFonts w:ascii="Arial" w:hAnsi="Arial"/>
      <w:sz w:val="18"/>
    </w:rPr>
  </w:style>
  <w:style w:type="character" w:customStyle="1" w:styleId="FramedHeader">
    <w:name w:val="Framed Header"/>
    <w:basedOn w:val="DefaultParagraphFont"/>
    <w:rsid w:val="00A613D5"/>
    <w:rPr>
      <w:rFonts w:ascii="Arial" w:hAnsi="Arial"/>
      <w:dstrike w:val="0"/>
      <w:color w:val="auto"/>
      <w:sz w:val="18"/>
      <w:vertAlign w:val="baseline"/>
    </w:rPr>
  </w:style>
  <w:style w:type="paragraph" w:styleId="Header">
    <w:name w:val="header"/>
    <w:basedOn w:val="HeadingBaseStyle"/>
    <w:link w:val="HeaderChar"/>
    <w:rsid w:val="00A613D5"/>
    <w:pPr>
      <w:jc w:val="center"/>
    </w:pPr>
    <w:rPr>
      <w:sz w:val="18"/>
    </w:rPr>
  </w:style>
  <w:style w:type="character" w:customStyle="1" w:styleId="HeaderChar">
    <w:name w:val="Header Char"/>
    <w:basedOn w:val="DefaultParagraphFont"/>
    <w:link w:val="Header"/>
    <w:rsid w:val="00A613D5"/>
    <w:rPr>
      <w:rFonts w:ascii="Arial" w:hAnsi="Arial"/>
      <w:color w:val="002C47" w:themeColor="accent1"/>
      <w:sz w:val="18"/>
    </w:rPr>
  </w:style>
  <w:style w:type="paragraph" w:customStyle="1" w:styleId="HeaderEven">
    <w:name w:val="Header Even"/>
    <w:basedOn w:val="Header"/>
    <w:rsid w:val="00A613D5"/>
  </w:style>
  <w:style w:type="paragraph" w:customStyle="1" w:styleId="HeaderOdd">
    <w:name w:val="Header Odd"/>
    <w:basedOn w:val="Header"/>
    <w:rsid w:val="00A613D5"/>
    <w:pPr>
      <w:jc w:val="right"/>
    </w:pPr>
  </w:style>
  <w:style w:type="character" w:styleId="Hyperlink">
    <w:name w:val="Hyperlink"/>
    <w:basedOn w:val="DefaultParagraphFont"/>
    <w:rsid w:val="00A613D5"/>
    <w:rPr>
      <w:color w:val="3A6FAF" w:themeColor="accent2"/>
      <w:u w:val="single"/>
    </w:rPr>
  </w:style>
  <w:style w:type="character" w:customStyle="1" w:styleId="italic">
    <w:name w:val="italic"/>
    <w:basedOn w:val="DefaultParagraphFont"/>
    <w:rsid w:val="00A613D5"/>
    <w:rPr>
      <w:i/>
    </w:rPr>
  </w:style>
  <w:style w:type="paragraph" w:styleId="NormalWeb">
    <w:name w:val="Normal (Web)"/>
    <w:basedOn w:val="Normal"/>
    <w:uiPriority w:val="99"/>
    <w:unhideWhenUsed/>
    <w:rsid w:val="00A613D5"/>
    <w:pPr>
      <w:spacing w:before="100" w:beforeAutospacing="1" w:after="100" w:afterAutospacing="1"/>
    </w:pPr>
    <w:rPr>
      <w:rFonts w:ascii="Times New Roman" w:hAnsi="Times New Roman"/>
      <w:szCs w:val="24"/>
    </w:rPr>
  </w:style>
  <w:style w:type="paragraph" w:customStyle="1" w:styleId="NormalIndentItalics">
    <w:name w:val="Normal Indent Italics"/>
    <w:basedOn w:val="NormalIndent"/>
    <w:rsid w:val="00A613D5"/>
    <w:rPr>
      <w:i/>
    </w:rPr>
  </w:style>
  <w:style w:type="paragraph" w:customStyle="1" w:styleId="OutlineNumbered1">
    <w:name w:val="Outline Numbered 1"/>
    <w:basedOn w:val="Normal"/>
    <w:rsid w:val="00A613D5"/>
    <w:pPr>
      <w:numPr>
        <w:numId w:val="9"/>
      </w:numPr>
    </w:pPr>
  </w:style>
  <w:style w:type="paragraph" w:customStyle="1" w:styleId="OneLevelNumberedParagraph">
    <w:name w:val="One Level Numbered Paragraph"/>
    <w:basedOn w:val="Normal"/>
    <w:rsid w:val="00A613D5"/>
    <w:pPr>
      <w:numPr>
        <w:numId w:val="8"/>
      </w:numPr>
    </w:pPr>
  </w:style>
  <w:style w:type="paragraph" w:customStyle="1" w:styleId="OutlineNumbered2">
    <w:name w:val="Outline Numbered 2"/>
    <w:basedOn w:val="Normal"/>
    <w:rsid w:val="00A613D5"/>
    <w:pPr>
      <w:numPr>
        <w:ilvl w:val="1"/>
        <w:numId w:val="9"/>
      </w:numPr>
    </w:pPr>
  </w:style>
  <w:style w:type="paragraph" w:customStyle="1" w:styleId="OutlineNumbered3">
    <w:name w:val="Outline Numbered 3"/>
    <w:basedOn w:val="Normal"/>
    <w:rsid w:val="00A613D5"/>
    <w:pPr>
      <w:numPr>
        <w:ilvl w:val="2"/>
        <w:numId w:val="9"/>
      </w:numPr>
    </w:pPr>
  </w:style>
  <w:style w:type="character" w:styleId="PageNumber">
    <w:name w:val="page number"/>
    <w:basedOn w:val="DefaultParagraphFont"/>
    <w:rsid w:val="00A613D5"/>
    <w:rPr>
      <w:rFonts w:asciiTheme="minorHAnsi" w:hAnsiTheme="minorHAnsi"/>
      <w:color w:val="003057"/>
      <w:sz w:val="22"/>
    </w:rPr>
  </w:style>
  <w:style w:type="paragraph" w:customStyle="1" w:styleId="Principle">
    <w:name w:val="Principle"/>
    <w:basedOn w:val="Normal"/>
    <w:rsid w:val="00A613D5"/>
    <w:pPr>
      <w:keepNext/>
      <w:spacing w:after="60"/>
      <w:ind w:left="573"/>
    </w:pPr>
    <w:rPr>
      <w:rFonts w:ascii="Book Antiqua" w:hAnsi="Book Antiqua"/>
      <w:i/>
      <w:sz w:val="20"/>
    </w:rPr>
  </w:style>
  <w:style w:type="paragraph" w:customStyle="1" w:styleId="RecommendationTextBase">
    <w:name w:val="Recommendation Text Base"/>
    <w:basedOn w:val="Normal"/>
    <w:rsid w:val="00A613D5"/>
    <w:rPr>
      <w:i/>
    </w:rPr>
  </w:style>
  <w:style w:type="paragraph" w:customStyle="1" w:styleId="RecommendationBullet">
    <w:name w:val="Recommendation Bullet"/>
    <w:basedOn w:val="RecommendationTextBase"/>
    <w:rsid w:val="00A613D5"/>
    <w:pPr>
      <w:numPr>
        <w:numId w:val="10"/>
      </w:numPr>
    </w:pPr>
  </w:style>
  <w:style w:type="paragraph" w:customStyle="1" w:styleId="RecommendationDash">
    <w:name w:val="Recommendation Dash"/>
    <w:basedOn w:val="RecommendationTextBase"/>
    <w:rsid w:val="00A613D5"/>
    <w:pPr>
      <w:numPr>
        <w:ilvl w:val="1"/>
        <w:numId w:val="10"/>
      </w:numPr>
    </w:pPr>
  </w:style>
  <w:style w:type="paragraph" w:customStyle="1" w:styleId="RecommendationDoubleDot">
    <w:name w:val="Recommendation Double Dot"/>
    <w:basedOn w:val="RecommendationTextBase"/>
    <w:rsid w:val="00A613D5"/>
    <w:pPr>
      <w:numPr>
        <w:ilvl w:val="2"/>
        <w:numId w:val="10"/>
      </w:numPr>
    </w:pPr>
  </w:style>
  <w:style w:type="paragraph" w:customStyle="1" w:styleId="RecommendationHeading">
    <w:name w:val="Recommendation Heading"/>
    <w:basedOn w:val="HeadingBase"/>
    <w:next w:val="Normal"/>
    <w:rsid w:val="00A613D5"/>
    <w:pPr>
      <w:spacing w:before="120" w:after="240"/>
    </w:pPr>
    <w:rPr>
      <w:b/>
      <w:sz w:val="22"/>
    </w:rPr>
  </w:style>
  <w:style w:type="paragraph" w:customStyle="1" w:styleId="RecommendationText">
    <w:name w:val="Recommendation Text"/>
    <w:basedOn w:val="RecommendationTextBase"/>
    <w:rsid w:val="00A613D5"/>
  </w:style>
  <w:style w:type="paragraph" w:customStyle="1" w:styleId="Romannumeral">
    <w:name w:val="Roman numeral"/>
    <w:basedOn w:val="Normal"/>
    <w:rsid w:val="00A613D5"/>
    <w:pPr>
      <w:numPr>
        <w:numId w:val="11"/>
      </w:numPr>
    </w:pPr>
  </w:style>
  <w:style w:type="paragraph" w:customStyle="1" w:styleId="SingleParagraph">
    <w:name w:val="Single Paragraph"/>
    <w:basedOn w:val="Normal"/>
    <w:rsid w:val="00A613D5"/>
    <w:pPr>
      <w:spacing w:after="0"/>
    </w:pPr>
  </w:style>
  <w:style w:type="paragraph" w:customStyle="1" w:styleId="SingleParagraphIndent">
    <w:name w:val="Single Paragraph Indent"/>
    <w:basedOn w:val="SingleParagraph"/>
    <w:rsid w:val="00A613D5"/>
    <w:pPr>
      <w:ind w:left="567"/>
    </w:pPr>
  </w:style>
  <w:style w:type="paragraph" w:customStyle="1" w:styleId="TableSecondHeading">
    <w:name w:val="Table Second Heading"/>
    <w:basedOn w:val="HeadingBase"/>
    <w:next w:val="TableGraphic"/>
    <w:rsid w:val="00A613D5"/>
    <w:pPr>
      <w:spacing w:after="20"/>
    </w:pPr>
  </w:style>
  <w:style w:type="paragraph" w:customStyle="1" w:styleId="TableTextBase">
    <w:name w:val="Table Text Base"/>
    <w:rsid w:val="00A613D5"/>
    <w:pPr>
      <w:spacing w:before="40" w:after="40" w:line="240" w:lineRule="auto"/>
    </w:pPr>
    <w:rPr>
      <w:rFonts w:eastAsia="Times New Roman" w:cs="Times New Roman"/>
      <w:sz w:val="20"/>
      <w:szCs w:val="20"/>
      <w:lang w:eastAsia="en-AU"/>
    </w:rPr>
  </w:style>
  <w:style w:type="paragraph" w:customStyle="1" w:styleId="TableColumnHeadingCentred">
    <w:name w:val="Table Column Heading Centred"/>
    <w:basedOn w:val="TableTextBase"/>
    <w:rsid w:val="00A613D5"/>
    <w:pPr>
      <w:tabs>
        <w:tab w:val="left" w:pos="1987"/>
      </w:tabs>
      <w:jc w:val="center"/>
    </w:pPr>
    <w:rPr>
      <w:rFonts w:ascii="Arial Bold" w:hAnsi="Arial Bold"/>
      <w:b/>
    </w:rPr>
  </w:style>
  <w:style w:type="paragraph" w:customStyle="1" w:styleId="TableColumnHeadingBase">
    <w:name w:val="Table Column Heading Base"/>
    <w:basedOn w:val="Normal"/>
    <w:rsid w:val="00A613D5"/>
    <w:pPr>
      <w:spacing w:before="40" w:after="40"/>
    </w:pPr>
    <w:rPr>
      <w:rFonts w:ascii="Arial" w:hAnsi="Arial"/>
      <w:b/>
      <w:sz w:val="16"/>
    </w:rPr>
  </w:style>
  <w:style w:type="paragraph" w:customStyle="1" w:styleId="TableColumnHeadingLeft">
    <w:name w:val="Table Column Heading Left"/>
    <w:basedOn w:val="TableTextBase"/>
    <w:rsid w:val="00A613D5"/>
    <w:rPr>
      <w:b/>
    </w:rPr>
  </w:style>
  <w:style w:type="paragraph" w:customStyle="1" w:styleId="TableColumnHeadingRight">
    <w:name w:val="Table Column Heading Right"/>
    <w:basedOn w:val="TableTextBase"/>
    <w:rsid w:val="00A613D5"/>
    <w:pPr>
      <w:jc w:val="right"/>
    </w:pPr>
    <w:rPr>
      <w:b/>
    </w:rPr>
  </w:style>
  <w:style w:type="table" w:styleId="TableGrid">
    <w:name w:val="Table Grid"/>
    <w:basedOn w:val="TableNormal"/>
    <w:rsid w:val="00A613D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MainHeadingContd">
    <w:name w:val="Table Main Heading Contd"/>
    <w:basedOn w:val="HeadingBase"/>
    <w:next w:val="TableGraphic"/>
    <w:rsid w:val="00A613D5"/>
    <w:pPr>
      <w:pageBreakBefore/>
      <w:spacing w:after="20"/>
    </w:pPr>
    <w:rPr>
      <w:b/>
      <w:color w:val="002C47" w:themeColor="accent1"/>
      <w:sz w:val="22"/>
    </w:rPr>
  </w:style>
  <w:style w:type="paragraph" w:customStyle="1" w:styleId="TableTextCentered">
    <w:name w:val="Table Text Centered"/>
    <w:basedOn w:val="TableTextBase"/>
    <w:rsid w:val="00A613D5"/>
    <w:pPr>
      <w:jc w:val="center"/>
    </w:pPr>
  </w:style>
  <w:style w:type="paragraph" w:customStyle="1" w:styleId="TableTextIndented">
    <w:name w:val="Table Text Indented"/>
    <w:basedOn w:val="TableTextBase"/>
    <w:rsid w:val="00A613D5"/>
    <w:pPr>
      <w:ind w:left="284"/>
    </w:pPr>
  </w:style>
  <w:style w:type="paragraph" w:customStyle="1" w:styleId="TableTextLeft">
    <w:name w:val="Table Text Left"/>
    <w:basedOn w:val="TableTextBase"/>
    <w:rsid w:val="00A613D5"/>
  </w:style>
  <w:style w:type="paragraph" w:customStyle="1" w:styleId="TableTextRight">
    <w:name w:val="Table Text Right"/>
    <w:basedOn w:val="TableTextBase"/>
    <w:rsid w:val="00A613D5"/>
    <w:pPr>
      <w:jc w:val="right"/>
    </w:pPr>
  </w:style>
  <w:style w:type="paragraph" w:styleId="TOC1">
    <w:name w:val="toc 1"/>
    <w:basedOn w:val="Normal"/>
    <w:next w:val="Normal"/>
    <w:uiPriority w:val="39"/>
    <w:rsid w:val="00A613D5"/>
    <w:pPr>
      <w:widowControl w:val="0"/>
      <w:tabs>
        <w:tab w:val="left" w:pos="567"/>
        <w:tab w:val="right" w:leader="dot" w:pos="9299"/>
      </w:tabs>
      <w:adjustRightInd w:val="0"/>
      <w:spacing w:before="240" w:after="0"/>
      <w:ind w:right="567"/>
      <w:textAlignment w:val="baseline"/>
    </w:pPr>
    <w:rPr>
      <w:rFonts w:ascii="Arial" w:hAnsi="Arial"/>
      <w:smallCaps/>
      <w:color w:val="003157"/>
    </w:rPr>
  </w:style>
  <w:style w:type="paragraph" w:styleId="TOC2">
    <w:name w:val="toc 2"/>
    <w:basedOn w:val="Normal"/>
    <w:next w:val="Normal"/>
    <w:rsid w:val="00A613D5"/>
    <w:pPr>
      <w:widowControl w:val="0"/>
      <w:tabs>
        <w:tab w:val="right" w:leader="dot" w:pos="9299"/>
      </w:tabs>
      <w:adjustRightInd w:val="0"/>
      <w:spacing w:before="120" w:after="0"/>
      <w:ind w:left="567" w:right="567"/>
      <w:textAlignment w:val="baseline"/>
    </w:pPr>
    <w:rPr>
      <w:sz w:val="24"/>
    </w:rPr>
  </w:style>
  <w:style w:type="paragraph" w:styleId="TOC3">
    <w:name w:val="toc 3"/>
    <w:basedOn w:val="Normal"/>
    <w:next w:val="Normal"/>
    <w:autoRedefine/>
    <w:rsid w:val="00A613D5"/>
    <w:pPr>
      <w:tabs>
        <w:tab w:val="left" w:pos="2268"/>
        <w:tab w:val="right" w:leader="dot" w:pos="9299"/>
      </w:tabs>
      <w:spacing w:before="60" w:after="0"/>
      <w:ind w:left="1418" w:right="567"/>
    </w:pPr>
    <w:rPr>
      <w:rFonts w:ascii="Arial" w:hAnsi="Arial"/>
      <w:noProof/>
    </w:rPr>
  </w:style>
  <w:style w:type="paragraph" w:styleId="TOC4">
    <w:name w:val="toc 4"/>
    <w:basedOn w:val="Normal"/>
    <w:next w:val="Normal"/>
    <w:autoRedefine/>
    <w:rsid w:val="00A613D5"/>
    <w:pPr>
      <w:tabs>
        <w:tab w:val="left" w:pos="1531"/>
        <w:tab w:val="right" w:leader="dot" w:pos="7711"/>
      </w:tabs>
      <w:spacing w:after="120"/>
      <w:ind w:left="1560" w:hanging="959"/>
    </w:pPr>
    <w:rPr>
      <w:noProof/>
    </w:rPr>
  </w:style>
  <w:style w:type="paragraph" w:styleId="BodyTextIndent2">
    <w:name w:val="Body Text Indent 2"/>
    <w:basedOn w:val="Normal"/>
    <w:link w:val="BodyTextIndent2Char"/>
    <w:rsid w:val="00A613D5"/>
    <w:pPr>
      <w:spacing w:after="120" w:line="480" w:lineRule="auto"/>
      <w:ind w:left="283"/>
    </w:pPr>
  </w:style>
  <w:style w:type="character" w:customStyle="1" w:styleId="BodyTextIndent2Char">
    <w:name w:val="Body Text Indent 2 Char"/>
    <w:basedOn w:val="DefaultParagraphFont"/>
    <w:link w:val="BodyTextIndent2"/>
    <w:rsid w:val="00A613D5"/>
    <w:rPr>
      <w:rFonts w:ascii="Calibri" w:hAnsi="Calibri"/>
      <w:color w:val="000000" w:themeColor="text1"/>
    </w:rPr>
  </w:style>
  <w:style w:type="character" w:customStyle="1" w:styleId="BoldandItalic">
    <w:name w:val="Bold and Italic"/>
    <w:basedOn w:val="DefaultParagraphFont"/>
    <w:rsid w:val="00A613D5"/>
    <w:rPr>
      <w:rFonts w:ascii="Arial" w:hAnsi="Arial"/>
      <w:b/>
      <w:i/>
    </w:rPr>
  </w:style>
  <w:style w:type="paragraph" w:styleId="Caption">
    <w:name w:val="caption"/>
    <w:basedOn w:val="Normal"/>
    <w:next w:val="Normal"/>
    <w:unhideWhenUsed/>
    <w:rsid w:val="00A613D5"/>
    <w:rPr>
      <w:b/>
      <w:bCs/>
      <w:color w:val="003157"/>
      <w:sz w:val="18"/>
      <w:szCs w:val="18"/>
    </w:rPr>
  </w:style>
  <w:style w:type="character" w:styleId="CommentReference">
    <w:name w:val="annotation reference"/>
    <w:basedOn w:val="DefaultParagraphFont"/>
    <w:rsid w:val="00A613D5"/>
    <w:rPr>
      <w:sz w:val="16"/>
      <w:szCs w:val="16"/>
    </w:rPr>
  </w:style>
  <w:style w:type="paragraph" w:styleId="CommentText">
    <w:name w:val="annotation text"/>
    <w:basedOn w:val="Normal"/>
    <w:link w:val="CommentTextChar"/>
    <w:rsid w:val="00A613D5"/>
    <w:rPr>
      <w:sz w:val="20"/>
    </w:rPr>
  </w:style>
  <w:style w:type="character" w:customStyle="1" w:styleId="CommentTextChar">
    <w:name w:val="Comment Text Char"/>
    <w:basedOn w:val="DefaultParagraphFont"/>
    <w:link w:val="CommentText"/>
    <w:rsid w:val="00A613D5"/>
    <w:rPr>
      <w:rFonts w:ascii="Calibri" w:hAnsi="Calibri"/>
      <w:color w:val="000000" w:themeColor="text1"/>
      <w:sz w:val="20"/>
    </w:rPr>
  </w:style>
  <w:style w:type="paragraph" w:styleId="CommentSubject">
    <w:name w:val="annotation subject"/>
    <w:basedOn w:val="CommentText"/>
    <w:next w:val="CommentText"/>
    <w:link w:val="CommentSubjectChar"/>
    <w:rsid w:val="00A613D5"/>
    <w:rPr>
      <w:b/>
      <w:bCs/>
    </w:rPr>
  </w:style>
  <w:style w:type="character" w:customStyle="1" w:styleId="CommentSubjectChar">
    <w:name w:val="Comment Subject Char"/>
    <w:basedOn w:val="CommentTextChar"/>
    <w:link w:val="CommentSubject"/>
    <w:rsid w:val="00A613D5"/>
    <w:rPr>
      <w:rFonts w:ascii="Calibri" w:hAnsi="Calibri"/>
      <w:b/>
      <w:bCs/>
      <w:color w:val="000000" w:themeColor="text1"/>
      <w:sz w:val="20"/>
    </w:rPr>
  </w:style>
  <w:style w:type="paragraph" w:styleId="DocumentMap">
    <w:name w:val="Document Map"/>
    <w:basedOn w:val="Normal"/>
    <w:link w:val="DocumentMapChar"/>
    <w:semiHidden/>
    <w:rsid w:val="00A613D5"/>
    <w:pPr>
      <w:shd w:val="clear" w:color="auto" w:fill="00CCFF"/>
    </w:pPr>
    <w:rPr>
      <w:rFonts w:ascii="Tahoma" w:hAnsi="Tahoma" w:cs="Tahoma"/>
    </w:rPr>
  </w:style>
  <w:style w:type="character" w:customStyle="1" w:styleId="DocumentMapChar">
    <w:name w:val="Document Map Char"/>
    <w:basedOn w:val="DefaultParagraphFont"/>
    <w:link w:val="DocumentMap"/>
    <w:semiHidden/>
    <w:rsid w:val="00A613D5"/>
    <w:rPr>
      <w:rFonts w:ascii="Tahoma" w:hAnsi="Tahoma" w:cs="Tahoma"/>
      <w:color w:val="000000" w:themeColor="text1"/>
      <w:shd w:val="clear" w:color="auto" w:fill="00CCFF"/>
    </w:rPr>
  </w:style>
  <w:style w:type="character" w:styleId="EndnoteReference">
    <w:name w:val="endnote reference"/>
    <w:basedOn w:val="DefaultParagraphFont"/>
    <w:rsid w:val="00A613D5"/>
    <w:rPr>
      <w:vertAlign w:val="superscript"/>
    </w:rPr>
  </w:style>
  <w:style w:type="paragraph" w:styleId="EndnoteText">
    <w:name w:val="endnote text"/>
    <w:basedOn w:val="Normal"/>
    <w:link w:val="EndnoteTextChar"/>
    <w:rsid w:val="00A613D5"/>
    <w:pPr>
      <w:spacing w:after="0"/>
    </w:pPr>
    <w:rPr>
      <w:sz w:val="20"/>
    </w:rPr>
  </w:style>
  <w:style w:type="character" w:customStyle="1" w:styleId="EndnoteTextChar">
    <w:name w:val="Endnote Text Char"/>
    <w:basedOn w:val="DefaultParagraphFont"/>
    <w:link w:val="EndnoteText"/>
    <w:rsid w:val="00A613D5"/>
    <w:rPr>
      <w:rFonts w:ascii="Calibri" w:hAnsi="Calibri"/>
      <w:color w:val="000000" w:themeColor="text1"/>
      <w:sz w:val="20"/>
    </w:rPr>
  </w:style>
  <w:style w:type="character" w:styleId="FollowedHyperlink">
    <w:name w:val="FollowedHyperlink"/>
    <w:basedOn w:val="DefaultParagraphFont"/>
    <w:rsid w:val="00A613D5"/>
    <w:rPr>
      <w:color w:val="auto"/>
      <w:u w:val="none"/>
    </w:rPr>
  </w:style>
  <w:style w:type="paragraph" w:styleId="Index1">
    <w:name w:val="index 1"/>
    <w:basedOn w:val="Normal"/>
    <w:next w:val="Normal"/>
    <w:autoRedefine/>
    <w:semiHidden/>
    <w:rsid w:val="00A613D5"/>
    <w:pPr>
      <w:spacing w:after="0"/>
      <w:ind w:left="238" w:hanging="238"/>
    </w:pPr>
  </w:style>
  <w:style w:type="paragraph" w:styleId="Index2">
    <w:name w:val="index 2"/>
    <w:basedOn w:val="Normal"/>
    <w:next w:val="Normal"/>
    <w:autoRedefine/>
    <w:semiHidden/>
    <w:rsid w:val="00A613D5"/>
    <w:pPr>
      <w:spacing w:after="0"/>
      <w:ind w:left="480" w:hanging="240"/>
    </w:pPr>
    <w:rPr>
      <w:sz w:val="20"/>
    </w:rPr>
  </w:style>
  <w:style w:type="paragraph" w:styleId="Index3">
    <w:name w:val="index 3"/>
    <w:basedOn w:val="Normal"/>
    <w:next w:val="Normal"/>
    <w:autoRedefine/>
    <w:semiHidden/>
    <w:rsid w:val="00A613D5"/>
    <w:pPr>
      <w:ind w:left="600" w:hanging="200"/>
    </w:pPr>
  </w:style>
  <w:style w:type="paragraph" w:styleId="Index4">
    <w:name w:val="index 4"/>
    <w:basedOn w:val="Normal"/>
    <w:next w:val="Normal"/>
    <w:autoRedefine/>
    <w:semiHidden/>
    <w:rsid w:val="00A613D5"/>
    <w:pPr>
      <w:ind w:left="800" w:hanging="200"/>
    </w:pPr>
  </w:style>
  <w:style w:type="paragraph" w:styleId="Index5">
    <w:name w:val="index 5"/>
    <w:basedOn w:val="Normal"/>
    <w:next w:val="Normal"/>
    <w:autoRedefine/>
    <w:semiHidden/>
    <w:rsid w:val="00A613D5"/>
    <w:pPr>
      <w:ind w:left="1000" w:hanging="200"/>
    </w:pPr>
  </w:style>
  <w:style w:type="paragraph" w:styleId="Index6">
    <w:name w:val="index 6"/>
    <w:basedOn w:val="Normal"/>
    <w:next w:val="Normal"/>
    <w:autoRedefine/>
    <w:semiHidden/>
    <w:rsid w:val="00A613D5"/>
    <w:pPr>
      <w:ind w:left="1200" w:hanging="200"/>
    </w:pPr>
  </w:style>
  <w:style w:type="paragraph" w:styleId="Index7">
    <w:name w:val="index 7"/>
    <w:basedOn w:val="Normal"/>
    <w:next w:val="Normal"/>
    <w:autoRedefine/>
    <w:semiHidden/>
    <w:rsid w:val="00A613D5"/>
    <w:pPr>
      <w:ind w:left="1400" w:hanging="200"/>
    </w:pPr>
  </w:style>
  <w:style w:type="paragraph" w:styleId="Index8">
    <w:name w:val="index 8"/>
    <w:basedOn w:val="Normal"/>
    <w:next w:val="Normal"/>
    <w:autoRedefine/>
    <w:semiHidden/>
    <w:rsid w:val="00A613D5"/>
    <w:pPr>
      <w:ind w:left="1600" w:hanging="200"/>
    </w:pPr>
  </w:style>
  <w:style w:type="paragraph" w:styleId="Index9">
    <w:name w:val="index 9"/>
    <w:basedOn w:val="Normal"/>
    <w:next w:val="Normal"/>
    <w:autoRedefine/>
    <w:semiHidden/>
    <w:rsid w:val="00A613D5"/>
    <w:pPr>
      <w:ind w:left="1800" w:hanging="200"/>
    </w:pPr>
  </w:style>
  <w:style w:type="paragraph" w:styleId="IndexHeading">
    <w:name w:val="index heading"/>
    <w:basedOn w:val="Normal"/>
    <w:next w:val="Index1"/>
    <w:semiHidden/>
    <w:rsid w:val="00A613D5"/>
    <w:pPr>
      <w:pBdr>
        <w:top w:val="single" w:sz="12" w:space="0" w:color="auto"/>
      </w:pBdr>
      <w:spacing w:before="360"/>
    </w:pPr>
    <w:rPr>
      <w:rFonts w:ascii="Times New Roman" w:hAnsi="Times New Roman"/>
      <w:b/>
      <w:i/>
    </w:rPr>
  </w:style>
  <w:style w:type="paragraph" w:styleId="MacroText">
    <w:name w:val="macro"/>
    <w:link w:val="MacroTextChar"/>
    <w:semiHidden/>
    <w:rsid w:val="00A613D5"/>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A613D5"/>
    <w:rPr>
      <w:rFonts w:ascii="Courier New" w:eastAsia="Times New Roman" w:hAnsi="Courier New" w:cs="Courier New"/>
      <w:color w:val="000000"/>
      <w:sz w:val="20"/>
      <w:szCs w:val="20"/>
      <w:lang w:eastAsia="en-AU"/>
    </w:rPr>
  </w:style>
  <w:style w:type="numbering" w:customStyle="1" w:styleId="OutlineList">
    <w:name w:val="OutlineList"/>
    <w:uiPriority w:val="99"/>
    <w:rsid w:val="00A613D5"/>
    <w:pPr>
      <w:numPr>
        <w:numId w:val="5"/>
      </w:numPr>
    </w:pPr>
  </w:style>
  <w:style w:type="paragraph" w:customStyle="1" w:styleId="PictureCentred">
    <w:name w:val="Picture Centred"/>
    <w:basedOn w:val="Normal"/>
    <w:rsid w:val="00A613D5"/>
    <w:pPr>
      <w:spacing w:before="120" w:line="240" w:lineRule="atLeast"/>
      <w:jc w:val="center"/>
    </w:pPr>
  </w:style>
  <w:style w:type="paragraph" w:customStyle="1" w:styleId="PictureLeft">
    <w:name w:val="Picture Left"/>
    <w:basedOn w:val="PictureCentred"/>
    <w:rsid w:val="00A613D5"/>
    <w:pPr>
      <w:jc w:val="left"/>
    </w:pPr>
  </w:style>
  <w:style w:type="paragraph" w:customStyle="1" w:styleId="PictureIndent">
    <w:name w:val="Picture Indent"/>
    <w:basedOn w:val="PictureLeft"/>
    <w:rsid w:val="00A613D5"/>
    <w:pPr>
      <w:ind w:left="284"/>
    </w:pPr>
  </w:style>
  <w:style w:type="paragraph" w:styleId="TableofAuthorities">
    <w:name w:val="table of authorities"/>
    <w:basedOn w:val="Normal"/>
    <w:next w:val="Normal"/>
    <w:rsid w:val="00A613D5"/>
    <w:pPr>
      <w:ind w:left="200" w:hanging="200"/>
    </w:pPr>
  </w:style>
  <w:style w:type="paragraph" w:styleId="TableofFigures">
    <w:name w:val="table of figures"/>
    <w:basedOn w:val="Normal"/>
    <w:next w:val="Normal"/>
    <w:rsid w:val="00A613D5"/>
  </w:style>
  <w:style w:type="paragraph" w:styleId="TOAHeading">
    <w:name w:val="toa heading"/>
    <w:basedOn w:val="Normal"/>
    <w:next w:val="Normal"/>
    <w:semiHidden/>
    <w:rsid w:val="00A613D5"/>
    <w:pPr>
      <w:spacing w:before="120"/>
    </w:pPr>
    <w:rPr>
      <w:rFonts w:ascii="Arial" w:hAnsi="Arial" w:cs="Arial"/>
      <w:b/>
      <w:bCs/>
      <w:sz w:val="24"/>
      <w:szCs w:val="24"/>
    </w:rPr>
  </w:style>
  <w:style w:type="paragraph" w:styleId="TOC5">
    <w:name w:val="toc 5"/>
    <w:basedOn w:val="Normal"/>
    <w:next w:val="Normal"/>
    <w:autoRedefine/>
    <w:semiHidden/>
    <w:rsid w:val="00A613D5"/>
    <w:pPr>
      <w:ind w:left="1040"/>
    </w:pPr>
  </w:style>
  <w:style w:type="paragraph" w:styleId="TOC6">
    <w:name w:val="toc 6"/>
    <w:basedOn w:val="Normal"/>
    <w:next w:val="Normal"/>
    <w:autoRedefine/>
    <w:semiHidden/>
    <w:rsid w:val="00A613D5"/>
    <w:pPr>
      <w:ind w:left="1300"/>
    </w:pPr>
  </w:style>
  <w:style w:type="paragraph" w:styleId="TOC7">
    <w:name w:val="toc 7"/>
    <w:basedOn w:val="Normal"/>
    <w:next w:val="Normal"/>
    <w:autoRedefine/>
    <w:semiHidden/>
    <w:rsid w:val="00A613D5"/>
    <w:pPr>
      <w:tabs>
        <w:tab w:val="right" w:leader="dot" w:pos="7711"/>
      </w:tabs>
      <w:spacing w:before="240" w:after="0"/>
    </w:pPr>
    <w:rPr>
      <w:rFonts w:ascii="Arial" w:hAnsi="Arial"/>
      <w:smallCaps/>
      <w:color w:val="808000"/>
      <w:sz w:val="24"/>
    </w:rPr>
  </w:style>
  <w:style w:type="paragraph" w:styleId="TOC8">
    <w:name w:val="toc 8"/>
    <w:basedOn w:val="Normal"/>
    <w:next w:val="Normal"/>
    <w:autoRedefine/>
    <w:semiHidden/>
    <w:rsid w:val="00A613D5"/>
    <w:pPr>
      <w:tabs>
        <w:tab w:val="right" w:leader="dot" w:pos="7711"/>
      </w:tabs>
      <w:spacing w:after="0"/>
      <w:ind w:left="1134"/>
    </w:pPr>
    <w:rPr>
      <w:noProof/>
    </w:rPr>
  </w:style>
  <w:style w:type="paragraph" w:styleId="TOC9">
    <w:name w:val="toc 9"/>
    <w:basedOn w:val="Normal"/>
    <w:next w:val="Normal"/>
    <w:autoRedefine/>
    <w:semiHidden/>
    <w:rsid w:val="00A613D5"/>
    <w:pPr>
      <w:ind w:left="2080"/>
    </w:pPr>
  </w:style>
  <w:style w:type="numbering" w:customStyle="1" w:styleId="BulletedList">
    <w:name w:val="Bulleted List"/>
    <w:uiPriority w:val="99"/>
    <w:rsid w:val="00A613D5"/>
    <w:pPr>
      <w:numPr>
        <w:numId w:val="1"/>
      </w:numPr>
    </w:pPr>
  </w:style>
  <w:style w:type="numbering" w:customStyle="1" w:styleId="BoxBulletedList">
    <w:name w:val="Box Bulleted List"/>
    <w:uiPriority w:val="99"/>
    <w:rsid w:val="00A613D5"/>
    <w:pPr>
      <w:numPr>
        <w:numId w:val="2"/>
      </w:numPr>
    </w:pPr>
  </w:style>
  <w:style w:type="numbering" w:customStyle="1" w:styleId="AlphaParagraphList">
    <w:name w:val="Alpha Paragraph List"/>
    <w:uiPriority w:val="99"/>
    <w:rsid w:val="00A613D5"/>
    <w:pPr>
      <w:numPr>
        <w:numId w:val="3"/>
      </w:numPr>
    </w:pPr>
  </w:style>
  <w:style w:type="numbering" w:customStyle="1" w:styleId="OneLevelList">
    <w:name w:val="OneLevelList"/>
    <w:uiPriority w:val="99"/>
    <w:rsid w:val="00A613D5"/>
    <w:pPr>
      <w:numPr>
        <w:numId w:val="4"/>
      </w:numPr>
    </w:pPr>
  </w:style>
  <w:style w:type="numbering" w:customStyle="1" w:styleId="RecommendationBulletList">
    <w:name w:val="RecommendationBulletList"/>
    <w:uiPriority w:val="99"/>
    <w:rsid w:val="00A613D5"/>
    <w:pPr>
      <w:numPr>
        <w:numId w:val="6"/>
      </w:numPr>
    </w:pPr>
  </w:style>
  <w:style w:type="numbering" w:customStyle="1" w:styleId="RomanNumeralList">
    <w:name w:val="RomanNumeralList"/>
    <w:uiPriority w:val="99"/>
    <w:rsid w:val="00A613D5"/>
    <w:pPr>
      <w:numPr>
        <w:numId w:val="7"/>
      </w:numPr>
    </w:pPr>
  </w:style>
  <w:style w:type="numbering" w:customStyle="1" w:styleId="ChartandTableFootnoteAlphaList">
    <w:name w:val="ChartandTableFootnoteAlphaList"/>
    <w:uiPriority w:val="99"/>
    <w:rsid w:val="00A613D5"/>
    <w:pPr>
      <w:numPr>
        <w:numId w:val="12"/>
      </w:numPr>
    </w:pPr>
  </w:style>
  <w:style w:type="paragraph" w:customStyle="1" w:styleId="TableTextBullet">
    <w:name w:val="Table Text Bullet"/>
    <w:basedOn w:val="TableTextBase"/>
    <w:rsid w:val="00A613D5"/>
    <w:pPr>
      <w:numPr>
        <w:numId w:val="14"/>
      </w:numPr>
    </w:pPr>
  </w:style>
  <w:style w:type="numbering" w:customStyle="1" w:styleId="TableTestBulletList">
    <w:name w:val="Table Test Bullet List"/>
    <w:uiPriority w:val="99"/>
    <w:rsid w:val="00A613D5"/>
    <w:pPr>
      <w:numPr>
        <w:numId w:val="13"/>
      </w:numPr>
    </w:pPr>
  </w:style>
  <w:style w:type="numbering" w:customStyle="1" w:styleId="TableTextBulletList">
    <w:name w:val="Table Text Bullet List"/>
    <w:uiPriority w:val="99"/>
    <w:rsid w:val="00A613D5"/>
    <w:pPr>
      <w:numPr>
        <w:numId w:val="14"/>
      </w:numPr>
    </w:pPr>
  </w:style>
  <w:style w:type="paragraph" w:customStyle="1" w:styleId="StyleTableTextBulletLinespacingExactly13pt">
    <w:name w:val="Style Table Text Bullet + Line spacing:  Exactly 13 pt"/>
    <w:basedOn w:val="TableTextBullet"/>
    <w:rsid w:val="00A613D5"/>
    <w:pPr>
      <w:numPr>
        <w:numId w:val="0"/>
      </w:numPr>
      <w:spacing w:after="80" w:line="260" w:lineRule="exact"/>
    </w:pPr>
  </w:style>
  <w:style w:type="paragraph" w:customStyle="1" w:styleId="SecurityClassificationHeader">
    <w:name w:val="Security Classification Header"/>
    <w:link w:val="SecurityClassificationHeaderChar"/>
    <w:rsid w:val="00A613D5"/>
    <w:pPr>
      <w:spacing w:before="60" w:after="60" w:line="240" w:lineRule="auto"/>
      <w:jc w:val="center"/>
    </w:pPr>
    <w:rPr>
      <w:rFonts w:ascii="Arial" w:eastAsia="Times New Roman" w:hAnsi="Arial" w:cs="Times New Roman"/>
      <w:b/>
      <w:caps/>
      <w:color w:val="002C47" w:themeColor="accent1"/>
      <w:sz w:val="24"/>
      <w:szCs w:val="20"/>
      <w:lang w:eastAsia="en-AU"/>
    </w:rPr>
  </w:style>
  <w:style w:type="character" w:customStyle="1" w:styleId="SecurityClassificationHeaderChar">
    <w:name w:val="Security Classification Header Char"/>
    <w:basedOn w:val="HeaderChar"/>
    <w:link w:val="SecurityClassificationHeader"/>
    <w:rsid w:val="00A613D5"/>
    <w:rPr>
      <w:rFonts w:ascii="Arial" w:eastAsia="Times New Roman" w:hAnsi="Arial" w:cs="Times New Roman"/>
      <w:b/>
      <w:caps/>
      <w:color w:val="002C47" w:themeColor="accent1"/>
      <w:sz w:val="24"/>
      <w:szCs w:val="20"/>
      <w:lang w:eastAsia="en-AU"/>
    </w:rPr>
  </w:style>
  <w:style w:type="paragraph" w:customStyle="1" w:styleId="SecurityClassificationFooter">
    <w:name w:val="Security Classification Footer"/>
    <w:link w:val="SecurityClassificationFooterChar"/>
    <w:rsid w:val="00A613D5"/>
    <w:pPr>
      <w:spacing w:before="60" w:after="40" w:line="240" w:lineRule="auto"/>
      <w:jc w:val="center"/>
    </w:pPr>
    <w:rPr>
      <w:rFonts w:ascii="Arial" w:eastAsia="Times New Roman" w:hAnsi="Arial" w:cs="Times New Roman"/>
      <w:b/>
      <w:caps/>
      <w:color w:val="002C47" w:themeColor="accent1"/>
      <w:sz w:val="24"/>
      <w:szCs w:val="20"/>
      <w:lang w:eastAsia="en-AU"/>
    </w:rPr>
  </w:style>
  <w:style w:type="character" w:customStyle="1" w:styleId="SecurityClassificationFooterChar">
    <w:name w:val="Security Classification Footer Char"/>
    <w:basedOn w:val="HeaderChar"/>
    <w:link w:val="SecurityClassificationFooter"/>
    <w:rsid w:val="00A613D5"/>
    <w:rPr>
      <w:rFonts w:ascii="Arial" w:eastAsia="Times New Roman" w:hAnsi="Arial" w:cs="Times New Roman"/>
      <w:b/>
      <w:caps/>
      <w:color w:val="002C47" w:themeColor="accent1"/>
      <w:sz w:val="24"/>
      <w:szCs w:val="20"/>
      <w:lang w:eastAsia="en-AU"/>
    </w:rPr>
  </w:style>
  <w:style w:type="paragraph" w:customStyle="1" w:styleId="DLMSecurityHeader">
    <w:name w:val="DLM Security Header"/>
    <w:link w:val="DLMSecurityHeaderChar"/>
    <w:rsid w:val="00A613D5"/>
    <w:pPr>
      <w:spacing w:before="60" w:after="240"/>
      <w:jc w:val="center"/>
    </w:pPr>
    <w:rPr>
      <w:rFonts w:ascii="Times New Roman" w:eastAsia="Times New Roman" w:hAnsi="Times New Roman" w:cs="Times New Roman"/>
      <w:b/>
      <w:caps/>
      <w:color w:val="002C47" w:themeColor="accent1"/>
      <w:sz w:val="24"/>
      <w:szCs w:val="20"/>
      <w:lang w:eastAsia="en-AU"/>
    </w:rPr>
  </w:style>
  <w:style w:type="character" w:customStyle="1" w:styleId="DLMSecurityHeaderChar">
    <w:name w:val="DLM Security Header Char"/>
    <w:basedOn w:val="HeaderChar"/>
    <w:link w:val="DLMSecurityHeader"/>
    <w:rsid w:val="00A613D5"/>
    <w:rPr>
      <w:rFonts w:ascii="Times New Roman" w:eastAsia="Times New Roman" w:hAnsi="Times New Roman" w:cs="Times New Roman"/>
      <w:b/>
      <w:caps/>
      <w:color w:val="002C47" w:themeColor="accent1"/>
      <w:sz w:val="24"/>
      <w:szCs w:val="20"/>
      <w:lang w:eastAsia="en-AU"/>
    </w:rPr>
  </w:style>
  <w:style w:type="paragraph" w:customStyle="1" w:styleId="DLMSecurityFooter">
    <w:name w:val="DLM Security Footer"/>
    <w:link w:val="DLMSecurityFooterChar"/>
    <w:rsid w:val="00A613D5"/>
    <w:pPr>
      <w:spacing w:before="240" w:after="60"/>
      <w:jc w:val="center"/>
    </w:pPr>
    <w:rPr>
      <w:rFonts w:ascii="Times New Roman" w:eastAsia="Times New Roman" w:hAnsi="Times New Roman" w:cs="Times New Roman"/>
      <w:b/>
      <w:caps/>
      <w:color w:val="002C47" w:themeColor="accent1"/>
      <w:sz w:val="24"/>
      <w:szCs w:val="20"/>
      <w:lang w:eastAsia="en-AU"/>
    </w:rPr>
  </w:style>
  <w:style w:type="character" w:customStyle="1" w:styleId="DLMSecurityFooterChar">
    <w:name w:val="DLM Security Footer Char"/>
    <w:basedOn w:val="HeaderChar"/>
    <w:link w:val="DLMSecurityFooter"/>
    <w:rsid w:val="00A613D5"/>
    <w:rPr>
      <w:rFonts w:ascii="Times New Roman" w:eastAsia="Times New Roman" w:hAnsi="Times New Roman" w:cs="Times New Roman"/>
      <w:b/>
      <w:caps/>
      <w:color w:val="002C47" w:themeColor="accent1"/>
      <w:sz w:val="24"/>
      <w:szCs w:val="20"/>
      <w:lang w:eastAsia="en-AU"/>
    </w:rPr>
  </w:style>
  <w:style w:type="paragraph" w:customStyle="1" w:styleId="AuthorName">
    <w:name w:val="Author Name"/>
    <w:basedOn w:val="Normal"/>
    <w:rsid w:val="00A613D5"/>
    <w:pPr>
      <w:spacing w:before="120" w:after="120"/>
      <w:jc w:val="center"/>
    </w:pPr>
    <w:rPr>
      <w:rFonts w:ascii="Arial Bold" w:hAnsi="Arial Bold"/>
      <w:b/>
      <w:sz w:val="24"/>
    </w:rPr>
  </w:style>
  <w:style w:type="paragraph" w:styleId="Title">
    <w:name w:val="Title"/>
    <w:basedOn w:val="HeadingBaseStyle"/>
    <w:link w:val="TitleChar"/>
    <w:autoRedefine/>
    <w:qFormat/>
    <w:rsid w:val="00A613D5"/>
    <w:pPr>
      <w:spacing w:before="3000" w:after="480"/>
      <w:jc w:val="center"/>
    </w:pPr>
    <w:rPr>
      <w:rFonts w:ascii="Arial Bold" w:hAnsi="Arial Bold"/>
      <w:b/>
      <w:smallCaps/>
      <w:kern w:val="28"/>
      <w:sz w:val="56"/>
    </w:rPr>
  </w:style>
  <w:style w:type="character" w:customStyle="1" w:styleId="TitleChar">
    <w:name w:val="Title Char"/>
    <w:basedOn w:val="DefaultParagraphFont"/>
    <w:link w:val="Title"/>
    <w:rsid w:val="00A613D5"/>
    <w:rPr>
      <w:rFonts w:ascii="Arial Bold" w:hAnsi="Arial Bold"/>
      <w:b/>
      <w:smallCaps/>
      <w:color w:val="002C47" w:themeColor="accent1"/>
      <w:kern w:val="28"/>
      <w:sz w:val="56"/>
    </w:rPr>
  </w:style>
  <w:style w:type="paragraph" w:styleId="Subtitle">
    <w:name w:val="Subtitle"/>
    <w:basedOn w:val="HeadingBaseStyle"/>
    <w:link w:val="SubtitleChar"/>
    <w:qFormat/>
    <w:rsid w:val="00A613D5"/>
    <w:pPr>
      <w:spacing w:before="360" w:after="360"/>
      <w:jc w:val="center"/>
      <w:outlineLvl w:val="1"/>
    </w:pPr>
    <w:rPr>
      <w:rFonts w:ascii="Arial Bold" w:hAnsi="Arial Bold"/>
      <w:b/>
      <w:color w:val="auto"/>
      <w:sz w:val="40"/>
    </w:rPr>
  </w:style>
  <w:style w:type="character" w:customStyle="1" w:styleId="SubtitleChar">
    <w:name w:val="Subtitle Char"/>
    <w:basedOn w:val="DefaultParagraphFont"/>
    <w:link w:val="Subtitle"/>
    <w:rsid w:val="00A613D5"/>
    <w:rPr>
      <w:rFonts w:ascii="Arial Bold" w:hAnsi="Arial Bold"/>
      <w:b/>
      <w:sz w:val="40"/>
    </w:rPr>
  </w:style>
  <w:style w:type="paragraph" w:customStyle="1" w:styleId="SeriesNumber">
    <w:name w:val="Series Number"/>
    <w:basedOn w:val="HeadingBaseStyle"/>
    <w:rsid w:val="00A613D5"/>
    <w:pPr>
      <w:spacing w:after="300"/>
      <w:jc w:val="center"/>
    </w:pPr>
    <w:rPr>
      <w:rFonts w:ascii="Arial Bold" w:hAnsi="Arial Bold"/>
      <w:b/>
      <w:color w:val="auto"/>
      <w:sz w:val="32"/>
    </w:rPr>
  </w:style>
  <w:style w:type="character" w:customStyle="1" w:styleId="A5">
    <w:name w:val="A5"/>
    <w:uiPriority w:val="99"/>
    <w:rsid w:val="00A613D5"/>
    <w:rPr>
      <w:rFonts w:cs="Swiss 721 BT"/>
      <w:color w:val="000000"/>
      <w:sz w:val="20"/>
      <w:szCs w:val="20"/>
    </w:rPr>
  </w:style>
  <w:style w:type="paragraph" w:customStyle="1" w:styleId="Abstract">
    <w:name w:val="Abstract"/>
    <w:basedOn w:val="Normal"/>
    <w:link w:val="AbstractChar"/>
    <w:qFormat/>
    <w:rsid w:val="00A613D5"/>
  </w:style>
  <w:style w:type="character" w:customStyle="1" w:styleId="AbstractChar">
    <w:name w:val="Abstract Char"/>
    <w:basedOn w:val="DefaultParagraphFont"/>
    <w:link w:val="Abstract"/>
    <w:rsid w:val="00A613D5"/>
    <w:rPr>
      <w:rFonts w:ascii="Calibri" w:hAnsi="Calibri"/>
      <w:color w:val="000000" w:themeColor="text1"/>
    </w:rPr>
  </w:style>
  <w:style w:type="paragraph" w:customStyle="1" w:styleId="AppendixHeadingLevel2NotNumbered">
    <w:name w:val="Appendix Heading Level 2 Not Numbered"/>
    <w:basedOn w:val="Normal"/>
    <w:qFormat/>
    <w:rsid w:val="00A613D5"/>
    <w:pPr>
      <w:spacing w:before="480" w:after="320"/>
    </w:pPr>
    <w:rPr>
      <w:rFonts w:ascii="Arial Bold" w:hAnsi="Arial Bold" w:cs="Arial"/>
      <w:b/>
      <w:smallCaps/>
      <w:color w:val="003157"/>
      <w:sz w:val="32"/>
      <w:szCs w:val="32"/>
    </w:rPr>
  </w:style>
  <w:style w:type="paragraph" w:customStyle="1" w:styleId="Acknowledgement">
    <w:name w:val="Acknowledgement"/>
    <w:basedOn w:val="Normal"/>
    <w:rsid w:val="00A613D5"/>
    <w:pPr>
      <w:spacing w:after="0"/>
    </w:pPr>
  </w:style>
  <w:style w:type="paragraph" w:customStyle="1" w:styleId="Alphanumbered">
    <w:name w:val="Alpha numbered"/>
    <w:basedOn w:val="Normal"/>
    <w:rsid w:val="00A613D5"/>
    <w:pPr>
      <w:numPr>
        <w:numId w:val="15"/>
      </w:numPr>
    </w:pPr>
  </w:style>
  <w:style w:type="paragraph" w:customStyle="1" w:styleId="HeadingBaseStyle">
    <w:name w:val="HeadingBaseStyle"/>
    <w:basedOn w:val="Normal"/>
    <w:rsid w:val="00A613D5"/>
    <w:pPr>
      <w:keepNext/>
      <w:spacing w:after="0"/>
    </w:pPr>
    <w:rPr>
      <w:rFonts w:ascii="Arial" w:hAnsi="Arial"/>
      <w:color w:val="002C47" w:themeColor="accent1"/>
    </w:rPr>
  </w:style>
  <w:style w:type="paragraph" w:customStyle="1" w:styleId="AppendixHeadingNotNumbered">
    <w:name w:val="Appendix Heading Not Numbered"/>
    <w:basedOn w:val="HeadingBaseStyle"/>
    <w:rsid w:val="00A613D5"/>
    <w:pPr>
      <w:numPr>
        <w:numId w:val="16"/>
      </w:numPr>
      <w:spacing w:before="480" w:after="320"/>
    </w:pPr>
    <w:rPr>
      <w:b/>
      <w:smallCaps/>
      <w:sz w:val="32"/>
      <w:szCs w:val="28"/>
    </w:rPr>
  </w:style>
  <w:style w:type="paragraph" w:customStyle="1" w:styleId="AppendixHeadingLevel2">
    <w:name w:val="Appendix Heading Level 2"/>
    <w:basedOn w:val="AppendixHeadingNotNumbered"/>
    <w:next w:val="Normal"/>
    <w:rsid w:val="00A613D5"/>
    <w:pPr>
      <w:numPr>
        <w:ilvl w:val="1"/>
      </w:numPr>
    </w:pPr>
  </w:style>
  <w:style w:type="paragraph" w:customStyle="1" w:styleId="AppendixHeadingLevel3">
    <w:name w:val="Appendix Heading Level 3"/>
    <w:basedOn w:val="Heading3"/>
    <w:next w:val="Normal"/>
    <w:rsid w:val="00A613D5"/>
    <w:pPr>
      <w:numPr>
        <w:ilvl w:val="2"/>
        <w:numId w:val="16"/>
      </w:numPr>
    </w:pPr>
  </w:style>
  <w:style w:type="paragraph" w:customStyle="1" w:styleId="AppendixHeadingLevel4">
    <w:name w:val="Appendix Heading Level 4"/>
    <w:basedOn w:val="Heading4"/>
    <w:next w:val="Normal"/>
    <w:rsid w:val="00A613D5"/>
    <w:pPr>
      <w:numPr>
        <w:ilvl w:val="3"/>
        <w:numId w:val="16"/>
      </w:numPr>
    </w:pPr>
  </w:style>
  <w:style w:type="paragraph" w:customStyle="1" w:styleId="Attachment">
    <w:name w:val="Attachment"/>
    <w:basedOn w:val="HeadingBaseStyle"/>
    <w:next w:val="Normal"/>
    <w:rsid w:val="00A613D5"/>
    <w:pPr>
      <w:spacing w:before="480" w:after="360"/>
    </w:pPr>
    <w:rPr>
      <w:rFonts w:ascii="Arial Bold" w:hAnsi="Arial Bold"/>
      <w:b/>
      <w:smallCaps/>
      <w:sz w:val="32"/>
    </w:rPr>
  </w:style>
  <w:style w:type="paragraph" w:customStyle="1" w:styleId="CaptionandTableFootnoteAlpha">
    <w:name w:val="Caption and Table Footnote Alpha"/>
    <w:basedOn w:val="HeadingBaseStyle"/>
    <w:next w:val="Normal"/>
    <w:rsid w:val="00A613D5"/>
    <w:pPr>
      <w:numPr>
        <w:numId w:val="17"/>
      </w:numPr>
      <w:spacing w:line="260" w:lineRule="exact"/>
    </w:pPr>
    <w:rPr>
      <w:rFonts w:asciiTheme="minorHAnsi" w:hAnsiTheme="minorHAnsi"/>
      <w:color w:val="auto"/>
      <w:kern w:val="28"/>
      <w:sz w:val="20"/>
    </w:rPr>
  </w:style>
  <w:style w:type="paragraph" w:customStyle="1" w:styleId="Captiongraphic">
    <w:name w:val="Caption graphic"/>
    <w:basedOn w:val="HeadingBaseStyle"/>
    <w:next w:val="Normal"/>
    <w:rsid w:val="00A613D5"/>
    <w:pPr>
      <w:spacing w:after="20"/>
      <w:jc w:val="center"/>
    </w:pPr>
    <w:rPr>
      <w:color w:val="auto"/>
      <w:sz w:val="24"/>
    </w:rPr>
  </w:style>
  <w:style w:type="paragraph" w:customStyle="1" w:styleId="CaptionHeading1">
    <w:name w:val="Caption Heading 1"/>
    <w:basedOn w:val="Normal"/>
    <w:next w:val="Captiongraphic"/>
    <w:rsid w:val="00A613D5"/>
    <w:pPr>
      <w:keepNext/>
      <w:spacing w:before="120" w:after="0"/>
      <w:jc w:val="center"/>
    </w:pPr>
    <w:rPr>
      <w:rFonts w:ascii="Arial" w:hAnsi="Arial"/>
      <w:color w:val="002C47" w:themeColor="accent1"/>
      <w:sz w:val="24"/>
    </w:rPr>
  </w:style>
  <w:style w:type="paragraph" w:customStyle="1" w:styleId="CaptionHeading2">
    <w:name w:val="Caption Heading 2"/>
    <w:basedOn w:val="Normal"/>
    <w:rsid w:val="00A613D5"/>
    <w:pPr>
      <w:keepNext/>
      <w:spacing w:after="0"/>
      <w:jc w:val="center"/>
    </w:pPr>
    <w:rPr>
      <w:rFonts w:ascii="Arial" w:hAnsi="Arial"/>
      <w:color w:val="002C47" w:themeColor="accent1"/>
      <w:sz w:val="20"/>
    </w:rPr>
  </w:style>
  <w:style w:type="paragraph" w:customStyle="1" w:styleId="CaptionHeading3">
    <w:name w:val="Caption Heading 3"/>
    <w:basedOn w:val="CaptionHeading2"/>
    <w:next w:val="Captiongraphic"/>
    <w:rsid w:val="00A613D5"/>
    <w:rPr>
      <w:rFonts w:ascii="Arial Bold" w:hAnsi="Arial Bold"/>
      <w:b/>
      <w:color w:val="000000"/>
    </w:rPr>
  </w:style>
  <w:style w:type="paragraph" w:styleId="NoSpacing">
    <w:name w:val="No Spacing"/>
    <w:link w:val="NoSpacingChar"/>
    <w:uiPriority w:val="1"/>
    <w:rsid w:val="00A613D5"/>
    <w:pPr>
      <w:spacing w:after="0" w:line="240" w:lineRule="auto"/>
      <w:jc w:val="both"/>
    </w:pPr>
    <w:rPr>
      <w:rFonts w:ascii="Palatino Linotype" w:eastAsia="Times New Roman" w:hAnsi="Palatino Linotype" w:cs="Times New Roman"/>
      <w:color w:val="000000"/>
      <w:sz w:val="26"/>
      <w:szCs w:val="20"/>
      <w:lang w:eastAsia="en-AU"/>
    </w:rPr>
  </w:style>
  <w:style w:type="character" w:customStyle="1" w:styleId="NoSpacingChar">
    <w:name w:val="No Spacing Char"/>
    <w:basedOn w:val="DefaultParagraphFont"/>
    <w:link w:val="NoSpacing"/>
    <w:uiPriority w:val="1"/>
    <w:rsid w:val="00A613D5"/>
    <w:rPr>
      <w:rFonts w:ascii="Palatino Linotype" w:eastAsia="Times New Roman" w:hAnsi="Palatino Linotype" w:cs="Times New Roman"/>
      <w:color w:val="000000"/>
      <w:sz w:val="26"/>
      <w:szCs w:val="20"/>
      <w:lang w:eastAsia="en-AU"/>
    </w:rPr>
  </w:style>
  <w:style w:type="paragraph" w:customStyle="1" w:styleId="Caption1">
    <w:name w:val="Caption1"/>
    <w:basedOn w:val="NoSpacing"/>
    <w:link w:val="Caption1Char"/>
    <w:qFormat/>
    <w:rsid w:val="00A613D5"/>
    <w:pPr>
      <w:keepNext/>
      <w:tabs>
        <w:tab w:val="left" w:pos="4438"/>
      </w:tabs>
      <w:jc w:val="center"/>
    </w:pPr>
    <w:rPr>
      <w:rFonts w:ascii="Arial" w:hAnsi="Arial"/>
      <w:color w:val="003157"/>
      <w:sz w:val="24"/>
      <w:szCs w:val="24"/>
    </w:rPr>
  </w:style>
  <w:style w:type="character" w:customStyle="1" w:styleId="Caption1Char">
    <w:name w:val="Caption1 Char"/>
    <w:basedOn w:val="NoSpacingChar"/>
    <w:link w:val="Caption1"/>
    <w:rsid w:val="00A613D5"/>
    <w:rPr>
      <w:rFonts w:ascii="Arial" w:eastAsia="Times New Roman" w:hAnsi="Arial" w:cs="Times New Roman"/>
      <w:color w:val="003157"/>
      <w:sz w:val="24"/>
      <w:szCs w:val="24"/>
      <w:lang w:eastAsia="en-AU"/>
    </w:rPr>
  </w:style>
  <w:style w:type="paragraph" w:customStyle="1" w:styleId="ClassificationandMetadata">
    <w:name w:val="Classification and Metadata"/>
    <w:basedOn w:val="HeadingBaseStyle"/>
    <w:rsid w:val="00A613D5"/>
    <w:pPr>
      <w:spacing w:after="240" w:line="260" w:lineRule="exact"/>
    </w:pPr>
    <w:rPr>
      <w:color w:val="auto"/>
      <w:sz w:val="24"/>
    </w:rPr>
  </w:style>
  <w:style w:type="character" w:styleId="Emphasis">
    <w:name w:val="Emphasis"/>
    <w:basedOn w:val="DefaultParagraphFont"/>
    <w:qFormat/>
    <w:rsid w:val="00A613D5"/>
    <w:rPr>
      <w:i/>
      <w:iCs/>
    </w:rPr>
  </w:style>
  <w:style w:type="paragraph" w:customStyle="1" w:styleId="Equation">
    <w:name w:val="Equation"/>
    <w:basedOn w:val="Normal"/>
    <w:next w:val="Normal"/>
    <w:rsid w:val="00A613D5"/>
    <w:pPr>
      <w:spacing w:before="120" w:after="120"/>
      <w:ind w:left="357"/>
    </w:pPr>
    <w:rPr>
      <w:rFonts w:ascii="Times New Roman" w:hAnsi="Times New Roman"/>
    </w:rPr>
  </w:style>
  <w:style w:type="paragraph" w:customStyle="1" w:styleId="ExampleBullet">
    <w:name w:val="Example Bullet"/>
    <w:basedOn w:val="Normal"/>
    <w:rsid w:val="00A613D5"/>
    <w:pPr>
      <w:numPr>
        <w:numId w:val="19"/>
      </w:numPr>
      <w:spacing w:before="40" w:after="40"/>
    </w:pPr>
    <w:rPr>
      <w:rFonts w:ascii="Arial" w:hAnsi="Arial"/>
      <w:sz w:val="18"/>
    </w:rPr>
  </w:style>
  <w:style w:type="paragraph" w:customStyle="1" w:styleId="Heading2NotNumbered">
    <w:name w:val="Heading 2 Not Numbered"/>
    <w:basedOn w:val="Heading2"/>
    <w:rsid w:val="00A613D5"/>
    <w:pPr>
      <w:numPr>
        <w:numId w:val="0"/>
      </w:numPr>
    </w:pPr>
  </w:style>
  <w:style w:type="paragraph" w:customStyle="1" w:styleId="Heading3NotNumbered">
    <w:name w:val="Heading 3 Not Numbered"/>
    <w:basedOn w:val="Heading4"/>
    <w:rsid w:val="00A613D5"/>
    <w:pPr>
      <w:numPr>
        <w:ilvl w:val="0"/>
        <w:numId w:val="0"/>
      </w:numPr>
    </w:pPr>
    <w:rPr>
      <w:b w:val="0"/>
      <w:sz w:val="28"/>
    </w:rPr>
  </w:style>
  <w:style w:type="paragraph" w:customStyle="1" w:styleId="Indented">
    <w:name w:val="Indented"/>
    <w:basedOn w:val="Normal"/>
    <w:rsid w:val="00A613D5"/>
    <w:pPr>
      <w:ind w:left="851"/>
    </w:pPr>
  </w:style>
  <w:style w:type="paragraph" w:styleId="IntenseQuote">
    <w:name w:val="Intense Quote"/>
    <w:basedOn w:val="Normal"/>
    <w:next w:val="Normal"/>
    <w:link w:val="IntenseQuoteChar"/>
    <w:uiPriority w:val="30"/>
    <w:rsid w:val="00A613D5"/>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A613D5"/>
    <w:rPr>
      <w:rFonts w:ascii="Calibri" w:hAnsi="Calibri"/>
      <w:b/>
      <w:bCs/>
      <w:i/>
      <w:iCs/>
      <w:color w:val="002C47" w:themeColor="accent1"/>
    </w:rPr>
  </w:style>
  <w:style w:type="paragraph" w:customStyle="1" w:styleId="MTDisplayEquation">
    <w:name w:val="MTDisplayEquation"/>
    <w:basedOn w:val="Normal"/>
    <w:next w:val="Normal"/>
    <w:link w:val="MTDisplayEquationChar"/>
    <w:rsid w:val="00A613D5"/>
    <w:pPr>
      <w:tabs>
        <w:tab w:val="center" w:pos="4640"/>
        <w:tab w:val="right" w:pos="9300"/>
      </w:tabs>
    </w:pPr>
  </w:style>
  <w:style w:type="character" w:customStyle="1" w:styleId="MTDisplayEquationChar">
    <w:name w:val="MTDisplayEquation Char"/>
    <w:basedOn w:val="DefaultParagraphFont"/>
    <w:link w:val="MTDisplayEquation"/>
    <w:rsid w:val="00A613D5"/>
    <w:rPr>
      <w:rFonts w:ascii="Calibri" w:hAnsi="Calibri"/>
      <w:color w:val="000000" w:themeColor="text1"/>
    </w:rPr>
  </w:style>
  <w:style w:type="character" w:customStyle="1" w:styleId="MTEquationSection">
    <w:name w:val="MTEquationSection"/>
    <w:basedOn w:val="DefaultParagraphFont"/>
    <w:rsid w:val="00A613D5"/>
    <w:rPr>
      <w:vanish w:val="0"/>
      <w:color w:val="FF0000"/>
    </w:rPr>
  </w:style>
  <w:style w:type="character" w:customStyle="1" w:styleId="NormalBold">
    <w:name w:val="Normal Bold"/>
    <w:basedOn w:val="DefaultParagraphFont"/>
    <w:rsid w:val="00A613D5"/>
    <w:rPr>
      <w:rFonts w:ascii="Calibri" w:hAnsi="Calibri"/>
      <w:b/>
      <w:sz w:val="22"/>
    </w:rPr>
  </w:style>
  <w:style w:type="character" w:customStyle="1" w:styleId="Normalitalics">
    <w:name w:val="Normal italics"/>
    <w:basedOn w:val="DefaultParagraphFont"/>
    <w:rsid w:val="00A613D5"/>
    <w:rPr>
      <w:i/>
    </w:rPr>
  </w:style>
  <w:style w:type="paragraph" w:customStyle="1" w:styleId="Note">
    <w:name w:val="Note"/>
    <w:basedOn w:val="HeadingBaseStyle"/>
    <w:next w:val="Normal"/>
    <w:rsid w:val="00A613D5"/>
    <w:pPr>
      <w:tabs>
        <w:tab w:val="left" w:pos="284"/>
      </w:tabs>
      <w:spacing w:line="260" w:lineRule="exact"/>
    </w:pPr>
    <w:rPr>
      <w:rFonts w:asciiTheme="minorHAnsi" w:hAnsiTheme="minorHAnsi"/>
      <w:color w:val="000000"/>
      <w:sz w:val="20"/>
    </w:rPr>
  </w:style>
  <w:style w:type="paragraph" w:customStyle="1" w:styleId="Noteitalics">
    <w:name w:val="Note italics"/>
    <w:basedOn w:val="Note"/>
    <w:rsid w:val="00A613D5"/>
    <w:rPr>
      <w:i/>
    </w:rPr>
  </w:style>
  <w:style w:type="paragraph" w:customStyle="1" w:styleId="NumberedParagraph">
    <w:name w:val="Numbered Paragraph"/>
    <w:basedOn w:val="Normal"/>
    <w:autoRedefine/>
    <w:rsid w:val="00A613D5"/>
    <w:pPr>
      <w:numPr>
        <w:numId w:val="21"/>
      </w:numPr>
    </w:pPr>
  </w:style>
  <w:style w:type="character" w:styleId="PlaceholderText">
    <w:name w:val="Placeholder Text"/>
    <w:basedOn w:val="DefaultParagraphFont"/>
    <w:uiPriority w:val="99"/>
    <w:semiHidden/>
    <w:rsid w:val="00A613D5"/>
    <w:rPr>
      <w:color w:val="808080"/>
    </w:rPr>
  </w:style>
  <w:style w:type="paragraph" w:customStyle="1" w:styleId="References">
    <w:name w:val="References"/>
    <w:basedOn w:val="Normal"/>
    <w:rsid w:val="00A613D5"/>
    <w:pPr>
      <w:widowControl w:val="0"/>
      <w:adjustRightInd w:val="0"/>
      <w:textAlignment w:val="baseline"/>
    </w:pPr>
  </w:style>
  <w:style w:type="paragraph" w:customStyle="1" w:styleId="SeriesMonth">
    <w:name w:val="Series Month"/>
    <w:basedOn w:val="HeadingBaseStyle"/>
    <w:rsid w:val="00A613D5"/>
    <w:pPr>
      <w:spacing w:after="240"/>
      <w:jc w:val="center"/>
    </w:pPr>
    <w:rPr>
      <w:rFonts w:ascii="Arial Bold" w:hAnsi="Arial Bold"/>
      <w:b/>
      <w:color w:val="auto"/>
      <w:sz w:val="32"/>
    </w:rPr>
  </w:style>
  <w:style w:type="paragraph" w:customStyle="1" w:styleId="TableHeading1">
    <w:name w:val="Table Heading 1"/>
    <w:basedOn w:val="HeadingBaseStyle"/>
    <w:next w:val="Tablegraphic0"/>
    <w:rsid w:val="00A613D5"/>
    <w:pPr>
      <w:spacing w:before="120" w:after="20"/>
      <w:jc w:val="center"/>
    </w:pPr>
    <w:rPr>
      <w:sz w:val="24"/>
    </w:rPr>
  </w:style>
  <w:style w:type="paragraph" w:customStyle="1" w:styleId="Tableheading2">
    <w:name w:val="Table heading 2"/>
    <w:basedOn w:val="TableHeading1"/>
    <w:next w:val="Tablegraphic0"/>
    <w:rsid w:val="00A613D5"/>
    <w:pPr>
      <w:spacing w:before="0"/>
    </w:pPr>
    <w:rPr>
      <w:sz w:val="22"/>
    </w:rPr>
  </w:style>
  <w:style w:type="paragraph" w:customStyle="1" w:styleId="TableHeadingcontinued">
    <w:name w:val="Table Heading continued"/>
    <w:basedOn w:val="HeadingBaseStyle"/>
    <w:next w:val="Tablegraphic0"/>
    <w:rsid w:val="00A613D5"/>
    <w:pPr>
      <w:jc w:val="center"/>
    </w:pPr>
  </w:style>
  <w:style w:type="paragraph" w:customStyle="1" w:styleId="Tabletextcentred">
    <w:name w:val="Table text centred"/>
    <w:basedOn w:val="TableTextBase"/>
    <w:rsid w:val="00A613D5"/>
    <w:pPr>
      <w:jc w:val="center"/>
    </w:pPr>
  </w:style>
  <w:style w:type="paragraph" w:customStyle="1" w:styleId="Tabletextleft0">
    <w:name w:val="Table text left"/>
    <w:basedOn w:val="TableTextBase"/>
    <w:rsid w:val="00A613D5"/>
  </w:style>
  <w:style w:type="character" w:customStyle="1" w:styleId="BulletChar">
    <w:name w:val="Bullet Char"/>
    <w:basedOn w:val="DefaultParagraphFont"/>
    <w:link w:val="Bullet"/>
    <w:rsid w:val="00A759AB"/>
    <w:rPr>
      <w:rFonts w:ascii="Calibri" w:hAnsi="Calibri"/>
      <w:color w:val="000000" w:themeColor="text1"/>
    </w:rPr>
  </w:style>
  <w:style w:type="character" w:customStyle="1" w:styleId="DashChar">
    <w:name w:val="Dash Char"/>
    <w:basedOn w:val="DefaultParagraphFont"/>
    <w:link w:val="Dash"/>
    <w:rsid w:val="00A759AB"/>
    <w:rPr>
      <w:rFonts w:ascii="Calibri" w:hAnsi="Calibri"/>
      <w:color w:val="000000" w:themeColor="text1"/>
    </w:rPr>
  </w:style>
  <w:style w:type="paragraph" w:customStyle="1" w:styleId="paragraph">
    <w:name w:val="paragraph"/>
    <w:basedOn w:val="Normal"/>
    <w:rsid w:val="00044631"/>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44631"/>
  </w:style>
  <w:style w:type="character" w:customStyle="1" w:styleId="eop">
    <w:name w:val="eop"/>
    <w:basedOn w:val="DefaultParagraphFont"/>
    <w:rsid w:val="00044631"/>
  </w:style>
  <w:style w:type="paragraph" w:styleId="BodyText">
    <w:name w:val="Body Text"/>
    <w:basedOn w:val="Normal"/>
    <w:link w:val="BodyTextChar"/>
    <w:uiPriority w:val="99"/>
    <w:semiHidden/>
    <w:unhideWhenUsed/>
    <w:rsid w:val="00801D07"/>
    <w:pPr>
      <w:spacing w:after="120"/>
    </w:pPr>
  </w:style>
  <w:style w:type="character" w:customStyle="1" w:styleId="BodyTextChar">
    <w:name w:val="Body Text Char"/>
    <w:basedOn w:val="DefaultParagraphFont"/>
    <w:link w:val="BodyText"/>
    <w:uiPriority w:val="99"/>
    <w:semiHidden/>
    <w:rsid w:val="00801D07"/>
    <w:rPr>
      <w:rFonts w:ascii="Calibri" w:hAnsi="Calibri"/>
      <w:color w:val="000000" w:themeColor="text1"/>
    </w:rPr>
  </w:style>
  <w:style w:type="table" w:styleId="TableGridLight">
    <w:name w:val="Grid Table Light"/>
    <w:basedOn w:val="TableNormal"/>
    <w:uiPriority w:val="40"/>
    <w:rsid w:val="00801D0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FA7FDE"/>
    <w:pPr>
      <w:ind w:left="720"/>
      <w:contextualSpacing/>
    </w:pPr>
  </w:style>
  <w:style w:type="character" w:styleId="UnresolvedMention">
    <w:name w:val="Unresolved Mention"/>
    <w:basedOn w:val="DefaultParagraphFont"/>
    <w:uiPriority w:val="99"/>
    <w:semiHidden/>
    <w:unhideWhenUsed/>
    <w:rsid w:val="00424EEE"/>
    <w:rPr>
      <w:color w:val="605E5C"/>
      <w:shd w:val="clear" w:color="auto" w:fill="E1DFDD"/>
    </w:rPr>
  </w:style>
  <w:style w:type="paragraph" w:styleId="Revision">
    <w:name w:val="Revision"/>
    <w:hidden/>
    <w:uiPriority w:val="99"/>
    <w:semiHidden/>
    <w:rsid w:val="00DA0F22"/>
    <w:pPr>
      <w:spacing w:after="0" w:line="240" w:lineRule="auto"/>
    </w:pPr>
    <w:rPr>
      <w:rFonts w:ascii="Calibri" w:hAnsi="Calibri"/>
      <w:color w:val="000000" w:themeColor="text1"/>
    </w:rPr>
  </w:style>
  <w:style w:type="paragraph" w:styleId="TOCHeading">
    <w:name w:val="TOC Heading"/>
    <w:basedOn w:val="Heading1"/>
    <w:next w:val="Normal"/>
    <w:uiPriority w:val="39"/>
    <w:unhideWhenUsed/>
    <w:qFormat/>
    <w:rsid w:val="008B5F2C"/>
    <w:pPr>
      <w:keepLines/>
      <w:spacing w:before="240" w:after="0"/>
      <w:jc w:val="left"/>
      <w:outlineLvl w:val="9"/>
    </w:pPr>
    <w:rPr>
      <w:rFonts w:asciiTheme="majorHAnsi" w:eastAsiaTheme="majorEastAsia" w:hAnsiTheme="majorHAnsi" w:cstheme="majorBidi"/>
      <w:b w:val="0"/>
      <w:smallCaps w:val="0"/>
      <w:color w:val="002035" w:themeColor="accent1" w:themeShade="BF"/>
      <w:sz w:val="32"/>
      <w:szCs w:val="32"/>
      <w:lang w:val="en-US"/>
    </w:rPr>
  </w:style>
  <w:style w:type="paragraph" w:customStyle="1" w:styleId="TableBody">
    <w:name w:val="Table Body"/>
    <w:uiPriority w:val="53"/>
    <w:qFormat/>
    <w:rsid w:val="00026BC8"/>
    <w:pPr>
      <w:spacing w:before="40" w:after="40" w:line="240" w:lineRule="auto"/>
      <w:jc w:val="right"/>
    </w:pPr>
    <w:rPr>
      <w:rFonts w:ascii="Calibri" w:eastAsiaTheme="minorEastAsia" w:hAnsi="Calibri"/>
      <w:sz w:val="20"/>
      <w:lang w:eastAsia="en-AU"/>
    </w:rPr>
  </w:style>
  <w:style w:type="character" w:styleId="Strong">
    <w:name w:val="Strong"/>
    <w:basedOn w:val="DefaultParagraphFont"/>
    <w:uiPriority w:val="22"/>
    <w:qFormat/>
    <w:rsid w:val="00C0796C"/>
    <w:rPr>
      <w:b/>
      <w:bCs/>
    </w:rPr>
  </w:style>
  <w:style w:type="paragraph" w:customStyle="1" w:styleId="Tablegraphic0">
    <w:name w:val="Table graphic"/>
    <w:basedOn w:val="HeadingBaseStyle"/>
    <w:next w:val="Normal"/>
    <w:rsid w:val="00A613D5"/>
    <w:pPr>
      <w:spacing w:after="20"/>
      <w:ind w:right="-113"/>
    </w:pPr>
    <w:rPr>
      <w:color w:val="auto"/>
      <w:sz w:val="24"/>
    </w:rPr>
  </w:style>
  <w:style w:type="paragraph" w:customStyle="1" w:styleId="Default">
    <w:name w:val="Default"/>
    <w:rsid w:val="00747CA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899280">
      <w:bodyDiv w:val="1"/>
      <w:marLeft w:val="0"/>
      <w:marRight w:val="0"/>
      <w:marTop w:val="0"/>
      <w:marBottom w:val="0"/>
      <w:divBdr>
        <w:top w:val="none" w:sz="0" w:space="0" w:color="auto"/>
        <w:left w:val="none" w:sz="0" w:space="0" w:color="auto"/>
        <w:bottom w:val="none" w:sz="0" w:space="0" w:color="auto"/>
        <w:right w:val="none" w:sz="0" w:space="0" w:color="auto"/>
      </w:divBdr>
    </w:div>
    <w:div w:id="286089428">
      <w:bodyDiv w:val="1"/>
      <w:marLeft w:val="0"/>
      <w:marRight w:val="0"/>
      <w:marTop w:val="0"/>
      <w:marBottom w:val="0"/>
      <w:divBdr>
        <w:top w:val="none" w:sz="0" w:space="0" w:color="auto"/>
        <w:left w:val="none" w:sz="0" w:space="0" w:color="auto"/>
        <w:bottom w:val="none" w:sz="0" w:space="0" w:color="auto"/>
        <w:right w:val="none" w:sz="0" w:space="0" w:color="auto"/>
      </w:divBdr>
    </w:div>
    <w:div w:id="310334307">
      <w:bodyDiv w:val="1"/>
      <w:marLeft w:val="0"/>
      <w:marRight w:val="0"/>
      <w:marTop w:val="0"/>
      <w:marBottom w:val="0"/>
      <w:divBdr>
        <w:top w:val="none" w:sz="0" w:space="0" w:color="auto"/>
        <w:left w:val="none" w:sz="0" w:space="0" w:color="auto"/>
        <w:bottom w:val="none" w:sz="0" w:space="0" w:color="auto"/>
        <w:right w:val="none" w:sz="0" w:space="0" w:color="auto"/>
      </w:divBdr>
    </w:div>
    <w:div w:id="449980826">
      <w:bodyDiv w:val="1"/>
      <w:marLeft w:val="0"/>
      <w:marRight w:val="0"/>
      <w:marTop w:val="0"/>
      <w:marBottom w:val="0"/>
      <w:divBdr>
        <w:top w:val="none" w:sz="0" w:space="0" w:color="auto"/>
        <w:left w:val="none" w:sz="0" w:space="0" w:color="auto"/>
        <w:bottom w:val="none" w:sz="0" w:space="0" w:color="auto"/>
        <w:right w:val="none" w:sz="0" w:space="0" w:color="auto"/>
      </w:divBdr>
    </w:div>
    <w:div w:id="462577231">
      <w:bodyDiv w:val="1"/>
      <w:marLeft w:val="0"/>
      <w:marRight w:val="0"/>
      <w:marTop w:val="0"/>
      <w:marBottom w:val="0"/>
      <w:divBdr>
        <w:top w:val="none" w:sz="0" w:space="0" w:color="auto"/>
        <w:left w:val="none" w:sz="0" w:space="0" w:color="auto"/>
        <w:bottom w:val="none" w:sz="0" w:space="0" w:color="auto"/>
        <w:right w:val="none" w:sz="0" w:space="0" w:color="auto"/>
      </w:divBdr>
    </w:div>
    <w:div w:id="504781393">
      <w:bodyDiv w:val="1"/>
      <w:marLeft w:val="0"/>
      <w:marRight w:val="0"/>
      <w:marTop w:val="0"/>
      <w:marBottom w:val="0"/>
      <w:divBdr>
        <w:top w:val="none" w:sz="0" w:space="0" w:color="auto"/>
        <w:left w:val="none" w:sz="0" w:space="0" w:color="auto"/>
        <w:bottom w:val="none" w:sz="0" w:space="0" w:color="auto"/>
        <w:right w:val="none" w:sz="0" w:space="0" w:color="auto"/>
      </w:divBdr>
    </w:div>
    <w:div w:id="509225917">
      <w:bodyDiv w:val="1"/>
      <w:marLeft w:val="0"/>
      <w:marRight w:val="0"/>
      <w:marTop w:val="0"/>
      <w:marBottom w:val="0"/>
      <w:divBdr>
        <w:top w:val="none" w:sz="0" w:space="0" w:color="auto"/>
        <w:left w:val="none" w:sz="0" w:space="0" w:color="auto"/>
        <w:bottom w:val="none" w:sz="0" w:space="0" w:color="auto"/>
        <w:right w:val="none" w:sz="0" w:space="0" w:color="auto"/>
      </w:divBdr>
    </w:div>
    <w:div w:id="542058151">
      <w:bodyDiv w:val="1"/>
      <w:marLeft w:val="0"/>
      <w:marRight w:val="0"/>
      <w:marTop w:val="0"/>
      <w:marBottom w:val="0"/>
      <w:divBdr>
        <w:top w:val="none" w:sz="0" w:space="0" w:color="auto"/>
        <w:left w:val="none" w:sz="0" w:space="0" w:color="auto"/>
        <w:bottom w:val="none" w:sz="0" w:space="0" w:color="auto"/>
        <w:right w:val="none" w:sz="0" w:space="0" w:color="auto"/>
      </w:divBdr>
    </w:div>
    <w:div w:id="561987354">
      <w:bodyDiv w:val="1"/>
      <w:marLeft w:val="0"/>
      <w:marRight w:val="0"/>
      <w:marTop w:val="0"/>
      <w:marBottom w:val="0"/>
      <w:divBdr>
        <w:top w:val="none" w:sz="0" w:space="0" w:color="auto"/>
        <w:left w:val="none" w:sz="0" w:space="0" w:color="auto"/>
        <w:bottom w:val="none" w:sz="0" w:space="0" w:color="auto"/>
        <w:right w:val="none" w:sz="0" w:space="0" w:color="auto"/>
      </w:divBdr>
    </w:div>
    <w:div w:id="564800156">
      <w:bodyDiv w:val="1"/>
      <w:marLeft w:val="0"/>
      <w:marRight w:val="0"/>
      <w:marTop w:val="0"/>
      <w:marBottom w:val="0"/>
      <w:divBdr>
        <w:top w:val="none" w:sz="0" w:space="0" w:color="auto"/>
        <w:left w:val="none" w:sz="0" w:space="0" w:color="auto"/>
        <w:bottom w:val="none" w:sz="0" w:space="0" w:color="auto"/>
        <w:right w:val="none" w:sz="0" w:space="0" w:color="auto"/>
      </w:divBdr>
    </w:div>
    <w:div w:id="590897624">
      <w:bodyDiv w:val="1"/>
      <w:marLeft w:val="0"/>
      <w:marRight w:val="0"/>
      <w:marTop w:val="0"/>
      <w:marBottom w:val="0"/>
      <w:divBdr>
        <w:top w:val="none" w:sz="0" w:space="0" w:color="auto"/>
        <w:left w:val="none" w:sz="0" w:space="0" w:color="auto"/>
        <w:bottom w:val="none" w:sz="0" w:space="0" w:color="auto"/>
        <w:right w:val="none" w:sz="0" w:space="0" w:color="auto"/>
      </w:divBdr>
    </w:div>
    <w:div w:id="609623419">
      <w:bodyDiv w:val="1"/>
      <w:marLeft w:val="0"/>
      <w:marRight w:val="0"/>
      <w:marTop w:val="0"/>
      <w:marBottom w:val="0"/>
      <w:divBdr>
        <w:top w:val="none" w:sz="0" w:space="0" w:color="auto"/>
        <w:left w:val="none" w:sz="0" w:space="0" w:color="auto"/>
        <w:bottom w:val="none" w:sz="0" w:space="0" w:color="auto"/>
        <w:right w:val="none" w:sz="0" w:space="0" w:color="auto"/>
      </w:divBdr>
    </w:div>
    <w:div w:id="869610447">
      <w:bodyDiv w:val="1"/>
      <w:marLeft w:val="0"/>
      <w:marRight w:val="0"/>
      <w:marTop w:val="0"/>
      <w:marBottom w:val="0"/>
      <w:divBdr>
        <w:top w:val="none" w:sz="0" w:space="0" w:color="auto"/>
        <w:left w:val="none" w:sz="0" w:space="0" w:color="auto"/>
        <w:bottom w:val="none" w:sz="0" w:space="0" w:color="auto"/>
        <w:right w:val="none" w:sz="0" w:space="0" w:color="auto"/>
      </w:divBdr>
      <w:divsChild>
        <w:div w:id="133833428">
          <w:marLeft w:val="2131"/>
          <w:marRight w:val="0"/>
          <w:marTop w:val="156"/>
          <w:marBottom w:val="0"/>
          <w:divBdr>
            <w:top w:val="none" w:sz="0" w:space="0" w:color="auto"/>
            <w:left w:val="none" w:sz="0" w:space="0" w:color="auto"/>
            <w:bottom w:val="none" w:sz="0" w:space="0" w:color="auto"/>
            <w:right w:val="none" w:sz="0" w:space="0" w:color="auto"/>
          </w:divBdr>
        </w:div>
      </w:divsChild>
    </w:div>
    <w:div w:id="922495622">
      <w:bodyDiv w:val="1"/>
      <w:marLeft w:val="0"/>
      <w:marRight w:val="0"/>
      <w:marTop w:val="0"/>
      <w:marBottom w:val="0"/>
      <w:divBdr>
        <w:top w:val="none" w:sz="0" w:space="0" w:color="auto"/>
        <w:left w:val="none" w:sz="0" w:space="0" w:color="auto"/>
        <w:bottom w:val="none" w:sz="0" w:space="0" w:color="auto"/>
        <w:right w:val="none" w:sz="0" w:space="0" w:color="auto"/>
      </w:divBdr>
    </w:div>
    <w:div w:id="928538158">
      <w:bodyDiv w:val="1"/>
      <w:marLeft w:val="0"/>
      <w:marRight w:val="0"/>
      <w:marTop w:val="0"/>
      <w:marBottom w:val="0"/>
      <w:divBdr>
        <w:top w:val="none" w:sz="0" w:space="0" w:color="auto"/>
        <w:left w:val="none" w:sz="0" w:space="0" w:color="auto"/>
        <w:bottom w:val="none" w:sz="0" w:space="0" w:color="auto"/>
        <w:right w:val="none" w:sz="0" w:space="0" w:color="auto"/>
      </w:divBdr>
    </w:div>
    <w:div w:id="1117093785">
      <w:bodyDiv w:val="1"/>
      <w:marLeft w:val="0"/>
      <w:marRight w:val="0"/>
      <w:marTop w:val="0"/>
      <w:marBottom w:val="0"/>
      <w:divBdr>
        <w:top w:val="none" w:sz="0" w:space="0" w:color="auto"/>
        <w:left w:val="none" w:sz="0" w:space="0" w:color="auto"/>
        <w:bottom w:val="none" w:sz="0" w:space="0" w:color="auto"/>
        <w:right w:val="none" w:sz="0" w:space="0" w:color="auto"/>
      </w:divBdr>
    </w:div>
    <w:div w:id="1126314727">
      <w:bodyDiv w:val="1"/>
      <w:marLeft w:val="0"/>
      <w:marRight w:val="0"/>
      <w:marTop w:val="0"/>
      <w:marBottom w:val="0"/>
      <w:divBdr>
        <w:top w:val="none" w:sz="0" w:space="0" w:color="auto"/>
        <w:left w:val="none" w:sz="0" w:space="0" w:color="auto"/>
        <w:bottom w:val="none" w:sz="0" w:space="0" w:color="auto"/>
        <w:right w:val="none" w:sz="0" w:space="0" w:color="auto"/>
      </w:divBdr>
    </w:div>
    <w:div w:id="1159426268">
      <w:bodyDiv w:val="1"/>
      <w:marLeft w:val="0"/>
      <w:marRight w:val="0"/>
      <w:marTop w:val="0"/>
      <w:marBottom w:val="0"/>
      <w:divBdr>
        <w:top w:val="none" w:sz="0" w:space="0" w:color="auto"/>
        <w:left w:val="none" w:sz="0" w:space="0" w:color="auto"/>
        <w:bottom w:val="none" w:sz="0" w:space="0" w:color="auto"/>
        <w:right w:val="none" w:sz="0" w:space="0" w:color="auto"/>
      </w:divBdr>
    </w:div>
    <w:div w:id="1248266313">
      <w:bodyDiv w:val="1"/>
      <w:marLeft w:val="0"/>
      <w:marRight w:val="0"/>
      <w:marTop w:val="0"/>
      <w:marBottom w:val="0"/>
      <w:divBdr>
        <w:top w:val="none" w:sz="0" w:space="0" w:color="auto"/>
        <w:left w:val="none" w:sz="0" w:space="0" w:color="auto"/>
        <w:bottom w:val="none" w:sz="0" w:space="0" w:color="auto"/>
        <w:right w:val="none" w:sz="0" w:space="0" w:color="auto"/>
      </w:divBdr>
    </w:div>
    <w:div w:id="1301304836">
      <w:bodyDiv w:val="1"/>
      <w:marLeft w:val="0"/>
      <w:marRight w:val="0"/>
      <w:marTop w:val="0"/>
      <w:marBottom w:val="0"/>
      <w:divBdr>
        <w:top w:val="none" w:sz="0" w:space="0" w:color="auto"/>
        <w:left w:val="none" w:sz="0" w:space="0" w:color="auto"/>
        <w:bottom w:val="none" w:sz="0" w:space="0" w:color="auto"/>
        <w:right w:val="none" w:sz="0" w:space="0" w:color="auto"/>
      </w:divBdr>
    </w:div>
    <w:div w:id="1306819290">
      <w:bodyDiv w:val="1"/>
      <w:marLeft w:val="0"/>
      <w:marRight w:val="0"/>
      <w:marTop w:val="0"/>
      <w:marBottom w:val="0"/>
      <w:divBdr>
        <w:top w:val="none" w:sz="0" w:space="0" w:color="auto"/>
        <w:left w:val="none" w:sz="0" w:space="0" w:color="auto"/>
        <w:bottom w:val="none" w:sz="0" w:space="0" w:color="auto"/>
        <w:right w:val="none" w:sz="0" w:space="0" w:color="auto"/>
      </w:divBdr>
    </w:div>
    <w:div w:id="1359969045">
      <w:bodyDiv w:val="1"/>
      <w:marLeft w:val="0"/>
      <w:marRight w:val="0"/>
      <w:marTop w:val="0"/>
      <w:marBottom w:val="0"/>
      <w:divBdr>
        <w:top w:val="none" w:sz="0" w:space="0" w:color="auto"/>
        <w:left w:val="none" w:sz="0" w:space="0" w:color="auto"/>
        <w:bottom w:val="none" w:sz="0" w:space="0" w:color="auto"/>
        <w:right w:val="none" w:sz="0" w:space="0" w:color="auto"/>
      </w:divBdr>
    </w:div>
    <w:div w:id="1375156958">
      <w:bodyDiv w:val="1"/>
      <w:marLeft w:val="0"/>
      <w:marRight w:val="0"/>
      <w:marTop w:val="0"/>
      <w:marBottom w:val="0"/>
      <w:divBdr>
        <w:top w:val="none" w:sz="0" w:space="0" w:color="auto"/>
        <w:left w:val="none" w:sz="0" w:space="0" w:color="auto"/>
        <w:bottom w:val="none" w:sz="0" w:space="0" w:color="auto"/>
        <w:right w:val="none" w:sz="0" w:space="0" w:color="auto"/>
      </w:divBdr>
    </w:div>
    <w:div w:id="1437216990">
      <w:bodyDiv w:val="1"/>
      <w:marLeft w:val="0"/>
      <w:marRight w:val="0"/>
      <w:marTop w:val="0"/>
      <w:marBottom w:val="0"/>
      <w:divBdr>
        <w:top w:val="none" w:sz="0" w:space="0" w:color="auto"/>
        <w:left w:val="none" w:sz="0" w:space="0" w:color="auto"/>
        <w:bottom w:val="none" w:sz="0" w:space="0" w:color="auto"/>
        <w:right w:val="none" w:sz="0" w:space="0" w:color="auto"/>
      </w:divBdr>
    </w:div>
    <w:div w:id="1514761981">
      <w:bodyDiv w:val="1"/>
      <w:marLeft w:val="0"/>
      <w:marRight w:val="0"/>
      <w:marTop w:val="0"/>
      <w:marBottom w:val="0"/>
      <w:divBdr>
        <w:top w:val="none" w:sz="0" w:space="0" w:color="auto"/>
        <w:left w:val="none" w:sz="0" w:space="0" w:color="auto"/>
        <w:bottom w:val="none" w:sz="0" w:space="0" w:color="auto"/>
        <w:right w:val="none" w:sz="0" w:space="0" w:color="auto"/>
      </w:divBdr>
    </w:div>
    <w:div w:id="1574773552">
      <w:bodyDiv w:val="1"/>
      <w:marLeft w:val="0"/>
      <w:marRight w:val="0"/>
      <w:marTop w:val="0"/>
      <w:marBottom w:val="0"/>
      <w:divBdr>
        <w:top w:val="none" w:sz="0" w:space="0" w:color="auto"/>
        <w:left w:val="none" w:sz="0" w:space="0" w:color="auto"/>
        <w:bottom w:val="none" w:sz="0" w:space="0" w:color="auto"/>
        <w:right w:val="none" w:sz="0" w:space="0" w:color="auto"/>
      </w:divBdr>
    </w:div>
    <w:div w:id="1578712894">
      <w:bodyDiv w:val="1"/>
      <w:marLeft w:val="0"/>
      <w:marRight w:val="0"/>
      <w:marTop w:val="0"/>
      <w:marBottom w:val="0"/>
      <w:divBdr>
        <w:top w:val="none" w:sz="0" w:space="0" w:color="auto"/>
        <w:left w:val="none" w:sz="0" w:space="0" w:color="auto"/>
        <w:bottom w:val="none" w:sz="0" w:space="0" w:color="auto"/>
        <w:right w:val="none" w:sz="0" w:space="0" w:color="auto"/>
      </w:divBdr>
    </w:div>
    <w:div w:id="1652371173">
      <w:bodyDiv w:val="1"/>
      <w:marLeft w:val="0"/>
      <w:marRight w:val="0"/>
      <w:marTop w:val="0"/>
      <w:marBottom w:val="0"/>
      <w:divBdr>
        <w:top w:val="none" w:sz="0" w:space="0" w:color="auto"/>
        <w:left w:val="none" w:sz="0" w:space="0" w:color="auto"/>
        <w:bottom w:val="none" w:sz="0" w:space="0" w:color="auto"/>
        <w:right w:val="none" w:sz="0" w:space="0" w:color="auto"/>
      </w:divBdr>
    </w:div>
    <w:div w:id="1808543380">
      <w:bodyDiv w:val="1"/>
      <w:marLeft w:val="0"/>
      <w:marRight w:val="0"/>
      <w:marTop w:val="0"/>
      <w:marBottom w:val="0"/>
      <w:divBdr>
        <w:top w:val="none" w:sz="0" w:space="0" w:color="auto"/>
        <w:left w:val="none" w:sz="0" w:space="0" w:color="auto"/>
        <w:bottom w:val="none" w:sz="0" w:space="0" w:color="auto"/>
        <w:right w:val="none" w:sz="0" w:space="0" w:color="auto"/>
      </w:divBdr>
    </w:div>
    <w:div w:id="1819571370">
      <w:bodyDiv w:val="1"/>
      <w:marLeft w:val="0"/>
      <w:marRight w:val="0"/>
      <w:marTop w:val="0"/>
      <w:marBottom w:val="0"/>
      <w:divBdr>
        <w:top w:val="none" w:sz="0" w:space="0" w:color="auto"/>
        <w:left w:val="none" w:sz="0" w:space="0" w:color="auto"/>
        <w:bottom w:val="none" w:sz="0" w:space="0" w:color="auto"/>
        <w:right w:val="none" w:sz="0" w:space="0" w:color="auto"/>
      </w:divBdr>
    </w:div>
    <w:div w:id="1840996044">
      <w:bodyDiv w:val="1"/>
      <w:marLeft w:val="0"/>
      <w:marRight w:val="0"/>
      <w:marTop w:val="0"/>
      <w:marBottom w:val="0"/>
      <w:divBdr>
        <w:top w:val="none" w:sz="0" w:space="0" w:color="auto"/>
        <w:left w:val="none" w:sz="0" w:space="0" w:color="auto"/>
        <w:bottom w:val="none" w:sz="0" w:space="0" w:color="auto"/>
        <w:right w:val="none" w:sz="0" w:space="0" w:color="auto"/>
      </w:divBdr>
    </w:div>
    <w:div w:id="1857845022">
      <w:bodyDiv w:val="1"/>
      <w:marLeft w:val="0"/>
      <w:marRight w:val="0"/>
      <w:marTop w:val="0"/>
      <w:marBottom w:val="0"/>
      <w:divBdr>
        <w:top w:val="none" w:sz="0" w:space="0" w:color="auto"/>
        <w:left w:val="none" w:sz="0" w:space="0" w:color="auto"/>
        <w:bottom w:val="none" w:sz="0" w:space="0" w:color="auto"/>
        <w:right w:val="none" w:sz="0" w:space="0" w:color="auto"/>
      </w:divBdr>
    </w:div>
    <w:div w:id="1977492397">
      <w:bodyDiv w:val="1"/>
      <w:marLeft w:val="0"/>
      <w:marRight w:val="0"/>
      <w:marTop w:val="0"/>
      <w:marBottom w:val="0"/>
      <w:divBdr>
        <w:top w:val="none" w:sz="0" w:space="0" w:color="auto"/>
        <w:left w:val="none" w:sz="0" w:space="0" w:color="auto"/>
        <w:bottom w:val="none" w:sz="0" w:space="0" w:color="auto"/>
        <w:right w:val="none" w:sz="0" w:space="0" w:color="auto"/>
      </w:divBdr>
    </w:div>
    <w:div w:id="1986160255">
      <w:bodyDiv w:val="1"/>
      <w:marLeft w:val="0"/>
      <w:marRight w:val="0"/>
      <w:marTop w:val="0"/>
      <w:marBottom w:val="0"/>
      <w:divBdr>
        <w:top w:val="none" w:sz="0" w:space="0" w:color="auto"/>
        <w:left w:val="none" w:sz="0" w:space="0" w:color="auto"/>
        <w:bottom w:val="none" w:sz="0" w:space="0" w:color="auto"/>
        <w:right w:val="none" w:sz="0" w:space="0" w:color="auto"/>
      </w:divBdr>
    </w:div>
    <w:div w:id="2044552520">
      <w:bodyDiv w:val="1"/>
      <w:marLeft w:val="0"/>
      <w:marRight w:val="0"/>
      <w:marTop w:val="0"/>
      <w:marBottom w:val="0"/>
      <w:divBdr>
        <w:top w:val="none" w:sz="0" w:space="0" w:color="auto"/>
        <w:left w:val="none" w:sz="0" w:space="0" w:color="auto"/>
        <w:bottom w:val="none" w:sz="0" w:space="0" w:color="auto"/>
        <w:right w:val="none" w:sz="0" w:space="0" w:color="auto"/>
      </w:divBdr>
    </w:div>
    <w:div w:id="2055544175">
      <w:bodyDiv w:val="1"/>
      <w:marLeft w:val="0"/>
      <w:marRight w:val="0"/>
      <w:marTop w:val="0"/>
      <w:marBottom w:val="0"/>
      <w:divBdr>
        <w:top w:val="none" w:sz="0" w:space="0" w:color="auto"/>
        <w:left w:val="none" w:sz="0" w:space="0" w:color="auto"/>
        <w:bottom w:val="none" w:sz="0" w:space="0" w:color="auto"/>
        <w:right w:val="none" w:sz="0" w:space="0" w:color="auto"/>
      </w:divBdr>
    </w:div>
    <w:div w:id="2090350430">
      <w:bodyDiv w:val="1"/>
      <w:marLeft w:val="0"/>
      <w:marRight w:val="0"/>
      <w:marTop w:val="0"/>
      <w:marBottom w:val="0"/>
      <w:divBdr>
        <w:top w:val="none" w:sz="0" w:space="0" w:color="auto"/>
        <w:left w:val="none" w:sz="0" w:space="0" w:color="auto"/>
        <w:bottom w:val="none" w:sz="0" w:space="0" w:color="auto"/>
        <w:right w:val="none" w:sz="0" w:space="0" w:color="auto"/>
      </w:divBdr>
    </w:div>
    <w:div w:id="2139913090">
      <w:bodyDiv w:val="1"/>
      <w:marLeft w:val="0"/>
      <w:marRight w:val="0"/>
      <w:marTop w:val="0"/>
      <w:marBottom w:val="0"/>
      <w:divBdr>
        <w:top w:val="none" w:sz="0" w:space="0" w:color="auto"/>
        <w:left w:val="none" w:sz="0" w:space="0" w:color="auto"/>
        <w:bottom w:val="none" w:sz="0" w:space="0" w:color="auto"/>
        <w:right w:val="none" w:sz="0" w:space="0" w:color="auto"/>
      </w:divBdr>
      <w:divsChild>
        <w:div w:id="974482680">
          <w:marLeft w:val="2131"/>
          <w:marRight w:val="0"/>
          <w:marTop w:val="15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eader" Target="header2.xml"/><Relationship Id="rId26" Type="http://schemas.openxmlformats.org/officeDocument/2006/relationships/diagramColors" Target="diagrams/colors1.xml"/><Relationship Id="rId39" Type="http://schemas.openxmlformats.org/officeDocument/2006/relationships/image" Target="media/image16.png"/><Relationship Id="rId21" Type="http://schemas.openxmlformats.org/officeDocument/2006/relationships/footer" Target="footer3.xml"/><Relationship Id="rId34" Type="http://schemas.openxmlformats.org/officeDocument/2006/relationships/image" Target="media/image11.jpe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eativecommons.org/licenses/by/3.0/au/legalcode" TargetMode="External"/><Relationship Id="rId17" Type="http://schemas.openxmlformats.org/officeDocument/2006/relationships/image" Target="media/image3.png"/><Relationship Id="rId25" Type="http://schemas.openxmlformats.org/officeDocument/2006/relationships/diagramQuickStyle" Target="diagrams/quickStyle1.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mailto:medialiaison@treasury.gov.au" TargetMode="External"/><Relationship Id="rId20" Type="http://schemas.openxmlformats.org/officeDocument/2006/relationships/header" Target="header4.xml"/><Relationship Id="rId29" Type="http://schemas.openxmlformats.org/officeDocument/2006/relationships/image" Target="media/image6.png"/><Relationship Id="rId41" Type="http://schemas.openxmlformats.org/officeDocument/2006/relationships/image" Target="media/image18.emf"/><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deed.en" TargetMode="External"/><Relationship Id="rId24" Type="http://schemas.openxmlformats.org/officeDocument/2006/relationships/diagramLayout" Target="diagrams/layout1.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www.pmc.gov.au/government/commonwealth-coat-arms" TargetMode="External"/><Relationship Id="rId23" Type="http://schemas.openxmlformats.org/officeDocument/2006/relationships/diagramData" Target="diagrams/data1.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creativecommons.org/licenses/by/3.0/au/deed.en" TargetMode="External"/><Relationship Id="rId22" Type="http://schemas.openxmlformats.org/officeDocument/2006/relationships/image" Target="media/image4.png"/><Relationship Id="rId27" Type="http://schemas.microsoft.com/office/2007/relationships/diagramDrawing" Target="diagrams/drawing1.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8.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pc.gov.au/inquiries/completed/migrant-intake" TargetMode="External"/><Relationship Id="rId13" Type="http://schemas.openxmlformats.org/officeDocument/2006/relationships/hyperlink" Target="https://www.dese.gov.au/higher-education-statistics/student-data/selected-higher-education-statistics-2019-student-data" TargetMode="External"/><Relationship Id="rId3" Type="http://schemas.openxmlformats.org/officeDocument/2006/relationships/hyperlink" Target="https://onlinelibrary.wiley.com/doi/full/10.1111/1475-4932.12328" TargetMode="External"/><Relationship Id="rId7" Type="http://schemas.openxmlformats.org/officeDocument/2006/relationships/hyperlink" Target="https://www.cgc.gov.au/inquiries/2019-update" TargetMode="External"/><Relationship Id="rId12" Type="http://schemas.openxmlformats.org/officeDocument/2006/relationships/hyperlink" Target="https://www.ato.gov.au/rates/individual-income-tax-rates/" TargetMode="External"/><Relationship Id="rId2" Type="http://schemas.openxmlformats.org/officeDocument/2006/relationships/hyperlink" Target="http://www5.austlii.edu.au/au/legis/cth/consol_act/ma1958118/s4.html" TargetMode="External"/><Relationship Id="rId1" Type="http://schemas.openxmlformats.org/officeDocument/2006/relationships/hyperlink" Target="mailto:peter.varela@treasury.gov.au" TargetMode="External"/><Relationship Id="rId6" Type="http://schemas.openxmlformats.org/officeDocument/2006/relationships/hyperlink" Target="https://archive.budget.gov.au/2018-19/index.htm" TargetMode="External"/><Relationship Id="rId11" Type="http://schemas.openxmlformats.org/officeDocument/2006/relationships/hyperlink" Target="https://www.dss.gov.au/sites/default/files/documents/06_2019/newly-arrived-residents-waiting-period-english.pdf" TargetMode="External"/><Relationship Id="rId5" Type="http://schemas.openxmlformats.org/officeDocument/2006/relationships/hyperlink" Target="https://onlinelibrary.wiley.com/doi/full/10.1111/ecin.12899?af=R" TargetMode="External"/><Relationship Id="rId10" Type="http://schemas.openxmlformats.org/officeDocument/2006/relationships/hyperlink" Target="https://www.aihw.gov.au/getmedia/ce13dbbe-542c-4957-849c-15109e6a69e7/oag04.pdf.aspx?inline=true" TargetMode="External"/><Relationship Id="rId4" Type="http://schemas.openxmlformats.org/officeDocument/2006/relationships/hyperlink" Target="https://www.pc.gov.au/inquiries/completed/migrant-intake" TargetMode="External"/><Relationship Id="rId9" Type="http://schemas.openxmlformats.org/officeDocument/2006/relationships/hyperlink" Target="https://www.gen-agedcaredata.gov.au/Resources/Access-data/2019/September/Aged-care-data-snapshot%E2%80%9420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6D63BB-4887-4F1C-B7FF-4B801D93C48F}"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1E92CB94-D539-43CC-9187-F547D231F1CC}">
      <dgm:prSet phldrT="[Text]"/>
      <dgm:spPr/>
      <dgm:t>
        <a:bodyPr/>
        <a:lstStyle/>
        <a:p>
          <a:r>
            <a:rPr lang="en-US"/>
            <a:t>Demographic projection</a:t>
          </a:r>
        </a:p>
      </dgm:t>
    </dgm:pt>
    <dgm:pt modelId="{9A087407-13E7-46B2-893B-8F40DBAE5C86}" type="parTrans" cxnId="{E6F52689-1FEC-48E3-A038-5A5F006C2F02}">
      <dgm:prSet/>
      <dgm:spPr/>
      <dgm:t>
        <a:bodyPr/>
        <a:lstStyle/>
        <a:p>
          <a:endParaRPr lang="en-US"/>
        </a:p>
      </dgm:t>
    </dgm:pt>
    <dgm:pt modelId="{7669D90D-B199-45F0-A957-25EDDD2EFF61}" type="sibTrans" cxnId="{E6F52689-1FEC-48E3-A038-5A5F006C2F02}">
      <dgm:prSet/>
      <dgm:spPr/>
      <dgm:t>
        <a:bodyPr/>
        <a:lstStyle/>
        <a:p>
          <a:endParaRPr lang="en-US"/>
        </a:p>
      </dgm:t>
    </dgm:pt>
    <dgm:pt modelId="{7BE08FCE-4BC7-4AB1-8D39-C8536963F990}">
      <dgm:prSet phldrT="[Text]" custT="1"/>
      <dgm:spPr/>
      <dgm:t>
        <a:bodyPr/>
        <a:lstStyle/>
        <a:p>
          <a:r>
            <a:rPr lang="en-US" sz="1050"/>
            <a:t>Demographic projection of the 2018-19 migrant cohort and Australian population</a:t>
          </a:r>
        </a:p>
      </dgm:t>
    </dgm:pt>
    <dgm:pt modelId="{81BF3CC7-CAD9-46C2-B60B-22A82996C6BD}" type="parTrans" cxnId="{D51EACBB-E06F-415E-A3B3-15C91BE938FB}">
      <dgm:prSet/>
      <dgm:spPr/>
      <dgm:t>
        <a:bodyPr/>
        <a:lstStyle/>
        <a:p>
          <a:endParaRPr lang="en-US"/>
        </a:p>
      </dgm:t>
    </dgm:pt>
    <dgm:pt modelId="{B4CF1CC6-2AD9-489F-A732-F701F51AAE5B}" type="sibTrans" cxnId="{D51EACBB-E06F-415E-A3B3-15C91BE938FB}">
      <dgm:prSet/>
      <dgm:spPr/>
      <dgm:t>
        <a:bodyPr/>
        <a:lstStyle/>
        <a:p>
          <a:endParaRPr lang="en-US"/>
        </a:p>
      </dgm:t>
    </dgm:pt>
    <dgm:pt modelId="{C173B189-ADB0-4C53-86E3-6BCD402A4F11}">
      <dgm:prSet phldrT="[Text]"/>
      <dgm:spPr/>
      <dgm:t>
        <a:bodyPr/>
        <a:lstStyle/>
        <a:p>
          <a:r>
            <a:rPr lang="en-US"/>
            <a:t>Revenues and expenses</a:t>
          </a:r>
        </a:p>
      </dgm:t>
    </dgm:pt>
    <dgm:pt modelId="{090BA82A-F24F-439A-9FD2-1A4873FBD768}" type="parTrans" cxnId="{7FFFB61D-B0C4-4617-B54A-200D42111E28}">
      <dgm:prSet/>
      <dgm:spPr/>
      <dgm:t>
        <a:bodyPr/>
        <a:lstStyle/>
        <a:p>
          <a:endParaRPr lang="en-US"/>
        </a:p>
      </dgm:t>
    </dgm:pt>
    <dgm:pt modelId="{5A38D202-0319-48CF-A4D2-7C27336D2AB2}" type="sibTrans" cxnId="{7FFFB61D-B0C4-4617-B54A-200D42111E28}">
      <dgm:prSet/>
      <dgm:spPr/>
      <dgm:t>
        <a:bodyPr/>
        <a:lstStyle/>
        <a:p>
          <a:endParaRPr lang="en-US"/>
        </a:p>
      </dgm:t>
    </dgm:pt>
    <dgm:pt modelId="{E326E8BE-2B53-435A-AE82-4657CA450A53}">
      <dgm:prSet phldrT="[Text]" custT="1"/>
      <dgm:spPr/>
      <dgm:t>
        <a:bodyPr/>
        <a:lstStyle/>
        <a:p>
          <a:r>
            <a:rPr lang="en-US" sz="1050"/>
            <a:t>Expected revenues and expenses</a:t>
          </a:r>
        </a:p>
      </dgm:t>
    </dgm:pt>
    <dgm:pt modelId="{7DB83D92-B7BB-4620-A025-643A2AF050DA}" type="parTrans" cxnId="{B9A30160-020D-45F1-8D9D-4C323C44065A}">
      <dgm:prSet/>
      <dgm:spPr/>
      <dgm:t>
        <a:bodyPr/>
        <a:lstStyle/>
        <a:p>
          <a:endParaRPr lang="en-US"/>
        </a:p>
      </dgm:t>
    </dgm:pt>
    <dgm:pt modelId="{2B39561E-4B4B-4E78-AF6C-FE9D5E9664BE}" type="sibTrans" cxnId="{B9A30160-020D-45F1-8D9D-4C323C44065A}">
      <dgm:prSet/>
      <dgm:spPr/>
      <dgm:t>
        <a:bodyPr/>
        <a:lstStyle/>
        <a:p>
          <a:endParaRPr lang="en-US"/>
        </a:p>
      </dgm:t>
    </dgm:pt>
    <dgm:pt modelId="{DB881CA4-99B5-497C-A7BB-13422551B20D}">
      <dgm:prSet phldrT="[Text]"/>
      <dgm:spPr/>
      <dgm:t>
        <a:bodyPr/>
        <a:lstStyle/>
        <a:p>
          <a:r>
            <a:rPr lang="en-US"/>
            <a:t>Discount to NPV</a:t>
          </a:r>
        </a:p>
      </dgm:t>
    </dgm:pt>
    <dgm:pt modelId="{4039B776-5758-43A9-BB4D-E14EC9D8E5D1}" type="parTrans" cxnId="{038F761B-DBCE-493D-91C6-A0DB37155770}">
      <dgm:prSet/>
      <dgm:spPr/>
      <dgm:t>
        <a:bodyPr/>
        <a:lstStyle/>
        <a:p>
          <a:endParaRPr lang="en-US"/>
        </a:p>
      </dgm:t>
    </dgm:pt>
    <dgm:pt modelId="{B34C263F-F866-4A0F-8FD1-295C88F32A35}" type="sibTrans" cxnId="{038F761B-DBCE-493D-91C6-A0DB37155770}">
      <dgm:prSet/>
      <dgm:spPr/>
      <dgm:t>
        <a:bodyPr/>
        <a:lstStyle/>
        <a:p>
          <a:endParaRPr lang="en-US"/>
        </a:p>
      </dgm:t>
    </dgm:pt>
    <dgm:pt modelId="{1F160846-A3B8-445D-A2C0-0BFBA724DE37}">
      <dgm:prSet phldrT="[Text]" custT="1"/>
      <dgm:spPr/>
      <dgm:t>
        <a:bodyPr/>
        <a:lstStyle/>
        <a:p>
          <a:r>
            <a:rPr lang="en-US" sz="1050"/>
            <a:t>Aggregate revenues and expenses</a:t>
          </a:r>
        </a:p>
      </dgm:t>
    </dgm:pt>
    <dgm:pt modelId="{EE5AFD79-7A53-4900-B248-D1A906225DC0}" type="parTrans" cxnId="{F4C8A6DA-19D9-496A-B028-DE5D38ECE59F}">
      <dgm:prSet/>
      <dgm:spPr/>
      <dgm:t>
        <a:bodyPr/>
        <a:lstStyle/>
        <a:p>
          <a:endParaRPr lang="en-US"/>
        </a:p>
      </dgm:t>
    </dgm:pt>
    <dgm:pt modelId="{B4002126-1175-49CB-A2CD-809FDA28E7A0}" type="sibTrans" cxnId="{F4C8A6DA-19D9-496A-B028-DE5D38ECE59F}">
      <dgm:prSet/>
      <dgm:spPr/>
      <dgm:t>
        <a:bodyPr/>
        <a:lstStyle/>
        <a:p>
          <a:endParaRPr lang="en-US"/>
        </a:p>
      </dgm:t>
    </dgm:pt>
    <dgm:pt modelId="{01B05B63-886E-4F0E-A15B-52FB35FF3F9D}">
      <dgm:prSet phldrT="[Text]" custT="1"/>
      <dgm:spPr/>
      <dgm:t>
        <a:bodyPr/>
        <a:lstStyle/>
        <a:p>
          <a:endParaRPr lang="en-US" sz="1050"/>
        </a:p>
      </dgm:t>
    </dgm:pt>
    <dgm:pt modelId="{B0C71F18-FA58-4E93-8B92-C0AF829B516C}" type="parTrans" cxnId="{9A4F9E4E-E448-4404-AC3A-CABFF191360B}">
      <dgm:prSet/>
      <dgm:spPr/>
      <dgm:t>
        <a:bodyPr/>
        <a:lstStyle/>
        <a:p>
          <a:endParaRPr lang="en-US"/>
        </a:p>
      </dgm:t>
    </dgm:pt>
    <dgm:pt modelId="{05B1586A-499F-4DA5-B9FA-3125CEA88DD2}" type="sibTrans" cxnId="{9A4F9E4E-E448-4404-AC3A-CABFF191360B}">
      <dgm:prSet/>
      <dgm:spPr/>
      <dgm:t>
        <a:bodyPr/>
        <a:lstStyle/>
        <a:p>
          <a:endParaRPr lang="en-US"/>
        </a:p>
      </dgm:t>
    </dgm:pt>
    <dgm:pt modelId="{CF8BF5F5-8176-4507-BAE3-5A733C68F134}">
      <dgm:prSet phldrT="[Text]" custT="1"/>
      <dgm:spPr/>
      <dgm:t>
        <a:bodyPr/>
        <a:lstStyle/>
        <a:p>
          <a:r>
            <a:rPr lang="en-US" sz="1050"/>
            <a:t>Convert to net present value (NPV)</a:t>
          </a:r>
        </a:p>
      </dgm:t>
    </dgm:pt>
    <dgm:pt modelId="{14ACB4F2-3CC7-424B-B863-68C9EC6B9BC0}" type="parTrans" cxnId="{35D2675C-88A6-435F-800F-E40007B38563}">
      <dgm:prSet/>
      <dgm:spPr/>
      <dgm:t>
        <a:bodyPr/>
        <a:lstStyle/>
        <a:p>
          <a:endParaRPr lang="en-AU"/>
        </a:p>
      </dgm:t>
    </dgm:pt>
    <dgm:pt modelId="{04D50413-8954-470D-AE2C-A762D113E4F1}" type="sibTrans" cxnId="{35D2675C-88A6-435F-800F-E40007B38563}">
      <dgm:prSet/>
      <dgm:spPr/>
      <dgm:t>
        <a:bodyPr/>
        <a:lstStyle/>
        <a:p>
          <a:endParaRPr lang="en-AU"/>
        </a:p>
      </dgm:t>
    </dgm:pt>
    <dgm:pt modelId="{AE34C0DE-74AE-418D-99B4-3A298785819B}">
      <dgm:prSet phldrT="[Text]" custT="1"/>
      <dgm:spPr/>
      <dgm:t>
        <a:bodyPr/>
        <a:lstStyle/>
        <a:p>
          <a:r>
            <a:rPr lang="en-US" sz="1050"/>
            <a:t>Includes visa sub-class, age, gender and State</a:t>
          </a:r>
        </a:p>
      </dgm:t>
    </dgm:pt>
    <dgm:pt modelId="{CF01E545-D141-4FE3-BBB1-D8418A07DBAF}" type="parTrans" cxnId="{B0CDE296-A243-4498-9968-0AA7CBFF1958}">
      <dgm:prSet/>
      <dgm:spPr/>
      <dgm:t>
        <a:bodyPr/>
        <a:lstStyle/>
        <a:p>
          <a:endParaRPr lang="en-AU"/>
        </a:p>
      </dgm:t>
    </dgm:pt>
    <dgm:pt modelId="{CBAE7CC9-86B6-4DFB-ACCF-873324D3DEE9}" type="sibTrans" cxnId="{B0CDE296-A243-4498-9968-0AA7CBFF1958}">
      <dgm:prSet/>
      <dgm:spPr/>
      <dgm:t>
        <a:bodyPr/>
        <a:lstStyle/>
        <a:p>
          <a:endParaRPr lang="en-AU"/>
        </a:p>
      </dgm:t>
    </dgm:pt>
    <dgm:pt modelId="{95DA630B-423C-4BBD-9DC4-A8FD85CFE93A}">
      <dgm:prSet phldrT="[Text]" custT="1"/>
      <dgm:spPr/>
      <dgm:t>
        <a:bodyPr/>
        <a:lstStyle/>
        <a:p>
          <a:r>
            <a:rPr lang="en-US" sz="1050"/>
            <a:t>Calculation is conditional on demography</a:t>
          </a:r>
        </a:p>
      </dgm:t>
    </dgm:pt>
    <dgm:pt modelId="{1BBD7FC8-6698-445C-8A57-28B7EA9A747D}" type="parTrans" cxnId="{6333F8EC-6191-4B8C-8F93-87186DDE1501}">
      <dgm:prSet/>
      <dgm:spPr/>
      <dgm:t>
        <a:bodyPr/>
        <a:lstStyle/>
        <a:p>
          <a:endParaRPr lang="en-AU"/>
        </a:p>
      </dgm:t>
    </dgm:pt>
    <dgm:pt modelId="{B4CB5521-599C-460A-A64F-9FF6674E5494}" type="sibTrans" cxnId="{6333F8EC-6191-4B8C-8F93-87186DDE1501}">
      <dgm:prSet/>
      <dgm:spPr/>
      <dgm:t>
        <a:bodyPr/>
        <a:lstStyle/>
        <a:p>
          <a:endParaRPr lang="en-AU"/>
        </a:p>
      </dgm:t>
    </dgm:pt>
    <dgm:pt modelId="{EA4C286F-11CD-4FA9-910F-328B3D696370}" type="pres">
      <dgm:prSet presAssocID="{BA6D63BB-4887-4F1C-B7FF-4B801D93C48F}" presName="linearFlow" presStyleCnt="0">
        <dgm:presLayoutVars>
          <dgm:dir/>
          <dgm:animLvl val="lvl"/>
          <dgm:resizeHandles val="exact"/>
        </dgm:presLayoutVars>
      </dgm:prSet>
      <dgm:spPr/>
    </dgm:pt>
    <dgm:pt modelId="{8BB20FBE-FD0B-429C-AF24-8FD8EFF4B5CC}" type="pres">
      <dgm:prSet presAssocID="{1E92CB94-D539-43CC-9187-F547D231F1CC}" presName="composite" presStyleCnt="0"/>
      <dgm:spPr/>
    </dgm:pt>
    <dgm:pt modelId="{B6062B7F-AC86-418A-8190-74CEE2BA3F89}" type="pres">
      <dgm:prSet presAssocID="{1E92CB94-D539-43CC-9187-F547D231F1CC}" presName="parTx" presStyleLbl="node1" presStyleIdx="0" presStyleCnt="3">
        <dgm:presLayoutVars>
          <dgm:chMax val="0"/>
          <dgm:chPref val="0"/>
          <dgm:bulletEnabled val="1"/>
        </dgm:presLayoutVars>
      </dgm:prSet>
      <dgm:spPr/>
    </dgm:pt>
    <dgm:pt modelId="{90888F85-63A3-4B51-8D38-5A9593E75320}" type="pres">
      <dgm:prSet presAssocID="{1E92CB94-D539-43CC-9187-F547D231F1CC}" presName="parSh" presStyleLbl="node1" presStyleIdx="0" presStyleCnt="3"/>
      <dgm:spPr/>
    </dgm:pt>
    <dgm:pt modelId="{2CA11560-5231-4C19-8259-A3A8E6E12261}" type="pres">
      <dgm:prSet presAssocID="{1E92CB94-D539-43CC-9187-F547D231F1CC}" presName="desTx" presStyleLbl="fgAcc1" presStyleIdx="0" presStyleCnt="3">
        <dgm:presLayoutVars>
          <dgm:bulletEnabled val="1"/>
        </dgm:presLayoutVars>
      </dgm:prSet>
      <dgm:spPr/>
    </dgm:pt>
    <dgm:pt modelId="{CC0F300C-1530-406E-8B26-D2B42FAF122B}" type="pres">
      <dgm:prSet presAssocID="{7669D90D-B199-45F0-A957-25EDDD2EFF61}" presName="sibTrans" presStyleLbl="sibTrans2D1" presStyleIdx="0" presStyleCnt="2"/>
      <dgm:spPr/>
    </dgm:pt>
    <dgm:pt modelId="{61A75FCB-14C8-42EB-9162-8B9D7A7EACAD}" type="pres">
      <dgm:prSet presAssocID="{7669D90D-B199-45F0-A957-25EDDD2EFF61}" presName="connTx" presStyleLbl="sibTrans2D1" presStyleIdx="0" presStyleCnt="2"/>
      <dgm:spPr/>
    </dgm:pt>
    <dgm:pt modelId="{3D21EE65-3DEB-4822-99A6-4F80C559F521}" type="pres">
      <dgm:prSet presAssocID="{C173B189-ADB0-4C53-86E3-6BCD402A4F11}" presName="composite" presStyleCnt="0"/>
      <dgm:spPr/>
    </dgm:pt>
    <dgm:pt modelId="{23793A70-F15F-4E0C-B4D7-0E7182B5B7CE}" type="pres">
      <dgm:prSet presAssocID="{C173B189-ADB0-4C53-86E3-6BCD402A4F11}" presName="parTx" presStyleLbl="node1" presStyleIdx="0" presStyleCnt="3">
        <dgm:presLayoutVars>
          <dgm:chMax val="0"/>
          <dgm:chPref val="0"/>
          <dgm:bulletEnabled val="1"/>
        </dgm:presLayoutVars>
      </dgm:prSet>
      <dgm:spPr/>
    </dgm:pt>
    <dgm:pt modelId="{72BF94CA-CB3D-4796-BD98-B646DFCC304A}" type="pres">
      <dgm:prSet presAssocID="{C173B189-ADB0-4C53-86E3-6BCD402A4F11}" presName="parSh" presStyleLbl="node1" presStyleIdx="1" presStyleCnt="3"/>
      <dgm:spPr/>
    </dgm:pt>
    <dgm:pt modelId="{B8A9F979-7553-46CE-9B04-FA74F4066F02}" type="pres">
      <dgm:prSet presAssocID="{C173B189-ADB0-4C53-86E3-6BCD402A4F11}" presName="desTx" presStyleLbl="fgAcc1" presStyleIdx="1" presStyleCnt="3">
        <dgm:presLayoutVars>
          <dgm:bulletEnabled val="1"/>
        </dgm:presLayoutVars>
      </dgm:prSet>
      <dgm:spPr/>
    </dgm:pt>
    <dgm:pt modelId="{215EDABF-BB62-4A9F-8D36-5B49439EF57E}" type="pres">
      <dgm:prSet presAssocID="{5A38D202-0319-48CF-A4D2-7C27336D2AB2}" presName="sibTrans" presStyleLbl="sibTrans2D1" presStyleIdx="1" presStyleCnt="2"/>
      <dgm:spPr/>
    </dgm:pt>
    <dgm:pt modelId="{C2E3438E-3C2C-47D1-BFE9-834D4B42F8FE}" type="pres">
      <dgm:prSet presAssocID="{5A38D202-0319-48CF-A4D2-7C27336D2AB2}" presName="connTx" presStyleLbl="sibTrans2D1" presStyleIdx="1" presStyleCnt="2"/>
      <dgm:spPr/>
    </dgm:pt>
    <dgm:pt modelId="{87B22304-0CE3-4027-9631-9923CFFE25EC}" type="pres">
      <dgm:prSet presAssocID="{DB881CA4-99B5-497C-A7BB-13422551B20D}" presName="composite" presStyleCnt="0"/>
      <dgm:spPr/>
    </dgm:pt>
    <dgm:pt modelId="{DABF635F-69E7-4CD2-87A5-2FDF93CE8F3E}" type="pres">
      <dgm:prSet presAssocID="{DB881CA4-99B5-497C-A7BB-13422551B20D}" presName="parTx" presStyleLbl="node1" presStyleIdx="1" presStyleCnt="3">
        <dgm:presLayoutVars>
          <dgm:chMax val="0"/>
          <dgm:chPref val="0"/>
          <dgm:bulletEnabled val="1"/>
        </dgm:presLayoutVars>
      </dgm:prSet>
      <dgm:spPr/>
    </dgm:pt>
    <dgm:pt modelId="{2C8150F9-BF60-4D1C-8DAE-B367CFAD8F28}" type="pres">
      <dgm:prSet presAssocID="{DB881CA4-99B5-497C-A7BB-13422551B20D}" presName="parSh" presStyleLbl="node1" presStyleIdx="2" presStyleCnt="3"/>
      <dgm:spPr/>
    </dgm:pt>
    <dgm:pt modelId="{5D70546D-8057-467A-A9CB-3A349A841580}" type="pres">
      <dgm:prSet presAssocID="{DB881CA4-99B5-497C-A7BB-13422551B20D}" presName="desTx" presStyleLbl="fgAcc1" presStyleIdx="2" presStyleCnt="3">
        <dgm:presLayoutVars>
          <dgm:bulletEnabled val="1"/>
        </dgm:presLayoutVars>
      </dgm:prSet>
      <dgm:spPr/>
    </dgm:pt>
  </dgm:ptLst>
  <dgm:cxnLst>
    <dgm:cxn modelId="{7E9B650C-5F83-45CE-96AA-A416BE2EB452}" type="presOf" srcId="{1E92CB94-D539-43CC-9187-F547D231F1CC}" destId="{90888F85-63A3-4B51-8D38-5A9593E75320}" srcOrd="1" destOrd="0" presId="urn:microsoft.com/office/officeart/2005/8/layout/process3"/>
    <dgm:cxn modelId="{BE2B4115-E3B2-4FB7-94B2-0475AADC46E1}" type="presOf" srcId="{01B05B63-886E-4F0E-A15B-52FB35FF3F9D}" destId="{B8A9F979-7553-46CE-9B04-FA74F4066F02}" srcOrd="0" destOrd="2" presId="urn:microsoft.com/office/officeart/2005/8/layout/process3"/>
    <dgm:cxn modelId="{038F761B-DBCE-493D-91C6-A0DB37155770}" srcId="{BA6D63BB-4887-4F1C-B7FF-4B801D93C48F}" destId="{DB881CA4-99B5-497C-A7BB-13422551B20D}" srcOrd="2" destOrd="0" parTransId="{4039B776-5758-43A9-BB4D-E14EC9D8E5D1}" sibTransId="{B34C263F-F866-4A0F-8FD1-295C88F32A35}"/>
    <dgm:cxn modelId="{7FFFB61D-B0C4-4617-B54A-200D42111E28}" srcId="{BA6D63BB-4887-4F1C-B7FF-4B801D93C48F}" destId="{C173B189-ADB0-4C53-86E3-6BCD402A4F11}" srcOrd="1" destOrd="0" parTransId="{090BA82A-F24F-439A-9FD2-1A4873FBD768}" sibTransId="{5A38D202-0319-48CF-A4D2-7C27336D2AB2}"/>
    <dgm:cxn modelId="{4A0BFE3B-ECEE-45FF-A7CE-47FDAF4DEFB6}" type="presOf" srcId="{95DA630B-423C-4BBD-9DC4-A8FD85CFE93A}" destId="{B8A9F979-7553-46CE-9B04-FA74F4066F02}" srcOrd="0" destOrd="1" presId="urn:microsoft.com/office/officeart/2005/8/layout/process3"/>
    <dgm:cxn modelId="{35D2675C-88A6-435F-800F-E40007B38563}" srcId="{DB881CA4-99B5-497C-A7BB-13422551B20D}" destId="{CF8BF5F5-8176-4507-BAE3-5A733C68F134}" srcOrd="1" destOrd="0" parTransId="{14ACB4F2-3CC7-424B-B863-68C9EC6B9BC0}" sibTransId="{04D50413-8954-470D-AE2C-A762D113E4F1}"/>
    <dgm:cxn modelId="{B9A30160-020D-45F1-8D9D-4C323C44065A}" srcId="{C173B189-ADB0-4C53-86E3-6BCD402A4F11}" destId="{E326E8BE-2B53-435A-AE82-4657CA450A53}" srcOrd="0" destOrd="0" parTransId="{7DB83D92-B7BB-4620-A025-643A2AF050DA}" sibTransId="{2B39561E-4B4B-4E78-AF6C-FE9D5E9664BE}"/>
    <dgm:cxn modelId="{F9B9A362-3904-4F8D-8939-E5FCDA6A3FB2}" type="presOf" srcId="{7669D90D-B199-45F0-A957-25EDDD2EFF61}" destId="{61A75FCB-14C8-42EB-9162-8B9D7A7EACAD}" srcOrd="1" destOrd="0" presId="urn:microsoft.com/office/officeart/2005/8/layout/process3"/>
    <dgm:cxn modelId="{A3732746-D9BC-4D55-9631-1F7FB90267FD}" type="presOf" srcId="{C173B189-ADB0-4C53-86E3-6BCD402A4F11}" destId="{23793A70-F15F-4E0C-B4D7-0E7182B5B7CE}" srcOrd="0" destOrd="0" presId="urn:microsoft.com/office/officeart/2005/8/layout/process3"/>
    <dgm:cxn modelId="{9A4F9E4E-E448-4404-AC3A-CABFF191360B}" srcId="{C173B189-ADB0-4C53-86E3-6BCD402A4F11}" destId="{01B05B63-886E-4F0E-A15B-52FB35FF3F9D}" srcOrd="2" destOrd="0" parTransId="{B0C71F18-FA58-4E93-8B92-C0AF829B516C}" sibTransId="{05B1586A-499F-4DA5-B9FA-3125CEA88DD2}"/>
    <dgm:cxn modelId="{C94E3373-462E-4CEC-9111-8D4C2256AC1B}" type="presOf" srcId="{5A38D202-0319-48CF-A4D2-7C27336D2AB2}" destId="{C2E3438E-3C2C-47D1-BFE9-834D4B42F8FE}" srcOrd="1" destOrd="0" presId="urn:microsoft.com/office/officeart/2005/8/layout/process3"/>
    <dgm:cxn modelId="{32CDBB75-F5F2-43B6-92F6-1B558C4640CC}" type="presOf" srcId="{5A38D202-0319-48CF-A4D2-7C27336D2AB2}" destId="{215EDABF-BB62-4A9F-8D36-5B49439EF57E}" srcOrd="0" destOrd="0" presId="urn:microsoft.com/office/officeart/2005/8/layout/process3"/>
    <dgm:cxn modelId="{C3C24157-588D-41F3-9AD1-A23121744275}" type="presOf" srcId="{BA6D63BB-4887-4F1C-B7FF-4B801D93C48F}" destId="{EA4C286F-11CD-4FA9-910F-328B3D696370}" srcOrd="0" destOrd="0" presId="urn:microsoft.com/office/officeart/2005/8/layout/process3"/>
    <dgm:cxn modelId="{C30F2D7A-03DF-427D-AB04-F9CD97594D8B}" type="presOf" srcId="{7669D90D-B199-45F0-A957-25EDDD2EFF61}" destId="{CC0F300C-1530-406E-8B26-D2B42FAF122B}" srcOrd="0" destOrd="0" presId="urn:microsoft.com/office/officeart/2005/8/layout/process3"/>
    <dgm:cxn modelId="{E6F52689-1FEC-48E3-A038-5A5F006C2F02}" srcId="{BA6D63BB-4887-4F1C-B7FF-4B801D93C48F}" destId="{1E92CB94-D539-43CC-9187-F547D231F1CC}" srcOrd="0" destOrd="0" parTransId="{9A087407-13E7-46B2-893B-8F40DBAE5C86}" sibTransId="{7669D90D-B199-45F0-A957-25EDDD2EFF61}"/>
    <dgm:cxn modelId="{B0CDE296-A243-4498-9968-0AA7CBFF1958}" srcId="{1E92CB94-D539-43CC-9187-F547D231F1CC}" destId="{AE34C0DE-74AE-418D-99B4-3A298785819B}" srcOrd="1" destOrd="0" parTransId="{CF01E545-D141-4FE3-BBB1-D8418A07DBAF}" sibTransId="{CBAE7CC9-86B6-4DFB-ACCF-873324D3DEE9}"/>
    <dgm:cxn modelId="{96EE2AAA-0DE9-46BE-B5F8-5415A6A18B37}" type="presOf" srcId="{CF8BF5F5-8176-4507-BAE3-5A733C68F134}" destId="{5D70546D-8057-467A-A9CB-3A349A841580}" srcOrd="0" destOrd="1" presId="urn:microsoft.com/office/officeart/2005/8/layout/process3"/>
    <dgm:cxn modelId="{5B22C8AE-958C-4EE3-AB95-32B9FA0FB721}" type="presOf" srcId="{E326E8BE-2B53-435A-AE82-4657CA450A53}" destId="{B8A9F979-7553-46CE-9B04-FA74F4066F02}" srcOrd="0" destOrd="0" presId="urn:microsoft.com/office/officeart/2005/8/layout/process3"/>
    <dgm:cxn modelId="{D51EACBB-E06F-415E-A3B3-15C91BE938FB}" srcId="{1E92CB94-D539-43CC-9187-F547D231F1CC}" destId="{7BE08FCE-4BC7-4AB1-8D39-C8536963F990}" srcOrd="0" destOrd="0" parTransId="{81BF3CC7-CAD9-46C2-B60B-22A82996C6BD}" sibTransId="{B4CF1CC6-2AD9-489F-A732-F701F51AAE5B}"/>
    <dgm:cxn modelId="{138C5CC1-539D-451E-9B3A-8158478383E6}" type="presOf" srcId="{1E92CB94-D539-43CC-9187-F547D231F1CC}" destId="{B6062B7F-AC86-418A-8190-74CEE2BA3F89}" srcOrd="0" destOrd="0" presId="urn:microsoft.com/office/officeart/2005/8/layout/process3"/>
    <dgm:cxn modelId="{DC6964C7-59AE-4943-884B-179CB3998A34}" type="presOf" srcId="{DB881CA4-99B5-497C-A7BB-13422551B20D}" destId="{DABF635F-69E7-4CD2-87A5-2FDF93CE8F3E}" srcOrd="0" destOrd="0" presId="urn:microsoft.com/office/officeart/2005/8/layout/process3"/>
    <dgm:cxn modelId="{10724AD9-0779-4441-9287-BCD557472CDE}" type="presOf" srcId="{DB881CA4-99B5-497C-A7BB-13422551B20D}" destId="{2C8150F9-BF60-4D1C-8DAE-B367CFAD8F28}" srcOrd="1" destOrd="0" presId="urn:microsoft.com/office/officeart/2005/8/layout/process3"/>
    <dgm:cxn modelId="{F4C8A6DA-19D9-496A-B028-DE5D38ECE59F}" srcId="{DB881CA4-99B5-497C-A7BB-13422551B20D}" destId="{1F160846-A3B8-445D-A2C0-0BFBA724DE37}" srcOrd="0" destOrd="0" parTransId="{EE5AFD79-7A53-4900-B248-D1A906225DC0}" sibTransId="{B4002126-1175-49CB-A2CD-809FDA28E7A0}"/>
    <dgm:cxn modelId="{E1B038DC-83E8-403A-81D3-C81F477704C7}" type="presOf" srcId="{C173B189-ADB0-4C53-86E3-6BCD402A4F11}" destId="{72BF94CA-CB3D-4796-BD98-B646DFCC304A}" srcOrd="1" destOrd="0" presId="urn:microsoft.com/office/officeart/2005/8/layout/process3"/>
    <dgm:cxn modelId="{6333F8EC-6191-4B8C-8F93-87186DDE1501}" srcId="{C173B189-ADB0-4C53-86E3-6BCD402A4F11}" destId="{95DA630B-423C-4BBD-9DC4-A8FD85CFE93A}" srcOrd="1" destOrd="0" parTransId="{1BBD7FC8-6698-445C-8A57-28B7EA9A747D}" sibTransId="{B4CB5521-599C-460A-A64F-9FF6674E5494}"/>
    <dgm:cxn modelId="{56DA70F3-689E-4E8B-A8B5-F61E6DE661D7}" type="presOf" srcId="{AE34C0DE-74AE-418D-99B4-3A298785819B}" destId="{2CA11560-5231-4C19-8259-A3A8E6E12261}" srcOrd="0" destOrd="1" presId="urn:microsoft.com/office/officeart/2005/8/layout/process3"/>
    <dgm:cxn modelId="{BD0666F6-8E08-4B3F-AA86-FE5B82419739}" type="presOf" srcId="{7BE08FCE-4BC7-4AB1-8D39-C8536963F990}" destId="{2CA11560-5231-4C19-8259-A3A8E6E12261}" srcOrd="0" destOrd="0" presId="urn:microsoft.com/office/officeart/2005/8/layout/process3"/>
    <dgm:cxn modelId="{F2A725FA-75B4-42EF-8CDF-027814566998}" type="presOf" srcId="{1F160846-A3B8-445D-A2C0-0BFBA724DE37}" destId="{5D70546D-8057-467A-A9CB-3A349A841580}" srcOrd="0" destOrd="0" presId="urn:microsoft.com/office/officeart/2005/8/layout/process3"/>
    <dgm:cxn modelId="{7D664363-231C-4C5F-B465-73B336D8433F}" type="presParOf" srcId="{EA4C286F-11CD-4FA9-910F-328B3D696370}" destId="{8BB20FBE-FD0B-429C-AF24-8FD8EFF4B5CC}" srcOrd="0" destOrd="0" presId="urn:microsoft.com/office/officeart/2005/8/layout/process3"/>
    <dgm:cxn modelId="{89D6F641-53B3-4033-8F0B-E28F7DCE9DA1}" type="presParOf" srcId="{8BB20FBE-FD0B-429C-AF24-8FD8EFF4B5CC}" destId="{B6062B7F-AC86-418A-8190-74CEE2BA3F89}" srcOrd="0" destOrd="0" presId="urn:microsoft.com/office/officeart/2005/8/layout/process3"/>
    <dgm:cxn modelId="{732F416B-AFDB-4054-A400-AD8983C929AD}" type="presParOf" srcId="{8BB20FBE-FD0B-429C-AF24-8FD8EFF4B5CC}" destId="{90888F85-63A3-4B51-8D38-5A9593E75320}" srcOrd="1" destOrd="0" presId="urn:microsoft.com/office/officeart/2005/8/layout/process3"/>
    <dgm:cxn modelId="{89A508F9-FE66-4DC3-9A12-562AA5B5EBBD}" type="presParOf" srcId="{8BB20FBE-FD0B-429C-AF24-8FD8EFF4B5CC}" destId="{2CA11560-5231-4C19-8259-A3A8E6E12261}" srcOrd="2" destOrd="0" presId="urn:microsoft.com/office/officeart/2005/8/layout/process3"/>
    <dgm:cxn modelId="{E25ECB28-8016-4ECA-9B53-BDE77E87062B}" type="presParOf" srcId="{EA4C286F-11CD-4FA9-910F-328B3D696370}" destId="{CC0F300C-1530-406E-8B26-D2B42FAF122B}" srcOrd="1" destOrd="0" presId="urn:microsoft.com/office/officeart/2005/8/layout/process3"/>
    <dgm:cxn modelId="{958206F5-515D-436E-86F1-C0BE0B9BBC67}" type="presParOf" srcId="{CC0F300C-1530-406E-8B26-D2B42FAF122B}" destId="{61A75FCB-14C8-42EB-9162-8B9D7A7EACAD}" srcOrd="0" destOrd="0" presId="urn:microsoft.com/office/officeart/2005/8/layout/process3"/>
    <dgm:cxn modelId="{8778C776-25B9-458A-8D2F-20D0E111AF83}" type="presParOf" srcId="{EA4C286F-11CD-4FA9-910F-328B3D696370}" destId="{3D21EE65-3DEB-4822-99A6-4F80C559F521}" srcOrd="2" destOrd="0" presId="urn:microsoft.com/office/officeart/2005/8/layout/process3"/>
    <dgm:cxn modelId="{9A2CBBA2-BD27-4F93-A510-20A460001937}" type="presParOf" srcId="{3D21EE65-3DEB-4822-99A6-4F80C559F521}" destId="{23793A70-F15F-4E0C-B4D7-0E7182B5B7CE}" srcOrd="0" destOrd="0" presId="urn:microsoft.com/office/officeart/2005/8/layout/process3"/>
    <dgm:cxn modelId="{3F6C6F61-E908-43D6-A3BB-BA5584B05433}" type="presParOf" srcId="{3D21EE65-3DEB-4822-99A6-4F80C559F521}" destId="{72BF94CA-CB3D-4796-BD98-B646DFCC304A}" srcOrd="1" destOrd="0" presId="urn:microsoft.com/office/officeart/2005/8/layout/process3"/>
    <dgm:cxn modelId="{6CD48798-3A51-4E4D-895C-752D0AEE5367}" type="presParOf" srcId="{3D21EE65-3DEB-4822-99A6-4F80C559F521}" destId="{B8A9F979-7553-46CE-9B04-FA74F4066F02}" srcOrd="2" destOrd="0" presId="urn:microsoft.com/office/officeart/2005/8/layout/process3"/>
    <dgm:cxn modelId="{5E4FD0A4-980C-40F8-9151-F7C1DB77ACA7}" type="presParOf" srcId="{EA4C286F-11CD-4FA9-910F-328B3D696370}" destId="{215EDABF-BB62-4A9F-8D36-5B49439EF57E}" srcOrd="3" destOrd="0" presId="urn:microsoft.com/office/officeart/2005/8/layout/process3"/>
    <dgm:cxn modelId="{EF4BCC16-1BA1-4FDE-9132-D9A7C78A2987}" type="presParOf" srcId="{215EDABF-BB62-4A9F-8D36-5B49439EF57E}" destId="{C2E3438E-3C2C-47D1-BFE9-834D4B42F8FE}" srcOrd="0" destOrd="0" presId="urn:microsoft.com/office/officeart/2005/8/layout/process3"/>
    <dgm:cxn modelId="{9BB24DB5-6829-4DBD-B7B1-626FD89325A0}" type="presParOf" srcId="{EA4C286F-11CD-4FA9-910F-328B3D696370}" destId="{87B22304-0CE3-4027-9631-9923CFFE25EC}" srcOrd="4" destOrd="0" presId="urn:microsoft.com/office/officeart/2005/8/layout/process3"/>
    <dgm:cxn modelId="{A0AE7C85-09BF-4B1A-92FC-6449A53BE550}" type="presParOf" srcId="{87B22304-0CE3-4027-9631-9923CFFE25EC}" destId="{DABF635F-69E7-4CD2-87A5-2FDF93CE8F3E}" srcOrd="0" destOrd="0" presId="urn:microsoft.com/office/officeart/2005/8/layout/process3"/>
    <dgm:cxn modelId="{A98EEF2C-58AA-4CDD-8F8E-4CD81A04D113}" type="presParOf" srcId="{87B22304-0CE3-4027-9631-9923CFFE25EC}" destId="{2C8150F9-BF60-4D1C-8DAE-B367CFAD8F28}" srcOrd="1" destOrd="0" presId="urn:microsoft.com/office/officeart/2005/8/layout/process3"/>
    <dgm:cxn modelId="{DEF47660-0AB8-479C-B409-1103EB60B939}" type="presParOf" srcId="{87B22304-0CE3-4027-9631-9923CFFE25EC}" destId="{5D70546D-8057-467A-A9CB-3A349A841580}" srcOrd="2" destOrd="0" presId="urn:microsoft.com/office/officeart/2005/8/layout/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888F85-63A3-4B51-8D38-5A9593E75320}">
      <dsp:nvSpPr>
        <dsp:cNvPr id="0" name=""/>
        <dsp:cNvSpPr/>
      </dsp:nvSpPr>
      <dsp:spPr>
        <a:xfrm>
          <a:off x="2936" y="373043"/>
          <a:ext cx="1335197" cy="7636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marL="0" lvl="0" indent="0" algn="l" defTabSz="577850">
            <a:lnSpc>
              <a:spcPct val="90000"/>
            </a:lnSpc>
            <a:spcBef>
              <a:spcPct val="0"/>
            </a:spcBef>
            <a:spcAft>
              <a:spcPct val="35000"/>
            </a:spcAft>
            <a:buNone/>
          </a:pPr>
          <a:r>
            <a:rPr lang="en-US" sz="1300" kern="1200"/>
            <a:t>Demographic projection</a:t>
          </a:r>
        </a:p>
      </dsp:txBody>
      <dsp:txXfrm>
        <a:off x="2936" y="373043"/>
        <a:ext cx="1335197" cy="509129"/>
      </dsp:txXfrm>
    </dsp:sp>
    <dsp:sp modelId="{2CA11560-5231-4C19-8259-A3A8E6E12261}">
      <dsp:nvSpPr>
        <dsp:cNvPr id="0" name=""/>
        <dsp:cNvSpPr/>
      </dsp:nvSpPr>
      <dsp:spPr>
        <a:xfrm>
          <a:off x="276410" y="882172"/>
          <a:ext cx="1335197" cy="1591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US" sz="1050" kern="1200"/>
            <a:t>Demographic projection of the 2018-19 migrant cohort and Australian population</a:t>
          </a:r>
        </a:p>
        <a:p>
          <a:pPr marL="57150" lvl="1" indent="-57150" algn="l" defTabSz="466725">
            <a:lnSpc>
              <a:spcPct val="90000"/>
            </a:lnSpc>
            <a:spcBef>
              <a:spcPct val="0"/>
            </a:spcBef>
            <a:spcAft>
              <a:spcPct val="15000"/>
            </a:spcAft>
            <a:buChar char="•"/>
          </a:pPr>
          <a:r>
            <a:rPr lang="en-US" sz="1050" kern="1200"/>
            <a:t>Includes visa sub-class, age, gender and State</a:t>
          </a:r>
        </a:p>
      </dsp:txBody>
      <dsp:txXfrm>
        <a:off x="315517" y="921279"/>
        <a:ext cx="1256983" cy="1512986"/>
      </dsp:txXfrm>
    </dsp:sp>
    <dsp:sp modelId="{CC0F300C-1530-406E-8B26-D2B42FAF122B}">
      <dsp:nvSpPr>
        <dsp:cNvPr id="0" name=""/>
        <dsp:cNvSpPr/>
      </dsp:nvSpPr>
      <dsp:spPr>
        <a:xfrm>
          <a:off x="1540545" y="461395"/>
          <a:ext cx="429111" cy="33242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540545" y="527880"/>
        <a:ext cx="329384" cy="199455"/>
      </dsp:txXfrm>
    </dsp:sp>
    <dsp:sp modelId="{72BF94CA-CB3D-4796-BD98-B646DFCC304A}">
      <dsp:nvSpPr>
        <dsp:cNvPr id="0" name=""/>
        <dsp:cNvSpPr/>
      </dsp:nvSpPr>
      <dsp:spPr>
        <a:xfrm>
          <a:off x="2147778" y="373043"/>
          <a:ext cx="1335197" cy="7636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marL="0" lvl="0" indent="0" algn="l" defTabSz="577850">
            <a:lnSpc>
              <a:spcPct val="90000"/>
            </a:lnSpc>
            <a:spcBef>
              <a:spcPct val="0"/>
            </a:spcBef>
            <a:spcAft>
              <a:spcPct val="35000"/>
            </a:spcAft>
            <a:buNone/>
          </a:pPr>
          <a:r>
            <a:rPr lang="en-US" sz="1300" kern="1200"/>
            <a:t>Revenues and expenses</a:t>
          </a:r>
        </a:p>
      </dsp:txBody>
      <dsp:txXfrm>
        <a:off x="2147778" y="373043"/>
        <a:ext cx="1335197" cy="509129"/>
      </dsp:txXfrm>
    </dsp:sp>
    <dsp:sp modelId="{B8A9F979-7553-46CE-9B04-FA74F4066F02}">
      <dsp:nvSpPr>
        <dsp:cNvPr id="0" name=""/>
        <dsp:cNvSpPr/>
      </dsp:nvSpPr>
      <dsp:spPr>
        <a:xfrm>
          <a:off x="2421253" y="882172"/>
          <a:ext cx="1335197" cy="1591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US" sz="1050" kern="1200"/>
            <a:t>Expected revenues and expenses</a:t>
          </a:r>
        </a:p>
        <a:p>
          <a:pPr marL="57150" lvl="1" indent="-57150" algn="l" defTabSz="466725">
            <a:lnSpc>
              <a:spcPct val="90000"/>
            </a:lnSpc>
            <a:spcBef>
              <a:spcPct val="0"/>
            </a:spcBef>
            <a:spcAft>
              <a:spcPct val="15000"/>
            </a:spcAft>
            <a:buChar char="•"/>
          </a:pPr>
          <a:r>
            <a:rPr lang="en-US" sz="1050" kern="1200"/>
            <a:t>Calculation is conditional on demography</a:t>
          </a:r>
        </a:p>
        <a:p>
          <a:pPr marL="57150" lvl="1" indent="-57150" algn="l" defTabSz="466725">
            <a:lnSpc>
              <a:spcPct val="90000"/>
            </a:lnSpc>
            <a:spcBef>
              <a:spcPct val="0"/>
            </a:spcBef>
            <a:spcAft>
              <a:spcPct val="15000"/>
            </a:spcAft>
            <a:buChar char="•"/>
          </a:pPr>
          <a:endParaRPr lang="en-US" sz="1050" kern="1200"/>
        </a:p>
      </dsp:txBody>
      <dsp:txXfrm>
        <a:off x="2460360" y="921279"/>
        <a:ext cx="1256983" cy="1512986"/>
      </dsp:txXfrm>
    </dsp:sp>
    <dsp:sp modelId="{215EDABF-BB62-4A9F-8D36-5B49439EF57E}">
      <dsp:nvSpPr>
        <dsp:cNvPr id="0" name=""/>
        <dsp:cNvSpPr/>
      </dsp:nvSpPr>
      <dsp:spPr>
        <a:xfrm>
          <a:off x="3685387" y="461395"/>
          <a:ext cx="429111" cy="33242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685387" y="527880"/>
        <a:ext cx="329384" cy="199455"/>
      </dsp:txXfrm>
    </dsp:sp>
    <dsp:sp modelId="{2C8150F9-BF60-4D1C-8DAE-B367CFAD8F28}">
      <dsp:nvSpPr>
        <dsp:cNvPr id="0" name=""/>
        <dsp:cNvSpPr/>
      </dsp:nvSpPr>
      <dsp:spPr>
        <a:xfrm>
          <a:off x="4292621" y="373043"/>
          <a:ext cx="1335197" cy="7636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49530" numCol="1" spcCol="1270" anchor="t" anchorCtr="0">
          <a:noAutofit/>
        </a:bodyPr>
        <a:lstStyle/>
        <a:p>
          <a:pPr marL="0" lvl="0" indent="0" algn="l" defTabSz="577850">
            <a:lnSpc>
              <a:spcPct val="90000"/>
            </a:lnSpc>
            <a:spcBef>
              <a:spcPct val="0"/>
            </a:spcBef>
            <a:spcAft>
              <a:spcPct val="35000"/>
            </a:spcAft>
            <a:buNone/>
          </a:pPr>
          <a:r>
            <a:rPr lang="en-US" sz="1300" kern="1200"/>
            <a:t>Discount to NPV</a:t>
          </a:r>
        </a:p>
      </dsp:txBody>
      <dsp:txXfrm>
        <a:off x="4292621" y="373043"/>
        <a:ext cx="1335197" cy="509129"/>
      </dsp:txXfrm>
    </dsp:sp>
    <dsp:sp modelId="{5D70546D-8057-467A-A9CB-3A349A841580}">
      <dsp:nvSpPr>
        <dsp:cNvPr id="0" name=""/>
        <dsp:cNvSpPr/>
      </dsp:nvSpPr>
      <dsp:spPr>
        <a:xfrm>
          <a:off x="4566095" y="882172"/>
          <a:ext cx="1335197" cy="1591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US" sz="1050" kern="1200"/>
            <a:t>Aggregate revenues and expenses</a:t>
          </a:r>
        </a:p>
        <a:p>
          <a:pPr marL="57150" lvl="1" indent="-57150" algn="l" defTabSz="466725">
            <a:lnSpc>
              <a:spcPct val="90000"/>
            </a:lnSpc>
            <a:spcBef>
              <a:spcPct val="0"/>
            </a:spcBef>
            <a:spcAft>
              <a:spcPct val="15000"/>
            </a:spcAft>
            <a:buChar char="•"/>
          </a:pPr>
          <a:r>
            <a:rPr lang="en-US" sz="1050" kern="1200"/>
            <a:t>Convert to net present value (NPV)</a:t>
          </a:r>
        </a:p>
      </dsp:txBody>
      <dsp:txXfrm>
        <a:off x="4605202" y="921279"/>
        <a:ext cx="1256983" cy="151298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6F06C-9FF9-448E-A6D5-A6AFF6CF5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14031</Words>
  <Characters>76756</Characters>
  <Application>Microsoft Office Word</Application>
  <DocSecurity>0</DocSecurity>
  <Lines>1744</Lines>
  <Paragraphs>1068</Paragraphs>
  <ScaleCrop>false</ScaleCrop>
  <HeadingPairs>
    <vt:vector size="2" baseType="variant">
      <vt:variant>
        <vt:lpstr>Title</vt:lpstr>
      </vt:variant>
      <vt:variant>
        <vt:i4>1</vt:i4>
      </vt:variant>
    </vt:vector>
  </HeadingPairs>
  <TitlesOfParts>
    <vt:vector size="1" baseType="lpstr">
      <vt:lpstr>Treasury Paper: The lifetime fiscal impact of the Australian permanent migration program</vt:lpstr>
    </vt:vector>
  </TitlesOfParts>
  <Company/>
  <LinksUpToDate>false</LinksUpToDate>
  <CharactersWithSpaces>89719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Treasury Paper: The lifetime fiscal impact of the Australian permanent migration program</dc:title>
  <dc:subject/>
  <dc:creator/>
  <cp:keywords/>
  <cp:lastModifiedBy/>
  <cp:revision>1</cp:revision>
  <dcterms:created xsi:type="dcterms:W3CDTF">2021-12-02T23:24:00Z</dcterms:created>
  <dcterms:modified xsi:type="dcterms:W3CDTF">2021-12-06T05:05:00Z</dcterms:modified>
  <cp:category/>
</cp:coreProperties>
</file>