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00DB6" w14:textId="04BA58A2" w:rsidR="000E0B74" w:rsidRPr="006D0240" w:rsidRDefault="007E4C02" w:rsidP="008E6292">
      <w:bookmarkStart w:id="0" w:name="_GoBack"/>
      <w:bookmarkEnd w:id="0"/>
      <w:r>
        <w:t xml:space="preserve"> </w:t>
      </w:r>
    </w:p>
    <w:p w14:paraId="10FAE94B" w14:textId="77777777" w:rsidR="000E0B74" w:rsidRPr="006D0240" w:rsidRDefault="000E0B74" w:rsidP="001D4EAA">
      <w:pPr>
        <w:pStyle w:val="Crest"/>
        <w:spacing w:after="1320"/>
        <w:jc w:val="left"/>
      </w:pPr>
    </w:p>
    <w:p w14:paraId="04D4A47D" w14:textId="2F8F2814" w:rsidR="000E0B74" w:rsidRPr="001D4EAA" w:rsidRDefault="00922F9D" w:rsidP="001D4EAA">
      <w:pPr>
        <w:pStyle w:val="Title"/>
      </w:pPr>
      <w:r>
        <w:t>Modernising Registry Fees</w:t>
      </w:r>
    </w:p>
    <w:p w14:paraId="6CB6F266" w14:textId="7ECA63FA" w:rsidR="000E0B74" w:rsidRPr="001D4EAA" w:rsidRDefault="00F8291C" w:rsidP="001D4EAA">
      <w:pPr>
        <w:pStyle w:val="Subtitle"/>
      </w:pPr>
      <w:r>
        <w:t>Exploring o</w:t>
      </w:r>
      <w:r w:rsidR="00D83B78">
        <w:t>pportunities to improve fee structures</w:t>
      </w:r>
      <w:r w:rsidR="00C4281A">
        <w:t xml:space="preserve"> for the Australian Business Registry Services</w:t>
      </w:r>
    </w:p>
    <w:p w14:paraId="417E2C97" w14:textId="649F5301" w:rsidR="00056880" w:rsidRDefault="00507B33" w:rsidP="001D4EAA">
      <w:pPr>
        <w:pStyle w:val="ReportDate"/>
        <w:rPr>
          <w:rFonts w:ascii="Rockwell" w:hAnsi="Rockwell"/>
          <w:sz w:val="24"/>
        </w:rPr>
      </w:pPr>
      <w:r>
        <w:rPr>
          <w:rStyle w:val="ReportDateChar"/>
        </w:rPr>
        <w:t>December</w:t>
      </w:r>
      <w:r w:rsidR="00922F9D">
        <w:rPr>
          <w:rStyle w:val="ReportDateChar"/>
        </w:rPr>
        <w:t xml:space="preserve"> 202</w:t>
      </w:r>
      <w:r w:rsidR="00E87D69">
        <w:rPr>
          <w:rStyle w:val="ReportDateChar"/>
        </w:rPr>
        <w:t>1</w:t>
      </w:r>
    </w:p>
    <w:p w14:paraId="2081684F" w14:textId="77777777" w:rsidR="002F617F" w:rsidRPr="001D4EAA" w:rsidRDefault="002F617F" w:rsidP="001D4EAA">
      <w:pPr>
        <w:spacing w:after="6000"/>
      </w:pPr>
    </w:p>
    <w:p w14:paraId="1F8B752B" w14:textId="77777777" w:rsidR="002F617F" w:rsidRDefault="002F617F"/>
    <w:p w14:paraId="1AAB61C2" w14:textId="77777777" w:rsidR="000E0B74" w:rsidRDefault="000E0B74" w:rsidP="000E0B74">
      <w:pPr>
        <w:rPr>
          <w:rFonts w:cs="Calibri"/>
          <w:sz w:val="20"/>
        </w:rPr>
      </w:pPr>
    </w:p>
    <w:p w14:paraId="3BD221F9"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076E26C6" w14:textId="0E9BE91A" w:rsidR="000E0B74" w:rsidRDefault="000E0B74" w:rsidP="000E0B74">
      <w:pPr>
        <w:spacing w:before="240"/>
      </w:pPr>
      <w:r w:rsidRPr="00661BF0">
        <w:lastRenderedPageBreak/>
        <w:t xml:space="preserve">© Commonwealth of Australia </w:t>
      </w:r>
      <w:r w:rsidRPr="00507B33">
        <w:t>20</w:t>
      </w:r>
      <w:r w:rsidR="00EF2FBF" w:rsidRPr="00507B33">
        <w:t>2</w:t>
      </w:r>
      <w:r w:rsidR="00922F9D">
        <w:t>1</w:t>
      </w:r>
    </w:p>
    <w:p w14:paraId="27D24130" w14:textId="68522D42"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481B9E50" w14:textId="77777777" w:rsidR="000E0B74" w:rsidRDefault="000E0B74" w:rsidP="000E0B74">
      <w:pPr>
        <w:pStyle w:val="ChartGraphic"/>
        <w:jc w:val="left"/>
      </w:pPr>
      <w:r w:rsidRPr="00E56DFB">
        <w:rPr>
          <w:noProof/>
          <w:lang w:eastAsia="zh-CN"/>
        </w:rPr>
        <w:drawing>
          <wp:inline distT="0" distB="0" distL="0" distR="0" wp14:anchorId="6F7E5F5F" wp14:editId="5E1DB44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6952EA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42C142A"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0E5205"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26D5D97" w14:textId="5FE7E090" w:rsidR="000E0B74" w:rsidRPr="00A13A11" w:rsidRDefault="000E0B74" w:rsidP="000E0B74">
      <w:pPr>
        <w:ind w:firstLine="720"/>
      </w:pPr>
      <w:r w:rsidRPr="002F1BC2">
        <w:rPr>
          <w:i/>
        </w:rPr>
        <w:t xml:space="preserve">Source: The </w:t>
      </w:r>
      <w:r w:rsidRPr="002F1BC2">
        <w:rPr>
          <w:i/>
          <w:iCs/>
        </w:rPr>
        <w:t>Australian Government the Treasury</w:t>
      </w:r>
      <w:r>
        <w:t>.</w:t>
      </w:r>
    </w:p>
    <w:p w14:paraId="38AC202E"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E5B52A4"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07E2476" w14:textId="1AC2FC7A" w:rsidR="000E0B74" w:rsidRPr="006627B4" w:rsidRDefault="000E0B74" w:rsidP="000E0B74">
      <w:pPr>
        <w:ind w:firstLine="720"/>
      </w:pPr>
      <w:r w:rsidRPr="002F1BC2">
        <w:rPr>
          <w:i/>
        </w:rPr>
        <w:t>Based on The Australian Government the Treasury data</w:t>
      </w:r>
      <w:r>
        <w:t>.</w:t>
      </w:r>
    </w:p>
    <w:p w14:paraId="12499644" w14:textId="77777777" w:rsidR="000E0B74" w:rsidRPr="006627B4" w:rsidRDefault="000E0B74" w:rsidP="000E0B74">
      <w:pPr>
        <w:spacing w:before="240"/>
        <w:rPr>
          <w:b/>
        </w:rPr>
      </w:pPr>
      <w:r w:rsidRPr="006627B4">
        <w:rPr>
          <w:b/>
        </w:rPr>
        <w:t>Use of the Coat of Arms</w:t>
      </w:r>
    </w:p>
    <w:p w14:paraId="2C16688D" w14:textId="4719D00E"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0095317D">
          <w:rPr>
            <w:rStyle w:val="Hyperlink"/>
          </w:rPr>
          <w:t>www.pmc.gov.au/government/commonwealth-coat-arms</w:t>
        </w:r>
      </w:hyperlink>
      <w:r w:rsidRPr="004A7BC2">
        <w:t>).</w:t>
      </w:r>
    </w:p>
    <w:p w14:paraId="72B5A563" w14:textId="77777777" w:rsidR="000E0B74" w:rsidRPr="006627B4" w:rsidRDefault="000E0B74" w:rsidP="000E0B74">
      <w:pPr>
        <w:spacing w:before="240"/>
        <w:rPr>
          <w:b/>
        </w:rPr>
      </w:pPr>
      <w:r>
        <w:rPr>
          <w:b/>
        </w:rPr>
        <w:t>Other u</w:t>
      </w:r>
      <w:r w:rsidRPr="006627B4">
        <w:rPr>
          <w:b/>
        </w:rPr>
        <w:t>ses</w:t>
      </w:r>
    </w:p>
    <w:p w14:paraId="3D96C1B3" w14:textId="77777777" w:rsidR="000E0B74" w:rsidRPr="006627B4" w:rsidRDefault="000E0B74" w:rsidP="000E0B74">
      <w:r>
        <w:t>E</w:t>
      </w:r>
      <w:r w:rsidRPr="006627B4">
        <w:t>nquiries regarding this licence and any other use of this document are welcome at:</w:t>
      </w:r>
    </w:p>
    <w:p w14:paraId="5B91B7E2"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00483A5D"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6DF3AC6B" w14:textId="77777777" w:rsidR="000E0B74" w:rsidRPr="00354FBB" w:rsidRDefault="000E0B74" w:rsidP="00354FBB">
      <w:pPr>
        <w:pStyle w:val="Heading1"/>
      </w:pPr>
      <w:bookmarkStart w:id="1" w:name="_Toc90913082"/>
      <w:r w:rsidRPr="00354FBB">
        <w:lastRenderedPageBreak/>
        <w:t>Contents</w:t>
      </w:r>
      <w:bookmarkEnd w:id="1"/>
    </w:p>
    <w:p w14:paraId="2F858AD7" w14:textId="32D6CA7D" w:rsidR="0034746F"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0913082" w:history="1">
        <w:r w:rsidR="0034746F" w:rsidRPr="00314C99">
          <w:rPr>
            <w:rStyle w:val="Hyperlink"/>
          </w:rPr>
          <w:t>Contents</w:t>
        </w:r>
        <w:r w:rsidR="0034746F">
          <w:rPr>
            <w:webHidden/>
          </w:rPr>
          <w:tab/>
        </w:r>
        <w:r w:rsidR="0034746F">
          <w:rPr>
            <w:webHidden/>
          </w:rPr>
          <w:fldChar w:fldCharType="begin"/>
        </w:r>
        <w:r w:rsidR="0034746F">
          <w:rPr>
            <w:webHidden/>
          </w:rPr>
          <w:instrText xml:space="preserve"> PAGEREF _Toc90913082 \h </w:instrText>
        </w:r>
        <w:r w:rsidR="0034746F">
          <w:rPr>
            <w:webHidden/>
          </w:rPr>
        </w:r>
        <w:r w:rsidR="0034746F">
          <w:rPr>
            <w:webHidden/>
          </w:rPr>
          <w:fldChar w:fldCharType="separate"/>
        </w:r>
        <w:r w:rsidR="0034746F">
          <w:rPr>
            <w:webHidden/>
          </w:rPr>
          <w:t>iii</w:t>
        </w:r>
        <w:r w:rsidR="0034746F">
          <w:rPr>
            <w:webHidden/>
          </w:rPr>
          <w:fldChar w:fldCharType="end"/>
        </w:r>
      </w:hyperlink>
    </w:p>
    <w:p w14:paraId="312C2FF9" w14:textId="62EB3B1E" w:rsidR="0034746F" w:rsidRDefault="001F1913">
      <w:pPr>
        <w:pStyle w:val="TOC1"/>
        <w:rPr>
          <w:rFonts w:asciiTheme="minorHAnsi" w:eastAsiaTheme="minorEastAsia" w:hAnsiTheme="minorHAnsi" w:cstheme="minorBidi"/>
          <w:b w:val="0"/>
          <w:color w:val="auto"/>
        </w:rPr>
      </w:pPr>
      <w:hyperlink w:anchor="_Toc90913083" w:history="1">
        <w:r w:rsidR="0034746F" w:rsidRPr="00314C99">
          <w:rPr>
            <w:rStyle w:val="Hyperlink"/>
          </w:rPr>
          <w:t>Consultation Process</w:t>
        </w:r>
        <w:r w:rsidR="0034746F">
          <w:rPr>
            <w:webHidden/>
          </w:rPr>
          <w:tab/>
        </w:r>
        <w:r w:rsidR="0034746F">
          <w:rPr>
            <w:webHidden/>
          </w:rPr>
          <w:fldChar w:fldCharType="begin"/>
        </w:r>
        <w:r w:rsidR="0034746F">
          <w:rPr>
            <w:webHidden/>
          </w:rPr>
          <w:instrText xml:space="preserve"> PAGEREF _Toc90913083 \h </w:instrText>
        </w:r>
        <w:r w:rsidR="0034746F">
          <w:rPr>
            <w:webHidden/>
          </w:rPr>
        </w:r>
        <w:r w:rsidR="0034746F">
          <w:rPr>
            <w:webHidden/>
          </w:rPr>
          <w:fldChar w:fldCharType="separate"/>
        </w:r>
        <w:r w:rsidR="0034746F">
          <w:rPr>
            <w:webHidden/>
          </w:rPr>
          <w:t>1</w:t>
        </w:r>
        <w:r w:rsidR="0034746F">
          <w:rPr>
            <w:webHidden/>
          </w:rPr>
          <w:fldChar w:fldCharType="end"/>
        </w:r>
      </w:hyperlink>
    </w:p>
    <w:p w14:paraId="07394372" w14:textId="3C129C4D" w:rsidR="0034746F" w:rsidRDefault="001F1913">
      <w:pPr>
        <w:pStyle w:val="TOC2"/>
        <w:rPr>
          <w:rFonts w:asciiTheme="minorHAnsi" w:eastAsiaTheme="minorEastAsia" w:hAnsiTheme="minorHAnsi" w:cstheme="minorBidi"/>
          <w:color w:val="auto"/>
          <w:szCs w:val="22"/>
        </w:rPr>
      </w:pPr>
      <w:hyperlink w:anchor="_Toc90913084" w:history="1">
        <w:r w:rsidR="0034746F" w:rsidRPr="00314C99">
          <w:rPr>
            <w:rStyle w:val="Hyperlink"/>
          </w:rPr>
          <w:t>Request for feedback and comments</w:t>
        </w:r>
        <w:r w:rsidR="0034746F">
          <w:rPr>
            <w:webHidden/>
          </w:rPr>
          <w:tab/>
        </w:r>
        <w:r w:rsidR="0034746F">
          <w:rPr>
            <w:webHidden/>
          </w:rPr>
          <w:fldChar w:fldCharType="begin"/>
        </w:r>
        <w:r w:rsidR="0034746F">
          <w:rPr>
            <w:webHidden/>
          </w:rPr>
          <w:instrText xml:space="preserve"> PAGEREF _Toc90913084 \h </w:instrText>
        </w:r>
        <w:r w:rsidR="0034746F">
          <w:rPr>
            <w:webHidden/>
          </w:rPr>
        </w:r>
        <w:r w:rsidR="0034746F">
          <w:rPr>
            <w:webHidden/>
          </w:rPr>
          <w:fldChar w:fldCharType="separate"/>
        </w:r>
        <w:r w:rsidR="0034746F">
          <w:rPr>
            <w:webHidden/>
          </w:rPr>
          <w:t>1</w:t>
        </w:r>
        <w:r w:rsidR="0034746F">
          <w:rPr>
            <w:webHidden/>
          </w:rPr>
          <w:fldChar w:fldCharType="end"/>
        </w:r>
      </w:hyperlink>
    </w:p>
    <w:p w14:paraId="3ADD13AD" w14:textId="1CCE417E" w:rsidR="0034746F" w:rsidRDefault="001F1913">
      <w:pPr>
        <w:pStyle w:val="TOC2"/>
        <w:rPr>
          <w:rFonts w:asciiTheme="minorHAnsi" w:eastAsiaTheme="minorEastAsia" w:hAnsiTheme="minorHAnsi" w:cstheme="minorBidi"/>
          <w:color w:val="auto"/>
          <w:szCs w:val="22"/>
        </w:rPr>
      </w:pPr>
      <w:hyperlink w:anchor="_Toc90913085" w:history="1">
        <w:r w:rsidR="0034746F" w:rsidRPr="00314C99">
          <w:rPr>
            <w:rStyle w:val="Hyperlink"/>
          </w:rPr>
          <w:t>Publication of submissions and confidentiality</w:t>
        </w:r>
        <w:r w:rsidR="0034746F">
          <w:rPr>
            <w:webHidden/>
          </w:rPr>
          <w:tab/>
        </w:r>
        <w:r w:rsidR="0034746F">
          <w:rPr>
            <w:webHidden/>
          </w:rPr>
          <w:fldChar w:fldCharType="begin"/>
        </w:r>
        <w:r w:rsidR="0034746F">
          <w:rPr>
            <w:webHidden/>
          </w:rPr>
          <w:instrText xml:space="preserve"> PAGEREF _Toc90913085 \h </w:instrText>
        </w:r>
        <w:r w:rsidR="0034746F">
          <w:rPr>
            <w:webHidden/>
          </w:rPr>
        </w:r>
        <w:r w:rsidR="0034746F">
          <w:rPr>
            <w:webHidden/>
          </w:rPr>
          <w:fldChar w:fldCharType="separate"/>
        </w:r>
        <w:r w:rsidR="0034746F">
          <w:rPr>
            <w:webHidden/>
          </w:rPr>
          <w:t>1</w:t>
        </w:r>
        <w:r w:rsidR="0034746F">
          <w:rPr>
            <w:webHidden/>
          </w:rPr>
          <w:fldChar w:fldCharType="end"/>
        </w:r>
      </w:hyperlink>
    </w:p>
    <w:p w14:paraId="4E48B494" w14:textId="26DE9014" w:rsidR="0034746F" w:rsidRDefault="001F1913">
      <w:pPr>
        <w:pStyle w:val="TOC2"/>
        <w:rPr>
          <w:rFonts w:asciiTheme="minorHAnsi" w:eastAsiaTheme="minorEastAsia" w:hAnsiTheme="minorHAnsi" w:cstheme="minorBidi"/>
          <w:color w:val="auto"/>
          <w:szCs w:val="22"/>
        </w:rPr>
      </w:pPr>
      <w:hyperlink w:anchor="_Toc90913086" w:history="1">
        <w:r w:rsidR="0034746F" w:rsidRPr="00314C99">
          <w:rPr>
            <w:rStyle w:val="Hyperlink"/>
          </w:rPr>
          <w:t>Further consultation process</w:t>
        </w:r>
        <w:r w:rsidR="0034746F">
          <w:rPr>
            <w:webHidden/>
          </w:rPr>
          <w:tab/>
        </w:r>
        <w:r w:rsidR="0034746F">
          <w:rPr>
            <w:webHidden/>
          </w:rPr>
          <w:fldChar w:fldCharType="begin"/>
        </w:r>
        <w:r w:rsidR="0034746F">
          <w:rPr>
            <w:webHidden/>
          </w:rPr>
          <w:instrText xml:space="preserve"> PAGEREF _Toc90913086 \h </w:instrText>
        </w:r>
        <w:r w:rsidR="0034746F">
          <w:rPr>
            <w:webHidden/>
          </w:rPr>
        </w:r>
        <w:r w:rsidR="0034746F">
          <w:rPr>
            <w:webHidden/>
          </w:rPr>
          <w:fldChar w:fldCharType="separate"/>
        </w:r>
        <w:r w:rsidR="0034746F">
          <w:rPr>
            <w:webHidden/>
          </w:rPr>
          <w:t>1</w:t>
        </w:r>
        <w:r w:rsidR="0034746F">
          <w:rPr>
            <w:webHidden/>
          </w:rPr>
          <w:fldChar w:fldCharType="end"/>
        </w:r>
      </w:hyperlink>
    </w:p>
    <w:p w14:paraId="56447EB6" w14:textId="2B151255" w:rsidR="0034746F" w:rsidRDefault="001F1913">
      <w:pPr>
        <w:pStyle w:val="TOC1"/>
        <w:rPr>
          <w:rFonts w:asciiTheme="minorHAnsi" w:eastAsiaTheme="minorEastAsia" w:hAnsiTheme="minorHAnsi" w:cstheme="minorBidi"/>
          <w:b w:val="0"/>
          <w:color w:val="auto"/>
        </w:rPr>
      </w:pPr>
      <w:hyperlink w:anchor="_Toc90913087" w:history="1">
        <w:r w:rsidR="0034746F" w:rsidRPr="00314C99">
          <w:rPr>
            <w:rStyle w:val="Hyperlink"/>
          </w:rPr>
          <w:t>Review of Registry Fees</w:t>
        </w:r>
        <w:r w:rsidR="0034746F">
          <w:rPr>
            <w:webHidden/>
          </w:rPr>
          <w:tab/>
        </w:r>
        <w:r w:rsidR="0034746F">
          <w:rPr>
            <w:webHidden/>
          </w:rPr>
          <w:fldChar w:fldCharType="begin"/>
        </w:r>
        <w:r w:rsidR="0034746F">
          <w:rPr>
            <w:webHidden/>
          </w:rPr>
          <w:instrText xml:space="preserve"> PAGEREF _Toc90913087 \h </w:instrText>
        </w:r>
        <w:r w:rsidR="0034746F">
          <w:rPr>
            <w:webHidden/>
          </w:rPr>
        </w:r>
        <w:r w:rsidR="0034746F">
          <w:rPr>
            <w:webHidden/>
          </w:rPr>
          <w:fldChar w:fldCharType="separate"/>
        </w:r>
        <w:r w:rsidR="0034746F">
          <w:rPr>
            <w:webHidden/>
          </w:rPr>
          <w:t>2</w:t>
        </w:r>
        <w:r w:rsidR="0034746F">
          <w:rPr>
            <w:webHidden/>
          </w:rPr>
          <w:fldChar w:fldCharType="end"/>
        </w:r>
      </w:hyperlink>
    </w:p>
    <w:p w14:paraId="1CBDEA01" w14:textId="15908119" w:rsidR="0034746F" w:rsidRDefault="001F1913">
      <w:pPr>
        <w:pStyle w:val="TOC3"/>
        <w:rPr>
          <w:rFonts w:asciiTheme="minorHAnsi" w:eastAsiaTheme="minorEastAsia" w:hAnsiTheme="minorHAnsi" w:cstheme="minorBidi"/>
          <w:color w:val="auto"/>
          <w:szCs w:val="22"/>
        </w:rPr>
      </w:pPr>
      <w:hyperlink w:anchor="_Toc90913088" w:history="1">
        <w:r w:rsidR="0034746F" w:rsidRPr="00314C99">
          <w:rPr>
            <w:rStyle w:val="Hyperlink"/>
          </w:rPr>
          <w:t>Scope</w:t>
        </w:r>
        <w:r w:rsidR="0034746F">
          <w:rPr>
            <w:webHidden/>
          </w:rPr>
          <w:tab/>
        </w:r>
        <w:r w:rsidR="0034746F">
          <w:rPr>
            <w:webHidden/>
          </w:rPr>
          <w:fldChar w:fldCharType="begin"/>
        </w:r>
        <w:r w:rsidR="0034746F">
          <w:rPr>
            <w:webHidden/>
          </w:rPr>
          <w:instrText xml:space="preserve"> PAGEREF _Toc90913088 \h </w:instrText>
        </w:r>
        <w:r w:rsidR="0034746F">
          <w:rPr>
            <w:webHidden/>
          </w:rPr>
        </w:r>
        <w:r w:rsidR="0034746F">
          <w:rPr>
            <w:webHidden/>
          </w:rPr>
          <w:fldChar w:fldCharType="separate"/>
        </w:r>
        <w:r w:rsidR="0034746F">
          <w:rPr>
            <w:webHidden/>
          </w:rPr>
          <w:t>4</w:t>
        </w:r>
        <w:r w:rsidR="0034746F">
          <w:rPr>
            <w:webHidden/>
          </w:rPr>
          <w:fldChar w:fldCharType="end"/>
        </w:r>
      </w:hyperlink>
    </w:p>
    <w:p w14:paraId="3CC6F2B1" w14:textId="6AD61878" w:rsidR="0034746F" w:rsidRDefault="001F1913">
      <w:pPr>
        <w:pStyle w:val="TOC3"/>
        <w:rPr>
          <w:rFonts w:asciiTheme="minorHAnsi" w:eastAsiaTheme="minorEastAsia" w:hAnsiTheme="minorHAnsi" w:cstheme="minorBidi"/>
          <w:color w:val="auto"/>
          <w:szCs w:val="22"/>
        </w:rPr>
      </w:pPr>
      <w:hyperlink w:anchor="_Toc90913089" w:history="1">
        <w:r w:rsidR="0034746F" w:rsidRPr="00314C99">
          <w:rPr>
            <w:rStyle w:val="Hyperlink"/>
          </w:rPr>
          <w:t>Objectives of this consultation</w:t>
        </w:r>
        <w:r w:rsidR="0034746F">
          <w:rPr>
            <w:webHidden/>
          </w:rPr>
          <w:tab/>
        </w:r>
        <w:r w:rsidR="0034746F">
          <w:rPr>
            <w:webHidden/>
          </w:rPr>
          <w:fldChar w:fldCharType="begin"/>
        </w:r>
        <w:r w:rsidR="0034746F">
          <w:rPr>
            <w:webHidden/>
          </w:rPr>
          <w:instrText xml:space="preserve"> PAGEREF _Toc90913089 \h </w:instrText>
        </w:r>
        <w:r w:rsidR="0034746F">
          <w:rPr>
            <w:webHidden/>
          </w:rPr>
        </w:r>
        <w:r w:rsidR="0034746F">
          <w:rPr>
            <w:webHidden/>
          </w:rPr>
          <w:fldChar w:fldCharType="separate"/>
        </w:r>
        <w:r w:rsidR="0034746F">
          <w:rPr>
            <w:webHidden/>
          </w:rPr>
          <w:t>4</w:t>
        </w:r>
        <w:r w:rsidR="0034746F">
          <w:rPr>
            <w:webHidden/>
          </w:rPr>
          <w:fldChar w:fldCharType="end"/>
        </w:r>
      </w:hyperlink>
    </w:p>
    <w:p w14:paraId="37595155" w14:textId="00C957A3" w:rsidR="0034746F" w:rsidRDefault="001F1913">
      <w:pPr>
        <w:pStyle w:val="TOC2"/>
        <w:rPr>
          <w:rFonts w:asciiTheme="minorHAnsi" w:eastAsiaTheme="minorEastAsia" w:hAnsiTheme="minorHAnsi" w:cstheme="minorBidi"/>
          <w:color w:val="auto"/>
          <w:szCs w:val="22"/>
        </w:rPr>
      </w:pPr>
      <w:hyperlink w:anchor="_Toc90913090" w:history="1">
        <w:r w:rsidR="0034746F" w:rsidRPr="00314C99">
          <w:rPr>
            <w:rStyle w:val="Hyperlink"/>
          </w:rPr>
          <w:t>Potential fee reforms</w:t>
        </w:r>
        <w:r w:rsidR="0034746F">
          <w:rPr>
            <w:webHidden/>
          </w:rPr>
          <w:tab/>
        </w:r>
        <w:r w:rsidR="0034746F">
          <w:rPr>
            <w:webHidden/>
          </w:rPr>
          <w:fldChar w:fldCharType="begin"/>
        </w:r>
        <w:r w:rsidR="0034746F">
          <w:rPr>
            <w:webHidden/>
          </w:rPr>
          <w:instrText xml:space="preserve"> PAGEREF _Toc90913090 \h </w:instrText>
        </w:r>
        <w:r w:rsidR="0034746F">
          <w:rPr>
            <w:webHidden/>
          </w:rPr>
        </w:r>
        <w:r w:rsidR="0034746F">
          <w:rPr>
            <w:webHidden/>
          </w:rPr>
          <w:fldChar w:fldCharType="separate"/>
        </w:r>
        <w:r w:rsidR="0034746F">
          <w:rPr>
            <w:webHidden/>
          </w:rPr>
          <w:t>4</w:t>
        </w:r>
        <w:r w:rsidR="0034746F">
          <w:rPr>
            <w:webHidden/>
          </w:rPr>
          <w:fldChar w:fldCharType="end"/>
        </w:r>
      </w:hyperlink>
    </w:p>
    <w:p w14:paraId="78920C55" w14:textId="2E90F54C" w:rsidR="0034746F" w:rsidRDefault="001F1913">
      <w:pPr>
        <w:pStyle w:val="TOC3"/>
        <w:rPr>
          <w:rFonts w:asciiTheme="minorHAnsi" w:eastAsiaTheme="minorEastAsia" w:hAnsiTheme="minorHAnsi" w:cstheme="minorBidi"/>
          <w:color w:val="auto"/>
          <w:szCs w:val="22"/>
        </w:rPr>
      </w:pPr>
      <w:hyperlink w:anchor="_Toc90913091" w:history="1">
        <w:r w:rsidR="0034746F" w:rsidRPr="00314C99">
          <w:rPr>
            <w:rStyle w:val="Hyperlink"/>
          </w:rPr>
          <w:t>Search fees</w:t>
        </w:r>
        <w:r w:rsidR="0034746F">
          <w:rPr>
            <w:webHidden/>
          </w:rPr>
          <w:tab/>
        </w:r>
        <w:r w:rsidR="0034746F">
          <w:rPr>
            <w:webHidden/>
          </w:rPr>
          <w:fldChar w:fldCharType="begin"/>
        </w:r>
        <w:r w:rsidR="0034746F">
          <w:rPr>
            <w:webHidden/>
          </w:rPr>
          <w:instrText xml:space="preserve"> PAGEREF _Toc90913091 \h </w:instrText>
        </w:r>
        <w:r w:rsidR="0034746F">
          <w:rPr>
            <w:webHidden/>
          </w:rPr>
        </w:r>
        <w:r w:rsidR="0034746F">
          <w:rPr>
            <w:webHidden/>
          </w:rPr>
          <w:fldChar w:fldCharType="separate"/>
        </w:r>
        <w:r w:rsidR="0034746F">
          <w:rPr>
            <w:webHidden/>
          </w:rPr>
          <w:t>5</w:t>
        </w:r>
        <w:r w:rsidR="0034746F">
          <w:rPr>
            <w:webHidden/>
          </w:rPr>
          <w:fldChar w:fldCharType="end"/>
        </w:r>
      </w:hyperlink>
    </w:p>
    <w:p w14:paraId="15F00CA5" w14:textId="73A7B2BE" w:rsidR="0034746F" w:rsidRDefault="001F1913">
      <w:pPr>
        <w:pStyle w:val="TOC3"/>
        <w:rPr>
          <w:rFonts w:asciiTheme="minorHAnsi" w:eastAsiaTheme="minorEastAsia" w:hAnsiTheme="minorHAnsi" w:cstheme="minorBidi"/>
          <w:color w:val="auto"/>
          <w:szCs w:val="22"/>
        </w:rPr>
      </w:pPr>
      <w:hyperlink w:anchor="_Toc90913092" w:history="1">
        <w:r w:rsidR="0034746F" w:rsidRPr="00314C99">
          <w:rPr>
            <w:rStyle w:val="Hyperlink"/>
          </w:rPr>
          <w:t>Infrastructure fees</w:t>
        </w:r>
        <w:r w:rsidR="0034746F">
          <w:rPr>
            <w:webHidden/>
          </w:rPr>
          <w:tab/>
        </w:r>
        <w:r w:rsidR="0034746F">
          <w:rPr>
            <w:webHidden/>
          </w:rPr>
          <w:fldChar w:fldCharType="begin"/>
        </w:r>
        <w:r w:rsidR="0034746F">
          <w:rPr>
            <w:webHidden/>
          </w:rPr>
          <w:instrText xml:space="preserve"> PAGEREF _Toc90913092 \h </w:instrText>
        </w:r>
        <w:r w:rsidR="0034746F">
          <w:rPr>
            <w:webHidden/>
          </w:rPr>
        </w:r>
        <w:r w:rsidR="0034746F">
          <w:rPr>
            <w:webHidden/>
          </w:rPr>
          <w:fldChar w:fldCharType="separate"/>
        </w:r>
        <w:r w:rsidR="0034746F">
          <w:rPr>
            <w:webHidden/>
          </w:rPr>
          <w:t>6</w:t>
        </w:r>
        <w:r w:rsidR="0034746F">
          <w:rPr>
            <w:webHidden/>
          </w:rPr>
          <w:fldChar w:fldCharType="end"/>
        </w:r>
      </w:hyperlink>
    </w:p>
    <w:p w14:paraId="3521E1D8" w14:textId="66263015" w:rsidR="0034746F" w:rsidRDefault="001F1913">
      <w:pPr>
        <w:pStyle w:val="TOC3"/>
        <w:rPr>
          <w:rFonts w:asciiTheme="minorHAnsi" w:eastAsiaTheme="minorEastAsia" w:hAnsiTheme="minorHAnsi" w:cstheme="minorBidi"/>
          <w:color w:val="auto"/>
          <w:szCs w:val="22"/>
        </w:rPr>
      </w:pPr>
      <w:hyperlink w:anchor="_Toc90913093" w:history="1">
        <w:r w:rsidR="0034746F" w:rsidRPr="00314C99">
          <w:rPr>
            <w:rStyle w:val="Hyperlink"/>
          </w:rPr>
          <w:t>Late fees</w:t>
        </w:r>
        <w:r w:rsidR="0034746F">
          <w:rPr>
            <w:webHidden/>
          </w:rPr>
          <w:tab/>
        </w:r>
        <w:r w:rsidR="0034746F">
          <w:rPr>
            <w:webHidden/>
          </w:rPr>
          <w:fldChar w:fldCharType="begin"/>
        </w:r>
        <w:r w:rsidR="0034746F">
          <w:rPr>
            <w:webHidden/>
          </w:rPr>
          <w:instrText xml:space="preserve"> PAGEREF _Toc90913093 \h </w:instrText>
        </w:r>
        <w:r w:rsidR="0034746F">
          <w:rPr>
            <w:webHidden/>
          </w:rPr>
        </w:r>
        <w:r w:rsidR="0034746F">
          <w:rPr>
            <w:webHidden/>
          </w:rPr>
          <w:fldChar w:fldCharType="separate"/>
        </w:r>
        <w:r w:rsidR="0034746F">
          <w:rPr>
            <w:webHidden/>
          </w:rPr>
          <w:t>6</w:t>
        </w:r>
        <w:r w:rsidR="0034746F">
          <w:rPr>
            <w:webHidden/>
          </w:rPr>
          <w:fldChar w:fldCharType="end"/>
        </w:r>
      </w:hyperlink>
    </w:p>
    <w:p w14:paraId="6FE1F561" w14:textId="76F2F71D" w:rsidR="0034746F" w:rsidRDefault="001F1913">
      <w:pPr>
        <w:pStyle w:val="TOC3"/>
        <w:rPr>
          <w:rFonts w:asciiTheme="minorHAnsi" w:eastAsiaTheme="minorEastAsia" w:hAnsiTheme="minorHAnsi" w:cstheme="minorBidi"/>
          <w:color w:val="auto"/>
          <w:szCs w:val="22"/>
        </w:rPr>
      </w:pPr>
      <w:hyperlink w:anchor="_Toc90913094" w:history="1">
        <w:r w:rsidR="0034746F" w:rsidRPr="00314C99">
          <w:rPr>
            <w:rStyle w:val="Hyperlink"/>
          </w:rPr>
          <w:t>Lifecycle fees</w:t>
        </w:r>
        <w:r w:rsidR="0034746F">
          <w:rPr>
            <w:webHidden/>
          </w:rPr>
          <w:tab/>
        </w:r>
        <w:r w:rsidR="0034746F">
          <w:rPr>
            <w:webHidden/>
          </w:rPr>
          <w:fldChar w:fldCharType="begin"/>
        </w:r>
        <w:r w:rsidR="0034746F">
          <w:rPr>
            <w:webHidden/>
          </w:rPr>
          <w:instrText xml:space="preserve"> PAGEREF _Toc90913094 \h </w:instrText>
        </w:r>
        <w:r w:rsidR="0034746F">
          <w:rPr>
            <w:webHidden/>
          </w:rPr>
        </w:r>
        <w:r w:rsidR="0034746F">
          <w:rPr>
            <w:webHidden/>
          </w:rPr>
          <w:fldChar w:fldCharType="separate"/>
        </w:r>
        <w:r w:rsidR="0034746F">
          <w:rPr>
            <w:webHidden/>
          </w:rPr>
          <w:t>8</w:t>
        </w:r>
        <w:r w:rsidR="0034746F">
          <w:rPr>
            <w:webHidden/>
          </w:rPr>
          <w:fldChar w:fldCharType="end"/>
        </w:r>
      </w:hyperlink>
    </w:p>
    <w:p w14:paraId="4A8F893E" w14:textId="04C16430" w:rsidR="0034746F" w:rsidRDefault="001F1913">
      <w:pPr>
        <w:pStyle w:val="TOC3"/>
        <w:rPr>
          <w:rFonts w:asciiTheme="minorHAnsi" w:eastAsiaTheme="minorEastAsia" w:hAnsiTheme="minorHAnsi" w:cstheme="minorBidi"/>
          <w:color w:val="auto"/>
          <w:szCs w:val="22"/>
        </w:rPr>
      </w:pPr>
      <w:hyperlink w:anchor="_Toc90913095" w:history="1">
        <w:r w:rsidR="0034746F" w:rsidRPr="00314C99">
          <w:rPr>
            <w:rStyle w:val="Hyperlink"/>
          </w:rPr>
          <w:t>Consultation question summary</w:t>
        </w:r>
        <w:r w:rsidR="0034746F">
          <w:rPr>
            <w:webHidden/>
          </w:rPr>
          <w:tab/>
        </w:r>
        <w:r w:rsidR="0034746F">
          <w:rPr>
            <w:webHidden/>
          </w:rPr>
          <w:fldChar w:fldCharType="begin"/>
        </w:r>
        <w:r w:rsidR="0034746F">
          <w:rPr>
            <w:webHidden/>
          </w:rPr>
          <w:instrText xml:space="preserve"> PAGEREF _Toc90913095 \h </w:instrText>
        </w:r>
        <w:r w:rsidR="0034746F">
          <w:rPr>
            <w:webHidden/>
          </w:rPr>
        </w:r>
        <w:r w:rsidR="0034746F">
          <w:rPr>
            <w:webHidden/>
          </w:rPr>
          <w:fldChar w:fldCharType="separate"/>
        </w:r>
        <w:r w:rsidR="0034746F">
          <w:rPr>
            <w:webHidden/>
          </w:rPr>
          <w:t>9</w:t>
        </w:r>
        <w:r w:rsidR="0034746F">
          <w:rPr>
            <w:webHidden/>
          </w:rPr>
          <w:fldChar w:fldCharType="end"/>
        </w:r>
      </w:hyperlink>
    </w:p>
    <w:p w14:paraId="7F90E4DD" w14:textId="2365EBBD" w:rsidR="0034746F" w:rsidRDefault="001F1913">
      <w:pPr>
        <w:pStyle w:val="TOC2"/>
        <w:rPr>
          <w:rFonts w:asciiTheme="minorHAnsi" w:eastAsiaTheme="minorEastAsia" w:hAnsiTheme="minorHAnsi" w:cstheme="minorBidi"/>
          <w:color w:val="auto"/>
          <w:szCs w:val="22"/>
        </w:rPr>
      </w:pPr>
      <w:hyperlink w:anchor="_Toc90913096" w:history="1">
        <w:r w:rsidR="0034746F" w:rsidRPr="00314C99">
          <w:rPr>
            <w:rStyle w:val="Hyperlink"/>
          </w:rPr>
          <w:t>Appendices</w:t>
        </w:r>
        <w:r w:rsidR="0034746F">
          <w:rPr>
            <w:webHidden/>
          </w:rPr>
          <w:tab/>
        </w:r>
        <w:r w:rsidR="0034746F">
          <w:rPr>
            <w:webHidden/>
          </w:rPr>
          <w:fldChar w:fldCharType="begin"/>
        </w:r>
        <w:r w:rsidR="0034746F">
          <w:rPr>
            <w:webHidden/>
          </w:rPr>
          <w:instrText xml:space="preserve"> PAGEREF _Toc90913096 \h </w:instrText>
        </w:r>
        <w:r w:rsidR="0034746F">
          <w:rPr>
            <w:webHidden/>
          </w:rPr>
        </w:r>
        <w:r w:rsidR="0034746F">
          <w:rPr>
            <w:webHidden/>
          </w:rPr>
          <w:fldChar w:fldCharType="separate"/>
        </w:r>
        <w:r w:rsidR="0034746F">
          <w:rPr>
            <w:webHidden/>
          </w:rPr>
          <w:t>10</w:t>
        </w:r>
        <w:r w:rsidR="0034746F">
          <w:rPr>
            <w:webHidden/>
          </w:rPr>
          <w:fldChar w:fldCharType="end"/>
        </w:r>
      </w:hyperlink>
    </w:p>
    <w:p w14:paraId="74A8EE37" w14:textId="3B8C0EEF" w:rsidR="0034746F" w:rsidRDefault="001F1913">
      <w:pPr>
        <w:pStyle w:val="TOC3"/>
        <w:rPr>
          <w:rFonts w:asciiTheme="minorHAnsi" w:eastAsiaTheme="minorEastAsia" w:hAnsiTheme="minorHAnsi" w:cstheme="minorBidi"/>
          <w:color w:val="auto"/>
          <w:szCs w:val="22"/>
        </w:rPr>
      </w:pPr>
      <w:hyperlink w:anchor="_Toc90913097" w:history="1">
        <w:r w:rsidR="0034746F" w:rsidRPr="00314C99">
          <w:rPr>
            <w:rStyle w:val="Hyperlink"/>
          </w:rPr>
          <w:t>Appendix A – Current registry revenue</w:t>
        </w:r>
        <w:r w:rsidR="0034746F">
          <w:rPr>
            <w:webHidden/>
          </w:rPr>
          <w:tab/>
        </w:r>
        <w:r w:rsidR="0034746F">
          <w:rPr>
            <w:webHidden/>
          </w:rPr>
          <w:fldChar w:fldCharType="begin"/>
        </w:r>
        <w:r w:rsidR="0034746F">
          <w:rPr>
            <w:webHidden/>
          </w:rPr>
          <w:instrText xml:space="preserve"> PAGEREF _Toc90913097 \h </w:instrText>
        </w:r>
        <w:r w:rsidR="0034746F">
          <w:rPr>
            <w:webHidden/>
          </w:rPr>
        </w:r>
        <w:r w:rsidR="0034746F">
          <w:rPr>
            <w:webHidden/>
          </w:rPr>
          <w:fldChar w:fldCharType="separate"/>
        </w:r>
        <w:r w:rsidR="0034746F">
          <w:rPr>
            <w:webHidden/>
          </w:rPr>
          <w:t>10</w:t>
        </w:r>
        <w:r w:rsidR="0034746F">
          <w:rPr>
            <w:webHidden/>
          </w:rPr>
          <w:fldChar w:fldCharType="end"/>
        </w:r>
      </w:hyperlink>
    </w:p>
    <w:p w14:paraId="0FC79E9B" w14:textId="0E2CAE3A" w:rsidR="0034746F" w:rsidRDefault="001F1913">
      <w:pPr>
        <w:pStyle w:val="TOC3"/>
        <w:rPr>
          <w:rFonts w:asciiTheme="minorHAnsi" w:eastAsiaTheme="minorEastAsia" w:hAnsiTheme="minorHAnsi" w:cstheme="minorBidi"/>
          <w:color w:val="auto"/>
          <w:szCs w:val="22"/>
        </w:rPr>
      </w:pPr>
      <w:hyperlink w:anchor="_Toc90913098" w:history="1">
        <w:r w:rsidR="0034746F" w:rsidRPr="00314C99">
          <w:rPr>
            <w:rStyle w:val="Hyperlink"/>
          </w:rPr>
          <w:t>Appendix B – Current fee schedule</w:t>
        </w:r>
        <w:r w:rsidR="0034746F">
          <w:rPr>
            <w:webHidden/>
          </w:rPr>
          <w:tab/>
        </w:r>
        <w:r w:rsidR="0034746F">
          <w:rPr>
            <w:webHidden/>
          </w:rPr>
          <w:fldChar w:fldCharType="begin"/>
        </w:r>
        <w:r w:rsidR="0034746F">
          <w:rPr>
            <w:webHidden/>
          </w:rPr>
          <w:instrText xml:space="preserve"> PAGEREF _Toc90913098 \h </w:instrText>
        </w:r>
        <w:r w:rsidR="0034746F">
          <w:rPr>
            <w:webHidden/>
          </w:rPr>
        </w:r>
        <w:r w:rsidR="0034746F">
          <w:rPr>
            <w:webHidden/>
          </w:rPr>
          <w:fldChar w:fldCharType="separate"/>
        </w:r>
        <w:r w:rsidR="0034746F">
          <w:rPr>
            <w:webHidden/>
          </w:rPr>
          <w:t>10</w:t>
        </w:r>
        <w:r w:rsidR="0034746F">
          <w:rPr>
            <w:webHidden/>
          </w:rPr>
          <w:fldChar w:fldCharType="end"/>
        </w:r>
      </w:hyperlink>
    </w:p>
    <w:p w14:paraId="781C6610" w14:textId="7E77F0A2" w:rsidR="0034746F" w:rsidRDefault="001F1913">
      <w:pPr>
        <w:pStyle w:val="TOC3"/>
        <w:rPr>
          <w:rFonts w:asciiTheme="minorHAnsi" w:eastAsiaTheme="minorEastAsia" w:hAnsiTheme="minorHAnsi" w:cstheme="minorBidi"/>
          <w:color w:val="auto"/>
          <w:szCs w:val="22"/>
        </w:rPr>
      </w:pPr>
      <w:hyperlink w:anchor="_Toc90913099" w:history="1">
        <w:r w:rsidR="0034746F" w:rsidRPr="00314C99">
          <w:rPr>
            <w:rStyle w:val="Hyperlink"/>
          </w:rPr>
          <w:t>Appendix C – Timeline of public consultation on fees</w:t>
        </w:r>
        <w:r w:rsidR="0034746F">
          <w:rPr>
            <w:webHidden/>
          </w:rPr>
          <w:tab/>
        </w:r>
        <w:r w:rsidR="0034746F">
          <w:rPr>
            <w:webHidden/>
          </w:rPr>
          <w:fldChar w:fldCharType="begin"/>
        </w:r>
        <w:r w:rsidR="0034746F">
          <w:rPr>
            <w:webHidden/>
          </w:rPr>
          <w:instrText xml:space="preserve"> PAGEREF _Toc90913099 \h </w:instrText>
        </w:r>
        <w:r w:rsidR="0034746F">
          <w:rPr>
            <w:webHidden/>
          </w:rPr>
        </w:r>
        <w:r w:rsidR="0034746F">
          <w:rPr>
            <w:webHidden/>
          </w:rPr>
          <w:fldChar w:fldCharType="separate"/>
        </w:r>
        <w:r w:rsidR="0034746F">
          <w:rPr>
            <w:webHidden/>
          </w:rPr>
          <w:t>14</w:t>
        </w:r>
        <w:r w:rsidR="0034746F">
          <w:rPr>
            <w:webHidden/>
          </w:rPr>
          <w:fldChar w:fldCharType="end"/>
        </w:r>
      </w:hyperlink>
    </w:p>
    <w:p w14:paraId="74847822" w14:textId="0A3310A3" w:rsidR="0034746F" w:rsidRDefault="001F1913">
      <w:pPr>
        <w:pStyle w:val="TOC3"/>
        <w:rPr>
          <w:rFonts w:asciiTheme="minorHAnsi" w:eastAsiaTheme="minorEastAsia" w:hAnsiTheme="minorHAnsi" w:cstheme="minorBidi"/>
          <w:color w:val="auto"/>
          <w:szCs w:val="22"/>
        </w:rPr>
      </w:pPr>
      <w:hyperlink w:anchor="_Toc90913100" w:history="1">
        <w:r w:rsidR="0034746F" w:rsidRPr="00314C99">
          <w:rPr>
            <w:rStyle w:val="Hyperlink"/>
          </w:rPr>
          <w:t>Appendix D – Historical basis for registry fees</w:t>
        </w:r>
        <w:r w:rsidR="0034746F">
          <w:rPr>
            <w:webHidden/>
          </w:rPr>
          <w:tab/>
        </w:r>
        <w:r w:rsidR="0034746F">
          <w:rPr>
            <w:webHidden/>
          </w:rPr>
          <w:fldChar w:fldCharType="begin"/>
        </w:r>
        <w:r w:rsidR="0034746F">
          <w:rPr>
            <w:webHidden/>
          </w:rPr>
          <w:instrText xml:space="preserve"> PAGEREF _Toc90913100 \h </w:instrText>
        </w:r>
        <w:r w:rsidR="0034746F">
          <w:rPr>
            <w:webHidden/>
          </w:rPr>
        </w:r>
        <w:r w:rsidR="0034746F">
          <w:rPr>
            <w:webHidden/>
          </w:rPr>
          <w:fldChar w:fldCharType="separate"/>
        </w:r>
        <w:r w:rsidR="0034746F">
          <w:rPr>
            <w:webHidden/>
          </w:rPr>
          <w:t>14</w:t>
        </w:r>
        <w:r w:rsidR="0034746F">
          <w:rPr>
            <w:webHidden/>
          </w:rPr>
          <w:fldChar w:fldCharType="end"/>
        </w:r>
      </w:hyperlink>
    </w:p>
    <w:p w14:paraId="6B4C5CF1" w14:textId="1901A82A"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B96796B" w14:textId="77777777" w:rsidR="000E0B74" w:rsidRDefault="000E0B74" w:rsidP="00354FBB">
      <w:pPr>
        <w:pStyle w:val="Heading1"/>
      </w:pPr>
      <w:bookmarkStart w:id="2" w:name="_Toc90913083"/>
      <w:bookmarkStart w:id="3" w:name="_Toc432067103"/>
      <w:r>
        <w:lastRenderedPageBreak/>
        <w:t>Consultation Process</w:t>
      </w:r>
      <w:bookmarkEnd w:id="2"/>
    </w:p>
    <w:p w14:paraId="06BCDF0F" w14:textId="77777777" w:rsidR="000E0B74" w:rsidRDefault="000E0B74" w:rsidP="000E0B74">
      <w:pPr>
        <w:pStyle w:val="Heading2"/>
      </w:pPr>
      <w:bookmarkStart w:id="4" w:name="_Toc90913084"/>
      <w:r>
        <w:t>Request for feedback and comments</w:t>
      </w:r>
      <w:bookmarkEnd w:id="4"/>
    </w:p>
    <w:p w14:paraId="16C5E631" w14:textId="5575EC87" w:rsidR="000E0B74" w:rsidRDefault="00EA7202" w:rsidP="000E0B74">
      <w:r>
        <w:t xml:space="preserve">Interested parties are invited to respond to the consultation questions listed on page </w:t>
      </w:r>
      <w:r w:rsidR="00E07606">
        <w:t>9</w:t>
      </w:r>
      <w:r>
        <w:t xml:space="preserve"> and to comment on the issues raised in this paper by </w:t>
      </w:r>
      <w:r w:rsidRPr="00A133E3">
        <w:t>28 January 2022</w:t>
      </w:r>
      <w:r>
        <w:t>.</w:t>
      </w:r>
    </w:p>
    <w:p w14:paraId="5C97FE0E" w14:textId="3A5F2688" w:rsidR="00EA7202" w:rsidRDefault="00EA7202" w:rsidP="00EA7202">
      <w:r w:rsidRPr="00EA7202">
        <w:t>While submissions may be lodged electronically or by post, electronic lodgement is preferred. For accessibility reasons, please submit responses sent via email in a Word or RTF format. An additional PDF version may also be submitted.</w:t>
      </w:r>
    </w:p>
    <w:p w14:paraId="6F55FFA7" w14:textId="4FF8D623" w:rsidR="000F63CE" w:rsidRPr="00EA7202" w:rsidRDefault="000F63CE" w:rsidP="000F63CE">
      <w:pPr>
        <w:pStyle w:val="Heading2"/>
      </w:pPr>
      <w:bookmarkStart w:id="5" w:name="_Toc90913085"/>
      <w:r>
        <w:t>Publication of submissions and confidentiality</w:t>
      </w:r>
      <w:bookmarkEnd w:id="5"/>
    </w:p>
    <w:p w14:paraId="5AEBBC42" w14:textId="7C15E177" w:rsidR="00EA7202" w:rsidRPr="00EA7202" w:rsidRDefault="00EA7202" w:rsidP="00EA7202">
      <w:r w:rsidRPr="00EA7202">
        <w:t>All information (including name and address details) contained in formal submissions may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w:t>
      </w:r>
    </w:p>
    <w:p w14:paraId="6242E66E" w14:textId="041D5F7A" w:rsidR="00EA7202" w:rsidRDefault="00EA7202" w:rsidP="00EA7202">
      <w:r w:rsidRPr="00EA7202">
        <w:t xml:space="preserve">Legal requirements, such as those </w:t>
      </w:r>
      <w:r>
        <w:t xml:space="preserve">imposed by the </w:t>
      </w:r>
      <w:r w:rsidRPr="002E2B39">
        <w:rPr>
          <w:i/>
          <w:iCs/>
        </w:rPr>
        <w:t>Freedom of Information Act 1982</w:t>
      </w:r>
      <w:r>
        <w:t>, may affect the confidentiality of your submission.</w:t>
      </w:r>
    </w:p>
    <w:p w14:paraId="0FE5AEEA" w14:textId="77777777" w:rsidR="000F63CE" w:rsidRDefault="000F63CE" w:rsidP="000F63CE">
      <w:pPr>
        <w:pStyle w:val="Heading2"/>
      </w:pPr>
      <w:bookmarkStart w:id="6" w:name="_Toc90913086"/>
      <w:r>
        <w:t>Further consultation process</w:t>
      </w:r>
      <w:bookmarkEnd w:id="6"/>
      <w:r>
        <w:t xml:space="preserve"> </w:t>
      </w:r>
    </w:p>
    <w:p w14:paraId="75E487EF" w14:textId="1048949B" w:rsidR="000F63CE" w:rsidRDefault="000F63CE" w:rsidP="00EA7202">
      <w:r>
        <w:t>The Treasury will also consult broadly with industry representatives and other interested parties on the topics discussed in this consultation paper. This may involve conducting targeted consultation with these stakeholders on specific issues where more information and views are required.</w:t>
      </w:r>
    </w:p>
    <w:p w14:paraId="411CB1EE" w14:textId="4E59B35D" w:rsidR="000E0B74" w:rsidRDefault="000E0B74" w:rsidP="00EA7202">
      <w:pPr>
        <w:pStyle w:val="Heading3noTOC"/>
      </w:pPr>
      <w:r>
        <w:t xml:space="preserve">Closing date for submissions: </w:t>
      </w:r>
      <w:sdt>
        <w:sdtPr>
          <w:id w:val="1454836312"/>
          <w:placeholder>
            <w:docPart w:val="3B2B968436974ACEBBAD61F6C6D4B286"/>
          </w:placeholder>
          <w:date w:fullDate="2022-01-28T00:00:00Z">
            <w:dateFormat w:val="dd MMMM yyyy"/>
            <w:lid w:val="en-AU"/>
            <w:storeMappedDataAs w:val="dateTime"/>
            <w:calendar w:val="gregorian"/>
          </w:date>
        </w:sdtPr>
        <w:sdtEndPr/>
        <w:sdtContent>
          <w:r w:rsidR="00507B33" w:rsidRPr="00A133E3">
            <w:t>28 January 2022</w:t>
          </w:r>
        </w:sdtContent>
      </w:sdt>
    </w:p>
    <w:tbl>
      <w:tblPr>
        <w:tblStyle w:val="TableGrid"/>
        <w:tblW w:w="0" w:type="auto"/>
        <w:tblLook w:val="04A0" w:firstRow="1" w:lastRow="0" w:firstColumn="1" w:lastColumn="0" w:noHBand="0" w:noVBand="1"/>
      </w:tblPr>
      <w:tblGrid>
        <w:gridCol w:w="1517"/>
        <w:gridCol w:w="7553"/>
      </w:tblGrid>
      <w:tr w:rsidR="00A133E3" w:rsidRPr="00B85F47" w14:paraId="0066D762" w14:textId="77777777" w:rsidTr="00B976D5">
        <w:tc>
          <w:tcPr>
            <w:tcW w:w="1517" w:type="dxa"/>
            <w:shd w:val="clear" w:color="auto" w:fill="auto"/>
          </w:tcPr>
          <w:bookmarkEnd w:id="3"/>
          <w:p w14:paraId="35D18E38" w14:textId="77777777" w:rsidR="00A133E3" w:rsidRPr="00B85F47" w:rsidRDefault="00A133E3" w:rsidP="00B976D5">
            <w:pPr>
              <w:rPr>
                <w:sz w:val="22"/>
                <w:szCs w:val="22"/>
              </w:rPr>
            </w:pPr>
            <w:r w:rsidRPr="00B85F47">
              <w:rPr>
                <w:sz w:val="22"/>
                <w:szCs w:val="22"/>
              </w:rPr>
              <w:t>Email</w:t>
            </w:r>
          </w:p>
        </w:tc>
        <w:tc>
          <w:tcPr>
            <w:tcW w:w="7553" w:type="dxa"/>
            <w:shd w:val="clear" w:color="auto" w:fill="auto"/>
          </w:tcPr>
          <w:p w14:paraId="4349C712" w14:textId="77777777" w:rsidR="00A133E3" w:rsidRPr="00B85F47" w:rsidRDefault="001F1913" w:rsidP="00B976D5">
            <w:pPr>
              <w:rPr>
                <w:sz w:val="22"/>
                <w:szCs w:val="22"/>
              </w:rPr>
            </w:pPr>
            <w:hyperlink r:id="rId23" w:history="1">
              <w:r w:rsidR="00A133E3" w:rsidRPr="00904EAF">
                <w:rPr>
                  <w:rStyle w:val="Hyperlink"/>
                  <w:rFonts w:cs="Arial"/>
                  <w:szCs w:val="22"/>
                </w:rPr>
                <w:t>regmod@treasury.gov.au</w:t>
              </w:r>
            </w:hyperlink>
            <w:r w:rsidR="00A133E3">
              <w:rPr>
                <w:rFonts w:cs="Arial"/>
                <w:szCs w:val="22"/>
              </w:rPr>
              <w:t xml:space="preserve"> </w:t>
            </w:r>
          </w:p>
        </w:tc>
      </w:tr>
      <w:tr w:rsidR="00A133E3" w:rsidRPr="00B85F47" w14:paraId="53C780CD" w14:textId="77777777" w:rsidTr="00B976D5">
        <w:tc>
          <w:tcPr>
            <w:tcW w:w="1517" w:type="dxa"/>
            <w:shd w:val="clear" w:color="auto" w:fill="auto"/>
          </w:tcPr>
          <w:p w14:paraId="046175EA" w14:textId="77777777" w:rsidR="00A133E3" w:rsidRPr="00B85F47" w:rsidRDefault="00A133E3" w:rsidP="00B976D5">
            <w:pPr>
              <w:rPr>
                <w:sz w:val="22"/>
                <w:szCs w:val="22"/>
              </w:rPr>
            </w:pPr>
            <w:r w:rsidRPr="00B85F47">
              <w:rPr>
                <w:sz w:val="22"/>
                <w:szCs w:val="22"/>
              </w:rPr>
              <w:t>Mail</w:t>
            </w:r>
          </w:p>
          <w:p w14:paraId="29F5450A" w14:textId="77777777" w:rsidR="00A133E3" w:rsidRPr="00B85F47" w:rsidRDefault="00A133E3" w:rsidP="00B976D5">
            <w:pPr>
              <w:rPr>
                <w:sz w:val="22"/>
                <w:szCs w:val="22"/>
              </w:rPr>
            </w:pPr>
          </w:p>
          <w:p w14:paraId="416646DE" w14:textId="77777777" w:rsidR="00A133E3" w:rsidRPr="00B85F47" w:rsidRDefault="00A133E3" w:rsidP="00B976D5">
            <w:pPr>
              <w:rPr>
                <w:sz w:val="22"/>
                <w:szCs w:val="22"/>
              </w:rPr>
            </w:pPr>
          </w:p>
        </w:tc>
        <w:tc>
          <w:tcPr>
            <w:tcW w:w="7553" w:type="dxa"/>
            <w:shd w:val="clear" w:color="auto" w:fill="auto"/>
          </w:tcPr>
          <w:p w14:paraId="0BB98915" w14:textId="77777777" w:rsidR="00A133E3" w:rsidRPr="00B85F47" w:rsidRDefault="00A133E3" w:rsidP="00B976D5">
            <w:pPr>
              <w:pStyle w:val="SingleParagraph"/>
              <w:rPr>
                <w:rFonts w:cs="Arial"/>
                <w:sz w:val="22"/>
                <w:szCs w:val="22"/>
              </w:rPr>
            </w:pPr>
            <w:r w:rsidRPr="0071328E">
              <w:rPr>
                <w:rFonts w:cs="Arial"/>
                <w:sz w:val="22"/>
                <w:szCs w:val="22"/>
              </w:rPr>
              <w:t>Data Economy Unit</w:t>
            </w:r>
          </w:p>
          <w:p w14:paraId="67CC9EED" w14:textId="77777777" w:rsidR="00A133E3" w:rsidRPr="00B85F47" w:rsidRDefault="00A133E3" w:rsidP="00B976D5">
            <w:pPr>
              <w:pStyle w:val="SingleParagraph"/>
              <w:rPr>
                <w:rFonts w:cs="Arial"/>
                <w:sz w:val="22"/>
                <w:szCs w:val="22"/>
              </w:rPr>
            </w:pPr>
            <w:r w:rsidRPr="0071328E">
              <w:rPr>
                <w:rFonts w:cs="Arial"/>
                <w:sz w:val="22"/>
                <w:szCs w:val="22"/>
              </w:rPr>
              <w:t>Consumer Data Right Division</w:t>
            </w:r>
          </w:p>
          <w:p w14:paraId="2FF9E20F" w14:textId="77777777" w:rsidR="00A133E3" w:rsidRPr="00B85F47" w:rsidRDefault="00A133E3" w:rsidP="00B976D5">
            <w:pPr>
              <w:pStyle w:val="SingleParagraph"/>
              <w:rPr>
                <w:rFonts w:cs="Arial"/>
                <w:sz w:val="22"/>
                <w:szCs w:val="22"/>
              </w:rPr>
            </w:pPr>
            <w:r w:rsidRPr="00B85F47">
              <w:rPr>
                <w:rFonts w:cs="Arial"/>
                <w:sz w:val="22"/>
                <w:szCs w:val="22"/>
              </w:rPr>
              <w:t>The Treasury</w:t>
            </w:r>
          </w:p>
          <w:p w14:paraId="20622BDF" w14:textId="77777777" w:rsidR="00A133E3" w:rsidRPr="00B85F47" w:rsidRDefault="00A133E3" w:rsidP="00B976D5">
            <w:pPr>
              <w:pStyle w:val="SingleParagraph"/>
              <w:rPr>
                <w:rFonts w:cs="Arial"/>
                <w:sz w:val="22"/>
                <w:szCs w:val="22"/>
              </w:rPr>
            </w:pPr>
            <w:r w:rsidRPr="00B85F47">
              <w:rPr>
                <w:rFonts w:cs="Arial"/>
                <w:sz w:val="22"/>
                <w:szCs w:val="22"/>
              </w:rPr>
              <w:t>Langton Crescent</w:t>
            </w:r>
          </w:p>
          <w:p w14:paraId="7139DC5B" w14:textId="77777777" w:rsidR="00A133E3" w:rsidRPr="00B85F47" w:rsidRDefault="00A133E3" w:rsidP="00B976D5">
            <w:pPr>
              <w:pStyle w:val="SingleParagraph"/>
              <w:rPr>
                <w:sz w:val="22"/>
                <w:szCs w:val="22"/>
              </w:rPr>
            </w:pPr>
            <w:r w:rsidRPr="00B85F47">
              <w:rPr>
                <w:sz w:val="22"/>
                <w:szCs w:val="22"/>
              </w:rPr>
              <w:t>PARKES ACT 2600</w:t>
            </w:r>
          </w:p>
        </w:tc>
      </w:tr>
      <w:tr w:rsidR="00A133E3" w:rsidRPr="00B85F47" w14:paraId="5504135D" w14:textId="77777777" w:rsidTr="00B976D5">
        <w:tc>
          <w:tcPr>
            <w:tcW w:w="1517" w:type="dxa"/>
            <w:shd w:val="clear" w:color="auto" w:fill="auto"/>
          </w:tcPr>
          <w:p w14:paraId="27A50820" w14:textId="77777777" w:rsidR="00A133E3" w:rsidRPr="00B85F47" w:rsidRDefault="00A133E3" w:rsidP="00B976D5">
            <w:pPr>
              <w:rPr>
                <w:sz w:val="22"/>
                <w:szCs w:val="22"/>
              </w:rPr>
            </w:pPr>
            <w:r w:rsidRPr="00B85F47">
              <w:rPr>
                <w:sz w:val="22"/>
                <w:szCs w:val="22"/>
              </w:rPr>
              <w:t>Enquiries</w:t>
            </w:r>
          </w:p>
        </w:tc>
        <w:tc>
          <w:tcPr>
            <w:tcW w:w="7553" w:type="dxa"/>
            <w:shd w:val="clear" w:color="auto" w:fill="auto"/>
          </w:tcPr>
          <w:p w14:paraId="01356A54" w14:textId="77777777" w:rsidR="00A133E3" w:rsidRDefault="00A133E3" w:rsidP="00B976D5">
            <w:r w:rsidRPr="00B85F47">
              <w:rPr>
                <w:rFonts w:cs="Arial"/>
                <w:sz w:val="22"/>
                <w:szCs w:val="22"/>
              </w:rPr>
              <w:t xml:space="preserve">Enquiries can be initially directed </w:t>
            </w:r>
            <w:r>
              <w:rPr>
                <w:rFonts w:cs="Arial"/>
                <w:sz w:val="22"/>
                <w:szCs w:val="22"/>
              </w:rPr>
              <w:t xml:space="preserve">to </w:t>
            </w:r>
            <w:hyperlink r:id="rId24" w:history="1">
              <w:r w:rsidRPr="00CF49DD">
                <w:rPr>
                  <w:rStyle w:val="Hyperlink"/>
                </w:rPr>
                <w:t>regmod@treasury.gov.au</w:t>
              </w:r>
            </w:hyperlink>
          </w:p>
          <w:p w14:paraId="793CBC8E" w14:textId="77777777" w:rsidR="00A133E3" w:rsidRPr="00715FA7" w:rsidRDefault="00A133E3" w:rsidP="00B976D5">
            <w:pPr>
              <w:rPr>
                <w:sz w:val="22"/>
                <w:szCs w:val="22"/>
              </w:rPr>
            </w:pPr>
            <w:r w:rsidRPr="00715FA7">
              <w:rPr>
                <w:sz w:val="22"/>
                <w:szCs w:val="22"/>
              </w:rPr>
              <w:t xml:space="preserve">Media enquiries should be directed to </w:t>
            </w:r>
            <w:hyperlink r:id="rId25" w:history="1">
              <w:r w:rsidRPr="00CF49DD">
                <w:rPr>
                  <w:rStyle w:val="Hyperlink"/>
                  <w:szCs w:val="22"/>
                </w:rPr>
                <w:t>medialiaison@treasury.gov.au</w:t>
              </w:r>
            </w:hyperlink>
            <w:r>
              <w:rPr>
                <w:sz w:val="22"/>
                <w:szCs w:val="22"/>
              </w:rPr>
              <w:t xml:space="preserve"> </w:t>
            </w:r>
            <w:r w:rsidRPr="00715FA7">
              <w:rPr>
                <w:sz w:val="22"/>
                <w:szCs w:val="22"/>
              </w:rPr>
              <w:t xml:space="preserve"> or +61 2 6263 </w:t>
            </w:r>
          </w:p>
          <w:p w14:paraId="2A1A7B97" w14:textId="77777777" w:rsidR="00A133E3" w:rsidRPr="00B85F47" w:rsidRDefault="00A133E3" w:rsidP="00B976D5">
            <w:pPr>
              <w:rPr>
                <w:sz w:val="22"/>
                <w:szCs w:val="22"/>
              </w:rPr>
            </w:pPr>
            <w:r w:rsidRPr="00715FA7">
              <w:rPr>
                <w:sz w:val="22"/>
                <w:szCs w:val="22"/>
              </w:rPr>
              <w:t>2300</w:t>
            </w:r>
          </w:p>
        </w:tc>
      </w:tr>
    </w:tbl>
    <w:p w14:paraId="275946D7" w14:textId="53181B35" w:rsidR="00E10D39" w:rsidRDefault="000F63CE" w:rsidP="000F63CE">
      <w:r>
        <w:t>The positions outlined in this paper have not received Government approval and are not yet law. As a consequence, this paper is merely a guide as to how the registry fees regime might operate.</w:t>
      </w:r>
    </w:p>
    <w:p w14:paraId="31668966" w14:textId="77777777" w:rsidR="008D7F38" w:rsidRPr="008D7F38" w:rsidRDefault="008D7F38" w:rsidP="008D7F38"/>
    <w:p w14:paraId="677BC7D0" w14:textId="77777777" w:rsidR="009B7AA4" w:rsidRDefault="009B7AA4">
      <w:pPr>
        <w:spacing w:before="0" w:after="160" w:line="259" w:lineRule="auto"/>
        <w:rPr>
          <w:rFonts w:cs="Arial"/>
          <w:color w:val="002C47" w:themeColor="accent1"/>
          <w:kern w:val="32"/>
          <w:sz w:val="48"/>
          <w:szCs w:val="36"/>
        </w:rPr>
      </w:pPr>
      <w:r>
        <w:br w:type="page"/>
      </w:r>
    </w:p>
    <w:p w14:paraId="54D510F7" w14:textId="144B1D7C" w:rsidR="000E0B74" w:rsidRDefault="00067D59" w:rsidP="00354FBB">
      <w:pPr>
        <w:pStyle w:val="Heading1"/>
      </w:pPr>
      <w:bookmarkStart w:id="7" w:name="_Toc90913087"/>
      <w:r>
        <w:lastRenderedPageBreak/>
        <w:t>Review of Registry Fees</w:t>
      </w:r>
      <w:bookmarkEnd w:id="7"/>
    </w:p>
    <w:p w14:paraId="20B6D2B9" w14:textId="123B25E4" w:rsidR="00231D7D" w:rsidRDefault="00231D7D" w:rsidP="00231D7D">
      <w:pPr>
        <w:pStyle w:val="NoSpacing"/>
        <w:rPr>
          <w:sz w:val="2"/>
          <w:szCs w:val="2"/>
        </w:rPr>
      </w:pPr>
    </w:p>
    <w:p w14:paraId="022957ED" w14:textId="77777777" w:rsidR="0015474B" w:rsidRPr="005D122E" w:rsidRDefault="0015474B" w:rsidP="00231D7D">
      <w:pPr>
        <w:pStyle w:val="NoSpacing"/>
        <w:rPr>
          <w:sz w:val="2"/>
          <w:szCs w:val="2"/>
        </w:rPr>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231D7D" w14:paraId="3F92F3FF" w14:textId="77777777" w:rsidTr="008361B4">
        <w:tc>
          <w:tcPr>
            <w:tcW w:w="5000" w:type="pct"/>
            <w:shd w:val="clear" w:color="auto" w:fill="EAEAEA" w:themeFill="background2"/>
          </w:tcPr>
          <w:p w14:paraId="7F271A7C" w14:textId="1B9C56A9" w:rsidR="00231D7D" w:rsidRPr="000553FE" w:rsidRDefault="00231D7D" w:rsidP="00E86E6F">
            <w:pPr>
              <w:pStyle w:val="BoxHeading"/>
              <w:rPr>
                <w:b w:val="0"/>
              </w:rPr>
            </w:pPr>
            <w:r>
              <w:t>Box 1: Overview</w:t>
            </w:r>
          </w:p>
          <w:p w14:paraId="0A8C67A0" w14:textId="3110BF4B" w:rsidR="00231D7D" w:rsidRPr="009C492B" w:rsidRDefault="00231D7D" w:rsidP="00231D7D">
            <w:pPr>
              <w:pStyle w:val="Bullet"/>
            </w:pPr>
            <w:r w:rsidRPr="009C492B">
              <w:t>The Government is committed to</w:t>
            </w:r>
            <w:r w:rsidR="0089256D">
              <w:t xml:space="preserve"> reducing compliance costs and</w:t>
            </w:r>
            <w:r w:rsidR="003D030C">
              <w:t xml:space="preserve"> </w:t>
            </w:r>
            <w:r w:rsidRPr="009C492B">
              <w:t>making interactions with government simpler and quicker by modernising Australia’s business registers.</w:t>
            </w:r>
          </w:p>
          <w:p w14:paraId="4770189A" w14:textId="37A3FA2B" w:rsidR="00231D7D" w:rsidRDefault="00231D7D" w:rsidP="00231D7D">
            <w:pPr>
              <w:pStyle w:val="Bullet"/>
            </w:pPr>
            <w:r w:rsidRPr="009C492B">
              <w:t>Fees are a necessary part of the business registry system and are collected from companies and other entitie</w:t>
            </w:r>
            <w:r w:rsidR="003D030C">
              <w:t>s</w:t>
            </w:r>
            <w:r w:rsidRPr="009C492B">
              <w:t>.</w:t>
            </w:r>
          </w:p>
          <w:p w14:paraId="326C9D9E" w14:textId="77777777" w:rsidR="00231D7D" w:rsidRDefault="00231D7D" w:rsidP="00231D7D">
            <w:pPr>
              <w:pStyle w:val="Bullet"/>
            </w:pPr>
            <w:r>
              <w:t>Treasury has been consulting broadly on business registers since 2017 and released a discussion paper focused on registry fees in 2018.</w:t>
            </w:r>
          </w:p>
          <w:p w14:paraId="1A300740" w14:textId="2C0FF820" w:rsidR="00231D7D" w:rsidRPr="00231D7D" w:rsidRDefault="00231D7D" w:rsidP="00E86E6F">
            <w:pPr>
              <w:pStyle w:val="Bullet"/>
            </w:pPr>
            <w:r w:rsidRPr="002531A4">
              <w:t xml:space="preserve">Given changes to the broader business environment and the continued </w:t>
            </w:r>
            <w:r>
              <w:t>design and implementation of the Modernising Business Registers program</w:t>
            </w:r>
            <w:r w:rsidRPr="002531A4">
              <w:t xml:space="preserve">, </w:t>
            </w:r>
            <w:r>
              <w:t xml:space="preserve">this paper is seeking </w:t>
            </w:r>
            <w:r w:rsidRPr="002531A4">
              <w:t>views on the role and design of aspects of the registry fee regime</w:t>
            </w:r>
            <w:r>
              <w:t>.</w:t>
            </w:r>
            <w:r w:rsidRPr="002531A4">
              <w:t xml:space="preserve"> </w:t>
            </w:r>
          </w:p>
        </w:tc>
      </w:tr>
    </w:tbl>
    <w:p w14:paraId="0379426D" w14:textId="77777777" w:rsidR="00231D7D" w:rsidRPr="008162D3" w:rsidRDefault="00231D7D" w:rsidP="00231D7D">
      <w:pPr>
        <w:pStyle w:val="NoSpacing"/>
        <w:rPr>
          <w:sz w:val="2"/>
          <w:szCs w:val="2"/>
        </w:rPr>
      </w:pPr>
    </w:p>
    <w:p w14:paraId="4529D925" w14:textId="6E9B1CAA" w:rsidR="00E30E7A" w:rsidRDefault="006471E4" w:rsidP="00FD28BE">
      <w:r>
        <w:t>Business</w:t>
      </w:r>
      <w:r w:rsidR="00790B54">
        <w:t xml:space="preserve"> registers are </w:t>
      </w:r>
      <w:r>
        <w:t>a critical component of Australia’s economic infrastructure and are accessed by a range of users to source data about companies and their operators. Business and industry participants rely on the registers when making decisions about counterparties (e.g. a bank a</w:t>
      </w:r>
      <w:r w:rsidR="0089256D">
        <w:t>s part of the decision to grant a loan). Government also uses the information held on registers for policy-making and regulatory activities.</w:t>
      </w:r>
      <w:r w:rsidR="007559BE">
        <w:t xml:space="preserve"> In order to maintain the currency and integrity of the registry system, the Government charges a range of fees for access to and interactions with the registers. </w:t>
      </w:r>
      <w:r w:rsidR="00A82AF1">
        <w:t xml:space="preserve">Certain registry fees also </w:t>
      </w:r>
      <w:r w:rsidR="00FD28BE">
        <w:t xml:space="preserve">recognise the benefits of </w:t>
      </w:r>
      <w:r w:rsidR="00F31654">
        <w:t>maintaining</w:t>
      </w:r>
      <w:r w:rsidR="00FD28BE">
        <w:t xml:space="preserve"> a separate legal entity</w:t>
      </w:r>
      <w:r w:rsidR="00A82AF1">
        <w:t>, including limited liability,</w:t>
      </w:r>
      <w:r w:rsidR="00FD28BE">
        <w:t xml:space="preserve"> and discourage frivolous applications</w:t>
      </w:r>
      <w:r w:rsidR="00A82AF1">
        <w:t>, such as ‘hoarding’ of business names</w:t>
      </w:r>
      <w:r w:rsidR="00E30E7A">
        <w:t>.</w:t>
      </w:r>
    </w:p>
    <w:p w14:paraId="12C3A3B4" w14:textId="0405B469" w:rsidR="009A4940" w:rsidRDefault="00A33CD5" w:rsidP="00FB606F">
      <w:r>
        <w:t>The</w:t>
      </w:r>
      <w:r w:rsidR="009A4940">
        <w:t xml:space="preserve"> </w:t>
      </w:r>
      <w:r>
        <w:t xml:space="preserve">Government started consultation on </w:t>
      </w:r>
      <w:r w:rsidR="009A4940">
        <w:t>registry fees in 2018</w:t>
      </w:r>
      <w:r w:rsidR="00DE4B9E">
        <w:rPr>
          <w:rStyle w:val="FootnoteReference"/>
        </w:rPr>
        <w:footnoteReference w:id="2"/>
      </w:r>
      <w:r w:rsidR="00730CAF">
        <w:t xml:space="preserve"> to seek</w:t>
      </w:r>
      <w:r w:rsidR="009A4940">
        <w:t xml:space="preserve"> opinions on the role and form of registry fees in the </w:t>
      </w:r>
      <w:r w:rsidR="00730CAF">
        <w:t xml:space="preserve">new registry </w:t>
      </w:r>
      <w:r w:rsidR="009A4940">
        <w:t xml:space="preserve">system being developed through the Modernising Business Registers (MBR) Program.  </w:t>
      </w:r>
    </w:p>
    <w:p w14:paraId="24C96C69" w14:textId="3F257CE7" w:rsidR="00FB606F" w:rsidRDefault="00E30E7A" w:rsidP="00DE39F4">
      <w:r>
        <w:t xml:space="preserve">Broadly, </w:t>
      </w:r>
      <w:r w:rsidR="009A4940">
        <w:t xml:space="preserve">existing </w:t>
      </w:r>
      <w:r>
        <w:t>registry fees are split into four categories</w:t>
      </w:r>
      <w:r w:rsidR="009A4940">
        <w:t xml:space="preserve"> outlined in </w:t>
      </w:r>
      <w:r w:rsidR="00FB606F">
        <w:t xml:space="preserve">Box </w:t>
      </w:r>
      <w:r w:rsidR="00231D7D">
        <w:t>2</w:t>
      </w:r>
      <w:r w:rsidR="00FB606F">
        <w:t xml:space="preserve"> below.</w:t>
      </w:r>
    </w:p>
    <w:p w14:paraId="1C358E8D" w14:textId="77777777" w:rsidR="00393063" w:rsidRPr="00393063" w:rsidRDefault="00393063" w:rsidP="00DE39F4">
      <w:pPr>
        <w:rPr>
          <w:sz w:val="2"/>
          <w:szCs w:val="2"/>
        </w:rPr>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231D7D" w14:paraId="2F6F3F28" w14:textId="77777777" w:rsidTr="008361B4">
        <w:tc>
          <w:tcPr>
            <w:tcW w:w="5000" w:type="pct"/>
            <w:shd w:val="clear" w:color="auto" w:fill="EAEAEA" w:themeFill="background2"/>
          </w:tcPr>
          <w:p w14:paraId="2C496A7C" w14:textId="664DE999" w:rsidR="00231D7D" w:rsidRPr="000553FE" w:rsidRDefault="00231D7D" w:rsidP="00E86E6F">
            <w:pPr>
              <w:pStyle w:val="BoxHeading"/>
              <w:rPr>
                <w:b w:val="0"/>
              </w:rPr>
            </w:pPr>
            <w:r w:rsidRPr="000553FE">
              <w:t xml:space="preserve">Box </w:t>
            </w:r>
            <w:r>
              <w:t xml:space="preserve">2: </w:t>
            </w:r>
            <w:r w:rsidRPr="00231D7D">
              <w:t xml:space="preserve">Types of </w:t>
            </w:r>
            <w:r w:rsidR="00D728A7">
              <w:t>C</w:t>
            </w:r>
            <w:r w:rsidRPr="00231D7D">
              <w:t xml:space="preserve">urrent </w:t>
            </w:r>
            <w:r w:rsidR="00D728A7">
              <w:t>R</w:t>
            </w:r>
            <w:r w:rsidRPr="00231D7D">
              <w:t xml:space="preserve">egistry </w:t>
            </w:r>
            <w:r w:rsidR="00D728A7">
              <w:t>F</w:t>
            </w:r>
            <w:r w:rsidRPr="00231D7D">
              <w:t>ees</w:t>
            </w:r>
          </w:p>
          <w:p w14:paraId="0F930350" w14:textId="77777777" w:rsidR="00231D7D" w:rsidRPr="00231D7D" w:rsidRDefault="00231D7D" w:rsidP="00393063">
            <w:pPr>
              <w:pStyle w:val="BoxText"/>
              <w:spacing w:after="0"/>
              <w:rPr>
                <w:b/>
                <w:bCs/>
              </w:rPr>
            </w:pPr>
            <w:r w:rsidRPr="00231D7D">
              <w:rPr>
                <w:b/>
                <w:bCs/>
              </w:rPr>
              <w:t>Registration, review, and renewal fees</w:t>
            </w:r>
          </w:p>
          <w:p w14:paraId="15F2C824" w14:textId="2089EE99" w:rsidR="00231D7D" w:rsidRPr="00231D7D" w:rsidRDefault="00231D7D" w:rsidP="00393063">
            <w:pPr>
              <w:pStyle w:val="BoxText"/>
              <w:spacing w:before="0"/>
            </w:pPr>
            <w:r w:rsidRPr="00231D7D">
              <w:t>Includes fees for company registrations, business name registrations and renewals, annual returns for foreign companies, and annual reviews</w:t>
            </w:r>
            <w:r w:rsidR="00393063">
              <w:t>.</w:t>
            </w:r>
          </w:p>
          <w:p w14:paraId="1DF4C9C6" w14:textId="77777777" w:rsidR="00231D7D" w:rsidRPr="00231D7D" w:rsidRDefault="00231D7D" w:rsidP="00393063">
            <w:pPr>
              <w:pStyle w:val="BoxText"/>
              <w:spacing w:after="0"/>
              <w:rPr>
                <w:b/>
                <w:bCs/>
              </w:rPr>
            </w:pPr>
            <w:r w:rsidRPr="00231D7D">
              <w:rPr>
                <w:b/>
                <w:bCs/>
              </w:rPr>
              <w:t>Late fees</w:t>
            </w:r>
          </w:p>
          <w:p w14:paraId="52ED695A" w14:textId="14DB1381" w:rsidR="00231D7D" w:rsidRPr="00231D7D" w:rsidRDefault="00231D7D" w:rsidP="00393063">
            <w:pPr>
              <w:pStyle w:val="BoxText"/>
              <w:spacing w:before="0"/>
            </w:pPr>
            <w:r w:rsidRPr="00231D7D">
              <w:t>Charged when documents are not lodged, or fees are not paid, within the prescribed timeframe</w:t>
            </w:r>
            <w:r w:rsidR="00393063">
              <w:t>.</w:t>
            </w:r>
          </w:p>
          <w:p w14:paraId="78EF72EA" w14:textId="77777777" w:rsidR="00231D7D" w:rsidRPr="00231D7D" w:rsidRDefault="00231D7D" w:rsidP="00393063">
            <w:pPr>
              <w:pStyle w:val="BoxText"/>
              <w:spacing w:after="0"/>
              <w:rPr>
                <w:b/>
                <w:bCs/>
              </w:rPr>
            </w:pPr>
            <w:r w:rsidRPr="00231D7D">
              <w:rPr>
                <w:b/>
                <w:bCs/>
              </w:rPr>
              <w:t>Search fees</w:t>
            </w:r>
          </w:p>
          <w:p w14:paraId="15187751" w14:textId="57DB5693" w:rsidR="00231D7D" w:rsidRPr="00231D7D" w:rsidRDefault="00231D7D" w:rsidP="00393063">
            <w:pPr>
              <w:pStyle w:val="BoxText"/>
              <w:spacing w:before="0"/>
            </w:pPr>
            <w:r w:rsidRPr="00231D7D">
              <w:t xml:space="preserve">Most searches conducted on ASIC’s registers are free, with fees charged on certain search products. </w:t>
            </w:r>
            <w:r w:rsidR="004C0BFD">
              <w:t>R</w:t>
            </w:r>
            <w:r w:rsidRPr="00231D7D">
              <w:t>etail and wholesale users are both currently charged search fees.</w:t>
            </w:r>
          </w:p>
          <w:p w14:paraId="66A61F16" w14:textId="77777777" w:rsidR="00231D7D" w:rsidRPr="00231D7D" w:rsidRDefault="00231D7D" w:rsidP="00393063">
            <w:pPr>
              <w:pStyle w:val="BoxText"/>
              <w:spacing w:after="0"/>
              <w:rPr>
                <w:b/>
                <w:bCs/>
              </w:rPr>
            </w:pPr>
            <w:r w:rsidRPr="00231D7D">
              <w:rPr>
                <w:b/>
                <w:bCs/>
              </w:rPr>
              <w:t>Lifecycle fees</w:t>
            </w:r>
          </w:p>
          <w:p w14:paraId="1786F4EF" w14:textId="1A80418A" w:rsidR="00231D7D" w:rsidRDefault="00231D7D" w:rsidP="00393063">
            <w:pPr>
              <w:pStyle w:val="BoxText"/>
              <w:spacing w:before="0"/>
            </w:pPr>
            <w:r w:rsidRPr="00231D7D">
              <w:t>Encompasses fees incurred through the operation of a company.</w:t>
            </w:r>
          </w:p>
        </w:tc>
      </w:tr>
    </w:tbl>
    <w:p w14:paraId="7FA1183B" w14:textId="77777777" w:rsidR="00393063" w:rsidRPr="00393063" w:rsidRDefault="00393063" w:rsidP="00DE39F4">
      <w:pPr>
        <w:rPr>
          <w:sz w:val="2"/>
          <w:szCs w:val="2"/>
        </w:rPr>
      </w:pPr>
    </w:p>
    <w:p w14:paraId="726EB9D6" w14:textId="47568995" w:rsidR="00DE39F4" w:rsidRDefault="00DE39F4" w:rsidP="00DE39F4">
      <w:r>
        <w:t>As part of the 2020 Budget Digital Business Plan</w:t>
      </w:r>
      <w:r w:rsidR="001B2BF8">
        <w:t>,</w:t>
      </w:r>
      <w:r>
        <w:t xml:space="preserve"> the Government announced the full implementation of the </w:t>
      </w:r>
      <w:r w:rsidR="00645602">
        <w:t>MBR</w:t>
      </w:r>
      <w:r>
        <w:t xml:space="preserve"> program. The MBR program will improve registry efficiency by modernising and uniting the Australian Securities and Investment Commission’s</w:t>
      </w:r>
      <w:r w:rsidR="00056186">
        <w:t xml:space="preserve"> (ASIC)</w:t>
      </w:r>
      <w:r>
        <w:t xml:space="preserve"> 31 business registers and the Australian Business Register (ABR) on to a new system at the A</w:t>
      </w:r>
      <w:r w:rsidR="00056186">
        <w:t xml:space="preserve">ustralian </w:t>
      </w:r>
      <w:r>
        <w:t>T</w:t>
      </w:r>
      <w:r w:rsidR="00056186">
        <w:t xml:space="preserve">axation </w:t>
      </w:r>
      <w:r>
        <w:t>O</w:t>
      </w:r>
      <w:r w:rsidR="00056186">
        <w:t>ffice (ATO)</w:t>
      </w:r>
      <w:r>
        <w:t xml:space="preserve">. </w:t>
      </w:r>
      <w:r w:rsidR="00F31654">
        <w:t xml:space="preserve">Users will interact with the </w:t>
      </w:r>
      <w:r w:rsidR="00156FC4">
        <w:t>new Australian Business Registry Services (ABRS)</w:t>
      </w:r>
      <w:r>
        <w:t xml:space="preserve"> to manage </w:t>
      </w:r>
      <w:r>
        <w:lastRenderedPageBreak/>
        <w:t xml:space="preserve">their registrations and </w:t>
      </w:r>
      <w:r w:rsidR="006C486C">
        <w:t>registry obligations</w:t>
      </w:r>
      <w:r>
        <w:t xml:space="preserve"> in one </w:t>
      </w:r>
      <w:r w:rsidR="006C486C">
        <w:t>place</w:t>
      </w:r>
      <w:r>
        <w:t xml:space="preserve">. The changes to registry services </w:t>
      </w:r>
      <w:r w:rsidR="00F804FC">
        <w:t>being delivered through the ABRS</w:t>
      </w:r>
      <w:r>
        <w:t xml:space="preserve"> go beyond a</w:t>
      </w:r>
      <w:r w:rsidR="0037232B">
        <w:t xml:space="preserve"> technology</w:t>
      </w:r>
      <w:r>
        <w:t xml:space="preserve"> upgrade</w:t>
      </w:r>
      <w:r w:rsidR="0037232B">
        <w:t xml:space="preserve"> –</w:t>
      </w:r>
      <w:r>
        <w:t xml:space="preserve"> they will make it easier for businesses to fulfil their regulatory responsibilities and streamline </w:t>
      </w:r>
      <w:r w:rsidR="006C486C">
        <w:t xml:space="preserve">their </w:t>
      </w:r>
      <w:r>
        <w:t>interactions with government.</w:t>
      </w:r>
    </w:p>
    <w:p w14:paraId="0F3AE926" w14:textId="36210566" w:rsidR="008B3FDA" w:rsidRDefault="008B3FDA" w:rsidP="008B3FDA">
      <w:pPr>
        <w:rPr>
          <w:rStyle w:val="SubtleReference"/>
        </w:rPr>
      </w:pPr>
      <w:r>
        <w:rPr>
          <w:rStyle w:val="SubtleReference"/>
        </w:rPr>
        <w:t xml:space="preserve">Figure </w:t>
      </w:r>
      <w:r w:rsidR="009A4940">
        <w:rPr>
          <w:rStyle w:val="SubtleReference"/>
        </w:rPr>
        <w:t>1</w:t>
      </w:r>
      <w:r>
        <w:rPr>
          <w:rStyle w:val="SubtleReference"/>
        </w:rPr>
        <w:t>: The Modernised Registry System at a Glance</w:t>
      </w:r>
    </w:p>
    <w:p w14:paraId="092EA735" w14:textId="77777777" w:rsidR="00597494" w:rsidRDefault="00597494" w:rsidP="008B3FDA">
      <w:pPr>
        <w:jc w:val="center"/>
        <w:rPr>
          <w:rStyle w:val="SubtleReference"/>
        </w:rPr>
      </w:pPr>
      <w:r>
        <w:rPr>
          <w:rStyle w:val="SubtleReference"/>
          <w:noProof/>
        </w:rPr>
        <w:drawing>
          <wp:inline distT="0" distB="0" distL="0" distR="0" wp14:anchorId="557A8787" wp14:editId="553D3CA3">
            <wp:extent cx="5699573" cy="3500990"/>
            <wp:effectExtent l="0" t="0" r="0" b="4445"/>
            <wp:docPr id="341" name="Picture 341" descr="Modernised Business Registers will contain 31 ASIC registers (including the Australian Company Register (ACR)) and the Australian Business Register (ABR), managed by the ATO.&#10;&#10;Key statistics for the ASIC registers include the following: there are 2.9 million companies on the ACR; there are 2.7 million individual directors who will require a Director Identification Number; there are 280,000 new company registrations annually; there are 2.43 million business names; 219 million searches last financial year on ASIC registry services; and 52 million entry accesses a year on the ACR.&#10;&#10;Key statistics for the ABR are that there are 9.1 million active ABNs, more than 500,000 new ABN entries each year, and 1.8 billion searches and data lookups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Modernised Business Registers will contain 31 ASIC registers (including the Australian Company Register (ACR)) and the Australian Business Register (ABR), managed by the ATO.&#10;&#10;Key statistics for the ASIC registers include the following: there are 2.9 million companies on the ACR; there are 2.7 million individual directors who will require a Director Identification Number; there are 280,000 new company registrations annually; there are 2.43 million business names; 219 million searches last financial year on ASIC registry services; and 52 million entry accesses a year on the ACR.&#10;&#10;Key statistics for the ABR are that there are 9.1 million active ABNs, more than 500,000 new ABN entries each year, and 1.8 billion searches and data lookups annuall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555" b="5562"/>
                    <a:stretch/>
                  </pic:blipFill>
                  <pic:spPr bwMode="auto">
                    <a:xfrm>
                      <a:off x="0" y="0"/>
                      <a:ext cx="5725881" cy="3517150"/>
                    </a:xfrm>
                    <a:prstGeom prst="rect">
                      <a:avLst/>
                    </a:prstGeom>
                    <a:noFill/>
                    <a:ln>
                      <a:noFill/>
                    </a:ln>
                    <a:extLst>
                      <a:ext uri="{53640926-AAD7-44D8-BBD7-CCE9431645EC}">
                        <a14:shadowObscured xmlns:a14="http://schemas.microsoft.com/office/drawing/2010/main"/>
                      </a:ext>
                    </a:extLst>
                  </pic:spPr>
                </pic:pic>
              </a:graphicData>
            </a:graphic>
          </wp:inline>
        </w:drawing>
      </w:r>
    </w:p>
    <w:p w14:paraId="620F1764" w14:textId="69336A9B" w:rsidR="008B3FDA" w:rsidRPr="005D122E" w:rsidRDefault="00597494" w:rsidP="005D122E">
      <w:pPr>
        <w:pStyle w:val="TableGraphic"/>
        <w:ind w:left="56"/>
        <w:rPr>
          <w:rStyle w:val="SubtleReference"/>
          <w:sz w:val="16"/>
          <w:szCs w:val="24"/>
        </w:rPr>
      </w:pPr>
      <w:r w:rsidRPr="005D122E">
        <w:rPr>
          <w:rStyle w:val="SubtleReference"/>
          <w:sz w:val="16"/>
          <w:szCs w:val="24"/>
        </w:rPr>
        <w:t xml:space="preserve">Figures courtesy of ASIC and </w:t>
      </w:r>
      <w:r>
        <w:rPr>
          <w:rStyle w:val="SubtleReference"/>
          <w:sz w:val="16"/>
          <w:szCs w:val="24"/>
        </w:rPr>
        <w:t>ABRS</w:t>
      </w:r>
    </w:p>
    <w:p w14:paraId="2341C722" w14:textId="4E07B962" w:rsidR="00E0286E" w:rsidRDefault="00645602" w:rsidP="00645602">
      <w:r w:rsidRPr="00840DE1">
        <w:t xml:space="preserve">Since the last consultation on fees in 2018 there has been significant progress </w:t>
      </w:r>
      <w:r w:rsidR="0066114A">
        <w:t>in</w:t>
      </w:r>
      <w:r w:rsidR="0066114A" w:rsidRPr="00840DE1">
        <w:t xml:space="preserve"> </w:t>
      </w:r>
      <w:r w:rsidRPr="00840DE1">
        <w:t xml:space="preserve">the design and implementation of the </w:t>
      </w:r>
      <w:r w:rsidR="0066114A">
        <w:t>ABRS</w:t>
      </w:r>
      <w:r w:rsidRPr="00840DE1">
        <w:t>. This has included the introduction of director ID in</w:t>
      </w:r>
      <w:r>
        <w:t>to public beta</w:t>
      </w:r>
      <w:r w:rsidRPr="00840DE1">
        <w:t xml:space="preserve"> </w:t>
      </w:r>
      <w:r>
        <w:t>in November 2021</w:t>
      </w:r>
      <w:r w:rsidRPr="00840DE1">
        <w:t xml:space="preserve">. </w:t>
      </w:r>
      <w:r w:rsidR="00285685" w:rsidRPr="00285685">
        <w:t>Directors will be allocated a unique identifier that they will keep forever even if they cease to be a director, change their name, or move interstate or overseas. A director’s identity is verified during application, which improves data integrity and helps regulators to detect and deal with illegal phoenix activities.</w:t>
      </w:r>
      <w:r w:rsidR="00285685">
        <w:t xml:space="preserve"> </w:t>
      </w:r>
    </w:p>
    <w:p w14:paraId="4185627A" w14:textId="2A028C77" w:rsidR="00E0286E" w:rsidRDefault="00645602" w:rsidP="00E0286E">
      <w:r w:rsidRPr="00840DE1">
        <w:t xml:space="preserve">The next stage of the MBR Program </w:t>
      </w:r>
      <w:r w:rsidR="00BA0AE6">
        <w:t>will be focused on</w:t>
      </w:r>
      <w:r w:rsidR="00BA0AE6" w:rsidRPr="00840DE1">
        <w:t xml:space="preserve"> </w:t>
      </w:r>
      <w:r w:rsidRPr="00840DE1">
        <w:t xml:space="preserve">the </w:t>
      </w:r>
      <w:r w:rsidR="0066114A">
        <w:t>migration</w:t>
      </w:r>
      <w:r w:rsidR="0066114A" w:rsidRPr="00840DE1">
        <w:t xml:space="preserve"> </w:t>
      </w:r>
      <w:r w:rsidRPr="00840DE1">
        <w:t>of registry information relating to companies.</w:t>
      </w:r>
      <w:r>
        <w:t xml:space="preserve"> </w:t>
      </w:r>
      <w:r w:rsidR="00E0286E">
        <w:t xml:space="preserve">The </w:t>
      </w:r>
      <w:r w:rsidR="00A05247">
        <w:t>new</w:t>
      </w:r>
      <w:r w:rsidR="00E0286E">
        <w:t xml:space="preserve"> companies register will introduce a new range of services that will modernise the interactions between Government, businesses, and the public.  </w:t>
      </w:r>
    </w:p>
    <w:p w14:paraId="44622630" w14:textId="6E031EFA" w:rsidR="00393063" w:rsidRPr="00393063" w:rsidRDefault="00393063" w:rsidP="00645602">
      <w:pPr>
        <w:rPr>
          <w:smallCaps/>
          <w:color w:val="5A5A5A" w:themeColor="text1" w:themeTint="A5"/>
        </w:rPr>
      </w:pPr>
      <w:r>
        <w:rPr>
          <w:rStyle w:val="SubtleReference"/>
        </w:rPr>
        <w:t>Figure 2: MBR Program</w:t>
      </w:r>
      <w:r w:rsidR="005930FC">
        <w:rPr>
          <w:rStyle w:val="SubtleReference"/>
        </w:rPr>
        <w:t xml:space="preserve"> Milestones</w:t>
      </w:r>
    </w:p>
    <w:p w14:paraId="0593302F" w14:textId="29195340" w:rsidR="00645602" w:rsidRDefault="000F2B74" w:rsidP="00645602">
      <w:pPr>
        <w:jc w:val="center"/>
      </w:pPr>
      <w:r>
        <w:rPr>
          <w:noProof/>
        </w:rPr>
        <w:drawing>
          <wp:inline distT="0" distB="0" distL="0" distR="0" wp14:anchorId="1F24EBDB" wp14:editId="794F9F9D">
            <wp:extent cx="5753100" cy="2000880"/>
            <wp:effectExtent l="0" t="0" r="0" b="0"/>
            <wp:docPr id="338" name="Picture 338" descr="The Australian Business Registry Services, once fully implemented by the MBR Program in 2024, will contain the Director Identification Number, the companies register, the business names registers, and professional and historical registers.&#10;&#10;Decommissioning of the legacy ASIC registers will also occur after the ful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The Australian Business Registry Services, once fully implemented by the MBR Program in 2024, will contain the Director Identification Number, the companies register, the business names registers, and professional and historical registers.&#10;&#10;Decommissioning of the legacy ASIC registers will also occur after the full implemen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2221" cy="2007530"/>
                    </a:xfrm>
                    <a:prstGeom prst="rect">
                      <a:avLst/>
                    </a:prstGeom>
                    <a:noFill/>
                  </pic:spPr>
                </pic:pic>
              </a:graphicData>
            </a:graphic>
          </wp:inline>
        </w:drawing>
      </w:r>
      <w:r w:rsidR="00393063">
        <w:rPr>
          <w:noProof/>
        </w:rPr>
        <w:t xml:space="preserve"> </w:t>
      </w:r>
    </w:p>
    <w:p w14:paraId="5D3AC2A7" w14:textId="0EF1A083" w:rsidR="00AA410A" w:rsidRDefault="00AA410A" w:rsidP="00FB606F">
      <w:pPr>
        <w:pStyle w:val="Heading3"/>
      </w:pPr>
      <w:bookmarkStart w:id="8" w:name="_Toc90913088"/>
      <w:r>
        <w:lastRenderedPageBreak/>
        <w:t>Scope</w:t>
      </w:r>
      <w:bookmarkEnd w:id="8"/>
    </w:p>
    <w:p w14:paraId="27AD2BDC" w14:textId="49A6B9FB" w:rsidR="009B7AA4" w:rsidRDefault="009B7AA4" w:rsidP="009B7AA4">
      <w:r>
        <w:t xml:space="preserve">The scope for this </w:t>
      </w:r>
      <w:r w:rsidR="0044250E">
        <w:t xml:space="preserve">consultation </w:t>
      </w:r>
      <w:r>
        <w:t xml:space="preserve">is the fees </w:t>
      </w:r>
      <w:r w:rsidR="00CE0C12">
        <w:t xml:space="preserve">currently </w:t>
      </w:r>
      <w:r>
        <w:t xml:space="preserve">associated with ASIC’s business registers. </w:t>
      </w:r>
      <w:r w:rsidR="00044289">
        <w:t xml:space="preserve">Other </w:t>
      </w:r>
      <w:r>
        <w:t xml:space="preserve">ASIC regulatory </w:t>
      </w:r>
      <w:r w:rsidR="00B531AE">
        <w:t xml:space="preserve">fees and charges, including those under Industry Funding Model, </w:t>
      </w:r>
      <w:r w:rsidR="0044250E">
        <w:t>are not being considered through this process</w:t>
      </w:r>
      <w:r w:rsidR="00B531AE">
        <w:t>.</w:t>
      </w:r>
      <w:r w:rsidR="002C060B">
        <w:t xml:space="preserve"> Possible fees for director </w:t>
      </w:r>
      <w:r w:rsidR="00044289">
        <w:t>ID</w:t>
      </w:r>
      <w:r w:rsidR="00CA6EDB">
        <w:t xml:space="preserve">, </w:t>
      </w:r>
      <w:r w:rsidR="002C060B">
        <w:t>an ABN</w:t>
      </w:r>
      <w:r w:rsidR="00CA6EDB">
        <w:t xml:space="preserve"> or for sub-funds attached to a Corporate Collective Investment Vehicle</w:t>
      </w:r>
      <w:r w:rsidR="002C060B">
        <w:t xml:space="preserve"> are also out of scope</w:t>
      </w:r>
      <w:r w:rsidR="003D030C">
        <w:t xml:space="preserve"> of this paper</w:t>
      </w:r>
      <w:r w:rsidR="002C060B">
        <w:t>.</w:t>
      </w:r>
    </w:p>
    <w:p w14:paraId="489C5CB2" w14:textId="699D7191" w:rsidR="00CC1590" w:rsidRDefault="009B7AA4">
      <w:pPr>
        <w:pStyle w:val="Bullet"/>
        <w:numPr>
          <w:ilvl w:val="0"/>
          <w:numId w:val="0"/>
        </w:numPr>
      </w:pPr>
      <w:r>
        <w:t xml:space="preserve">This </w:t>
      </w:r>
      <w:r w:rsidR="00044289">
        <w:t xml:space="preserve">consultation is focused on reform options at the category level (registration, review, and renewal fees, search fees, late fees, </w:t>
      </w:r>
      <w:r w:rsidR="00CB1F3A">
        <w:t xml:space="preserve">and </w:t>
      </w:r>
      <w:r w:rsidR="00044289">
        <w:t xml:space="preserve">lifecycle fees) rather than </w:t>
      </w:r>
      <w:r>
        <w:t xml:space="preserve">each individual prescribed fee within the regulations. </w:t>
      </w:r>
    </w:p>
    <w:p w14:paraId="3A9FC24E" w14:textId="157F1D86" w:rsidR="00E91ABE" w:rsidRDefault="00CC1590">
      <w:pPr>
        <w:pStyle w:val="Bullet"/>
        <w:numPr>
          <w:ilvl w:val="0"/>
          <w:numId w:val="0"/>
        </w:numPr>
      </w:pPr>
      <w:r>
        <w:t>In addition, t</w:t>
      </w:r>
      <w:r w:rsidR="009B7AA4">
        <w:t xml:space="preserve">he introduction of an infrastructure fee </w:t>
      </w:r>
      <w:r w:rsidR="00DE4B9E">
        <w:t>for some</w:t>
      </w:r>
      <w:r w:rsidR="009B7AA4" w:rsidDel="00044289">
        <w:t xml:space="preserve"> wholesale </w:t>
      </w:r>
      <w:r w:rsidR="00DE4B9E">
        <w:t xml:space="preserve">users or use-cases </w:t>
      </w:r>
      <w:r w:rsidR="00CA6EDB">
        <w:t>continues to be</w:t>
      </w:r>
      <w:r w:rsidR="009B7AA4">
        <w:t xml:space="preserve"> under </w:t>
      </w:r>
      <w:r w:rsidR="00D4787D">
        <w:t>c</w:t>
      </w:r>
      <w:r w:rsidR="009B7AA4">
        <w:t>onsideration following</w:t>
      </w:r>
      <w:r w:rsidR="00044289">
        <w:t xml:space="preserve"> initial</w:t>
      </w:r>
      <w:r w:rsidR="009B7AA4">
        <w:t xml:space="preserve"> consultation in 2018. </w:t>
      </w:r>
    </w:p>
    <w:p w14:paraId="1823A18C" w14:textId="475E99F6" w:rsidR="00FB606F" w:rsidRDefault="00120619" w:rsidP="00FB606F">
      <w:pPr>
        <w:pStyle w:val="Heading3"/>
      </w:pPr>
      <w:bookmarkStart w:id="9" w:name="_Toc90913089"/>
      <w:r>
        <w:t>Objectives</w:t>
      </w:r>
      <w:r w:rsidR="00E17984">
        <w:t xml:space="preserve"> of this consultation</w:t>
      </w:r>
      <w:bookmarkEnd w:id="9"/>
    </w:p>
    <w:p w14:paraId="1E4A808F" w14:textId="179819E8" w:rsidR="00120619" w:rsidRDefault="00120619" w:rsidP="00120619">
      <w:r w:rsidRPr="00B571E0">
        <w:t xml:space="preserve">Given changes to the broader business environment and the continued maturation of the </w:t>
      </w:r>
      <w:r>
        <w:t>MBR program</w:t>
      </w:r>
      <w:r w:rsidRPr="00B571E0">
        <w:t xml:space="preserve">, the Government is seeking further views on the role and design of </w:t>
      </w:r>
      <w:r>
        <w:t xml:space="preserve">aspects of the </w:t>
      </w:r>
      <w:r w:rsidRPr="00B571E0">
        <w:t>registry fee</w:t>
      </w:r>
      <w:r>
        <w:t xml:space="preserve"> regime</w:t>
      </w:r>
      <w:r w:rsidRPr="00B571E0">
        <w:t>.</w:t>
      </w:r>
    </w:p>
    <w:p w14:paraId="513ED041" w14:textId="19E7A178" w:rsidR="00934FBB" w:rsidRPr="00CA6EDB" w:rsidRDefault="00120619">
      <w:r>
        <w:t xml:space="preserve">The principles of making fees simpler, easier to understand and more equitable, which were largely supported in </w:t>
      </w:r>
      <w:r w:rsidR="00960125">
        <w:t xml:space="preserve">the 2018 </w:t>
      </w:r>
      <w:r>
        <w:t>consultation</w:t>
      </w:r>
      <w:r w:rsidR="00960125">
        <w:t>,</w:t>
      </w:r>
      <w:r>
        <w:t xml:space="preserve"> </w:t>
      </w:r>
      <w:r w:rsidR="00960125">
        <w:t xml:space="preserve">still </w:t>
      </w:r>
      <w:r w:rsidR="00210FD8">
        <w:t xml:space="preserve">form the framework for considering the design of registry fee structures. This consultation is to seek feedback on </w:t>
      </w:r>
      <w:r w:rsidR="009B7AA4">
        <w:t>proposed reforms</w:t>
      </w:r>
      <w:r>
        <w:t xml:space="preserve"> to</w:t>
      </w:r>
      <w:r w:rsidR="009B7AA4">
        <w:t xml:space="preserve"> </w:t>
      </w:r>
      <w:r>
        <w:t xml:space="preserve">registry </w:t>
      </w:r>
      <w:r w:rsidR="009B7AA4">
        <w:t>fee</w:t>
      </w:r>
      <w:r w:rsidR="00D4787D">
        <w:t>s</w:t>
      </w:r>
      <w:r w:rsidR="00282766">
        <w:t xml:space="preserve"> and how </w:t>
      </w:r>
      <w:r w:rsidR="00934FBB" w:rsidRPr="00CA6EDB">
        <w:t>fee settings can be best tailored to:</w:t>
      </w:r>
    </w:p>
    <w:p w14:paraId="71C81D7C" w14:textId="77777777" w:rsidR="00934FBB" w:rsidRPr="00CA6EDB" w:rsidRDefault="00934FBB" w:rsidP="00282766">
      <w:pPr>
        <w:pStyle w:val="Bullet"/>
      </w:pPr>
      <w:r w:rsidRPr="00CA6EDB">
        <w:t>reduce the cost of accessing registry information for many individuals and businesses</w:t>
      </w:r>
    </w:p>
    <w:p w14:paraId="25201004" w14:textId="77777777" w:rsidR="00934FBB" w:rsidRPr="00CA6EDB" w:rsidRDefault="00934FBB" w:rsidP="00282766">
      <w:pPr>
        <w:pStyle w:val="Bullet"/>
      </w:pPr>
      <w:r w:rsidRPr="00CA6EDB">
        <w:t>reduce complexity and make it easier for businesses to interact with registry services by removing sources of frustration</w:t>
      </w:r>
    </w:p>
    <w:p w14:paraId="5A132791" w14:textId="77777777" w:rsidR="00934FBB" w:rsidRPr="00CA6EDB" w:rsidRDefault="00934FBB" w:rsidP="00282766">
      <w:pPr>
        <w:pStyle w:val="Bullet"/>
      </w:pPr>
      <w:r w:rsidRPr="00CA6EDB">
        <w:t>improve the integrity and currency of registry information</w:t>
      </w:r>
    </w:p>
    <w:p w14:paraId="7E9728A4" w14:textId="075E32AC" w:rsidR="00FB606F" w:rsidRPr="00D30A8E" w:rsidRDefault="00934FBB" w:rsidP="00D30A8E">
      <w:pPr>
        <w:pStyle w:val="Bullet"/>
        <w:rPr>
          <w:sz w:val="20"/>
        </w:rPr>
      </w:pPr>
      <w:r w:rsidRPr="00CA6EDB">
        <w:t>promote access to data for innovative uses.</w:t>
      </w:r>
    </w:p>
    <w:p w14:paraId="2C02C09A" w14:textId="1541C45D" w:rsidR="009B7AA4" w:rsidRDefault="00B531AE" w:rsidP="009B7AA4">
      <w:r>
        <w:t xml:space="preserve">Any reforms </w:t>
      </w:r>
      <w:r w:rsidR="002C060B">
        <w:t>raised</w:t>
      </w:r>
      <w:r>
        <w:t xml:space="preserve"> as part of this </w:t>
      </w:r>
      <w:r w:rsidR="00210FD8">
        <w:t xml:space="preserve">consultation </w:t>
      </w:r>
      <w:r w:rsidR="002C060B">
        <w:t>will continue to be considered alongside complimentary policy settings, including the Government’s broader deregulation agenda, the Australian Government’s Charging Framework (the Charging Framework</w:t>
      </w:r>
      <w:r w:rsidR="00980ECB">
        <w:rPr>
          <w:rStyle w:val="FootnoteReference"/>
        </w:rPr>
        <w:footnoteReference w:id="3"/>
      </w:r>
      <w:r w:rsidR="002C060B">
        <w:t xml:space="preserve">) and </w:t>
      </w:r>
      <w:r w:rsidR="006E6715">
        <w:t>Public Data P</w:t>
      </w:r>
      <w:r w:rsidR="002C060B">
        <w:t>olicy</w:t>
      </w:r>
      <w:r w:rsidR="00980ECB">
        <w:rPr>
          <w:rStyle w:val="FootnoteReference"/>
        </w:rPr>
        <w:footnoteReference w:id="4"/>
      </w:r>
      <w:r w:rsidR="002C060B">
        <w:t>.</w:t>
      </w:r>
    </w:p>
    <w:p w14:paraId="79054955" w14:textId="22A772B9" w:rsidR="003B41AC" w:rsidRDefault="00F11679" w:rsidP="003B41AC">
      <w:pPr>
        <w:pStyle w:val="Heading2"/>
      </w:pPr>
      <w:bookmarkStart w:id="10" w:name="_Toc90913090"/>
      <w:r>
        <w:t>P</w:t>
      </w:r>
      <w:r w:rsidR="009B7AA4">
        <w:t xml:space="preserve">otential </w:t>
      </w:r>
      <w:r>
        <w:t>fee reforms</w:t>
      </w:r>
      <w:bookmarkEnd w:id="10"/>
    </w:p>
    <w:p w14:paraId="57863EA5" w14:textId="27117E09" w:rsidR="007029E4" w:rsidRDefault="009B1116" w:rsidP="0070374B">
      <w:pPr>
        <w:pStyle w:val="AlphaParagraph"/>
        <w:numPr>
          <w:ilvl w:val="0"/>
          <w:numId w:val="0"/>
        </w:numPr>
      </w:pPr>
      <w:r>
        <w:t>In line with the</w:t>
      </w:r>
      <w:r w:rsidR="00811630">
        <w:t xml:space="preserve"> modernisation of the business registers and their underlying systems, the Government is seeking to ensure that the associated fee structures </w:t>
      </w:r>
      <w:r w:rsidR="009C7DBB">
        <w:t>support the benefits already delivered through the MBR Program</w:t>
      </w:r>
      <w:r w:rsidR="00811630">
        <w:t>.</w:t>
      </w:r>
    </w:p>
    <w:p w14:paraId="651CD870" w14:textId="454E5DD7" w:rsidR="009C7DBB" w:rsidRDefault="00177A78" w:rsidP="00860488">
      <w:pPr>
        <w:pStyle w:val="AlphaParagraph"/>
        <w:numPr>
          <w:ilvl w:val="0"/>
          <w:numId w:val="0"/>
        </w:numPr>
      </w:pPr>
      <w:r>
        <w:t xml:space="preserve">The Government has been giving ongoing consideration to the design of registry fees. Your views, taking into account changes to the broader business environment and the addition of </w:t>
      </w:r>
      <w:r w:rsidR="00C45E4C">
        <w:t>l</w:t>
      </w:r>
      <w:r>
        <w:t>ifecycle fees to the scope of the review, will be considered alongside those provided in response to the 2018 discussion paper.</w:t>
      </w:r>
      <w:r w:rsidR="00C45E4C">
        <w:t xml:space="preserve"> This will inform the development and implementation of registry fees </w:t>
      </w:r>
      <w:r w:rsidR="006A4D19">
        <w:t>for the ABRS</w:t>
      </w:r>
      <w:r w:rsidR="00C45E4C">
        <w:t>.</w:t>
      </w:r>
    </w:p>
    <w:p w14:paraId="6A72D3F9" w14:textId="7CF245C0" w:rsidR="00A869CB" w:rsidRDefault="00A869CB" w:rsidP="00860488">
      <w:pPr>
        <w:pStyle w:val="AlphaParagraph"/>
        <w:numPr>
          <w:ilvl w:val="0"/>
          <w:numId w:val="0"/>
        </w:numPr>
      </w:pPr>
      <w:r>
        <w:t>Refor</w:t>
      </w:r>
      <w:r w:rsidR="00FF18CB">
        <w:t>m options have been developed for search fees, infrastructure fees, late fees, and lifecycle fees. No reforms are proposed for registration, review, and renewal fees</w:t>
      </w:r>
      <w:r w:rsidR="009546A0">
        <w:t>, as p</w:t>
      </w:r>
      <w:r w:rsidR="006A21E7">
        <w:t>rior</w:t>
      </w:r>
      <w:r w:rsidR="00FF18CB">
        <w:t xml:space="preserve"> consultation indicated that </w:t>
      </w:r>
      <w:r w:rsidR="006A21E7">
        <w:t xml:space="preserve">stakeholders broadly recognised the </w:t>
      </w:r>
      <w:r w:rsidR="008B0ED3">
        <w:t xml:space="preserve">structure and </w:t>
      </w:r>
      <w:r w:rsidR="006A21E7">
        <w:t>role played by these fees.</w:t>
      </w:r>
    </w:p>
    <w:p w14:paraId="29336A7C" w14:textId="22FA46BB" w:rsidR="004D6F2A" w:rsidRDefault="004D6F2A" w:rsidP="004D6F2A">
      <w:pPr>
        <w:pStyle w:val="Heading3"/>
      </w:pPr>
      <w:bookmarkStart w:id="11" w:name="_Toc90913091"/>
      <w:r>
        <w:lastRenderedPageBreak/>
        <w:t>Search fees</w:t>
      </w:r>
      <w:bookmarkEnd w:id="11"/>
    </w:p>
    <w:p w14:paraId="64B2E89E" w14:textId="5793E6E9" w:rsidR="00974690" w:rsidRDefault="00A35D02" w:rsidP="00974690">
      <w:r>
        <w:t>The Government is committed to increasing the value of government</w:t>
      </w:r>
      <w:r w:rsidR="00D441B6">
        <w:t>-held</w:t>
      </w:r>
      <w:r>
        <w:t xml:space="preserve"> data through broader accessibility and availability to the public. </w:t>
      </w:r>
      <w:r w:rsidR="00974690">
        <w:t xml:space="preserve">The searchable data held on the ABRS </w:t>
      </w:r>
      <w:r w:rsidR="00D441B6">
        <w:t>will be</w:t>
      </w:r>
      <w:r w:rsidR="00974690">
        <w:t xml:space="preserve"> a key economic resource. Registry data is accessed by a range of users, including businesses and the public, professional and financial services, and </w:t>
      </w:r>
      <w:r w:rsidR="008A245E">
        <w:t xml:space="preserve">all levels of </w:t>
      </w:r>
      <w:r w:rsidR="00974690">
        <w:t>government. While the overwhelming majority of searches conducted on ASIC’s registers are free, ASIC is required to charge search fees for some products (e.g. $9 for a current company extract or current business name extract)</w:t>
      </w:r>
      <w:r w:rsidRPr="00A35D02">
        <w:rPr>
          <w:rStyle w:val="FootnoteReference"/>
        </w:rPr>
        <w:t xml:space="preserve"> </w:t>
      </w:r>
      <w:r>
        <w:rPr>
          <w:rStyle w:val="FootnoteReference"/>
        </w:rPr>
        <w:footnoteReference w:id="5"/>
      </w:r>
      <w:r w:rsidR="00974690">
        <w:t xml:space="preserve">.  </w:t>
      </w:r>
    </w:p>
    <w:p w14:paraId="1AD88E3C" w14:textId="6FEB67C2" w:rsidR="00974690" w:rsidRDefault="00A35D02" w:rsidP="00A35D02">
      <w:pPr>
        <w:pStyle w:val="Bullet"/>
        <w:numPr>
          <w:ilvl w:val="0"/>
          <w:numId w:val="0"/>
        </w:numPr>
      </w:pPr>
      <w:r>
        <w:t xml:space="preserve">Stakeholder feedback from the </w:t>
      </w:r>
      <w:r w:rsidR="00A7020C">
        <w:t xml:space="preserve">2018 consultation </w:t>
      </w:r>
      <w:r w:rsidR="005D086F">
        <w:t>was</w:t>
      </w:r>
      <w:r w:rsidR="00A7020C">
        <w:t xml:space="preserve"> supportive of further reductions </w:t>
      </w:r>
      <w:r w:rsidR="008A245E">
        <w:t xml:space="preserve">to </w:t>
      </w:r>
      <w:r w:rsidR="00A7020C">
        <w:t xml:space="preserve">or a removal of </w:t>
      </w:r>
      <w:r w:rsidR="008A245E">
        <w:t xml:space="preserve">fees on </w:t>
      </w:r>
      <w:r w:rsidR="00A7020C">
        <w:t xml:space="preserve">digital retail searches and highlighted the value of registry data to both businesses and the overall economy. </w:t>
      </w:r>
      <w:r w:rsidR="00974690">
        <w:t>In July 2019, the Government acted to:</w:t>
      </w:r>
    </w:p>
    <w:p w14:paraId="00D54A80" w14:textId="194A0447" w:rsidR="00974690" w:rsidRDefault="00974690" w:rsidP="00974690">
      <w:pPr>
        <w:pStyle w:val="Bullet"/>
      </w:pPr>
      <w:r>
        <w:t>exempt journalists from paying certain registry search fees</w:t>
      </w:r>
    </w:p>
    <w:p w14:paraId="1197C00C" w14:textId="3FC3989C" w:rsidR="00974690" w:rsidRDefault="00974690" w:rsidP="00974690">
      <w:pPr>
        <w:pStyle w:val="Bullet"/>
      </w:pPr>
      <w:r>
        <w:t>reduce the fee to access company roles and relationship extracts from $40 to $19.</w:t>
      </w:r>
    </w:p>
    <w:p w14:paraId="3702A7DC" w14:textId="25368BCA" w:rsidR="007C31B5" w:rsidRDefault="007C31B5" w:rsidP="005D086F">
      <w:pPr>
        <w:pStyle w:val="Bullet"/>
        <w:numPr>
          <w:ilvl w:val="0"/>
          <w:numId w:val="0"/>
        </w:numPr>
      </w:pPr>
      <w:r>
        <w:t>The MBR program will deliver a</w:t>
      </w:r>
      <w:r w:rsidR="009C61A4">
        <w:t xml:space="preserve">n improved </w:t>
      </w:r>
      <w:r>
        <w:t xml:space="preserve">search experience with two channels designed to </w:t>
      </w:r>
      <w:r w:rsidR="009C61A4">
        <w:t>better support users engaging with the registers.</w:t>
      </w:r>
    </w:p>
    <w:p w14:paraId="389D9BC0" w14:textId="77777777" w:rsidR="00393063" w:rsidRPr="00393063" w:rsidRDefault="00393063" w:rsidP="005D086F">
      <w:pPr>
        <w:pStyle w:val="Bullet"/>
        <w:numPr>
          <w:ilvl w:val="0"/>
          <w:numId w:val="0"/>
        </w:numPr>
        <w:rPr>
          <w:sz w:val="2"/>
          <w:szCs w:val="2"/>
        </w:rPr>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231D7D" w14:paraId="71EEAE24" w14:textId="77777777" w:rsidTr="008361B4">
        <w:tc>
          <w:tcPr>
            <w:tcW w:w="5000" w:type="pct"/>
            <w:shd w:val="clear" w:color="auto" w:fill="EAEAEA" w:themeFill="background2"/>
          </w:tcPr>
          <w:p w14:paraId="70F9B500" w14:textId="18ACC7B2" w:rsidR="00231D7D" w:rsidRPr="000553FE" w:rsidRDefault="00231D7D" w:rsidP="00E86E6F">
            <w:pPr>
              <w:pStyle w:val="BoxHeading"/>
              <w:rPr>
                <w:b w:val="0"/>
              </w:rPr>
            </w:pPr>
            <w:r w:rsidRPr="000553FE">
              <w:t xml:space="preserve">Box </w:t>
            </w:r>
            <w:r>
              <w:t xml:space="preserve">3: </w:t>
            </w:r>
            <w:r w:rsidRPr="00231D7D">
              <w:t xml:space="preserve">Searching Registry Information </w:t>
            </w:r>
            <w:r w:rsidR="00152B16">
              <w:t>on</w:t>
            </w:r>
            <w:r w:rsidR="00152B16" w:rsidRPr="00231D7D">
              <w:t xml:space="preserve"> </w:t>
            </w:r>
            <w:r w:rsidRPr="00231D7D">
              <w:t xml:space="preserve">the </w:t>
            </w:r>
            <w:r w:rsidR="00152B16">
              <w:t>ABRS</w:t>
            </w:r>
          </w:p>
          <w:p w14:paraId="10FDCCFA" w14:textId="7F1BCC7F" w:rsidR="00231D7D" w:rsidRDefault="00231D7D" w:rsidP="00231D7D">
            <w:r>
              <w:t xml:space="preserve">When the </w:t>
            </w:r>
            <w:r w:rsidR="00152B16">
              <w:t xml:space="preserve">existing </w:t>
            </w:r>
            <w:r>
              <w:t>registers transition to the new digital system, there will be two channels for searches:</w:t>
            </w:r>
          </w:p>
          <w:p w14:paraId="73AD5A60" w14:textId="1AA9EE14" w:rsidR="00231D7D" w:rsidRDefault="00231D7D" w:rsidP="00231D7D">
            <w:pPr>
              <w:pStyle w:val="Bullet"/>
            </w:pPr>
            <w:r>
              <w:t xml:space="preserve">A </w:t>
            </w:r>
            <w:r>
              <w:rPr>
                <w:b/>
                <w:bCs/>
              </w:rPr>
              <w:t>retail</w:t>
            </w:r>
            <w:r>
              <w:t xml:space="preserve"> channel where anyone can make individual searches for registry information (e.g. a business owner may conduct a search for the company extract of a potential counterparty)</w:t>
            </w:r>
            <w:r w:rsidR="00B976D5">
              <w:rPr>
                <w:rStyle w:val="FootnoteReference"/>
              </w:rPr>
              <w:footnoteReference w:id="6"/>
            </w:r>
            <w:r>
              <w:t>.</w:t>
            </w:r>
          </w:p>
          <w:p w14:paraId="36A1A2C8" w14:textId="319264ED" w:rsidR="00231D7D" w:rsidRPr="00231D7D" w:rsidRDefault="00231D7D" w:rsidP="00E86E6F">
            <w:pPr>
              <w:pStyle w:val="Bullet"/>
            </w:pPr>
            <w:r>
              <w:t xml:space="preserve">A </w:t>
            </w:r>
            <w:r>
              <w:rPr>
                <w:b/>
                <w:bCs/>
              </w:rPr>
              <w:t>wholesale</w:t>
            </w:r>
            <w:r>
              <w:t xml:space="preserve"> channel where authenticated users can use the registry A</w:t>
            </w:r>
            <w:r w:rsidR="00D728A7">
              <w:t xml:space="preserve">pplication </w:t>
            </w:r>
            <w:r>
              <w:t>P</w:t>
            </w:r>
            <w:r w:rsidR="00D728A7">
              <w:t xml:space="preserve">rogram </w:t>
            </w:r>
            <w:r>
              <w:t>I</w:t>
            </w:r>
            <w:r w:rsidR="00D728A7">
              <w:t>nterface</w:t>
            </w:r>
            <w:r>
              <w:t>s</w:t>
            </w:r>
            <w:r w:rsidR="00D728A7">
              <w:t xml:space="preserve"> (APIs)</w:t>
            </w:r>
            <w:r>
              <w:t xml:space="preserve"> to make bulk requests to the data platform. </w:t>
            </w:r>
          </w:p>
        </w:tc>
      </w:tr>
    </w:tbl>
    <w:p w14:paraId="5F0679F7" w14:textId="77777777" w:rsidR="00393063" w:rsidRPr="00393063" w:rsidRDefault="00393063" w:rsidP="00974690">
      <w:pPr>
        <w:rPr>
          <w:sz w:val="2"/>
          <w:szCs w:val="2"/>
        </w:rPr>
      </w:pPr>
    </w:p>
    <w:p w14:paraId="101D64AE" w14:textId="46D7E7FA" w:rsidR="009C61A4" w:rsidRDefault="009C61A4" w:rsidP="00974690">
      <w:r>
        <w:t>The current search fee structure does not differentiate between retail and wholesale searches and was</w:t>
      </w:r>
      <w:r w:rsidR="00974690">
        <w:t xml:space="preserve"> developed for a registry system </w:t>
      </w:r>
      <w:r>
        <w:t>where most</w:t>
      </w:r>
      <w:r w:rsidR="00974690">
        <w:t xml:space="preserve"> services were paper and counter based</w:t>
      </w:r>
      <w:r>
        <w:t xml:space="preserve">. </w:t>
      </w:r>
      <w:r w:rsidR="0074670B">
        <w:t>Fees were</w:t>
      </w:r>
      <w:r>
        <w:t xml:space="preserve"> set </w:t>
      </w:r>
      <w:r w:rsidR="00974690">
        <w:t>to approximate the cost incurred by the Government to retrieve the documents and provide them to the applicant</w:t>
      </w:r>
      <w:r w:rsidR="00A7020C">
        <w:t>. When the registers are transitioned to the ABRS, the cost to deliver digital searches is expected to fall</w:t>
      </w:r>
      <w:r w:rsidR="001F6AA7">
        <w:t xml:space="preserve"> substantially</w:t>
      </w:r>
      <w:r w:rsidR="00A7020C">
        <w:t>.</w:t>
      </w:r>
    </w:p>
    <w:p w14:paraId="760D3965" w14:textId="329B4222" w:rsidR="00A35D02" w:rsidRDefault="00A7020C" w:rsidP="00A35D02">
      <w:pPr>
        <w:pStyle w:val="Bullet"/>
        <w:numPr>
          <w:ilvl w:val="0"/>
          <w:numId w:val="0"/>
        </w:numPr>
        <w:tabs>
          <w:tab w:val="left" w:pos="720"/>
        </w:tabs>
      </w:pPr>
      <w:r>
        <w:t xml:space="preserve">The Government is considering removing or further reducing fees for digital searches conducted through the </w:t>
      </w:r>
      <w:r>
        <w:rPr>
          <w:b/>
          <w:bCs/>
        </w:rPr>
        <w:t>retail</w:t>
      </w:r>
      <w:r>
        <w:t xml:space="preserve"> channel</w:t>
      </w:r>
      <w:r w:rsidR="005D086F">
        <w:t xml:space="preserve">. </w:t>
      </w:r>
      <w:r w:rsidR="0092626E">
        <w:t>This would significantly improve access to registry data across the economy noting there would continue to be a limited set of data which cannot be provided through automated data processes</w:t>
      </w:r>
      <w:r w:rsidR="0092626E">
        <w:rPr>
          <w:rStyle w:val="FootnoteReference"/>
        </w:rPr>
        <w:footnoteReference w:id="7"/>
      </w:r>
      <w:r w:rsidR="0092626E">
        <w:t>.</w:t>
      </w:r>
      <w:r w:rsidR="0092626E" w:rsidDel="00BC1C5F">
        <w:t xml:space="preserve"> </w:t>
      </w:r>
      <w:r w:rsidR="0092626E">
        <w:t xml:space="preserve">However, </w:t>
      </w:r>
      <w:r w:rsidR="005D086F">
        <w:t>some stakeholders have expressed that further reductions</w:t>
      </w:r>
      <w:r w:rsidR="00BC1C5F">
        <w:t xml:space="preserve"> to</w:t>
      </w:r>
      <w:r w:rsidR="005D086F">
        <w:t xml:space="preserve"> or removal of search fees may make personally </w:t>
      </w:r>
      <w:r w:rsidR="00BC1C5F">
        <w:t xml:space="preserve">identifiable </w:t>
      </w:r>
      <w:r w:rsidR="005D086F">
        <w:t>data more readily available</w:t>
      </w:r>
      <w:r w:rsidR="00754E8A">
        <w:rPr>
          <w:rStyle w:val="FootnoteReference"/>
        </w:rPr>
        <w:footnoteReference w:id="8"/>
      </w:r>
      <w:r w:rsidR="0092626E">
        <w:t>.</w:t>
      </w:r>
    </w:p>
    <w:tbl>
      <w:tblPr>
        <w:tblpPr w:leftFromText="180" w:rightFromText="180" w:vertAnchor="text" w:horzAnchor="margin" w:tblpY="114"/>
        <w:tblW w:w="5000" w:type="pct"/>
        <w:shd w:val="clear" w:color="auto" w:fill="D5E1F1" w:themeFill="accent2" w:themeFillTint="33"/>
        <w:tblLook w:val="01E0" w:firstRow="1" w:lastRow="1" w:firstColumn="1" w:lastColumn="1" w:noHBand="0" w:noVBand="0"/>
      </w:tblPr>
      <w:tblGrid>
        <w:gridCol w:w="9070"/>
      </w:tblGrid>
      <w:tr w:rsidR="00196C17" w14:paraId="7FADE8C0" w14:textId="77777777" w:rsidTr="00196C17">
        <w:tc>
          <w:tcPr>
            <w:tcW w:w="5000" w:type="pct"/>
            <w:shd w:val="clear" w:color="auto" w:fill="D5E1F1" w:themeFill="accent2" w:themeFillTint="33"/>
          </w:tcPr>
          <w:p w14:paraId="2204FC82" w14:textId="77777777" w:rsidR="00196C17" w:rsidRPr="000553FE" w:rsidRDefault="00196C17" w:rsidP="00196C17">
            <w:pPr>
              <w:pStyle w:val="BoxHeading"/>
              <w:rPr>
                <w:b w:val="0"/>
              </w:rPr>
            </w:pPr>
            <w:r>
              <w:t>Consultation questions: Search fees</w:t>
            </w:r>
          </w:p>
          <w:p w14:paraId="3457C3EB" w14:textId="77777777" w:rsidR="00196C17" w:rsidRDefault="00196C17" w:rsidP="00196C17">
            <w:pPr>
              <w:pStyle w:val="OutlineNumbered1"/>
              <w:tabs>
                <w:tab w:val="clear" w:pos="851"/>
                <w:tab w:val="num" w:pos="605"/>
              </w:tabs>
              <w:ind w:left="605" w:hanging="605"/>
            </w:pPr>
            <w:r>
              <w:t xml:space="preserve">Are you supportive of a further reduction to or removal of digital retail search fees? </w:t>
            </w:r>
          </w:p>
          <w:p w14:paraId="2603ED28" w14:textId="77777777" w:rsidR="00196C17" w:rsidRPr="008950C5" w:rsidRDefault="00196C17" w:rsidP="00196C17">
            <w:pPr>
              <w:pStyle w:val="OutlineNumbered2"/>
              <w:tabs>
                <w:tab w:val="clear" w:pos="1134"/>
              </w:tabs>
              <w:ind w:left="845" w:hanging="665"/>
            </w:pPr>
            <w:r>
              <w:t>Do you have any concerns about retaining fees on a limited range of searches?</w:t>
            </w:r>
          </w:p>
        </w:tc>
      </w:tr>
    </w:tbl>
    <w:p w14:paraId="0944DC3C" w14:textId="5F36F5D9" w:rsidR="00196C17" w:rsidRDefault="00196C17" w:rsidP="00A35D02">
      <w:pPr>
        <w:pStyle w:val="Bullet"/>
        <w:numPr>
          <w:ilvl w:val="0"/>
          <w:numId w:val="0"/>
        </w:numPr>
        <w:tabs>
          <w:tab w:val="left" w:pos="720"/>
        </w:tabs>
      </w:pPr>
    </w:p>
    <w:p w14:paraId="29D523B4" w14:textId="77777777" w:rsidR="004D6F2A" w:rsidRDefault="004D6F2A" w:rsidP="004D6F2A">
      <w:pPr>
        <w:pStyle w:val="Heading3"/>
      </w:pPr>
      <w:bookmarkStart w:id="12" w:name="_Toc90913092"/>
      <w:r>
        <w:lastRenderedPageBreak/>
        <w:t>Infrastructure fees</w:t>
      </w:r>
      <w:bookmarkEnd w:id="12"/>
    </w:p>
    <w:p w14:paraId="70C771CD" w14:textId="3609E991" w:rsidR="004D6F2A" w:rsidRDefault="004D6F2A" w:rsidP="00154CDE">
      <w:pPr>
        <w:pStyle w:val="Bullet"/>
        <w:numPr>
          <w:ilvl w:val="0"/>
          <w:numId w:val="0"/>
        </w:numPr>
      </w:pPr>
      <w:r>
        <w:t xml:space="preserve">The MBR program will deliver a range of enhancements </w:t>
      </w:r>
      <w:r w:rsidR="0092626E">
        <w:t>for</w:t>
      </w:r>
      <w:r>
        <w:t xml:space="preserve"> </w:t>
      </w:r>
      <w:r w:rsidR="0092626E" w:rsidRPr="0092626E">
        <w:rPr>
          <w:b/>
          <w:bCs/>
        </w:rPr>
        <w:t>wholesale</w:t>
      </w:r>
      <w:r w:rsidR="0092626E">
        <w:t xml:space="preserve"> users</w:t>
      </w:r>
      <w:r w:rsidR="00812351">
        <w:t>,</w:t>
      </w:r>
      <w:r w:rsidR="0092626E">
        <w:t xml:space="preserve"> improving the integrity of</w:t>
      </w:r>
      <w:r>
        <w:t xml:space="preserve"> registry data and the way in which it is consumed</w:t>
      </w:r>
      <w:r w:rsidR="0092626E">
        <w:t>.</w:t>
      </w:r>
      <w:r>
        <w:t xml:space="preserve"> </w:t>
      </w:r>
      <w:r w:rsidR="00154CDE">
        <w:t>It will</w:t>
      </w:r>
      <w:r w:rsidR="00154CDE" w:rsidDel="00A23040">
        <w:t xml:space="preserve"> </w:t>
      </w:r>
      <w:r w:rsidR="00154CDE">
        <w:t xml:space="preserve">provide for direct connection through APIs </w:t>
      </w:r>
      <w:r w:rsidR="00A23040">
        <w:t>and</w:t>
      </w:r>
      <w:r w:rsidR="00154CDE">
        <w:t xml:space="preserve"> a test environment to enable engagement with the system to test concepts</w:t>
      </w:r>
      <w:r w:rsidR="00754E8A">
        <w:rPr>
          <w:rStyle w:val="FootnoteReference"/>
        </w:rPr>
        <w:footnoteReference w:id="9"/>
      </w:r>
      <w:r w:rsidR="00154CDE">
        <w:t xml:space="preserve">. </w:t>
      </w:r>
      <w:r w:rsidR="00812351">
        <w:t>This</w:t>
      </w:r>
      <w:r>
        <w:t xml:space="preserve"> will </w:t>
      </w:r>
      <w:r w:rsidR="00A23040">
        <w:t>allow</w:t>
      </w:r>
      <w:r>
        <w:t xml:space="preserve"> wholesale users to perform bulk requests for public, commercial and, in some instances, personal purposes.  </w:t>
      </w:r>
    </w:p>
    <w:p w14:paraId="551DC49A" w14:textId="77777777" w:rsidR="00C61A39" w:rsidRPr="00393063" w:rsidRDefault="00C61A39" w:rsidP="00154CDE">
      <w:pPr>
        <w:pStyle w:val="Bullet"/>
        <w:numPr>
          <w:ilvl w:val="0"/>
          <w:numId w:val="0"/>
        </w:numPr>
        <w:rPr>
          <w:sz w:val="2"/>
          <w:szCs w:val="2"/>
        </w:rPr>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231D7D" w14:paraId="66699129" w14:textId="77777777" w:rsidTr="008361B4">
        <w:tc>
          <w:tcPr>
            <w:tcW w:w="5000" w:type="pct"/>
            <w:shd w:val="clear" w:color="auto" w:fill="EAEAEA" w:themeFill="background2"/>
          </w:tcPr>
          <w:p w14:paraId="5A59E41C" w14:textId="16957CA5" w:rsidR="00231D7D" w:rsidRPr="000553FE" w:rsidRDefault="00231D7D" w:rsidP="00E86E6F">
            <w:pPr>
              <w:pStyle w:val="BoxHeading"/>
              <w:rPr>
                <w:b w:val="0"/>
              </w:rPr>
            </w:pPr>
            <w:r w:rsidRPr="000553FE">
              <w:t xml:space="preserve">Box </w:t>
            </w:r>
            <w:r w:rsidR="00BC02E8">
              <w:t>4</w:t>
            </w:r>
            <w:r>
              <w:t xml:space="preserve">: </w:t>
            </w:r>
            <w:r w:rsidR="00F2780D" w:rsidRPr="00F2780D">
              <w:t>Wholesale Users and Search Fees</w:t>
            </w:r>
          </w:p>
          <w:p w14:paraId="30543D3B" w14:textId="77777777" w:rsidR="00F2780D" w:rsidRDefault="00F2780D" w:rsidP="00F2780D">
            <w:pPr>
              <w:pStyle w:val="Bullet"/>
            </w:pPr>
            <w:r>
              <w:t xml:space="preserve">Some government agencies, academics and journalists receive concessional charges and exemptions for some searches.  </w:t>
            </w:r>
          </w:p>
          <w:p w14:paraId="2ABDDB53" w14:textId="10A4808C" w:rsidR="00F2780D" w:rsidRDefault="00F2780D" w:rsidP="00F2780D">
            <w:pPr>
              <w:pStyle w:val="Bullet"/>
            </w:pPr>
            <w:r>
              <w:t>Large commercial users are charged as per the search fee schedule</w:t>
            </w:r>
            <w:r w:rsidR="00A23040">
              <w:t>,</w:t>
            </w:r>
            <w:r>
              <w:t xml:space="preserve"> which does not differentiate between bulk requests and </w:t>
            </w:r>
            <w:r w:rsidDel="00A23040">
              <w:t>one</w:t>
            </w:r>
            <w:r w:rsidR="00A23040">
              <w:t>-off</w:t>
            </w:r>
            <w:r>
              <w:t xml:space="preserve"> transactions.</w:t>
            </w:r>
          </w:p>
          <w:p w14:paraId="4590FDE8" w14:textId="5F39DFBD" w:rsidR="00231D7D" w:rsidRPr="00F2780D" w:rsidRDefault="00F2780D" w:rsidP="00E86E6F">
            <w:pPr>
              <w:pStyle w:val="Bullet"/>
            </w:pPr>
            <w:r>
              <w:t>Small commercial or personal users (e.g. lawyers) may access information directly through the retail channel or employ the services of an information broker.</w:t>
            </w:r>
          </w:p>
        </w:tc>
      </w:tr>
    </w:tbl>
    <w:p w14:paraId="00713E7C" w14:textId="3C174559" w:rsidR="00C61A39" w:rsidRDefault="00C61A39" w:rsidP="00812351">
      <w:pPr>
        <w:pStyle w:val="Bullet"/>
        <w:numPr>
          <w:ilvl w:val="0"/>
          <w:numId w:val="0"/>
        </w:numPr>
        <w:rPr>
          <w:sz w:val="2"/>
          <w:szCs w:val="2"/>
        </w:rPr>
      </w:pPr>
    </w:p>
    <w:p w14:paraId="63CC296B" w14:textId="77777777" w:rsidR="00393063" w:rsidRPr="00393063" w:rsidRDefault="00393063" w:rsidP="00812351">
      <w:pPr>
        <w:pStyle w:val="Bullet"/>
        <w:numPr>
          <w:ilvl w:val="0"/>
          <w:numId w:val="0"/>
        </w:numPr>
        <w:rPr>
          <w:sz w:val="2"/>
          <w:szCs w:val="2"/>
        </w:rPr>
      </w:pPr>
    </w:p>
    <w:p w14:paraId="2E104F64" w14:textId="6745ACE6" w:rsidR="00812351" w:rsidRDefault="00CE5076" w:rsidP="00812351">
      <w:pPr>
        <w:pStyle w:val="Bullet"/>
        <w:numPr>
          <w:ilvl w:val="0"/>
          <w:numId w:val="0"/>
        </w:numPr>
      </w:pPr>
      <w:r>
        <w:t>As indicated above</w:t>
      </w:r>
      <w:r w:rsidR="00154CDE">
        <w:t>,</w:t>
      </w:r>
      <w:r>
        <w:t xml:space="preserve"> the current search fee structure does not differentiate between retail and wholesale users with previous c</w:t>
      </w:r>
      <w:r w:rsidR="004D6F2A">
        <w:t xml:space="preserve">onsultation feedback </w:t>
      </w:r>
      <w:r>
        <w:t>acknowledging that this model is</w:t>
      </w:r>
      <w:r w:rsidR="004D6F2A">
        <w:t xml:space="preserve"> not fit-for-purpose</w:t>
      </w:r>
      <w:r>
        <w:t xml:space="preserve">. </w:t>
      </w:r>
      <w:r w:rsidR="00812351">
        <w:t xml:space="preserve">The previous consultation contemplated the imposition </w:t>
      </w:r>
      <w:r w:rsidR="00A23040">
        <w:t xml:space="preserve">of </w:t>
      </w:r>
      <w:r w:rsidR="00812351">
        <w:t xml:space="preserve">a fee on API users recognising that there are additional benefits that are available to wholesale users that utilise this channel. </w:t>
      </w:r>
    </w:p>
    <w:p w14:paraId="11B4BFBF" w14:textId="374761F7" w:rsidR="009B3558" w:rsidRDefault="009B3558" w:rsidP="009B3558">
      <w:pPr>
        <w:pStyle w:val="Bullet"/>
        <w:numPr>
          <w:ilvl w:val="0"/>
          <w:numId w:val="0"/>
        </w:numPr>
      </w:pPr>
      <w:r>
        <w:t xml:space="preserve">The government is considering the introduction of an </w:t>
      </w:r>
      <w:r w:rsidR="00D728A7">
        <w:t>i</w:t>
      </w:r>
      <w:r>
        <w:t>nfrastructure fee</w:t>
      </w:r>
      <w:r w:rsidR="00812351">
        <w:t>, consistent with the Charging Framework,</w:t>
      </w:r>
      <w:r>
        <w:t xml:space="preserve"> which could be designed for wholesale users to better reflect</w:t>
      </w:r>
      <w:r w:rsidR="00D728A7">
        <w:t xml:space="preserve"> both</w:t>
      </w:r>
      <w:r>
        <w:t xml:space="preserve"> their use cases and business models.  </w:t>
      </w:r>
    </w:p>
    <w:p w14:paraId="24431417" w14:textId="3341C6F4" w:rsidR="00393063" w:rsidRPr="00393063" w:rsidRDefault="00393063" w:rsidP="009B3558">
      <w:pPr>
        <w:pStyle w:val="Bullet"/>
        <w:numPr>
          <w:ilvl w:val="0"/>
          <w:numId w:val="0"/>
        </w:numPr>
        <w:rPr>
          <w:sz w:val="2"/>
          <w:szCs w:val="2"/>
        </w:rPr>
      </w:pPr>
    </w:p>
    <w:tbl>
      <w:tblPr>
        <w:tblW w:w="5000" w:type="pct"/>
        <w:shd w:val="clear" w:color="auto" w:fill="D5E1F1" w:themeFill="accent2" w:themeFillTint="33"/>
        <w:tblLook w:val="01E0" w:firstRow="1" w:lastRow="1" w:firstColumn="1" w:lastColumn="1" w:noHBand="0" w:noVBand="0"/>
      </w:tblPr>
      <w:tblGrid>
        <w:gridCol w:w="9070"/>
      </w:tblGrid>
      <w:tr w:rsidR="00393063" w14:paraId="6E82C944" w14:textId="77777777" w:rsidTr="008361B4">
        <w:tc>
          <w:tcPr>
            <w:tcW w:w="5000" w:type="pct"/>
            <w:shd w:val="clear" w:color="auto" w:fill="D5E1F1" w:themeFill="accent2" w:themeFillTint="33"/>
          </w:tcPr>
          <w:p w14:paraId="667E7F9A" w14:textId="327D4428" w:rsidR="00393063" w:rsidRPr="000553FE" w:rsidRDefault="00393063" w:rsidP="00E86E6F">
            <w:pPr>
              <w:pStyle w:val="BoxHeading"/>
              <w:rPr>
                <w:b w:val="0"/>
              </w:rPr>
            </w:pPr>
            <w:r>
              <w:t xml:space="preserve">Consultation question: </w:t>
            </w:r>
            <w:r w:rsidRPr="00393063">
              <w:t>Infrastructure fee</w:t>
            </w:r>
            <w:r w:rsidR="00732F25">
              <w:t xml:space="preserve"> users and use-cases</w:t>
            </w:r>
          </w:p>
          <w:p w14:paraId="1DF22BB0" w14:textId="181F6E68" w:rsidR="00393063" w:rsidRPr="008950C5" w:rsidRDefault="00393063" w:rsidP="00A23040">
            <w:pPr>
              <w:pStyle w:val="OutlineNumbered1"/>
              <w:tabs>
                <w:tab w:val="clear" w:pos="851"/>
                <w:tab w:val="num" w:pos="605"/>
              </w:tabs>
              <w:ind w:left="605" w:hanging="605"/>
            </w:pPr>
            <w:r w:rsidRPr="00393063">
              <w:t>Which types of users (or use-cases) should be charged an infrastructure fee? Are there any users (or use-cases) that should be exempt?</w:t>
            </w:r>
          </w:p>
        </w:tc>
      </w:tr>
    </w:tbl>
    <w:p w14:paraId="5ECC0F53" w14:textId="1E4094D5" w:rsidR="00393063" w:rsidRDefault="00393063" w:rsidP="004D6F2A">
      <w:pPr>
        <w:pStyle w:val="Dash"/>
        <w:numPr>
          <w:ilvl w:val="0"/>
          <w:numId w:val="0"/>
        </w:numPr>
        <w:spacing w:after="160" w:line="259" w:lineRule="auto"/>
        <w:rPr>
          <w:sz w:val="2"/>
          <w:szCs w:val="2"/>
        </w:rPr>
      </w:pPr>
    </w:p>
    <w:p w14:paraId="0F213B5A" w14:textId="77777777" w:rsidR="005A425A" w:rsidRDefault="005A425A" w:rsidP="005A425A">
      <w:pPr>
        <w:pStyle w:val="Dash"/>
        <w:numPr>
          <w:ilvl w:val="0"/>
          <w:numId w:val="0"/>
        </w:numPr>
        <w:spacing w:after="160" w:line="259" w:lineRule="auto"/>
      </w:pPr>
      <w:r>
        <w:t xml:space="preserve">The government is also considering the components that may make up an infrastructure fee including the imposition of an onboarding or subscription fee </w:t>
      </w:r>
      <w:r w:rsidRPr="004F3D28">
        <w:rPr>
          <w:b/>
          <w:bCs/>
        </w:rPr>
        <w:t>and/or</w:t>
      </w:r>
      <w:r>
        <w:t xml:space="preserve"> a usage charge.</w:t>
      </w:r>
    </w:p>
    <w:tbl>
      <w:tblPr>
        <w:tblpPr w:leftFromText="180" w:rightFromText="180" w:vertAnchor="text" w:horzAnchor="margin" w:tblpY="8"/>
        <w:tblW w:w="5000" w:type="pct"/>
        <w:shd w:val="clear" w:color="auto" w:fill="D5E1F1" w:themeFill="accent2" w:themeFillTint="33"/>
        <w:tblLook w:val="01E0" w:firstRow="1" w:lastRow="1" w:firstColumn="1" w:lastColumn="1" w:noHBand="0" w:noVBand="0"/>
      </w:tblPr>
      <w:tblGrid>
        <w:gridCol w:w="9070"/>
      </w:tblGrid>
      <w:tr w:rsidR="005A425A" w14:paraId="1F1293B1" w14:textId="77777777" w:rsidTr="005A425A">
        <w:tc>
          <w:tcPr>
            <w:tcW w:w="5000" w:type="pct"/>
            <w:shd w:val="clear" w:color="auto" w:fill="D5E1F1" w:themeFill="accent2" w:themeFillTint="33"/>
          </w:tcPr>
          <w:p w14:paraId="1FCDD61B" w14:textId="77777777" w:rsidR="005A425A" w:rsidRPr="000553FE" w:rsidRDefault="005A425A" w:rsidP="005A425A">
            <w:pPr>
              <w:pStyle w:val="BoxHeading"/>
              <w:rPr>
                <w:b w:val="0"/>
              </w:rPr>
            </w:pPr>
            <w:r w:rsidRPr="00393063">
              <w:t>Consultation question: Infrastructure fee</w:t>
            </w:r>
            <w:r>
              <w:t xml:space="preserve"> components</w:t>
            </w:r>
          </w:p>
          <w:p w14:paraId="369B7AE3" w14:textId="77777777" w:rsidR="005A425A" w:rsidRDefault="005A425A" w:rsidP="005A425A">
            <w:pPr>
              <w:pStyle w:val="OutlineNumbered1"/>
              <w:tabs>
                <w:tab w:val="clear" w:pos="851"/>
                <w:tab w:val="num" w:pos="605"/>
              </w:tabs>
              <w:ind w:left="605" w:hanging="605"/>
            </w:pPr>
            <w:r>
              <w:t>If a connection fee is introduced, which is preferable: a larger one-off onboarding fee, or a smaller ongoing subscription fee?</w:t>
            </w:r>
          </w:p>
          <w:p w14:paraId="05C62F55" w14:textId="3C8B42A6" w:rsidR="005A425A" w:rsidRPr="008950C5" w:rsidRDefault="005A425A" w:rsidP="004F3D28">
            <w:pPr>
              <w:pStyle w:val="OutlineNumbered1"/>
              <w:tabs>
                <w:tab w:val="clear" w:pos="851"/>
                <w:tab w:val="num" w:pos="605"/>
              </w:tabs>
              <w:ind w:left="605" w:hanging="605"/>
            </w:pPr>
            <w:r>
              <w:t>If a usage charge is introduced how should it be set? For example, per company, attribute, unit of measurement (e.g. by API call)?</w:t>
            </w:r>
          </w:p>
        </w:tc>
      </w:tr>
    </w:tbl>
    <w:p w14:paraId="161DB489" w14:textId="274F3D3A" w:rsidR="00EB6FC5" w:rsidRDefault="00EB6FC5" w:rsidP="00EB6FC5">
      <w:pPr>
        <w:pStyle w:val="Heading3"/>
      </w:pPr>
      <w:bookmarkStart w:id="13" w:name="_Toc90913093"/>
      <w:r>
        <w:t>Late fees</w:t>
      </w:r>
      <w:bookmarkEnd w:id="13"/>
    </w:p>
    <w:p w14:paraId="50AF4027" w14:textId="4E143506" w:rsidR="008D2042" w:rsidRDefault="008D2042" w:rsidP="008D2042">
      <w:r>
        <w:t xml:space="preserve">The data held on the registers is relied upon by a range of users to make important economic decisions, including the provisioning of loans and verification of counterparties. </w:t>
      </w:r>
      <w:r w:rsidR="00E01BB1" w:rsidRPr="00E01BB1">
        <w:t>The data is also relied upon by ASIC and other government bodies to make important regulatory decisions</w:t>
      </w:r>
      <w:r w:rsidR="00E01BB1">
        <w:t xml:space="preserve">. </w:t>
      </w:r>
      <w:r>
        <w:t>It is therefore critical that the information held on the registers is current and accurate.</w:t>
      </w:r>
      <w:r w:rsidR="00CC2882">
        <w:t xml:space="preserve"> </w:t>
      </w:r>
      <w:r w:rsidR="00230AA0">
        <w:t>T</w:t>
      </w:r>
      <w:r w:rsidR="00AB6BB8">
        <w:t xml:space="preserve">he </w:t>
      </w:r>
      <w:r w:rsidR="00230AA0">
        <w:t>ABRS</w:t>
      </w:r>
      <w:r>
        <w:t xml:space="preserve"> will </w:t>
      </w:r>
      <w:r>
        <w:lastRenderedPageBreak/>
        <w:t>deliver improvements to notification</w:t>
      </w:r>
      <w:r w:rsidR="00230AA0">
        <w:t>s</w:t>
      </w:r>
      <w:r w:rsidR="007E5774">
        <w:t>,</w:t>
      </w:r>
      <w:r w:rsidR="00230AA0">
        <w:t xml:space="preserve"> and</w:t>
      </w:r>
      <w:r>
        <w:t xml:space="preserve"> invoicing and payment mechanisms</w:t>
      </w:r>
      <w:r w:rsidR="007E5774">
        <w:t>,</w:t>
      </w:r>
      <w:r>
        <w:t xml:space="preserve"> </w:t>
      </w:r>
      <w:r w:rsidR="00AB6BB8">
        <w:t xml:space="preserve">that are expected to reduce the number of </w:t>
      </w:r>
      <w:r w:rsidR="00F22761">
        <w:t>late fees</w:t>
      </w:r>
      <w:r w:rsidR="00460F85">
        <w:t xml:space="preserve"> incurred</w:t>
      </w:r>
      <w:r w:rsidR="00230AA0">
        <w:t xml:space="preserve">. However, </w:t>
      </w:r>
      <w:r>
        <w:t>late fees will continue to play an important role in encouraging timely payment, and review and lodgement of documents</w:t>
      </w:r>
      <w:r w:rsidR="00914C43">
        <w:t xml:space="preserve"> and information</w:t>
      </w:r>
      <w:r>
        <w:t>.</w:t>
      </w:r>
    </w:p>
    <w:p w14:paraId="53728CB2" w14:textId="5C500DFA" w:rsidR="00576D99" w:rsidRDefault="00CC2882" w:rsidP="00576D99">
      <w:r>
        <w:t xml:space="preserve">The complexity of the current late fee regime </w:t>
      </w:r>
      <w:r w:rsidR="00CE1BE1">
        <w:t xml:space="preserve">is a </w:t>
      </w:r>
      <w:r>
        <w:t xml:space="preserve">persistent source of </w:t>
      </w:r>
      <w:r w:rsidR="00CE1BE1">
        <w:t xml:space="preserve">confusion and </w:t>
      </w:r>
      <w:r>
        <w:t>complaints related to the registers.</w:t>
      </w:r>
      <w:r w:rsidR="00576D99">
        <w:t xml:space="preserve"> </w:t>
      </w:r>
      <w:r w:rsidR="00230AA0">
        <w:t>For example, t</w:t>
      </w:r>
      <w:r w:rsidR="00460F85">
        <w:t xml:space="preserve">he late provision of information outlined in </w:t>
      </w:r>
      <w:r w:rsidR="000816DD">
        <w:t>Scenario 1</w:t>
      </w:r>
      <w:r w:rsidR="00460F85">
        <w:t xml:space="preserve"> </w:t>
      </w:r>
      <w:r w:rsidR="00230AA0">
        <w:t>can incur</w:t>
      </w:r>
      <w:r w:rsidR="00460F85">
        <w:t xml:space="preserve"> </w:t>
      </w:r>
      <w:r w:rsidR="00576D99">
        <w:t>both a late review fee and a late lodgement fee</w:t>
      </w:r>
      <w:r w:rsidR="00460F85">
        <w:t xml:space="preserve"> for the same piece of information</w:t>
      </w:r>
      <w:r w:rsidR="00576D99">
        <w:t>.</w:t>
      </w:r>
    </w:p>
    <w:p w14:paraId="5B5BB0E3" w14:textId="77777777" w:rsidR="00576D99" w:rsidRPr="002E44AA" w:rsidRDefault="00576D99" w:rsidP="00576D99">
      <w:pPr>
        <w:rPr>
          <w:sz w:val="2"/>
          <w:szCs w:val="2"/>
        </w:rPr>
      </w:pPr>
    </w:p>
    <w:p w14:paraId="1221C0BF" w14:textId="77777777" w:rsidR="00576D99" w:rsidRPr="00732F25" w:rsidRDefault="00576D99" w:rsidP="00576D99">
      <w:pPr>
        <w:pBdr>
          <w:bottom w:val="single" w:sz="12" w:space="1" w:color="auto"/>
        </w:pBdr>
        <w:rPr>
          <w:sz w:val="2"/>
          <w:szCs w:val="2"/>
        </w:rPr>
      </w:pPr>
    </w:p>
    <w:p w14:paraId="33EC18A2" w14:textId="77777777" w:rsidR="00576D99" w:rsidRPr="002F4E46" w:rsidRDefault="00576D99" w:rsidP="00576D99">
      <w:pPr>
        <w:pStyle w:val="Heading5"/>
        <w:rPr>
          <w:rStyle w:val="SubtleReference"/>
          <w:smallCaps w:val="0"/>
          <w:color w:val="002C47"/>
        </w:rPr>
      </w:pPr>
      <w:r w:rsidRPr="002F4E46">
        <w:rPr>
          <w:rStyle w:val="SubtleReference"/>
          <w:smallCaps w:val="0"/>
          <w:color w:val="002C47"/>
        </w:rPr>
        <w:t xml:space="preserve">Scenario </w:t>
      </w:r>
      <w:r>
        <w:rPr>
          <w:rStyle w:val="SubtleReference"/>
          <w:smallCaps w:val="0"/>
          <w:color w:val="002C47"/>
        </w:rPr>
        <w:t>1</w:t>
      </w:r>
      <w:r w:rsidRPr="002F4E46">
        <w:rPr>
          <w:rStyle w:val="SubtleReference"/>
          <w:smallCaps w:val="0"/>
          <w:color w:val="002C47"/>
        </w:rPr>
        <w:t>: Application of Multiple Fees for the Late Provision of Information</w:t>
      </w:r>
    </w:p>
    <w:p w14:paraId="0379D001" w14:textId="77777777" w:rsidR="00576D99" w:rsidRDefault="00576D99" w:rsidP="00576D99">
      <w:pPr>
        <w:numPr>
          <w:ilvl w:val="0"/>
          <w:numId w:val="29"/>
        </w:numPr>
      </w:pPr>
      <w:r w:rsidRPr="002F4E46">
        <w:t>Company’s annual review date occurs on 1 February 2021.</w:t>
      </w:r>
    </w:p>
    <w:p w14:paraId="732D5EF9" w14:textId="4D624CBE" w:rsidR="00576D99" w:rsidRPr="002F4E46" w:rsidRDefault="00576D99" w:rsidP="00576D99">
      <w:pPr>
        <w:numPr>
          <w:ilvl w:val="0"/>
          <w:numId w:val="29"/>
        </w:numPr>
      </w:pPr>
      <w:r w:rsidRPr="002F4E46">
        <w:t xml:space="preserve">A new agent is appointed for Company on 1 </w:t>
      </w:r>
      <w:r w:rsidR="00E01BB1">
        <w:t>July</w:t>
      </w:r>
      <w:r w:rsidRPr="002F4E46">
        <w:t xml:space="preserve"> 2021. </w:t>
      </w:r>
    </w:p>
    <w:p w14:paraId="2EA16188" w14:textId="348B93DF" w:rsidR="00576D99" w:rsidRPr="002F4E46" w:rsidRDefault="00576D99" w:rsidP="00576D99">
      <w:pPr>
        <w:numPr>
          <w:ilvl w:val="0"/>
          <w:numId w:val="30"/>
        </w:numPr>
      </w:pPr>
      <w:r w:rsidRPr="002F4E46">
        <w:t>New agent undertakes a data download and discovers old agent failed to update ASIC as register reflects old officeholders</w:t>
      </w:r>
      <w:r w:rsidR="00E01BB1">
        <w:t>.</w:t>
      </w:r>
      <w:r w:rsidRPr="002F4E46">
        <w:t xml:space="preserve"> </w:t>
      </w:r>
    </w:p>
    <w:p w14:paraId="0027679E" w14:textId="77777777" w:rsidR="00576D99" w:rsidRPr="002F4E46" w:rsidRDefault="00576D99" w:rsidP="00576D99">
      <w:pPr>
        <w:numPr>
          <w:ilvl w:val="0"/>
          <w:numId w:val="30"/>
        </w:numPr>
      </w:pPr>
      <w:r w:rsidRPr="002F4E46">
        <w:t>New agent notifies ASIC of new officeholder, with effective date of change, 1 June 2019.</w:t>
      </w:r>
    </w:p>
    <w:p w14:paraId="02BEB746" w14:textId="77777777" w:rsidR="00576D99" w:rsidRPr="002F4E46" w:rsidRDefault="00576D99" w:rsidP="00576D99">
      <w:pPr>
        <w:numPr>
          <w:ilvl w:val="0"/>
          <w:numId w:val="30"/>
        </w:numPr>
      </w:pPr>
      <w:r w:rsidRPr="002F4E46">
        <w:t xml:space="preserve">Company incurs late fees: </w:t>
      </w:r>
    </w:p>
    <w:p w14:paraId="6989A59C" w14:textId="0423A347" w:rsidR="00576D99" w:rsidRDefault="00576D99" w:rsidP="00576D99">
      <w:pPr>
        <w:numPr>
          <w:ilvl w:val="1"/>
          <w:numId w:val="30"/>
        </w:numPr>
      </w:pPr>
      <w:r w:rsidRPr="002F4E46">
        <w:t>$</w:t>
      </w:r>
      <w:r w:rsidR="00E01BB1">
        <w:t>344</w:t>
      </w:r>
      <w:r w:rsidRPr="002F4E46">
        <w:t xml:space="preserve"> late lodgement fee </w:t>
      </w:r>
    </w:p>
    <w:p w14:paraId="60A34E30" w14:textId="625F3862" w:rsidR="00576D99" w:rsidRDefault="00576D99" w:rsidP="00576D99">
      <w:pPr>
        <w:numPr>
          <w:ilvl w:val="1"/>
          <w:numId w:val="30"/>
        </w:numPr>
      </w:pPr>
      <w:r w:rsidRPr="002F4E46">
        <w:t>$</w:t>
      </w:r>
      <w:r w:rsidR="00E01BB1">
        <w:t>688</w:t>
      </w:r>
      <w:r w:rsidRPr="002F4E46">
        <w:t xml:space="preserve"> late review fee (</w:t>
      </w:r>
      <w:r w:rsidR="00DE0404">
        <w:t xml:space="preserve">for both </w:t>
      </w:r>
      <w:r w:rsidRPr="002F4E46">
        <w:t>2020 and 2021)</w:t>
      </w:r>
    </w:p>
    <w:p w14:paraId="73FB835E" w14:textId="77777777" w:rsidR="00576D99" w:rsidRDefault="00576D99" w:rsidP="00576D99">
      <w:pPr>
        <w:pBdr>
          <w:bottom w:val="single" w:sz="12" w:space="1" w:color="auto"/>
        </w:pBdr>
      </w:pPr>
    </w:p>
    <w:p w14:paraId="4BC8E922" w14:textId="77777777" w:rsidR="002E44AA" w:rsidRPr="002E44AA" w:rsidRDefault="002E44AA" w:rsidP="00460F85">
      <w:pPr>
        <w:rPr>
          <w:sz w:val="2"/>
          <w:szCs w:val="2"/>
        </w:rPr>
      </w:pPr>
    </w:p>
    <w:p w14:paraId="42779176" w14:textId="7B642413" w:rsidR="00460F85" w:rsidRPr="00460F85" w:rsidRDefault="00460F85" w:rsidP="00460F85">
      <w:r>
        <w:t xml:space="preserve">Under the current fee regime late payment fees are also charged where </w:t>
      </w:r>
      <w:r w:rsidR="00295C7D">
        <w:t>payments are made after the due date.</w:t>
      </w:r>
    </w:p>
    <w:p w14:paraId="79C21742" w14:textId="2E9F88DE" w:rsidR="00F22761" w:rsidRPr="00860488" w:rsidRDefault="00597494" w:rsidP="00F22761">
      <w:pPr>
        <w:pStyle w:val="Bullet"/>
        <w:numPr>
          <w:ilvl w:val="0"/>
          <w:numId w:val="0"/>
        </w:numPr>
        <w:rPr>
          <w:rStyle w:val="SubtleReference"/>
        </w:rPr>
      </w:pPr>
      <w:r w:rsidRPr="00597494">
        <w:rPr>
          <w:rStyle w:val="SubtleReference"/>
        </w:rPr>
        <w:t xml:space="preserve">FIGURE </w:t>
      </w:r>
      <w:r>
        <w:rPr>
          <w:rStyle w:val="SubtleReference"/>
        </w:rPr>
        <w:t>3</w:t>
      </w:r>
      <w:r w:rsidR="00F22761" w:rsidRPr="00755D73">
        <w:rPr>
          <w:rStyle w:val="SubtleReference"/>
        </w:rPr>
        <w:t>:</w:t>
      </w:r>
      <w:r w:rsidR="00F22761" w:rsidRPr="00860488">
        <w:rPr>
          <w:rStyle w:val="SubtleReference"/>
        </w:rPr>
        <w:t xml:space="preserve"> </w:t>
      </w:r>
      <w:r w:rsidR="00F22761">
        <w:rPr>
          <w:rStyle w:val="SubtleReference"/>
        </w:rPr>
        <w:t>Current Application of Late Fees</w:t>
      </w:r>
    </w:p>
    <w:p w14:paraId="26032B8D" w14:textId="6A3523C3" w:rsidR="00F22761" w:rsidRDefault="00B16CCC" w:rsidP="00F22761">
      <w:r>
        <w:rPr>
          <w:noProof/>
        </w:rPr>
        <w:drawing>
          <wp:inline distT="0" distB="0" distL="0" distR="0" wp14:anchorId="6B7CE908" wp14:editId="0A834BAC">
            <wp:extent cx="6080166" cy="2482215"/>
            <wp:effectExtent l="0" t="0" r="0" b="0"/>
            <wp:docPr id="340" name="Picture 340" descr="Late Lodgement fees are charged if a notification of a change occurs after the 28 day notification period.&#10;&#10;Late Review fees are charged if changes to the annual review are made after the 28 day review period.&#10;&#10;Late Payment fees are charged if the annual review fee is paid after the 28 day review period.&#10;&#10;Each fee is $83 if less than one month late, or $344 if more than one month late. &#10;&#10;Note: where information should have been updated in previous years review cycle, multiple late review fees can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Late Lodgement fees are charged if a notification of a change occurs after the 28 day notification period.&#10;&#10;Late Review fees are charged if changes to the annual review are made after the 28 day review period.&#10;&#10;Late Payment fees are charged if the annual review fee is paid after the 28 day review period.&#10;&#10;Each fee is $83 if less than one month late, or $344 if more than one month late. &#10;&#10;Note: where information should have been updated in previous years review cycle, multiple late review fees can appl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4545"/>
                    <a:stretch/>
                  </pic:blipFill>
                  <pic:spPr bwMode="auto">
                    <a:xfrm>
                      <a:off x="0" y="0"/>
                      <a:ext cx="6109575" cy="2494221"/>
                    </a:xfrm>
                    <a:prstGeom prst="rect">
                      <a:avLst/>
                    </a:prstGeom>
                    <a:noFill/>
                    <a:ln>
                      <a:noFill/>
                    </a:ln>
                    <a:extLst>
                      <a:ext uri="{53640926-AAD7-44D8-BBD7-CCE9431645EC}">
                        <a14:shadowObscured xmlns:a14="http://schemas.microsoft.com/office/drawing/2010/main"/>
                      </a:ext>
                    </a:extLst>
                  </pic:spPr>
                </pic:pic>
              </a:graphicData>
            </a:graphic>
          </wp:inline>
        </w:drawing>
      </w:r>
    </w:p>
    <w:p w14:paraId="5A679037" w14:textId="30AF2586" w:rsidR="00D34785" w:rsidRDefault="000368B7" w:rsidP="00D34785">
      <w:r>
        <w:t>In 2018, stakeholders were asked to consider options for simplifying the late fee regime, including replacing the late payment fee with an interest charge on invoices payable</w:t>
      </w:r>
      <w:r w:rsidR="00860488">
        <w:t>.</w:t>
      </w:r>
      <w:r w:rsidR="00180BDA">
        <w:t xml:space="preserve"> Responses from stakeholders highlighted that the use of a </w:t>
      </w:r>
      <w:r w:rsidR="00576D99">
        <w:t>G</w:t>
      </w:r>
      <w:r w:rsidR="00180BDA">
        <w:t xml:space="preserve">eneral </w:t>
      </w:r>
      <w:r w:rsidR="00576D99">
        <w:t>I</w:t>
      </w:r>
      <w:r w:rsidR="00180BDA">
        <w:t xml:space="preserve">nterest </w:t>
      </w:r>
      <w:r w:rsidR="00576D99">
        <w:t>C</w:t>
      </w:r>
      <w:r w:rsidR="00180BDA">
        <w:t>harge would add further complexity to a late fee regime that was already poorly understood</w:t>
      </w:r>
      <w:r w:rsidR="00AB6BB8">
        <w:t xml:space="preserve">. </w:t>
      </w:r>
      <w:r w:rsidR="00DE0404">
        <w:t>Reflecting this feedback</w:t>
      </w:r>
      <w:r w:rsidR="00AB6BB8">
        <w:t>, t</w:t>
      </w:r>
      <w:r w:rsidR="00576D99">
        <w:t>he government is considering</w:t>
      </w:r>
      <w:r w:rsidR="00D34785">
        <w:t xml:space="preserve"> </w:t>
      </w:r>
      <w:r w:rsidR="00F22761">
        <w:t xml:space="preserve">options to </w:t>
      </w:r>
      <w:r w:rsidR="00D34785">
        <w:t xml:space="preserve">simplify the late fee regime by establishing a single </w:t>
      </w:r>
      <w:r w:rsidR="00B16CCC">
        <w:t xml:space="preserve">type of </w:t>
      </w:r>
      <w:r w:rsidR="00D34785">
        <w:t>fee for</w:t>
      </w:r>
      <w:r w:rsidR="00B16CCC">
        <w:t xml:space="preserve"> each of</w:t>
      </w:r>
      <w:r w:rsidR="00D34785">
        <w:t>:</w:t>
      </w:r>
    </w:p>
    <w:p w14:paraId="52146B0A" w14:textId="57653E34" w:rsidR="00D34785" w:rsidRDefault="00D34785" w:rsidP="00D34785">
      <w:pPr>
        <w:pStyle w:val="Bullet"/>
      </w:pPr>
      <w:r>
        <w:t>late payment</w:t>
      </w:r>
    </w:p>
    <w:p w14:paraId="0EC8C4D0" w14:textId="0B48B9D5" w:rsidR="00B16CCC" w:rsidRDefault="00D34785" w:rsidP="007C03E9">
      <w:pPr>
        <w:pStyle w:val="Bullet"/>
      </w:pPr>
      <w:r>
        <w:t xml:space="preserve">late provision of information. </w:t>
      </w:r>
    </w:p>
    <w:p w14:paraId="000DC71F" w14:textId="08088B67" w:rsidR="005F2BD8" w:rsidRDefault="005F2BD8" w:rsidP="005F2BD8">
      <w:pPr>
        <w:pStyle w:val="Bullet"/>
        <w:numPr>
          <w:ilvl w:val="0"/>
          <w:numId w:val="0"/>
        </w:numPr>
        <w:ind w:left="283" w:hanging="283"/>
      </w:pPr>
    </w:p>
    <w:tbl>
      <w:tblPr>
        <w:tblpPr w:leftFromText="180" w:rightFromText="180" w:vertAnchor="text" w:horzAnchor="margin" w:tblpY="-47"/>
        <w:tblW w:w="5000" w:type="pct"/>
        <w:shd w:val="clear" w:color="auto" w:fill="D5E1F1" w:themeFill="accent2" w:themeFillTint="33"/>
        <w:tblLook w:val="01E0" w:firstRow="1" w:lastRow="1" w:firstColumn="1" w:lastColumn="1" w:noHBand="0" w:noVBand="0"/>
      </w:tblPr>
      <w:tblGrid>
        <w:gridCol w:w="9070"/>
      </w:tblGrid>
      <w:tr w:rsidR="005F2BD8" w14:paraId="77DCBF1C" w14:textId="77777777" w:rsidTr="005F2BD8">
        <w:tc>
          <w:tcPr>
            <w:tcW w:w="5000" w:type="pct"/>
            <w:shd w:val="clear" w:color="auto" w:fill="D5E1F1" w:themeFill="accent2" w:themeFillTint="33"/>
          </w:tcPr>
          <w:p w14:paraId="37EB5091" w14:textId="77777777" w:rsidR="005F2BD8" w:rsidRPr="000553FE" w:rsidRDefault="005F2BD8" w:rsidP="005F2BD8">
            <w:pPr>
              <w:pStyle w:val="BoxHeading"/>
              <w:rPr>
                <w:b w:val="0"/>
              </w:rPr>
            </w:pPr>
            <w:r w:rsidRPr="00732F25">
              <w:lastRenderedPageBreak/>
              <w:t>Consultation question</w:t>
            </w:r>
            <w:r>
              <w:t>s</w:t>
            </w:r>
            <w:r w:rsidRPr="00732F25">
              <w:t>: Late fees</w:t>
            </w:r>
          </w:p>
          <w:p w14:paraId="597EAAF5" w14:textId="77777777" w:rsidR="005F2BD8" w:rsidRDefault="005F2BD8" w:rsidP="005F2BD8">
            <w:pPr>
              <w:pStyle w:val="OutlineNumbered1"/>
              <w:tabs>
                <w:tab w:val="clear" w:pos="851"/>
                <w:tab w:val="num" w:pos="605"/>
              </w:tabs>
              <w:ind w:left="605" w:hanging="605"/>
            </w:pPr>
            <w:r>
              <w:t>Would you support a late fee regime with a single fee for late provision of information and a single fee for late payment?</w:t>
            </w:r>
          </w:p>
          <w:p w14:paraId="6B716280" w14:textId="77777777" w:rsidR="005F2BD8" w:rsidRPr="008950C5" w:rsidRDefault="005F2BD8" w:rsidP="005F2BD8">
            <w:pPr>
              <w:pStyle w:val="OutlineNumbered1"/>
              <w:tabs>
                <w:tab w:val="clear" w:pos="851"/>
                <w:tab w:val="num" w:pos="605"/>
              </w:tabs>
              <w:ind w:left="605" w:hanging="605"/>
            </w:pPr>
            <w:r>
              <w:t>If so, how should these fees be designed to ensure the information held on the registers is current and accurate?</w:t>
            </w:r>
          </w:p>
        </w:tc>
      </w:tr>
    </w:tbl>
    <w:p w14:paraId="71F4E034" w14:textId="4D389C30" w:rsidR="00A86EBA" w:rsidRDefault="00A86EBA" w:rsidP="00A86EBA">
      <w:pPr>
        <w:pStyle w:val="Heading3"/>
      </w:pPr>
      <w:bookmarkStart w:id="14" w:name="_Toc90913094"/>
      <w:r>
        <w:t>Lifecycle fees</w:t>
      </w:r>
      <w:bookmarkEnd w:id="14"/>
    </w:p>
    <w:p w14:paraId="4A70897B" w14:textId="1F29B270" w:rsidR="00F77F00" w:rsidRDefault="00F77F00" w:rsidP="009A4B77">
      <w:r>
        <w:t xml:space="preserve">Under the current fee regime there are a number of other prescribed fees (lifecycle fees) </w:t>
      </w:r>
      <w:r w:rsidR="00DE4902">
        <w:t xml:space="preserve">that </w:t>
      </w:r>
      <w:r>
        <w:t>are incurred through the operation of a company (</w:t>
      </w:r>
      <w:r w:rsidR="0036160B" w:rsidRPr="0036160B">
        <w:t xml:space="preserve">excluding </w:t>
      </w:r>
      <w:r w:rsidR="00BA4A98">
        <w:t xml:space="preserve">registration, </w:t>
      </w:r>
      <w:r w:rsidR="0036160B" w:rsidRPr="0036160B">
        <w:t>review</w:t>
      </w:r>
      <w:r w:rsidR="00BA4A98">
        <w:t>, and renewal</w:t>
      </w:r>
      <w:r w:rsidR="0036160B" w:rsidRPr="0036160B">
        <w:t xml:space="preserve"> fees).</w:t>
      </w:r>
      <w:r>
        <w:t xml:space="preserve"> These lifecycle fees include</w:t>
      </w:r>
      <w:r w:rsidR="00DC0705">
        <w:t xml:space="preserve">, as </w:t>
      </w:r>
      <w:r w:rsidR="009A4B77">
        <w:t>examples, n</w:t>
      </w:r>
      <w:r>
        <w:t>otification of resolution (i.e. change of company name)</w:t>
      </w:r>
      <w:r w:rsidR="009A4B77">
        <w:t>, d</w:t>
      </w:r>
      <w:r>
        <w:t>e-registration of a company</w:t>
      </w:r>
      <w:r w:rsidR="009A4B77">
        <w:t xml:space="preserve"> and the </w:t>
      </w:r>
      <w:r w:rsidR="00501E57">
        <w:t>r</w:t>
      </w:r>
      <w:r>
        <w:t>e-registration of a company</w:t>
      </w:r>
      <w:r w:rsidR="00501E57">
        <w:rPr>
          <w:rStyle w:val="FootnoteReference"/>
        </w:rPr>
        <w:footnoteReference w:id="10"/>
      </w:r>
      <w:r w:rsidR="00501E57">
        <w:t>.</w:t>
      </w:r>
    </w:p>
    <w:p w14:paraId="79FEC769" w14:textId="5B0B75A2" w:rsidR="00501E57" w:rsidRDefault="00501E57" w:rsidP="009A4B77">
      <w:r>
        <w:t xml:space="preserve">The scope of </w:t>
      </w:r>
      <w:r w:rsidR="00DE4902">
        <w:t>this consultation</w:t>
      </w:r>
      <w:r>
        <w:t xml:space="preserve"> has been expanded to account for these fees</w:t>
      </w:r>
      <w:r w:rsidR="00DE4902">
        <w:t>,</w:t>
      </w:r>
      <w:r>
        <w:t xml:space="preserve"> providing an opportunity to</w:t>
      </w:r>
      <w:r w:rsidR="003E77EB">
        <w:t xml:space="preserve"> consider</w:t>
      </w:r>
      <w:r>
        <w:t>:</w:t>
      </w:r>
    </w:p>
    <w:p w14:paraId="0D4D67CC" w14:textId="0742FFB8" w:rsidR="00501E57" w:rsidRDefault="00DE4902" w:rsidP="00501E57">
      <w:pPr>
        <w:pStyle w:val="Bullet"/>
      </w:pPr>
      <w:r>
        <w:t>the</w:t>
      </w:r>
      <w:r w:rsidRPr="00501E57">
        <w:t xml:space="preserve"> </w:t>
      </w:r>
      <w:r w:rsidR="003E77EB">
        <w:t>r</w:t>
      </w:r>
      <w:r w:rsidR="00501E57" w:rsidRPr="00501E57">
        <w:t>emov</w:t>
      </w:r>
      <w:r w:rsidR="003E77EB">
        <w:t>al of</w:t>
      </w:r>
      <w:r w:rsidR="00501E57" w:rsidRPr="00501E57">
        <w:t xml:space="preserve"> fees that are inefficient or encourage the wrong behaviour</w:t>
      </w:r>
      <w:r>
        <w:t>. For example,</w:t>
      </w:r>
      <w:r w:rsidR="003E77EB">
        <w:t xml:space="preserve"> </w:t>
      </w:r>
      <w:r w:rsidR="003E77EB" w:rsidRPr="003E77EB">
        <w:t>the fee charged for the voluntary de-registration of a company could be seen to disincentivise those who would otherwise like to wind down their business from doing so in a timely manner</w:t>
      </w:r>
      <w:r>
        <w:t>.</w:t>
      </w:r>
    </w:p>
    <w:p w14:paraId="1FA742B0" w14:textId="31162DD0" w:rsidR="00501E57" w:rsidRDefault="00DE4902" w:rsidP="00501E57">
      <w:pPr>
        <w:pStyle w:val="Bullet"/>
      </w:pPr>
      <w:r>
        <w:t>r</w:t>
      </w:r>
      <w:r w:rsidRPr="00501E57">
        <w:t>etain</w:t>
      </w:r>
      <w:r>
        <w:t>ing</w:t>
      </w:r>
      <w:r w:rsidRPr="00501E57">
        <w:t xml:space="preserve"> </w:t>
      </w:r>
      <w:r w:rsidR="00501E57" w:rsidRPr="00501E57">
        <w:t xml:space="preserve">those </w:t>
      </w:r>
      <w:r>
        <w:t>that</w:t>
      </w:r>
      <w:r w:rsidRPr="00501E57">
        <w:t xml:space="preserve"> </w:t>
      </w:r>
      <w:r w:rsidR="003E77EB" w:rsidRPr="003E77EB">
        <w:t>maintain the integrity of the register, incentivise engagement with the ABRS or reflect the cost of administering the service</w:t>
      </w:r>
      <w:r>
        <w:t>. For example,</w:t>
      </w:r>
      <w:r w:rsidR="003E77EB" w:rsidDel="00DE4902">
        <w:t xml:space="preserve"> </w:t>
      </w:r>
      <w:r w:rsidR="003E77EB">
        <w:t xml:space="preserve">fees to </w:t>
      </w:r>
      <w:r w:rsidR="003E77EB" w:rsidRPr="003E77EB">
        <w:t xml:space="preserve">reserve </w:t>
      </w:r>
      <w:r w:rsidR="003E77EB">
        <w:t xml:space="preserve">a </w:t>
      </w:r>
      <w:r w:rsidR="003E77EB" w:rsidRPr="003E77EB">
        <w:t>company name</w:t>
      </w:r>
      <w:r>
        <w:t xml:space="preserve"> and </w:t>
      </w:r>
      <w:r w:rsidR="003E77EB" w:rsidRPr="003E77EB">
        <w:t>application for ministerial consent for names</w:t>
      </w:r>
      <w:r>
        <w:t>.</w:t>
      </w:r>
    </w:p>
    <w:p w14:paraId="72A54800" w14:textId="1238BC64" w:rsidR="00732F25" w:rsidRPr="00732F25" w:rsidRDefault="00732F25" w:rsidP="00732F25">
      <w:pPr>
        <w:pStyle w:val="Bullet"/>
        <w:numPr>
          <w:ilvl w:val="0"/>
          <w:numId w:val="0"/>
        </w:numPr>
        <w:rPr>
          <w:sz w:val="2"/>
          <w:szCs w:val="2"/>
        </w:rPr>
      </w:pPr>
    </w:p>
    <w:tbl>
      <w:tblPr>
        <w:tblW w:w="5000" w:type="pct"/>
        <w:shd w:val="clear" w:color="auto" w:fill="D5E1F1" w:themeFill="accent2" w:themeFillTint="33"/>
        <w:tblLook w:val="01E0" w:firstRow="1" w:lastRow="1" w:firstColumn="1" w:lastColumn="1" w:noHBand="0" w:noVBand="0"/>
      </w:tblPr>
      <w:tblGrid>
        <w:gridCol w:w="9070"/>
      </w:tblGrid>
      <w:tr w:rsidR="00732F25" w14:paraId="15ACEE84" w14:textId="77777777" w:rsidTr="008361B4">
        <w:tc>
          <w:tcPr>
            <w:tcW w:w="5000" w:type="pct"/>
            <w:shd w:val="clear" w:color="auto" w:fill="D5E1F1" w:themeFill="accent2" w:themeFillTint="33"/>
          </w:tcPr>
          <w:p w14:paraId="3171BD2A" w14:textId="2D1D850B" w:rsidR="00732F25" w:rsidRPr="000553FE" w:rsidRDefault="00732F25" w:rsidP="00E86E6F">
            <w:pPr>
              <w:pStyle w:val="BoxHeading"/>
              <w:rPr>
                <w:b w:val="0"/>
              </w:rPr>
            </w:pPr>
            <w:r w:rsidRPr="00732F25">
              <w:t xml:space="preserve">Consultation question: </w:t>
            </w:r>
            <w:r w:rsidR="00087E72">
              <w:t>I</w:t>
            </w:r>
            <w:r w:rsidR="00087E72" w:rsidRPr="00087E72">
              <w:t xml:space="preserve">nefficient or counterproductive </w:t>
            </w:r>
            <w:r w:rsidR="00087E72">
              <w:t>l</w:t>
            </w:r>
            <w:r w:rsidRPr="00732F25">
              <w:t>ifecycle fees</w:t>
            </w:r>
          </w:p>
          <w:p w14:paraId="7372C999" w14:textId="366E170B" w:rsidR="00732F25" w:rsidRPr="008950C5" w:rsidRDefault="00732F25" w:rsidP="00D1402A">
            <w:pPr>
              <w:pStyle w:val="OutlineNumbered1"/>
              <w:tabs>
                <w:tab w:val="clear" w:pos="851"/>
                <w:tab w:val="num" w:pos="605"/>
              </w:tabs>
              <w:ind w:left="605" w:hanging="605"/>
            </w:pPr>
            <w:r w:rsidRPr="00732F25">
              <w:t>Are there any lifecycle fees that you believe are inefficient or counterproductive and should be specifically removed? Are there any that should be retained?</w:t>
            </w:r>
          </w:p>
        </w:tc>
      </w:tr>
    </w:tbl>
    <w:p w14:paraId="1BF160F2" w14:textId="77777777" w:rsidR="000E2BE9" w:rsidRDefault="000E2BE9" w:rsidP="00902BA3">
      <w:pPr>
        <w:pStyle w:val="Bullet"/>
        <w:numPr>
          <w:ilvl w:val="0"/>
          <w:numId w:val="0"/>
        </w:numPr>
        <w:rPr>
          <w:b/>
          <w:sz w:val="2"/>
          <w:szCs w:val="2"/>
        </w:rPr>
      </w:pPr>
    </w:p>
    <w:p w14:paraId="29BD1189" w14:textId="77777777" w:rsidR="00EB3151" w:rsidRPr="00732F25" w:rsidRDefault="00EB3151" w:rsidP="00902BA3">
      <w:pPr>
        <w:pStyle w:val="Bullet"/>
        <w:numPr>
          <w:ilvl w:val="0"/>
          <w:numId w:val="0"/>
        </w:numPr>
        <w:rPr>
          <w:b/>
          <w:sz w:val="2"/>
          <w:szCs w:val="2"/>
        </w:rPr>
      </w:pPr>
    </w:p>
    <w:p w14:paraId="469271DB" w14:textId="11DD4A39" w:rsidR="00902BA3" w:rsidRDefault="009C5D79" w:rsidP="00902BA3">
      <w:pPr>
        <w:pStyle w:val="Bullet"/>
        <w:numPr>
          <w:ilvl w:val="0"/>
          <w:numId w:val="0"/>
        </w:numPr>
      </w:pPr>
      <w:r>
        <w:t>Currently</w:t>
      </w:r>
      <w:r w:rsidR="00D1402A">
        <w:t>,</w:t>
      </w:r>
      <w:r>
        <w:t xml:space="preserve"> there </w:t>
      </w:r>
      <w:r w:rsidR="002E44AA">
        <w:t xml:space="preserve">are more than </w:t>
      </w:r>
      <w:r w:rsidR="007C03E9">
        <w:t>10</w:t>
      </w:r>
      <w:r>
        <w:t xml:space="preserve"> distinct </w:t>
      </w:r>
      <w:r w:rsidR="007C03E9">
        <w:t>lifecycle</w:t>
      </w:r>
      <w:r>
        <w:t xml:space="preserve"> fees. </w:t>
      </w:r>
      <w:r w:rsidR="00D1402A">
        <w:t xml:space="preserve">Through this consultation, </w:t>
      </w:r>
      <w:r>
        <w:t>rationalising the fee amounts charged into a smaller number of tiers</w:t>
      </w:r>
      <w:r w:rsidR="00D1402A">
        <w:t xml:space="preserve"> is also being considered</w:t>
      </w:r>
      <w:r>
        <w:t>.</w:t>
      </w:r>
      <w:r w:rsidDel="00D1402A">
        <w:t xml:space="preserve"> </w:t>
      </w:r>
      <w:r>
        <w:t xml:space="preserve">For example, there may be a number of services that are </w:t>
      </w:r>
      <w:r w:rsidR="00956700">
        <w:t>charged</w:t>
      </w:r>
      <w:r>
        <w:t xml:space="preserve"> at a low (e.g. $50), medium (e.g. $100) and higher cost tier (e.g. $1500).</w:t>
      </w:r>
    </w:p>
    <w:p w14:paraId="10BB2489" w14:textId="3D3314C2" w:rsidR="00732F25" w:rsidRPr="00176D88" w:rsidRDefault="00732F25" w:rsidP="00902BA3">
      <w:pPr>
        <w:pStyle w:val="Bullet"/>
        <w:numPr>
          <w:ilvl w:val="0"/>
          <w:numId w:val="0"/>
        </w:numPr>
        <w:rPr>
          <w:sz w:val="2"/>
          <w:szCs w:val="2"/>
        </w:rPr>
      </w:pPr>
    </w:p>
    <w:tbl>
      <w:tblPr>
        <w:tblW w:w="5000" w:type="pct"/>
        <w:shd w:val="clear" w:color="auto" w:fill="D5E1F1" w:themeFill="accent2" w:themeFillTint="33"/>
        <w:tblLook w:val="01E0" w:firstRow="1" w:lastRow="1" w:firstColumn="1" w:lastColumn="1" w:noHBand="0" w:noVBand="0"/>
      </w:tblPr>
      <w:tblGrid>
        <w:gridCol w:w="9070"/>
      </w:tblGrid>
      <w:tr w:rsidR="00732F25" w14:paraId="1590BC21" w14:textId="77777777" w:rsidTr="008361B4">
        <w:tc>
          <w:tcPr>
            <w:tcW w:w="5000" w:type="pct"/>
            <w:shd w:val="clear" w:color="auto" w:fill="D5E1F1" w:themeFill="accent2" w:themeFillTint="33"/>
          </w:tcPr>
          <w:p w14:paraId="3B564637" w14:textId="4430EA7F" w:rsidR="00732F25" w:rsidRPr="000553FE" w:rsidRDefault="00087E72" w:rsidP="00E86E6F">
            <w:pPr>
              <w:pStyle w:val="BoxHeading"/>
              <w:rPr>
                <w:b w:val="0"/>
              </w:rPr>
            </w:pPr>
            <w:r w:rsidRPr="00087E72">
              <w:t>Consultation question: Inefficient or counterproductive lifecycle fees</w:t>
            </w:r>
          </w:p>
          <w:p w14:paraId="77D08524" w14:textId="6A17D8D5" w:rsidR="00732F25" w:rsidRPr="008950C5" w:rsidRDefault="00087E72" w:rsidP="00D1402A">
            <w:pPr>
              <w:pStyle w:val="OutlineNumbered1"/>
              <w:tabs>
                <w:tab w:val="clear" w:pos="851"/>
                <w:tab w:val="num" w:pos="605"/>
              </w:tabs>
              <w:ind w:left="605" w:hanging="605"/>
            </w:pPr>
            <w:r w:rsidRPr="00087E72">
              <w:t>Are you supportive of a rationalisation of lifecycle fees into tiered cost levels? If this change</w:t>
            </w:r>
            <w:r>
              <w:t xml:space="preserve"> </w:t>
            </w:r>
            <w:r w:rsidRPr="00087E72">
              <w:t>were adopted how many tiers should there be?</w:t>
            </w:r>
          </w:p>
        </w:tc>
      </w:tr>
    </w:tbl>
    <w:p w14:paraId="3D186470" w14:textId="77777777" w:rsidR="002E44AA" w:rsidRDefault="002E44AA" w:rsidP="006C3D94">
      <w:pPr>
        <w:pStyle w:val="Bullet"/>
        <w:numPr>
          <w:ilvl w:val="0"/>
          <w:numId w:val="0"/>
        </w:numPr>
        <w:rPr>
          <w:rStyle w:val="SubtleReference"/>
        </w:rPr>
      </w:pPr>
    </w:p>
    <w:p w14:paraId="6D8471E6" w14:textId="77777777" w:rsidR="002E44AA" w:rsidRDefault="002E44AA">
      <w:pPr>
        <w:spacing w:before="0" w:after="160" w:line="259" w:lineRule="auto"/>
        <w:rPr>
          <w:rStyle w:val="SubtleReference"/>
        </w:rPr>
      </w:pPr>
      <w:r>
        <w:rPr>
          <w:rStyle w:val="SubtleReference"/>
        </w:rPr>
        <w:br w:type="page"/>
      </w:r>
    </w:p>
    <w:p w14:paraId="0DCFA098" w14:textId="45009356" w:rsidR="002E44AA" w:rsidRPr="00790B54" w:rsidRDefault="002E44AA" w:rsidP="00790B54">
      <w:pPr>
        <w:pStyle w:val="Heading3"/>
        <w:rPr>
          <w:rStyle w:val="SubtleReference"/>
          <w:smallCaps w:val="0"/>
          <w:color w:val="00818F" w:themeColor="accent5"/>
        </w:rPr>
      </w:pPr>
      <w:bookmarkStart w:id="15" w:name="_Toc90913095"/>
      <w:r>
        <w:lastRenderedPageBreak/>
        <w:t>Consultation question summary</w:t>
      </w:r>
      <w:bookmarkEnd w:id="15"/>
    </w:p>
    <w:p w14:paraId="5EAB715B" w14:textId="661B2830" w:rsidR="006C3D94" w:rsidRPr="00860488" w:rsidRDefault="006C3D94" w:rsidP="006C3D94">
      <w:pPr>
        <w:pStyle w:val="Bullet"/>
        <w:numPr>
          <w:ilvl w:val="0"/>
          <w:numId w:val="0"/>
        </w:numPr>
        <w:rPr>
          <w:rStyle w:val="SubtleReference"/>
        </w:rPr>
      </w:pPr>
      <w:r w:rsidRPr="00860488">
        <w:rPr>
          <w:rStyle w:val="SubtleReference"/>
        </w:rPr>
        <w:t xml:space="preserve">Table </w:t>
      </w:r>
      <w:r w:rsidR="00CE7462">
        <w:rPr>
          <w:rStyle w:val="SubtleReference"/>
        </w:rPr>
        <w:t>1</w:t>
      </w:r>
      <w:r w:rsidRPr="00860488">
        <w:rPr>
          <w:rStyle w:val="SubtleReference"/>
        </w:rPr>
        <w:t>: Summary of Fees and Consultation Questions</w:t>
      </w:r>
    </w:p>
    <w:tbl>
      <w:tblPr>
        <w:tblW w:w="5085" w:type="pct"/>
        <w:tblLayout w:type="fixed"/>
        <w:tblCellMar>
          <w:left w:w="0" w:type="dxa"/>
          <w:right w:w="0" w:type="dxa"/>
        </w:tblCellMar>
        <w:tblLook w:val="0420" w:firstRow="1" w:lastRow="0" w:firstColumn="0" w:lastColumn="0" w:noHBand="0" w:noVBand="1"/>
      </w:tblPr>
      <w:tblGrid>
        <w:gridCol w:w="1548"/>
        <w:gridCol w:w="3118"/>
        <w:gridCol w:w="4538"/>
      </w:tblGrid>
      <w:tr w:rsidR="006C3D94" w:rsidRPr="00E65906" w14:paraId="14238B4A" w14:textId="77777777" w:rsidTr="003D55ED">
        <w:trPr>
          <w:trHeight w:val="137"/>
        </w:trPr>
        <w:tc>
          <w:tcPr>
            <w:tcW w:w="841" w:type="pct"/>
            <w:tcBorders>
              <w:top w:val="single" w:sz="8" w:space="0" w:color="FFFFFF"/>
              <w:left w:val="single" w:sz="8" w:space="0" w:color="FFFFFF"/>
              <w:bottom w:val="single" w:sz="24" w:space="0" w:color="FFFFFF"/>
              <w:right w:val="single" w:sz="8" w:space="0" w:color="FFFFFF"/>
            </w:tcBorders>
            <w:shd w:val="clear" w:color="auto" w:fill="002C47"/>
            <w:tcMar>
              <w:top w:w="72" w:type="dxa"/>
              <w:left w:w="144" w:type="dxa"/>
              <w:bottom w:w="72" w:type="dxa"/>
              <w:right w:w="144" w:type="dxa"/>
            </w:tcMar>
            <w:hideMark/>
          </w:tcPr>
          <w:p w14:paraId="72288F24" w14:textId="77777777" w:rsidR="006C3D94" w:rsidRPr="00E65906" w:rsidRDefault="006C3D94" w:rsidP="00176D88">
            <w:pPr>
              <w:pStyle w:val="AlphaParagraph"/>
              <w:numPr>
                <w:ilvl w:val="0"/>
                <w:numId w:val="0"/>
              </w:numPr>
              <w:spacing w:after="0"/>
            </w:pPr>
            <w:r w:rsidRPr="00D4787D">
              <w:t>Fee</w:t>
            </w:r>
          </w:p>
        </w:tc>
        <w:tc>
          <w:tcPr>
            <w:tcW w:w="1694" w:type="pct"/>
            <w:tcBorders>
              <w:top w:val="single" w:sz="8" w:space="0" w:color="FFFFFF"/>
              <w:left w:val="single" w:sz="8" w:space="0" w:color="FFFFFF"/>
              <w:bottom w:val="single" w:sz="24" w:space="0" w:color="FFFFFF"/>
              <w:right w:val="single" w:sz="8" w:space="0" w:color="FFFFFF"/>
            </w:tcBorders>
            <w:shd w:val="clear" w:color="auto" w:fill="002C47"/>
            <w:tcMar>
              <w:top w:w="72" w:type="dxa"/>
              <w:left w:w="144" w:type="dxa"/>
              <w:bottom w:w="72" w:type="dxa"/>
              <w:right w:w="144" w:type="dxa"/>
            </w:tcMar>
            <w:hideMark/>
          </w:tcPr>
          <w:p w14:paraId="1908452D" w14:textId="77777777" w:rsidR="006C3D94" w:rsidRPr="00E65906" w:rsidRDefault="006C3D94" w:rsidP="00176D88">
            <w:pPr>
              <w:pStyle w:val="AlphaParagraph"/>
              <w:numPr>
                <w:ilvl w:val="0"/>
                <w:numId w:val="0"/>
              </w:numPr>
              <w:spacing w:after="0"/>
            </w:pPr>
            <w:r w:rsidRPr="00D4787D">
              <w:t>Context</w:t>
            </w:r>
          </w:p>
        </w:tc>
        <w:tc>
          <w:tcPr>
            <w:tcW w:w="2465" w:type="pct"/>
            <w:tcBorders>
              <w:top w:val="single" w:sz="8" w:space="0" w:color="FFFFFF"/>
              <w:left w:val="single" w:sz="8" w:space="0" w:color="FFFFFF"/>
              <w:bottom w:val="single" w:sz="24" w:space="0" w:color="FFFFFF"/>
              <w:right w:val="single" w:sz="8" w:space="0" w:color="FFFFFF"/>
            </w:tcBorders>
            <w:shd w:val="clear" w:color="auto" w:fill="002C47"/>
            <w:tcMar>
              <w:top w:w="72" w:type="dxa"/>
              <w:left w:w="144" w:type="dxa"/>
              <w:bottom w:w="72" w:type="dxa"/>
              <w:right w:w="144" w:type="dxa"/>
            </w:tcMar>
            <w:hideMark/>
          </w:tcPr>
          <w:p w14:paraId="6D5294CE" w14:textId="77777777" w:rsidR="006C3D94" w:rsidRPr="00E65906" w:rsidRDefault="006C3D94" w:rsidP="00176D88">
            <w:pPr>
              <w:pStyle w:val="AlphaParagraph"/>
              <w:numPr>
                <w:ilvl w:val="0"/>
                <w:numId w:val="0"/>
              </w:numPr>
              <w:spacing w:after="0"/>
            </w:pPr>
            <w:r w:rsidRPr="00D4787D">
              <w:t>Questions</w:t>
            </w:r>
          </w:p>
        </w:tc>
      </w:tr>
      <w:tr w:rsidR="006C3D94" w:rsidRPr="00E65906" w14:paraId="6C12A912" w14:textId="77777777" w:rsidTr="003D55ED">
        <w:trPr>
          <w:trHeight w:val="1464"/>
        </w:trPr>
        <w:tc>
          <w:tcPr>
            <w:tcW w:w="841"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2A35174" w14:textId="77777777" w:rsidR="006C3D94" w:rsidRPr="00E65906" w:rsidRDefault="006C3D94" w:rsidP="00176D88">
            <w:pPr>
              <w:pStyle w:val="AlphaParagraph"/>
              <w:numPr>
                <w:ilvl w:val="0"/>
                <w:numId w:val="0"/>
              </w:numPr>
              <w:spacing w:after="0"/>
            </w:pPr>
            <w:r w:rsidRPr="00E65906">
              <w:t>Search fees</w:t>
            </w:r>
          </w:p>
        </w:tc>
        <w:tc>
          <w:tcPr>
            <w:tcW w:w="169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E789220" w14:textId="77777777" w:rsidR="006C3D94" w:rsidRPr="00F52612" w:rsidRDefault="006C3D94" w:rsidP="00176D88">
            <w:pPr>
              <w:pStyle w:val="AlphaParagraph"/>
              <w:numPr>
                <w:ilvl w:val="0"/>
                <w:numId w:val="0"/>
              </w:numPr>
              <w:spacing w:after="0"/>
            </w:pPr>
            <w:r w:rsidRPr="00CB3277">
              <w:t>Most searches conducted on ASIC’s registers are free, with fees charged on certain search products. Both retail and wholesale users are both currently charged search fees.</w:t>
            </w:r>
          </w:p>
        </w:tc>
        <w:tc>
          <w:tcPr>
            <w:tcW w:w="2465"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28ABE4D" w14:textId="77777777" w:rsidR="006C3D94" w:rsidRPr="00CA6EDB" w:rsidRDefault="006C3D94" w:rsidP="00176D88">
            <w:pPr>
              <w:pStyle w:val="AlphaParagraph"/>
              <w:numPr>
                <w:ilvl w:val="0"/>
                <w:numId w:val="0"/>
              </w:numPr>
              <w:spacing w:after="0"/>
            </w:pPr>
            <w:r>
              <w:t>1</w:t>
            </w:r>
            <w:r w:rsidRPr="00CA6EDB">
              <w:t xml:space="preserve">. Are you supportive of a further reduction or removal of digital retail search fees? </w:t>
            </w:r>
          </w:p>
          <w:p w14:paraId="0FB3604D" w14:textId="25B84E54" w:rsidR="006C3D94" w:rsidRPr="00CA6EDB" w:rsidRDefault="006C3D94" w:rsidP="00176D88">
            <w:pPr>
              <w:pStyle w:val="AlphaParagraph"/>
              <w:numPr>
                <w:ilvl w:val="0"/>
                <w:numId w:val="0"/>
              </w:numPr>
              <w:spacing w:after="0"/>
            </w:pPr>
            <w:r>
              <w:t>1</w:t>
            </w:r>
            <w:r w:rsidRPr="00CA6EDB">
              <w:t>.</w:t>
            </w:r>
            <w:r w:rsidR="00CC2225">
              <w:t>1</w:t>
            </w:r>
            <w:r w:rsidRPr="00CA6EDB">
              <w:t>. Do you have any concerns about retaining fees on a limited range of searches?</w:t>
            </w:r>
          </w:p>
          <w:p w14:paraId="6F8212A8" w14:textId="270FAEC6" w:rsidR="006C3D94" w:rsidRDefault="006C3D94" w:rsidP="00176D88">
            <w:pPr>
              <w:pStyle w:val="AlphaParagraph"/>
              <w:numPr>
                <w:ilvl w:val="0"/>
                <w:numId w:val="0"/>
              </w:numPr>
              <w:spacing w:after="0"/>
            </w:pPr>
          </w:p>
        </w:tc>
      </w:tr>
      <w:tr w:rsidR="006C3D94" w:rsidRPr="00E65906" w14:paraId="065C00E1" w14:textId="77777777" w:rsidTr="003D55ED">
        <w:trPr>
          <w:trHeight w:val="1464"/>
        </w:trPr>
        <w:tc>
          <w:tcPr>
            <w:tcW w:w="84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2ED0310" w14:textId="77777777" w:rsidR="006C3D94" w:rsidRPr="00E65906" w:rsidRDefault="006C3D94" w:rsidP="00176D88">
            <w:pPr>
              <w:pStyle w:val="AlphaParagraph"/>
              <w:numPr>
                <w:ilvl w:val="0"/>
                <w:numId w:val="0"/>
              </w:numPr>
              <w:spacing w:after="0"/>
            </w:pPr>
            <w:r w:rsidRPr="00E65906">
              <w:t>Infrastructure fees</w:t>
            </w:r>
          </w:p>
        </w:tc>
        <w:tc>
          <w:tcPr>
            <w:tcW w:w="169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99B4976" w14:textId="77777777" w:rsidR="006C3D94" w:rsidRPr="00F52612" w:rsidRDefault="006C3D94" w:rsidP="00176D88">
            <w:pPr>
              <w:pStyle w:val="AlphaParagraph"/>
              <w:numPr>
                <w:ilvl w:val="0"/>
                <w:numId w:val="0"/>
              </w:numPr>
              <w:spacing w:after="0"/>
            </w:pPr>
            <w:r w:rsidRPr="00CB3277">
              <w:t>An infrastructure fee on APIs would fairly charge users for a publicly funded specialised service which they use to generate private profit.</w:t>
            </w:r>
          </w:p>
        </w:tc>
        <w:tc>
          <w:tcPr>
            <w:tcW w:w="24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55E2D1A" w14:textId="1FB09F86" w:rsidR="006C3D94" w:rsidRDefault="00CE7462" w:rsidP="00176D88">
            <w:pPr>
              <w:pStyle w:val="AlphaParagraph"/>
              <w:numPr>
                <w:ilvl w:val="0"/>
                <w:numId w:val="0"/>
              </w:numPr>
              <w:spacing w:after="0"/>
            </w:pPr>
            <w:r>
              <w:t>2</w:t>
            </w:r>
            <w:r w:rsidR="006C3D94">
              <w:t>. Which types of users (or use-cases) should be charged an infrastructure fee? Are there any users (or use-cases) that should be exempt?</w:t>
            </w:r>
          </w:p>
          <w:p w14:paraId="18F51464" w14:textId="55E496FE" w:rsidR="006C3D94" w:rsidRDefault="00CE7462" w:rsidP="00176D88">
            <w:pPr>
              <w:pStyle w:val="AlphaParagraph"/>
              <w:numPr>
                <w:ilvl w:val="0"/>
                <w:numId w:val="0"/>
              </w:numPr>
              <w:spacing w:after="0"/>
            </w:pPr>
            <w:r>
              <w:t>3</w:t>
            </w:r>
            <w:r w:rsidR="006C3D94">
              <w:t>. If a connection fee is to be introduced, which is preferable: a larger one-off onboarding fee, or a smaller ongoing subscription fee?</w:t>
            </w:r>
          </w:p>
          <w:p w14:paraId="0D1C00EB" w14:textId="2AF0B006" w:rsidR="006C3D94" w:rsidRDefault="00CE7462" w:rsidP="00176D88">
            <w:pPr>
              <w:pStyle w:val="AlphaParagraph"/>
              <w:numPr>
                <w:ilvl w:val="0"/>
                <w:numId w:val="0"/>
              </w:numPr>
              <w:spacing w:after="0"/>
            </w:pPr>
            <w:r>
              <w:t>4</w:t>
            </w:r>
            <w:r w:rsidR="006C3D94">
              <w:t>. If a usage charge is to be introduced how should it be set (e.g. per company, attribute, unit of measurement (e.g. by API call))?</w:t>
            </w:r>
          </w:p>
        </w:tc>
      </w:tr>
      <w:tr w:rsidR="006C3D94" w:rsidRPr="00E65906" w14:paraId="1EDA9265" w14:textId="77777777" w:rsidTr="003D55ED">
        <w:trPr>
          <w:trHeight w:val="1464"/>
        </w:trPr>
        <w:tc>
          <w:tcPr>
            <w:tcW w:w="841"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29A727C" w14:textId="77777777" w:rsidR="006C3D94" w:rsidRPr="00E65906" w:rsidRDefault="006C3D94" w:rsidP="00176D88">
            <w:pPr>
              <w:pStyle w:val="AlphaParagraph"/>
              <w:numPr>
                <w:ilvl w:val="0"/>
                <w:numId w:val="0"/>
              </w:numPr>
              <w:spacing w:after="0"/>
            </w:pPr>
            <w:r w:rsidRPr="00E65906">
              <w:t>Late fees</w:t>
            </w:r>
          </w:p>
        </w:tc>
        <w:tc>
          <w:tcPr>
            <w:tcW w:w="169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A26C21B" w14:textId="77777777" w:rsidR="006C3D94" w:rsidRPr="00E65906" w:rsidRDefault="006C3D94" w:rsidP="00176D88">
            <w:pPr>
              <w:pStyle w:val="AlphaParagraph"/>
              <w:numPr>
                <w:ilvl w:val="0"/>
                <w:numId w:val="0"/>
              </w:numPr>
              <w:spacing w:after="0"/>
            </w:pPr>
            <w:r w:rsidRPr="00F52612">
              <w:t>ASIC charges late fees when documents are not lodged, or fees are not paid, within the prescribed timeframe.</w:t>
            </w:r>
          </w:p>
        </w:tc>
        <w:tc>
          <w:tcPr>
            <w:tcW w:w="2465"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BF17574" w14:textId="2B4FB202" w:rsidR="006C3D94" w:rsidRDefault="00CE7462" w:rsidP="00176D88">
            <w:pPr>
              <w:pStyle w:val="AlphaParagraph"/>
              <w:numPr>
                <w:ilvl w:val="0"/>
                <w:numId w:val="0"/>
              </w:numPr>
              <w:spacing w:after="0"/>
            </w:pPr>
            <w:r>
              <w:t>5</w:t>
            </w:r>
            <w:r w:rsidR="006C3D94">
              <w:t>. Would you support a simplified late fee regime, comprised of a fee for late provision of information and a fee for late payment?</w:t>
            </w:r>
          </w:p>
          <w:p w14:paraId="0933AF59" w14:textId="2B6CB36C" w:rsidR="006C3D94" w:rsidRPr="00E65906" w:rsidRDefault="00CE7462" w:rsidP="00176D88">
            <w:pPr>
              <w:pStyle w:val="AlphaParagraph"/>
              <w:numPr>
                <w:ilvl w:val="0"/>
                <w:numId w:val="0"/>
              </w:numPr>
              <w:spacing w:after="0"/>
            </w:pPr>
            <w:r>
              <w:t>6</w:t>
            </w:r>
            <w:r w:rsidR="006C3D94">
              <w:t xml:space="preserve">. </w:t>
            </w:r>
            <w:r w:rsidR="006C3D94" w:rsidRPr="00CA6EDB">
              <w:t>If so, how should this be designed to ensure the information held on the registers is current and accurate?</w:t>
            </w:r>
          </w:p>
        </w:tc>
      </w:tr>
      <w:tr w:rsidR="006C3D94" w:rsidRPr="00E65906" w14:paraId="4D12D0A5" w14:textId="77777777" w:rsidTr="003D55ED">
        <w:trPr>
          <w:trHeight w:val="1790"/>
        </w:trPr>
        <w:tc>
          <w:tcPr>
            <w:tcW w:w="84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22EF4D9" w14:textId="77777777" w:rsidR="006C3D94" w:rsidRPr="00E65906" w:rsidRDefault="006C3D94" w:rsidP="00176D88">
            <w:pPr>
              <w:pStyle w:val="AlphaParagraph"/>
              <w:numPr>
                <w:ilvl w:val="0"/>
                <w:numId w:val="0"/>
              </w:numPr>
              <w:spacing w:after="0"/>
            </w:pPr>
            <w:r w:rsidRPr="00E65906">
              <w:t>Lifecycle fees</w:t>
            </w:r>
          </w:p>
        </w:tc>
        <w:tc>
          <w:tcPr>
            <w:tcW w:w="169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E73FF9A" w14:textId="77777777" w:rsidR="006C3D94" w:rsidRPr="00E65906" w:rsidRDefault="006C3D94" w:rsidP="00176D88">
            <w:pPr>
              <w:pStyle w:val="AlphaParagraph"/>
              <w:numPr>
                <w:ilvl w:val="0"/>
                <w:numId w:val="0"/>
              </w:numPr>
              <w:spacing w:after="0"/>
            </w:pPr>
            <w:r w:rsidRPr="00F52612">
              <w:t>Lifecycle fees encompass fees incurred through the operation of a company (excluding review fees).</w:t>
            </w:r>
          </w:p>
        </w:tc>
        <w:tc>
          <w:tcPr>
            <w:tcW w:w="24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3217775" w14:textId="042BEEA9" w:rsidR="006C3D94" w:rsidRDefault="00CE7462" w:rsidP="00176D88">
            <w:pPr>
              <w:pStyle w:val="AlphaParagraph"/>
              <w:numPr>
                <w:ilvl w:val="0"/>
                <w:numId w:val="0"/>
              </w:numPr>
              <w:spacing w:after="0"/>
            </w:pPr>
            <w:r>
              <w:t>7</w:t>
            </w:r>
            <w:r w:rsidR="006C3D94">
              <w:t xml:space="preserve">. </w:t>
            </w:r>
            <w:r w:rsidR="006C3D94" w:rsidRPr="00DF124C">
              <w:t>Are there any lifecycle fees that you believe are inefficient or counterproductive and should be specifically removed?  Are there any that should be retained?</w:t>
            </w:r>
          </w:p>
          <w:p w14:paraId="15F0AC68" w14:textId="246F7441" w:rsidR="006C3D94" w:rsidRPr="00E65906" w:rsidRDefault="00CE7462" w:rsidP="00176D88">
            <w:pPr>
              <w:pStyle w:val="AlphaParagraph"/>
              <w:numPr>
                <w:ilvl w:val="0"/>
                <w:numId w:val="0"/>
              </w:numPr>
              <w:spacing w:after="0"/>
            </w:pPr>
            <w:r>
              <w:t>8</w:t>
            </w:r>
            <w:r w:rsidR="006C3D94">
              <w:t xml:space="preserve">. </w:t>
            </w:r>
            <w:r w:rsidR="006C3D94" w:rsidRPr="00DF124C">
              <w:t>Are you supportive of a rationalisation of lifecycle fees into tiered cost levels? If this change were adopted how many tiers should there be?</w:t>
            </w:r>
          </w:p>
        </w:tc>
      </w:tr>
      <w:tr w:rsidR="006A21E7" w:rsidRPr="00E65906" w14:paraId="21A9E13B" w14:textId="77777777" w:rsidTr="003D55ED">
        <w:trPr>
          <w:trHeight w:val="625"/>
        </w:trPr>
        <w:tc>
          <w:tcPr>
            <w:tcW w:w="841"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DB40CB1" w14:textId="149A65C0" w:rsidR="006A21E7" w:rsidRDefault="006A21E7" w:rsidP="00176D88">
            <w:pPr>
              <w:pStyle w:val="AlphaParagraph"/>
              <w:numPr>
                <w:ilvl w:val="0"/>
                <w:numId w:val="0"/>
              </w:numPr>
              <w:spacing w:after="0"/>
            </w:pPr>
            <w:r>
              <w:t>Registration, review, and renewal fees</w:t>
            </w:r>
          </w:p>
        </w:tc>
        <w:tc>
          <w:tcPr>
            <w:tcW w:w="169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F57CDE5" w14:textId="63F33EE2" w:rsidR="006A21E7" w:rsidRDefault="006A21E7" w:rsidP="00176D88">
            <w:pPr>
              <w:pStyle w:val="AlphaParagraph"/>
              <w:numPr>
                <w:ilvl w:val="0"/>
                <w:numId w:val="0"/>
              </w:numPr>
              <w:spacing w:after="0"/>
            </w:pPr>
            <w:r>
              <w:t>Fees are charged</w:t>
            </w:r>
            <w:r w:rsidRPr="006A21E7">
              <w:t xml:space="preserve"> for company registrations, business name registrations and renewals, annual returns for foreign companies, and annual reviews.</w:t>
            </w:r>
          </w:p>
        </w:tc>
        <w:tc>
          <w:tcPr>
            <w:tcW w:w="2465"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682C41A" w14:textId="38E034CC" w:rsidR="006A21E7" w:rsidRDefault="006A21E7" w:rsidP="00176D88">
            <w:pPr>
              <w:pStyle w:val="AlphaParagraph"/>
              <w:numPr>
                <w:ilvl w:val="0"/>
                <w:numId w:val="0"/>
              </w:numPr>
              <w:spacing w:after="0"/>
            </w:pPr>
            <w:r>
              <w:t xml:space="preserve">No </w:t>
            </w:r>
            <w:r w:rsidR="00790B54">
              <w:t>proposed reforms.</w:t>
            </w:r>
          </w:p>
        </w:tc>
      </w:tr>
    </w:tbl>
    <w:p w14:paraId="2D8F1C36" w14:textId="3D9D5936" w:rsidR="000D7C7B" w:rsidRDefault="009719A4" w:rsidP="009719A4">
      <w:pPr>
        <w:pStyle w:val="Heading2"/>
      </w:pPr>
      <w:bookmarkStart w:id="16" w:name="_Toc90913096"/>
      <w:r>
        <w:lastRenderedPageBreak/>
        <w:t>Appendices</w:t>
      </w:r>
      <w:bookmarkEnd w:id="16"/>
    </w:p>
    <w:p w14:paraId="109703AD" w14:textId="596F7371" w:rsidR="009719A4" w:rsidRDefault="009719A4" w:rsidP="009719A4">
      <w:pPr>
        <w:pStyle w:val="Heading3"/>
      </w:pPr>
      <w:bookmarkStart w:id="17" w:name="_Toc90913097"/>
      <w:r>
        <w:t>Appendix A – Current registry revenue</w:t>
      </w:r>
      <w:bookmarkEnd w:id="17"/>
    </w:p>
    <w:p w14:paraId="23AC93A3" w14:textId="01BF4676" w:rsidR="008147F8" w:rsidRDefault="00AB653B" w:rsidP="008147F8">
      <w:r>
        <w:t xml:space="preserve">In 2020-21, the total value of registry fees administered was </w:t>
      </w:r>
      <w:r w:rsidR="007C3314">
        <w:t>$1.</w:t>
      </w:r>
      <w:r w:rsidR="00F8724F">
        <w:t>08 billion</w:t>
      </w:r>
      <w:r w:rsidR="007C3314">
        <w:t>, an 8.2</w:t>
      </w:r>
      <w:r w:rsidR="00F8724F">
        <w:t xml:space="preserve"> per cent </w:t>
      </w:r>
      <w:r w:rsidR="007C3314">
        <w:t xml:space="preserve">increase from the previous year. </w:t>
      </w:r>
      <w:r w:rsidR="00454A76">
        <w:t>The growth in fees was largely driven by a high number of new company registrations and a</w:t>
      </w:r>
      <w:r w:rsidR="003756AE">
        <w:t xml:space="preserve"> continued</w:t>
      </w:r>
      <w:r w:rsidR="00454A76">
        <w:t xml:space="preserve"> increas</w:t>
      </w:r>
      <w:r w:rsidR="003756AE">
        <w:t>e in the total</w:t>
      </w:r>
      <w:r w:rsidR="00454A76">
        <w:t xml:space="preserve"> population of companies. </w:t>
      </w:r>
    </w:p>
    <w:p w14:paraId="7C7892A7" w14:textId="6179EE53" w:rsidR="0008449C" w:rsidRDefault="00DB2D89" w:rsidP="003364B8">
      <w:pPr>
        <w:pStyle w:val="Bullet"/>
        <w:numPr>
          <w:ilvl w:val="0"/>
          <w:numId w:val="0"/>
        </w:numPr>
        <w:rPr>
          <w:rStyle w:val="SubtleReference"/>
        </w:rPr>
      </w:pPr>
      <w:r>
        <w:rPr>
          <w:noProof/>
        </w:rPr>
        <mc:AlternateContent>
          <mc:Choice Requires="wps">
            <w:drawing>
              <wp:anchor distT="45720" distB="45720" distL="114300" distR="114300" simplePos="0" relativeHeight="251658243" behindDoc="0" locked="0" layoutInCell="1" allowOverlap="1" wp14:anchorId="1365C959" wp14:editId="3EEE3A37">
                <wp:simplePos x="0" y="0"/>
                <wp:positionH relativeFrom="column">
                  <wp:posOffset>55557</wp:posOffset>
                </wp:positionH>
                <wp:positionV relativeFrom="page">
                  <wp:posOffset>4430819</wp:posOffset>
                </wp:positionV>
                <wp:extent cx="755650" cy="307340"/>
                <wp:effectExtent l="0" t="0" r="635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07340"/>
                        </a:xfrm>
                        <a:prstGeom prst="rect">
                          <a:avLst/>
                        </a:prstGeom>
                        <a:solidFill>
                          <a:srgbClr val="FFFFFF"/>
                        </a:solidFill>
                        <a:ln w="9525">
                          <a:noFill/>
                          <a:miter lim="800000"/>
                          <a:headEnd/>
                          <a:tailEnd/>
                        </a:ln>
                      </wps:spPr>
                      <wps:txbx>
                        <w:txbxContent>
                          <w:p w14:paraId="6C148585" w14:textId="77777777" w:rsidR="00BC5C54" w:rsidRPr="00097426" w:rsidRDefault="00BC5C54" w:rsidP="004421AA">
                            <w:pPr>
                              <w:rPr>
                                <w:color w:val="5F5F5F" w:themeColor="text2"/>
                                <w:sz w:val="16"/>
                                <w:szCs w:val="14"/>
                              </w:rPr>
                            </w:pPr>
                            <w:r w:rsidRPr="00097426">
                              <w:rPr>
                                <w:color w:val="5F5F5F" w:themeColor="text2"/>
                                <w:sz w:val="16"/>
                                <w:szCs w:val="14"/>
                              </w:rPr>
                              <w:t>Source: ASIC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5C959" id="_x0000_t202" coordsize="21600,21600" o:spt="202" path="m,l,21600r21600,l21600,xe">
                <v:stroke joinstyle="miter"/>
                <v:path gradientshapeok="t" o:connecttype="rect"/>
              </v:shapetype>
              <v:shape id="Text Box 2" o:spid="_x0000_s1026" type="#_x0000_t202" style="position:absolute;margin-left:4.35pt;margin-top:348.9pt;width:59.5pt;height:24.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" stroked="f">
                <v:textbox>
                  <w:txbxContent>
                    <w:p w14:paraId="6C148585" w14:textId="77777777" w:rsidR="00BC5C54" w:rsidRPr="00097426" w:rsidRDefault="00BC5C54" w:rsidP="004421AA">
                      <w:pPr>
                        <w:rPr>
                          <w:color w:val="5F5F5F" w:themeColor="text2"/>
                          <w:sz w:val="16"/>
                          <w:szCs w:val="14"/>
                        </w:rPr>
                      </w:pPr>
                      <w:r w:rsidRPr="00097426">
                        <w:rPr>
                          <w:color w:val="5F5F5F" w:themeColor="text2"/>
                          <w:sz w:val="16"/>
                          <w:szCs w:val="14"/>
                        </w:rPr>
                        <w:t>Source: ASIC</w:t>
                      </w:r>
                    </w:p>
                  </w:txbxContent>
                </v:textbox>
                <w10:wrap type="square" anchory="page"/>
              </v:shape>
            </w:pict>
          </mc:Fallback>
        </mc:AlternateContent>
      </w:r>
      <w:bookmarkStart w:id="18" w:name="_Hlk88730251"/>
      <w:r w:rsidR="003364B8">
        <w:rPr>
          <w:rStyle w:val="SubtleReference"/>
        </w:rPr>
        <w:t>Figure</w:t>
      </w:r>
      <w:r w:rsidR="003364B8" w:rsidRPr="00860488">
        <w:rPr>
          <w:rStyle w:val="SubtleReference"/>
        </w:rPr>
        <w:t xml:space="preserve"> </w:t>
      </w:r>
      <w:r w:rsidR="00CE7462">
        <w:rPr>
          <w:rStyle w:val="SubtleReference"/>
        </w:rPr>
        <w:t>4</w:t>
      </w:r>
      <w:r w:rsidR="003364B8" w:rsidRPr="00860488">
        <w:rPr>
          <w:rStyle w:val="SubtleReference"/>
        </w:rPr>
        <w:t xml:space="preserve">: </w:t>
      </w:r>
      <w:r w:rsidR="003364B8" w:rsidRPr="002E44AA">
        <w:rPr>
          <w:rStyle w:val="SubtleReference"/>
        </w:rPr>
        <w:t>ASIC Registry Fees, 2020-21</w:t>
      </w:r>
      <w:bookmarkEnd w:id="18"/>
    </w:p>
    <w:p w14:paraId="4CFC9997" w14:textId="35ED090E" w:rsidR="00093528" w:rsidRDefault="0008449C" w:rsidP="00311B94">
      <w:pPr>
        <w:pStyle w:val="Heading3"/>
      </w:pPr>
      <w:bookmarkStart w:id="19" w:name="_Toc90913098"/>
      <w:r>
        <w:rPr>
          <w:noProof/>
        </w:rPr>
        <w:drawing>
          <wp:anchor distT="0" distB="0" distL="114300" distR="114300" simplePos="0" relativeHeight="251658242" behindDoc="1" locked="0" layoutInCell="1" allowOverlap="1" wp14:anchorId="4D6A82B1" wp14:editId="7877DD4B">
            <wp:simplePos x="0" y="0"/>
            <wp:positionH relativeFrom="column">
              <wp:posOffset>-3615</wp:posOffset>
            </wp:positionH>
            <wp:positionV relativeFrom="paragraph">
              <wp:posOffset>3761</wp:posOffset>
            </wp:positionV>
            <wp:extent cx="5706208" cy="2277110"/>
            <wp:effectExtent l="0" t="0" r="8890" b="8890"/>
            <wp:wrapTight wrapText="bothSides">
              <wp:wrapPolygon edited="0">
                <wp:start x="0" y="0"/>
                <wp:lineTo x="0" y="21504"/>
                <wp:lineTo x="21562" y="21504"/>
                <wp:lineTo x="21562" y="0"/>
                <wp:lineTo x="0" y="0"/>
              </wp:wrapPolygon>
            </wp:wrapTight>
            <wp:docPr id="12" name="Chart 12" descr="Registration, review and renewal fees made up 81.3%&#10;&#10;Late fees made up 11.5%&#10;&#10;Search fees made up 6.0%&#10;&#10;Lifecycle fees made up 1.1%">
              <a:extLst xmlns:a="http://schemas.openxmlformats.org/drawingml/2006/main">
                <a:ext uri="{FF2B5EF4-FFF2-40B4-BE49-F238E27FC236}">
                  <a16:creationId xmlns:a16="http://schemas.microsoft.com/office/drawing/2014/main" id="{E49818BF-882F-4760-AA50-8AFE50FCB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93528">
        <w:t>Appendix B – Current fee schedule</w:t>
      </w:r>
      <w:bookmarkEnd w:id="19"/>
    </w:p>
    <w:p w14:paraId="386C6179" w14:textId="77777777" w:rsidR="005930FC" w:rsidRPr="00860488" w:rsidRDefault="005930FC" w:rsidP="005930FC">
      <w:pPr>
        <w:pStyle w:val="Bullet"/>
        <w:numPr>
          <w:ilvl w:val="0"/>
          <w:numId w:val="0"/>
        </w:numPr>
        <w:rPr>
          <w:rStyle w:val="SubtleReference"/>
        </w:rPr>
      </w:pPr>
      <w:r w:rsidRPr="00860488">
        <w:rPr>
          <w:rStyle w:val="SubtleReference"/>
        </w:rPr>
        <w:t xml:space="preserve">Table </w:t>
      </w:r>
      <w:r>
        <w:rPr>
          <w:rStyle w:val="SubtleReference"/>
        </w:rPr>
        <w:t>2</w:t>
      </w:r>
      <w:r w:rsidRPr="00860488">
        <w:rPr>
          <w:rStyle w:val="SubtleReference"/>
        </w:rPr>
        <w:t xml:space="preserve">: Summary of Fees </w:t>
      </w:r>
      <w:r>
        <w:rPr>
          <w:rStyle w:val="SubtleReference"/>
        </w:rPr>
        <w:t>(Excluding Search Fees)</w:t>
      </w:r>
    </w:p>
    <w:tbl>
      <w:tblPr>
        <w:tblStyle w:val="PlainTable1"/>
        <w:tblW w:w="5082" w:type="pct"/>
        <w:tblLook w:val="04A0" w:firstRow="1" w:lastRow="0" w:firstColumn="1" w:lastColumn="0" w:noHBand="0" w:noVBand="1"/>
      </w:tblPr>
      <w:tblGrid>
        <w:gridCol w:w="2669"/>
        <w:gridCol w:w="3260"/>
        <w:gridCol w:w="3280"/>
      </w:tblGrid>
      <w:tr w:rsidR="005930FC" w14:paraId="5ECF1659" w14:textId="77777777" w:rsidTr="005D1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tcBorders>
            <w:shd w:val="clear" w:color="auto" w:fill="002C47"/>
          </w:tcPr>
          <w:p w14:paraId="30E4326E" w14:textId="77777777" w:rsidR="005930FC" w:rsidRPr="000915AF" w:rsidRDefault="005930FC" w:rsidP="005930FC">
            <w:pPr>
              <w:rPr>
                <w:b w:val="0"/>
                <w:bCs w:val="0"/>
              </w:rPr>
            </w:pPr>
            <w:r w:rsidRPr="000915AF">
              <w:t>Name</w:t>
            </w:r>
          </w:p>
        </w:tc>
        <w:tc>
          <w:tcPr>
            <w:tcW w:w="1770" w:type="pct"/>
            <w:tcBorders>
              <w:bottom w:val="single" w:sz="4" w:space="0" w:color="BFBFBF" w:themeColor="background1" w:themeShade="BF"/>
            </w:tcBorders>
            <w:shd w:val="clear" w:color="auto" w:fill="002C47"/>
          </w:tcPr>
          <w:p w14:paraId="3D6F66C6" w14:textId="77777777" w:rsidR="005930FC" w:rsidRPr="000915AF" w:rsidRDefault="005930FC" w:rsidP="005930FC">
            <w:pPr>
              <w:cnfStyle w:val="100000000000" w:firstRow="1" w:lastRow="0" w:firstColumn="0" w:lastColumn="0" w:oddVBand="0" w:evenVBand="0" w:oddHBand="0" w:evenHBand="0" w:firstRowFirstColumn="0" w:firstRowLastColumn="0" w:lastRowFirstColumn="0" w:lastRowLastColumn="0"/>
              <w:rPr>
                <w:b w:val="0"/>
                <w:bCs w:val="0"/>
              </w:rPr>
            </w:pPr>
            <w:r w:rsidRPr="000915AF">
              <w:t>Description</w:t>
            </w:r>
          </w:p>
        </w:tc>
        <w:tc>
          <w:tcPr>
            <w:tcW w:w="1781" w:type="pct"/>
            <w:tcBorders>
              <w:bottom w:val="single" w:sz="4" w:space="0" w:color="BFBFBF" w:themeColor="background1" w:themeShade="BF"/>
              <w:right w:val="single" w:sz="4" w:space="0" w:color="auto"/>
            </w:tcBorders>
            <w:shd w:val="clear" w:color="auto" w:fill="002C47"/>
          </w:tcPr>
          <w:p w14:paraId="75C69856" w14:textId="77777777" w:rsidR="005930FC" w:rsidRPr="000915AF" w:rsidRDefault="005930FC" w:rsidP="005930FC">
            <w:pPr>
              <w:cnfStyle w:val="100000000000" w:firstRow="1" w:lastRow="0" w:firstColumn="0" w:lastColumn="0" w:oddVBand="0" w:evenVBand="0" w:oddHBand="0" w:evenHBand="0" w:firstRowFirstColumn="0" w:firstRowLastColumn="0" w:lastRowFirstColumn="0" w:lastRowLastColumn="0"/>
              <w:rPr>
                <w:b w:val="0"/>
                <w:bCs w:val="0"/>
              </w:rPr>
            </w:pPr>
            <w:r w:rsidRPr="000915AF">
              <w:t>Current amount</w:t>
            </w:r>
          </w:p>
        </w:tc>
      </w:tr>
      <w:tr w:rsidR="005930FC" w14:paraId="171102B1"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left w:val="single" w:sz="4" w:space="0" w:color="auto"/>
              <w:right w:val="single" w:sz="4" w:space="0" w:color="auto"/>
            </w:tcBorders>
            <w:shd w:val="clear" w:color="auto" w:fill="D5E1F1"/>
          </w:tcPr>
          <w:p w14:paraId="49993EF4" w14:textId="77777777" w:rsidR="005930FC" w:rsidRDefault="005930FC" w:rsidP="005930FC">
            <w:r w:rsidRPr="000218D6">
              <w:rPr>
                <w:caps/>
              </w:rPr>
              <w:t>Registration, review, and renewal fees</w:t>
            </w:r>
          </w:p>
        </w:tc>
      </w:tr>
      <w:tr w:rsidR="005930FC" w14:paraId="13C2E571"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02A0F0EF" w14:textId="77777777" w:rsidR="005930FC" w:rsidRDefault="005930FC" w:rsidP="005930FC">
            <w:r>
              <w:t>Registration</w:t>
            </w:r>
          </w:p>
        </w:tc>
        <w:tc>
          <w:tcPr>
            <w:tcW w:w="1770" w:type="pct"/>
            <w:tcBorders>
              <w:left w:val="single" w:sz="4" w:space="0" w:color="auto"/>
              <w:right w:val="single" w:sz="4" w:space="0" w:color="auto"/>
            </w:tcBorders>
          </w:tcPr>
          <w:p w14:paraId="7347AFE0" w14:textId="77777777" w:rsidR="005930FC" w:rsidRDefault="005930FC" w:rsidP="005930FC">
            <w:pPr>
              <w:cnfStyle w:val="000000000000" w:firstRow="0" w:lastRow="0" w:firstColumn="0" w:lastColumn="0" w:oddVBand="0" w:evenVBand="0" w:oddHBand="0" w:evenHBand="0" w:firstRowFirstColumn="0" w:firstRowLastColumn="0" w:lastRowFirstColumn="0" w:lastRowLastColumn="0"/>
            </w:pPr>
            <w:r>
              <w:t>Initial fee to apply to register a company</w:t>
            </w:r>
          </w:p>
        </w:tc>
        <w:tc>
          <w:tcPr>
            <w:tcW w:w="1781" w:type="pct"/>
            <w:tcBorders>
              <w:left w:val="single" w:sz="4" w:space="0" w:color="auto"/>
              <w:right w:val="single" w:sz="4" w:space="0" w:color="auto"/>
            </w:tcBorders>
          </w:tcPr>
          <w:p w14:paraId="20332748" w14:textId="77777777" w:rsidR="005930FC" w:rsidRDefault="005930FC" w:rsidP="005930FC">
            <w:pPr>
              <w:cnfStyle w:val="000000000000" w:firstRow="0" w:lastRow="0" w:firstColumn="0" w:lastColumn="0" w:oddVBand="0" w:evenVBand="0" w:oddHBand="0" w:evenHBand="0" w:firstRowFirstColumn="0" w:firstRowLastColumn="0" w:lastRowFirstColumn="0" w:lastRowLastColumn="0"/>
            </w:pPr>
            <w:r>
              <w:t>Has share capital: $512</w:t>
            </w:r>
          </w:p>
          <w:p w14:paraId="2BF52C4E" w14:textId="77777777" w:rsidR="005930FC" w:rsidRDefault="005930FC" w:rsidP="005930FC">
            <w:pPr>
              <w:cnfStyle w:val="000000000000" w:firstRow="0" w:lastRow="0" w:firstColumn="0" w:lastColumn="0" w:oddVBand="0" w:evenVBand="0" w:oddHBand="0" w:evenHBand="0" w:firstRowFirstColumn="0" w:firstRowLastColumn="0" w:lastRowFirstColumn="0" w:lastRowLastColumn="0"/>
            </w:pPr>
            <w:r>
              <w:t>Does not have share capital: $422</w:t>
            </w:r>
          </w:p>
          <w:p w14:paraId="6576A5C8" w14:textId="02DE172A" w:rsidR="001A6411" w:rsidRDefault="001A6411" w:rsidP="005930FC">
            <w:pPr>
              <w:cnfStyle w:val="000000000000" w:firstRow="0" w:lastRow="0" w:firstColumn="0" w:lastColumn="0" w:oddVBand="0" w:evenVBand="0" w:oddHBand="0" w:evenHBand="0" w:firstRowFirstColumn="0" w:firstRowLastColumn="0" w:lastRowFirstColumn="0" w:lastRowLastColumn="0"/>
            </w:pPr>
            <w:r>
              <w:t>Foreign company: $512</w:t>
            </w:r>
          </w:p>
        </w:tc>
      </w:tr>
      <w:tr w:rsidR="005930FC" w14:paraId="134DCB7A"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36E8D63A" w14:textId="77777777" w:rsidR="005930FC" w:rsidRDefault="005930FC" w:rsidP="005930FC">
            <w:r>
              <w:t>Annual review</w:t>
            </w:r>
          </w:p>
        </w:tc>
        <w:tc>
          <w:tcPr>
            <w:tcW w:w="1770" w:type="pct"/>
            <w:tcBorders>
              <w:left w:val="single" w:sz="4" w:space="0" w:color="auto"/>
              <w:right w:val="single" w:sz="4" w:space="0" w:color="auto"/>
            </w:tcBorders>
          </w:tcPr>
          <w:p w14:paraId="1D6F2F10"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Annual fee paid to maintain the registration of a company</w:t>
            </w:r>
          </w:p>
        </w:tc>
        <w:tc>
          <w:tcPr>
            <w:tcW w:w="1781" w:type="pct"/>
            <w:tcBorders>
              <w:left w:val="single" w:sz="4" w:space="0" w:color="auto"/>
              <w:right w:val="single" w:sz="4" w:space="0" w:color="auto"/>
            </w:tcBorders>
          </w:tcPr>
          <w:p w14:paraId="4D6D30EF"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Proprietary company: $276 (includes the $4 IFM fee)</w:t>
            </w:r>
          </w:p>
          <w:p w14:paraId="70FB1C89" w14:textId="4FDAD84D" w:rsidR="005930FC" w:rsidRDefault="005930FC" w:rsidP="005930FC">
            <w:pPr>
              <w:cnfStyle w:val="000000100000" w:firstRow="0" w:lastRow="0" w:firstColumn="0" w:lastColumn="0" w:oddVBand="0" w:evenVBand="0" w:oddHBand="1" w:evenHBand="0" w:firstRowFirstColumn="0" w:firstRowLastColumn="0" w:lastRowFirstColumn="0" w:lastRowLastColumn="0"/>
            </w:pPr>
            <w:r>
              <w:t>Special purpose company</w:t>
            </w:r>
            <w:r w:rsidR="00495B62">
              <w:t xml:space="preserve"> (proprietary)</w:t>
            </w:r>
            <w:r>
              <w:t>: $56</w:t>
            </w:r>
          </w:p>
          <w:p w14:paraId="106FAEA9" w14:textId="11802AAD" w:rsidR="00495B62" w:rsidRDefault="00495B62" w:rsidP="005930FC">
            <w:pPr>
              <w:cnfStyle w:val="000000100000" w:firstRow="0" w:lastRow="0" w:firstColumn="0" w:lastColumn="0" w:oddVBand="0" w:evenVBand="0" w:oddHBand="1" w:evenHBand="0" w:firstRowFirstColumn="0" w:firstRowLastColumn="0" w:lastRowFirstColumn="0" w:lastRowLastColumn="0"/>
            </w:pPr>
            <w:r>
              <w:t>Special purpose company (public): $52</w:t>
            </w:r>
          </w:p>
          <w:p w14:paraId="6C829A32"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Public company: $1281</w:t>
            </w:r>
          </w:p>
          <w:p w14:paraId="696255B1"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Registered scheme or notified foreign passport fund: $1281</w:t>
            </w:r>
          </w:p>
          <w:p w14:paraId="7C7E45EF"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A small transferring financial institution: $256</w:t>
            </w:r>
          </w:p>
        </w:tc>
      </w:tr>
      <w:tr w:rsidR="005930FC" w14:paraId="60B60DC0"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2A83BF4B" w14:textId="77777777" w:rsidR="005930FC" w:rsidRDefault="005930FC" w:rsidP="005930FC">
            <w:r>
              <w:lastRenderedPageBreak/>
              <w:t>Annual return</w:t>
            </w:r>
          </w:p>
        </w:tc>
        <w:tc>
          <w:tcPr>
            <w:tcW w:w="1770" w:type="pct"/>
            <w:tcBorders>
              <w:left w:val="single" w:sz="4" w:space="0" w:color="auto"/>
              <w:right w:val="single" w:sz="4" w:space="0" w:color="auto"/>
            </w:tcBorders>
          </w:tcPr>
          <w:p w14:paraId="1B4E6E06" w14:textId="77777777" w:rsidR="005930FC" w:rsidRDefault="005930FC" w:rsidP="005930FC">
            <w:pPr>
              <w:cnfStyle w:val="000000000000" w:firstRow="0" w:lastRow="0" w:firstColumn="0" w:lastColumn="0" w:oddVBand="0" w:evenVBand="0" w:oddHBand="0" w:evenHBand="0" w:firstRowFirstColumn="0" w:firstRowLastColumn="0" w:lastRowFirstColumn="0" w:lastRowLastColumn="0"/>
            </w:pPr>
            <w:r>
              <w:t>Fee charged on the lodgement of an annual return of a foreign company</w:t>
            </w:r>
          </w:p>
        </w:tc>
        <w:tc>
          <w:tcPr>
            <w:tcW w:w="1781" w:type="pct"/>
            <w:tcBorders>
              <w:left w:val="single" w:sz="4" w:space="0" w:color="auto"/>
              <w:right w:val="single" w:sz="4" w:space="0" w:color="auto"/>
            </w:tcBorders>
          </w:tcPr>
          <w:p w14:paraId="2ADFA47D" w14:textId="77777777" w:rsidR="005930FC" w:rsidRDefault="005930FC" w:rsidP="005930FC">
            <w:pPr>
              <w:cnfStyle w:val="000000000000" w:firstRow="0" w:lastRow="0" w:firstColumn="0" w:lastColumn="0" w:oddVBand="0" w:evenVBand="0" w:oddHBand="0" w:evenHBand="0" w:firstRowFirstColumn="0" w:firstRowLastColumn="0" w:lastRowFirstColumn="0" w:lastRowLastColumn="0"/>
            </w:pPr>
            <w:r>
              <w:t>$1274</w:t>
            </w:r>
          </w:p>
        </w:tc>
      </w:tr>
      <w:tr w:rsidR="005930FC" w14:paraId="2B313A98"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433A5D62" w14:textId="77777777" w:rsidR="005930FC" w:rsidRDefault="005930FC" w:rsidP="005930FC">
            <w:r>
              <w:t>Business name registration and renewal</w:t>
            </w:r>
          </w:p>
        </w:tc>
        <w:tc>
          <w:tcPr>
            <w:tcW w:w="1770" w:type="pct"/>
            <w:tcBorders>
              <w:left w:val="single" w:sz="4" w:space="0" w:color="auto"/>
              <w:bottom w:val="single" w:sz="4" w:space="0" w:color="BFBFBF" w:themeColor="background1" w:themeShade="BF"/>
              <w:right w:val="single" w:sz="4" w:space="0" w:color="auto"/>
            </w:tcBorders>
          </w:tcPr>
          <w:p w14:paraId="311D6240"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Fee to register or renew the registration of a business name</w:t>
            </w:r>
          </w:p>
        </w:tc>
        <w:tc>
          <w:tcPr>
            <w:tcW w:w="1781" w:type="pct"/>
            <w:tcBorders>
              <w:left w:val="single" w:sz="4" w:space="0" w:color="auto"/>
              <w:bottom w:val="single" w:sz="4" w:space="0" w:color="BFBFBF" w:themeColor="background1" w:themeShade="BF"/>
              <w:right w:val="single" w:sz="4" w:space="0" w:color="auto"/>
            </w:tcBorders>
          </w:tcPr>
          <w:p w14:paraId="4F4F0F6F"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For one year: $37</w:t>
            </w:r>
          </w:p>
          <w:p w14:paraId="270FFB87" w14:textId="77777777" w:rsidR="005930FC" w:rsidRDefault="005930FC" w:rsidP="005930FC">
            <w:pPr>
              <w:cnfStyle w:val="000000100000" w:firstRow="0" w:lastRow="0" w:firstColumn="0" w:lastColumn="0" w:oddVBand="0" w:evenVBand="0" w:oddHBand="1" w:evenHBand="0" w:firstRowFirstColumn="0" w:firstRowLastColumn="0" w:lastRowFirstColumn="0" w:lastRowLastColumn="0"/>
            </w:pPr>
            <w:r>
              <w:t>For three years: $88</w:t>
            </w:r>
          </w:p>
        </w:tc>
      </w:tr>
      <w:tr w:rsidR="004B18F0" w14:paraId="76636148"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29A79FB7" w14:textId="2A7A36E0" w:rsidR="004B18F0" w:rsidRDefault="00461AF5" w:rsidP="00461AF5">
            <w:r w:rsidRPr="00461AF5">
              <w:rPr>
                <w:rFonts w:cstheme="minorHAnsi"/>
              </w:rPr>
              <w:t>Lodge a copy of annual</w:t>
            </w:r>
            <w:r>
              <w:rPr>
                <w:rFonts w:cstheme="minorHAnsi"/>
              </w:rPr>
              <w:t xml:space="preserve"> </w:t>
            </w:r>
            <w:r w:rsidRPr="00461AF5">
              <w:rPr>
                <w:rFonts w:cstheme="minorHAnsi"/>
              </w:rPr>
              <w:t xml:space="preserve">financial report by disclosing entity </w:t>
            </w:r>
            <w:r w:rsidR="00184F96">
              <w:rPr>
                <w:rFonts w:cstheme="minorHAnsi"/>
              </w:rPr>
              <w:t>(</w:t>
            </w:r>
            <w:r w:rsidRPr="00461AF5">
              <w:rPr>
                <w:rFonts w:cstheme="minorHAnsi"/>
              </w:rPr>
              <w:t>that is not a company or registered scheme</w:t>
            </w:r>
            <w:r w:rsidR="00184F96">
              <w:rPr>
                <w:rFonts w:cstheme="minorHAnsi"/>
              </w:rPr>
              <w:t>) or foreign company</w:t>
            </w:r>
          </w:p>
        </w:tc>
        <w:tc>
          <w:tcPr>
            <w:tcW w:w="1770" w:type="pct"/>
            <w:tcBorders>
              <w:left w:val="single" w:sz="4" w:space="0" w:color="auto"/>
              <w:bottom w:val="single" w:sz="4" w:space="0" w:color="BFBFBF" w:themeColor="background1" w:themeShade="BF"/>
              <w:right w:val="single" w:sz="4" w:space="0" w:color="auto"/>
            </w:tcBorders>
          </w:tcPr>
          <w:p w14:paraId="1EA705E0" w14:textId="5D2BF75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on the annual lodgement of a copy of financial statements and reports</w:t>
            </w:r>
          </w:p>
        </w:tc>
        <w:tc>
          <w:tcPr>
            <w:tcW w:w="1781" w:type="pct"/>
            <w:tcBorders>
              <w:left w:val="single" w:sz="4" w:space="0" w:color="auto"/>
              <w:bottom w:val="single" w:sz="4" w:space="0" w:color="BFBFBF" w:themeColor="background1" w:themeShade="BF"/>
              <w:right w:val="single" w:sz="4" w:space="0" w:color="auto"/>
            </w:tcBorders>
          </w:tcPr>
          <w:p w14:paraId="0899266A" w14:textId="7ABCAFD3" w:rsidR="004B18F0" w:rsidRDefault="004B18F0" w:rsidP="004B18F0">
            <w:pPr>
              <w:cnfStyle w:val="000000000000" w:firstRow="0" w:lastRow="0" w:firstColumn="0" w:lastColumn="0" w:oddVBand="0" w:evenVBand="0" w:oddHBand="0" w:evenHBand="0" w:firstRowFirstColumn="0" w:firstRowLastColumn="0" w:lastRowFirstColumn="0" w:lastRowLastColumn="0"/>
            </w:pPr>
            <w:r>
              <w:t>$1274</w:t>
            </w:r>
          </w:p>
        </w:tc>
      </w:tr>
      <w:tr w:rsidR="004B18F0" w14:paraId="442368E1"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left w:val="single" w:sz="4" w:space="0" w:color="auto"/>
              <w:right w:val="single" w:sz="4" w:space="0" w:color="auto"/>
            </w:tcBorders>
            <w:shd w:val="clear" w:color="auto" w:fill="D5E1F1"/>
          </w:tcPr>
          <w:p w14:paraId="1AA196D0" w14:textId="77777777" w:rsidR="004B18F0" w:rsidRDefault="004B18F0" w:rsidP="004B18F0">
            <w:r w:rsidRPr="00116D73">
              <w:rPr>
                <w:caps/>
              </w:rPr>
              <w:t>Late fees</w:t>
            </w:r>
          </w:p>
        </w:tc>
      </w:tr>
      <w:tr w:rsidR="004B18F0" w14:paraId="6055BA8E"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1D7B45E0" w14:textId="77777777" w:rsidR="004B18F0" w:rsidRDefault="004B18F0" w:rsidP="004B18F0">
            <w:r>
              <w:t>Late payment</w:t>
            </w:r>
          </w:p>
        </w:tc>
        <w:tc>
          <w:tcPr>
            <w:tcW w:w="1770" w:type="pct"/>
            <w:tcBorders>
              <w:left w:val="single" w:sz="4" w:space="0" w:color="auto"/>
              <w:right w:val="single" w:sz="4" w:space="0" w:color="auto"/>
            </w:tcBorders>
          </w:tcPr>
          <w:p w14:paraId="1D345674"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if the annual review fee is not paid on time</w:t>
            </w:r>
          </w:p>
        </w:tc>
        <w:tc>
          <w:tcPr>
            <w:tcW w:w="1781" w:type="pct"/>
            <w:tcBorders>
              <w:left w:val="single" w:sz="4" w:space="0" w:color="auto"/>
              <w:right w:val="single" w:sz="4" w:space="0" w:color="auto"/>
            </w:tcBorders>
          </w:tcPr>
          <w:p w14:paraId="7BE55CD4" w14:textId="5E05D004" w:rsidR="004B18F0" w:rsidRDefault="00495B62" w:rsidP="00495B62">
            <w:pPr>
              <w:cnfStyle w:val="000000000000" w:firstRow="0" w:lastRow="0" w:firstColumn="0" w:lastColumn="0" w:oddVBand="0" w:evenVBand="0" w:oddHBand="0" w:evenHBand="0" w:firstRowFirstColumn="0" w:firstRowLastColumn="0" w:lastRowFirstColumn="0" w:lastRowLastColumn="0"/>
            </w:pPr>
            <w:r>
              <w:t>If payment is received  within 1 month after due date</w:t>
            </w:r>
            <w:r w:rsidR="004B18F0">
              <w:t>: $83</w:t>
            </w:r>
          </w:p>
          <w:p w14:paraId="2927362A" w14:textId="19C0B559" w:rsidR="004B18F0" w:rsidRDefault="00495B62" w:rsidP="00495B62">
            <w:pPr>
              <w:cnfStyle w:val="000000000000" w:firstRow="0" w:lastRow="0" w:firstColumn="0" w:lastColumn="0" w:oddVBand="0" w:evenVBand="0" w:oddHBand="0" w:evenHBand="0" w:firstRowFirstColumn="0" w:firstRowLastColumn="0" w:lastRowFirstColumn="0" w:lastRowLastColumn="0"/>
            </w:pPr>
            <w:r>
              <w:t>If payment is received more than 1 month after due date</w:t>
            </w:r>
            <w:r w:rsidR="004B18F0">
              <w:t>: $344</w:t>
            </w:r>
          </w:p>
        </w:tc>
      </w:tr>
      <w:tr w:rsidR="004B18F0" w14:paraId="3E7C23D1"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53E2B67F" w14:textId="77777777" w:rsidR="004B18F0" w:rsidRDefault="004B18F0" w:rsidP="004B18F0">
            <w:r>
              <w:t>Late review</w:t>
            </w:r>
          </w:p>
        </w:tc>
        <w:tc>
          <w:tcPr>
            <w:tcW w:w="1770" w:type="pct"/>
            <w:tcBorders>
              <w:left w:val="single" w:sz="4" w:space="0" w:color="auto"/>
              <w:right w:val="single" w:sz="4" w:space="0" w:color="auto"/>
            </w:tcBorders>
          </w:tcPr>
          <w:p w14:paraId="3B8008F8"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if changes to the annual statement are not made on time</w:t>
            </w:r>
          </w:p>
        </w:tc>
        <w:tc>
          <w:tcPr>
            <w:tcW w:w="1781" w:type="pct"/>
            <w:tcBorders>
              <w:left w:val="single" w:sz="4" w:space="0" w:color="auto"/>
              <w:right w:val="single" w:sz="4" w:space="0" w:color="auto"/>
            </w:tcBorders>
          </w:tcPr>
          <w:p w14:paraId="39E4DBF9" w14:textId="24E30619" w:rsidR="004B18F0" w:rsidRDefault="001A6411" w:rsidP="001A6411">
            <w:pPr>
              <w:cnfStyle w:val="000000100000" w:firstRow="0" w:lastRow="0" w:firstColumn="0" w:lastColumn="0" w:oddVBand="0" w:evenVBand="0" w:oddHBand="1" w:evenHBand="0" w:firstRowFirstColumn="0" w:firstRowLastColumn="0" w:lastRowFirstColumn="0" w:lastRowLastColumn="0"/>
            </w:pPr>
            <w:r>
              <w:t>If document is received within 1 month after the prescribed time</w:t>
            </w:r>
            <w:r w:rsidR="004B18F0">
              <w:t>: $83</w:t>
            </w:r>
          </w:p>
          <w:p w14:paraId="1BD7BD0C" w14:textId="378DBA3D" w:rsidR="004B18F0" w:rsidRDefault="001A6411" w:rsidP="001A6411">
            <w:pPr>
              <w:cnfStyle w:val="000000100000" w:firstRow="0" w:lastRow="0" w:firstColumn="0" w:lastColumn="0" w:oddVBand="0" w:evenVBand="0" w:oddHBand="1" w:evenHBand="0" w:firstRowFirstColumn="0" w:firstRowLastColumn="0" w:lastRowFirstColumn="0" w:lastRowLastColumn="0"/>
            </w:pPr>
            <w:r>
              <w:t>If document is received more than 1 month after the prescribed time</w:t>
            </w:r>
            <w:r w:rsidR="004B18F0">
              <w:t>: $344</w:t>
            </w:r>
          </w:p>
        </w:tc>
      </w:tr>
      <w:tr w:rsidR="004B18F0" w14:paraId="08FB6865"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3B76D414" w14:textId="77777777" w:rsidR="004B18F0" w:rsidRDefault="004B18F0" w:rsidP="004B18F0">
            <w:r>
              <w:t>Late lodgement</w:t>
            </w:r>
          </w:p>
        </w:tc>
        <w:tc>
          <w:tcPr>
            <w:tcW w:w="1770" w:type="pct"/>
            <w:tcBorders>
              <w:left w:val="single" w:sz="4" w:space="0" w:color="auto"/>
              <w:bottom w:val="single" w:sz="4" w:space="0" w:color="BFBFBF" w:themeColor="background1" w:themeShade="BF"/>
              <w:right w:val="single" w:sz="4" w:space="0" w:color="auto"/>
            </w:tcBorders>
          </w:tcPr>
          <w:p w14:paraId="58B2E439" w14:textId="7151CCE5"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if a document is not lodged on time</w:t>
            </w:r>
          </w:p>
        </w:tc>
        <w:tc>
          <w:tcPr>
            <w:tcW w:w="1781" w:type="pct"/>
            <w:tcBorders>
              <w:left w:val="single" w:sz="4" w:space="0" w:color="auto"/>
              <w:bottom w:val="single" w:sz="4" w:space="0" w:color="BFBFBF" w:themeColor="background1" w:themeShade="BF"/>
              <w:right w:val="single" w:sz="4" w:space="0" w:color="auto"/>
            </w:tcBorders>
          </w:tcPr>
          <w:p w14:paraId="61EA3A31" w14:textId="4134A7DE" w:rsidR="004B18F0" w:rsidRDefault="00495B62" w:rsidP="00495B62">
            <w:pPr>
              <w:cnfStyle w:val="000000000000" w:firstRow="0" w:lastRow="0" w:firstColumn="0" w:lastColumn="0" w:oddVBand="0" w:evenVBand="0" w:oddHBand="0" w:evenHBand="0" w:firstRowFirstColumn="0" w:firstRowLastColumn="0" w:lastRowFirstColumn="0" w:lastRowLastColumn="0"/>
            </w:pPr>
            <w:r>
              <w:t>If document is received within 1 month after the prescribed time</w:t>
            </w:r>
            <w:r w:rsidR="004B18F0">
              <w:t>: $83</w:t>
            </w:r>
          </w:p>
          <w:p w14:paraId="71C761AF" w14:textId="40D5E8A9" w:rsidR="004B18F0" w:rsidRDefault="00495B62" w:rsidP="00495B62">
            <w:pPr>
              <w:cnfStyle w:val="000000000000" w:firstRow="0" w:lastRow="0" w:firstColumn="0" w:lastColumn="0" w:oddVBand="0" w:evenVBand="0" w:oddHBand="0" w:evenHBand="0" w:firstRowFirstColumn="0" w:firstRowLastColumn="0" w:lastRowFirstColumn="0" w:lastRowLastColumn="0"/>
            </w:pPr>
            <w:r>
              <w:t>If document is received more than 1 month after the prescribed time</w:t>
            </w:r>
            <w:r w:rsidR="004B18F0">
              <w:t>: $344</w:t>
            </w:r>
          </w:p>
        </w:tc>
      </w:tr>
      <w:tr w:rsidR="004B18F0" w14:paraId="56A22EFB"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3"/>
            <w:tcBorders>
              <w:left w:val="single" w:sz="4" w:space="0" w:color="auto"/>
              <w:right w:val="single" w:sz="4" w:space="0" w:color="auto"/>
            </w:tcBorders>
            <w:shd w:val="clear" w:color="auto" w:fill="D5E1F1"/>
          </w:tcPr>
          <w:p w14:paraId="2FE09ADF" w14:textId="77777777" w:rsidR="004B18F0" w:rsidRDefault="004B18F0" w:rsidP="004B18F0">
            <w:r>
              <w:rPr>
                <w:caps/>
              </w:rPr>
              <w:t>Lifecycle</w:t>
            </w:r>
            <w:r w:rsidRPr="00116D73">
              <w:rPr>
                <w:caps/>
              </w:rPr>
              <w:t xml:space="preserve"> fees</w:t>
            </w:r>
          </w:p>
        </w:tc>
      </w:tr>
      <w:tr w:rsidR="004B18F0" w14:paraId="29FAB351"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bottom w:val="single" w:sz="4" w:space="0" w:color="BFBFBF" w:themeColor="background1" w:themeShade="BF"/>
              <w:right w:val="single" w:sz="4" w:space="0" w:color="auto"/>
            </w:tcBorders>
          </w:tcPr>
          <w:p w14:paraId="26F14873" w14:textId="77777777" w:rsidR="004B18F0" w:rsidRDefault="004B18F0" w:rsidP="004B18F0">
            <w:r>
              <w:t>Notification of resolution</w:t>
            </w:r>
          </w:p>
        </w:tc>
        <w:tc>
          <w:tcPr>
            <w:tcW w:w="1770" w:type="pct"/>
            <w:tcBorders>
              <w:left w:val="single" w:sz="4" w:space="0" w:color="auto"/>
              <w:right w:val="single" w:sz="4" w:space="0" w:color="auto"/>
            </w:tcBorders>
          </w:tcPr>
          <w:p w14:paraId="11752185"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Fees charged on notification of a resolution that has been passed or agreed to</w:t>
            </w:r>
          </w:p>
        </w:tc>
        <w:tc>
          <w:tcPr>
            <w:tcW w:w="1781" w:type="pct"/>
            <w:tcBorders>
              <w:left w:val="single" w:sz="4" w:space="0" w:color="auto"/>
              <w:right w:val="single" w:sz="4" w:space="0" w:color="auto"/>
            </w:tcBorders>
          </w:tcPr>
          <w:p w14:paraId="5593B891"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Change of company name: $422</w:t>
            </w:r>
          </w:p>
          <w:p w14:paraId="1F1C76EF"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Change of company type or status: $83</w:t>
            </w:r>
          </w:p>
          <w:p w14:paraId="220B63A7" w14:textId="77777777" w:rsidR="004B18F0" w:rsidRDefault="004B18F0" w:rsidP="004B18F0">
            <w:pPr>
              <w:spacing w:after="0"/>
              <w:cnfStyle w:val="000000000000" w:firstRow="0" w:lastRow="0" w:firstColumn="0" w:lastColumn="0" w:oddVBand="0" w:evenVBand="0" w:oddHBand="0" w:evenHBand="0" w:firstRowFirstColumn="0" w:firstRowLastColumn="0" w:lastRowFirstColumn="0" w:lastRowLastColumn="0"/>
            </w:pPr>
            <w:r>
              <w:t>Some notifications do not incur a fee</w:t>
            </w:r>
          </w:p>
        </w:tc>
      </w:tr>
      <w:tr w:rsidR="004B18F0" w14:paraId="329D369B"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11BE065E" w14:textId="77777777" w:rsidR="004B18F0" w:rsidRDefault="004B18F0" w:rsidP="004B18F0">
            <w:r>
              <w:t>Application for voluntary deregistration of a company</w:t>
            </w:r>
          </w:p>
        </w:tc>
        <w:tc>
          <w:tcPr>
            <w:tcW w:w="1770" w:type="pct"/>
            <w:tcBorders>
              <w:left w:val="single" w:sz="4" w:space="0" w:color="auto"/>
              <w:right w:val="single" w:sz="4" w:space="0" w:color="auto"/>
            </w:tcBorders>
          </w:tcPr>
          <w:p w14:paraId="4206F2C1"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on an application to voluntarily deregister a company</w:t>
            </w:r>
          </w:p>
        </w:tc>
        <w:tc>
          <w:tcPr>
            <w:tcW w:w="1781" w:type="pct"/>
            <w:tcBorders>
              <w:left w:val="single" w:sz="4" w:space="0" w:color="auto"/>
              <w:right w:val="single" w:sz="4" w:space="0" w:color="auto"/>
            </w:tcBorders>
          </w:tcPr>
          <w:p w14:paraId="1F9BAF35"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$42</w:t>
            </w:r>
          </w:p>
        </w:tc>
      </w:tr>
      <w:tr w:rsidR="004B18F0" w14:paraId="2D8E6CE8"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5444B48B" w14:textId="77777777" w:rsidR="004B18F0" w:rsidRDefault="004B18F0" w:rsidP="004B18F0">
            <w:r w:rsidRPr="00880FEB">
              <w:t>Application for ASIC reinstatement</w:t>
            </w:r>
          </w:p>
        </w:tc>
        <w:tc>
          <w:tcPr>
            <w:tcW w:w="1770" w:type="pct"/>
            <w:tcBorders>
              <w:left w:val="single" w:sz="4" w:space="0" w:color="auto"/>
              <w:right w:val="single" w:sz="4" w:space="0" w:color="auto"/>
            </w:tcBorders>
          </w:tcPr>
          <w:p w14:paraId="6ACF2956" w14:textId="538CB69B" w:rsidR="004B18F0" w:rsidRDefault="004B18F0" w:rsidP="004B18F0">
            <w:pPr>
              <w:cnfStyle w:val="000000000000" w:firstRow="0" w:lastRow="0" w:firstColumn="0" w:lastColumn="0" w:oddVBand="0" w:evenVBand="0" w:oddHBand="0" w:evenHBand="0" w:firstRowFirstColumn="0" w:firstRowLastColumn="0" w:lastRowFirstColumn="0" w:lastRowLastColumn="0"/>
            </w:pPr>
            <w:r>
              <w:t xml:space="preserve">Fee to reinstate a deregistered company. Note that annual review fees that would have been </w:t>
            </w:r>
            <w:r>
              <w:lastRenderedPageBreak/>
              <w:t>payable if the company had remained registered</w:t>
            </w:r>
            <w:r w:rsidR="00B9066D">
              <w:t xml:space="preserve"> and any outstanding debt (written off or otherwise)</w:t>
            </w:r>
            <w:r>
              <w:t xml:space="preserve"> must also be paid </w:t>
            </w:r>
          </w:p>
        </w:tc>
        <w:tc>
          <w:tcPr>
            <w:tcW w:w="1781" w:type="pct"/>
            <w:tcBorders>
              <w:left w:val="single" w:sz="4" w:space="0" w:color="auto"/>
              <w:right w:val="single" w:sz="4" w:space="0" w:color="auto"/>
            </w:tcBorders>
          </w:tcPr>
          <w:p w14:paraId="2871B736"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lastRenderedPageBreak/>
              <w:t>$42</w:t>
            </w:r>
          </w:p>
        </w:tc>
      </w:tr>
      <w:tr w:rsidR="004B18F0" w14:paraId="0822F96F"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4BF4D566" w14:textId="77777777" w:rsidR="004B18F0" w:rsidRDefault="004B18F0" w:rsidP="004B18F0">
            <w:r w:rsidRPr="00B11BB4">
              <w:rPr>
                <w:rFonts w:cstheme="minorHAnsi"/>
              </w:rPr>
              <w:t>Application for reservation of a name</w:t>
            </w:r>
            <w:r>
              <w:rPr>
                <w:rFonts w:cstheme="minorHAnsi"/>
              </w:rPr>
              <w:t>/extension on reservation</w:t>
            </w:r>
          </w:p>
        </w:tc>
        <w:tc>
          <w:tcPr>
            <w:tcW w:w="1770" w:type="pct"/>
            <w:tcBorders>
              <w:left w:val="single" w:sz="4" w:space="0" w:color="auto"/>
              <w:right w:val="single" w:sz="4" w:space="0" w:color="auto"/>
            </w:tcBorders>
          </w:tcPr>
          <w:p w14:paraId="0AAB9116"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on an application to reserve, or extend the reservation of, a company name</w:t>
            </w:r>
          </w:p>
        </w:tc>
        <w:tc>
          <w:tcPr>
            <w:tcW w:w="1781" w:type="pct"/>
            <w:tcBorders>
              <w:left w:val="single" w:sz="4" w:space="0" w:color="auto"/>
              <w:right w:val="single" w:sz="4" w:space="0" w:color="auto"/>
            </w:tcBorders>
          </w:tcPr>
          <w:p w14:paraId="72E9A319"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$52</w:t>
            </w:r>
          </w:p>
        </w:tc>
      </w:tr>
      <w:tr w:rsidR="004B18F0" w14:paraId="689D6406"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40C7DAD6" w14:textId="10C0A841" w:rsidR="004B18F0" w:rsidRDefault="004B18F0" w:rsidP="004B18F0">
            <w:r w:rsidRPr="00B11BB4">
              <w:rPr>
                <w:rFonts w:cstheme="minorHAnsi"/>
              </w:rPr>
              <w:t>Application to change the review date</w:t>
            </w:r>
          </w:p>
        </w:tc>
        <w:tc>
          <w:tcPr>
            <w:tcW w:w="1770" w:type="pct"/>
            <w:tcBorders>
              <w:left w:val="single" w:sz="4" w:space="0" w:color="auto"/>
              <w:right w:val="single" w:sz="4" w:space="0" w:color="auto"/>
            </w:tcBorders>
          </w:tcPr>
          <w:p w14:paraId="4E231078"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on an a</w:t>
            </w:r>
            <w:r w:rsidRPr="0009721E">
              <w:t>ppl</w:t>
            </w:r>
            <w:r>
              <w:t>ication</w:t>
            </w:r>
            <w:r w:rsidRPr="0009721E">
              <w:t xml:space="preserve"> for a review date that is different to the anniversary of the registration date for a company or registered scheme.</w:t>
            </w:r>
          </w:p>
        </w:tc>
        <w:tc>
          <w:tcPr>
            <w:tcW w:w="1781" w:type="pct"/>
            <w:tcBorders>
              <w:left w:val="single" w:sz="4" w:space="0" w:color="auto"/>
              <w:right w:val="single" w:sz="4" w:space="0" w:color="auto"/>
            </w:tcBorders>
          </w:tcPr>
          <w:p w14:paraId="323BA56F" w14:textId="42034E38" w:rsidR="004B18F0" w:rsidRDefault="004B18F0" w:rsidP="004B18F0">
            <w:pPr>
              <w:cnfStyle w:val="000000000000" w:firstRow="0" w:lastRow="0" w:firstColumn="0" w:lastColumn="0" w:oddVBand="0" w:evenVBand="0" w:oddHBand="0" w:evenHBand="0" w:firstRowFirstColumn="0" w:firstRowLastColumn="0" w:lastRowFirstColumn="0" w:lastRowLastColumn="0"/>
            </w:pPr>
            <w:r>
              <w:t>Fewer than 10 companies, registered schemes</w:t>
            </w:r>
            <w:r w:rsidR="00DD78A7">
              <w:t xml:space="preserve">, </w:t>
            </w:r>
            <w:r>
              <w:t>notified foreign passport funds</w:t>
            </w:r>
            <w:r w:rsidR="00DD78A7">
              <w:t xml:space="preserve"> and other entities specified in the regulations</w:t>
            </w:r>
            <w:r>
              <w:t>: $42 each</w:t>
            </w:r>
          </w:p>
          <w:p w14:paraId="354664FF"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At least 10: $416</w:t>
            </w:r>
          </w:p>
        </w:tc>
      </w:tr>
      <w:tr w:rsidR="004B18F0" w14:paraId="70BE4007"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79132EC4" w14:textId="77777777" w:rsidR="004B18F0" w:rsidRDefault="004B18F0" w:rsidP="004B18F0">
            <w:r w:rsidRPr="00B11BB4">
              <w:rPr>
                <w:rFonts w:cstheme="minorHAnsi"/>
              </w:rPr>
              <w:t>Application to change a company name to omit the word 'limited'</w:t>
            </w:r>
          </w:p>
        </w:tc>
        <w:tc>
          <w:tcPr>
            <w:tcW w:w="1770" w:type="pct"/>
            <w:tcBorders>
              <w:left w:val="single" w:sz="4" w:space="0" w:color="auto"/>
              <w:right w:val="single" w:sz="4" w:space="0" w:color="auto"/>
            </w:tcBorders>
          </w:tcPr>
          <w:p w14:paraId="6FF60751"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on an application</w:t>
            </w:r>
            <w:r w:rsidRPr="00544F0B">
              <w:t xml:space="preserve"> by an existing limited public company to change its name to omit the word 'Limited' from the end of its name</w:t>
            </w:r>
          </w:p>
        </w:tc>
        <w:tc>
          <w:tcPr>
            <w:tcW w:w="1781" w:type="pct"/>
            <w:tcBorders>
              <w:left w:val="single" w:sz="4" w:space="0" w:color="auto"/>
              <w:right w:val="single" w:sz="4" w:space="0" w:color="auto"/>
            </w:tcBorders>
          </w:tcPr>
          <w:p w14:paraId="4C83A0D7"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$422</w:t>
            </w:r>
          </w:p>
        </w:tc>
      </w:tr>
      <w:tr w:rsidR="004B18F0" w14:paraId="539E706B"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4DAB4A46" w14:textId="30495AD1" w:rsidR="004B18F0" w:rsidRDefault="00956700" w:rsidP="00956700">
            <w:r w:rsidRPr="00956700">
              <w:rPr>
                <w:rFonts w:cstheme="minorHAnsi"/>
              </w:rPr>
              <w:t>Apply to Minister for consent to use a company name</w:t>
            </w:r>
          </w:p>
        </w:tc>
        <w:tc>
          <w:tcPr>
            <w:tcW w:w="1770" w:type="pct"/>
            <w:tcBorders>
              <w:left w:val="single" w:sz="4" w:space="0" w:color="auto"/>
              <w:right w:val="single" w:sz="4" w:space="0" w:color="auto"/>
            </w:tcBorders>
          </w:tcPr>
          <w:p w14:paraId="3F4D317A"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to apply for ministerial consent to register a company name containing a restricted term</w:t>
            </w:r>
          </w:p>
        </w:tc>
        <w:tc>
          <w:tcPr>
            <w:tcW w:w="1781" w:type="pct"/>
            <w:tcBorders>
              <w:left w:val="single" w:sz="4" w:space="0" w:color="auto"/>
              <w:right w:val="single" w:sz="4" w:space="0" w:color="auto"/>
            </w:tcBorders>
          </w:tcPr>
          <w:p w14:paraId="0F6FEB31" w14:textId="7465C501" w:rsidR="004B18F0" w:rsidRDefault="004B18F0" w:rsidP="004B18F0">
            <w:pPr>
              <w:cnfStyle w:val="000000000000" w:firstRow="0" w:lastRow="0" w:firstColumn="0" w:lastColumn="0" w:oddVBand="0" w:evenVBand="0" w:oddHBand="0" w:evenHBand="0" w:firstRowFirstColumn="0" w:firstRowLastColumn="0" w:lastRowFirstColumn="0" w:lastRowLastColumn="0"/>
            </w:pPr>
            <w:r>
              <w:t>$12</w:t>
            </w:r>
            <w:r w:rsidR="00956700">
              <w:t>74</w:t>
            </w:r>
          </w:p>
        </w:tc>
      </w:tr>
      <w:tr w:rsidR="004B18F0" w14:paraId="5550AE4E"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004BACDD" w14:textId="77777777" w:rsidR="004B18F0" w:rsidRDefault="004B18F0" w:rsidP="004B18F0">
            <w:r w:rsidRPr="00B11BB4">
              <w:rPr>
                <w:rFonts w:cstheme="minorHAnsi"/>
              </w:rPr>
              <w:t>Application for change of State or Territory of registration of a company</w:t>
            </w:r>
          </w:p>
        </w:tc>
        <w:tc>
          <w:tcPr>
            <w:tcW w:w="1770" w:type="pct"/>
            <w:tcBorders>
              <w:left w:val="single" w:sz="4" w:space="0" w:color="auto"/>
              <w:right w:val="single" w:sz="4" w:space="0" w:color="auto"/>
            </w:tcBorders>
          </w:tcPr>
          <w:p w14:paraId="723354A7"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on an application for a company to change its state or territory of registration</w:t>
            </w:r>
          </w:p>
        </w:tc>
        <w:tc>
          <w:tcPr>
            <w:tcW w:w="1781" w:type="pct"/>
            <w:tcBorders>
              <w:left w:val="single" w:sz="4" w:space="0" w:color="auto"/>
              <w:right w:val="single" w:sz="4" w:space="0" w:color="auto"/>
            </w:tcBorders>
          </w:tcPr>
          <w:p w14:paraId="3643779E"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$512</w:t>
            </w:r>
          </w:p>
        </w:tc>
      </w:tr>
      <w:tr w:rsidR="004B18F0" w14:paraId="0069A580"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133BD23C" w14:textId="77777777" w:rsidR="004B18F0" w:rsidRPr="00B11BB4" w:rsidRDefault="004B18F0" w:rsidP="004B18F0">
            <w:pPr>
              <w:rPr>
                <w:rFonts w:cstheme="minorHAnsi"/>
              </w:rPr>
            </w:pPr>
            <w:r w:rsidRPr="00B11BB4">
              <w:rPr>
                <w:rFonts w:cstheme="minorHAnsi"/>
              </w:rPr>
              <w:t>Change of name for company under external administration</w:t>
            </w:r>
          </w:p>
        </w:tc>
        <w:tc>
          <w:tcPr>
            <w:tcW w:w="1770" w:type="pct"/>
            <w:tcBorders>
              <w:left w:val="single" w:sz="4" w:space="0" w:color="auto"/>
              <w:right w:val="single" w:sz="4" w:space="0" w:color="auto"/>
            </w:tcBorders>
          </w:tcPr>
          <w:p w14:paraId="78FD10D9"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on an application by an external administrator to change a company name</w:t>
            </w:r>
          </w:p>
        </w:tc>
        <w:tc>
          <w:tcPr>
            <w:tcW w:w="1781" w:type="pct"/>
            <w:tcBorders>
              <w:left w:val="single" w:sz="4" w:space="0" w:color="auto"/>
              <w:right w:val="single" w:sz="4" w:space="0" w:color="auto"/>
            </w:tcBorders>
          </w:tcPr>
          <w:p w14:paraId="1F7C58DC"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$42</w:t>
            </w:r>
          </w:p>
        </w:tc>
      </w:tr>
      <w:tr w:rsidR="004B18F0" w14:paraId="62D31457"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6FFECE1A" w14:textId="77777777" w:rsidR="004B18F0" w:rsidRPr="00B11BB4" w:rsidRDefault="004B18F0" w:rsidP="004B18F0">
            <w:pPr>
              <w:rPr>
                <w:rFonts w:cstheme="minorHAnsi"/>
              </w:rPr>
            </w:pPr>
            <w:r w:rsidRPr="00B11BB4">
              <w:rPr>
                <w:rFonts w:cstheme="minorHAnsi"/>
              </w:rPr>
              <w:t>Application to use an alternative address</w:t>
            </w:r>
          </w:p>
        </w:tc>
        <w:tc>
          <w:tcPr>
            <w:tcW w:w="1770" w:type="pct"/>
            <w:tcBorders>
              <w:left w:val="single" w:sz="4" w:space="0" w:color="auto"/>
              <w:right w:val="single" w:sz="4" w:space="0" w:color="auto"/>
            </w:tcBorders>
          </w:tcPr>
          <w:p w14:paraId="1D35BAE7"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Fee charged on an application by an individual to show an alternate address in the register in lieu of a residential address</w:t>
            </w:r>
          </w:p>
        </w:tc>
        <w:tc>
          <w:tcPr>
            <w:tcW w:w="1781" w:type="pct"/>
            <w:tcBorders>
              <w:left w:val="single" w:sz="4" w:space="0" w:color="auto"/>
              <w:right w:val="single" w:sz="4" w:space="0" w:color="auto"/>
            </w:tcBorders>
          </w:tcPr>
          <w:p w14:paraId="314FF0BB" w14:textId="77777777" w:rsidR="004B18F0" w:rsidRDefault="004B18F0" w:rsidP="004B18F0">
            <w:pPr>
              <w:cnfStyle w:val="000000100000" w:firstRow="0" w:lastRow="0" w:firstColumn="0" w:lastColumn="0" w:oddVBand="0" w:evenVBand="0" w:oddHBand="1" w:evenHBand="0" w:firstRowFirstColumn="0" w:firstRowLastColumn="0" w:lastRowFirstColumn="0" w:lastRowLastColumn="0"/>
            </w:pPr>
            <w:r>
              <w:t>$42</w:t>
            </w:r>
          </w:p>
        </w:tc>
      </w:tr>
      <w:tr w:rsidR="004B18F0" w14:paraId="6E0F819D" w14:textId="77777777" w:rsidTr="005D122E">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1948E89B" w14:textId="77777777" w:rsidR="004B18F0" w:rsidRPr="00B11BB4" w:rsidRDefault="004B18F0" w:rsidP="004B18F0">
            <w:pPr>
              <w:rPr>
                <w:rFonts w:cstheme="minorHAnsi"/>
              </w:rPr>
            </w:pPr>
            <w:r w:rsidRPr="00B11BB4">
              <w:rPr>
                <w:rFonts w:cstheme="minorHAnsi"/>
              </w:rPr>
              <w:t xml:space="preserve">Application for transfer of registration of a company to registration under a law of </w:t>
            </w:r>
            <w:r>
              <w:rPr>
                <w:rFonts w:cstheme="minorHAnsi"/>
              </w:rPr>
              <w:t xml:space="preserve">the Commonwealth, or </w:t>
            </w:r>
            <w:r w:rsidRPr="00B11BB4">
              <w:rPr>
                <w:rFonts w:cstheme="minorHAnsi"/>
              </w:rPr>
              <w:t>a State or Territory</w:t>
            </w:r>
          </w:p>
        </w:tc>
        <w:tc>
          <w:tcPr>
            <w:tcW w:w="1770" w:type="pct"/>
            <w:tcBorders>
              <w:left w:val="single" w:sz="4" w:space="0" w:color="auto"/>
              <w:right w:val="single" w:sz="4" w:space="0" w:color="auto"/>
            </w:tcBorders>
          </w:tcPr>
          <w:p w14:paraId="1D103C01"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Fee charged on an application by a company to transfer its registration under the law of the Commonwealth, or of a state or territory</w:t>
            </w:r>
          </w:p>
        </w:tc>
        <w:tc>
          <w:tcPr>
            <w:tcW w:w="1781" w:type="pct"/>
            <w:tcBorders>
              <w:left w:val="single" w:sz="4" w:space="0" w:color="auto"/>
              <w:right w:val="single" w:sz="4" w:space="0" w:color="auto"/>
            </w:tcBorders>
          </w:tcPr>
          <w:p w14:paraId="12DAC6F6" w14:textId="77777777" w:rsidR="004B18F0" w:rsidRDefault="004B18F0" w:rsidP="004B18F0">
            <w:pPr>
              <w:cnfStyle w:val="000000000000" w:firstRow="0" w:lastRow="0" w:firstColumn="0" w:lastColumn="0" w:oddVBand="0" w:evenVBand="0" w:oddHBand="0" w:evenHBand="0" w:firstRowFirstColumn="0" w:firstRowLastColumn="0" w:lastRowFirstColumn="0" w:lastRowLastColumn="0"/>
            </w:pPr>
            <w:r>
              <w:t>$42</w:t>
            </w:r>
          </w:p>
        </w:tc>
      </w:tr>
      <w:tr w:rsidR="004B18F0" w14:paraId="04A52C25" w14:textId="77777777" w:rsidTr="005D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Borders>
              <w:left w:val="single" w:sz="4" w:space="0" w:color="auto"/>
              <w:right w:val="single" w:sz="4" w:space="0" w:color="auto"/>
            </w:tcBorders>
          </w:tcPr>
          <w:p w14:paraId="0973EFEA" w14:textId="4D3E37A5" w:rsidR="004B18F0" w:rsidRPr="00B11BB4" w:rsidRDefault="004B18F0" w:rsidP="004B18F0">
            <w:pPr>
              <w:rPr>
                <w:rFonts w:cstheme="minorHAnsi"/>
              </w:rPr>
            </w:pPr>
            <w:r>
              <w:rPr>
                <w:rFonts w:cstheme="minorHAnsi"/>
              </w:rPr>
              <w:t>F</w:t>
            </w:r>
            <w:r w:rsidRPr="004B18F0">
              <w:rPr>
                <w:rFonts w:cstheme="minorHAnsi"/>
              </w:rPr>
              <w:t>ee</w:t>
            </w:r>
            <w:r>
              <w:rPr>
                <w:rFonts w:cstheme="minorHAnsi"/>
              </w:rPr>
              <w:t>s</w:t>
            </w:r>
            <w:r w:rsidRPr="004B18F0">
              <w:rPr>
                <w:rFonts w:cstheme="minorHAnsi"/>
              </w:rPr>
              <w:t xml:space="preserve"> not provided by other item</w:t>
            </w:r>
            <w:r>
              <w:rPr>
                <w:rFonts w:cstheme="minorHAnsi"/>
              </w:rPr>
              <w:t>s</w:t>
            </w:r>
            <w:r w:rsidRPr="004B18F0">
              <w:rPr>
                <w:rFonts w:cstheme="minorHAnsi"/>
              </w:rPr>
              <w:t xml:space="preserve"> in </w:t>
            </w:r>
            <w:r>
              <w:rPr>
                <w:rFonts w:cstheme="minorHAnsi"/>
              </w:rPr>
              <w:t>the schedule</w:t>
            </w:r>
          </w:p>
        </w:tc>
        <w:tc>
          <w:tcPr>
            <w:tcW w:w="1770" w:type="pct"/>
            <w:tcBorders>
              <w:left w:val="single" w:sz="4" w:space="0" w:color="auto"/>
              <w:right w:val="single" w:sz="4" w:space="0" w:color="auto"/>
            </w:tcBorders>
          </w:tcPr>
          <w:p w14:paraId="3FC7983C" w14:textId="6F053FB2" w:rsidR="004B18F0" w:rsidRDefault="004B18F0" w:rsidP="004B18F0">
            <w:pPr>
              <w:cnfStyle w:val="000000100000" w:firstRow="0" w:lastRow="0" w:firstColumn="0" w:lastColumn="0" w:oddVBand="0" w:evenVBand="0" w:oddHBand="1" w:evenHBand="0" w:firstRowFirstColumn="0" w:firstRowLastColumn="0" w:lastRowFirstColumn="0" w:lastRowLastColumn="0"/>
            </w:pPr>
            <w:r>
              <w:t>Fees other than specified within the regulations.</w:t>
            </w:r>
          </w:p>
        </w:tc>
        <w:tc>
          <w:tcPr>
            <w:tcW w:w="1781" w:type="pct"/>
            <w:tcBorders>
              <w:left w:val="single" w:sz="4" w:space="0" w:color="auto"/>
              <w:right w:val="single" w:sz="4" w:space="0" w:color="auto"/>
            </w:tcBorders>
          </w:tcPr>
          <w:p w14:paraId="6728006C" w14:textId="600DCCDE" w:rsidR="004B18F0" w:rsidRDefault="004B18F0" w:rsidP="004B18F0">
            <w:pPr>
              <w:cnfStyle w:val="000000100000" w:firstRow="0" w:lastRow="0" w:firstColumn="0" w:lastColumn="0" w:oddVBand="0" w:evenVBand="0" w:oddHBand="1" w:evenHBand="0" w:firstRowFirstColumn="0" w:firstRowLastColumn="0" w:lastRowFirstColumn="0" w:lastRowLastColumn="0"/>
            </w:pPr>
            <w:r>
              <w:t>$42</w:t>
            </w:r>
          </w:p>
        </w:tc>
      </w:tr>
    </w:tbl>
    <w:p w14:paraId="15EEE8C3" w14:textId="77777777" w:rsidR="00CE7462" w:rsidRDefault="00CE7462" w:rsidP="005930FC">
      <w:pPr>
        <w:pStyle w:val="Bullet"/>
        <w:numPr>
          <w:ilvl w:val="0"/>
          <w:numId w:val="0"/>
        </w:numPr>
        <w:rPr>
          <w:rStyle w:val="SubtleReference"/>
        </w:rPr>
      </w:pPr>
    </w:p>
    <w:p w14:paraId="032D67C7" w14:textId="63B3C6E5" w:rsidR="005930FC" w:rsidRPr="00860488" w:rsidRDefault="005930FC" w:rsidP="005930FC">
      <w:pPr>
        <w:pStyle w:val="Bullet"/>
        <w:numPr>
          <w:ilvl w:val="0"/>
          <w:numId w:val="0"/>
        </w:numPr>
        <w:rPr>
          <w:rStyle w:val="SubtleReference"/>
        </w:rPr>
      </w:pPr>
      <w:r w:rsidRPr="00860488">
        <w:rPr>
          <w:rStyle w:val="SubtleReference"/>
        </w:rPr>
        <w:lastRenderedPageBreak/>
        <w:t xml:space="preserve">Table </w:t>
      </w:r>
      <w:r w:rsidR="00BC02E8">
        <w:rPr>
          <w:rStyle w:val="SubtleReference"/>
        </w:rPr>
        <w:t>3</w:t>
      </w:r>
      <w:r w:rsidRPr="00860488">
        <w:rPr>
          <w:rStyle w:val="SubtleReference"/>
        </w:rPr>
        <w:t xml:space="preserve">: Summary of </w:t>
      </w:r>
      <w:r>
        <w:rPr>
          <w:rStyle w:val="SubtleReference"/>
        </w:rPr>
        <w:t>Search Fees</w:t>
      </w:r>
    </w:p>
    <w:tbl>
      <w:tblPr>
        <w:tblStyle w:val="PlainTable3"/>
        <w:tblW w:w="5079" w:type="pct"/>
        <w:tblLook w:val="04A0" w:firstRow="1" w:lastRow="0" w:firstColumn="1" w:lastColumn="0" w:noHBand="0" w:noVBand="1"/>
      </w:tblPr>
      <w:tblGrid>
        <w:gridCol w:w="3819"/>
        <w:gridCol w:w="1418"/>
        <w:gridCol w:w="1420"/>
        <w:gridCol w:w="1278"/>
        <w:gridCol w:w="1273"/>
      </w:tblGrid>
      <w:tr w:rsidR="00196C17" w:rsidRPr="000915AF" w14:paraId="5F8665AA" w14:textId="77777777" w:rsidTr="005D122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2074" w:type="pct"/>
            <w:tcBorders>
              <w:left w:val="single" w:sz="4" w:space="0" w:color="auto"/>
            </w:tcBorders>
            <w:shd w:val="clear" w:color="auto" w:fill="002C47"/>
            <w:hideMark/>
          </w:tcPr>
          <w:p w14:paraId="1E450D5F" w14:textId="77777777" w:rsidR="005930FC" w:rsidRPr="008D11E0" w:rsidRDefault="005930FC" w:rsidP="005930FC">
            <w:pPr>
              <w:rPr>
                <w:color w:val="FFFFFF" w:themeColor="background1"/>
              </w:rPr>
            </w:pPr>
            <w:r w:rsidRPr="008D11E0">
              <w:rPr>
                <w:color w:val="FFFFFF" w:themeColor="background1"/>
              </w:rPr>
              <w:t>PRODUCT</w:t>
            </w:r>
          </w:p>
        </w:tc>
        <w:tc>
          <w:tcPr>
            <w:tcW w:w="1541" w:type="pct"/>
            <w:gridSpan w:val="2"/>
            <w:shd w:val="clear" w:color="auto" w:fill="002C47"/>
            <w:hideMark/>
          </w:tcPr>
          <w:p w14:paraId="5A1EB95C" w14:textId="77777777" w:rsidR="005930FC" w:rsidRPr="008D11E0" w:rsidRDefault="005930FC" w:rsidP="005930F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D11E0">
              <w:rPr>
                <w:color w:val="FFFFFF" w:themeColor="background1"/>
              </w:rPr>
              <w:t>CURRENT</w:t>
            </w:r>
          </w:p>
        </w:tc>
        <w:tc>
          <w:tcPr>
            <w:tcW w:w="1385" w:type="pct"/>
            <w:gridSpan w:val="2"/>
            <w:shd w:val="clear" w:color="auto" w:fill="002C47"/>
            <w:hideMark/>
          </w:tcPr>
          <w:p w14:paraId="67B9D752" w14:textId="77777777" w:rsidR="005930FC" w:rsidRPr="008D11E0" w:rsidRDefault="005930FC" w:rsidP="005930F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D11E0">
              <w:rPr>
                <w:color w:val="FFFFFF" w:themeColor="background1"/>
              </w:rPr>
              <w:t>CURRENT AND HISTORICAL</w:t>
            </w:r>
          </w:p>
        </w:tc>
      </w:tr>
      <w:tr w:rsidR="00196C17" w:rsidRPr="000915AF" w14:paraId="65B20670" w14:textId="77777777" w:rsidTr="005D122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74" w:type="pct"/>
            <w:tcBorders>
              <w:top w:val="single" w:sz="4" w:space="0" w:color="7F7F7F" w:themeColor="text1" w:themeTint="80"/>
              <w:left w:val="single" w:sz="4" w:space="0" w:color="auto"/>
            </w:tcBorders>
            <w:hideMark/>
          </w:tcPr>
          <w:p w14:paraId="41F714C8" w14:textId="77777777" w:rsidR="005930FC" w:rsidRPr="000915AF" w:rsidRDefault="005930FC" w:rsidP="005930FC">
            <w:r w:rsidRPr="000915AF">
              <w:t> </w:t>
            </w:r>
          </w:p>
        </w:tc>
        <w:tc>
          <w:tcPr>
            <w:tcW w:w="770" w:type="pct"/>
            <w:tcBorders>
              <w:right w:val="single" w:sz="4" w:space="0" w:color="auto"/>
            </w:tcBorders>
            <w:hideMark/>
          </w:tcPr>
          <w:p w14:paraId="3EE51752" w14:textId="77777777" w:rsidR="005930FC" w:rsidRPr="00D14FDE" w:rsidRDefault="005930FC" w:rsidP="005930FC">
            <w:pPr>
              <w:jc w:val="right"/>
              <w:cnfStyle w:val="000000100000" w:firstRow="0" w:lastRow="0" w:firstColumn="0" w:lastColumn="0" w:oddVBand="0" w:evenVBand="0" w:oddHBand="1" w:evenHBand="0" w:firstRowFirstColumn="0" w:firstRowLastColumn="0" w:lastRowFirstColumn="0" w:lastRowLastColumn="0"/>
              <w:rPr>
                <w:b/>
                <w:bCs/>
              </w:rPr>
            </w:pPr>
            <w:r w:rsidRPr="00D14FDE">
              <w:rPr>
                <w:b/>
                <w:bCs/>
              </w:rPr>
              <w:t>Online</w:t>
            </w:r>
          </w:p>
        </w:tc>
        <w:tc>
          <w:tcPr>
            <w:tcW w:w="771" w:type="pct"/>
            <w:tcBorders>
              <w:left w:val="single" w:sz="4" w:space="0" w:color="auto"/>
              <w:right w:val="single" w:sz="4" w:space="0" w:color="auto"/>
            </w:tcBorders>
            <w:hideMark/>
          </w:tcPr>
          <w:p w14:paraId="75BC7662" w14:textId="77777777" w:rsidR="005930FC" w:rsidRPr="00D14FDE" w:rsidRDefault="005930FC" w:rsidP="005930FC">
            <w:pPr>
              <w:jc w:val="right"/>
              <w:cnfStyle w:val="000000100000" w:firstRow="0" w:lastRow="0" w:firstColumn="0" w:lastColumn="0" w:oddVBand="0" w:evenVBand="0" w:oddHBand="1" w:evenHBand="0" w:firstRowFirstColumn="0" w:firstRowLastColumn="0" w:lastRowFirstColumn="0" w:lastRowLastColumn="0"/>
              <w:rPr>
                <w:b/>
                <w:bCs/>
              </w:rPr>
            </w:pPr>
            <w:r w:rsidRPr="00D14FDE">
              <w:rPr>
                <w:b/>
                <w:bCs/>
              </w:rPr>
              <w:t>Paper</w:t>
            </w:r>
          </w:p>
        </w:tc>
        <w:tc>
          <w:tcPr>
            <w:tcW w:w="694" w:type="pct"/>
            <w:tcBorders>
              <w:left w:val="single" w:sz="4" w:space="0" w:color="auto"/>
              <w:right w:val="single" w:sz="4" w:space="0" w:color="auto"/>
            </w:tcBorders>
            <w:hideMark/>
          </w:tcPr>
          <w:p w14:paraId="5A168662" w14:textId="77777777" w:rsidR="005930FC" w:rsidRPr="00D14FDE" w:rsidRDefault="005930FC" w:rsidP="005930FC">
            <w:pPr>
              <w:jc w:val="right"/>
              <w:cnfStyle w:val="000000100000" w:firstRow="0" w:lastRow="0" w:firstColumn="0" w:lastColumn="0" w:oddVBand="0" w:evenVBand="0" w:oddHBand="1" w:evenHBand="0" w:firstRowFirstColumn="0" w:firstRowLastColumn="0" w:lastRowFirstColumn="0" w:lastRowLastColumn="0"/>
              <w:rPr>
                <w:b/>
                <w:bCs/>
              </w:rPr>
            </w:pPr>
            <w:r w:rsidRPr="00D14FDE">
              <w:rPr>
                <w:b/>
                <w:bCs/>
              </w:rPr>
              <w:t>Online</w:t>
            </w:r>
          </w:p>
        </w:tc>
        <w:tc>
          <w:tcPr>
            <w:tcW w:w="691" w:type="pct"/>
            <w:tcBorders>
              <w:left w:val="single" w:sz="4" w:space="0" w:color="auto"/>
              <w:right w:val="single" w:sz="4" w:space="0" w:color="auto"/>
            </w:tcBorders>
            <w:hideMark/>
          </w:tcPr>
          <w:p w14:paraId="2D2E5650" w14:textId="77777777" w:rsidR="005930FC" w:rsidRPr="00D14FDE" w:rsidRDefault="005930FC" w:rsidP="005930FC">
            <w:pPr>
              <w:jc w:val="right"/>
              <w:cnfStyle w:val="000000100000" w:firstRow="0" w:lastRow="0" w:firstColumn="0" w:lastColumn="0" w:oddVBand="0" w:evenVBand="0" w:oddHBand="1" w:evenHBand="0" w:firstRowFirstColumn="0" w:firstRowLastColumn="0" w:lastRowFirstColumn="0" w:lastRowLastColumn="0"/>
              <w:rPr>
                <w:b/>
                <w:bCs/>
              </w:rPr>
            </w:pPr>
            <w:r w:rsidRPr="00D14FDE">
              <w:rPr>
                <w:b/>
                <w:bCs/>
              </w:rPr>
              <w:t>Paper</w:t>
            </w:r>
          </w:p>
        </w:tc>
      </w:tr>
      <w:tr w:rsidR="00196C17" w:rsidRPr="000915AF" w14:paraId="2058AC59" w14:textId="77777777" w:rsidTr="005D122E">
        <w:trPr>
          <w:trHeight w:val="317"/>
        </w:trPr>
        <w:tc>
          <w:tcPr>
            <w:cnfStyle w:val="001000000000" w:firstRow="0" w:lastRow="0" w:firstColumn="1" w:lastColumn="0" w:oddVBand="0" w:evenVBand="0" w:oddHBand="0" w:evenHBand="0" w:firstRowFirstColumn="0" w:firstRowLastColumn="0" w:lastRowFirstColumn="0" w:lastRowLastColumn="0"/>
            <w:tcW w:w="0" w:type="pct"/>
            <w:gridSpan w:val="5"/>
            <w:tcBorders>
              <w:left w:val="single" w:sz="4" w:space="0" w:color="auto"/>
            </w:tcBorders>
            <w:shd w:val="clear" w:color="auto" w:fill="D5E1F1"/>
            <w:hideMark/>
          </w:tcPr>
          <w:p w14:paraId="79ADEC8C" w14:textId="77777777" w:rsidR="005930FC" w:rsidRPr="000915AF" w:rsidRDefault="005930FC" w:rsidP="005930FC">
            <w:r w:rsidRPr="000915AF">
              <w:t>Company and Organisation Searches</w:t>
            </w:r>
          </w:p>
        </w:tc>
      </w:tr>
      <w:tr w:rsidR="00196C17" w:rsidRPr="000915AF" w14:paraId="03F292CD"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04D8A4FB" w14:textId="77777777" w:rsidR="005930FC" w:rsidRPr="008D11E0" w:rsidRDefault="005930FC" w:rsidP="005930FC">
            <w:pPr>
              <w:rPr>
                <w:rFonts w:cstheme="minorHAnsi"/>
                <w:caps w:val="0"/>
              </w:rPr>
            </w:pPr>
            <w:r w:rsidRPr="008D11E0">
              <w:rPr>
                <w:rFonts w:cstheme="minorHAnsi"/>
                <w:caps w:val="0"/>
              </w:rPr>
              <w:t>Company extract</w:t>
            </w:r>
          </w:p>
        </w:tc>
        <w:tc>
          <w:tcPr>
            <w:tcW w:w="770" w:type="pct"/>
            <w:tcBorders>
              <w:right w:val="single" w:sz="4" w:space="0" w:color="auto"/>
            </w:tcBorders>
            <w:hideMark/>
          </w:tcPr>
          <w:p w14:paraId="063DF213"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$9</w:t>
            </w:r>
          </w:p>
        </w:tc>
        <w:tc>
          <w:tcPr>
            <w:tcW w:w="771" w:type="pct"/>
            <w:tcBorders>
              <w:left w:val="single" w:sz="4" w:space="0" w:color="auto"/>
              <w:right w:val="single" w:sz="4" w:space="0" w:color="auto"/>
            </w:tcBorders>
            <w:hideMark/>
          </w:tcPr>
          <w:p w14:paraId="117C81EC"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7090E4FE"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$17</w:t>
            </w:r>
          </w:p>
        </w:tc>
        <w:tc>
          <w:tcPr>
            <w:tcW w:w="691" w:type="pct"/>
            <w:tcBorders>
              <w:left w:val="single" w:sz="4" w:space="0" w:color="auto"/>
              <w:right w:val="single" w:sz="4" w:space="0" w:color="auto"/>
            </w:tcBorders>
            <w:hideMark/>
          </w:tcPr>
          <w:p w14:paraId="01ADCF33"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$20</w:t>
            </w:r>
          </w:p>
        </w:tc>
      </w:tr>
      <w:tr w:rsidR="00196C17" w:rsidRPr="000915AF" w14:paraId="357392D1" w14:textId="77777777" w:rsidTr="005D122E">
        <w:trPr>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0BF66997" w14:textId="77777777" w:rsidR="005930FC" w:rsidRPr="008D11E0" w:rsidRDefault="005930FC" w:rsidP="005930FC">
            <w:pPr>
              <w:rPr>
                <w:rFonts w:cstheme="minorHAnsi"/>
                <w:caps w:val="0"/>
              </w:rPr>
            </w:pPr>
            <w:r w:rsidRPr="008D11E0">
              <w:rPr>
                <w:rFonts w:cstheme="minorHAnsi"/>
                <w:caps w:val="0"/>
              </w:rPr>
              <w:t>Roles and relationship extract</w:t>
            </w:r>
          </w:p>
        </w:tc>
        <w:tc>
          <w:tcPr>
            <w:tcW w:w="770" w:type="pct"/>
            <w:tcBorders>
              <w:right w:val="single" w:sz="4" w:space="0" w:color="auto"/>
            </w:tcBorders>
            <w:hideMark/>
          </w:tcPr>
          <w:p w14:paraId="073D8949"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$19</w:t>
            </w:r>
          </w:p>
        </w:tc>
        <w:tc>
          <w:tcPr>
            <w:tcW w:w="771" w:type="pct"/>
            <w:tcBorders>
              <w:left w:val="single" w:sz="4" w:space="0" w:color="auto"/>
              <w:right w:val="single" w:sz="4" w:space="0" w:color="auto"/>
            </w:tcBorders>
            <w:hideMark/>
          </w:tcPr>
          <w:p w14:paraId="5EC86C05"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$22</w:t>
            </w:r>
          </w:p>
        </w:tc>
        <w:tc>
          <w:tcPr>
            <w:tcW w:w="694" w:type="pct"/>
            <w:tcBorders>
              <w:left w:val="single" w:sz="4" w:space="0" w:color="auto"/>
              <w:right w:val="single" w:sz="4" w:space="0" w:color="auto"/>
            </w:tcBorders>
            <w:hideMark/>
          </w:tcPr>
          <w:p w14:paraId="49E4DF16"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6C4F3365"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r>
      <w:tr w:rsidR="00196C17" w:rsidRPr="000915AF" w14:paraId="5190C304" w14:textId="77777777" w:rsidTr="005D122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2DD42FC6" w14:textId="77777777" w:rsidR="005930FC" w:rsidRPr="008D11E0" w:rsidRDefault="005930FC" w:rsidP="005930FC">
            <w:pPr>
              <w:rPr>
                <w:rFonts w:cstheme="minorHAnsi"/>
                <w:caps w:val="0"/>
              </w:rPr>
            </w:pPr>
            <w:r w:rsidRPr="008D11E0">
              <w:rPr>
                <w:rFonts w:cstheme="minorHAnsi"/>
                <w:caps w:val="0"/>
              </w:rPr>
              <w:t>Certificate of registration of company</w:t>
            </w:r>
          </w:p>
        </w:tc>
        <w:tc>
          <w:tcPr>
            <w:tcW w:w="770" w:type="pct"/>
            <w:tcBorders>
              <w:right w:val="single" w:sz="4" w:space="0" w:color="auto"/>
            </w:tcBorders>
            <w:hideMark/>
          </w:tcPr>
          <w:p w14:paraId="40397C39"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$19</w:t>
            </w:r>
          </w:p>
        </w:tc>
        <w:tc>
          <w:tcPr>
            <w:tcW w:w="771" w:type="pct"/>
            <w:tcBorders>
              <w:left w:val="single" w:sz="4" w:space="0" w:color="auto"/>
              <w:right w:val="single" w:sz="4" w:space="0" w:color="auto"/>
            </w:tcBorders>
            <w:hideMark/>
          </w:tcPr>
          <w:p w14:paraId="785F6082"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$22</w:t>
            </w:r>
          </w:p>
        </w:tc>
        <w:tc>
          <w:tcPr>
            <w:tcW w:w="694" w:type="pct"/>
            <w:tcBorders>
              <w:left w:val="single" w:sz="4" w:space="0" w:color="auto"/>
              <w:right w:val="single" w:sz="4" w:space="0" w:color="auto"/>
            </w:tcBorders>
            <w:hideMark/>
          </w:tcPr>
          <w:p w14:paraId="7E065834"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5472C231"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r>
      <w:tr w:rsidR="00196C17" w:rsidRPr="000915AF" w14:paraId="0BE73B75" w14:textId="77777777" w:rsidTr="005D122E">
        <w:trPr>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39965BE7" w14:textId="77777777" w:rsidR="005930FC" w:rsidRPr="008D11E0" w:rsidRDefault="005930FC" w:rsidP="005930FC">
            <w:pPr>
              <w:rPr>
                <w:rFonts w:cstheme="minorHAnsi"/>
                <w:caps w:val="0"/>
              </w:rPr>
            </w:pPr>
            <w:r w:rsidRPr="008D11E0">
              <w:rPr>
                <w:rFonts w:cstheme="minorHAnsi"/>
                <w:caps w:val="0"/>
              </w:rPr>
              <w:t>Australian registered body extract</w:t>
            </w:r>
          </w:p>
        </w:tc>
        <w:tc>
          <w:tcPr>
            <w:tcW w:w="770" w:type="pct"/>
            <w:tcBorders>
              <w:right w:val="single" w:sz="4" w:space="0" w:color="auto"/>
            </w:tcBorders>
            <w:hideMark/>
          </w:tcPr>
          <w:p w14:paraId="58507286"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$9</w:t>
            </w:r>
          </w:p>
        </w:tc>
        <w:tc>
          <w:tcPr>
            <w:tcW w:w="771" w:type="pct"/>
            <w:tcBorders>
              <w:left w:val="single" w:sz="4" w:space="0" w:color="auto"/>
              <w:right w:val="single" w:sz="4" w:space="0" w:color="auto"/>
            </w:tcBorders>
            <w:hideMark/>
          </w:tcPr>
          <w:p w14:paraId="21467512"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2705E6B8"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$17</w:t>
            </w:r>
          </w:p>
        </w:tc>
        <w:tc>
          <w:tcPr>
            <w:tcW w:w="691" w:type="pct"/>
            <w:tcBorders>
              <w:left w:val="single" w:sz="4" w:space="0" w:color="auto"/>
              <w:right w:val="single" w:sz="4" w:space="0" w:color="auto"/>
            </w:tcBorders>
            <w:hideMark/>
          </w:tcPr>
          <w:p w14:paraId="2870D6A5"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$20</w:t>
            </w:r>
          </w:p>
        </w:tc>
      </w:tr>
      <w:tr w:rsidR="00196C17" w:rsidRPr="000915AF" w14:paraId="5E9CD6BF"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40E09DDE" w14:textId="77777777" w:rsidR="005930FC" w:rsidRPr="008D11E0" w:rsidRDefault="005930FC" w:rsidP="005930FC">
            <w:pPr>
              <w:rPr>
                <w:rFonts w:cstheme="minorHAnsi"/>
                <w:caps w:val="0"/>
              </w:rPr>
            </w:pPr>
            <w:r w:rsidRPr="008D11E0">
              <w:rPr>
                <w:rFonts w:cstheme="minorHAnsi"/>
                <w:caps w:val="0"/>
              </w:rPr>
              <w:t>Foreign company extract</w:t>
            </w:r>
          </w:p>
        </w:tc>
        <w:tc>
          <w:tcPr>
            <w:tcW w:w="770" w:type="pct"/>
            <w:tcBorders>
              <w:right w:val="single" w:sz="4" w:space="0" w:color="auto"/>
            </w:tcBorders>
            <w:hideMark/>
          </w:tcPr>
          <w:p w14:paraId="0415277E"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$9</w:t>
            </w:r>
          </w:p>
        </w:tc>
        <w:tc>
          <w:tcPr>
            <w:tcW w:w="771" w:type="pct"/>
            <w:tcBorders>
              <w:left w:val="single" w:sz="4" w:space="0" w:color="auto"/>
              <w:right w:val="single" w:sz="4" w:space="0" w:color="auto"/>
            </w:tcBorders>
            <w:hideMark/>
          </w:tcPr>
          <w:p w14:paraId="3A98B815"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0FDAD706"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$17</w:t>
            </w:r>
          </w:p>
        </w:tc>
        <w:tc>
          <w:tcPr>
            <w:tcW w:w="691" w:type="pct"/>
            <w:tcBorders>
              <w:left w:val="single" w:sz="4" w:space="0" w:color="auto"/>
              <w:right w:val="single" w:sz="4" w:space="0" w:color="auto"/>
            </w:tcBorders>
            <w:hideMark/>
          </w:tcPr>
          <w:p w14:paraId="5977A90A"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$20</w:t>
            </w:r>
          </w:p>
        </w:tc>
      </w:tr>
      <w:tr w:rsidR="00196C17" w:rsidRPr="000915AF" w14:paraId="6B0703F9" w14:textId="77777777" w:rsidTr="005D122E">
        <w:trPr>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41E74FBA" w14:textId="77777777" w:rsidR="005930FC" w:rsidRPr="008D11E0" w:rsidRDefault="005930FC" w:rsidP="005930FC">
            <w:pPr>
              <w:rPr>
                <w:rFonts w:cstheme="minorHAnsi"/>
                <w:caps w:val="0"/>
              </w:rPr>
            </w:pPr>
            <w:r w:rsidRPr="008D11E0">
              <w:rPr>
                <w:rFonts w:cstheme="minorHAnsi"/>
                <w:caps w:val="0"/>
              </w:rPr>
              <w:t>Managed investment scheme extract</w:t>
            </w:r>
          </w:p>
        </w:tc>
        <w:tc>
          <w:tcPr>
            <w:tcW w:w="770" w:type="pct"/>
            <w:tcBorders>
              <w:right w:val="single" w:sz="4" w:space="0" w:color="auto"/>
            </w:tcBorders>
            <w:hideMark/>
          </w:tcPr>
          <w:p w14:paraId="61EA7373"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$9</w:t>
            </w:r>
          </w:p>
        </w:tc>
        <w:tc>
          <w:tcPr>
            <w:tcW w:w="771" w:type="pct"/>
            <w:tcBorders>
              <w:left w:val="single" w:sz="4" w:space="0" w:color="auto"/>
              <w:right w:val="single" w:sz="4" w:space="0" w:color="auto"/>
            </w:tcBorders>
            <w:hideMark/>
          </w:tcPr>
          <w:p w14:paraId="7A5BFDA8"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361F120A"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$17</w:t>
            </w:r>
          </w:p>
        </w:tc>
        <w:tc>
          <w:tcPr>
            <w:tcW w:w="691" w:type="pct"/>
            <w:tcBorders>
              <w:left w:val="single" w:sz="4" w:space="0" w:color="auto"/>
              <w:right w:val="single" w:sz="4" w:space="0" w:color="auto"/>
            </w:tcBorders>
            <w:hideMark/>
          </w:tcPr>
          <w:p w14:paraId="6103D4C9"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$20</w:t>
            </w:r>
          </w:p>
        </w:tc>
      </w:tr>
      <w:tr w:rsidR="00196C17" w:rsidRPr="000915AF" w14:paraId="6744CD4B" w14:textId="77777777" w:rsidTr="005D122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pct"/>
            <w:gridSpan w:val="5"/>
            <w:tcBorders>
              <w:left w:val="single" w:sz="4" w:space="0" w:color="auto"/>
            </w:tcBorders>
            <w:shd w:val="clear" w:color="auto" w:fill="D5E1F1" w:themeFill="accent2" w:themeFillTint="33"/>
            <w:hideMark/>
          </w:tcPr>
          <w:p w14:paraId="07306950" w14:textId="77777777" w:rsidR="005930FC" w:rsidRPr="000915AF" w:rsidRDefault="005930FC" w:rsidP="005930FC">
            <w:r w:rsidRPr="000915AF">
              <w:t>Business Name Searches</w:t>
            </w:r>
          </w:p>
        </w:tc>
      </w:tr>
      <w:tr w:rsidR="00196C17" w:rsidRPr="000915AF" w14:paraId="34D371BC" w14:textId="77777777" w:rsidTr="005D122E">
        <w:trPr>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5584AF08" w14:textId="77777777" w:rsidR="005930FC" w:rsidRPr="008D11E0" w:rsidRDefault="005930FC" w:rsidP="005930FC">
            <w:pPr>
              <w:rPr>
                <w:rFonts w:cstheme="minorHAnsi"/>
                <w:caps w:val="0"/>
              </w:rPr>
            </w:pPr>
            <w:r w:rsidRPr="008D11E0">
              <w:rPr>
                <w:rFonts w:cstheme="minorHAnsi"/>
                <w:caps w:val="0"/>
              </w:rPr>
              <w:t>Business name extract</w:t>
            </w:r>
          </w:p>
        </w:tc>
        <w:tc>
          <w:tcPr>
            <w:tcW w:w="770" w:type="pct"/>
            <w:tcBorders>
              <w:right w:val="single" w:sz="4" w:space="0" w:color="auto"/>
            </w:tcBorders>
            <w:hideMark/>
          </w:tcPr>
          <w:p w14:paraId="5E3B9840"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$9</w:t>
            </w:r>
          </w:p>
        </w:tc>
        <w:tc>
          <w:tcPr>
            <w:tcW w:w="771" w:type="pct"/>
            <w:tcBorders>
              <w:left w:val="single" w:sz="4" w:space="0" w:color="auto"/>
              <w:right w:val="single" w:sz="4" w:space="0" w:color="auto"/>
            </w:tcBorders>
            <w:hideMark/>
          </w:tcPr>
          <w:p w14:paraId="2F4CC0FE"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2E949FC6"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$17</w:t>
            </w:r>
          </w:p>
        </w:tc>
        <w:tc>
          <w:tcPr>
            <w:tcW w:w="691" w:type="pct"/>
            <w:tcBorders>
              <w:left w:val="single" w:sz="4" w:space="0" w:color="auto"/>
              <w:right w:val="single" w:sz="4" w:space="0" w:color="auto"/>
            </w:tcBorders>
            <w:hideMark/>
          </w:tcPr>
          <w:p w14:paraId="16C23E0F"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$20</w:t>
            </w:r>
          </w:p>
        </w:tc>
      </w:tr>
      <w:tr w:rsidR="00196C17" w:rsidRPr="000915AF" w14:paraId="2E135890"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2EBEFA30" w14:textId="77777777" w:rsidR="005930FC" w:rsidRPr="008D11E0" w:rsidRDefault="005930FC" w:rsidP="005930FC">
            <w:pPr>
              <w:rPr>
                <w:rFonts w:cstheme="minorHAnsi"/>
                <w:caps w:val="0"/>
              </w:rPr>
            </w:pPr>
            <w:r w:rsidRPr="008D11E0">
              <w:rPr>
                <w:rFonts w:cstheme="minorHAnsi"/>
                <w:caps w:val="0"/>
              </w:rPr>
              <w:t>Business name holder extract</w:t>
            </w:r>
          </w:p>
        </w:tc>
        <w:tc>
          <w:tcPr>
            <w:tcW w:w="770" w:type="pct"/>
            <w:tcBorders>
              <w:right w:val="single" w:sz="4" w:space="0" w:color="auto"/>
            </w:tcBorders>
            <w:hideMark/>
          </w:tcPr>
          <w:p w14:paraId="6F90C273"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771" w:type="pct"/>
            <w:tcBorders>
              <w:left w:val="single" w:sz="4" w:space="0" w:color="auto"/>
              <w:right w:val="single" w:sz="4" w:space="0" w:color="auto"/>
            </w:tcBorders>
            <w:hideMark/>
          </w:tcPr>
          <w:p w14:paraId="1F80ACC4"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$22</w:t>
            </w:r>
          </w:p>
        </w:tc>
        <w:tc>
          <w:tcPr>
            <w:tcW w:w="694" w:type="pct"/>
            <w:tcBorders>
              <w:left w:val="single" w:sz="4" w:space="0" w:color="auto"/>
              <w:right w:val="single" w:sz="4" w:space="0" w:color="auto"/>
            </w:tcBorders>
            <w:hideMark/>
          </w:tcPr>
          <w:p w14:paraId="26709FC4"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49ADDD65"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$43</w:t>
            </w:r>
          </w:p>
        </w:tc>
      </w:tr>
      <w:tr w:rsidR="00196C17" w:rsidRPr="000915AF" w14:paraId="2FA09CE3" w14:textId="77777777" w:rsidTr="005D122E">
        <w:trPr>
          <w:trHeight w:val="329"/>
        </w:trPr>
        <w:tc>
          <w:tcPr>
            <w:cnfStyle w:val="001000000000" w:firstRow="0" w:lastRow="0" w:firstColumn="1" w:lastColumn="0" w:oddVBand="0" w:evenVBand="0" w:oddHBand="0" w:evenHBand="0" w:firstRowFirstColumn="0" w:firstRowLastColumn="0" w:lastRowFirstColumn="0" w:lastRowLastColumn="0"/>
            <w:tcW w:w="0" w:type="pct"/>
            <w:gridSpan w:val="5"/>
            <w:tcBorders>
              <w:left w:val="single" w:sz="4" w:space="0" w:color="auto"/>
            </w:tcBorders>
            <w:shd w:val="clear" w:color="auto" w:fill="D5E1F1" w:themeFill="accent2" w:themeFillTint="33"/>
            <w:hideMark/>
          </w:tcPr>
          <w:p w14:paraId="3739633B" w14:textId="77777777" w:rsidR="005930FC" w:rsidRPr="000915AF" w:rsidRDefault="005930FC" w:rsidP="005930FC">
            <w:r w:rsidRPr="000915AF">
              <w:t>Document Searches</w:t>
            </w:r>
          </w:p>
        </w:tc>
      </w:tr>
      <w:tr w:rsidR="00196C17" w:rsidRPr="000915AF" w14:paraId="7B483FC0"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3FAF6AC2" w14:textId="77777777" w:rsidR="005930FC" w:rsidRPr="008D11E0" w:rsidRDefault="005930FC" w:rsidP="005930FC">
            <w:pPr>
              <w:rPr>
                <w:rFonts w:cstheme="minorHAnsi"/>
                <w:caps w:val="0"/>
              </w:rPr>
            </w:pPr>
            <w:r w:rsidRPr="008D11E0">
              <w:rPr>
                <w:rFonts w:cstheme="minorHAnsi"/>
                <w:caps w:val="0"/>
              </w:rPr>
              <w:t>Documents (less than 10 pages)</w:t>
            </w:r>
          </w:p>
        </w:tc>
        <w:tc>
          <w:tcPr>
            <w:tcW w:w="770" w:type="pct"/>
            <w:tcBorders>
              <w:right w:val="single" w:sz="4" w:space="0" w:color="auto"/>
            </w:tcBorders>
            <w:hideMark/>
          </w:tcPr>
          <w:p w14:paraId="479F7A74"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$17</w:t>
            </w:r>
          </w:p>
        </w:tc>
        <w:tc>
          <w:tcPr>
            <w:tcW w:w="771" w:type="pct"/>
            <w:tcBorders>
              <w:left w:val="single" w:sz="4" w:space="0" w:color="auto"/>
              <w:right w:val="single" w:sz="4" w:space="0" w:color="auto"/>
            </w:tcBorders>
            <w:hideMark/>
          </w:tcPr>
          <w:p w14:paraId="4C299625"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$20</w:t>
            </w:r>
          </w:p>
        </w:tc>
        <w:tc>
          <w:tcPr>
            <w:tcW w:w="694" w:type="pct"/>
            <w:tcBorders>
              <w:left w:val="single" w:sz="4" w:space="0" w:color="auto"/>
              <w:right w:val="single" w:sz="4" w:space="0" w:color="auto"/>
            </w:tcBorders>
            <w:hideMark/>
          </w:tcPr>
          <w:p w14:paraId="7271F9C2"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19876C08"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r>
      <w:tr w:rsidR="00196C17" w:rsidRPr="000915AF" w14:paraId="4BBFEF1A" w14:textId="77777777" w:rsidTr="005D122E">
        <w:trPr>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1DC2A895" w14:textId="77777777" w:rsidR="005930FC" w:rsidRPr="008D11E0" w:rsidRDefault="005930FC" w:rsidP="005930FC">
            <w:pPr>
              <w:rPr>
                <w:rFonts w:cstheme="minorHAnsi"/>
                <w:caps w:val="0"/>
              </w:rPr>
            </w:pPr>
            <w:r w:rsidRPr="008D11E0">
              <w:rPr>
                <w:rFonts w:cstheme="minorHAnsi"/>
                <w:caps w:val="0"/>
              </w:rPr>
              <w:t>Documents (10 pages or more)</w:t>
            </w:r>
          </w:p>
        </w:tc>
        <w:tc>
          <w:tcPr>
            <w:tcW w:w="770" w:type="pct"/>
            <w:tcBorders>
              <w:right w:val="single" w:sz="4" w:space="0" w:color="auto"/>
            </w:tcBorders>
            <w:hideMark/>
          </w:tcPr>
          <w:p w14:paraId="4FCA0B1C"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$42</w:t>
            </w:r>
          </w:p>
        </w:tc>
        <w:tc>
          <w:tcPr>
            <w:tcW w:w="771" w:type="pct"/>
            <w:tcBorders>
              <w:left w:val="single" w:sz="4" w:space="0" w:color="auto"/>
              <w:right w:val="single" w:sz="4" w:space="0" w:color="auto"/>
            </w:tcBorders>
            <w:hideMark/>
          </w:tcPr>
          <w:p w14:paraId="151906BE"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$45</w:t>
            </w:r>
          </w:p>
        </w:tc>
        <w:tc>
          <w:tcPr>
            <w:tcW w:w="694" w:type="pct"/>
            <w:tcBorders>
              <w:left w:val="single" w:sz="4" w:space="0" w:color="auto"/>
              <w:right w:val="single" w:sz="4" w:space="0" w:color="auto"/>
            </w:tcBorders>
            <w:hideMark/>
          </w:tcPr>
          <w:p w14:paraId="7C246B21"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1C2ED577"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r>
      <w:tr w:rsidR="00196C17" w:rsidRPr="000915AF" w14:paraId="4452F60B"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1D448D1E" w14:textId="77777777" w:rsidR="005930FC" w:rsidRPr="008D11E0" w:rsidRDefault="005930FC" w:rsidP="005930FC">
            <w:pPr>
              <w:rPr>
                <w:rFonts w:cstheme="minorHAnsi"/>
                <w:caps w:val="0"/>
              </w:rPr>
            </w:pPr>
            <w:r w:rsidRPr="008D11E0">
              <w:rPr>
                <w:rFonts w:cstheme="minorHAnsi"/>
                <w:caps w:val="0"/>
              </w:rPr>
              <w:t>Certification of document</w:t>
            </w:r>
          </w:p>
        </w:tc>
        <w:tc>
          <w:tcPr>
            <w:tcW w:w="770" w:type="pct"/>
            <w:tcBorders>
              <w:right w:val="single" w:sz="4" w:space="0" w:color="auto"/>
            </w:tcBorders>
            <w:hideMark/>
          </w:tcPr>
          <w:p w14:paraId="69E6751D"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$19</w:t>
            </w:r>
          </w:p>
        </w:tc>
        <w:tc>
          <w:tcPr>
            <w:tcW w:w="771" w:type="pct"/>
            <w:tcBorders>
              <w:left w:val="single" w:sz="4" w:space="0" w:color="auto"/>
              <w:right w:val="single" w:sz="4" w:space="0" w:color="auto"/>
            </w:tcBorders>
            <w:hideMark/>
          </w:tcPr>
          <w:p w14:paraId="4927C2BC"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$19</w:t>
            </w:r>
          </w:p>
        </w:tc>
        <w:tc>
          <w:tcPr>
            <w:tcW w:w="694" w:type="pct"/>
            <w:tcBorders>
              <w:left w:val="single" w:sz="4" w:space="0" w:color="auto"/>
              <w:right w:val="single" w:sz="4" w:space="0" w:color="auto"/>
            </w:tcBorders>
            <w:hideMark/>
          </w:tcPr>
          <w:p w14:paraId="1566810A"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18710ED6"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r>
      <w:tr w:rsidR="00196C17" w:rsidRPr="000915AF" w14:paraId="03FB18B4" w14:textId="77777777" w:rsidTr="005D122E">
        <w:trPr>
          <w:trHeight w:val="317"/>
        </w:trPr>
        <w:tc>
          <w:tcPr>
            <w:cnfStyle w:val="001000000000" w:firstRow="0" w:lastRow="0" w:firstColumn="1" w:lastColumn="0" w:oddVBand="0" w:evenVBand="0" w:oddHBand="0" w:evenHBand="0" w:firstRowFirstColumn="0" w:firstRowLastColumn="0" w:lastRowFirstColumn="0" w:lastRowLastColumn="0"/>
            <w:tcW w:w="0" w:type="pct"/>
            <w:gridSpan w:val="5"/>
            <w:tcBorders>
              <w:left w:val="single" w:sz="4" w:space="0" w:color="auto"/>
            </w:tcBorders>
            <w:shd w:val="clear" w:color="auto" w:fill="D5E1F1" w:themeFill="accent2" w:themeFillTint="33"/>
            <w:hideMark/>
          </w:tcPr>
          <w:p w14:paraId="3DB5D6B8" w14:textId="77777777" w:rsidR="005930FC" w:rsidRPr="000915AF" w:rsidRDefault="005930FC" w:rsidP="005930FC">
            <w:r w:rsidRPr="000915AF">
              <w:t>Person searches (paper only)</w:t>
            </w:r>
          </w:p>
        </w:tc>
      </w:tr>
      <w:tr w:rsidR="00196C17" w:rsidRPr="000915AF" w14:paraId="5F821E23" w14:textId="77777777" w:rsidTr="005D122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52EF6C49" w14:textId="77777777" w:rsidR="005930FC" w:rsidRPr="008D11E0" w:rsidRDefault="005930FC" w:rsidP="005930FC">
            <w:pPr>
              <w:rPr>
                <w:rFonts w:cstheme="minorHAnsi"/>
                <w:caps w:val="0"/>
              </w:rPr>
            </w:pPr>
            <w:r w:rsidRPr="008D11E0">
              <w:rPr>
                <w:rFonts w:cstheme="minorHAnsi"/>
                <w:caps w:val="0"/>
              </w:rPr>
              <w:t>Personal name extract</w:t>
            </w:r>
          </w:p>
        </w:tc>
        <w:tc>
          <w:tcPr>
            <w:tcW w:w="770" w:type="pct"/>
            <w:tcBorders>
              <w:right w:val="single" w:sz="4" w:space="0" w:color="auto"/>
            </w:tcBorders>
            <w:hideMark/>
          </w:tcPr>
          <w:p w14:paraId="4619FD84"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771" w:type="pct"/>
            <w:tcBorders>
              <w:left w:val="single" w:sz="4" w:space="0" w:color="auto"/>
              <w:right w:val="single" w:sz="4" w:space="0" w:color="auto"/>
            </w:tcBorders>
            <w:hideMark/>
          </w:tcPr>
          <w:p w14:paraId="6E1F985A"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$22</w:t>
            </w:r>
          </w:p>
        </w:tc>
        <w:tc>
          <w:tcPr>
            <w:tcW w:w="694" w:type="pct"/>
            <w:tcBorders>
              <w:left w:val="single" w:sz="4" w:space="0" w:color="auto"/>
              <w:right w:val="single" w:sz="4" w:space="0" w:color="auto"/>
            </w:tcBorders>
            <w:hideMark/>
          </w:tcPr>
          <w:p w14:paraId="4D24A802"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124E438C"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$22</w:t>
            </w:r>
          </w:p>
        </w:tc>
      </w:tr>
      <w:tr w:rsidR="00196C17" w:rsidRPr="000915AF" w14:paraId="1563A083" w14:textId="77777777" w:rsidTr="005D122E">
        <w:trPr>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1DCAFB1C" w14:textId="77777777" w:rsidR="005930FC" w:rsidRPr="008D11E0" w:rsidRDefault="005930FC" w:rsidP="005930FC">
            <w:pPr>
              <w:rPr>
                <w:rFonts w:cstheme="minorHAnsi"/>
                <w:caps w:val="0"/>
              </w:rPr>
            </w:pPr>
            <w:r w:rsidRPr="008D11E0">
              <w:rPr>
                <w:rFonts w:cstheme="minorHAnsi"/>
                <w:caps w:val="0"/>
              </w:rPr>
              <w:t>Preliminary search report</w:t>
            </w:r>
          </w:p>
        </w:tc>
        <w:tc>
          <w:tcPr>
            <w:tcW w:w="770" w:type="pct"/>
            <w:tcBorders>
              <w:right w:val="single" w:sz="4" w:space="0" w:color="auto"/>
            </w:tcBorders>
            <w:hideMark/>
          </w:tcPr>
          <w:p w14:paraId="0F102536"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771" w:type="pct"/>
            <w:tcBorders>
              <w:left w:val="single" w:sz="4" w:space="0" w:color="auto"/>
              <w:right w:val="single" w:sz="4" w:space="0" w:color="auto"/>
            </w:tcBorders>
            <w:hideMark/>
          </w:tcPr>
          <w:p w14:paraId="79703964"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6156BB0B"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57528FCD"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r>
      <w:tr w:rsidR="00196C17" w:rsidRPr="000915AF" w14:paraId="7EEC6EFE" w14:textId="77777777" w:rsidTr="005D122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pct"/>
            <w:gridSpan w:val="5"/>
            <w:tcBorders>
              <w:left w:val="single" w:sz="4" w:space="0" w:color="auto"/>
            </w:tcBorders>
            <w:shd w:val="clear" w:color="auto" w:fill="D5E1F1" w:themeFill="accent2" w:themeFillTint="33"/>
            <w:hideMark/>
          </w:tcPr>
          <w:p w14:paraId="2A1190CA" w14:textId="77777777" w:rsidR="005930FC" w:rsidRPr="000915AF" w:rsidRDefault="005930FC" w:rsidP="005930FC">
            <w:r w:rsidRPr="000915AF">
              <w:t>Banned and Disqualified Registers</w:t>
            </w:r>
          </w:p>
        </w:tc>
      </w:tr>
      <w:tr w:rsidR="00196C17" w:rsidRPr="000915AF" w14:paraId="7547CBB7" w14:textId="77777777" w:rsidTr="005D122E">
        <w:trPr>
          <w:trHeight w:val="286"/>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4F6B0FC4" w14:textId="77777777" w:rsidR="005930FC" w:rsidRPr="008D11E0" w:rsidRDefault="005930FC" w:rsidP="005930FC">
            <w:pPr>
              <w:rPr>
                <w:rFonts w:cstheme="minorHAnsi"/>
                <w:caps w:val="0"/>
              </w:rPr>
            </w:pPr>
            <w:r w:rsidRPr="008D11E0">
              <w:rPr>
                <w:rFonts w:cstheme="minorHAnsi"/>
                <w:caps w:val="0"/>
              </w:rPr>
              <w:t>Disqualified person extract</w:t>
            </w:r>
          </w:p>
        </w:tc>
        <w:tc>
          <w:tcPr>
            <w:tcW w:w="770" w:type="pct"/>
            <w:tcBorders>
              <w:right w:val="single" w:sz="4" w:space="0" w:color="auto"/>
            </w:tcBorders>
            <w:hideMark/>
          </w:tcPr>
          <w:p w14:paraId="5948B808"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771" w:type="pct"/>
            <w:tcBorders>
              <w:left w:val="single" w:sz="4" w:space="0" w:color="auto"/>
              <w:right w:val="single" w:sz="4" w:space="0" w:color="auto"/>
            </w:tcBorders>
            <w:hideMark/>
          </w:tcPr>
          <w:p w14:paraId="55C8DEFA"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$12</w:t>
            </w:r>
          </w:p>
        </w:tc>
        <w:tc>
          <w:tcPr>
            <w:tcW w:w="694" w:type="pct"/>
            <w:tcBorders>
              <w:left w:val="single" w:sz="4" w:space="0" w:color="auto"/>
              <w:right w:val="single" w:sz="4" w:space="0" w:color="auto"/>
            </w:tcBorders>
            <w:hideMark/>
          </w:tcPr>
          <w:p w14:paraId="161EEF05"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3BC45042"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r>
      <w:tr w:rsidR="00196C17" w:rsidRPr="000915AF" w14:paraId="0B14145F" w14:textId="77777777" w:rsidTr="005D122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tcBorders>
            <w:hideMark/>
          </w:tcPr>
          <w:p w14:paraId="5E5F2038" w14:textId="77777777" w:rsidR="005930FC" w:rsidRPr="008D11E0" w:rsidRDefault="005930FC" w:rsidP="005930FC">
            <w:pPr>
              <w:rPr>
                <w:rFonts w:cstheme="minorHAnsi"/>
                <w:caps w:val="0"/>
              </w:rPr>
            </w:pPr>
            <w:r w:rsidRPr="008D11E0">
              <w:rPr>
                <w:rFonts w:cstheme="minorHAnsi"/>
                <w:caps w:val="0"/>
              </w:rPr>
              <w:t>Banned securities representative extract</w:t>
            </w:r>
          </w:p>
        </w:tc>
        <w:tc>
          <w:tcPr>
            <w:tcW w:w="770" w:type="pct"/>
            <w:tcBorders>
              <w:right w:val="single" w:sz="4" w:space="0" w:color="auto"/>
            </w:tcBorders>
            <w:hideMark/>
          </w:tcPr>
          <w:p w14:paraId="0263DE30"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771" w:type="pct"/>
            <w:tcBorders>
              <w:left w:val="single" w:sz="4" w:space="0" w:color="auto"/>
              <w:right w:val="single" w:sz="4" w:space="0" w:color="auto"/>
            </w:tcBorders>
            <w:hideMark/>
          </w:tcPr>
          <w:p w14:paraId="4C4F82BF"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$15</w:t>
            </w:r>
          </w:p>
        </w:tc>
        <w:tc>
          <w:tcPr>
            <w:tcW w:w="694" w:type="pct"/>
            <w:tcBorders>
              <w:left w:val="single" w:sz="4" w:space="0" w:color="auto"/>
              <w:right w:val="single" w:sz="4" w:space="0" w:color="auto"/>
            </w:tcBorders>
            <w:hideMark/>
          </w:tcPr>
          <w:p w14:paraId="2157B2C8"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c>
          <w:tcPr>
            <w:tcW w:w="691" w:type="pct"/>
            <w:tcBorders>
              <w:left w:val="single" w:sz="4" w:space="0" w:color="auto"/>
              <w:right w:val="single" w:sz="4" w:space="0" w:color="auto"/>
            </w:tcBorders>
            <w:hideMark/>
          </w:tcPr>
          <w:p w14:paraId="3C726186" w14:textId="77777777" w:rsidR="005930FC" w:rsidRPr="000915AF" w:rsidRDefault="005930FC" w:rsidP="005930FC">
            <w:pPr>
              <w:jc w:val="right"/>
              <w:cnfStyle w:val="000000100000" w:firstRow="0" w:lastRow="0" w:firstColumn="0" w:lastColumn="0" w:oddVBand="0" w:evenVBand="0" w:oddHBand="1" w:evenHBand="0" w:firstRowFirstColumn="0" w:firstRowLastColumn="0" w:lastRowFirstColumn="0" w:lastRowLastColumn="0"/>
            </w:pPr>
            <w:r w:rsidRPr="000915AF">
              <w:t>-</w:t>
            </w:r>
          </w:p>
        </w:tc>
      </w:tr>
      <w:tr w:rsidR="00196C17" w:rsidRPr="000915AF" w14:paraId="2C3A2853" w14:textId="77777777" w:rsidTr="005D122E">
        <w:trPr>
          <w:trHeight w:val="305"/>
        </w:trPr>
        <w:tc>
          <w:tcPr>
            <w:cnfStyle w:val="001000000000" w:firstRow="0" w:lastRow="0" w:firstColumn="1" w:lastColumn="0" w:oddVBand="0" w:evenVBand="0" w:oddHBand="0" w:evenHBand="0" w:firstRowFirstColumn="0" w:firstRowLastColumn="0" w:lastRowFirstColumn="0" w:lastRowLastColumn="0"/>
            <w:tcW w:w="2074" w:type="pct"/>
            <w:tcBorders>
              <w:left w:val="single" w:sz="4" w:space="0" w:color="auto"/>
              <w:bottom w:val="single" w:sz="4" w:space="0" w:color="auto"/>
            </w:tcBorders>
            <w:hideMark/>
          </w:tcPr>
          <w:p w14:paraId="1C5E26F4" w14:textId="77777777" w:rsidR="005930FC" w:rsidRPr="008D11E0" w:rsidRDefault="005930FC" w:rsidP="005930FC">
            <w:pPr>
              <w:rPr>
                <w:rFonts w:cstheme="minorHAnsi"/>
                <w:caps w:val="0"/>
              </w:rPr>
            </w:pPr>
            <w:r w:rsidRPr="008D11E0">
              <w:rPr>
                <w:rFonts w:cstheme="minorHAnsi"/>
                <w:caps w:val="0"/>
              </w:rPr>
              <w:t xml:space="preserve">Banned futures representative extract </w:t>
            </w:r>
          </w:p>
        </w:tc>
        <w:tc>
          <w:tcPr>
            <w:tcW w:w="770" w:type="pct"/>
            <w:tcBorders>
              <w:bottom w:val="single" w:sz="4" w:space="0" w:color="auto"/>
              <w:right w:val="single" w:sz="4" w:space="0" w:color="auto"/>
            </w:tcBorders>
            <w:hideMark/>
          </w:tcPr>
          <w:p w14:paraId="63091915"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771" w:type="pct"/>
            <w:tcBorders>
              <w:left w:val="single" w:sz="4" w:space="0" w:color="auto"/>
              <w:bottom w:val="single" w:sz="4" w:space="0" w:color="auto"/>
              <w:right w:val="single" w:sz="4" w:space="0" w:color="auto"/>
            </w:tcBorders>
            <w:hideMark/>
          </w:tcPr>
          <w:p w14:paraId="6F142E8A"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$15</w:t>
            </w:r>
          </w:p>
        </w:tc>
        <w:tc>
          <w:tcPr>
            <w:tcW w:w="694" w:type="pct"/>
            <w:tcBorders>
              <w:left w:val="single" w:sz="4" w:space="0" w:color="auto"/>
              <w:bottom w:val="single" w:sz="4" w:space="0" w:color="auto"/>
              <w:right w:val="single" w:sz="4" w:space="0" w:color="auto"/>
            </w:tcBorders>
            <w:hideMark/>
          </w:tcPr>
          <w:p w14:paraId="744A6442"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c>
          <w:tcPr>
            <w:tcW w:w="691" w:type="pct"/>
            <w:tcBorders>
              <w:left w:val="single" w:sz="4" w:space="0" w:color="auto"/>
              <w:bottom w:val="single" w:sz="4" w:space="0" w:color="auto"/>
              <w:right w:val="single" w:sz="4" w:space="0" w:color="auto"/>
            </w:tcBorders>
            <w:hideMark/>
          </w:tcPr>
          <w:p w14:paraId="64F52931" w14:textId="77777777" w:rsidR="005930FC" w:rsidRPr="000915AF" w:rsidRDefault="005930FC" w:rsidP="005930FC">
            <w:pPr>
              <w:jc w:val="right"/>
              <w:cnfStyle w:val="000000000000" w:firstRow="0" w:lastRow="0" w:firstColumn="0" w:lastColumn="0" w:oddVBand="0" w:evenVBand="0" w:oddHBand="0" w:evenHBand="0" w:firstRowFirstColumn="0" w:firstRowLastColumn="0" w:lastRowFirstColumn="0" w:lastRowLastColumn="0"/>
            </w:pPr>
            <w:r w:rsidRPr="000915AF">
              <w:t>-</w:t>
            </w:r>
          </w:p>
        </w:tc>
      </w:tr>
    </w:tbl>
    <w:p w14:paraId="130FE4B2" w14:textId="1A67A29D" w:rsidR="005F2BD8" w:rsidRDefault="005F2BD8" w:rsidP="007E5774">
      <w:pPr>
        <w:pStyle w:val="Bullet"/>
        <w:numPr>
          <w:ilvl w:val="0"/>
          <w:numId w:val="0"/>
        </w:numPr>
        <w:ind w:left="283" w:hanging="283"/>
        <w:rPr>
          <w:rStyle w:val="SubtleReference"/>
        </w:rPr>
      </w:pPr>
    </w:p>
    <w:p w14:paraId="14D61F3B" w14:textId="77777777" w:rsidR="005F2BD8" w:rsidRDefault="005F2BD8">
      <w:pPr>
        <w:spacing w:before="0" w:after="160" w:line="259" w:lineRule="auto"/>
        <w:rPr>
          <w:rStyle w:val="SubtleReference"/>
          <w:rFonts w:cs="Arial"/>
          <w:kern w:val="32"/>
          <w:sz w:val="28"/>
          <w:szCs w:val="26"/>
        </w:rPr>
      </w:pPr>
      <w:r>
        <w:rPr>
          <w:rStyle w:val="SubtleReference"/>
        </w:rPr>
        <w:br w:type="page"/>
      </w:r>
    </w:p>
    <w:p w14:paraId="27FBF8AD" w14:textId="4961FBBD" w:rsidR="00B571E0" w:rsidRDefault="00B571E0" w:rsidP="00B571E0">
      <w:pPr>
        <w:pStyle w:val="Heading3"/>
      </w:pPr>
      <w:bookmarkStart w:id="20" w:name="_Toc90913099"/>
      <w:r>
        <w:lastRenderedPageBreak/>
        <w:t xml:space="preserve">Appendix C – Timeline of </w:t>
      </w:r>
      <w:r w:rsidR="006E0990">
        <w:t xml:space="preserve">public </w:t>
      </w:r>
      <w:r>
        <w:t>consultation on fees</w:t>
      </w:r>
      <w:bookmarkEnd w:id="20"/>
    </w:p>
    <w:p w14:paraId="6A99E0D1" w14:textId="2C6A22E6" w:rsidR="003F4C7F" w:rsidRDefault="003F4C7F" w:rsidP="003F4C7F">
      <w:r>
        <w:t>Registry fees have been raised through three separate public consultation processes related to the modernisation of the business registers.</w:t>
      </w:r>
    </w:p>
    <w:p w14:paraId="7B057060" w14:textId="2E59561B" w:rsidR="00501E21" w:rsidRDefault="00501E21" w:rsidP="00501E21">
      <w:r>
        <w:t>July 2018</w:t>
      </w:r>
      <w:r w:rsidR="00C705CE">
        <w:rPr>
          <w:rStyle w:val="FootnoteReference"/>
        </w:rPr>
        <w:footnoteReference w:id="11"/>
      </w:r>
      <w:r>
        <w:t xml:space="preserve"> – Consultation on the MBR Program included a question on how to fund registry systems in the future. An infrastructure fee on the use of wholesale channels was proposed as a mechanism for sustainable funding of the system.</w:t>
      </w:r>
      <w:r w:rsidR="003F4C7F" w:rsidRPr="003F4C7F">
        <w:rPr>
          <w:noProof/>
        </w:rPr>
        <w:t xml:space="preserve"> </w:t>
      </w:r>
    </w:p>
    <w:p w14:paraId="70209FF7" w14:textId="796C461F" w:rsidR="00501E21" w:rsidRDefault="00501E21" w:rsidP="00501E21">
      <w:r>
        <w:t>November 2018</w:t>
      </w:r>
      <w:r w:rsidR="00C705CE">
        <w:rPr>
          <w:rStyle w:val="FootnoteReference"/>
        </w:rPr>
        <w:footnoteReference w:id="12"/>
      </w:r>
      <w:r>
        <w:t xml:space="preserve"> </w:t>
      </w:r>
      <w:r w:rsidR="004B0822">
        <w:t>–</w:t>
      </w:r>
      <w:r>
        <w:t xml:space="preserve"> </w:t>
      </w:r>
      <w:r w:rsidR="000E428C">
        <w:t>In</w:t>
      </w:r>
      <w:r w:rsidR="004B0822">
        <w:t xml:space="preserve"> the </w:t>
      </w:r>
      <w:r w:rsidR="000E428C">
        <w:t>July consultation, stakeholders expressed a desire for a broader review of registry fees in the context of a modernised registry system</w:t>
      </w:r>
      <w:r w:rsidR="00B355B1">
        <w:t xml:space="preserve"> (the registry fee review)</w:t>
      </w:r>
      <w:r w:rsidR="000E428C">
        <w:t xml:space="preserve">. The November 2018 consultation paper sought </w:t>
      </w:r>
      <w:r w:rsidR="006D68AD">
        <w:t>feedback on how to make fees simpler, easier to understand and more equitable. Fees within scope were annual review</w:t>
      </w:r>
      <w:r w:rsidR="005E3FAE">
        <w:t xml:space="preserve"> fees</w:t>
      </w:r>
      <w:r w:rsidR="006D68AD">
        <w:t xml:space="preserve">, registration </w:t>
      </w:r>
      <w:r w:rsidR="005E3FAE">
        <w:t>application fees, late fees, business name registration and renewal fees, search fees, and a proposed infrastructure fee.</w:t>
      </w:r>
      <w:r w:rsidR="00B355B1">
        <w:t xml:space="preserve"> Th</w:t>
      </w:r>
      <w:r w:rsidR="006E0990">
        <w:t>e responses to this paper remain under consideration in the context of the ongoing review.</w:t>
      </w:r>
    </w:p>
    <w:p w14:paraId="012080B7" w14:textId="5C8CA97A" w:rsidR="005E3FAE" w:rsidRPr="00501E21" w:rsidRDefault="005E3FAE" w:rsidP="00501E21">
      <w:r>
        <w:t>January 2019</w:t>
      </w:r>
      <w:r w:rsidR="00C705CE">
        <w:rPr>
          <w:rStyle w:val="FootnoteReference"/>
        </w:rPr>
        <w:footnoteReference w:id="13"/>
      </w:r>
      <w:r>
        <w:t xml:space="preserve"> – As part of a broader consultation</w:t>
      </w:r>
      <w:r w:rsidR="00B355B1">
        <w:t xml:space="preserve"> process, stakeholder feedback</w:t>
      </w:r>
      <w:r w:rsidR="006E0990">
        <w:t xml:space="preserve"> was sought</w:t>
      </w:r>
      <w:r w:rsidR="00B355B1">
        <w:t xml:space="preserve"> on regulations </w:t>
      </w:r>
      <w:r w:rsidR="006E0990">
        <w:t xml:space="preserve">that exempted journalists from paying certain registry search fees and reduced the fee associated with company </w:t>
      </w:r>
      <w:r w:rsidR="00E05F54">
        <w:t xml:space="preserve">roles </w:t>
      </w:r>
      <w:r w:rsidR="006E0990">
        <w:t>and relationship extract</w:t>
      </w:r>
      <w:r w:rsidR="00E05F54">
        <w:t>s</w:t>
      </w:r>
      <w:r w:rsidR="006E0990">
        <w:t>. These changes were made, effective from 1 July 2019.</w:t>
      </w:r>
      <w:r w:rsidR="00B355B1">
        <w:t xml:space="preserve"> </w:t>
      </w:r>
    </w:p>
    <w:p w14:paraId="14763CA1" w14:textId="5AFD24EE" w:rsidR="009719A4" w:rsidRDefault="009719A4" w:rsidP="009719A4">
      <w:pPr>
        <w:pStyle w:val="Heading3"/>
      </w:pPr>
      <w:bookmarkStart w:id="21" w:name="_Toc90913100"/>
      <w:r>
        <w:t xml:space="preserve">Appendix </w:t>
      </w:r>
      <w:r w:rsidR="00B571E0">
        <w:t>D</w:t>
      </w:r>
      <w:r>
        <w:t xml:space="preserve"> – Historical basis for registry fees</w:t>
      </w:r>
      <w:bookmarkEnd w:id="21"/>
    </w:p>
    <w:p w14:paraId="661ED2C1" w14:textId="25FEFE3C" w:rsidR="009719A4" w:rsidRDefault="009719A4" w:rsidP="003D55ED">
      <w:pPr>
        <w:pStyle w:val="NoSpacing"/>
        <w:spacing w:after="120"/>
      </w:pPr>
      <w:r>
        <w:t>The Commonwealth Government assumed sole responsibility for corporate regulation in 1990, ending a co-operative scheme between the states and territories. ASIC began operation in 1991 as the Australian Securities Commission (ASC). ASIC’s fee structure was set with the aim of covering both the costs of regulating Australian companies and, for a time, transfer payments negotiated with states and territories as compensation for their loss of regulation revenue. By</w:t>
      </w:r>
      <w:r w:rsidDel="008549AC">
        <w:t xml:space="preserve"> </w:t>
      </w:r>
      <w:r>
        <w:t xml:space="preserve">1999-00, ASIC’s fee revenue was covering its operating costs and had returned its budget to a stable position. </w:t>
      </w:r>
    </w:p>
    <w:p w14:paraId="4F1738EB" w14:textId="7A69BBC4" w:rsidR="009719A4" w:rsidRDefault="009719A4" w:rsidP="003D55ED">
      <w:pPr>
        <w:pStyle w:val="NoSpacing"/>
        <w:spacing w:after="120"/>
      </w:pPr>
      <w:r>
        <w:t>The Treasurer announced the Corporate Law Economic Reform Program (CLERP) in 1997 as part of the Government’s objective of cutting costs for business and developing a pro-enterprise system of corporate law. The 7</w:t>
      </w:r>
      <w:r w:rsidRPr="003D55ED">
        <w:t>th</w:t>
      </w:r>
      <w:r>
        <w:t xml:space="preserve"> stage of the program, CLERP 7, was focused on simplifying compliance and lodgements for business. An ‘overhaul’ of Corporations Law fees was proposed in CLERP 7, including simplifying the schedule of fees payable, introducing an annual </w:t>
      </w:r>
      <w:r w:rsidR="00444177">
        <w:t xml:space="preserve">review </w:t>
      </w:r>
      <w:r>
        <w:t>fee in place of the annual return</w:t>
      </w:r>
      <w:r w:rsidR="00444177">
        <w:t xml:space="preserve"> fee</w:t>
      </w:r>
      <w:r>
        <w:t>, and introducing indexation of fees based on the Consumer Price Index (CPI). The key principles underlying the fee reforms were cost recovery, equity, and simplicity. Further, CLERP 7 asserted that the revenue generated from the basic level of corporation fees should approximate the total costs associated with corporate regulation. This was to recognise that regulation provides general benefits to all companies and as such its costs should be borne by all companies rather than through public funding by taxpayers. The reforms were introduced from 2003</w:t>
      </w:r>
      <w:r w:rsidR="00444177">
        <w:t xml:space="preserve"> </w:t>
      </w:r>
      <w:r w:rsidR="00444177" w:rsidRPr="00444177">
        <w:t>and a formula to determine fee indexation was added in 2010</w:t>
      </w:r>
      <w:r>
        <w:t>.</w:t>
      </w:r>
    </w:p>
    <w:p w14:paraId="229E7A0F" w14:textId="50F79C4D" w:rsidR="009719A4" w:rsidRDefault="009719A4" w:rsidP="003D55ED">
      <w:pPr>
        <w:pStyle w:val="NoSpacing"/>
        <w:spacing w:after="120"/>
      </w:pPr>
      <w:r>
        <w:t xml:space="preserve">There have been several major changes to the corporate regulation landscape since 2003. In 2012, ASIC’s Register of Company Charges was transferred to the Personal Property Securities Register at the Australian Financial Security Authority (AFSA). Further, business name registrations were shifted to ASIC from the states and territories. As a result, ASIC’s responsibilities have changed significantly, whilst simultaneously its regulated population has grown larger and more complex. An Industry Funding Model (IFM) for ASIC was introduced in 2017 that enables ASIC to recover </w:t>
      </w:r>
      <w:r w:rsidRPr="00A427D2">
        <w:t>regulatory</w:t>
      </w:r>
      <w:r>
        <w:t xml:space="preserve"> costs</w:t>
      </w:r>
      <w:r w:rsidR="00A427D2">
        <w:t>, separate to registry fees,</w:t>
      </w:r>
      <w:r>
        <w:t xml:space="preserve"> from the entities that cause the need for regulatory effort by ASIC. </w:t>
      </w:r>
      <w:r w:rsidRPr="000B78CD">
        <w:t xml:space="preserve">These changes to the Corporations Law landscape have not been accompanied by any major changes to the </w:t>
      </w:r>
      <w:r w:rsidRPr="000B78CD">
        <w:lastRenderedPageBreak/>
        <w:t>structure or level of registry fees, with the only notable registry amendment being to reduce the cost of some search fees and allow free access to some registry data for journalists</w:t>
      </w:r>
      <w:r w:rsidR="00FF354F">
        <w:t xml:space="preserve"> in 2019</w:t>
      </w:r>
      <w:r w:rsidRPr="000B78CD">
        <w:t>.</w:t>
      </w:r>
    </w:p>
    <w:p w14:paraId="06AD3D2A" w14:textId="180B654F" w:rsidR="008F296A" w:rsidRPr="008B3548" w:rsidRDefault="008F296A" w:rsidP="003D55ED">
      <w:pPr>
        <w:spacing w:before="0"/>
        <w:rPr>
          <w:rFonts w:cs="Arial"/>
          <w:color w:val="00818F" w:themeColor="accent5"/>
          <w:kern w:val="32"/>
          <w:sz w:val="28"/>
          <w:szCs w:val="26"/>
        </w:rPr>
      </w:pPr>
    </w:p>
    <w:sectPr w:rsidR="008F296A" w:rsidRPr="008B3548" w:rsidSect="00E1136B">
      <w:headerReference w:type="even" r:id="rId30"/>
      <w:headerReference w:type="default" r:id="rId31"/>
      <w:footerReference w:type="even" r:id="rId32"/>
      <w:footerReference w:type="default" r:id="rId33"/>
      <w:headerReference w:type="first" r:id="rId34"/>
      <w:footerReference w:type="first" r:id="rId35"/>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5315E" w14:textId="77777777" w:rsidR="00BC5C54" w:rsidRDefault="00BC5C54">
      <w:pPr>
        <w:spacing w:before="0" w:after="0"/>
      </w:pPr>
      <w:r>
        <w:separator/>
      </w:r>
    </w:p>
  </w:endnote>
  <w:endnote w:type="continuationSeparator" w:id="0">
    <w:p w14:paraId="460D576B" w14:textId="77777777" w:rsidR="00BC5C54" w:rsidRDefault="00BC5C54">
      <w:pPr>
        <w:spacing w:before="0" w:after="0"/>
      </w:pPr>
      <w:r>
        <w:continuationSeparator/>
      </w:r>
    </w:p>
  </w:endnote>
  <w:endnote w:type="continuationNotice" w:id="1">
    <w:p w14:paraId="7E629DC1" w14:textId="77777777" w:rsidR="00BC5C54" w:rsidRDefault="00BC5C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0A1E0" w14:textId="77777777" w:rsidR="00BC5C54" w:rsidRPr="00E77C89" w:rsidRDefault="00BC5C54"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FB64" w14:textId="77777777" w:rsidR="00BC5C54" w:rsidRPr="00E77C89" w:rsidRDefault="00BC5C54"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AB92" w14:textId="77777777" w:rsidR="00BC5C54" w:rsidRPr="00E1136B" w:rsidRDefault="00BC5C54"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B08C" w14:textId="77777777" w:rsidR="00BC5C54" w:rsidRDefault="00BC5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6079E" w14:textId="77777777" w:rsidR="00BC5C54" w:rsidRDefault="00BC5C54">
      <w:pPr>
        <w:spacing w:before="0" w:after="0"/>
      </w:pPr>
      <w:r>
        <w:separator/>
      </w:r>
    </w:p>
  </w:footnote>
  <w:footnote w:type="continuationSeparator" w:id="0">
    <w:p w14:paraId="0DA17FE4" w14:textId="77777777" w:rsidR="00BC5C54" w:rsidRDefault="00BC5C54">
      <w:pPr>
        <w:spacing w:before="0" w:after="0"/>
      </w:pPr>
      <w:r>
        <w:continuationSeparator/>
      </w:r>
    </w:p>
  </w:footnote>
  <w:footnote w:type="continuationNotice" w:id="1">
    <w:p w14:paraId="2240A0E1" w14:textId="77777777" w:rsidR="00BC5C54" w:rsidRDefault="00BC5C54">
      <w:pPr>
        <w:spacing w:before="0" w:after="0"/>
      </w:pPr>
    </w:p>
  </w:footnote>
  <w:footnote w:id="2">
    <w:p w14:paraId="69E6C130" w14:textId="3500258E" w:rsidR="00BC5C54" w:rsidRDefault="00BC5C54">
      <w:pPr>
        <w:pStyle w:val="FootnoteText"/>
      </w:pPr>
      <w:r>
        <w:rPr>
          <w:rStyle w:val="FootnoteReference"/>
        </w:rPr>
        <w:footnoteRef/>
      </w:r>
      <w:r>
        <w:t xml:space="preserve"> </w:t>
      </w:r>
      <w:hyperlink r:id="rId1" w:history="1">
        <w:r w:rsidRPr="00274483">
          <w:rPr>
            <w:rStyle w:val="Hyperlink"/>
          </w:rPr>
          <w:t>https://treasury.gov.au/consultation/c2018-t341195</w:t>
        </w:r>
      </w:hyperlink>
      <w:r>
        <w:t xml:space="preserve"> </w:t>
      </w:r>
    </w:p>
  </w:footnote>
  <w:footnote w:id="3">
    <w:p w14:paraId="3ECAA08D" w14:textId="4F828B84" w:rsidR="00BC5C54" w:rsidRDefault="00BC5C54">
      <w:pPr>
        <w:pStyle w:val="FootnoteText"/>
      </w:pPr>
      <w:r>
        <w:rPr>
          <w:rStyle w:val="FootnoteReference"/>
        </w:rPr>
        <w:footnoteRef/>
      </w:r>
      <w:r>
        <w:t xml:space="preserve"> </w:t>
      </w:r>
      <w:hyperlink r:id="rId2" w:history="1">
        <w:r w:rsidRPr="005D122E">
          <w:rPr>
            <w:rStyle w:val="Hyperlink"/>
            <w:sz w:val="18"/>
            <w:szCs w:val="18"/>
          </w:rPr>
          <w:t>https://www.finance.gov.au/government/managing-commonwealth-resources/managing-money-property/managing-money/australian-government-charging-framework</w:t>
        </w:r>
      </w:hyperlink>
    </w:p>
  </w:footnote>
  <w:footnote w:id="4">
    <w:p w14:paraId="372E16B6" w14:textId="07F94D93" w:rsidR="00BC5C54" w:rsidRDefault="00BC5C54">
      <w:pPr>
        <w:pStyle w:val="FootnoteText"/>
      </w:pPr>
      <w:r>
        <w:rPr>
          <w:rStyle w:val="FootnoteReference"/>
        </w:rPr>
        <w:footnoteRef/>
      </w:r>
      <w:r>
        <w:t xml:space="preserve"> </w:t>
      </w:r>
      <w:hyperlink r:id="rId3" w:history="1">
        <w:r w:rsidRPr="005D122E">
          <w:rPr>
            <w:rStyle w:val="Hyperlink"/>
            <w:sz w:val="18"/>
            <w:szCs w:val="18"/>
          </w:rPr>
          <w:t>https://www.pmc.gov.au/public-data</w:t>
        </w:r>
      </w:hyperlink>
      <w:r w:rsidRPr="005D122E">
        <w:rPr>
          <w:sz w:val="18"/>
          <w:szCs w:val="18"/>
        </w:rPr>
        <w:t xml:space="preserve"> </w:t>
      </w:r>
    </w:p>
  </w:footnote>
  <w:footnote w:id="5">
    <w:p w14:paraId="66C0D2BA" w14:textId="77777777" w:rsidR="00BC5C54" w:rsidRDefault="00BC5C54" w:rsidP="00A35D02">
      <w:pPr>
        <w:pStyle w:val="Bullet"/>
        <w:numPr>
          <w:ilvl w:val="0"/>
          <w:numId w:val="0"/>
        </w:numPr>
        <w:spacing w:after="0"/>
        <w:ind w:left="284" w:hanging="284"/>
      </w:pPr>
      <w:r>
        <w:rPr>
          <w:rStyle w:val="FootnoteReference"/>
        </w:rPr>
        <w:footnoteRef/>
      </w:r>
      <w:r>
        <w:t xml:space="preserve"> </w:t>
      </w:r>
      <w:r w:rsidRPr="00A7020C">
        <w:rPr>
          <w:sz w:val="20"/>
        </w:rPr>
        <w:t xml:space="preserve">A full schedule of search fees is available </w:t>
      </w:r>
      <w:r w:rsidRPr="00755D73">
        <w:rPr>
          <w:sz w:val="20"/>
        </w:rPr>
        <w:t>at Appendix B.</w:t>
      </w:r>
    </w:p>
  </w:footnote>
  <w:footnote w:id="6">
    <w:p w14:paraId="041F38B4" w14:textId="52164809" w:rsidR="00BC5C54" w:rsidRDefault="00BC5C54">
      <w:pPr>
        <w:pStyle w:val="FootnoteText"/>
      </w:pPr>
      <w:r>
        <w:rPr>
          <w:rStyle w:val="FootnoteReference"/>
        </w:rPr>
        <w:footnoteRef/>
      </w:r>
      <w:r>
        <w:t xml:space="preserve"> Searches of some registry information may require some retail users to authenticate.</w:t>
      </w:r>
    </w:p>
  </w:footnote>
  <w:footnote w:id="7">
    <w:p w14:paraId="04C79511" w14:textId="77777777" w:rsidR="00BC5C54" w:rsidRDefault="00BC5C54" w:rsidP="0092626E">
      <w:pPr>
        <w:pStyle w:val="FootnoteText"/>
      </w:pPr>
      <w:r>
        <w:rPr>
          <w:rStyle w:val="FootnoteReference"/>
        </w:rPr>
        <w:footnoteRef/>
      </w:r>
      <w:r>
        <w:t xml:space="preserve"> F</w:t>
      </w:r>
      <w:r w:rsidRPr="00A35D02">
        <w:t>or example</w:t>
      </w:r>
      <w:r>
        <w:t>,</w:t>
      </w:r>
      <w:r w:rsidRPr="00A35D02">
        <w:t xml:space="preserve"> certified documents, data which is stored in paper-based methods, and custom (non-standard) data requests.</w:t>
      </w:r>
    </w:p>
  </w:footnote>
  <w:footnote w:id="8">
    <w:p w14:paraId="79A6AAD6" w14:textId="2AC6D666" w:rsidR="00BC5C54" w:rsidRDefault="00BC5C54">
      <w:pPr>
        <w:pStyle w:val="FootnoteText"/>
      </w:pPr>
      <w:r>
        <w:rPr>
          <w:rStyle w:val="FootnoteReference"/>
        </w:rPr>
        <w:footnoteRef/>
      </w:r>
      <w:r>
        <w:t xml:space="preserve"> Some i</w:t>
      </w:r>
      <w:r w:rsidRPr="00754E8A">
        <w:t xml:space="preserve">nformation </w:t>
      </w:r>
      <w:r>
        <w:t xml:space="preserve">that </w:t>
      </w:r>
      <w:r w:rsidRPr="00754E8A">
        <w:t xml:space="preserve">is made available to the public </w:t>
      </w:r>
      <w:r>
        <w:t xml:space="preserve">will be </w:t>
      </w:r>
      <w:r w:rsidRPr="00754E8A">
        <w:t>governed through the Registrar’s disclosure framework instruments</w:t>
      </w:r>
      <w:r>
        <w:t>. These will be consulted on separately by the ABRS (ATO)</w:t>
      </w:r>
      <w:r w:rsidRPr="00754E8A">
        <w:t>.</w:t>
      </w:r>
    </w:p>
  </w:footnote>
  <w:footnote w:id="9">
    <w:p w14:paraId="17D08740" w14:textId="045048E5" w:rsidR="00BC5C54" w:rsidRDefault="00BC5C54">
      <w:pPr>
        <w:pStyle w:val="FootnoteText"/>
      </w:pPr>
      <w:r>
        <w:rPr>
          <w:rStyle w:val="FootnoteReference"/>
        </w:rPr>
        <w:footnoteRef/>
      </w:r>
      <w:r>
        <w:t xml:space="preserve"> A</w:t>
      </w:r>
      <w:r w:rsidRPr="00754E8A">
        <w:t xml:space="preserve">ccess to </w:t>
      </w:r>
      <w:r>
        <w:t xml:space="preserve">the ABRS </w:t>
      </w:r>
      <w:r w:rsidRPr="00754E8A">
        <w:t xml:space="preserve">test environment </w:t>
      </w:r>
      <w:r>
        <w:t xml:space="preserve">and APIs may require users to </w:t>
      </w:r>
      <w:r w:rsidRPr="00754E8A">
        <w:t xml:space="preserve">meet certain standards and </w:t>
      </w:r>
      <w:r>
        <w:t>be authenticated</w:t>
      </w:r>
      <w:r w:rsidRPr="00754E8A">
        <w:t>.</w:t>
      </w:r>
    </w:p>
  </w:footnote>
  <w:footnote w:id="10">
    <w:p w14:paraId="371B18FF" w14:textId="6CB4C178" w:rsidR="00BC5C54" w:rsidRDefault="00BC5C54">
      <w:pPr>
        <w:pStyle w:val="FootnoteText"/>
      </w:pPr>
      <w:r>
        <w:rPr>
          <w:rStyle w:val="FootnoteReference"/>
        </w:rPr>
        <w:footnoteRef/>
      </w:r>
      <w:r>
        <w:t xml:space="preserve"> </w:t>
      </w:r>
      <w:r w:rsidRPr="00501E57">
        <w:t xml:space="preserve">A full list of lifecycle fees is available at </w:t>
      </w:r>
      <w:r w:rsidRPr="00755D73">
        <w:t xml:space="preserve">Appendix </w:t>
      </w:r>
      <w:r>
        <w:t>B</w:t>
      </w:r>
      <w:r w:rsidRPr="00501E57">
        <w:t>.</w:t>
      </w:r>
    </w:p>
  </w:footnote>
  <w:footnote w:id="11">
    <w:p w14:paraId="76B2EAF5" w14:textId="0A22F764" w:rsidR="00BC5C54" w:rsidRDefault="00BC5C54">
      <w:pPr>
        <w:pStyle w:val="FootnoteText"/>
      </w:pPr>
      <w:r>
        <w:rPr>
          <w:rStyle w:val="FootnoteReference"/>
        </w:rPr>
        <w:footnoteRef/>
      </w:r>
      <w:r>
        <w:t xml:space="preserve"> </w:t>
      </w:r>
      <w:hyperlink r:id="rId4" w:history="1">
        <w:r w:rsidRPr="00274483">
          <w:rPr>
            <w:rStyle w:val="Hyperlink"/>
          </w:rPr>
          <w:t>https://treasury.gov.au/consultation/c2018-t310411</w:t>
        </w:r>
      </w:hyperlink>
      <w:r>
        <w:t xml:space="preserve"> </w:t>
      </w:r>
    </w:p>
  </w:footnote>
  <w:footnote w:id="12">
    <w:p w14:paraId="49CAFDCF" w14:textId="234CDD4A" w:rsidR="00BC5C54" w:rsidRDefault="00BC5C54">
      <w:pPr>
        <w:pStyle w:val="FootnoteText"/>
      </w:pPr>
      <w:r>
        <w:rPr>
          <w:rStyle w:val="FootnoteReference"/>
        </w:rPr>
        <w:footnoteRef/>
      </w:r>
      <w:r>
        <w:t xml:space="preserve"> </w:t>
      </w:r>
      <w:hyperlink r:id="rId5" w:history="1">
        <w:r w:rsidRPr="00274483">
          <w:rPr>
            <w:rStyle w:val="Hyperlink"/>
          </w:rPr>
          <w:t>https://treasury.gov.au/consultation/c2018-t341195</w:t>
        </w:r>
      </w:hyperlink>
      <w:r>
        <w:t xml:space="preserve"> </w:t>
      </w:r>
    </w:p>
  </w:footnote>
  <w:footnote w:id="13">
    <w:p w14:paraId="013C7AC3" w14:textId="36B021B9" w:rsidR="00BC5C54" w:rsidRDefault="00BC5C54">
      <w:pPr>
        <w:pStyle w:val="FootnoteText"/>
      </w:pPr>
      <w:r>
        <w:rPr>
          <w:rStyle w:val="FootnoteReference"/>
        </w:rPr>
        <w:footnoteRef/>
      </w:r>
      <w:r>
        <w:t xml:space="preserve"> </w:t>
      </w:r>
      <w:hyperlink r:id="rId6" w:history="1">
        <w:r w:rsidRPr="00274483">
          <w:rPr>
            <w:rStyle w:val="Hyperlink"/>
          </w:rPr>
          <w:t>https://treasury.gov.au/consultation/c2018-t354963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3FD5" w14:textId="77777777" w:rsidR="00BC5C54" w:rsidRDefault="00BC5C54">
    <w:pPr>
      <w:pStyle w:val="Header"/>
    </w:pPr>
    <w:r>
      <w:rPr>
        <w:noProof/>
        <w:lang w:eastAsia="zh-CN"/>
      </w:rPr>
      <w:drawing>
        <wp:anchor distT="0" distB="0" distL="114300" distR="114300" simplePos="0" relativeHeight="251658240" behindDoc="1" locked="0" layoutInCell="1" allowOverlap="1" wp14:anchorId="50AFFBC4" wp14:editId="0A5A5D42">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2953" w14:textId="77777777" w:rsidR="00BC5C54" w:rsidRPr="001F3912" w:rsidRDefault="00BC5C54"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6524" w14:textId="77777777" w:rsidR="00BC5C54" w:rsidRPr="001F3912" w:rsidRDefault="00BC5C54"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1584" w14:textId="77777777" w:rsidR="00BC5C54" w:rsidRPr="001F3912" w:rsidRDefault="00BC5C54"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E8E62" w14:textId="29BABB93" w:rsidR="00BC5C54" w:rsidRPr="001F3912" w:rsidRDefault="001F1913" w:rsidP="001606CF">
    <w:pPr>
      <w:pStyle w:val="Header"/>
    </w:pPr>
    <w:r>
      <w:fldChar w:fldCharType="begin"/>
    </w:r>
    <w:r>
      <w:instrText xml:space="preserve"> STYLEREF  Title  \* MERGEFORMAT </w:instrText>
    </w:r>
    <w:r>
      <w:fldChar w:fldCharType="separate"/>
    </w:r>
    <w:r>
      <w:rPr>
        <w:noProof/>
      </w:rPr>
      <w:t>Modernising Registry Fees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8904" w14:textId="77777777" w:rsidR="00BC5C54" w:rsidRDefault="00BC5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508282C"/>
    <w:multiLevelType w:val="hybridMultilevel"/>
    <w:tmpl w:val="A41668EC"/>
    <w:lvl w:ilvl="0" w:tplc="9FE46D28">
      <w:start w:val="1"/>
      <w:numFmt w:val="bullet"/>
      <w:lvlText w:val="•"/>
      <w:lvlJc w:val="left"/>
      <w:pPr>
        <w:tabs>
          <w:tab w:val="num" w:pos="720"/>
        </w:tabs>
        <w:ind w:left="720" w:hanging="360"/>
      </w:pPr>
      <w:rPr>
        <w:rFonts w:ascii="Arial" w:hAnsi="Arial" w:hint="default"/>
      </w:rPr>
    </w:lvl>
    <w:lvl w:ilvl="1" w:tplc="0C92785A" w:tentative="1">
      <w:start w:val="1"/>
      <w:numFmt w:val="bullet"/>
      <w:lvlText w:val="•"/>
      <w:lvlJc w:val="left"/>
      <w:pPr>
        <w:tabs>
          <w:tab w:val="num" w:pos="1440"/>
        </w:tabs>
        <w:ind w:left="1440" w:hanging="360"/>
      </w:pPr>
      <w:rPr>
        <w:rFonts w:ascii="Arial" w:hAnsi="Arial" w:hint="default"/>
      </w:rPr>
    </w:lvl>
    <w:lvl w:ilvl="2" w:tplc="7AEC18F4" w:tentative="1">
      <w:start w:val="1"/>
      <w:numFmt w:val="bullet"/>
      <w:lvlText w:val="•"/>
      <w:lvlJc w:val="left"/>
      <w:pPr>
        <w:tabs>
          <w:tab w:val="num" w:pos="2160"/>
        </w:tabs>
        <w:ind w:left="2160" w:hanging="360"/>
      </w:pPr>
      <w:rPr>
        <w:rFonts w:ascii="Arial" w:hAnsi="Arial" w:hint="default"/>
      </w:rPr>
    </w:lvl>
    <w:lvl w:ilvl="3" w:tplc="BE8C8C82" w:tentative="1">
      <w:start w:val="1"/>
      <w:numFmt w:val="bullet"/>
      <w:lvlText w:val="•"/>
      <w:lvlJc w:val="left"/>
      <w:pPr>
        <w:tabs>
          <w:tab w:val="num" w:pos="2880"/>
        </w:tabs>
        <w:ind w:left="2880" w:hanging="360"/>
      </w:pPr>
      <w:rPr>
        <w:rFonts w:ascii="Arial" w:hAnsi="Arial" w:hint="default"/>
      </w:rPr>
    </w:lvl>
    <w:lvl w:ilvl="4" w:tplc="C5AE52DC" w:tentative="1">
      <w:start w:val="1"/>
      <w:numFmt w:val="bullet"/>
      <w:lvlText w:val="•"/>
      <w:lvlJc w:val="left"/>
      <w:pPr>
        <w:tabs>
          <w:tab w:val="num" w:pos="3600"/>
        </w:tabs>
        <w:ind w:left="3600" w:hanging="360"/>
      </w:pPr>
      <w:rPr>
        <w:rFonts w:ascii="Arial" w:hAnsi="Arial" w:hint="default"/>
      </w:rPr>
    </w:lvl>
    <w:lvl w:ilvl="5" w:tplc="5B8204C4" w:tentative="1">
      <w:start w:val="1"/>
      <w:numFmt w:val="bullet"/>
      <w:lvlText w:val="•"/>
      <w:lvlJc w:val="left"/>
      <w:pPr>
        <w:tabs>
          <w:tab w:val="num" w:pos="4320"/>
        </w:tabs>
        <w:ind w:left="4320" w:hanging="360"/>
      </w:pPr>
      <w:rPr>
        <w:rFonts w:ascii="Arial" w:hAnsi="Arial" w:hint="default"/>
      </w:rPr>
    </w:lvl>
    <w:lvl w:ilvl="6" w:tplc="55F03818" w:tentative="1">
      <w:start w:val="1"/>
      <w:numFmt w:val="bullet"/>
      <w:lvlText w:val="•"/>
      <w:lvlJc w:val="left"/>
      <w:pPr>
        <w:tabs>
          <w:tab w:val="num" w:pos="5040"/>
        </w:tabs>
        <w:ind w:left="5040" w:hanging="360"/>
      </w:pPr>
      <w:rPr>
        <w:rFonts w:ascii="Arial" w:hAnsi="Arial" w:hint="default"/>
      </w:rPr>
    </w:lvl>
    <w:lvl w:ilvl="7" w:tplc="6AAA5842" w:tentative="1">
      <w:start w:val="1"/>
      <w:numFmt w:val="bullet"/>
      <w:lvlText w:val="•"/>
      <w:lvlJc w:val="left"/>
      <w:pPr>
        <w:tabs>
          <w:tab w:val="num" w:pos="5760"/>
        </w:tabs>
        <w:ind w:left="5760" w:hanging="360"/>
      </w:pPr>
      <w:rPr>
        <w:rFonts w:ascii="Arial" w:hAnsi="Arial" w:hint="default"/>
      </w:rPr>
    </w:lvl>
    <w:lvl w:ilvl="8" w:tplc="64FC72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ascii="Calibri" w:eastAsia="Times New Roman" w:hAnsi="Calibri" w:cs="Times New Roman"/>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7D3852"/>
    <w:multiLevelType w:val="hybridMultilevel"/>
    <w:tmpl w:val="9D94B036"/>
    <w:lvl w:ilvl="0" w:tplc="79203F5C">
      <w:start w:val="1"/>
      <w:numFmt w:val="bullet"/>
      <w:lvlText w:val="•"/>
      <w:lvlJc w:val="left"/>
      <w:pPr>
        <w:tabs>
          <w:tab w:val="num" w:pos="720"/>
        </w:tabs>
        <w:ind w:left="720" w:hanging="360"/>
      </w:pPr>
      <w:rPr>
        <w:rFonts w:ascii="Arial" w:hAnsi="Arial" w:hint="default"/>
      </w:rPr>
    </w:lvl>
    <w:lvl w:ilvl="1" w:tplc="2674B36E">
      <w:numFmt w:val="bullet"/>
      <w:lvlText w:val="o"/>
      <w:lvlJc w:val="left"/>
      <w:pPr>
        <w:tabs>
          <w:tab w:val="num" w:pos="1440"/>
        </w:tabs>
        <w:ind w:left="1440" w:hanging="360"/>
      </w:pPr>
      <w:rPr>
        <w:rFonts w:ascii="Courier New" w:hAnsi="Courier New" w:hint="default"/>
      </w:rPr>
    </w:lvl>
    <w:lvl w:ilvl="2" w:tplc="2A009D94" w:tentative="1">
      <w:start w:val="1"/>
      <w:numFmt w:val="bullet"/>
      <w:lvlText w:val="•"/>
      <w:lvlJc w:val="left"/>
      <w:pPr>
        <w:tabs>
          <w:tab w:val="num" w:pos="2160"/>
        </w:tabs>
        <w:ind w:left="2160" w:hanging="360"/>
      </w:pPr>
      <w:rPr>
        <w:rFonts w:ascii="Arial" w:hAnsi="Arial" w:hint="default"/>
      </w:rPr>
    </w:lvl>
    <w:lvl w:ilvl="3" w:tplc="9F3AEDB6" w:tentative="1">
      <w:start w:val="1"/>
      <w:numFmt w:val="bullet"/>
      <w:lvlText w:val="•"/>
      <w:lvlJc w:val="left"/>
      <w:pPr>
        <w:tabs>
          <w:tab w:val="num" w:pos="2880"/>
        </w:tabs>
        <w:ind w:left="2880" w:hanging="360"/>
      </w:pPr>
      <w:rPr>
        <w:rFonts w:ascii="Arial" w:hAnsi="Arial" w:hint="default"/>
      </w:rPr>
    </w:lvl>
    <w:lvl w:ilvl="4" w:tplc="DE4CB1F6" w:tentative="1">
      <w:start w:val="1"/>
      <w:numFmt w:val="bullet"/>
      <w:lvlText w:val="•"/>
      <w:lvlJc w:val="left"/>
      <w:pPr>
        <w:tabs>
          <w:tab w:val="num" w:pos="3600"/>
        </w:tabs>
        <w:ind w:left="3600" w:hanging="360"/>
      </w:pPr>
      <w:rPr>
        <w:rFonts w:ascii="Arial" w:hAnsi="Arial" w:hint="default"/>
      </w:rPr>
    </w:lvl>
    <w:lvl w:ilvl="5" w:tplc="D046C188" w:tentative="1">
      <w:start w:val="1"/>
      <w:numFmt w:val="bullet"/>
      <w:lvlText w:val="•"/>
      <w:lvlJc w:val="left"/>
      <w:pPr>
        <w:tabs>
          <w:tab w:val="num" w:pos="4320"/>
        </w:tabs>
        <w:ind w:left="4320" w:hanging="360"/>
      </w:pPr>
      <w:rPr>
        <w:rFonts w:ascii="Arial" w:hAnsi="Arial" w:hint="default"/>
      </w:rPr>
    </w:lvl>
    <w:lvl w:ilvl="6" w:tplc="05C82A7E" w:tentative="1">
      <w:start w:val="1"/>
      <w:numFmt w:val="bullet"/>
      <w:lvlText w:val="•"/>
      <w:lvlJc w:val="left"/>
      <w:pPr>
        <w:tabs>
          <w:tab w:val="num" w:pos="5040"/>
        </w:tabs>
        <w:ind w:left="5040" w:hanging="360"/>
      </w:pPr>
      <w:rPr>
        <w:rFonts w:ascii="Arial" w:hAnsi="Arial" w:hint="default"/>
      </w:rPr>
    </w:lvl>
    <w:lvl w:ilvl="7" w:tplc="9CC83D98" w:tentative="1">
      <w:start w:val="1"/>
      <w:numFmt w:val="bullet"/>
      <w:lvlText w:val="•"/>
      <w:lvlJc w:val="left"/>
      <w:pPr>
        <w:tabs>
          <w:tab w:val="num" w:pos="5760"/>
        </w:tabs>
        <w:ind w:left="5760" w:hanging="360"/>
      </w:pPr>
      <w:rPr>
        <w:rFonts w:ascii="Arial" w:hAnsi="Arial" w:hint="default"/>
      </w:rPr>
    </w:lvl>
    <w:lvl w:ilvl="8" w:tplc="50EE30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2074F5"/>
    <w:multiLevelType w:val="multilevel"/>
    <w:tmpl w:val="01A8F97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4D1C6B01"/>
    <w:multiLevelType w:val="hybridMultilevel"/>
    <w:tmpl w:val="CB0ABA4C"/>
    <w:lvl w:ilvl="0" w:tplc="75C0B166">
      <w:start w:val="1"/>
      <w:numFmt w:val="bullet"/>
      <w:lvlText w:val="•"/>
      <w:lvlJc w:val="left"/>
      <w:pPr>
        <w:tabs>
          <w:tab w:val="num" w:pos="720"/>
        </w:tabs>
        <w:ind w:left="720" w:hanging="360"/>
      </w:pPr>
      <w:rPr>
        <w:rFonts w:ascii="Arial" w:hAnsi="Arial" w:hint="default"/>
      </w:rPr>
    </w:lvl>
    <w:lvl w:ilvl="1" w:tplc="096272E4" w:tentative="1">
      <w:start w:val="1"/>
      <w:numFmt w:val="bullet"/>
      <w:lvlText w:val="•"/>
      <w:lvlJc w:val="left"/>
      <w:pPr>
        <w:tabs>
          <w:tab w:val="num" w:pos="1440"/>
        </w:tabs>
        <w:ind w:left="1440" w:hanging="360"/>
      </w:pPr>
      <w:rPr>
        <w:rFonts w:ascii="Arial" w:hAnsi="Arial" w:hint="default"/>
      </w:rPr>
    </w:lvl>
    <w:lvl w:ilvl="2" w:tplc="03984586" w:tentative="1">
      <w:start w:val="1"/>
      <w:numFmt w:val="bullet"/>
      <w:lvlText w:val="•"/>
      <w:lvlJc w:val="left"/>
      <w:pPr>
        <w:tabs>
          <w:tab w:val="num" w:pos="2160"/>
        </w:tabs>
        <w:ind w:left="2160" w:hanging="360"/>
      </w:pPr>
      <w:rPr>
        <w:rFonts w:ascii="Arial" w:hAnsi="Arial" w:hint="default"/>
      </w:rPr>
    </w:lvl>
    <w:lvl w:ilvl="3" w:tplc="A77E0368" w:tentative="1">
      <w:start w:val="1"/>
      <w:numFmt w:val="bullet"/>
      <w:lvlText w:val="•"/>
      <w:lvlJc w:val="left"/>
      <w:pPr>
        <w:tabs>
          <w:tab w:val="num" w:pos="2880"/>
        </w:tabs>
        <w:ind w:left="2880" w:hanging="360"/>
      </w:pPr>
      <w:rPr>
        <w:rFonts w:ascii="Arial" w:hAnsi="Arial" w:hint="default"/>
      </w:rPr>
    </w:lvl>
    <w:lvl w:ilvl="4" w:tplc="09A8D98E" w:tentative="1">
      <w:start w:val="1"/>
      <w:numFmt w:val="bullet"/>
      <w:lvlText w:val="•"/>
      <w:lvlJc w:val="left"/>
      <w:pPr>
        <w:tabs>
          <w:tab w:val="num" w:pos="3600"/>
        </w:tabs>
        <w:ind w:left="3600" w:hanging="360"/>
      </w:pPr>
      <w:rPr>
        <w:rFonts w:ascii="Arial" w:hAnsi="Arial" w:hint="default"/>
      </w:rPr>
    </w:lvl>
    <w:lvl w:ilvl="5" w:tplc="A9DAB71A" w:tentative="1">
      <w:start w:val="1"/>
      <w:numFmt w:val="bullet"/>
      <w:lvlText w:val="•"/>
      <w:lvlJc w:val="left"/>
      <w:pPr>
        <w:tabs>
          <w:tab w:val="num" w:pos="4320"/>
        </w:tabs>
        <w:ind w:left="4320" w:hanging="360"/>
      </w:pPr>
      <w:rPr>
        <w:rFonts w:ascii="Arial" w:hAnsi="Arial" w:hint="default"/>
      </w:rPr>
    </w:lvl>
    <w:lvl w:ilvl="6" w:tplc="DC7AAEF4" w:tentative="1">
      <w:start w:val="1"/>
      <w:numFmt w:val="bullet"/>
      <w:lvlText w:val="•"/>
      <w:lvlJc w:val="left"/>
      <w:pPr>
        <w:tabs>
          <w:tab w:val="num" w:pos="5040"/>
        </w:tabs>
        <w:ind w:left="5040" w:hanging="360"/>
      </w:pPr>
      <w:rPr>
        <w:rFonts w:ascii="Arial" w:hAnsi="Arial" w:hint="default"/>
      </w:rPr>
    </w:lvl>
    <w:lvl w:ilvl="7" w:tplc="3B0A73D0" w:tentative="1">
      <w:start w:val="1"/>
      <w:numFmt w:val="bullet"/>
      <w:lvlText w:val="•"/>
      <w:lvlJc w:val="left"/>
      <w:pPr>
        <w:tabs>
          <w:tab w:val="num" w:pos="5760"/>
        </w:tabs>
        <w:ind w:left="5760" w:hanging="360"/>
      </w:pPr>
      <w:rPr>
        <w:rFonts w:ascii="Arial" w:hAnsi="Arial" w:hint="default"/>
      </w:rPr>
    </w:lvl>
    <w:lvl w:ilvl="8" w:tplc="4ED0E6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A5E101F"/>
    <w:multiLevelType w:val="multilevel"/>
    <w:tmpl w:val="EDDCA57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DD35D1"/>
    <w:multiLevelType w:val="hybridMultilevel"/>
    <w:tmpl w:val="BA500866"/>
    <w:lvl w:ilvl="0" w:tplc="FCC22340">
      <w:start w:val="219"/>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C3290C"/>
    <w:multiLevelType w:val="hybridMultilevel"/>
    <w:tmpl w:val="C4ACA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4"/>
  </w:num>
  <w:num w:numId="5">
    <w:abstractNumId w:val="5"/>
  </w:num>
  <w:num w:numId="6">
    <w:abstractNumId w:val="14"/>
  </w:num>
  <w:num w:numId="7">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3"/>
  </w:num>
  <w:num w:numId="10">
    <w:abstractNumId w:val="7"/>
  </w:num>
  <w:num w:numId="11">
    <w:abstractNumId w:val="17"/>
  </w:num>
  <w:num w:numId="12">
    <w:abstractNumId w:val="14"/>
  </w:num>
  <w:num w:numId="13">
    <w:abstractNumId w:val="7"/>
  </w:num>
  <w:num w:numId="14">
    <w:abstractNumId w:val="9"/>
  </w:num>
  <w:num w:numId="15">
    <w:abstractNumId w:val="1"/>
  </w:num>
  <w:num w:numId="16">
    <w:abstractNumId w:val="15"/>
  </w:num>
  <w:num w:numId="17">
    <w:abstractNumId w:val="0"/>
  </w:num>
  <w:num w:numId="18">
    <w:abstractNumId w:val="12"/>
  </w:num>
  <w:num w:numId="19">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num>
  <w:num w:numId="22">
    <w:abstractNumId w:val="7"/>
  </w:num>
  <w:num w:numId="23">
    <w:abstractNumId w:val="7"/>
  </w:num>
  <w:num w:numId="24">
    <w:abstractNumId w:val="7"/>
  </w:num>
  <w:num w:numId="25">
    <w:abstractNumId w:val="7"/>
  </w:num>
  <w:num w:numId="26">
    <w:abstractNumId w:val="7"/>
  </w:num>
  <w:num w:numId="27">
    <w:abstractNumId w:val="7"/>
  </w:num>
  <w:num w:numId="28">
    <w:abstractNumId w:val="8"/>
  </w:num>
  <w:num w:numId="29">
    <w:abstractNumId w:val="13"/>
  </w:num>
  <w:num w:numId="30">
    <w:abstractNumId w:val="11"/>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88"/>
    <w:rsid w:val="000012F7"/>
    <w:rsid w:val="00003788"/>
    <w:rsid w:val="00011725"/>
    <w:rsid w:val="00012C62"/>
    <w:rsid w:val="00020689"/>
    <w:rsid w:val="00021EF0"/>
    <w:rsid w:val="00024281"/>
    <w:rsid w:val="000245A7"/>
    <w:rsid w:val="0002544D"/>
    <w:rsid w:val="00025465"/>
    <w:rsid w:val="000368B7"/>
    <w:rsid w:val="00041A8B"/>
    <w:rsid w:val="0004274D"/>
    <w:rsid w:val="00042D43"/>
    <w:rsid w:val="00044289"/>
    <w:rsid w:val="00044C0A"/>
    <w:rsid w:val="00051B05"/>
    <w:rsid w:val="0005533B"/>
    <w:rsid w:val="00056186"/>
    <w:rsid w:val="00056880"/>
    <w:rsid w:val="00064781"/>
    <w:rsid w:val="000675D1"/>
    <w:rsid w:val="00067D59"/>
    <w:rsid w:val="0007102C"/>
    <w:rsid w:val="00072352"/>
    <w:rsid w:val="00073521"/>
    <w:rsid w:val="000775DE"/>
    <w:rsid w:val="000816DD"/>
    <w:rsid w:val="00081ED6"/>
    <w:rsid w:val="0008449C"/>
    <w:rsid w:val="000858F2"/>
    <w:rsid w:val="00087E72"/>
    <w:rsid w:val="00087FAF"/>
    <w:rsid w:val="000915AF"/>
    <w:rsid w:val="00093528"/>
    <w:rsid w:val="000959B8"/>
    <w:rsid w:val="00097426"/>
    <w:rsid w:val="000A3A24"/>
    <w:rsid w:val="000A3E24"/>
    <w:rsid w:val="000C19EA"/>
    <w:rsid w:val="000C5F40"/>
    <w:rsid w:val="000D5B75"/>
    <w:rsid w:val="000D5C6F"/>
    <w:rsid w:val="000D7C7B"/>
    <w:rsid w:val="000D7D63"/>
    <w:rsid w:val="000E0B74"/>
    <w:rsid w:val="000E2AC6"/>
    <w:rsid w:val="000E2BE9"/>
    <w:rsid w:val="000E428C"/>
    <w:rsid w:val="000E4A84"/>
    <w:rsid w:val="000F0BF8"/>
    <w:rsid w:val="000F2B74"/>
    <w:rsid w:val="000F63CE"/>
    <w:rsid w:val="000F7517"/>
    <w:rsid w:val="00120619"/>
    <w:rsid w:val="0013050B"/>
    <w:rsid w:val="0013507A"/>
    <w:rsid w:val="0014091C"/>
    <w:rsid w:val="00152172"/>
    <w:rsid w:val="00152B16"/>
    <w:rsid w:val="0015474B"/>
    <w:rsid w:val="00154CDE"/>
    <w:rsid w:val="00156FC4"/>
    <w:rsid w:val="001606CF"/>
    <w:rsid w:val="0016128D"/>
    <w:rsid w:val="00166A89"/>
    <w:rsid w:val="0017089D"/>
    <w:rsid w:val="00176D88"/>
    <w:rsid w:val="00177A78"/>
    <w:rsid w:val="00180BDA"/>
    <w:rsid w:val="00184F96"/>
    <w:rsid w:val="0019101A"/>
    <w:rsid w:val="00196C17"/>
    <w:rsid w:val="00197343"/>
    <w:rsid w:val="001A374D"/>
    <w:rsid w:val="001A6411"/>
    <w:rsid w:val="001B2BF8"/>
    <w:rsid w:val="001C358D"/>
    <w:rsid w:val="001D077A"/>
    <w:rsid w:val="001D4EAA"/>
    <w:rsid w:val="001F1913"/>
    <w:rsid w:val="001F604C"/>
    <w:rsid w:val="001F6AA7"/>
    <w:rsid w:val="0020133F"/>
    <w:rsid w:val="002048C6"/>
    <w:rsid w:val="00210FD8"/>
    <w:rsid w:val="00211326"/>
    <w:rsid w:val="00217CDC"/>
    <w:rsid w:val="00217D8D"/>
    <w:rsid w:val="0022190E"/>
    <w:rsid w:val="00226274"/>
    <w:rsid w:val="002264E4"/>
    <w:rsid w:val="00230AA0"/>
    <w:rsid w:val="00231049"/>
    <w:rsid w:val="002314D2"/>
    <w:rsid w:val="00231D7D"/>
    <w:rsid w:val="002359D5"/>
    <w:rsid w:val="002372A6"/>
    <w:rsid w:val="00245108"/>
    <w:rsid w:val="002531A4"/>
    <w:rsid w:val="00257283"/>
    <w:rsid w:val="00257AEE"/>
    <w:rsid w:val="00263B6C"/>
    <w:rsid w:val="002675D1"/>
    <w:rsid w:val="00272E32"/>
    <w:rsid w:val="0027590B"/>
    <w:rsid w:val="00277307"/>
    <w:rsid w:val="00281D62"/>
    <w:rsid w:val="00282766"/>
    <w:rsid w:val="00285685"/>
    <w:rsid w:val="00285969"/>
    <w:rsid w:val="0028630E"/>
    <w:rsid w:val="00287901"/>
    <w:rsid w:val="002940EC"/>
    <w:rsid w:val="00295C7D"/>
    <w:rsid w:val="0029756D"/>
    <w:rsid w:val="002B1962"/>
    <w:rsid w:val="002B3829"/>
    <w:rsid w:val="002B4D4D"/>
    <w:rsid w:val="002B5C39"/>
    <w:rsid w:val="002C060B"/>
    <w:rsid w:val="002D488F"/>
    <w:rsid w:val="002E2B39"/>
    <w:rsid w:val="002E44AA"/>
    <w:rsid w:val="002E798C"/>
    <w:rsid w:val="002F4E46"/>
    <w:rsid w:val="002F617F"/>
    <w:rsid w:val="002F77B8"/>
    <w:rsid w:val="00300A34"/>
    <w:rsid w:val="00311B94"/>
    <w:rsid w:val="003122F4"/>
    <w:rsid w:val="00321124"/>
    <w:rsid w:val="003268D5"/>
    <w:rsid w:val="003364B8"/>
    <w:rsid w:val="00344779"/>
    <w:rsid w:val="00345184"/>
    <w:rsid w:val="00345188"/>
    <w:rsid w:val="0034746F"/>
    <w:rsid w:val="00347FEB"/>
    <w:rsid w:val="00354D27"/>
    <w:rsid w:val="00354FBB"/>
    <w:rsid w:val="0036160B"/>
    <w:rsid w:val="00364820"/>
    <w:rsid w:val="0037232B"/>
    <w:rsid w:val="003756AE"/>
    <w:rsid w:val="003802F4"/>
    <w:rsid w:val="003839F0"/>
    <w:rsid w:val="003858A6"/>
    <w:rsid w:val="00392DCC"/>
    <w:rsid w:val="00393063"/>
    <w:rsid w:val="003A2568"/>
    <w:rsid w:val="003A2DB0"/>
    <w:rsid w:val="003A34AB"/>
    <w:rsid w:val="003B41AC"/>
    <w:rsid w:val="003B45CC"/>
    <w:rsid w:val="003B5D08"/>
    <w:rsid w:val="003D030C"/>
    <w:rsid w:val="003D3E9D"/>
    <w:rsid w:val="003D3FF8"/>
    <w:rsid w:val="003D408C"/>
    <w:rsid w:val="003D55ED"/>
    <w:rsid w:val="003E38B0"/>
    <w:rsid w:val="003E4D87"/>
    <w:rsid w:val="003E601D"/>
    <w:rsid w:val="003E77EB"/>
    <w:rsid w:val="003F4C7F"/>
    <w:rsid w:val="003F5CAE"/>
    <w:rsid w:val="003F71F2"/>
    <w:rsid w:val="00416762"/>
    <w:rsid w:val="00417729"/>
    <w:rsid w:val="00421351"/>
    <w:rsid w:val="00422D31"/>
    <w:rsid w:val="0043434D"/>
    <w:rsid w:val="00435E27"/>
    <w:rsid w:val="004421AA"/>
    <w:rsid w:val="0044250E"/>
    <w:rsid w:val="004440C7"/>
    <w:rsid w:val="00444177"/>
    <w:rsid w:val="00445265"/>
    <w:rsid w:val="00450EF6"/>
    <w:rsid w:val="00454A76"/>
    <w:rsid w:val="004556CE"/>
    <w:rsid w:val="004559CE"/>
    <w:rsid w:val="00460F85"/>
    <w:rsid w:val="00461AF5"/>
    <w:rsid w:val="00472BE2"/>
    <w:rsid w:val="00475B7B"/>
    <w:rsid w:val="00475F4D"/>
    <w:rsid w:val="004825B6"/>
    <w:rsid w:val="00482AD1"/>
    <w:rsid w:val="00483049"/>
    <w:rsid w:val="00492FCB"/>
    <w:rsid w:val="004938D1"/>
    <w:rsid w:val="0049397E"/>
    <w:rsid w:val="00495109"/>
    <w:rsid w:val="004951A8"/>
    <w:rsid w:val="00495B62"/>
    <w:rsid w:val="004A077D"/>
    <w:rsid w:val="004A541E"/>
    <w:rsid w:val="004A7BC2"/>
    <w:rsid w:val="004B0822"/>
    <w:rsid w:val="004B18F0"/>
    <w:rsid w:val="004B6FD8"/>
    <w:rsid w:val="004B70ED"/>
    <w:rsid w:val="004C0BFD"/>
    <w:rsid w:val="004D2FCE"/>
    <w:rsid w:val="004D6F2A"/>
    <w:rsid w:val="004E65B8"/>
    <w:rsid w:val="004E7AE2"/>
    <w:rsid w:val="004F1164"/>
    <w:rsid w:val="004F15D3"/>
    <w:rsid w:val="004F232F"/>
    <w:rsid w:val="004F2642"/>
    <w:rsid w:val="004F3D28"/>
    <w:rsid w:val="00501E21"/>
    <w:rsid w:val="00501E57"/>
    <w:rsid w:val="00507B33"/>
    <w:rsid w:val="00512D4B"/>
    <w:rsid w:val="00516785"/>
    <w:rsid w:val="00516C32"/>
    <w:rsid w:val="00522119"/>
    <w:rsid w:val="005235CB"/>
    <w:rsid w:val="0052419D"/>
    <w:rsid w:val="005301F8"/>
    <w:rsid w:val="005312FC"/>
    <w:rsid w:val="0053294F"/>
    <w:rsid w:val="0053603D"/>
    <w:rsid w:val="00537524"/>
    <w:rsid w:val="00552886"/>
    <w:rsid w:val="0056359B"/>
    <w:rsid w:val="00564A6C"/>
    <w:rsid w:val="00576D99"/>
    <w:rsid w:val="00583724"/>
    <w:rsid w:val="005868DE"/>
    <w:rsid w:val="00590DF2"/>
    <w:rsid w:val="005930FC"/>
    <w:rsid w:val="00597494"/>
    <w:rsid w:val="005A425A"/>
    <w:rsid w:val="005A5991"/>
    <w:rsid w:val="005B1F28"/>
    <w:rsid w:val="005D086F"/>
    <w:rsid w:val="005D122E"/>
    <w:rsid w:val="005D669F"/>
    <w:rsid w:val="005D76E2"/>
    <w:rsid w:val="005E3FAE"/>
    <w:rsid w:val="005E5524"/>
    <w:rsid w:val="005F2B4C"/>
    <w:rsid w:val="005F2BD8"/>
    <w:rsid w:val="0060170B"/>
    <w:rsid w:val="0060595B"/>
    <w:rsid w:val="00605AFD"/>
    <w:rsid w:val="006079BF"/>
    <w:rsid w:val="00607C7C"/>
    <w:rsid w:val="006123D4"/>
    <w:rsid w:val="00612528"/>
    <w:rsid w:val="006167DA"/>
    <w:rsid w:val="00621413"/>
    <w:rsid w:val="00622C16"/>
    <w:rsid w:val="00630E05"/>
    <w:rsid w:val="00633DC0"/>
    <w:rsid w:val="0063655F"/>
    <w:rsid w:val="00637C14"/>
    <w:rsid w:val="00640632"/>
    <w:rsid w:val="00642A5A"/>
    <w:rsid w:val="00645602"/>
    <w:rsid w:val="006471E4"/>
    <w:rsid w:val="006500C3"/>
    <w:rsid w:val="00651787"/>
    <w:rsid w:val="00656356"/>
    <w:rsid w:val="0066114A"/>
    <w:rsid w:val="00661FB0"/>
    <w:rsid w:val="00673319"/>
    <w:rsid w:val="006742D2"/>
    <w:rsid w:val="00674CBD"/>
    <w:rsid w:val="00675247"/>
    <w:rsid w:val="006755BF"/>
    <w:rsid w:val="00680BC3"/>
    <w:rsid w:val="0068265D"/>
    <w:rsid w:val="00686165"/>
    <w:rsid w:val="00691CB5"/>
    <w:rsid w:val="006A21E7"/>
    <w:rsid w:val="006A4D19"/>
    <w:rsid w:val="006A6EE1"/>
    <w:rsid w:val="006A750C"/>
    <w:rsid w:val="006B5E7C"/>
    <w:rsid w:val="006C3D94"/>
    <w:rsid w:val="006C486C"/>
    <w:rsid w:val="006C645D"/>
    <w:rsid w:val="006D3F18"/>
    <w:rsid w:val="006D42C7"/>
    <w:rsid w:val="006D68AD"/>
    <w:rsid w:val="006E0990"/>
    <w:rsid w:val="006E0E71"/>
    <w:rsid w:val="006E1AB2"/>
    <w:rsid w:val="006E3CC3"/>
    <w:rsid w:val="006E6715"/>
    <w:rsid w:val="006F3B5C"/>
    <w:rsid w:val="006F61E4"/>
    <w:rsid w:val="006F656C"/>
    <w:rsid w:val="007029E4"/>
    <w:rsid w:val="0070334C"/>
    <w:rsid w:val="0070374B"/>
    <w:rsid w:val="00703B71"/>
    <w:rsid w:val="00707014"/>
    <w:rsid w:val="00710ED3"/>
    <w:rsid w:val="00724E73"/>
    <w:rsid w:val="00730CAF"/>
    <w:rsid w:val="00732F25"/>
    <w:rsid w:val="007344CF"/>
    <w:rsid w:val="0074355E"/>
    <w:rsid w:val="00745188"/>
    <w:rsid w:val="00745A87"/>
    <w:rsid w:val="0074670B"/>
    <w:rsid w:val="00754E8A"/>
    <w:rsid w:val="007559BE"/>
    <w:rsid w:val="00755D73"/>
    <w:rsid w:val="00755F85"/>
    <w:rsid w:val="00756262"/>
    <w:rsid w:val="00757816"/>
    <w:rsid w:val="00757F65"/>
    <w:rsid w:val="00765E0D"/>
    <w:rsid w:val="0077048C"/>
    <w:rsid w:val="00773932"/>
    <w:rsid w:val="007739DC"/>
    <w:rsid w:val="0078509F"/>
    <w:rsid w:val="00790B54"/>
    <w:rsid w:val="00794499"/>
    <w:rsid w:val="00797F89"/>
    <w:rsid w:val="007A2E78"/>
    <w:rsid w:val="007A6D5E"/>
    <w:rsid w:val="007C03E9"/>
    <w:rsid w:val="007C31B5"/>
    <w:rsid w:val="007C3314"/>
    <w:rsid w:val="007D03B3"/>
    <w:rsid w:val="007D5723"/>
    <w:rsid w:val="007D5AA6"/>
    <w:rsid w:val="007E0219"/>
    <w:rsid w:val="007E2AB9"/>
    <w:rsid w:val="007E4766"/>
    <w:rsid w:val="007E4C02"/>
    <w:rsid w:val="007E5774"/>
    <w:rsid w:val="007E6456"/>
    <w:rsid w:val="00803686"/>
    <w:rsid w:val="00803952"/>
    <w:rsid w:val="00804136"/>
    <w:rsid w:val="00811630"/>
    <w:rsid w:val="00812351"/>
    <w:rsid w:val="008147F8"/>
    <w:rsid w:val="0081489C"/>
    <w:rsid w:val="008162D3"/>
    <w:rsid w:val="0082529D"/>
    <w:rsid w:val="008255FC"/>
    <w:rsid w:val="00825C50"/>
    <w:rsid w:val="008304F4"/>
    <w:rsid w:val="00830C2C"/>
    <w:rsid w:val="00831043"/>
    <w:rsid w:val="00834243"/>
    <w:rsid w:val="008361B4"/>
    <w:rsid w:val="00840DE1"/>
    <w:rsid w:val="00841EFE"/>
    <w:rsid w:val="00846A24"/>
    <w:rsid w:val="008511BC"/>
    <w:rsid w:val="008549AC"/>
    <w:rsid w:val="00855618"/>
    <w:rsid w:val="00857969"/>
    <w:rsid w:val="00860488"/>
    <w:rsid w:val="008617A4"/>
    <w:rsid w:val="00865526"/>
    <w:rsid w:val="00872AB8"/>
    <w:rsid w:val="00880E8D"/>
    <w:rsid w:val="0089256D"/>
    <w:rsid w:val="00892ABE"/>
    <w:rsid w:val="008A1187"/>
    <w:rsid w:val="008A245E"/>
    <w:rsid w:val="008B0ED3"/>
    <w:rsid w:val="008B1499"/>
    <w:rsid w:val="008B3548"/>
    <w:rsid w:val="008B3FDA"/>
    <w:rsid w:val="008B4C78"/>
    <w:rsid w:val="008D11E0"/>
    <w:rsid w:val="008D1705"/>
    <w:rsid w:val="008D2042"/>
    <w:rsid w:val="008D339F"/>
    <w:rsid w:val="008D7F38"/>
    <w:rsid w:val="008E6292"/>
    <w:rsid w:val="008F20DF"/>
    <w:rsid w:val="008F296A"/>
    <w:rsid w:val="008F5F84"/>
    <w:rsid w:val="008F6CEC"/>
    <w:rsid w:val="00902BA3"/>
    <w:rsid w:val="00912A7A"/>
    <w:rsid w:val="00914BB1"/>
    <w:rsid w:val="00914C43"/>
    <w:rsid w:val="009176DA"/>
    <w:rsid w:val="00921D68"/>
    <w:rsid w:val="00922F9D"/>
    <w:rsid w:val="00925AA5"/>
    <w:rsid w:val="0092626E"/>
    <w:rsid w:val="00931408"/>
    <w:rsid w:val="00934FBB"/>
    <w:rsid w:val="009379C7"/>
    <w:rsid w:val="0094019D"/>
    <w:rsid w:val="00942B95"/>
    <w:rsid w:val="00942C11"/>
    <w:rsid w:val="00947E2B"/>
    <w:rsid w:val="00951892"/>
    <w:rsid w:val="0095317D"/>
    <w:rsid w:val="009532A9"/>
    <w:rsid w:val="009546A0"/>
    <w:rsid w:val="00956700"/>
    <w:rsid w:val="00960125"/>
    <w:rsid w:val="009719A4"/>
    <w:rsid w:val="009732EC"/>
    <w:rsid w:val="0097438D"/>
    <w:rsid w:val="00974690"/>
    <w:rsid w:val="00975969"/>
    <w:rsid w:val="00980ECB"/>
    <w:rsid w:val="009821CE"/>
    <w:rsid w:val="0098321A"/>
    <w:rsid w:val="009852CF"/>
    <w:rsid w:val="00996DA2"/>
    <w:rsid w:val="009A3B01"/>
    <w:rsid w:val="009A4940"/>
    <w:rsid w:val="009A4B77"/>
    <w:rsid w:val="009A658F"/>
    <w:rsid w:val="009A668A"/>
    <w:rsid w:val="009B1116"/>
    <w:rsid w:val="009B3558"/>
    <w:rsid w:val="009B4D74"/>
    <w:rsid w:val="009B7AA4"/>
    <w:rsid w:val="009C492B"/>
    <w:rsid w:val="009C5D79"/>
    <w:rsid w:val="009C61A4"/>
    <w:rsid w:val="009C7638"/>
    <w:rsid w:val="009C7DBB"/>
    <w:rsid w:val="009D3B8A"/>
    <w:rsid w:val="009D3DDD"/>
    <w:rsid w:val="009D4398"/>
    <w:rsid w:val="009E201D"/>
    <w:rsid w:val="009E2CF6"/>
    <w:rsid w:val="009F3D91"/>
    <w:rsid w:val="009F508E"/>
    <w:rsid w:val="00A02EFD"/>
    <w:rsid w:val="00A05247"/>
    <w:rsid w:val="00A133E3"/>
    <w:rsid w:val="00A14BCC"/>
    <w:rsid w:val="00A16E03"/>
    <w:rsid w:val="00A1707E"/>
    <w:rsid w:val="00A17483"/>
    <w:rsid w:val="00A2046B"/>
    <w:rsid w:val="00A20D38"/>
    <w:rsid w:val="00A23040"/>
    <w:rsid w:val="00A260CD"/>
    <w:rsid w:val="00A338CA"/>
    <w:rsid w:val="00A33CD5"/>
    <w:rsid w:val="00A35D02"/>
    <w:rsid w:val="00A3749B"/>
    <w:rsid w:val="00A427D2"/>
    <w:rsid w:val="00A62E42"/>
    <w:rsid w:val="00A64A71"/>
    <w:rsid w:val="00A7020C"/>
    <w:rsid w:val="00A71085"/>
    <w:rsid w:val="00A73B91"/>
    <w:rsid w:val="00A7574C"/>
    <w:rsid w:val="00A77C28"/>
    <w:rsid w:val="00A82AF1"/>
    <w:rsid w:val="00A86200"/>
    <w:rsid w:val="00A869CB"/>
    <w:rsid w:val="00A86EBA"/>
    <w:rsid w:val="00AA0C3D"/>
    <w:rsid w:val="00AA40C2"/>
    <w:rsid w:val="00AA410A"/>
    <w:rsid w:val="00AB2978"/>
    <w:rsid w:val="00AB653B"/>
    <w:rsid w:val="00AB6BB8"/>
    <w:rsid w:val="00AB77EA"/>
    <w:rsid w:val="00AC277E"/>
    <w:rsid w:val="00AE1B75"/>
    <w:rsid w:val="00AE2F90"/>
    <w:rsid w:val="00B10510"/>
    <w:rsid w:val="00B16CCC"/>
    <w:rsid w:val="00B3149D"/>
    <w:rsid w:val="00B329AE"/>
    <w:rsid w:val="00B355B1"/>
    <w:rsid w:val="00B5009C"/>
    <w:rsid w:val="00B531AE"/>
    <w:rsid w:val="00B571E0"/>
    <w:rsid w:val="00B63798"/>
    <w:rsid w:val="00B76F09"/>
    <w:rsid w:val="00B770FF"/>
    <w:rsid w:val="00B82EF9"/>
    <w:rsid w:val="00B85F47"/>
    <w:rsid w:val="00B87927"/>
    <w:rsid w:val="00B9066D"/>
    <w:rsid w:val="00B92619"/>
    <w:rsid w:val="00B976D5"/>
    <w:rsid w:val="00BA0AE6"/>
    <w:rsid w:val="00BA4A98"/>
    <w:rsid w:val="00BA5396"/>
    <w:rsid w:val="00BB3F82"/>
    <w:rsid w:val="00BC02E8"/>
    <w:rsid w:val="00BC1C5F"/>
    <w:rsid w:val="00BC5C54"/>
    <w:rsid w:val="00BD5650"/>
    <w:rsid w:val="00BE168D"/>
    <w:rsid w:val="00BF13F5"/>
    <w:rsid w:val="00BF1F1C"/>
    <w:rsid w:val="00C06995"/>
    <w:rsid w:val="00C07E9B"/>
    <w:rsid w:val="00C15634"/>
    <w:rsid w:val="00C16927"/>
    <w:rsid w:val="00C16C8D"/>
    <w:rsid w:val="00C170E4"/>
    <w:rsid w:val="00C267AE"/>
    <w:rsid w:val="00C30297"/>
    <w:rsid w:val="00C30F13"/>
    <w:rsid w:val="00C4281A"/>
    <w:rsid w:val="00C44F03"/>
    <w:rsid w:val="00C45E4C"/>
    <w:rsid w:val="00C54E4E"/>
    <w:rsid w:val="00C57093"/>
    <w:rsid w:val="00C57108"/>
    <w:rsid w:val="00C61A39"/>
    <w:rsid w:val="00C638CF"/>
    <w:rsid w:val="00C663AB"/>
    <w:rsid w:val="00C705CE"/>
    <w:rsid w:val="00C766A0"/>
    <w:rsid w:val="00C85314"/>
    <w:rsid w:val="00C9134D"/>
    <w:rsid w:val="00C92C6F"/>
    <w:rsid w:val="00CA0D41"/>
    <w:rsid w:val="00CA28FE"/>
    <w:rsid w:val="00CA46D6"/>
    <w:rsid w:val="00CA4BC0"/>
    <w:rsid w:val="00CA6EDB"/>
    <w:rsid w:val="00CB1F3A"/>
    <w:rsid w:val="00CB3277"/>
    <w:rsid w:val="00CC1590"/>
    <w:rsid w:val="00CC2225"/>
    <w:rsid w:val="00CC2882"/>
    <w:rsid w:val="00CC5405"/>
    <w:rsid w:val="00CC559D"/>
    <w:rsid w:val="00CD4692"/>
    <w:rsid w:val="00CD654B"/>
    <w:rsid w:val="00CD6BD4"/>
    <w:rsid w:val="00CD7658"/>
    <w:rsid w:val="00CE0C12"/>
    <w:rsid w:val="00CE1BE1"/>
    <w:rsid w:val="00CE223E"/>
    <w:rsid w:val="00CE5076"/>
    <w:rsid w:val="00CE5B0C"/>
    <w:rsid w:val="00CE7462"/>
    <w:rsid w:val="00CF15C4"/>
    <w:rsid w:val="00CF657A"/>
    <w:rsid w:val="00D020B9"/>
    <w:rsid w:val="00D10FA2"/>
    <w:rsid w:val="00D1346C"/>
    <w:rsid w:val="00D13529"/>
    <w:rsid w:val="00D1402A"/>
    <w:rsid w:val="00D145F5"/>
    <w:rsid w:val="00D14FDE"/>
    <w:rsid w:val="00D249C5"/>
    <w:rsid w:val="00D30A8E"/>
    <w:rsid w:val="00D34785"/>
    <w:rsid w:val="00D355F0"/>
    <w:rsid w:val="00D40E3E"/>
    <w:rsid w:val="00D441B6"/>
    <w:rsid w:val="00D45AF8"/>
    <w:rsid w:val="00D4787D"/>
    <w:rsid w:val="00D51C05"/>
    <w:rsid w:val="00D622DD"/>
    <w:rsid w:val="00D728A7"/>
    <w:rsid w:val="00D801CF"/>
    <w:rsid w:val="00D814A3"/>
    <w:rsid w:val="00D82F82"/>
    <w:rsid w:val="00D83B78"/>
    <w:rsid w:val="00D83BD9"/>
    <w:rsid w:val="00D94355"/>
    <w:rsid w:val="00D95FB9"/>
    <w:rsid w:val="00D969F2"/>
    <w:rsid w:val="00DA686B"/>
    <w:rsid w:val="00DB17A2"/>
    <w:rsid w:val="00DB19D6"/>
    <w:rsid w:val="00DB2D89"/>
    <w:rsid w:val="00DB4663"/>
    <w:rsid w:val="00DB7F09"/>
    <w:rsid w:val="00DC00E8"/>
    <w:rsid w:val="00DC0705"/>
    <w:rsid w:val="00DD78A7"/>
    <w:rsid w:val="00DE0404"/>
    <w:rsid w:val="00DE39F4"/>
    <w:rsid w:val="00DE4218"/>
    <w:rsid w:val="00DE4902"/>
    <w:rsid w:val="00DE4B9E"/>
    <w:rsid w:val="00DE730E"/>
    <w:rsid w:val="00DE78C9"/>
    <w:rsid w:val="00DF124C"/>
    <w:rsid w:val="00E01BB1"/>
    <w:rsid w:val="00E0286E"/>
    <w:rsid w:val="00E05F54"/>
    <w:rsid w:val="00E07606"/>
    <w:rsid w:val="00E10D39"/>
    <w:rsid w:val="00E1136B"/>
    <w:rsid w:val="00E17984"/>
    <w:rsid w:val="00E17F4F"/>
    <w:rsid w:val="00E22D51"/>
    <w:rsid w:val="00E30E7A"/>
    <w:rsid w:val="00E35FA1"/>
    <w:rsid w:val="00E36725"/>
    <w:rsid w:val="00E37F03"/>
    <w:rsid w:val="00E40A8C"/>
    <w:rsid w:val="00E45719"/>
    <w:rsid w:val="00E50E7C"/>
    <w:rsid w:val="00E51545"/>
    <w:rsid w:val="00E55326"/>
    <w:rsid w:val="00E65906"/>
    <w:rsid w:val="00E711D7"/>
    <w:rsid w:val="00E810D9"/>
    <w:rsid w:val="00E8318A"/>
    <w:rsid w:val="00E86E6F"/>
    <w:rsid w:val="00E87D69"/>
    <w:rsid w:val="00E902B0"/>
    <w:rsid w:val="00E902E8"/>
    <w:rsid w:val="00E91ABE"/>
    <w:rsid w:val="00E91BF8"/>
    <w:rsid w:val="00EA67DF"/>
    <w:rsid w:val="00EA7202"/>
    <w:rsid w:val="00EB030F"/>
    <w:rsid w:val="00EB2172"/>
    <w:rsid w:val="00EB270F"/>
    <w:rsid w:val="00EB3151"/>
    <w:rsid w:val="00EB6FC5"/>
    <w:rsid w:val="00EB7763"/>
    <w:rsid w:val="00EC6B16"/>
    <w:rsid w:val="00ED4CF1"/>
    <w:rsid w:val="00ED66A6"/>
    <w:rsid w:val="00EE677F"/>
    <w:rsid w:val="00EF17E8"/>
    <w:rsid w:val="00EF2FBF"/>
    <w:rsid w:val="00F0082D"/>
    <w:rsid w:val="00F07081"/>
    <w:rsid w:val="00F07C90"/>
    <w:rsid w:val="00F106C2"/>
    <w:rsid w:val="00F11679"/>
    <w:rsid w:val="00F20469"/>
    <w:rsid w:val="00F22761"/>
    <w:rsid w:val="00F25AEA"/>
    <w:rsid w:val="00F2780D"/>
    <w:rsid w:val="00F31654"/>
    <w:rsid w:val="00F34B61"/>
    <w:rsid w:val="00F36955"/>
    <w:rsid w:val="00F415B7"/>
    <w:rsid w:val="00F4684C"/>
    <w:rsid w:val="00F46F33"/>
    <w:rsid w:val="00F52612"/>
    <w:rsid w:val="00F66B9F"/>
    <w:rsid w:val="00F702C0"/>
    <w:rsid w:val="00F71A0E"/>
    <w:rsid w:val="00F779EF"/>
    <w:rsid w:val="00F77F00"/>
    <w:rsid w:val="00F804FC"/>
    <w:rsid w:val="00F82117"/>
    <w:rsid w:val="00F8291C"/>
    <w:rsid w:val="00F82B54"/>
    <w:rsid w:val="00F8724F"/>
    <w:rsid w:val="00F87E80"/>
    <w:rsid w:val="00F92279"/>
    <w:rsid w:val="00F95DE5"/>
    <w:rsid w:val="00FB0161"/>
    <w:rsid w:val="00FB1AD5"/>
    <w:rsid w:val="00FB606F"/>
    <w:rsid w:val="00FB64AA"/>
    <w:rsid w:val="00FB7741"/>
    <w:rsid w:val="00FC614E"/>
    <w:rsid w:val="00FC6ADA"/>
    <w:rsid w:val="00FD28BE"/>
    <w:rsid w:val="00FD30F0"/>
    <w:rsid w:val="00FE7E44"/>
    <w:rsid w:val="00FF06C3"/>
    <w:rsid w:val="00FF18CB"/>
    <w:rsid w:val="00FF354F"/>
    <w:rsid w:val="00FF38B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8AC448E"/>
  <w15:docId w15:val="{120EA504-977E-4AE3-8D8D-B5378C16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D7D"/>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12"/>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12"/>
      </w:numPr>
      <w:spacing w:before="0"/>
    </w:pPr>
  </w:style>
  <w:style w:type="paragraph" w:customStyle="1" w:styleId="OutlineNumbered3">
    <w:name w:val="Outline Numbered 3"/>
    <w:basedOn w:val="Normal"/>
    <w:rsid w:val="000E0B74"/>
    <w:pPr>
      <w:numPr>
        <w:ilvl w:val="2"/>
        <w:numId w:val="12"/>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NoSpacing">
    <w:name w:val="No Spacing"/>
    <w:uiPriority w:val="1"/>
    <w:qFormat/>
    <w:rsid w:val="00067D59"/>
    <w:pPr>
      <w:spacing w:after="0" w:line="240" w:lineRule="auto"/>
    </w:pPr>
  </w:style>
  <w:style w:type="character" w:styleId="CommentReference">
    <w:name w:val="annotation reference"/>
    <w:basedOn w:val="DefaultParagraphFont"/>
    <w:uiPriority w:val="99"/>
    <w:semiHidden/>
    <w:unhideWhenUsed/>
    <w:rsid w:val="00067D59"/>
    <w:rPr>
      <w:sz w:val="16"/>
      <w:szCs w:val="16"/>
    </w:rPr>
  </w:style>
  <w:style w:type="paragraph" w:styleId="CommentText">
    <w:name w:val="annotation text"/>
    <w:basedOn w:val="Normal"/>
    <w:link w:val="CommentTextChar"/>
    <w:uiPriority w:val="99"/>
    <w:semiHidden/>
    <w:unhideWhenUsed/>
    <w:rsid w:val="00067D59"/>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067D59"/>
    <w:rPr>
      <w:sz w:val="20"/>
      <w:szCs w:val="20"/>
    </w:rPr>
  </w:style>
  <w:style w:type="character" w:customStyle="1" w:styleId="BulletChar">
    <w:name w:val="Bullet Char"/>
    <w:aliases w:val="b Char,b Char Char,b + line Char Char"/>
    <w:basedOn w:val="DefaultParagraphFont"/>
    <w:link w:val="Bullet"/>
    <w:rsid w:val="00417729"/>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8F296A"/>
    <w:pPr>
      <w:spacing w:before="120" w:after="120"/>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8F296A"/>
    <w:rPr>
      <w:rFonts w:ascii="Calibri" w:eastAsia="Times New Roman" w:hAnsi="Calibri" w:cs="Times New Roman"/>
      <w:b/>
      <w:bCs/>
      <w:sz w:val="20"/>
      <w:szCs w:val="20"/>
      <w:lang w:eastAsia="en-AU"/>
    </w:rPr>
  </w:style>
  <w:style w:type="character" w:customStyle="1" w:styleId="DashChar">
    <w:name w:val="Dash Char"/>
    <w:basedOn w:val="DefaultParagraphFont"/>
    <w:link w:val="Dash"/>
    <w:rsid w:val="003B41AC"/>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3B41AC"/>
    <w:rPr>
      <w:rFonts w:ascii="Calibri" w:eastAsia="Times New Roman" w:hAnsi="Calibri" w:cs="Times New Roman"/>
      <w:szCs w:val="20"/>
      <w:lang w:eastAsia="en-AU"/>
    </w:rPr>
  </w:style>
  <w:style w:type="paragraph" w:styleId="IntenseQuote">
    <w:name w:val="Intense Quote"/>
    <w:basedOn w:val="Normal"/>
    <w:next w:val="Normal"/>
    <w:link w:val="IntenseQuoteChar"/>
    <w:uiPriority w:val="30"/>
    <w:qFormat/>
    <w:rsid w:val="00CA28FE"/>
    <w:pPr>
      <w:pBdr>
        <w:top w:val="single" w:sz="4" w:space="10" w:color="002C47" w:themeColor="accent1"/>
        <w:bottom w:val="single" w:sz="4" w:space="10" w:color="002C47" w:themeColor="accent1"/>
      </w:pBdr>
      <w:spacing w:before="360" w:after="360"/>
      <w:ind w:left="864" w:right="864"/>
      <w:jc w:val="center"/>
    </w:pPr>
    <w:rPr>
      <w:i/>
      <w:iCs/>
      <w:color w:val="002C47" w:themeColor="accent1"/>
    </w:rPr>
  </w:style>
  <w:style w:type="character" w:customStyle="1" w:styleId="IntenseQuoteChar">
    <w:name w:val="Intense Quote Char"/>
    <w:basedOn w:val="DefaultParagraphFont"/>
    <w:link w:val="IntenseQuote"/>
    <w:uiPriority w:val="30"/>
    <w:rsid w:val="00CA28FE"/>
    <w:rPr>
      <w:rFonts w:ascii="Calibri" w:eastAsia="Times New Roman" w:hAnsi="Calibri" w:cs="Times New Roman"/>
      <w:i/>
      <w:iCs/>
      <w:color w:val="002C47" w:themeColor="accent1"/>
      <w:szCs w:val="20"/>
      <w:lang w:eastAsia="en-AU"/>
    </w:rPr>
  </w:style>
  <w:style w:type="character" w:styleId="UnresolvedMention">
    <w:name w:val="Unresolved Mention"/>
    <w:basedOn w:val="DefaultParagraphFont"/>
    <w:uiPriority w:val="99"/>
    <w:semiHidden/>
    <w:unhideWhenUsed/>
    <w:rsid w:val="00CA28FE"/>
    <w:rPr>
      <w:color w:val="605E5C"/>
      <w:shd w:val="clear" w:color="auto" w:fill="E1DFDD"/>
    </w:rPr>
  </w:style>
  <w:style w:type="character" w:styleId="SubtleReference">
    <w:name w:val="Subtle Reference"/>
    <w:basedOn w:val="DefaultParagraphFont"/>
    <w:uiPriority w:val="31"/>
    <w:qFormat/>
    <w:rsid w:val="00F4684C"/>
    <w:rPr>
      <w:smallCaps/>
      <w:color w:val="5A5A5A" w:themeColor="text1" w:themeTint="A5"/>
    </w:rPr>
  </w:style>
  <w:style w:type="character" w:styleId="FollowedHyperlink">
    <w:name w:val="FollowedHyperlink"/>
    <w:basedOn w:val="DefaultParagraphFont"/>
    <w:uiPriority w:val="99"/>
    <w:semiHidden/>
    <w:unhideWhenUsed/>
    <w:rsid w:val="0056359B"/>
    <w:rPr>
      <w:color w:val="E61E26" w:themeColor="followedHyperlink"/>
      <w:u w:val="single"/>
    </w:rPr>
  </w:style>
  <w:style w:type="paragraph" w:styleId="ListParagraph">
    <w:name w:val="List Paragraph"/>
    <w:basedOn w:val="Normal"/>
    <w:uiPriority w:val="34"/>
    <w:qFormat/>
    <w:rsid w:val="00756262"/>
    <w:pPr>
      <w:ind w:left="720"/>
      <w:contextualSpacing/>
    </w:pPr>
  </w:style>
  <w:style w:type="table" w:styleId="TableGridLight">
    <w:name w:val="Grid Table Light"/>
    <w:basedOn w:val="TableNormal"/>
    <w:uiPriority w:val="40"/>
    <w:rsid w:val="00622C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30F13"/>
    <w:pPr>
      <w:spacing w:before="100" w:beforeAutospacing="1" w:after="100" w:afterAutospacing="1"/>
    </w:pPr>
    <w:rPr>
      <w:rFonts w:ascii="Times New Roman" w:hAnsi="Times New Roman"/>
      <w:sz w:val="24"/>
      <w:szCs w:val="24"/>
    </w:rPr>
  </w:style>
  <w:style w:type="table" w:styleId="PlainTable1">
    <w:name w:val="Plain Table 1"/>
    <w:basedOn w:val="TableNormal"/>
    <w:uiPriority w:val="41"/>
    <w:rsid w:val="00564A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11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92">
      <w:bodyDiv w:val="1"/>
      <w:marLeft w:val="0"/>
      <w:marRight w:val="0"/>
      <w:marTop w:val="0"/>
      <w:marBottom w:val="0"/>
      <w:divBdr>
        <w:top w:val="none" w:sz="0" w:space="0" w:color="auto"/>
        <w:left w:val="none" w:sz="0" w:space="0" w:color="auto"/>
        <w:bottom w:val="none" w:sz="0" w:space="0" w:color="auto"/>
        <w:right w:val="none" w:sz="0" w:space="0" w:color="auto"/>
      </w:divBdr>
    </w:div>
    <w:div w:id="6254500">
      <w:bodyDiv w:val="1"/>
      <w:marLeft w:val="0"/>
      <w:marRight w:val="0"/>
      <w:marTop w:val="0"/>
      <w:marBottom w:val="0"/>
      <w:divBdr>
        <w:top w:val="none" w:sz="0" w:space="0" w:color="auto"/>
        <w:left w:val="none" w:sz="0" w:space="0" w:color="auto"/>
        <w:bottom w:val="none" w:sz="0" w:space="0" w:color="auto"/>
        <w:right w:val="none" w:sz="0" w:space="0" w:color="auto"/>
      </w:divBdr>
      <w:divsChild>
        <w:div w:id="430320167">
          <w:marLeft w:val="274"/>
          <w:marRight w:val="0"/>
          <w:marTop w:val="0"/>
          <w:marBottom w:val="0"/>
          <w:divBdr>
            <w:top w:val="none" w:sz="0" w:space="0" w:color="auto"/>
            <w:left w:val="none" w:sz="0" w:space="0" w:color="auto"/>
            <w:bottom w:val="none" w:sz="0" w:space="0" w:color="auto"/>
            <w:right w:val="none" w:sz="0" w:space="0" w:color="auto"/>
          </w:divBdr>
        </w:div>
        <w:div w:id="1459949799">
          <w:marLeft w:val="274"/>
          <w:marRight w:val="0"/>
          <w:marTop w:val="0"/>
          <w:marBottom w:val="0"/>
          <w:divBdr>
            <w:top w:val="none" w:sz="0" w:space="0" w:color="auto"/>
            <w:left w:val="none" w:sz="0" w:space="0" w:color="auto"/>
            <w:bottom w:val="none" w:sz="0" w:space="0" w:color="auto"/>
            <w:right w:val="none" w:sz="0" w:space="0" w:color="auto"/>
          </w:divBdr>
        </w:div>
        <w:div w:id="405298861">
          <w:marLeft w:val="274"/>
          <w:marRight w:val="0"/>
          <w:marTop w:val="0"/>
          <w:marBottom w:val="0"/>
          <w:divBdr>
            <w:top w:val="none" w:sz="0" w:space="0" w:color="auto"/>
            <w:left w:val="none" w:sz="0" w:space="0" w:color="auto"/>
            <w:bottom w:val="none" w:sz="0" w:space="0" w:color="auto"/>
            <w:right w:val="none" w:sz="0" w:space="0" w:color="auto"/>
          </w:divBdr>
        </w:div>
        <w:div w:id="608508703">
          <w:marLeft w:val="274"/>
          <w:marRight w:val="0"/>
          <w:marTop w:val="0"/>
          <w:marBottom w:val="0"/>
          <w:divBdr>
            <w:top w:val="none" w:sz="0" w:space="0" w:color="auto"/>
            <w:left w:val="none" w:sz="0" w:space="0" w:color="auto"/>
            <w:bottom w:val="none" w:sz="0" w:space="0" w:color="auto"/>
            <w:right w:val="none" w:sz="0" w:space="0" w:color="auto"/>
          </w:divBdr>
        </w:div>
        <w:div w:id="124280641">
          <w:marLeft w:val="274"/>
          <w:marRight w:val="0"/>
          <w:marTop w:val="0"/>
          <w:marBottom w:val="0"/>
          <w:divBdr>
            <w:top w:val="none" w:sz="0" w:space="0" w:color="auto"/>
            <w:left w:val="none" w:sz="0" w:space="0" w:color="auto"/>
            <w:bottom w:val="none" w:sz="0" w:space="0" w:color="auto"/>
            <w:right w:val="none" w:sz="0" w:space="0" w:color="auto"/>
          </w:divBdr>
        </w:div>
        <w:div w:id="1127695778">
          <w:marLeft w:val="706"/>
          <w:marRight w:val="0"/>
          <w:marTop w:val="0"/>
          <w:marBottom w:val="0"/>
          <w:divBdr>
            <w:top w:val="none" w:sz="0" w:space="0" w:color="auto"/>
            <w:left w:val="none" w:sz="0" w:space="0" w:color="auto"/>
            <w:bottom w:val="none" w:sz="0" w:space="0" w:color="auto"/>
            <w:right w:val="none" w:sz="0" w:space="0" w:color="auto"/>
          </w:divBdr>
        </w:div>
      </w:divsChild>
    </w:div>
    <w:div w:id="122963100">
      <w:bodyDiv w:val="1"/>
      <w:marLeft w:val="0"/>
      <w:marRight w:val="0"/>
      <w:marTop w:val="0"/>
      <w:marBottom w:val="0"/>
      <w:divBdr>
        <w:top w:val="none" w:sz="0" w:space="0" w:color="auto"/>
        <w:left w:val="none" w:sz="0" w:space="0" w:color="auto"/>
        <w:bottom w:val="none" w:sz="0" w:space="0" w:color="auto"/>
        <w:right w:val="none" w:sz="0" w:space="0" w:color="auto"/>
      </w:divBdr>
    </w:div>
    <w:div w:id="133447218">
      <w:bodyDiv w:val="1"/>
      <w:marLeft w:val="0"/>
      <w:marRight w:val="0"/>
      <w:marTop w:val="0"/>
      <w:marBottom w:val="0"/>
      <w:divBdr>
        <w:top w:val="none" w:sz="0" w:space="0" w:color="auto"/>
        <w:left w:val="none" w:sz="0" w:space="0" w:color="auto"/>
        <w:bottom w:val="none" w:sz="0" w:space="0" w:color="auto"/>
        <w:right w:val="none" w:sz="0" w:space="0" w:color="auto"/>
      </w:divBdr>
    </w:div>
    <w:div w:id="170921812">
      <w:bodyDiv w:val="1"/>
      <w:marLeft w:val="0"/>
      <w:marRight w:val="0"/>
      <w:marTop w:val="0"/>
      <w:marBottom w:val="0"/>
      <w:divBdr>
        <w:top w:val="none" w:sz="0" w:space="0" w:color="auto"/>
        <w:left w:val="none" w:sz="0" w:space="0" w:color="auto"/>
        <w:bottom w:val="none" w:sz="0" w:space="0" w:color="auto"/>
        <w:right w:val="none" w:sz="0" w:space="0" w:color="auto"/>
      </w:divBdr>
    </w:div>
    <w:div w:id="195967721">
      <w:bodyDiv w:val="1"/>
      <w:marLeft w:val="0"/>
      <w:marRight w:val="0"/>
      <w:marTop w:val="0"/>
      <w:marBottom w:val="0"/>
      <w:divBdr>
        <w:top w:val="none" w:sz="0" w:space="0" w:color="auto"/>
        <w:left w:val="none" w:sz="0" w:space="0" w:color="auto"/>
        <w:bottom w:val="none" w:sz="0" w:space="0" w:color="auto"/>
        <w:right w:val="none" w:sz="0" w:space="0" w:color="auto"/>
      </w:divBdr>
    </w:div>
    <w:div w:id="342896528">
      <w:bodyDiv w:val="1"/>
      <w:marLeft w:val="0"/>
      <w:marRight w:val="0"/>
      <w:marTop w:val="0"/>
      <w:marBottom w:val="0"/>
      <w:divBdr>
        <w:top w:val="none" w:sz="0" w:space="0" w:color="auto"/>
        <w:left w:val="none" w:sz="0" w:space="0" w:color="auto"/>
        <w:bottom w:val="none" w:sz="0" w:space="0" w:color="auto"/>
        <w:right w:val="none" w:sz="0" w:space="0" w:color="auto"/>
      </w:divBdr>
    </w:div>
    <w:div w:id="377050462">
      <w:bodyDiv w:val="1"/>
      <w:marLeft w:val="0"/>
      <w:marRight w:val="0"/>
      <w:marTop w:val="0"/>
      <w:marBottom w:val="0"/>
      <w:divBdr>
        <w:top w:val="none" w:sz="0" w:space="0" w:color="auto"/>
        <w:left w:val="none" w:sz="0" w:space="0" w:color="auto"/>
        <w:bottom w:val="none" w:sz="0" w:space="0" w:color="auto"/>
        <w:right w:val="none" w:sz="0" w:space="0" w:color="auto"/>
      </w:divBdr>
    </w:div>
    <w:div w:id="439494264">
      <w:bodyDiv w:val="1"/>
      <w:marLeft w:val="0"/>
      <w:marRight w:val="0"/>
      <w:marTop w:val="0"/>
      <w:marBottom w:val="0"/>
      <w:divBdr>
        <w:top w:val="none" w:sz="0" w:space="0" w:color="auto"/>
        <w:left w:val="none" w:sz="0" w:space="0" w:color="auto"/>
        <w:bottom w:val="none" w:sz="0" w:space="0" w:color="auto"/>
        <w:right w:val="none" w:sz="0" w:space="0" w:color="auto"/>
      </w:divBdr>
    </w:div>
    <w:div w:id="474878710">
      <w:bodyDiv w:val="1"/>
      <w:marLeft w:val="0"/>
      <w:marRight w:val="0"/>
      <w:marTop w:val="0"/>
      <w:marBottom w:val="0"/>
      <w:divBdr>
        <w:top w:val="none" w:sz="0" w:space="0" w:color="auto"/>
        <w:left w:val="none" w:sz="0" w:space="0" w:color="auto"/>
        <w:bottom w:val="none" w:sz="0" w:space="0" w:color="auto"/>
        <w:right w:val="none" w:sz="0" w:space="0" w:color="auto"/>
      </w:divBdr>
    </w:div>
    <w:div w:id="601646496">
      <w:bodyDiv w:val="1"/>
      <w:marLeft w:val="0"/>
      <w:marRight w:val="0"/>
      <w:marTop w:val="0"/>
      <w:marBottom w:val="0"/>
      <w:divBdr>
        <w:top w:val="none" w:sz="0" w:space="0" w:color="auto"/>
        <w:left w:val="none" w:sz="0" w:space="0" w:color="auto"/>
        <w:bottom w:val="none" w:sz="0" w:space="0" w:color="auto"/>
        <w:right w:val="none" w:sz="0" w:space="0" w:color="auto"/>
      </w:divBdr>
    </w:div>
    <w:div w:id="640118252">
      <w:bodyDiv w:val="1"/>
      <w:marLeft w:val="0"/>
      <w:marRight w:val="0"/>
      <w:marTop w:val="0"/>
      <w:marBottom w:val="0"/>
      <w:divBdr>
        <w:top w:val="none" w:sz="0" w:space="0" w:color="auto"/>
        <w:left w:val="none" w:sz="0" w:space="0" w:color="auto"/>
        <w:bottom w:val="none" w:sz="0" w:space="0" w:color="auto"/>
        <w:right w:val="none" w:sz="0" w:space="0" w:color="auto"/>
      </w:divBdr>
    </w:div>
    <w:div w:id="699628650">
      <w:bodyDiv w:val="1"/>
      <w:marLeft w:val="0"/>
      <w:marRight w:val="0"/>
      <w:marTop w:val="0"/>
      <w:marBottom w:val="0"/>
      <w:divBdr>
        <w:top w:val="none" w:sz="0" w:space="0" w:color="auto"/>
        <w:left w:val="none" w:sz="0" w:space="0" w:color="auto"/>
        <w:bottom w:val="none" w:sz="0" w:space="0" w:color="auto"/>
        <w:right w:val="none" w:sz="0" w:space="0" w:color="auto"/>
      </w:divBdr>
    </w:div>
    <w:div w:id="834495687">
      <w:bodyDiv w:val="1"/>
      <w:marLeft w:val="0"/>
      <w:marRight w:val="0"/>
      <w:marTop w:val="0"/>
      <w:marBottom w:val="0"/>
      <w:divBdr>
        <w:top w:val="none" w:sz="0" w:space="0" w:color="auto"/>
        <w:left w:val="none" w:sz="0" w:space="0" w:color="auto"/>
        <w:bottom w:val="none" w:sz="0" w:space="0" w:color="auto"/>
        <w:right w:val="none" w:sz="0" w:space="0" w:color="auto"/>
      </w:divBdr>
    </w:div>
    <w:div w:id="862548324">
      <w:bodyDiv w:val="1"/>
      <w:marLeft w:val="0"/>
      <w:marRight w:val="0"/>
      <w:marTop w:val="0"/>
      <w:marBottom w:val="0"/>
      <w:divBdr>
        <w:top w:val="none" w:sz="0" w:space="0" w:color="auto"/>
        <w:left w:val="none" w:sz="0" w:space="0" w:color="auto"/>
        <w:bottom w:val="none" w:sz="0" w:space="0" w:color="auto"/>
        <w:right w:val="none" w:sz="0" w:space="0" w:color="auto"/>
      </w:divBdr>
    </w:div>
    <w:div w:id="864295724">
      <w:bodyDiv w:val="1"/>
      <w:marLeft w:val="0"/>
      <w:marRight w:val="0"/>
      <w:marTop w:val="0"/>
      <w:marBottom w:val="0"/>
      <w:divBdr>
        <w:top w:val="none" w:sz="0" w:space="0" w:color="auto"/>
        <w:left w:val="none" w:sz="0" w:space="0" w:color="auto"/>
        <w:bottom w:val="none" w:sz="0" w:space="0" w:color="auto"/>
        <w:right w:val="none" w:sz="0" w:space="0" w:color="auto"/>
      </w:divBdr>
    </w:div>
    <w:div w:id="872307527">
      <w:bodyDiv w:val="1"/>
      <w:marLeft w:val="0"/>
      <w:marRight w:val="0"/>
      <w:marTop w:val="0"/>
      <w:marBottom w:val="0"/>
      <w:divBdr>
        <w:top w:val="none" w:sz="0" w:space="0" w:color="auto"/>
        <w:left w:val="none" w:sz="0" w:space="0" w:color="auto"/>
        <w:bottom w:val="none" w:sz="0" w:space="0" w:color="auto"/>
        <w:right w:val="none" w:sz="0" w:space="0" w:color="auto"/>
      </w:divBdr>
    </w:div>
    <w:div w:id="956981916">
      <w:bodyDiv w:val="1"/>
      <w:marLeft w:val="0"/>
      <w:marRight w:val="0"/>
      <w:marTop w:val="0"/>
      <w:marBottom w:val="0"/>
      <w:divBdr>
        <w:top w:val="none" w:sz="0" w:space="0" w:color="auto"/>
        <w:left w:val="none" w:sz="0" w:space="0" w:color="auto"/>
        <w:bottom w:val="none" w:sz="0" w:space="0" w:color="auto"/>
        <w:right w:val="none" w:sz="0" w:space="0" w:color="auto"/>
      </w:divBdr>
    </w:div>
    <w:div w:id="974410794">
      <w:bodyDiv w:val="1"/>
      <w:marLeft w:val="0"/>
      <w:marRight w:val="0"/>
      <w:marTop w:val="0"/>
      <w:marBottom w:val="0"/>
      <w:divBdr>
        <w:top w:val="none" w:sz="0" w:space="0" w:color="auto"/>
        <w:left w:val="none" w:sz="0" w:space="0" w:color="auto"/>
        <w:bottom w:val="none" w:sz="0" w:space="0" w:color="auto"/>
        <w:right w:val="none" w:sz="0" w:space="0" w:color="auto"/>
      </w:divBdr>
    </w:div>
    <w:div w:id="1180506501">
      <w:bodyDiv w:val="1"/>
      <w:marLeft w:val="0"/>
      <w:marRight w:val="0"/>
      <w:marTop w:val="0"/>
      <w:marBottom w:val="0"/>
      <w:divBdr>
        <w:top w:val="none" w:sz="0" w:space="0" w:color="auto"/>
        <w:left w:val="none" w:sz="0" w:space="0" w:color="auto"/>
        <w:bottom w:val="none" w:sz="0" w:space="0" w:color="auto"/>
        <w:right w:val="none" w:sz="0" w:space="0" w:color="auto"/>
      </w:divBdr>
    </w:div>
    <w:div w:id="1506632568">
      <w:bodyDiv w:val="1"/>
      <w:marLeft w:val="0"/>
      <w:marRight w:val="0"/>
      <w:marTop w:val="0"/>
      <w:marBottom w:val="0"/>
      <w:divBdr>
        <w:top w:val="none" w:sz="0" w:space="0" w:color="auto"/>
        <w:left w:val="none" w:sz="0" w:space="0" w:color="auto"/>
        <w:bottom w:val="none" w:sz="0" w:space="0" w:color="auto"/>
        <w:right w:val="none" w:sz="0" w:space="0" w:color="auto"/>
      </w:divBdr>
    </w:div>
    <w:div w:id="1523545131">
      <w:bodyDiv w:val="1"/>
      <w:marLeft w:val="0"/>
      <w:marRight w:val="0"/>
      <w:marTop w:val="0"/>
      <w:marBottom w:val="0"/>
      <w:divBdr>
        <w:top w:val="none" w:sz="0" w:space="0" w:color="auto"/>
        <w:left w:val="none" w:sz="0" w:space="0" w:color="auto"/>
        <w:bottom w:val="none" w:sz="0" w:space="0" w:color="auto"/>
        <w:right w:val="none" w:sz="0" w:space="0" w:color="auto"/>
      </w:divBdr>
    </w:div>
    <w:div w:id="1665549476">
      <w:bodyDiv w:val="1"/>
      <w:marLeft w:val="0"/>
      <w:marRight w:val="0"/>
      <w:marTop w:val="0"/>
      <w:marBottom w:val="0"/>
      <w:divBdr>
        <w:top w:val="none" w:sz="0" w:space="0" w:color="auto"/>
        <w:left w:val="none" w:sz="0" w:space="0" w:color="auto"/>
        <w:bottom w:val="none" w:sz="0" w:space="0" w:color="auto"/>
        <w:right w:val="none" w:sz="0" w:space="0" w:color="auto"/>
      </w:divBdr>
    </w:div>
    <w:div w:id="1702364172">
      <w:bodyDiv w:val="1"/>
      <w:marLeft w:val="0"/>
      <w:marRight w:val="0"/>
      <w:marTop w:val="0"/>
      <w:marBottom w:val="0"/>
      <w:divBdr>
        <w:top w:val="none" w:sz="0" w:space="0" w:color="auto"/>
        <w:left w:val="none" w:sz="0" w:space="0" w:color="auto"/>
        <w:bottom w:val="none" w:sz="0" w:space="0" w:color="auto"/>
        <w:right w:val="none" w:sz="0" w:space="0" w:color="auto"/>
      </w:divBdr>
    </w:div>
    <w:div w:id="1877350609">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66883430">
      <w:bodyDiv w:val="1"/>
      <w:marLeft w:val="0"/>
      <w:marRight w:val="0"/>
      <w:marTop w:val="0"/>
      <w:marBottom w:val="0"/>
      <w:divBdr>
        <w:top w:val="none" w:sz="0" w:space="0" w:color="auto"/>
        <w:left w:val="none" w:sz="0" w:space="0" w:color="auto"/>
        <w:bottom w:val="none" w:sz="0" w:space="0" w:color="auto"/>
        <w:right w:val="none" w:sz="0" w:space="0" w:color="auto"/>
      </w:divBdr>
    </w:div>
    <w:div w:id="1995639615">
      <w:bodyDiv w:val="1"/>
      <w:marLeft w:val="0"/>
      <w:marRight w:val="0"/>
      <w:marTop w:val="0"/>
      <w:marBottom w:val="0"/>
      <w:divBdr>
        <w:top w:val="none" w:sz="0" w:space="0" w:color="auto"/>
        <w:left w:val="none" w:sz="0" w:space="0" w:color="auto"/>
        <w:bottom w:val="none" w:sz="0" w:space="0" w:color="auto"/>
        <w:right w:val="none" w:sz="0" w:space="0" w:color="auto"/>
      </w:divBdr>
    </w:div>
    <w:div w:id="1997761761">
      <w:bodyDiv w:val="1"/>
      <w:marLeft w:val="0"/>
      <w:marRight w:val="0"/>
      <w:marTop w:val="0"/>
      <w:marBottom w:val="0"/>
      <w:divBdr>
        <w:top w:val="none" w:sz="0" w:space="0" w:color="auto"/>
        <w:left w:val="none" w:sz="0" w:space="0" w:color="auto"/>
        <w:bottom w:val="none" w:sz="0" w:space="0" w:color="auto"/>
        <w:right w:val="none" w:sz="0" w:space="0" w:color="auto"/>
      </w:divBdr>
    </w:div>
    <w:div w:id="20613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mailto:medialiaison@treasury.gov.au"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regmod@treasury.gov.au"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mailto:regmod@treasury.gov.au"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pmc.gov.au/public-data" TargetMode="External"/><Relationship Id="rId2" Type="http://schemas.openxmlformats.org/officeDocument/2006/relationships/hyperlink" Target="https://www.finance.gov.au/government/managing-commonwealth-resources/managing-money-property/managing-money/australian-government-charging-framework" TargetMode="External"/><Relationship Id="rId1" Type="http://schemas.openxmlformats.org/officeDocument/2006/relationships/hyperlink" Target="https://treasury.gov.au/consultation/c2018-t341195" TargetMode="External"/><Relationship Id="rId6" Type="http://schemas.openxmlformats.org/officeDocument/2006/relationships/hyperlink" Target="https://treasury.gov.au/consultation/c2018-t354963" TargetMode="External"/><Relationship Id="rId5" Type="http://schemas.openxmlformats.org/officeDocument/2006/relationships/hyperlink" Target="https://treasury.gov.au/consultation/c2018-t341195" TargetMode="External"/><Relationship Id="rId4" Type="http://schemas.openxmlformats.org/officeDocument/2006/relationships/hyperlink" Target="https://treasury.gov.au/consultation/c2018-t3104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tweb/sites/mg/dp/project/500%20Registries%20modernisation/53%20Sustainable%20Funding/Administered%20revenue%20by%20Registry%20as%20at%2030.6.2021%20v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23503483202735E-2"/>
          <c:y val="0.14689113491576672"/>
          <c:w val="0.77190099735196127"/>
          <c:h val="0.63450179605575618"/>
        </c:manualLayout>
      </c:layout>
      <c:barChart>
        <c:barDir val="bar"/>
        <c:grouping val="percentStacked"/>
        <c:varyColors val="0"/>
        <c:ser>
          <c:idx val="0"/>
          <c:order val="0"/>
          <c:tx>
            <c:strRef>
              <c:f>Sheet1!$A$52</c:f>
              <c:strCache>
                <c:ptCount val="1"/>
                <c:pt idx="0">
                  <c:v>Registration, Review, and Renewal Fees</c:v>
                </c:pt>
              </c:strCache>
            </c:strRef>
          </c:tx>
          <c:spPr>
            <a:solidFill>
              <a:schemeClr val="accent1"/>
            </a:solidFill>
            <a:ln>
              <a:noFill/>
            </a:ln>
            <a:effectLst/>
          </c:spPr>
          <c:invertIfNegative val="0"/>
          <c:dLbls>
            <c:dLbl>
              <c:idx val="0"/>
              <c:layout>
                <c:manualLayout>
                  <c:x val="4.4035253438857239E-3"/>
                  <c:y val="-0.26623658936107608"/>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8308-40B4-8172-C88B25B4C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 $2 </c:v>
              </c:pt>
              <c:extLst>
                <c:ext xmlns:c15="http://schemas.microsoft.com/office/drawing/2012/chart" uri="{02D57815-91ED-43cb-92C2-25804820EDAC}">
                  <c15:autoCat val="1"/>
                </c:ext>
              </c:extLst>
            </c:strLit>
          </c:cat>
          <c:val>
            <c:numRef>
              <c:f>Sheet1!$B$52:$C$52</c:f>
              <c:numCache>
                <c:formatCode>0.0%</c:formatCode>
                <c:ptCount val="1"/>
                <c:pt idx="0">
                  <c:v>0.81331917378405705</c:v>
                </c:pt>
              </c:numCache>
            </c:numRef>
          </c:val>
          <c:extLst>
            <c:ext xmlns:c16="http://schemas.microsoft.com/office/drawing/2014/chart" uri="{C3380CC4-5D6E-409C-BE32-E72D297353CC}">
              <c16:uniqueId val="{00000001-8308-40B4-8172-C88B25B4C778}"/>
            </c:ext>
          </c:extLst>
        </c:ser>
        <c:ser>
          <c:idx val="1"/>
          <c:order val="1"/>
          <c:tx>
            <c:strRef>
              <c:f>Sheet1!$A$53</c:f>
              <c:strCache>
                <c:ptCount val="1"/>
                <c:pt idx="0">
                  <c:v>Late Fees</c:v>
                </c:pt>
              </c:strCache>
            </c:strRef>
          </c:tx>
          <c:spPr>
            <a:solidFill>
              <a:schemeClr val="accent2"/>
            </a:solidFill>
            <a:ln>
              <a:noFill/>
            </a:ln>
            <a:effectLst/>
          </c:spPr>
          <c:invertIfNegative val="0"/>
          <c:dLbls>
            <c:dLbl>
              <c:idx val="0"/>
              <c:layout>
                <c:manualLayout>
                  <c:x val="-4.4035213608059898E-3"/>
                  <c:y val="0.19801986373114966"/>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8308-40B4-8172-C88B25B4C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Sheet1!$B$53:$C$53</c:f>
              <c:numCache>
                <c:formatCode>0.0%</c:formatCode>
                <c:ptCount val="1"/>
                <c:pt idx="0">
                  <c:v>0.11546260003666364</c:v>
                </c:pt>
              </c:numCache>
            </c:numRef>
          </c:val>
          <c:extLst>
            <c:ext xmlns:c16="http://schemas.microsoft.com/office/drawing/2014/chart" uri="{C3380CC4-5D6E-409C-BE32-E72D297353CC}">
              <c16:uniqueId val="{00000003-8308-40B4-8172-C88B25B4C778}"/>
            </c:ext>
          </c:extLst>
        </c:ser>
        <c:ser>
          <c:idx val="2"/>
          <c:order val="2"/>
          <c:tx>
            <c:strRef>
              <c:f>Sheet1!$A$54</c:f>
              <c:strCache>
                <c:ptCount val="1"/>
                <c:pt idx="0">
                  <c:v>Search Fees</c:v>
                </c:pt>
              </c:strCache>
            </c:strRef>
          </c:tx>
          <c:spPr>
            <a:solidFill>
              <a:schemeClr val="accent3"/>
            </a:solidFill>
            <a:ln>
              <a:noFill/>
            </a:ln>
            <a:effectLst/>
          </c:spPr>
          <c:invertIfNegative val="0"/>
          <c:dLbls>
            <c:dLbl>
              <c:idx val="0"/>
              <c:layout>
                <c:manualLayout>
                  <c:x val="0"/>
                  <c:y val="-0.20594065828039546"/>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8308-40B4-8172-C88B25B4C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Sheet1!$B$54:$C$54</c:f>
              <c:numCache>
                <c:formatCode>0.0%</c:formatCode>
                <c:ptCount val="1"/>
                <c:pt idx="0">
                  <c:v>6.004924906989443E-2</c:v>
                </c:pt>
              </c:numCache>
            </c:numRef>
          </c:val>
          <c:extLst>
            <c:ext xmlns:c16="http://schemas.microsoft.com/office/drawing/2014/chart" uri="{C3380CC4-5D6E-409C-BE32-E72D297353CC}">
              <c16:uniqueId val="{00000005-8308-40B4-8172-C88B25B4C778}"/>
            </c:ext>
          </c:extLst>
        </c:ser>
        <c:ser>
          <c:idx val="3"/>
          <c:order val="3"/>
          <c:tx>
            <c:strRef>
              <c:f>Sheet1!$A$55</c:f>
              <c:strCache>
                <c:ptCount val="1"/>
                <c:pt idx="0">
                  <c:v>Lifecycle Fees</c:v>
                </c:pt>
              </c:strCache>
            </c:strRef>
          </c:tx>
          <c:spPr>
            <a:solidFill>
              <a:schemeClr val="accent4"/>
            </a:solidFill>
            <a:ln>
              <a:noFill/>
            </a:ln>
            <a:effectLst/>
          </c:spPr>
          <c:invertIfNegative val="0"/>
          <c:dLbls>
            <c:dLbl>
              <c:idx val="0"/>
              <c:layout>
                <c:manualLayout>
                  <c:x val="0.10128099129853776"/>
                  <c:y val="1.980198637311488E-2"/>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8308-40B4-8172-C88B25B4C7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Sheet1!$B$55:$C$55</c:f>
              <c:numCache>
                <c:formatCode>0.0%</c:formatCode>
                <c:ptCount val="1"/>
                <c:pt idx="0">
                  <c:v>1.1168977109384913E-2</c:v>
                </c:pt>
              </c:numCache>
            </c:numRef>
          </c:val>
          <c:extLst>
            <c:ext xmlns:c16="http://schemas.microsoft.com/office/drawing/2014/chart" uri="{C3380CC4-5D6E-409C-BE32-E72D297353CC}">
              <c16:uniqueId val="{00000007-8308-40B4-8172-C88B25B4C778}"/>
            </c:ext>
          </c:extLst>
        </c:ser>
        <c:dLbls>
          <c:dLblPos val="ctr"/>
          <c:showLegendKey val="0"/>
          <c:showVal val="1"/>
          <c:showCatName val="0"/>
          <c:showSerName val="0"/>
          <c:showPercent val="0"/>
          <c:showBubbleSize val="0"/>
        </c:dLbls>
        <c:gapWidth val="150"/>
        <c:overlap val="100"/>
        <c:axId val="485027296"/>
        <c:axId val="485026640"/>
      </c:barChart>
      <c:catAx>
        <c:axId val="485027296"/>
        <c:scaling>
          <c:orientation val="minMax"/>
        </c:scaling>
        <c:delete val="1"/>
        <c:axPos val="l"/>
        <c:numFmt formatCode="General" sourceLinked="1"/>
        <c:majorTickMark val="none"/>
        <c:minorTickMark val="none"/>
        <c:tickLblPos val="nextTo"/>
        <c:crossAx val="485026640"/>
        <c:crosses val="autoZero"/>
        <c:auto val="1"/>
        <c:lblAlgn val="ctr"/>
        <c:lblOffset val="100"/>
        <c:noMultiLvlLbl val="0"/>
      </c:catAx>
      <c:valAx>
        <c:axId val="485026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2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2B968436974ACEBBAD61F6C6D4B286"/>
        <w:category>
          <w:name w:val="General"/>
          <w:gallery w:val="placeholder"/>
        </w:category>
        <w:types>
          <w:type w:val="bbPlcHdr"/>
        </w:types>
        <w:behaviors>
          <w:behavior w:val="content"/>
        </w:behaviors>
        <w:guid w:val="{8E19FFB9-68F5-4385-ACD7-01A6BA57D951}"/>
      </w:docPartPr>
      <w:docPartBody>
        <w:p w:rsidR="00CE5596" w:rsidRDefault="00CE5596">
          <w:pPr>
            <w:pStyle w:val="3B2B968436974ACEBBAD61F6C6D4B286"/>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96"/>
    <w:rsid w:val="0031679D"/>
    <w:rsid w:val="0047201F"/>
    <w:rsid w:val="004B6345"/>
    <w:rsid w:val="004D24C6"/>
    <w:rsid w:val="004E64D5"/>
    <w:rsid w:val="0051640D"/>
    <w:rsid w:val="005456D7"/>
    <w:rsid w:val="005A0B5A"/>
    <w:rsid w:val="007661D0"/>
    <w:rsid w:val="007C050B"/>
    <w:rsid w:val="008727C6"/>
    <w:rsid w:val="00952257"/>
    <w:rsid w:val="00A31A77"/>
    <w:rsid w:val="00A47FC3"/>
    <w:rsid w:val="00AE0977"/>
    <w:rsid w:val="00B512C2"/>
    <w:rsid w:val="00BA22F6"/>
    <w:rsid w:val="00C839A6"/>
    <w:rsid w:val="00CE5596"/>
    <w:rsid w:val="00DE7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2B968436974ACEBBAD61F6C6D4B286">
    <w:name w:val="3B2B968436974ACEBBAD61F6C6D4B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15</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RA-9286 - Destroy 30 years after action completed</TermName>
          <TermId xmlns="http://schemas.microsoft.com/office/infopath/2007/PartnerControls">25f6becb-d27e-4b14-8184-7aaf4a836cb6</TermId>
        </TermInfo>
      </Terms>
    </lb508a4dc5e84436a0fe496b536466aa>
    <_dlc_DocId xmlns="0f563589-9cf9-4143-b1eb-fb0534803d38">2021MG-211-11883</_dlc_DocId>
    <_dlc_DocIdUrl xmlns="0f563589-9cf9-4143-b1eb-fb0534803d38">
      <Url>http://tweb/sites/mg/dp/_layouts/15/DocIdRedir.aspx?ID=2021MG-211-11883</Url>
      <Description>2021MG-211-11883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26EFBF102293724BA14D3AC4224A6253" ma:contentTypeVersion="43183" ma:contentTypeDescription="" ma:contentTypeScope="" ma:versionID="a791f578c0fe77f7ad062d73970724c6">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fbc3244b7a8c9ee1c659f2211eab4db1"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950A0-BFF6-4AC9-97D7-4C0A1F8A9E73}">
  <ds:schemaRefs>
    <ds:schemaRef ds:uri="office.server.policy"/>
  </ds:schemaRefs>
</ds:datastoreItem>
</file>

<file path=customXml/itemProps2.xml><?xml version="1.0" encoding="utf-8"?>
<ds:datastoreItem xmlns:ds="http://schemas.openxmlformats.org/officeDocument/2006/customXml" ds:itemID="{27A61E1F-A004-498D-82C4-529993CA3AF1}">
  <ds:schemaRefs>
    <ds:schemaRef ds:uri="http://schemas.microsoft.com/sharepoint/v3/contenttype/forms"/>
  </ds:schemaRefs>
</ds:datastoreItem>
</file>

<file path=customXml/itemProps3.xml><?xml version="1.0" encoding="utf-8"?>
<ds:datastoreItem xmlns:ds="http://schemas.openxmlformats.org/officeDocument/2006/customXml" ds:itemID="{294385CA-7FBF-40BE-9E2A-200E6D0172FF}">
  <ds:schemaRefs>
    <ds:schemaRef ds:uri="http://purl.org/dc/terms/"/>
    <ds:schemaRef ds:uri="http://schemas.microsoft.com/sharepoint/v4"/>
    <ds:schemaRef ds:uri="http://schemas.microsoft.com/office/2006/documentManagement/types"/>
    <ds:schemaRef ds:uri="d4dd4adf-ddb3-46a3-8d7c-fab3fb2a6bc7"/>
    <ds:schemaRef ds:uri="http://schemas.microsoft.com/office/infopath/2007/PartnerControls"/>
    <ds:schemaRef ds:uri="http://purl.org/dc/elements/1.1/"/>
    <ds:schemaRef ds:uri="0f563589-9cf9-4143-b1eb-fb0534803d38"/>
    <ds:schemaRef ds:uri="http://schemas.microsoft.com/office/2006/metadata/propertie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DAB99659-C460-465F-AEE4-508E3EDB13B1}">
  <ds:schemaRefs>
    <ds:schemaRef ds:uri="http://schemas.microsoft.com/sharepoint/events"/>
  </ds:schemaRefs>
</ds:datastoreItem>
</file>

<file path=customXml/itemProps5.xml><?xml version="1.0" encoding="utf-8"?>
<ds:datastoreItem xmlns:ds="http://schemas.openxmlformats.org/officeDocument/2006/customXml" ds:itemID="{C399E87C-5971-4401-8359-B17625463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85DFFC4-484A-4894-A238-B0CC06A0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697</TotalTime>
  <Pages>18</Pages>
  <Words>4907</Words>
  <Characters>26698</Characters>
  <Application>Microsoft Office Word</Application>
  <DocSecurity>0</DocSecurity>
  <Lines>733</Lines>
  <Paragraphs>371</Paragraphs>
  <ScaleCrop>false</ScaleCrop>
  <HeadingPairs>
    <vt:vector size="2" baseType="variant">
      <vt:variant>
        <vt:lpstr>Title</vt:lpstr>
      </vt:variant>
      <vt:variant>
        <vt:i4>1</vt:i4>
      </vt:variant>
    </vt:vector>
  </HeadingPairs>
  <TitlesOfParts>
    <vt:vector size="1" baseType="lpstr">
      <vt:lpstr>Modernising Registry Fees - December 2021</vt:lpstr>
    </vt:vector>
  </TitlesOfParts>
  <Company>Australian Government - The Treasury</Company>
  <LinksUpToDate>false</LinksUpToDate>
  <CharactersWithSpaces>31308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Modernising Registry Fees - December 2021</dc:title>
  <dc:subject>Discussion Paper</dc:subject>
  <dc:creator>Treasury</dc:creator>
  <cp:keywords/>
  <dc:description/>
  <cp:lastModifiedBy>Hill, Christine</cp:lastModifiedBy>
  <cp:revision>24</cp:revision>
  <dcterms:created xsi:type="dcterms:W3CDTF">2021-12-07T01:03:00Z</dcterms:created>
  <dcterms:modified xsi:type="dcterms:W3CDTF">2021-12-20T21:24:00Z</dcterms:modified>
  <cp:category/>
</cp:coreProperties>
</file>