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C91E9" w14:textId="77777777" w:rsidR="008C753A" w:rsidRPr="00CF5D27" w:rsidRDefault="008C753A" w:rsidP="008C753A">
      <w:pPr>
        <w:pStyle w:val="Factsheettitle"/>
        <w:spacing w:before="1080"/>
      </w:pPr>
      <w:r w:rsidRPr="00772A1B">
        <w:t>Reinsurance pool for cyclones and related flood damage</w:t>
      </w:r>
    </w:p>
    <w:sdt>
      <w:sdtPr>
        <w:rPr>
          <w:rFonts w:eastAsia="Times New Roman" w:cs="Times New Roman"/>
          <w:b/>
          <w:noProof w:val="0"/>
          <w:color w:val="auto"/>
          <w:spacing w:val="0"/>
          <w:kern w:val="0"/>
          <w:sz w:val="22"/>
          <w:szCs w:val="20"/>
          <w:lang w:eastAsia="en-US"/>
        </w:rPr>
        <w:id w:val="-385645642"/>
        <w:docPartObj>
          <w:docPartGallery w:val="Cover Pages"/>
          <w:docPartUnique/>
        </w:docPartObj>
      </w:sdtPr>
      <w:sdtEndPr>
        <w:rPr>
          <w:rFonts w:eastAsiaTheme="minorHAnsi"/>
          <w:b w:val="0"/>
          <w:color w:val="0D0D0D" w:themeColor="text1" w:themeTint="F2"/>
        </w:rPr>
      </w:sdtEndPr>
      <w:sdtContent>
        <w:p w14:paraId="6ED6A089" w14:textId="77777777" w:rsidR="008C753A" w:rsidRPr="00064E05" w:rsidRDefault="008C753A" w:rsidP="008C753A">
          <w:pPr>
            <w:pStyle w:val="Title"/>
            <w:jc w:val="left"/>
          </w:pPr>
        </w:p>
        <w:p w14:paraId="3AD9A294" w14:textId="77777777" w:rsidR="008C753A" w:rsidRPr="00550BDC" w:rsidRDefault="008C753A" w:rsidP="008C753A">
          <w:pPr>
            <w:pStyle w:val="Heading2"/>
          </w:pPr>
          <w:r>
            <w:t xml:space="preserve">Improving </w:t>
          </w:r>
          <w:r w:rsidRPr="00550BDC">
            <w:t xml:space="preserve">insurance </w:t>
          </w:r>
          <w:r w:rsidRPr="00064E05">
            <w:t xml:space="preserve">affordability for </w:t>
          </w:r>
          <w:r>
            <w:t>n</w:t>
          </w:r>
          <w:r w:rsidRPr="00064E05">
            <w:t xml:space="preserve">orthern </w:t>
          </w:r>
          <w:r w:rsidRPr="008C01A6">
            <w:t>Australia</w:t>
          </w:r>
        </w:p>
        <w:p w14:paraId="4A3ED684" w14:textId="77777777" w:rsidR="008C753A" w:rsidRDefault="008C753A" w:rsidP="008C753A">
          <w:pPr>
            <w:jc w:val="both"/>
          </w:pPr>
          <w:r>
            <w:t xml:space="preserve">The Government is implementing a reinsurance pool for cyclones and related flood damage, which will be backed by </w:t>
          </w:r>
          <w:r w:rsidRPr="004673AE">
            <w:t xml:space="preserve">a $10 billion Government guarantee and </w:t>
          </w:r>
          <w:r>
            <w:t>cover household</w:t>
          </w:r>
          <w:r w:rsidRPr="004673AE">
            <w:t xml:space="preserve">, </w:t>
          </w:r>
          <w:r>
            <w:t xml:space="preserve">residential </w:t>
          </w:r>
          <w:r w:rsidRPr="004673AE">
            <w:t>strata and small business property insurance policies.</w:t>
          </w:r>
        </w:p>
        <w:p w14:paraId="67B85C1E" w14:textId="77777777" w:rsidR="008B6B7D" w:rsidRDefault="008C753A" w:rsidP="008C753A">
          <w:pPr>
            <w:jc w:val="both"/>
          </w:pPr>
          <w:r w:rsidRPr="00D17AC4">
            <w:t xml:space="preserve">The Australian Reinsurance Pool Corporation (ARPC) will operate the pool from 1 July 2022. </w:t>
          </w:r>
          <w:r w:rsidR="008B6B7D" w:rsidRPr="00D17AC4">
            <w:t>The pool will improve the accessibility and affordability of insurance for households and small businesses in cyclone-prone areas across Australia.</w:t>
          </w:r>
        </w:p>
        <w:p w14:paraId="26B2E6C2" w14:textId="77777777" w:rsidR="008C753A" w:rsidRPr="00064E05" w:rsidRDefault="008C753A" w:rsidP="008C753A">
          <w:pPr>
            <w:pStyle w:val="Heading2"/>
            <w:spacing w:before="240"/>
          </w:pPr>
          <w:r>
            <w:t>Driving down premiums for cyclones and related flood damage</w:t>
          </w:r>
        </w:p>
        <w:p w14:paraId="384B5D9E" w14:textId="77777777" w:rsidR="008C753A" w:rsidRPr="00C21C88" w:rsidRDefault="008C753A" w:rsidP="008C753A">
          <w:pPr>
            <w:jc w:val="both"/>
          </w:pPr>
          <w:r w:rsidRPr="00C21C88">
            <w:t>The pool will cover cyclone and related flood damage. This includes wind, rain, rainwater, rainwater run-off, storm surge, and riverine flood damage caused by a cyclone. </w:t>
          </w:r>
        </w:p>
        <w:p w14:paraId="3E5358A1" w14:textId="77777777" w:rsidR="008C753A" w:rsidRDefault="008C753A" w:rsidP="008C753A">
          <w:pPr>
            <w:jc w:val="both"/>
          </w:pPr>
          <w:r>
            <w:t>Australia’s weather agency,</w:t>
          </w:r>
          <w:r w:rsidRPr="00C21C88">
            <w:t xml:space="preserve"> the Bureau of Meteorology (BoM</w:t>
          </w:r>
          <w:r>
            <w:t>), will observe when</w:t>
          </w:r>
          <w:r w:rsidRPr="00C21C88">
            <w:t xml:space="preserve"> a cyclone</w:t>
          </w:r>
          <w:r>
            <w:t xml:space="preserve"> begins and ends</w:t>
          </w:r>
          <w:r w:rsidRPr="00C21C88">
            <w:t xml:space="preserve">. </w:t>
          </w:r>
        </w:p>
        <w:p w14:paraId="1E7BF75A" w14:textId="77777777" w:rsidR="008C753A" w:rsidRDefault="008C753A" w:rsidP="008C753A">
          <w:pPr>
            <w:jc w:val="both"/>
          </w:pPr>
          <w:r>
            <w:t>The pool will cover claims for cyclone and related flood damage arising during a cyclone event, which lasts from the time a cyclone begins until 48 hours after the cyclone ends.</w:t>
          </w:r>
        </w:p>
        <w:p w14:paraId="14CCE987" w14:textId="77777777" w:rsidR="008C753A" w:rsidRDefault="008C753A" w:rsidP="008C753A">
          <w:pPr>
            <w:pStyle w:val="Heading2"/>
            <w:spacing w:before="240"/>
          </w:pPr>
          <w:r>
            <w:t>Benefitting households, strata and small businesses</w:t>
          </w:r>
        </w:p>
        <w:p w14:paraId="14278B81" w14:textId="77777777" w:rsidR="008C753A" w:rsidRPr="00611EB7" w:rsidRDefault="008C753A" w:rsidP="008C753A">
          <w:pPr>
            <w:jc w:val="both"/>
          </w:pPr>
          <w:r w:rsidRPr="00611EB7">
            <w:t>The pool will cover</w:t>
          </w:r>
          <w:r>
            <w:t xml:space="preserve"> </w:t>
          </w:r>
          <w:r w:rsidRPr="00611EB7">
            <w:t>household, residential strata and small business property policies. This includes:</w:t>
          </w:r>
        </w:p>
        <w:p w14:paraId="4C1F94D3" w14:textId="77777777" w:rsidR="008C753A" w:rsidRPr="00611EB7" w:rsidRDefault="008C753A" w:rsidP="008C753A">
          <w:pPr>
            <w:pStyle w:val="Bullet"/>
            <w:numPr>
              <w:ilvl w:val="0"/>
              <w:numId w:val="21"/>
            </w:numPr>
            <w:spacing w:after="80" w:line="240" w:lineRule="auto"/>
            <w:jc w:val="both"/>
            <w:rPr>
              <w:rStyle w:val="normaltextrun"/>
              <w:rFonts w:eastAsiaTheme="minorHAnsi" w:cs="Calibri"/>
              <w:szCs w:val="22"/>
              <w:lang w:eastAsia="en-US"/>
            </w:rPr>
          </w:pPr>
          <w:r>
            <w:rPr>
              <w:rStyle w:val="normaltextrun"/>
              <w:rFonts w:cs="Calibri"/>
              <w:szCs w:val="22"/>
            </w:rPr>
            <w:t>r</w:t>
          </w:r>
          <w:r w:rsidRPr="00611EB7">
            <w:rPr>
              <w:rStyle w:val="normaltextrun"/>
              <w:rFonts w:cs="Calibri"/>
              <w:szCs w:val="22"/>
            </w:rPr>
            <w:t>esidential home and contents, including landlord insurance and farm residential cover</w:t>
          </w:r>
          <w:r>
            <w:rPr>
              <w:rStyle w:val="normaltextrun"/>
              <w:rFonts w:cs="Calibri"/>
              <w:szCs w:val="22"/>
            </w:rPr>
            <w:t>;</w:t>
          </w:r>
        </w:p>
        <w:p w14:paraId="729D4EFF" w14:textId="77777777" w:rsidR="008C753A" w:rsidRPr="00611EB7" w:rsidRDefault="008C753A" w:rsidP="008C753A">
          <w:pPr>
            <w:pStyle w:val="Bullet"/>
            <w:numPr>
              <w:ilvl w:val="0"/>
              <w:numId w:val="21"/>
            </w:numPr>
            <w:spacing w:before="0" w:after="80" w:line="240" w:lineRule="auto"/>
            <w:jc w:val="both"/>
            <w:rPr>
              <w:rStyle w:val="normaltextrun"/>
              <w:rFonts w:cs="Calibri"/>
              <w:szCs w:val="22"/>
            </w:rPr>
          </w:pPr>
          <w:r>
            <w:rPr>
              <w:rStyle w:val="normaltextrun"/>
              <w:rFonts w:cs="Calibri"/>
              <w:szCs w:val="22"/>
            </w:rPr>
            <w:t>c</w:t>
          </w:r>
          <w:r w:rsidRPr="00611EB7">
            <w:rPr>
              <w:rStyle w:val="normaltextrun"/>
              <w:rFonts w:cs="Calibri"/>
              <w:szCs w:val="22"/>
            </w:rPr>
            <w:t xml:space="preserve">ommercial property policies with less than $5 million total sum insured across </w:t>
          </w:r>
          <w:r>
            <w:rPr>
              <w:rStyle w:val="normaltextrun"/>
              <w:rFonts w:cs="Calibri"/>
              <w:szCs w:val="22"/>
            </w:rPr>
            <w:t xml:space="preserve">risks </w:t>
          </w:r>
          <w:r w:rsidRPr="00611EB7">
            <w:rPr>
              <w:rStyle w:val="normaltextrun"/>
              <w:rFonts w:cs="Calibri"/>
              <w:szCs w:val="22"/>
            </w:rPr>
            <w:t xml:space="preserve">covered </w:t>
          </w:r>
          <w:r>
            <w:rPr>
              <w:rStyle w:val="normaltextrun"/>
              <w:rFonts w:cs="Calibri"/>
              <w:szCs w:val="22"/>
            </w:rPr>
            <w:t xml:space="preserve">by the pool </w:t>
          </w:r>
          <w:r w:rsidRPr="00611EB7">
            <w:rPr>
              <w:rStyle w:val="normaltextrun"/>
              <w:rFonts w:cs="Calibri"/>
              <w:szCs w:val="22"/>
            </w:rPr>
            <w:t>(property, contents, and business interruption</w:t>
          </w:r>
          <w:r>
            <w:rPr>
              <w:rStyle w:val="normaltextrun"/>
              <w:rFonts w:cs="Calibri"/>
              <w:szCs w:val="22"/>
            </w:rPr>
            <w:t>); and</w:t>
          </w:r>
        </w:p>
        <w:p w14:paraId="17EC7F81" w14:textId="77777777" w:rsidR="008C753A" w:rsidRPr="007C104A" w:rsidRDefault="008C753A" w:rsidP="008C753A">
          <w:pPr>
            <w:pStyle w:val="Bullet"/>
            <w:numPr>
              <w:ilvl w:val="0"/>
              <w:numId w:val="21"/>
            </w:numPr>
            <w:spacing w:before="0" w:after="80" w:line="240" w:lineRule="auto"/>
            <w:jc w:val="both"/>
            <w:rPr>
              <w:rStyle w:val="normaltextrun"/>
              <w:rFonts w:cs="Calibri"/>
              <w:szCs w:val="22"/>
            </w:rPr>
          </w:pPr>
          <w:r>
            <w:rPr>
              <w:rStyle w:val="normaltextrun"/>
              <w:rFonts w:cs="Calibri"/>
              <w:szCs w:val="22"/>
            </w:rPr>
            <w:t>r</w:t>
          </w:r>
          <w:r w:rsidRPr="00611EB7">
            <w:rPr>
              <w:rStyle w:val="normaltextrun"/>
              <w:rFonts w:cs="Calibri"/>
              <w:szCs w:val="22"/>
            </w:rPr>
            <w:t>esidential strata</w:t>
          </w:r>
          <w:r>
            <w:rPr>
              <w:rStyle w:val="normaltextrun"/>
              <w:rFonts w:cs="Calibri"/>
              <w:szCs w:val="22"/>
            </w:rPr>
            <w:t xml:space="preserve">, including </w:t>
          </w:r>
          <w:r w:rsidRPr="00611EB7">
            <w:rPr>
              <w:rStyle w:val="normaltextrun"/>
              <w:rFonts w:cs="Calibri"/>
              <w:szCs w:val="22"/>
            </w:rPr>
            <w:t>mixed-use strata schemes</w:t>
          </w:r>
          <w:r>
            <w:rPr>
              <w:rStyle w:val="normaltextrun"/>
              <w:rFonts w:cs="Calibri"/>
              <w:szCs w:val="22"/>
            </w:rPr>
            <w:t>,</w:t>
          </w:r>
          <w:r w:rsidRPr="00611EB7">
            <w:rPr>
              <w:rStyle w:val="normaltextrun"/>
              <w:rFonts w:cs="Calibri"/>
              <w:szCs w:val="22"/>
            </w:rPr>
            <w:t> where 80 per cent or more of floor space is used</w:t>
          </w:r>
          <w:r>
            <w:rPr>
              <w:rStyle w:val="normaltextrun"/>
              <w:rFonts w:cs="Calibri"/>
              <w:szCs w:val="22"/>
            </w:rPr>
            <w:t xml:space="preserve"> mainly</w:t>
          </w:r>
          <w:r w:rsidRPr="00611EB7">
            <w:rPr>
              <w:rStyle w:val="normaltextrun"/>
              <w:rFonts w:cs="Calibri"/>
              <w:szCs w:val="22"/>
            </w:rPr>
            <w:t xml:space="preserve"> for residential purposes</w:t>
          </w:r>
          <w:r>
            <w:rPr>
              <w:rStyle w:val="normaltextrun"/>
              <w:rFonts w:cs="Calibri"/>
              <w:szCs w:val="22"/>
            </w:rPr>
            <w:t>.</w:t>
          </w:r>
        </w:p>
        <w:p w14:paraId="66E43CDF" w14:textId="77777777" w:rsidR="008C753A" w:rsidRPr="00064E05" w:rsidRDefault="008C753A" w:rsidP="008C753A">
          <w:pPr>
            <w:pStyle w:val="Bullet"/>
            <w:numPr>
              <w:ilvl w:val="0"/>
              <w:numId w:val="0"/>
            </w:numPr>
            <w:jc w:val="both"/>
          </w:pPr>
          <w:r>
            <w:t>Coverage for small business marine property insurance policies will be included from 1 July 2023.</w:t>
          </w:r>
        </w:p>
        <w:p w14:paraId="5D001C03" w14:textId="77777777" w:rsidR="00901494" w:rsidRPr="00901494" w:rsidRDefault="00901494" w:rsidP="008C753A">
          <w:pPr>
            <w:pStyle w:val="Bullet"/>
            <w:numPr>
              <w:ilvl w:val="0"/>
              <w:numId w:val="0"/>
            </w:numPr>
            <w:jc w:val="both"/>
          </w:pPr>
          <w:r>
            <w:t xml:space="preserve">See </w:t>
          </w:r>
          <w:r>
            <w:rPr>
              <w:u w:val="single"/>
            </w:rPr>
            <w:t>Attachment A</w:t>
          </w:r>
          <w:r>
            <w:t xml:space="preserve"> for further detail.</w:t>
          </w:r>
        </w:p>
        <w:p w14:paraId="683F9998" w14:textId="77777777" w:rsidR="008C753A" w:rsidRPr="00064E05" w:rsidRDefault="008C753A" w:rsidP="008C753A">
          <w:pPr>
            <w:pStyle w:val="Heading2"/>
            <w:spacing w:before="240"/>
          </w:pPr>
          <w:r>
            <w:t xml:space="preserve">Insurers will be required to participate to maximise premium savings </w:t>
          </w:r>
        </w:p>
        <w:p w14:paraId="6AF45BBF" w14:textId="77777777" w:rsidR="008C753A" w:rsidRPr="002E601F" w:rsidRDefault="008C753A" w:rsidP="008C753A">
          <w:pPr>
            <w:jc w:val="both"/>
            <w:rPr>
              <w:highlight w:val="yellow"/>
            </w:rPr>
          </w:pPr>
          <w:r>
            <w:t xml:space="preserve">Participation will be </w:t>
          </w:r>
          <w:r w:rsidRPr="004041FD">
            <w:t xml:space="preserve">mandatory for </w:t>
          </w:r>
          <w:r w:rsidRPr="00FF7AB6">
            <w:t>general</w:t>
          </w:r>
          <w:r>
            <w:t xml:space="preserve"> insurers with eligible policies.</w:t>
          </w:r>
          <w:r w:rsidR="008B6B7D">
            <w:t xml:space="preserve"> </w:t>
          </w:r>
          <w:r w:rsidR="008B6B7D" w:rsidRPr="00D17AC4">
            <w:t xml:space="preserve">Insurers can include </w:t>
          </w:r>
          <w:r w:rsidR="00D17AC4" w:rsidRPr="00D17AC4">
            <w:t>cyclone</w:t>
          </w:r>
          <w:r w:rsidR="00D17AC4" w:rsidRPr="00D17AC4">
            <w:noBreakHyphen/>
          </w:r>
          <w:r w:rsidR="008B6B7D" w:rsidRPr="00D17AC4">
            <w:t>risk policies in the pool from 1 July 2022.</w:t>
          </w:r>
        </w:p>
        <w:p w14:paraId="3B708E12" w14:textId="77777777" w:rsidR="008C753A" w:rsidRPr="00D17AC4" w:rsidRDefault="008C753A" w:rsidP="008C753A">
          <w:pPr>
            <w:jc w:val="both"/>
          </w:pPr>
          <w:r w:rsidRPr="00D17AC4">
            <w:t>L</w:t>
          </w:r>
          <w:r w:rsidR="00D17AC4" w:rsidRPr="00D17AC4">
            <w:t xml:space="preserve">arge insurers will have </w:t>
          </w:r>
          <w:r w:rsidR="008B6B7D" w:rsidRPr="00D17AC4">
            <w:t xml:space="preserve">until </w:t>
          </w:r>
          <w:r w:rsidRPr="00D17AC4">
            <w:t>31 December 2023</w:t>
          </w:r>
          <w:r w:rsidR="008B6B7D" w:rsidRPr="00D17AC4">
            <w:t xml:space="preserve"> to have all cyclone-risk policies in the pool</w:t>
          </w:r>
          <w:r w:rsidRPr="00D17AC4">
            <w:t xml:space="preserve">. Small insurers will </w:t>
          </w:r>
          <w:r w:rsidR="00D17AC4">
            <w:t xml:space="preserve">have </w:t>
          </w:r>
          <w:r w:rsidR="008B6B7D" w:rsidRPr="00D17AC4">
            <w:t xml:space="preserve">until </w:t>
          </w:r>
          <w:r w:rsidRPr="00D17AC4">
            <w:t>31 December 2024.</w:t>
          </w:r>
        </w:p>
        <w:p w14:paraId="680720BA" w14:textId="77777777" w:rsidR="008C753A" w:rsidRDefault="008C753A" w:rsidP="008C753A">
          <w:pPr>
            <w:jc w:val="both"/>
          </w:pPr>
          <w:r w:rsidRPr="00D17AC4">
            <w:t>Policyholders will continue to have freedom to choose t</w:t>
          </w:r>
          <w:r w:rsidR="008B6B7D" w:rsidRPr="00D17AC4">
            <w:t xml:space="preserve">heir insurer, and insurers will </w:t>
          </w:r>
          <w:r w:rsidR="002E601F" w:rsidRPr="00D17AC4">
            <w:t xml:space="preserve">continue </w:t>
          </w:r>
          <w:r w:rsidR="008B6B7D" w:rsidRPr="00D17AC4">
            <w:t xml:space="preserve">to </w:t>
          </w:r>
          <w:r w:rsidRPr="00D17AC4">
            <w:t xml:space="preserve">manage </w:t>
          </w:r>
          <w:r w:rsidR="008B6B7D" w:rsidRPr="00D17AC4">
            <w:t xml:space="preserve">any </w:t>
          </w:r>
          <w:r w:rsidRPr="00D17AC4">
            <w:t>claims.</w:t>
          </w:r>
          <w:r>
            <w:t xml:space="preserve"> </w:t>
          </w:r>
        </w:p>
        <w:p w14:paraId="747F77C1" w14:textId="77777777" w:rsidR="008C753A" w:rsidRDefault="008C753A" w:rsidP="008C753A">
          <w:pPr>
            <w:pStyle w:val="Heading2"/>
            <w:spacing w:before="240"/>
          </w:pPr>
          <w:r>
            <w:lastRenderedPageBreak/>
            <w:t>Backing from a $10 billion Government guarantee</w:t>
          </w:r>
        </w:p>
        <w:p w14:paraId="59220E70" w14:textId="77777777" w:rsidR="008C753A" w:rsidRPr="0090339A" w:rsidRDefault="008C753A" w:rsidP="008C753A">
          <w:pPr>
            <w:jc w:val="both"/>
          </w:pPr>
          <w:r w:rsidRPr="0090339A">
            <w:t xml:space="preserve">The reinsurance pool will be supported by an annually reinstated $10 billion Government </w:t>
          </w:r>
          <w:r>
            <w:t xml:space="preserve">guarantee. </w:t>
          </w:r>
          <w:r w:rsidRPr="0090339A">
            <w:t xml:space="preserve">Any shortfall in reserves built up over time will be paid for through the Government guarantee. </w:t>
          </w:r>
        </w:p>
        <w:p w14:paraId="0A90CB1D" w14:textId="77777777" w:rsidR="008C753A" w:rsidRDefault="008C753A" w:rsidP="008C753A">
          <w:pPr>
            <w:jc w:val="both"/>
          </w:pPr>
          <w:r w:rsidRPr="0090339A">
            <w:t>If the $10 billion guarantee is likely to be exceeded by a single cyclone event or series of cyclone events within a single year, the Government will increase the guarantee to support the pool to meet all its obligations</w:t>
          </w:r>
          <w:r>
            <w:t>.</w:t>
          </w:r>
        </w:p>
        <w:p w14:paraId="6FCCC4A4" w14:textId="77777777" w:rsidR="008C753A" w:rsidRDefault="008C753A" w:rsidP="008C753A">
          <w:pPr>
            <w:jc w:val="both"/>
          </w:pPr>
          <w:r w:rsidRPr="00FC454E">
            <w:t xml:space="preserve">Subject to legislation appropriately </w:t>
          </w:r>
          <w:r>
            <w:t>including</w:t>
          </w:r>
          <w:r w:rsidRPr="00FC454E">
            <w:t xml:space="preserve"> the</w:t>
          </w:r>
          <w:r>
            <w:t xml:space="preserve"> $10 billion g</w:t>
          </w:r>
          <w:r w:rsidRPr="00FC454E">
            <w:t xml:space="preserve">uarantee and </w:t>
          </w:r>
          <w:r>
            <w:t xml:space="preserve">the requirement for the pool to </w:t>
          </w:r>
          <w:r w:rsidRPr="00E74289">
            <w:t>meet all</w:t>
          </w:r>
          <w:r>
            <w:t xml:space="preserve"> </w:t>
          </w:r>
          <w:r w:rsidRPr="00E74289">
            <w:t>its obligations</w:t>
          </w:r>
          <w:r w:rsidRPr="00FC454E">
            <w:t>, the Australian Prudential Regulation Authority</w:t>
          </w:r>
          <w:r>
            <w:t xml:space="preserve"> (APRA)</w:t>
          </w:r>
          <w:r w:rsidRPr="00FC454E">
            <w:t xml:space="preserve"> has indicated it would allow insurers to fully recognise the risk transfer provided by the reinsurance pool. </w:t>
          </w:r>
        </w:p>
        <w:p w14:paraId="1DA0AEC2" w14:textId="77777777" w:rsidR="008C753A" w:rsidRPr="0090339A" w:rsidRDefault="008C753A" w:rsidP="008C753A">
          <w:pPr>
            <w:jc w:val="both"/>
          </w:pPr>
          <w:r w:rsidRPr="00FC454E">
            <w:t>Changes to APRA’s prudential framework would occur after the passage of legislation.</w:t>
          </w:r>
        </w:p>
        <w:p w14:paraId="385D0099" w14:textId="77777777" w:rsidR="008C753A" w:rsidRDefault="008C753A" w:rsidP="008C753A">
          <w:pPr>
            <w:pStyle w:val="Heading2"/>
            <w:spacing w:before="240"/>
          </w:pPr>
          <w:r>
            <w:t xml:space="preserve">The pool will charge premiums to insurers </w:t>
          </w:r>
        </w:p>
        <w:p w14:paraId="62ECC94B" w14:textId="77777777" w:rsidR="008C753A" w:rsidRDefault="008C753A" w:rsidP="008C753A">
          <w:pPr>
            <w:jc w:val="both"/>
          </w:pPr>
          <w:r w:rsidRPr="009947A8">
            <w:t>The pool will be funded by</w:t>
          </w:r>
          <w:r>
            <w:t xml:space="preserve"> charging</w:t>
          </w:r>
          <w:r w:rsidRPr="009947A8">
            <w:t xml:space="preserve"> </w:t>
          </w:r>
          <w:r>
            <w:t>re</w:t>
          </w:r>
          <w:r w:rsidRPr="009947A8">
            <w:t>insurance premiums</w:t>
          </w:r>
          <w:r>
            <w:t xml:space="preserve"> to insurers</w:t>
          </w:r>
          <w:r w:rsidRPr="009947A8">
            <w:t xml:space="preserve"> that are consistent with the expected </w:t>
          </w:r>
          <w:r>
            <w:t xml:space="preserve">claims </w:t>
          </w:r>
          <w:r w:rsidRPr="009947A8">
            <w:t>and operating expenses for the pool.</w:t>
          </w:r>
          <w:r>
            <w:t xml:space="preserve"> </w:t>
          </w:r>
        </w:p>
        <w:p w14:paraId="30F328AD" w14:textId="77777777" w:rsidR="008C753A" w:rsidRPr="00D71DE8" w:rsidRDefault="008C753A" w:rsidP="008C753A">
          <w:pPr>
            <w:jc w:val="both"/>
          </w:pPr>
          <w:r>
            <w:t xml:space="preserve">The pricing formula </w:t>
          </w:r>
          <w:r w:rsidRPr="00A57DDB">
            <w:t xml:space="preserve">will </w:t>
          </w:r>
          <w:r>
            <w:t>be finalised prior to 1 July 2022 and will</w:t>
          </w:r>
          <w:r w:rsidRPr="00A57DDB">
            <w:t xml:space="preserve"> </w:t>
          </w:r>
          <w:r>
            <w:t>use</w:t>
          </w:r>
          <w:r w:rsidRPr="00A57DDB">
            <w:t xml:space="preserve"> </w:t>
          </w:r>
          <w:r>
            <w:t>property-level</w:t>
          </w:r>
          <w:r w:rsidRPr="00A57DDB">
            <w:t xml:space="preserve"> </w:t>
          </w:r>
          <w:r>
            <w:t xml:space="preserve">data </w:t>
          </w:r>
          <w:r w:rsidRPr="00A57DDB">
            <w:t>such as:</w:t>
          </w:r>
          <w:r>
            <w:t xml:space="preserve"> </w:t>
          </w:r>
          <w:r w:rsidRPr="00A57DDB">
            <w:t>geograph</w:t>
          </w:r>
          <w:r>
            <w:t xml:space="preserve">y, building </w:t>
          </w:r>
          <w:r w:rsidRPr="00A57DDB">
            <w:t>characteristics</w:t>
          </w:r>
          <w:r>
            <w:t xml:space="preserve">, </w:t>
          </w:r>
          <w:r w:rsidRPr="00A57DDB">
            <w:t>and</w:t>
          </w:r>
          <w:r>
            <w:t xml:space="preserve"> </w:t>
          </w:r>
          <w:r w:rsidRPr="00A57DDB">
            <w:t>mitigation</w:t>
          </w:r>
          <w:r>
            <w:t>. It will be developed in line with the principles that the pool will:</w:t>
          </w:r>
        </w:p>
        <w:p w14:paraId="7B6C33EF" w14:textId="77777777" w:rsidR="008C753A" w:rsidRPr="00D8056A" w:rsidRDefault="008C753A" w:rsidP="008C753A">
          <w:pPr>
            <w:pStyle w:val="Bullet"/>
            <w:numPr>
              <w:ilvl w:val="0"/>
              <w:numId w:val="21"/>
            </w:numPr>
            <w:spacing w:after="80" w:line="240" w:lineRule="auto"/>
            <w:ind w:left="284" w:hanging="284"/>
            <w:jc w:val="both"/>
            <w:rPr>
              <w:rStyle w:val="normaltextrun"/>
              <w:rFonts w:eastAsiaTheme="minorHAnsi" w:cs="Calibri"/>
              <w:szCs w:val="22"/>
              <w:lang w:eastAsia="en-US"/>
            </w:rPr>
          </w:pPr>
          <w:r>
            <w:rPr>
              <w:rStyle w:val="normaltextrun"/>
              <w:rFonts w:cs="Calibri"/>
              <w:szCs w:val="22"/>
            </w:rPr>
            <w:t xml:space="preserve">be </w:t>
          </w:r>
          <w:r w:rsidRPr="00D8056A">
            <w:rPr>
              <w:rStyle w:val="normaltextrun"/>
              <w:rFonts w:cs="Calibri"/>
              <w:szCs w:val="22"/>
            </w:rPr>
            <w:t>cost-neutral to Governmen</w:t>
          </w:r>
          <w:r>
            <w:rPr>
              <w:rStyle w:val="normaltextrun"/>
              <w:rFonts w:cs="Calibri"/>
              <w:szCs w:val="22"/>
            </w:rPr>
            <w:t>t over the longer term;</w:t>
          </w:r>
        </w:p>
        <w:p w14:paraId="011155C8" w14:textId="77777777" w:rsidR="008C753A" w:rsidRPr="00A966BA" w:rsidRDefault="008C753A" w:rsidP="008C753A">
          <w:pPr>
            <w:pStyle w:val="Bullet"/>
            <w:numPr>
              <w:ilvl w:val="0"/>
              <w:numId w:val="21"/>
            </w:numPr>
            <w:spacing w:before="0" w:after="80" w:line="240" w:lineRule="auto"/>
            <w:ind w:left="284" w:hanging="284"/>
            <w:jc w:val="both"/>
            <w:rPr>
              <w:rStyle w:val="normaltextrun"/>
              <w:rFonts w:cs="Calibri"/>
              <w:szCs w:val="22"/>
            </w:rPr>
          </w:pPr>
          <w:r w:rsidRPr="00A966BA">
            <w:rPr>
              <w:rStyle w:val="normaltextrun"/>
              <w:rFonts w:cs="Calibri"/>
              <w:szCs w:val="22"/>
            </w:rPr>
            <w:t xml:space="preserve">lower the </w:t>
          </w:r>
          <w:r w:rsidRPr="007D7C45">
            <w:rPr>
              <w:rStyle w:val="normaltextrun"/>
              <w:rFonts w:cs="Calibri"/>
              <w:szCs w:val="22"/>
            </w:rPr>
            <w:t>reinsurance cost for most policies with</w:t>
          </w:r>
          <w:r w:rsidRPr="00A966BA">
            <w:rPr>
              <w:rStyle w:val="normaltextrun"/>
              <w:rFonts w:cs="Calibri"/>
              <w:szCs w:val="22"/>
            </w:rPr>
            <w:t xml:space="preserve"> medium</w:t>
          </w:r>
          <w:r w:rsidRPr="00A966BA">
            <w:rPr>
              <w:rStyle w:val="normaltextrun"/>
              <w:rFonts w:cs="Calibri"/>
              <w:szCs w:val="22"/>
            </w:rPr>
            <w:noBreakHyphen/>
            <w:t>to</w:t>
          </w:r>
          <w:r w:rsidRPr="00A966BA">
            <w:rPr>
              <w:rStyle w:val="normaltextrun"/>
              <w:rFonts w:cs="Calibri"/>
              <w:szCs w:val="22"/>
            </w:rPr>
            <w:noBreakHyphen/>
            <w:t>high exposure to cyclone risk;</w:t>
          </w:r>
        </w:p>
        <w:p w14:paraId="11149A2C" w14:textId="77777777" w:rsidR="008C753A" w:rsidRPr="00591CA4" w:rsidRDefault="008C753A" w:rsidP="008C753A">
          <w:pPr>
            <w:pStyle w:val="Bullet"/>
            <w:numPr>
              <w:ilvl w:val="0"/>
              <w:numId w:val="21"/>
            </w:numPr>
            <w:spacing w:before="0" w:after="80" w:line="240" w:lineRule="auto"/>
            <w:ind w:left="284" w:hanging="284"/>
            <w:jc w:val="both"/>
            <w:rPr>
              <w:rStyle w:val="normaltextrun"/>
              <w:rFonts w:cs="Calibri"/>
              <w:szCs w:val="22"/>
            </w:rPr>
          </w:pPr>
          <w:r>
            <w:rPr>
              <w:rStyle w:val="normaltextrun"/>
              <w:rFonts w:cs="Calibri"/>
              <w:szCs w:val="22"/>
            </w:rPr>
            <w:t>have minimal impact on policy premiums</w:t>
          </w:r>
          <w:r w:rsidRPr="00591CA4">
            <w:rPr>
              <w:rStyle w:val="normaltextrun"/>
              <w:rFonts w:cs="Calibri"/>
              <w:szCs w:val="22"/>
            </w:rPr>
            <w:t xml:space="preserve"> for lower</w:t>
          </w:r>
          <w:r>
            <w:rPr>
              <w:rStyle w:val="normaltextrun"/>
              <w:rFonts w:cs="Calibri"/>
              <w:szCs w:val="22"/>
            </w:rPr>
            <w:t xml:space="preserve"> cyclone-</w:t>
          </w:r>
          <w:r w:rsidRPr="00591CA4">
            <w:rPr>
              <w:rStyle w:val="normaltextrun"/>
              <w:rFonts w:cs="Calibri"/>
              <w:szCs w:val="22"/>
            </w:rPr>
            <w:t>risk properties;</w:t>
          </w:r>
          <w:r>
            <w:rPr>
              <w:rStyle w:val="normaltextrun"/>
              <w:rFonts w:cs="Calibri"/>
              <w:szCs w:val="22"/>
            </w:rPr>
            <w:t xml:space="preserve"> and</w:t>
          </w:r>
        </w:p>
        <w:p w14:paraId="5E6B4C85" w14:textId="77777777" w:rsidR="008C753A" w:rsidRDefault="008C753A" w:rsidP="008C753A">
          <w:pPr>
            <w:pStyle w:val="Bullet"/>
            <w:numPr>
              <w:ilvl w:val="0"/>
              <w:numId w:val="21"/>
            </w:numPr>
            <w:spacing w:before="0" w:after="80" w:line="240" w:lineRule="auto"/>
            <w:ind w:left="284" w:hanging="284"/>
            <w:jc w:val="both"/>
            <w:rPr>
              <w:rStyle w:val="normaltextrun"/>
              <w:rFonts w:cs="Calibri"/>
              <w:szCs w:val="22"/>
            </w:rPr>
          </w:pPr>
          <w:r w:rsidRPr="00591CA4">
            <w:rPr>
              <w:rStyle w:val="normaltextrun"/>
              <w:rFonts w:cs="Calibri"/>
              <w:szCs w:val="22"/>
            </w:rPr>
            <w:t xml:space="preserve">maintain incentives for risk reduction and offer discounts for </w:t>
          </w:r>
          <w:r>
            <w:rPr>
              <w:rStyle w:val="normaltextrun"/>
              <w:rFonts w:cs="Calibri"/>
              <w:szCs w:val="22"/>
            </w:rPr>
            <w:t>properties that undertake mitigation.</w:t>
          </w:r>
        </w:p>
        <w:p w14:paraId="55637B0C" w14:textId="77777777" w:rsidR="00E72832" w:rsidRPr="00064E05" w:rsidRDefault="00E72832" w:rsidP="00E72832">
          <w:pPr>
            <w:pStyle w:val="Heading2"/>
          </w:pPr>
          <w:r>
            <w:t xml:space="preserve">Covering the cost of claims </w:t>
          </w:r>
        </w:p>
        <w:p w14:paraId="64744CBB" w14:textId="77777777" w:rsidR="00E72832" w:rsidRDefault="00E72832" w:rsidP="00E72832">
          <w:pPr>
            <w:jc w:val="both"/>
          </w:pPr>
          <w:r>
            <w:t>From 1 July 2022 to 30 June 2025, t</w:t>
          </w:r>
          <w:r w:rsidRPr="00713CFA">
            <w:t>he pool will cover</w:t>
          </w:r>
          <w:r>
            <w:t xml:space="preserve"> </w:t>
          </w:r>
          <w:r w:rsidRPr="00713CFA">
            <w:t>all</w:t>
          </w:r>
          <w:r>
            <w:t xml:space="preserve"> of the cost of</w:t>
          </w:r>
          <w:r w:rsidRPr="00713CFA">
            <w:t xml:space="preserve"> eligible</w:t>
          </w:r>
          <w:r>
            <w:t xml:space="preserve"> cyclone and related flood damage</w:t>
          </w:r>
          <w:r w:rsidRPr="00713CFA">
            <w:t xml:space="preserve"> claims above the policyholder excess</w:t>
          </w:r>
          <w:r>
            <w:t xml:space="preserve"> to support insurer transition and maximise the potential premium reductions through the pool. </w:t>
          </w:r>
        </w:p>
        <w:p w14:paraId="5CB085D0" w14:textId="77777777" w:rsidR="00E72832" w:rsidRDefault="00E72832" w:rsidP="00E72832">
          <w:pPr>
            <w:jc w:val="both"/>
            <w:rPr>
              <w:rStyle w:val="normaltextrun"/>
              <w:rFonts w:cs="Calibri"/>
              <w:szCs w:val="22"/>
            </w:rPr>
          </w:pPr>
          <w:r>
            <w:t>From 1 July 2025</w:t>
          </w:r>
          <w:r w:rsidRPr="00713CFA">
            <w:t xml:space="preserve">, the </w:t>
          </w:r>
          <w:r>
            <w:t>pool</w:t>
          </w:r>
          <w:r w:rsidR="00832AD6">
            <w:t xml:space="preserve"> will</w:t>
          </w:r>
          <w:r w:rsidRPr="00713CFA">
            <w:t xml:space="preserve"> </w:t>
          </w:r>
          <w:r w:rsidR="00E17187" w:rsidRPr="00E17187">
            <w:t>operate on a risk sharing arrangement with insurers</w:t>
          </w:r>
          <w:r w:rsidR="00E17187">
            <w:t xml:space="preserve"> where the </w:t>
          </w:r>
          <w:r>
            <w:t>pool</w:t>
          </w:r>
          <w:r w:rsidR="00E17187">
            <w:t xml:space="preserve"> will continue to </w:t>
          </w:r>
          <w:r>
            <w:t xml:space="preserve">cover a significant proportion of </w:t>
          </w:r>
          <w:r w:rsidR="00E17187" w:rsidRPr="00E17187">
            <w:t>eligible cyclone and related flood damage claims</w:t>
          </w:r>
          <w:r>
            <w:t>.</w:t>
          </w:r>
        </w:p>
        <w:p w14:paraId="7B0A5B45" w14:textId="77777777" w:rsidR="008C753A" w:rsidRPr="00064E05" w:rsidRDefault="008C753A" w:rsidP="008C753A">
          <w:pPr>
            <w:pStyle w:val="Heading2"/>
            <w:spacing w:before="240"/>
          </w:pPr>
          <w:r>
            <w:t xml:space="preserve">The ACCC will monitor insurer premiums to </w:t>
          </w:r>
          <w:r w:rsidRPr="00064E05">
            <w:t>ensure savings are passed through</w:t>
          </w:r>
          <w:r>
            <w:t xml:space="preserve"> to policyholders</w:t>
          </w:r>
        </w:p>
        <w:p w14:paraId="575C56AF" w14:textId="77777777" w:rsidR="008C753A" w:rsidRDefault="008C753A" w:rsidP="008C753A">
          <w:pPr>
            <w:jc w:val="both"/>
          </w:pPr>
          <w:r>
            <w:t>From early 2022, the Australian Competition and Consumer Commission (ACCC) will monitor and collect data to</w:t>
          </w:r>
          <w:r w:rsidRPr="00691042">
            <w:t xml:space="preserve"> </w:t>
          </w:r>
          <w:r>
            <w:t>ensure that savings are passed through to policyholders and the reinsurance pool is delivering on its intended outcomes.</w:t>
          </w:r>
        </w:p>
        <w:p w14:paraId="0C7651B7" w14:textId="77777777" w:rsidR="008C753A" w:rsidRPr="008E6A86" w:rsidRDefault="008C753A" w:rsidP="008C753A">
          <w:pPr>
            <w:pStyle w:val="Heading2"/>
            <w:spacing w:before="240"/>
          </w:pPr>
          <w:r>
            <w:t>S</w:t>
          </w:r>
          <w:r w:rsidRPr="00877151">
            <w:t>upport</w:t>
          </w:r>
          <w:r>
            <w:t>ing</w:t>
          </w:r>
          <w:r w:rsidRPr="00877151">
            <w:t xml:space="preserve"> mitigation</w:t>
          </w:r>
          <w:r>
            <w:t xml:space="preserve"> and informing natural disaster planning</w:t>
          </w:r>
        </w:p>
        <w:p w14:paraId="3229A0AA" w14:textId="77777777" w:rsidR="008C753A" w:rsidRDefault="008C753A" w:rsidP="008C753A">
          <w:pPr>
            <w:jc w:val="both"/>
          </w:pPr>
          <w:r>
            <w:t>Over time, t</w:t>
          </w:r>
          <w:r w:rsidRPr="001C47C6">
            <w:t xml:space="preserve">he pool will offer discounts for </w:t>
          </w:r>
          <w:r>
            <w:t xml:space="preserve">policies that cover </w:t>
          </w:r>
          <w:r w:rsidRPr="001C47C6">
            <w:t>properties that have undertaken cyclone and flood mitigation.</w:t>
          </w:r>
          <w:r>
            <w:t xml:space="preserve"> </w:t>
          </w:r>
        </w:p>
        <w:p w14:paraId="020562AB" w14:textId="77777777" w:rsidR="00E471B8" w:rsidRDefault="008C753A" w:rsidP="008C753A">
          <w:pPr>
            <w:jc w:val="both"/>
          </w:pPr>
          <w:r>
            <w:t>Additionally, the ARPC will collect data through the pool that will help the Government to plan its response to natural disasters.</w:t>
          </w:r>
        </w:p>
        <w:p w14:paraId="23A6E37C" w14:textId="77777777" w:rsidR="00E471B8" w:rsidRDefault="00E471B8" w:rsidP="008C753A">
          <w:pPr>
            <w:jc w:val="both"/>
          </w:pPr>
        </w:p>
        <w:p w14:paraId="5471C9B7" w14:textId="77777777" w:rsidR="00512F03" w:rsidRDefault="00512F03" w:rsidP="008C753A">
          <w:pPr>
            <w:jc w:val="both"/>
          </w:pPr>
        </w:p>
        <w:p w14:paraId="2C544EC5" w14:textId="77777777" w:rsidR="00E471B8" w:rsidRPr="00512F03" w:rsidRDefault="0014545F" w:rsidP="00512F03">
          <w:pPr>
            <w:pStyle w:val="Heading2"/>
            <w:spacing w:before="240"/>
          </w:pPr>
          <w:r w:rsidRPr="00512F03">
            <w:lastRenderedPageBreak/>
            <w:t>ATTACHMENT A</w:t>
          </w:r>
          <w:r w:rsidR="004554E6">
            <w:t xml:space="preserve">: 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086"/>
          </w:tblGrid>
          <w:tr w:rsidR="00E471B8" w14:paraId="7C744139" w14:textId="77777777" w:rsidTr="00E471B8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10086" w:type="dxa"/>
              </w:tcPr>
              <w:p w14:paraId="395E9483" w14:textId="77777777" w:rsidR="00E471B8" w:rsidRPr="00E471B8" w:rsidRDefault="00E471B8" w:rsidP="00BF4CF9">
                <w:pPr>
                  <w:jc w:val="center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Eligible policies</w:t>
                </w:r>
                <w:r w:rsidR="008619D3">
                  <w:rPr>
                    <w:color w:val="FFFFFF" w:themeColor="background1"/>
                  </w:rPr>
                  <w:t xml:space="preserve"> and </w:t>
                </w:r>
                <w:r w:rsidR="00BF4CF9">
                  <w:rPr>
                    <w:color w:val="FFFFFF" w:themeColor="background1"/>
                  </w:rPr>
                  <w:t>property types</w:t>
                </w:r>
              </w:p>
            </w:tc>
          </w:tr>
          <w:tr w:rsidR="00E471B8" w14:paraId="66C88435" w14:textId="77777777" w:rsidTr="00E471B8">
            <w:tc>
              <w:tcPr>
                <w:tcW w:w="10086" w:type="dxa"/>
              </w:tcPr>
              <w:p w14:paraId="12F72D88" w14:textId="77777777" w:rsidR="00BF4CF9" w:rsidRPr="00BF4CF9" w:rsidRDefault="00BF4CF9" w:rsidP="00BF4CF9">
                <w:pPr>
                  <w:pStyle w:val="Bullet"/>
                  <w:numPr>
                    <w:ilvl w:val="0"/>
                    <w:numId w:val="0"/>
                  </w:numPr>
                  <w:spacing w:before="0"/>
                  <w:ind w:left="170" w:hanging="170"/>
                  <w:jc w:val="center"/>
                  <w:rPr>
                    <w:rFonts w:eastAsia="Calibri"/>
                    <w:b/>
                    <w:bCs/>
                  </w:rPr>
                </w:pPr>
                <w:r>
                  <w:rPr>
                    <w:rFonts w:eastAsia="Calibri"/>
                    <w:b/>
                    <w:bCs/>
                  </w:rPr>
                  <w:t>Household policies</w:t>
                </w:r>
              </w:p>
              <w:p w14:paraId="2F9A7DC5" w14:textId="77777777" w:rsidR="00BF4CF9" w:rsidRPr="0070729B" w:rsidRDefault="00BF4CF9" w:rsidP="00BF4CF9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70729B">
                  <w:rPr>
                    <w:rFonts w:eastAsia="Calibri"/>
                  </w:rPr>
                  <w:t>Home and contents</w:t>
                </w:r>
                <w:r w:rsidR="008619D3">
                  <w:rPr>
                    <w:rFonts w:eastAsia="Calibri"/>
                  </w:rPr>
                  <w:t>.</w:t>
                </w:r>
                <w:r w:rsidRPr="0070729B">
                  <w:rPr>
                    <w:rFonts w:eastAsia="Calibri"/>
                  </w:rPr>
                  <w:t xml:space="preserve"> </w:t>
                </w:r>
              </w:p>
              <w:p w14:paraId="54D7AD5B" w14:textId="77777777" w:rsidR="00BF4CF9" w:rsidRPr="0070729B" w:rsidRDefault="00BF4CF9" w:rsidP="00BF4CF9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70729B">
                  <w:rPr>
                    <w:rFonts w:eastAsia="Calibri"/>
                  </w:rPr>
                  <w:t>Residential landlord insuranc</w:t>
                </w:r>
                <w:r>
                  <w:rPr>
                    <w:rFonts w:eastAsia="Calibri"/>
                  </w:rPr>
                  <w:t>e</w:t>
                </w:r>
                <w:r w:rsidR="008619D3">
                  <w:rPr>
                    <w:rFonts w:eastAsia="Calibri"/>
                  </w:rPr>
                  <w:t>.</w:t>
                </w:r>
              </w:p>
              <w:p w14:paraId="71225E23" w14:textId="77777777" w:rsidR="00BF4CF9" w:rsidRPr="0070729B" w:rsidRDefault="00BF4CF9" w:rsidP="00BF4CF9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70729B">
                  <w:rPr>
                    <w:rFonts w:eastAsia="Calibri"/>
                  </w:rPr>
                  <w:t>Residential property on agricultural land</w:t>
                </w:r>
                <w:r w:rsidR="008619D3">
                  <w:rPr>
                    <w:rFonts w:eastAsia="Calibri"/>
                  </w:rPr>
                  <w:t>.</w:t>
                </w:r>
              </w:p>
              <w:p w14:paraId="4E825C00" w14:textId="77777777" w:rsidR="00BF4CF9" w:rsidRDefault="00BF4CF9" w:rsidP="00BF4CF9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70729B">
                  <w:rPr>
                    <w:rFonts w:eastAsia="Calibri"/>
                  </w:rPr>
                  <w:t xml:space="preserve">On-site caravans and moveable homes (e.g. cabins), if used </w:t>
                </w:r>
                <w:r>
                  <w:rPr>
                    <w:rFonts w:eastAsia="Calibri"/>
                  </w:rPr>
                  <w:t>primarily as places of residence</w:t>
                </w:r>
                <w:r w:rsidR="008619D3">
                  <w:rPr>
                    <w:rFonts w:eastAsia="Calibri"/>
                  </w:rPr>
                  <w:t>.</w:t>
                </w:r>
              </w:p>
              <w:p w14:paraId="7A104C6E" w14:textId="77777777" w:rsidR="00E471B8" w:rsidRDefault="00BF4CF9" w:rsidP="00BF4CF9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BF4CF9">
                  <w:rPr>
                    <w:rFonts w:eastAsia="Calibri"/>
                  </w:rPr>
                  <w:t>Other arrangements where building primarily used as place of residence (e.g. retirement village)</w:t>
                </w:r>
                <w:r w:rsidR="008619D3">
                  <w:rPr>
                    <w:rFonts w:eastAsia="Calibri"/>
                  </w:rPr>
                  <w:t>.</w:t>
                </w:r>
              </w:p>
              <w:p w14:paraId="5E510F65" w14:textId="77777777" w:rsidR="008619D3" w:rsidRPr="00954E4C" w:rsidRDefault="00BF4CF9" w:rsidP="00CB47A1">
                <w:pPr>
                  <w:pStyle w:val="Bullet"/>
                  <w:spacing w:before="0" w:after="240"/>
                  <w:rPr>
                    <w:rFonts w:eastAsia="Calibri"/>
                  </w:rPr>
                </w:pPr>
                <w:r w:rsidRPr="0070729B">
                  <w:rPr>
                    <w:rFonts w:eastAsia="Calibri"/>
                  </w:rPr>
                  <w:t>Defence Service Homes Insurance Scheme, which provides direct household insurance to current and former members of the Australian Defence Force</w:t>
                </w:r>
                <w:r w:rsidR="008619D3">
                  <w:rPr>
                    <w:rFonts w:eastAsia="Calibri"/>
                  </w:rPr>
                  <w:t>.</w:t>
                </w:r>
              </w:p>
            </w:tc>
          </w:tr>
          <w:tr w:rsidR="00E471B8" w14:paraId="493F4692" w14:textId="77777777" w:rsidTr="00E471B8">
            <w:tc>
              <w:tcPr>
                <w:tcW w:w="10086" w:type="dxa"/>
              </w:tcPr>
              <w:p w14:paraId="3584E263" w14:textId="77777777" w:rsidR="00BF4CF9" w:rsidRPr="00BF4CF9" w:rsidRDefault="00BF4CF9" w:rsidP="00BF4CF9">
                <w:pPr>
                  <w:tabs>
                    <w:tab w:val="left" w:pos="720"/>
                  </w:tabs>
                  <w:spacing w:before="0" w:line="240" w:lineRule="auto"/>
                  <w:ind w:left="520" w:hanging="520"/>
                  <w:jc w:val="center"/>
                  <w:rPr>
                    <w:rFonts w:cs="Calibri Light"/>
                    <w:b/>
                    <w:bCs/>
                    <w:color w:val="auto"/>
                    <w:szCs w:val="22"/>
                  </w:rPr>
                </w:pPr>
                <w:r w:rsidRPr="00BF4CF9">
                  <w:rPr>
                    <w:rFonts w:cs="Calibri Light"/>
                    <w:b/>
                    <w:bCs/>
                    <w:color w:val="auto"/>
                    <w:szCs w:val="22"/>
                  </w:rPr>
                  <w:t xml:space="preserve">Strata policies </w:t>
                </w:r>
                <w:r w:rsidR="002E601F">
                  <w:rPr>
                    <w:rFonts w:cs="Calibri Light"/>
                    <w:b/>
                    <w:bCs/>
                    <w:color w:val="auto"/>
                    <w:szCs w:val="22"/>
                  </w:rPr>
                  <w:br/>
                </w:r>
              </w:p>
              <w:p w14:paraId="45EDB07A" w14:textId="77777777" w:rsidR="0012090E" w:rsidRDefault="00BF4CF9" w:rsidP="009B1BDF">
                <w:pPr>
                  <w:pStyle w:val="Bullet"/>
                  <w:spacing w:before="0"/>
                  <w:rPr>
                    <w:rFonts w:eastAsia="Calibri" w:cs="Calibri Light"/>
                  </w:rPr>
                </w:pPr>
                <w:r w:rsidRPr="00BF4CF9">
                  <w:rPr>
                    <w:rFonts w:eastAsia="Calibri" w:cs="Calibri Light"/>
                  </w:rPr>
                  <w:t>Strata and community title properties where at least 80 per cent of the total floor space of units in the property are used wholly or mainly for residential purposes</w:t>
                </w:r>
                <w:r w:rsidR="008619D3">
                  <w:rPr>
                    <w:rFonts w:eastAsia="Calibri" w:cs="Calibri Light"/>
                  </w:rPr>
                  <w:t>.</w:t>
                </w:r>
              </w:p>
              <w:p w14:paraId="4A982138" w14:textId="77777777" w:rsidR="008619D3" w:rsidRPr="00954E4C" w:rsidRDefault="007D50FE" w:rsidP="00E3416C">
                <w:pPr>
                  <w:pStyle w:val="Dash"/>
                  <w:spacing w:after="240"/>
                  <w:rPr>
                    <w:rFonts w:eastAsia="Calibri" w:cs="Calibri Light"/>
                  </w:rPr>
                </w:pPr>
                <w:r>
                  <w:t xml:space="preserve">This approach </w:t>
                </w:r>
                <w:r w:rsidRPr="007D50FE">
                  <w:t>would be neutral between</w:t>
                </w:r>
                <w:r w:rsidR="00CB47A1">
                  <w:t xml:space="preserve"> state-based</w:t>
                </w:r>
                <w:r w:rsidRPr="007D50FE">
                  <w:t xml:space="preserve"> regulatory regimes, instead focusing on the proportion of residential floorspace in a strata property.</w:t>
                </w:r>
              </w:p>
            </w:tc>
          </w:tr>
          <w:tr w:rsidR="00E471B8" w14:paraId="7AD3174F" w14:textId="77777777" w:rsidTr="00E471B8">
            <w:tc>
              <w:tcPr>
                <w:tcW w:w="10086" w:type="dxa"/>
              </w:tcPr>
              <w:p w14:paraId="1B833817" w14:textId="77777777" w:rsidR="00BF4CF9" w:rsidRPr="00BF4CF9" w:rsidRDefault="00BF4CF9" w:rsidP="00BF4CF9">
                <w:pPr>
                  <w:tabs>
                    <w:tab w:val="left" w:pos="720"/>
                  </w:tabs>
                  <w:spacing w:before="0" w:line="240" w:lineRule="auto"/>
                  <w:ind w:left="520" w:hanging="520"/>
                  <w:jc w:val="center"/>
                  <w:rPr>
                    <w:rFonts w:cs="Calibri Light"/>
                    <w:b/>
                    <w:bCs/>
                    <w:color w:val="auto"/>
                    <w:szCs w:val="22"/>
                  </w:rPr>
                </w:pPr>
                <w:r w:rsidRPr="00BF4CF9">
                  <w:rPr>
                    <w:rFonts w:cs="Calibri Light"/>
                    <w:b/>
                    <w:bCs/>
                    <w:color w:val="auto"/>
                    <w:szCs w:val="22"/>
                  </w:rPr>
                  <w:t>Small business property policies</w:t>
                </w:r>
                <w:r w:rsidR="0014545F">
                  <w:rPr>
                    <w:rFonts w:cs="Calibri Light"/>
                    <w:b/>
                    <w:bCs/>
                    <w:color w:val="auto"/>
                    <w:szCs w:val="22"/>
                  </w:rPr>
                  <w:t xml:space="preserve"> </w:t>
                </w:r>
                <w:r w:rsidR="002E601F">
                  <w:rPr>
                    <w:rFonts w:cs="Calibri Light"/>
                    <w:b/>
                    <w:bCs/>
                    <w:color w:val="auto"/>
                    <w:szCs w:val="22"/>
                  </w:rPr>
                  <w:br/>
                </w:r>
              </w:p>
              <w:p w14:paraId="140B9729" w14:textId="77777777" w:rsidR="00BF4CF9" w:rsidRDefault="00BF4CF9" w:rsidP="008B1D68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BF4CF9">
                  <w:rPr>
                    <w:rFonts w:eastAsia="Calibri"/>
                  </w:rPr>
                  <w:t>Business property policies</w:t>
                </w:r>
                <w:r w:rsidR="0012090E">
                  <w:rPr>
                    <w:rFonts w:eastAsia="Calibri"/>
                  </w:rPr>
                  <w:t xml:space="preserve"> (including policies taken out by charities and not-for-profits)</w:t>
                </w:r>
                <w:r w:rsidRPr="00BF4CF9">
                  <w:rPr>
                    <w:rFonts w:eastAsia="Calibri"/>
                  </w:rPr>
                  <w:t xml:space="preserve"> with total sums insured (covering building, contents and business interruption) of $5 million or less</w:t>
                </w:r>
                <w:r w:rsidR="008619D3">
                  <w:rPr>
                    <w:rFonts w:eastAsia="Calibri"/>
                  </w:rPr>
                  <w:t>.</w:t>
                </w:r>
              </w:p>
              <w:p w14:paraId="1BB2BA57" w14:textId="77777777" w:rsidR="0012090E" w:rsidRPr="0012090E" w:rsidRDefault="0012090E" w:rsidP="008B1D68">
                <w:pPr>
                  <w:pStyle w:val="Dash"/>
                  <w:spacing w:before="0"/>
                  <w:rPr>
                    <w:b/>
                  </w:rPr>
                </w:pPr>
                <w:r>
                  <w:t>Property used for primarily residential purposes would not count towards the sum insured limit (e.g. social housing provided by community organisations).</w:t>
                </w:r>
              </w:p>
              <w:p w14:paraId="32A36928" w14:textId="77777777" w:rsidR="00BF4CF9" w:rsidRPr="00BF4CF9" w:rsidRDefault="008B1D68" w:rsidP="008B1D68">
                <w:pPr>
                  <w:pStyle w:val="Bullet"/>
                  <w:spacing w:before="0"/>
                  <w:rPr>
                    <w:rFonts w:eastAsia="Calibri"/>
                  </w:rPr>
                </w:pPr>
                <w:r w:rsidRPr="008B1D68">
                  <w:rPr>
                    <w:rFonts w:eastAsia="Calibri"/>
                  </w:rPr>
                  <w:t xml:space="preserve">Accommodation (such as hotels, motels and boarding houses) and </w:t>
                </w:r>
                <w:r w:rsidR="00B47CA2">
                  <w:rPr>
                    <w:rFonts w:eastAsia="Calibri"/>
                  </w:rPr>
                  <w:t xml:space="preserve">aged care facilities </w:t>
                </w:r>
                <w:r w:rsidR="00BF4CF9" w:rsidRPr="008B1D68">
                  <w:rPr>
                    <w:rFonts w:eastAsia="Calibri"/>
                  </w:rPr>
                  <w:t xml:space="preserve">would be </w:t>
                </w:r>
                <w:r w:rsidR="00B47CA2">
                  <w:rPr>
                    <w:rFonts w:eastAsia="Calibri"/>
                  </w:rPr>
                  <w:t xml:space="preserve">eligible </w:t>
                </w:r>
                <w:r w:rsidR="00BF4CF9" w:rsidRPr="008B1D68">
                  <w:rPr>
                    <w:rFonts w:eastAsia="Calibri"/>
                  </w:rPr>
                  <w:t xml:space="preserve">subject to </w:t>
                </w:r>
                <w:r w:rsidR="00B47CA2">
                  <w:rPr>
                    <w:rFonts w:eastAsia="Calibri"/>
                  </w:rPr>
                  <w:t xml:space="preserve">the sum insured limit </w:t>
                </w:r>
                <w:r w:rsidR="0044368A">
                  <w:rPr>
                    <w:rFonts w:eastAsia="Calibri"/>
                  </w:rPr>
                  <w:t>(</w:t>
                </w:r>
                <w:r w:rsidR="00954E4C">
                  <w:rPr>
                    <w:rFonts w:eastAsia="Calibri"/>
                  </w:rPr>
                  <w:t xml:space="preserve">but </w:t>
                </w:r>
                <w:r w:rsidR="0044368A">
                  <w:rPr>
                    <w:rFonts w:eastAsia="Calibri"/>
                  </w:rPr>
                  <w:t xml:space="preserve">could </w:t>
                </w:r>
                <w:r w:rsidR="00D72F16">
                  <w:rPr>
                    <w:rFonts w:eastAsia="Calibri"/>
                  </w:rPr>
                  <w:t xml:space="preserve">also </w:t>
                </w:r>
                <w:r w:rsidR="0044368A">
                  <w:rPr>
                    <w:rFonts w:eastAsia="Calibri"/>
                  </w:rPr>
                  <w:t>form part of an eligible strata property)</w:t>
                </w:r>
                <w:r w:rsidR="008619D3">
                  <w:rPr>
                    <w:rFonts w:eastAsia="Calibri"/>
                  </w:rPr>
                  <w:t>.</w:t>
                </w:r>
              </w:p>
              <w:p w14:paraId="4205FD4C" w14:textId="77777777" w:rsidR="00E471B8" w:rsidRPr="00BF4CF9" w:rsidRDefault="00BF4CF9" w:rsidP="00954E4C">
                <w:pPr>
                  <w:pStyle w:val="Bullet"/>
                  <w:spacing w:before="0" w:after="240"/>
                  <w:rPr>
                    <w:rFonts w:eastAsia="Calibri"/>
                  </w:rPr>
                </w:pPr>
                <w:r w:rsidRPr="007C33A5">
                  <w:rPr>
                    <w:rFonts w:eastAsia="Calibri"/>
                  </w:rPr>
                  <w:t>From 1 July 2023</w:t>
                </w:r>
                <w:r w:rsidR="007C33A5">
                  <w:rPr>
                    <w:rFonts w:eastAsia="Calibri"/>
                  </w:rPr>
                  <w:t>, s</w:t>
                </w:r>
                <w:r w:rsidRPr="00BF4CF9">
                  <w:rPr>
                    <w:rFonts w:eastAsia="Calibri"/>
                  </w:rPr>
                  <w:t>mall business marine property insurance (e.g. for charter boats and marinas)</w:t>
                </w:r>
                <w:r w:rsidR="008619D3">
                  <w:rPr>
                    <w:rFonts w:eastAsia="Calibri"/>
                  </w:rPr>
                  <w:t>.</w:t>
                </w:r>
              </w:p>
            </w:tc>
          </w:tr>
        </w:tbl>
        <w:p w14:paraId="0F323594" w14:textId="77777777" w:rsidR="008C753A" w:rsidRPr="00B571D6" w:rsidRDefault="006279DB" w:rsidP="008C753A">
          <w:pPr>
            <w:jc w:val="both"/>
          </w:pPr>
        </w:p>
      </w:sdtContent>
    </w:sdt>
    <w:p w14:paraId="143E1641" w14:textId="77777777" w:rsidR="008C753A" w:rsidRPr="00B571D6" w:rsidRDefault="008C753A" w:rsidP="008C753A">
      <w:pPr>
        <w:jc w:val="both"/>
      </w:pPr>
    </w:p>
    <w:sectPr w:rsidR="008C753A" w:rsidRPr="00B571D6" w:rsidSect="000A2A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907" w:bottom="1021" w:left="907" w:header="567" w:footer="249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BF80F" w14:textId="77777777" w:rsidR="0066032D" w:rsidRDefault="0066032D" w:rsidP="00886BC4">
      <w:r>
        <w:separator/>
      </w:r>
    </w:p>
    <w:p w14:paraId="0027FA4C" w14:textId="77777777" w:rsidR="0066032D" w:rsidRDefault="0066032D"/>
  </w:endnote>
  <w:endnote w:type="continuationSeparator" w:id="0">
    <w:p w14:paraId="2C195D3A" w14:textId="77777777" w:rsidR="0066032D" w:rsidRDefault="0066032D" w:rsidP="00886BC4">
      <w:r>
        <w:continuationSeparator/>
      </w:r>
    </w:p>
    <w:p w14:paraId="641A4EE3" w14:textId="77777777" w:rsidR="0066032D" w:rsidRDefault="0066032D"/>
  </w:endnote>
  <w:endnote w:type="continuationNotice" w:id="1">
    <w:p w14:paraId="29DCBD24" w14:textId="77777777" w:rsidR="0066032D" w:rsidRDefault="0066032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471CC" w14:textId="49AC46E4" w:rsidR="00FA67BC" w:rsidRDefault="006279DB" w:rsidP="00A95D3E">
    <w:pPr>
      <w:pStyle w:val="DLMSecurityFooter"/>
    </w:pPr>
    <w:r>
      <w:fldChar w:fldCharType="begin"/>
    </w:r>
    <w:r>
      <w:instrText xml:space="preserve"> DOCPROPERTY DLMSecurityClassification \* MERGEFORMAT </w:instrText>
    </w:r>
    <w:r>
      <w:fldChar w:fldCharType="separate"/>
    </w:r>
    <w:r w:rsidR="00B92C86">
      <w:t>Sensitive:  Cabinet</w:t>
    </w:r>
    <w:r>
      <w:fldChar w:fldCharType="end"/>
    </w:r>
  </w:p>
  <w:p w14:paraId="0E9E6C5D" w14:textId="3983EB9B" w:rsidR="00FA67BC" w:rsidRDefault="006279DB" w:rsidP="00A95D3E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B92C86">
      <w:t>Protected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46D08" w14:textId="77777777" w:rsidR="00FA67BC" w:rsidRDefault="00FA67BC" w:rsidP="00C37A6A">
    <w:pPr>
      <w:pStyle w:val="Footer"/>
      <w:spacing w:after="120"/>
      <w:ind w:firstLine="2160"/>
      <w:jc w:val="right"/>
    </w:pPr>
    <w:r>
      <w:t xml:space="preserve"> 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 w:rsidR="009D09A2">
      <w:rPr>
        <w:noProof/>
      </w:rPr>
      <w:t>2</w:t>
    </w:r>
    <w:r w:rsidRPr="00565A5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5E820" w14:textId="77777777" w:rsidR="00FA67BC" w:rsidRDefault="00FA67BC" w:rsidP="00E10B5B">
    <w:pPr>
      <w:pStyle w:val="Footer"/>
      <w:spacing w:after="120"/>
      <w:ind w:firstLine="2160"/>
      <w:jc w:val="right"/>
    </w:pPr>
    <w:r>
      <w:t xml:space="preserve">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 w:rsidR="009D09A2">
      <w:rPr>
        <w:noProof/>
      </w:rP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8AE4" w14:textId="77777777" w:rsidR="0066032D" w:rsidRDefault="0066032D" w:rsidP="00886BC4">
      <w:r>
        <w:separator/>
      </w:r>
    </w:p>
    <w:p w14:paraId="7025070B" w14:textId="77777777" w:rsidR="0066032D" w:rsidRDefault="0066032D"/>
  </w:footnote>
  <w:footnote w:type="continuationSeparator" w:id="0">
    <w:p w14:paraId="390E9A47" w14:textId="77777777" w:rsidR="0066032D" w:rsidRDefault="0066032D" w:rsidP="00886BC4">
      <w:r>
        <w:continuationSeparator/>
      </w:r>
    </w:p>
    <w:p w14:paraId="00415F60" w14:textId="77777777" w:rsidR="0066032D" w:rsidRDefault="0066032D"/>
  </w:footnote>
  <w:footnote w:type="continuationNotice" w:id="1">
    <w:p w14:paraId="52CE0ACC" w14:textId="77777777" w:rsidR="0066032D" w:rsidRDefault="0066032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D3132" w14:textId="79DAA51F" w:rsidR="00FA67BC" w:rsidRDefault="006279DB" w:rsidP="00A95D3E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B92C86">
      <w:t>Protected</w:t>
    </w:r>
    <w:r>
      <w:fldChar w:fldCharType="end"/>
    </w:r>
  </w:p>
  <w:p w14:paraId="1DF53CFC" w14:textId="42023AC5" w:rsidR="00FA67BC" w:rsidRDefault="006279DB" w:rsidP="00A95D3E">
    <w:pPr>
      <w:pStyle w:val="DLMSecurityHeader"/>
    </w:pPr>
    <w:r>
      <w:fldChar w:fldCharType="begin"/>
    </w:r>
    <w:r>
      <w:instrText xml:space="preserve"> DOCPROPERTY DLMSecurityClassification \* MERGEFORMAT </w:instrText>
    </w:r>
    <w:r>
      <w:fldChar w:fldCharType="separate"/>
    </w:r>
    <w:r w:rsidR="00B92C86">
      <w:t>Sensitive:  Cabinet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6948B" w14:textId="0262B033" w:rsidR="00FA67BC" w:rsidRPr="00CF5D27" w:rsidRDefault="006279DB" w:rsidP="007F53C0">
    <w:pPr>
      <w:pStyle w:val="Header"/>
    </w:pPr>
    <w:r>
      <w:fldChar w:fldCharType="begin"/>
    </w:r>
    <w:r>
      <w:instrText xml:space="preserve"> STYLEREF  "Fact sheet title"  \* MERGEFORMAT </w:instrText>
    </w:r>
    <w:r>
      <w:fldChar w:fldCharType="separate"/>
    </w:r>
    <w:r w:rsidRPr="006279DB">
      <w:rPr>
        <w:noProof/>
        <w:lang w:val="en-US"/>
      </w:rPr>
      <w:t>Reinsurance pool</w:t>
    </w:r>
    <w:r>
      <w:rPr>
        <w:noProof/>
      </w:rPr>
      <w:t xml:space="preserve"> for cyclones and related flood damage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45C0A" w14:textId="77777777" w:rsidR="00FA67BC" w:rsidRDefault="00FA67BC" w:rsidP="00A95D3E">
    <w:pPr>
      <w:pStyle w:val="SecurityClassification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283D9586" wp14:editId="5D9E0BD9">
          <wp:simplePos x="0" y="0"/>
          <wp:positionH relativeFrom="margin">
            <wp:posOffset>-83820</wp:posOffset>
          </wp:positionH>
          <wp:positionV relativeFrom="page">
            <wp:posOffset>230134</wp:posOffset>
          </wp:positionV>
          <wp:extent cx="3040574" cy="66357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476" t="-9415" r="-32383" b="-14219"/>
                  <a:stretch/>
                </pic:blipFill>
                <pic:spPr bwMode="auto">
                  <a:xfrm>
                    <a:off x="0" y="0"/>
                    <a:ext cx="3040574" cy="663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F45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485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48A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6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AE7F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32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D6CB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941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A2E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421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753AC1FE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3B542D"/>
    <w:multiLevelType w:val="multilevel"/>
    <w:tmpl w:val="850CA9B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296C7C"/>
    <w:multiLevelType w:val="multilevel"/>
    <w:tmpl w:val="805E032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3B2E19AC"/>
    <w:multiLevelType w:val="singleLevel"/>
    <w:tmpl w:val="07664886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cs="Arial"/>
        <w:b w:val="0"/>
        <w:i w:val="0"/>
        <w:color w:val="000000"/>
        <w:sz w:val="16"/>
      </w:rPr>
    </w:lvl>
  </w:abstractNum>
  <w:abstractNum w:abstractNumId="15" w15:restartNumberingAfterBreak="0">
    <w:nsid w:val="55F5709E"/>
    <w:multiLevelType w:val="multilevel"/>
    <w:tmpl w:val="A1AA95D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8C2900"/>
    <w:multiLevelType w:val="multilevel"/>
    <w:tmpl w:val="8894F546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1F1669"/>
    <w:multiLevelType w:val="hybridMultilevel"/>
    <w:tmpl w:val="141029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5224"/>
    <w:multiLevelType w:val="multilevel"/>
    <w:tmpl w:val="CBD89AE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8"/>
  </w:num>
  <w:num w:numId="17">
    <w:abstractNumId w:val="12"/>
  </w:num>
  <w:num w:numId="18">
    <w:abstractNumId w:val="18"/>
  </w:num>
  <w:num w:numId="19">
    <w:abstractNumId w:val="1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VHNrg/3ArZSTp87f7tyWz4flS/JN6d9VEde3mZ6eKSV9RjxOEvjzqqcQMU4u0CT2NyPTVKkO8YINOJwE0bqKTw==" w:salt="3omdSK+N2bmLBwEhXJ51AA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CF5D27"/>
    <w:rsid w:val="00007C5D"/>
    <w:rsid w:val="00016670"/>
    <w:rsid w:val="00016B6C"/>
    <w:rsid w:val="0002151A"/>
    <w:rsid w:val="00033942"/>
    <w:rsid w:val="000410BC"/>
    <w:rsid w:val="000421F9"/>
    <w:rsid w:val="00045C24"/>
    <w:rsid w:val="00060C76"/>
    <w:rsid w:val="00062945"/>
    <w:rsid w:val="00067E65"/>
    <w:rsid w:val="00071DEF"/>
    <w:rsid w:val="000753CE"/>
    <w:rsid w:val="00094730"/>
    <w:rsid w:val="00097D2D"/>
    <w:rsid w:val="000A2A41"/>
    <w:rsid w:val="000A4D2D"/>
    <w:rsid w:val="000B1EC3"/>
    <w:rsid w:val="000B3C90"/>
    <w:rsid w:val="000B4BAF"/>
    <w:rsid w:val="000C02C9"/>
    <w:rsid w:val="000D33F2"/>
    <w:rsid w:val="000D7D2F"/>
    <w:rsid w:val="000E324C"/>
    <w:rsid w:val="000F2493"/>
    <w:rsid w:val="000F2562"/>
    <w:rsid w:val="000F33C9"/>
    <w:rsid w:val="00102238"/>
    <w:rsid w:val="00104F3F"/>
    <w:rsid w:val="00105EBE"/>
    <w:rsid w:val="001145FD"/>
    <w:rsid w:val="00115B2E"/>
    <w:rsid w:val="0011628E"/>
    <w:rsid w:val="0012090E"/>
    <w:rsid w:val="0013112D"/>
    <w:rsid w:val="001363E7"/>
    <w:rsid w:val="001376CC"/>
    <w:rsid w:val="00140697"/>
    <w:rsid w:val="0014178A"/>
    <w:rsid w:val="00144B84"/>
    <w:rsid w:val="0014545F"/>
    <w:rsid w:val="00174954"/>
    <w:rsid w:val="00182E9E"/>
    <w:rsid w:val="00183F40"/>
    <w:rsid w:val="00190D7B"/>
    <w:rsid w:val="00192367"/>
    <w:rsid w:val="001929D8"/>
    <w:rsid w:val="00197414"/>
    <w:rsid w:val="001A049F"/>
    <w:rsid w:val="001A5155"/>
    <w:rsid w:val="001A5DCC"/>
    <w:rsid w:val="001B3A29"/>
    <w:rsid w:val="001B540E"/>
    <w:rsid w:val="001C5117"/>
    <w:rsid w:val="001C52D8"/>
    <w:rsid w:val="001C78AE"/>
    <w:rsid w:val="001C7931"/>
    <w:rsid w:val="001D45A4"/>
    <w:rsid w:val="001E077B"/>
    <w:rsid w:val="001E5623"/>
    <w:rsid w:val="001E6DC2"/>
    <w:rsid w:val="001E7840"/>
    <w:rsid w:val="001E7CF5"/>
    <w:rsid w:val="001F50DA"/>
    <w:rsid w:val="00203245"/>
    <w:rsid w:val="002053A4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3F49"/>
    <w:rsid w:val="0024459F"/>
    <w:rsid w:val="00245342"/>
    <w:rsid w:val="002462BD"/>
    <w:rsid w:val="0024763B"/>
    <w:rsid w:val="00251BD1"/>
    <w:rsid w:val="00260712"/>
    <w:rsid w:val="00263339"/>
    <w:rsid w:val="00271CB7"/>
    <w:rsid w:val="0027443D"/>
    <w:rsid w:val="00280166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2C99"/>
    <w:rsid w:val="002B33EF"/>
    <w:rsid w:val="002B67CB"/>
    <w:rsid w:val="002C26D9"/>
    <w:rsid w:val="002C29F9"/>
    <w:rsid w:val="002D49D1"/>
    <w:rsid w:val="002E601F"/>
    <w:rsid w:val="002E6186"/>
    <w:rsid w:val="002F0868"/>
    <w:rsid w:val="002F417B"/>
    <w:rsid w:val="002F6ADC"/>
    <w:rsid w:val="00300C95"/>
    <w:rsid w:val="00302A51"/>
    <w:rsid w:val="003054A8"/>
    <w:rsid w:val="00306770"/>
    <w:rsid w:val="00307DA3"/>
    <w:rsid w:val="00323E0C"/>
    <w:rsid w:val="00327D31"/>
    <w:rsid w:val="003301B8"/>
    <w:rsid w:val="003305CA"/>
    <w:rsid w:val="00334031"/>
    <w:rsid w:val="0034064A"/>
    <w:rsid w:val="00343DA6"/>
    <w:rsid w:val="0034564D"/>
    <w:rsid w:val="00347C03"/>
    <w:rsid w:val="00353390"/>
    <w:rsid w:val="00357842"/>
    <w:rsid w:val="0036351F"/>
    <w:rsid w:val="00372AC1"/>
    <w:rsid w:val="003770B5"/>
    <w:rsid w:val="003802F4"/>
    <w:rsid w:val="003831AB"/>
    <w:rsid w:val="00383A6D"/>
    <w:rsid w:val="00386599"/>
    <w:rsid w:val="00390C06"/>
    <w:rsid w:val="003A63D1"/>
    <w:rsid w:val="003B6EEB"/>
    <w:rsid w:val="003C047D"/>
    <w:rsid w:val="003C04A2"/>
    <w:rsid w:val="003C0964"/>
    <w:rsid w:val="003C3755"/>
    <w:rsid w:val="003C4F86"/>
    <w:rsid w:val="003C789B"/>
    <w:rsid w:val="003E26C5"/>
    <w:rsid w:val="003F2E2F"/>
    <w:rsid w:val="003F424B"/>
    <w:rsid w:val="004041FD"/>
    <w:rsid w:val="00406519"/>
    <w:rsid w:val="00424288"/>
    <w:rsid w:val="00425E05"/>
    <w:rsid w:val="004327C4"/>
    <w:rsid w:val="00442C7E"/>
    <w:rsid w:val="0044368A"/>
    <w:rsid w:val="00450CCE"/>
    <w:rsid w:val="00451B2C"/>
    <w:rsid w:val="004542B7"/>
    <w:rsid w:val="004546DC"/>
    <w:rsid w:val="004554E6"/>
    <w:rsid w:val="00460C45"/>
    <w:rsid w:val="00463D4E"/>
    <w:rsid w:val="004661E8"/>
    <w:rsid w:val="00466AB3"/>
    <w:rsid w:val="00470BA0"/>
    <w:rsid w:val="0047507F"/>
    <w:rsid w:val="00475FE3"/>
    <w:rsid w:val="00477439"/>
    <w:rsid w:val="00482163"/>
    <w:rsid w:val="00485A3D"/>
    <w:rsid w:val="00486B7C"/>
    <w:rsid w:val="0049056E"/>
    <w:rsid w:val="00490C62"/>
    <w:rsid w:val="00496135"/>
    <w:rsid w:val="0049673E"/>
    <w:rsid w:val="00496C34"/>
    <w:rsid w:val="00496F40"/>
    <w:rsid w:val="004A2AFD"/>
    <w:rsid w:val="004A37EA"/>
    <w:rsid w:val="004A4424"/>
    <w:rsid w:val="004B08DC"/>
    <w:rsid w:val="004B0ADF"/>
    <w:rsid w:val="004B1F82"/>
    <w:rsid w:val="004B56B0"/>
    <w:rsid w:val="004B7303"/>
    <w:rsid w:val="004C5917"/>
    <w:rsid w:val="004C5E48"/>
    <w:rsid w:val="004C7A6D"/>
    <w:rsid w:val="004D0540"/>
    <w:rsid w:val="004D0778"/>
    <w:rsid w:val="004D1182"/>
    <w:rsid w:val="004D63CD"/>
    <w:rsid w:val="004D75F6"/>
    <w:rsid w:val="004E424B"/>
    <w:rsid w:val="004E4945"/>
    <w:rsid w:val="004E71FE"/>
    <w:rsid w:val="004F24D0"/>
    <w:rsid w:val="004F5821"/>
    <w:rsid w:val="00502E10"/>
    <w:rsid w:val="00505009"/>
    <w:rsid w:val="00507097"/>
    <w:rsid w:val="0051017C"/>
    <w:rsid w:val="00512F03"/>
    <w:rsid w:val="0051600D"/>
    <w:rsid w:val="00516FB2"/>
    <w:rsid w:val="00524DCE"/>
    <w:rsid w:val="00525050"/>
    <w:rsid w:val="0053110F"/>
    <w:rsid w:val="00533FEF"/>
    <w:rsid w:val="00535C81"/>
    <w:rsid w:val="00536031"/>
    <w:rsid w:val="00546D8E"/>
    <w:rsid w:val="00546FDD"/>
    <w:rsid w:val="00551340"/>
    <w:rsid w:val="005606FD"/>
    <w:rsid w:val="00565A52"/>
    <w:rsid w:val="00566AD8"/>
    <w:rsid w:val="00570B86"/>
    <w:rsid w:val="005732EB"/>
    <w:rsid w:val="005803BF"/>
    <w:rsid w:val="00582FAD"/>
    <w:rsid w:val="005834F6"/>
    <w:rsid w:val="00585F7E"/>
    <w:rsid w:val="00594ABF"/>
    <w:rsid w:val="00597741"/>
    <w:rsid w:val="005A11E6"/>
    <w:rsid w:val="005A1A8B"/>
    <w:rsid w:val="005A2484"/>
    <w:rsid w:val="005A6A61"/>
    <w:rsid w:val="005A71DC"/>
    <w:rsid w:val="005B0968"/>
    <w:rsid w:val="005B16E2"/>
    <w:rsid w:val="005B207E"/>
    <w:rsid w:val="005B2484"/>
    <w:rsid w:val="005B3871"/>
    <w:rsid w:val="005B3901"/>
    <w:rsid w:val="005B659D"/>
    <w:rsid w:val="005B6B98"/>
    <w:rsid w:val="005C1326"/>
    <w:rsid w:val="005C3527"/>
    <w:rsid w:val="005C4B02"/>
    <w:rsid w:val="005E3DCA"/>
    <w:rsid w:val="005E62D6"/>
    <w:rsid w:val="005F0FBF"/>
    <w:rsid w:val="00606FD6"/>
    <w:rsid w:val="00614971"/>
    <w:rsid w:val="00627218"/>
    <w:rsid w:val="006279DB"/>
    <w:rsid w:val="0063479B"/>
    <w:rsid w:val="00635DD4"/>
    <w:rsid w:val="00637692"/>
    <w:rsid w:val="00642E43"/>
    <w:rsid w:val="0064704A"/>
    <w:rsid w:val="0066032D"/>
    <w:rsid w:val="00664D3A"/>
    <w:rsid w:val="006916AD"/>
    <w:rsid w:val="00694B4F"/>
    <w:rsid w:val="0069544A"/>
    <w:rsid w:val="006A118D"/>
    <w:rsid w:val="006A3972"/>
    <w:rsid w:val="006A712D"/>
    <w:rsid w:val="006D27A6"/>
    <w:rsid w:val="006D3EE7"/>
    <w:rsid w:val="006D6960"/>
    <w:rsid w:val="006E101D"/>
    <w:rsid w:val="006E6F8C"/>
    <w:rsid w:val="006E76BE"/>
    <w:rsid w:val="006F0918"/>
    <w:rsid w:val="006F1217"/>
    <w:rsid w:val="006F33E9"/>
    <w:rsid w:val="006F56A2"/>
    <w:rsid w:val="006F6E04"/>
    <w:rsid w:val="0070448B"/>
    <w:rsid w:val="00705AD6"/>
    <w:rsid w:val="00717216"/>
    <w:rsid w:val="00722F56"/>
    <w:rsid w:val="007301D2"/>
    <w:rsid w:val="007343B8"/>
    <w:rsid w:val="00736715"/>
    <w:rsid w:val="00754242"/>
    <w:rsid w:val="007600FA"/>
    <w:rsid w:val="0076093D"/>
    <w:rsid w:val="00761DA0"/>
    <w:rsid w:val="007622D7"/>
    <w:rsid w:val="00765449"/>
    <w:rsid w:val="007825F2"/>
    <w:rsid w:val="00784A3C"/>
    <w:rsid w:val="00792265"/>
    <w:rsid w:val="007931AA"/>
    <w:rsid w:val="00793BD7"/>
    <w:rsid w:val="0079466D"/>
    <w:rsid w:val="00794EF3"/>
    <w:rsid w:val="007A0659"/>
    <w:rsid w:val="007A11E2"/>
    <w:rsid w:val="007A4195"/>
    <w:rsid w:val="007A6E4D"/>
    <w:rsid w:val="007B429C"/>
    <w:rsid w:val="007B6953"/>
    <w:rsid w:val="007B7784"/>
    <w:rsid w:val="007C104A"/>
    <w:rsid w:val="007C1094"/>
    <w:rsid w:val="007C33A5"/>
    <w:rsid w:val="007D4EB7"/>
    <w:rsid w:val="007D50FE"/>
    <w:rsid w:val="007D6F47"/>
    <w:rsid w:val="007E013D"/>
    <w:rsid w:val="007E0975"/>
    <w:rsid w:val="007E1CDD"/>
    <w:rsid w:val="007E36E4"/>
    <w:rsid w:val="007E5E07"/>
    <w:rsid w:val="007E7046"/>
    <w:rsid w:val="007F53C0"/>
    <w:rsid w:val="007F61E3"/>
    <w:rsid w:val="00812630"/>
    <w:rsid w:val="008139FB"/>
    <w:rsid w:val="00831D8A"/>
    <w:rsid w:val="00832AD6"/>
    <w:rsid w:val="00842D09"/>
    <w:rsid w:val="00853B0C"/>
    <w:rsid w:val="00855366"/>
    <w:rsid w:val="008616B9"/>
    <w:rsid w:val="008619D3"/>
    <w:rsid w:val="008759D7"/>
    <w:rsid w:val="0088159C"/>
    <w:rsid w:val="0088211A"/>
    <w:rsid w:val="00882A22"/>
    <w:rsid w:val="00884F56"/>
    <w:rsid w:val="008854F6"/>
    <w:rsid w:val="00886667"/>
    <w:rsid w:val="00886BC4"/>
    <w:rsid w:val="008972E4"/>
    <w:rsid w:val="008A02F3"/>
    <w:rsid w:val="008A1C1D"/>
    <w:rsid w:val="008A3392"/>
    <w:rsid w:val="008A48CA"/>
    <w:rsid w:val="008A6B15"/>
    <w:rsid w:val="008B1D68"/>
    <w:rsid w:val="008B2938"/>
    <w:rsid w:val="008B395C"/>
    <w:rsid w:val="008B6B7D"/>
    <w:rsid w:val="008C01A6"/>
    <w:rsid w:val="008C5773"/>
    <w:rsid w:val="008C753A"/>
    <w:rsid w:val="008D0CA6"/>
    <w:rsid w:val="008D1596"/>
    <w:rsid w:val="008D4CD0"/>
    <w:rsid w:val="008E0180"/>
    <w:rsid w:val="008E04BD"/>
    <w:rsid w:val="008E35A5"/>
    <w:rsid w:val="008F1AA6"/>
    <w:rsid w:val="008F73C8"/>
    <w:rsid w:val="008F7E69"/>
    <w:rsid w:val="00901494"/>
    <w:rsid w:val="00902C80"/>
    <w:rsid w:val="00903786"/>
    <w:rsid w:val="00903AB2"/>
    <w:rsid w:val="00905F29"/>
    <w:rsid w:val="0090719E"/>
    <w:rsid w:val="00907D4C"/>
    <w:rsid w:val="009109AA"/>
    <w:rsid w:val="00910BAF"/>
    <w:rsid w:val="00926879"/>
    <w:rsid w:val="00931385"/>
    <w:rsid w:val="00933C8C"/>
    <w:rsid w:val="009367F6"/>
    <w:rsid w:val="0093741D"/>
    <w:rsid w:val="00942CB3"/>
    <w:rsid w:val="00944174"/>
    <w:rsid w:val="00951652"/>
    <w:rsid w:val="00952F2F"/>
    <w:rsid w:val="00953336"/>
    <w:rsid w:val="00954E4C"/>
    <w:rsid w:val="00954EE1"/>
    <w:rsid w:val="00965C4B"/>
    <w:rsid w:val="009757BB"/>
    <w:rsid w:val="0098151F"/>
    <w:rsid w:val="00986A46"/>
    <w:rsid w:val="00987645"/>
    <w:rsid w:val="009900A9"/>
    <w:rsid w:val="009906A6"/>
    <w:rsid w:val="00992ADC"/>
    <w:rsid w:val="0099772E"/>
    <w:rsid w:val="009A6D32"/>
    <w:rsid w:val="009A71C4"/>
    <w:rsid w:val="009A7AC1"/>
    <w:rsid w:val="009B15EC"/>
    <w:rsid w:val="009B1781"/>
    <w:rsid w:val="009B1BDF"/>
    <w:rsid w:val="009B2546"/>
    <w:rsid w:val="009B464D"/>
    <w:rsid w:val="009B7AE8"/>
    <w:rsid w:val="009C1F90"/>
    <w:rsid w:val="009C498D"/>
    <w:rsid w:val="009C66A3"/>
    <w:rsid w:val="009D09A2"/>
    <w:rsid w:val="009D616A"/>
    <w:rsid w:val="009E6061"/>
    <w:rsid w:val="00A01086"/>
    <w:rsid w:val="00A05E57"/>
    <w:rsid w:val="00A06EB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6A9A"/>
    <w:rsid w:val="00A47598"/>
    <w:rsid w:val="00A50111"/>
    <w:rsid w:val="00A52C22"/>
    <w:rsid w:val="00A60022"/>
    <w:rsid w:val="00A6514E"/>
    <w:rsid w:val="00A67058"/>
    <w:rsid w:val="00A8449C"/>
    <w:rsid w:val="00A84C3C"/>
    <w:rsid w:val="00A87F4B"/>
    <w:rsid w:val="00A909A3"/>
    <w:rsid w:val="00A91BD2"/>
    <w:rsid w:val="00A940BE"/>
    <w:rsid w:val="00A95D3E"/>
    <w:rsid w:val="00A96316"/>
    <w:rsid w:val="00A9658A"/>
    <w:rsid w:val="00A970ED"/>
    <w:rsid w:val="00AA553F"/>
    <w:rsid w:val="00AB3D33"/>
    <w:rsid w:val="00AC15EE"/>
    <w:rsid w:val="00AC1B27"/>
    <w:rsid w:val="00AC4C62"/>
    <w:rsid w:val="00AC60D4"/>
    <w:rsid w:val="00AE39EE"/>
    <w:rsid w:val="00AF2898"/>
    <w:rsid w:val="00B020B7"/>
    <w:rsid w:val="00B129C3"/>
    <w:rsid w:val="00B13330"/>
    <w:rsid w:val="00B15B56"/>
    <w:rsid w:val="00B200E6"/>
    <w:rsid w:val="00B24C1C"/>
    <w:rsid w:val="00B32830"/>
    <w:rsid w:val="00B42FAF"/>
    <w:rsid w:val="00B4762E"/>
    <w:rsid w:val="00B47CA2"/>
    <w:rsid w:val="00B50FEA"/>
    <w:rsid w:val="00B51175"/>
    <w:rsid w:val="00B5397C"/>
    <w:rsid w:val="00B54FA9"/>
    <w:rsid w:val="00B57B0B"/>
    <w:rsid w:val="00B62BCA"/>
    <w:rsid w:val="00B64308"/>
    <w:rsid w:val="00B71F74"/>
    <w:rsid w:val="00B73C23"/>
    <w:rsid w:val="00B771FF"/>
    <w:rsid w:val="00B80EA9"/>
    <w:rsid w:val="00B82452"/>
    <w:rsid w:val="00B82C45"/>
    <w:rsid w:val="00B86041"/>
    <w:rsid w:val="00B87376"/>
    <w:rsid w:val="00B92C86"/>
    <w:rsid w:val="00B97CEF"/>
    <w:rsid w:val="00BA054F"/>
    <w:rsid w:val="00BA367D"/>
    <w:rsid w:val="00BA3721"/>
    <w:rsid w:val="00BA7802"/>
    <w:rsid w:val="00BB059B"/>
    <w:rsid w:val="00BB4B21"/>
    <w:rsid w:val="00BC2D0F"/>
    <w:rsid w:val="00BD3C26"/>
    <w:rsid w:val="00BD7EA0"/>
    <w:rsid w:val="00BE2210"/>
    <w:rsid w:val="00BE3DF2"/>
    <w:rsid w:val="00BE5AC7"/>
    <w:rsid w:val="00BF370E"/>
    <w:rsid w:val="00BF3E58"/>
    <w:rsid w:val="00BF4A8E"/>
    <w:rsid w:val="00BF4CF9"/>
    <w:rsid w:val="00BF73E4"/>
    <w:rsid w:val="00BF75D8"/>
    <w:rsid w:val="00C05932"/>
    <w:rsid w:val="00C0628D"/>
    <w:rsid w:val="00C13E4F"/>
    <w:rsid w:val="00C14BAB"/>
    <w:rsid w:val="00C222C6"/>
    <w:rsid w:val="00C23C8C"/>
    <w:rsid w:val="00C246D5"/>
    <w:rsid w:val="00C3042D"/>
    <w:rsid w:val="00C362B7"/>
    <w:rsid w:val="00C3693F"/>
    <w:rsid w:val="00C37A6A"/>
    <w:rsid w:val="00C436B8"/>
    <w:rsid w:val="00C443D7"/>
    <w:rsid w:val="00C525F7"/>
    <w:rsid w:val="00C60C14"/>
    <w:rsid w:val="00C632CA"/>
    <w:rsid w:val="00C639E4"/>
    <w:rsid w:val="00C668EC"/>
    <w:rsid w:val="00C71ACF"/>
    <w:rsid w:val="00C71CED"/>
    <w:rsid w:val="00C73F34"/>
    <w:rsid w:val="00C778C6"/>
    <w:rsid w:val="00C80C62"/>
    <w:rsid w:val="00C82A8A"/>
    <w:rsid w:val="00C8634C"/>
    <w:rsid w:val="00CA168B"/>
    <w:rsid w:val="00CA4694"/>
    <w:rsid w:val="00CA4724"/>
    <w:rsid w:val="00CB032B"/>
    <w:rsid w:val="00CB0554"/>
    <w:rsid w:val="00CB47A1"/>
    <w:rsid w:val="00CC5606"/>
    <w:rsid w:val="00CC6096"/>
    <w:rsid w:val="00CC678B"/>
    <w:rsid w:val="00CD02A5"/>
    <w:rsid w:val="00CD0813"/>
    <w:rsid w:val="00CD2B85"/>
    <w:rsid w:val="00CD7F0B"/>
    <w:rsid w:val="00CE7215"/>
    <w:rsid w:val="00CF1EA3"/>
    <w:rsid w:val="00CF5A2D"/>
    <w:rsid w:val="00CF5D27"/>
    <w:rsid w:val="00D044DC"/>
    <w:rsid w:val="00D05A02"/>
    <w:rsid w:val="00D0725D"/>
    <w:rsid w:val="00D11F38"/>
    <w:rsid w:val="00D11F49"/>
    <w:rsid w:val="00D17467"/>
    <w:rsid w:val="00D17AC4"/>
    <w:rsid w:val="00D2150F"/>
    <w:rsid w:val="00D215DF"/>
    <w:rsid w:val="00D21B73"/>
    <w:rsid w:val="00D30601"/>
    <w:rsid w:val="00D33E3B"/>
    <w:rsid w:val="00D40B85"/>
    <w:rsid w:val="00D421C9"/>
    <w:rsid w:val="00D44FCB"/>
    <w:rsid w:val="00D535AC"/>
    <w:rsid w:val="00D555C7"/>
    <w:rsid w:val="00D566F4"/>
    <w:rsid w:val="00D567B8"/>
    <w:rsid w:val="00D60855"/>
    <w:rsid w:val="00D621F5"/>
    <w:rsid w:val="00D72A7D"/>
    <w:rsid w:val="00D72F16"/>
    <w:rsid w:val="00D81F86"/>
    <w:rsid w:val="00D96E05"/>
    <w:rsid w:val="00DC075C"/>
    <w:rsid w:val="00DC6FBB"/>
    <w:rsid w:val="00DD5D38"/>
    <w:rsid w:val="00DE05FE"/>
    <w:rsid w:val="00DE532B"/>
    <w:rsid w:val="00DE5EE8"/>
    <w:rsid w:val="00DF0B01"/>
    <w:rsid w:val="00DF56B6"/>
    <w:rsid w:val="00DF5A46"/>
    <w:rsid w:val="00E02ED4"/>
    <w:rsid w:val="00E10B5B"/>
    <w:rsid w:val="00E11105"/>
    <w:rsid w:val="00E13E72"/>
    <w:rsid w:val="00E16356"/>
    <w:rsid w:val="00E16939"/>
    <w:rsid w:val="00E17187"/>
    <w:rsid w:val="00E1766A"/>
    <w:rsid w:val="00E267E6"/>
    <w:rsid w:val="00E3416C"/>
    <w:rsid w:val="00E34501"/>
    <w:rsid w:val="00E34CB1"/>
    <w:rsid w:val="00E35B8F"/>
    <w:rsid w:val="00E40078"/>
    <w:rsid w:val="00E4461B"/>
    <w:rsid w:val="00E44B6A"/>
    <w:rsid w:val="00E4520C"/>
    <w:rsid w:val="00E471B8"/>
    <w:rsid w:val="00E5147E"/>
    <w:rsid w:val="00E56717"/>
    <w:rsid w:val="00E633D0"/>
    <w:rsid w:val="00E64B67"/>
    <w:rsid w:val="00E65083"/>
    <w:rsid w:val="00E669CD"/>
    <w:rsid w:val="00E72832"/>
    <w:rsid w:val="00E74289"/>
    <w:rsid w:val="00E755BA"/>
    <w:rsid w:val="00E83A1D"/>
    <w:rsid w:val="00E847A7"/>
    <w:rsid w:val="00E85FF2"/>
    <w:rsid w:val="00E867E8"/>
    <w:rsid w:val="00E86A5A"/>
    <w:rsid w:val="00E86CBA"/>
    <w:rsid w:val="00E90E39"/>
    <w:rsid w:val="00E913C5"/>
    <w:rsid w:val="00E93C25"/>
    <w:rsid w:val="00E942DB"/>
    <w:rsid w:val="00EA3521"/>
    <w:rsid w:val="00EA5D8D"/>
    <w:rsid w:val="00EB1557"/>
    <w:rsid w:val="00EC2A56"/>
    <w:rsid w:val="00ED3522"/>
    <w:rsid w:val="00ED5D6B"/>
    <w:rsid w:val="00EE570F"/>
    <w:rsid w:val="00EE5F89"/>
    <w:rsid w:val="00EF1B2D"/>
    <w:rsid w:val="00F0196A"/>
    <w:rsid w:val="00F07B2D"/>
    <w:rsid w:val="00F14885"/>
    <w:rsid w:val="00F172EE"/>
    <w:rsid w:val="00F22FC2"/>
    <w:rsid w:val="00F248B6"/>
    <w:rsid w:val="00F31637"/>
    <w:rsid w:val="00F31ED0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64B6E"/>
    <w:rsid w:val="00F70ADE"/>
    <w:rsid w:val="00F7256C"/>
    <w:rsid w:val="00F75A59"/>
    <w:rsid w:val="00F7650A"/>
    <w:rsid w:val="00F84A52"/>
    <w:rsid w:val="00F94CE3"/>
    <w:rsid w:val="00F95DDF"/>
    <w:rsid w:val="00F96108"/>
    <w:rsid w:val="00FA4C33"/>
    <w:rsid w:val="00FA67BC"/>
    <w:rsid w:val="00FA70A7"/>
    <w:rsid w:val="00FB5337"/>
    <w:rsid w:val="00FB7AEB"/>
    <w:rsid w:val="00FC2874"/>
    <w:rsid w:val="00FC2E34"/>
    <w:rsid w:val="00FC454E"/>
    <w:rsid w:val="00FD06DF"/>
    <w:rsid w:val="00FD0B4D"/>
    <w:rsid w:val="00FD644A"/>
    <w:rsid w:val="00FE316C"/>
    <w:rsid w:val="00FF4459"/>
    <w:rsid w:val="00FF4C1F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24A8A9"/>
  <w15:docId w15:val="{439B52B1-417A-4CB6-890A-677BE453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5B"/>
    <w:pPr>
      <w:spacing w:before="120" w:line="276" w:lineRule="auto"/>
    </w:pPr>
    <w:rPr>
      <w:rFonts w:ascii="Calibri Light" w:hAnsi="Calibri Light"/>
      <w:color w:val="0D0D0D" w:themeColor="text1" w:themeTint="F2"/>
      <w:sz w:val="22"/>
    </w:rPr>
  </w:style>
  <w:style w:type="paragraph" w:styleId="Heading1">
    <w:name w:val="heading 1"/>
    <w:basedOn w:val="Factsheettitle"/>
    <w:next w:val="Normal"/>
    <w:link w:val="Heading1Char"/>
    <w:uiPriority w:val="9"/>
    <w:qFormat/>
    <w:rsid w:val="00233A88"/>
    <w:pPr>
      <w:spacing w:before="600" w:after="120" w:line="460" w:lineRule="exact"/>
      <w:outlineLvl w:val="0"/>
    </w:pPr>
    <w:rPr>
      <w:rFonts w:asciiTheme="minorHAnsi" w:hAnsiTheme="minorHAnsi" w:cstheme="minorHAnsi"/>
      <w:b/>
      <w:color w:val="5D779D" w:themeColor="accent3"/>
      <w:spacing w:val="0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E077B"/>
    <w:pPr>
      <w:keepNext/>
      <w:spacing w:before="0"/>
      <w:outlineLvl w:val="1"/>
    </w:pPr>
    <w:rPr>
      <w:b w:val="0"/>
      <w:color w:val="2C384A" w:themeColor="accent1"/>
      <w:sz w:val="36"/>
      <w:szCs w:val="36"/>
    </w:rPr>
  </w:style>
  <w:style w:type="paragraph" w:styleId="Heading3">
    <w:name w:val="heading 3"/>
    <w:basedOn w:val="Bullets"/>
    <w:next w:val="Normal"/>
    <w:link w:val="Heading3Char"/>
    <w:uiPriority w:val="9"/>
    <w:unhideWhenUsed/>
    <w:qFormat/>
    <w:rsid w:val="00F61E2F"/>
    <w:pPr>
      <w:spacing w:before="320"/>
      <w:outlineLvl w:val="2"/>
    </w:pPr>
    <w:rPr>
      <w:rFonts w:ascii="Calibri" w:hAnsi="Calibri"/>
      <w:b/>
      <w:bCs/>
      <w:color w:val="4D7861" w:themeColor="accent2"/>
      <w:sz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1E2F"/>
    <w:pPr>
      <w:keepNext/>
      <w:keepLines/>
      <w:spacing w:before="280"/>
      <w:outlineLvl w:val="3"/>
    </w:pPr>
    <w:rPr>
      <w:rFonts w:eastAsiaTheme="majorEastAsia" w:cstheme="majorBidi"/>
      <w:iCs/>
      <w:color w:val="4D7861" w:themeColor="accent2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61E2F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21293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1F74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i/>
      <w:color w:val="161B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D27"/>
    <w:pPr>
      <w:tabs>
        <w:tab w:val="center" w:pos="4513"/>
        <w:tab w:val="right" w:pos="9026"/>
      </w:tabs>
      <w:jc w:val="right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CF5D27"/>
    <w:rPr>
      <w:rFonts w:ascii="Calibri Light" w:hAnsi="Calibri Light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502E10"/>
    <w:pPr>
      <w:tabs>
        <w:tab w:val="left" w:pos="5670"/>
        <w:tab w:val="right" w:pos="8505"/>
      </w:tabs>
    </w:pPr>
    <w:rPr>
      <w:rFonts w:ascii="Calibri" w:hAnsi="Calibri"/>
      <w:color w:val="10253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02E10"/>
    <w:rPr>
      <w:color w:val="10253A"/>
      <w:sz w:val="18"/>
    </w:rPr>
  </w:style>
  <w:style w:type="paragraph" w:customStyle="1" w:styleId="Factsheettitle">
    <w:name w:val="Fact sheet title"/>
    <w:basedOn w:val="Normal"/>
    <w:qFormat/>
    <w:rsid w:val="001E077B"/>
    <w:pPr>
      <w:spacing w:before="0" w:line="240" w:lineRule="auto"/>
    </w:pPr>
    <w:rPr>
      <w:rFonts w:ascii="Calibri" w:hAnsi="Calibri"/>
      <w:color w:val="2C384A" w:themeColor="accent1"/>
      <w:spacing w:val="-14"/>
      <w:sz w:val="52"/>
      <w:szCs w:val="68"/>
    </w:rPr>
  </w:style>
  <w:style w:type="character" w:customStyle="1" w:styleId="Heading1Char">
    <w:name w:val="Heading 1 Char"/>
    <w:basedOn w:val="DefaultParagraphFont"/>
    <w:link w:val="Heading1"/>
    <w:uiPriority w:val="9"/>
    <w:rsid w:val="00233A88"/>
    <w:rPr>
      <w:rFonts w:asciiTheme="minorHAnsi" w:hAnsiTheme="minorHAnsi" w:cstheme="minorHAnsi"/>
      <w:b/>
      <w:color w:val="5D779D" w:themeColor="accent3"/>
      <w:sz w:val="44"/>
      <w:szCs w:val="44"/>
    </w:rPr>
  </w:style>
  <w:style w:type="paragraph" w:customStyle="1" w:styleId="Bullets">
    <w:name w:val="Bullets"/>
    <w:basedOn w:val="Normal"/>
    <w:link w:val="BulletsChar"/>
    <w:uiPriority w:val="99"/>
    <w:qFormat/>
    <w:rsid w:val="008C5773"/>
  </w:style>
  <w:style w:type="character" w:customStyle="1" w:styleId="BulletsChar">
    <w:name w:val="Bullets Char"/>
    <w:basedOn w:val="DefaultParagraphFont"/>
    <w:link w:val="Bullets"/>
    <w:rsid w:val="008C5773"/>
    <w:rPr>
      <w:sz w:val="22"/>
    </w:rPr>
  </w:style>
  <w:style w:type="paragraph" w:customStyle="1" w:styleId="Dash">
    <w:name w:val="Dash"/>
    <w:basedOn w:val="Normal"/>
    <w:link w:val="DashChar"/>
    <w:qFormat/>
    <w:rsid w:val="00525050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525050"/>
    <w:rPr>
      <w:rFonts w:ascii="Calibri Light" w:hAnsi="Calibri Light"/>
      <w:color w:val="0D0D0D" w:themeColor="text1" w:themeTint="F2"/>
      <w:sz w:val="22"/>
    </w:rPr>
  </w:style>
  <w:style w:type="paragraph" w:customStyle="1" w:styleId="DoubleDot">
    <w:name w:val="Double Dot"/>
    <w:basedOn w:val="Normal"/>
    <w:link w:val="DoubleDotChar"/>
    <w:qFormat/>
    <w:rsid w:val="00505009"/>
    <w:pPr>
      <w:numPr>
        <w:ilvl w:val="2"/>
        <w:numId w:val="1"/>
      </w:numPr>
      <w:tabs>
        <w:tab w:val="left" w:pos="567"/>
      </w:tabs>
    </w:pPr>
  </w:style>
  <w:style w:type="character" w:customStyle="1" w:styleId="DoubleDotChar">
    <w:name w:val="Double Dot Char"/>
    <w:basedOn w:val="DefaultParagraphFont"/>
    <w:link w:val="DoubleDot"/>
    <w:rsid w:val="00505009"/>
    <w:rPr>
      <w:rFonts w:ascii="Calibri Light" w:hAnsi="Calibri Light"/>
      <w:color w:val="0D0D0D" w:themeColor="text1" w:themeTint="F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1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E077B"/>
    <w:rPr>
      <w:rFonts w:asciiTheme="minorHAnsi" w:hAnsiTheme="minorHAnsi" w:cstheme="minorHAnsi"/>
      <w:color w:val="2C384A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61E2F"/>
    <w:rPr>
      <w:b/>
      <w:bCs/>
      <w:color w:val="4D7861" w:themeColor="accent2"/>
      <w:sz w:val="2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61E2F"/>
    <w:rPr>
      <w:rFonts w:ascii="Calibri Light" w:eastAsiaTheme="majorEastAsia" w:hAnsi="Calibri Light" w:cstheme="majorBidi"/>
      <w:iCs/>
      <w:color w:val="4D7861" w:themeColor="accent2"/>
      <w:sz w:val="24"/>
      <w:lang w:eastAsia="en-AU"/>
    </w:rPr>
  </w:style>
  <w:style w:type="table" w:styleId="TableGrid">
    <w:name w:val="Table Grid"/>
    <w:basedOn w:val="TableNormal"/>
    <w:rsid w:val="00CD02A5"/>
    <w:tblPr>
      <w:tblBorders>
        <w:top w:val="single" w:sz="2" w:space="0" w:color="212937" w:themeColor="accent1" w:themeShade="BF"/>
        <w:left w:val="single" w:sz="2" w:space="0" w:color="212937" w:themeColor="accent1" w:themeShade="BF"/>
        <w:bottom w:val="single" w:sz="2" w:space="0" w:color="212937" w:themeColor="accent1" w:themeShade="BF"/>
        <w:right w:val="single" w:sz="2" w:space="0" w:color="212937" w:themeColor="accent1" w:themeShade="BF"/>
        <w:insideH w:val="single" w:sz="2" w:space="0" w:color="212937" w:themeColor="accent1" w:themeShade="BF"/>
        <w:insideV w:val="single" w:sz="2" w:space="0" w:color="212937" w:themeColor="accent1" w:themeShade="BF"/>
      </w:tblBorders>
    </w:tblPr>
    <w:tblStylePr w:type="firstRow">
      <w:rPr>
        <w:rFonts w:ascii="Calibri" w:hAnsi="Calibri"/>
        <w:b/>
        <w:i w:val="0"/>
        <w:color w:val="FFFFFF" w:themeColor="background1"/>
        <w:sz w:val="20"/>
      </w:rPr>
      <w:tblPr/>
      <w:tcPr>
        <w:shd w:val="clear" w:color="auto" w:fill="212937" w:themeFill="accent1" w:themeFillShade="B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DF5A46"/>
    <w:pPr>
      <w:spacing w:after="160"/>
    </w:pPr>
    <w:rPr>
      <w:rFonts w:ascii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A46"/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DF5A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9EE"/>
    <w:pPr>
      <w:spacing w:after="120"/>
    </w:pPr>
    <w:rPr>
      <w:rFonts w:ascii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9EE"/>
    <w:rPr>
      <w:rFonts w:asciiTheme="minorHAnsi" w:hAnsiTheme="minorHAnsi" w:cstheme="minorBid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Subtitle"/>
    <w:qFormat/>
    <w:rsid w:val="00E847A7"/>
    <w:pPr>
      <w:spacing w:before="0" w:after="240" w:line="240" w:lineRule="auto"/>
    </w:pPr>
    <w:rPr>
      <w:rFonts w:ascii="Calibri" w:hAnsi="Calibri"/>
      <w:color w:val="10263B"/>
      <w:spacing w:val="0"/>
      <w:sz w:val="26"/>
      <w:szCs w:val="26"/>
      <w:lang w:eastAsia="zh-CN"/>
    </w:rPr>
  </w:style>
  <w:style w:type="character" w:styleId="Hyperlink">
    <w:name w:val="Hyperlink"/>
    <w:basedOn w:val="DefaultParagraphFont"/>
    <w:uiPriority w:val="99"/>
    <w:unhideWhenUsed/>
    <w:rsid w:val="000B3C90"/>
    <w:rPr>
      <w:color w:val="00864E"/>
      <w:u w:val="none"/>
    </w:rPr>
  </w:style>
  <w:style w:type="paragraph" w:customStyle="1" w:styleId="CABParagraph">
    <w:name w:val="CAB Paragraph"/>
    <w:basedOn w:val="BodyText"/>
    <w:link w:val="CABParagraphChar"/>
    <w:uiPriority w:val="98"/>
    <w:rsid w:val="0047507F"/>
    <w:pPr>
      <w:spacing w:after="0" w:line="240" w:lineRule="auto"/>
    </w:pPr>
    <w:rPr>
      <w:rFonts w:ascii="Arial" w:hAnsi="Arial" w:cstheme="minorBidi"/>
      <w:color w:val="auto"/>
      <w:szCs w:val="22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0047507F"/>
    <w:rPr>
      <w:rFonts w:ascii="Arial" w:hAnsi="Arial" w:cstheme="min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0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50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0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07F"/>
    <w:rPr>
      <w:rFonts w:ascii="Calibri Light" w:hAnsi="Calibri Light"/>
      <w:color w:val="0D0D0D" w:themeColor="text1" w:themeTint="F2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9A71C4"/>
    <w:pPr>
      <w:spacing w:before="0" w:line="240" w:lineRule="auto"/>
      <w:contextualSpacing/>
      <w:jc w:val="right"/>
    </w:pPr>
    <w:rPr>
      <w:rFonts w:eastAsiaTheme="majorEastAsia" w:cstheme="majorBidi"/>
      <w:noProof/>
      <w:color w:val="FFFFFF" w:themeColor="background1"/>
      <w:spacing w:val="6"/>
      <w:kern w:val="28"/>
      <w:sz w:val="24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9A71C4"/>
    <w:rPr>
      <w:rFonts w:ascii="Calibri Light" w:eastAsiaTheme="majorEastAsia" w:hAnsi="Calibri Light" w:cstheme="majorBidi"/>
      <w:noProof/>
      <w:color w:val="FFFFFF" w:themeColor="background1"/>
      <w:spacing w:val="6"/>
      <w:kern w:val="28"/>
      <w:sz w:val="24"/>
      <w:szCs w:val="2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51652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722F5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F61E2F"/>
    <w:rPr>
      <w:rFonts w:asciiTheme="majorHAnsi" w:eastAsiaTheme="majorEastAsia" w:hAnsiTheme="majorHAnsi" w:cstheme="majorBidi"/>
      <w:b/>
      <w:color w:val="212937" w:themeColor="accent1" w:themeShade="BF"/>
      <w:sz w:val="22"/>
    </w:rPr>
  </w:style>
  <w:style w:type="paragraph" w:customStyle="1" w:styleId="BoxHeading">
    <w:name w:val="Box Heading"/>
    <w:basedOn w:val="Normal"/>
    <w:next w:val="Normal"/>
    <w:rsid w:val="00045C24"/>
    <w:pPr>
      <w:keepNext/>
      <w:spacing w:after="120" w:line="240" w:lineRule="auto"/>
    </w:pPr>
    <w:rPr>
      <w:rFonts w:ascii="Calibri" w:eastAsia="Times New Roman" w:hAnsi="Calibri"/>
      <w:b/>
      <w:color w:val="2C384A" w:themeColor="accent1"/>
      <w:sz w:val="28"/>
      <w:szCs w:val="26"/>
      <w:lang w:eastAsia="en-AU"/>
    </w:rPr>
  </w:style>
  <w:style w:type="paragraph" w:customStyle="1" w:styleId="BoxText">
    <w:name w:val="Box Text"/>
    <w:basedOn w:val="Normal"/>
    <w:link w:val="BoxTextChar"/>
    <w:rsid w:val="008F7E69"/>
    <w:pPr>
      <w:spacing w:after="120" w:line="240" w:lineRule="auto"/>
    </w:pPr>
    <w:rPr>
      <w:rFonts w:eastAsia="Times New Roman"/>
      <w:color w:val="auto"/>
      <w:lang w:eastAsia="en-AU"/>
    </w:rPr>
  </w:style>
  <w:style w:type="paragraph" w:customStyle="1" w:styleId="Bullet">
    <w:name w:val="Bullet"/>
    <w:aliases w:val="Body,b,b + line,b1,level 1,Bullet + line"/>
    <w:basedOn w:val="Normal"/>
    <w:link w:val="BulletChar"/>
    <w:qFormat/>
    <w:rsid w:val="00525050"/>
    <w:pPr>
      <w:numPr>
        <w:numId w:val="1"/>
      </w:numPr>
    </w:pPr>
    <w:rPr>
      <w:rFonts w:eastAsia="Times New Roman"/>
      <w:lang w:eastAsia="en-AU"/>
    </w:rPr>
  </w:style>
  <w:style w:type="character" w:customStyle="1" w:styleId="BoxTextChar">
    <w:name w:val="Box Text Char"/>
    <w:basedOn w:val="DefaultParagraphFont"/>
    <w:link w:val="BoxText"/>
    <w:rsid w:val="008F7E69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aliases w:val="b + line Char Char,b Char,b Char Char,Body Char,Bullet + line Char,L Char,List Paragraph Char,List Paragraph1 Char,List Paragraph11 Char,List Paragraph2 Char,Number Char,Recommendation Char,b + line Char,b1 Char,level 1 Char"/>
    <w:basedOn w:val="BoxTextChar"/>
    <w:link w:val="Bullet"/>
    <w:qFormat/>
    <w:rsid w:val="00525050"/>
    <w:rPr>
      <w:rFonts w:ascii="Calibri Light" w:eastAsia="Times New Roman" w:hAnsi="Calibri Light"/>
      <w:color w:val="0D0D0D" w:themeColor="text1" w:themeTint="F2"/>
      <w:sz w:val="22"/>
      <w:lang w:eastAsia="en-AU"/>
    </w:rPr>
  </w:style>
  <w:style w:type="paragraph" w:customStyle="1" w:styleId="Boxbullet">
    <w:name w:val="Box bullet"/>
    <w:basedOn w:val="Bullet"/>
    <w:qFormat/>
    <w:rsid w:val="00505009"/>
    <w:pPr>
      <w:spacing w:before="60"/>
    </w:pPr>
  </w:style>
  <w:style w:type="paragraph" w:customStyle="1" w:styleId="Boxdash">
    <w:name w:val="Box dash"/>
    <w:basedOn w:val="Dash"/>
    <w:qFormat/>
    <w:rsid w:val="00505009"/>
    <w:pPr>
      <w:spacing w:before="60"/>
    </w:pPr>
  </w:style>
  <w:style w:type="paragraph" w:customStyle="1" w:styleId="Boxdoubledot">
    <w:name w:val="Box double dot"/>
    <w:basedOn w:val="DoubleDot"/>
    <w:qFormat/>
    <w:rsid w:val="00505009"/>
    <w:pPr>
      <w:spacing w:before="60"/>
      <w:ind w:hanging="142"/>
    </w:p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71F74"/>
    <w:rPr>
      <w:rFonts w:asciiTheme="majorHAnsi" w:eastAsiaTheme="majorEastAsia" w:hAnsiTheme="majorHAnsi" w:cstheme="majorBidi"/>
      <w:i/>
      <w:color w:val="161B24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uiPriority w:val="1"/>
    <w:rsid w:val="00E10B5B"/>
    <w:rPr>
      <w:rFonts w:ascii="Calibri Light" w:hAnsi="Calibri Light"/>
      <w:color w:val="0D0D0D" w:themeColor="text1" w:themeTint="F2"/>
      <w:sz w:val="22"/>
    </w:rPr>
  </w:style>
  <w:style w:type="paragraph" w:customStyle="1" w:styleId="ReportDate">
    <w:name w:val="Report Date"/>
    <w:basedOn w:val="Normal"/>
    <w:link w:val="ReportDateChar"/>
    <w:rsid w:val="00CF5D27"/>
    <w:pPr>
      <w:keepNext/>
      <w:spacing w:before="0" w:after="360" w:line="240" w:lineRule="auto"/>
    </w:pPr>
    <w:rPr>
      <w:rFonts w:ascii="Calibri" w:eastAsia="Times New Roman" w:hAnsi="Calibri"/>
      <w:color w:val="E8F0FC" w:themeColor="accent5" w:themeTint="33"/>
      <w:sz w:val="24"/>
      <w:lang w:eastAsia="en-AU"/>
    </w:rPr>
  </w:style>
  <w:style w:type="numbering" w:customStyle="1" w:styleId="BulletedList">
    <w:name w:val="Bulleted List"/>
    <w:uiPriority w:val="99"/>
    <w:rsid w:val="00CF5D27"/>
    <w:pPr>
      <w:numPr>
        <w:numId w:val="21"/>
      </w:numPr>
    </w:pPr>
  </w:style>
  <w:style w:type="character" w:customStyle="1" w:styleId="ReportDateChar">
    <w:name w:val="Report Date Char"/>
    <w:basedOn w:val="DefaultParagraphFont"/>
    <w:link w:val="ReportDate"/>
    <w:rsid w:val="00CF5D27"/>
    <w:rPr>
      <w:rFonts w:eastAsia="Times New Roman"/>
      <w:color w:val="E8F0FC" w:themeColor="accent5" w:themeTint="33"/>
      <w:sz w:val="24"/>
      <w:lang w:eastAsia="en-AU"/>
    </w:rPr>
  </w:style>
  <w:style w:type="character" w:customStyle="1" w:styleId="normaltextrun">
    <w:name w:val="normaltextrun"/>
    <w:basedOn w:val="DefaultParagraphFont"/>
    <w:rsid w:val="00CF5D27"/>
  </w:style>
  <w:style w:type="paragraph" w:customStyle="1" w:styleId="SecurityClassificationHeader">
    <w:name w:val="Security Classification Header"/>
    <w:link w:val="SecurityClassificationHeaderChar"/>
    <w:rsid w:val="00A95D3E"/>
    <w:pPr>
      <w:spacing w:before="240" w:after="60"/>
      <w:jc w:val="center"/>
    </w:pPr>
    <w:rPr>
      <w:rFonts w:ascii="Calibri Light" w:hAnsi="Calibri Light" w:cs="Calibri"/>
      <w:b/>
      <w:caps/>
      <w:color w:val="595959" w:themeColor="text1" w:themeTint="A6"/>
      <w:sz w:val="24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A95D3E"/>
    <w:rPr>
      <w:rFonts w:ascii="Calibri Light" w:hAnsi="Calibri Light" w:cs="Calibri"/>
      <w:b/>
      <w:caps/>
      <w:color w:val="595959" w:themeColor="text1" w:themeTint="A6"/>
      <w:sz w:val="24"/>
    </w:rPr>
  </w:style>
  <w:style w:type="paragraph" w:customStyle="1" w:styleId="SecurityClassificationFooter">
    <w:name w:val="Security Classification Footer"/>
    <w:link w:val="SecurityClassificationFooterChar"/>
    <w:rsid w:val="00A95D3E"/>
    <w:pPr>
      <w:spacing w:before="60" w:after="240"/>
      <w:jc w:val="center"/>
    </w:pPr>
    <w:rPr>
      <w:rFonts w:ascii="Calibri Light" w:hAnsi="Calibri Light" w:cs="Calibri"/>
      <w:b/>
      <w:caps/>
      <w:color w:val="595959" w:themeColor="text1" w:themeTint="A6"/>
      <w:sz w:val="24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A95D3E"/>
    <w:rPr>
      <w:rFonts w:ascii="Calibri Light" w:hAnsi="Calibri Light" w:cs="Calibri"/>
      <w:b/>
      <w:caps/>
      <w:color w:val="595959" w:themeColor="text1" w:themeTint="A6"/>
      <w:sz w:val="24"/>
    </w:rPr>
  </w:style>
  <w:style w:type="paragraph" w:customStyle="1" w:styleId="DLMSecurityHeader">
    <w:name w:val="DLM Security Header"/>
    <w:link w:val="DLMSecurityHeaderChar"/>
    <w:rsid w:val="00A95D3E"/>
    <w:pPr>
      <w:spacing w:before="60" w:after="240"/>
      <w:jc w:val="center"/>
    </w:pPr>
    <w:rPr>
      <w:rFonts w:ascii="Calibri Light" w:hAnsi="Calibri Light" w:cs="Calibri"/>
      <w:b/>
      <w:caps/>
      <w:color w:val="595959" w:themeColor="text1" w:themeTint="A6"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A95D3E"/>
    <w:rPr>
      <w:rFonts w:ascii="Calibri Light" w:hAnsi="Calibri Light" w:cs="Calibri"/>
      <w:b/>
      <w:caps/>
      <w:color w:val="595959" w:themeColor="text1" w:themeTint="A6"/>
      <w:sz w:val="24"/>
    </w:rPr>
  </w:style>
  <w:style w:type="paragraph" w:customStyle="1" w:styleId="DLMSecurityFooter">
    <w:name w:val="DLM Security Footer"/>
    <w:link w:val="DLMSecurityFooterChar"/>
    <w:rsid w:val="00A95D3E"/>
    <w:pPr>
      <w:spacing w:before="240" w:after="60"/>
      <w:jc w:val="center"/>
    </w:pPr>
    <w:rPr>
      <w:rFonts w:ascii="Calibri Light" w:hAnsi="Calibri Light" w:cs="Calibri"/>
      <w:b/>
      <w:caps/>
      <w:color w:val="595959" w:themeColor="text1" w:themeTint="A6"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A95D3E"/>
    <w:rPr>
      <w:rFonts w:ascii="Calibri Light" w:hAnsi="Calibri Light" w:cs="Calibri"/>
      <w:b/>
      <w:caps/>
      <w:color w:val="595959" w:themeColor="text1" w:themeTint="A6"/>
      <w:sz w:val="24"/>
    </w:rPr>
  </w:style>
  <w:style w:type="table" w:customStyle="1" w:styleId="TableGrid2">
    <w:name w:val="Table Grid2"/>
    <w:basedOn w:val="TableNormal"/>
    <w:next w:val="TableGrid"/>
    <w:uiPriority w:val="39"/>
    <w:rsid w:val="008C753A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42747" ma:contentTypeDescription=" " ma:contentTypeScope="" ma:versionID="11a612c3fabc075d624b1daa8f92c03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faace66eee09dd00d31999baff3aeec5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8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42</Value>
    </TaxCatchAll>
    <_dlc_DocId xmlns="0f563589-9cf9-4143-b1eb-fb0534803d38">2021MG-92-78126</_dlc_DocId>
    <_dlc_DocIdUrl xmlns="0f563589-9cf9-4143-b1eb-fb0534803d38">
      <Url>http://tweb/sites/mg/fsd/_layouts/15/DocIdRedir.aspx?ID=2021MG-92-78126</Url>
      <Description>2021MG-92-78126</Description>
    </_dlc_DocIdUrl>
    <IconOverlay xmlns="http://schemas.microsoft.com/sharepoint/v4" xsi:nil="true"/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AE-20337-Destroy 7 years after action completed</TermName>
          <TermId xmlns="http://schemas.microsoft.com/office/infopath/2007/PartnerControls">668ae28e-5138-4c7c-82db-1c8c6afc81a6</TermId>
        </TermInfo>
      </Terms>
    </lb508a4dc5e84436a0fe496b536466aa>
    <SecurityClassification xmlns="d4dd4adf-ddb3-46a3-8d7c-fab3fb2a6bc7">Protected</Security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7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82AC8309-DC0A-490A-81E1-2C3A36FD0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29CA4-8AB6-444C-B758-793F3D3407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C9EF1C-25C2-48EA-9C02-F5D0102C6A46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d4dd4adf-ddb3-46a3-8d7c-fab3fb2a6b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16AFE0-812D-46B3-A149-451E6A9898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4E7603-D915-4C6C-A387-885761BD2B8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F39679F-6194-4C2E-9C23-7112AA672DD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5527</Characters>
  <Application>Microsoft Office Word</Application>
  <DocSecurity>12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Corporate Factsheet</vt:lpstr>
    </vt:vector>
  </TitlesOfParts>
  <Company>Australian Government - The Treasury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Palmer, Selene</dc:creator>
  <cp:keywords/>
  <dc:description/>
  <cp:lastModifiedBy>Keogh, Vicky</cp:lastModifiedBy>
  <cp:revision>2</cp:revision>
  <cp:lastPrinted>2021-12-01T23:31:00Z</cp:lastPrinted>
  <dcterms:created xsi:type="dcterms:W3CDTF">2021-12-02T04:41:00Z</dcterms:created>
  <dcterms:modified xsi:type="dcterms:W3CDTF">2021-12-02T04:41:00Z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Classification">
    <vt:lpwstr>Protected</vt:lpwstr>
  </property>
  <property fmtid="{D5CDD505-2E9C-101B-9397-08002B2CF9AE}" pid="3" name="DLMSecurityClassification">
    <vt:lpwstr>Sensitive:  Cabinet</vt:lpwstr>
  </property>
  <property fmtid="{D5CDD505-2E9C-101B-9397-08002B2CF9AE}" pid="4" name="ContentTypeId">
    <vt:lpwstr>0x010100E95D40E5DFEA714B90E88DB5CE07A6B500BFDF0D6C871D7942A562434B13DA708E</vt:lpwstr>
  </property>
  <property fmtid="{D5CDD505-2E9C-101B-9397-08002B2CF9AE}" pid="5" name="TSYRecordClass">
    <vt:lpwstr>42;#AE-20337-Destroy 7 years after action completed|668ae28e-5138-4c7c-82db-1c8c6afc81a6</vt:lpwstr>
  </property>
  <property fmtid="{D5CDD505-2E9C-101B-9397-08002B2CF9AE}" pid="6" name="_dlc_DocIdItemGuid">
    <vt:lpwstr>aa59eb75-374d-4b5b-afa7-7629245ee2e8</vt:lpwstr>
  </property>
</Properties>
</file>