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A08B2" w14:textId="4D10B3C5" w:rsidR="008956BA" w:rsidRDefault="008956BA">
      <w:pPr>
        <w:rPr>
          <w:sz w:val="26"/>
          <w:szCs w:val="26"/>
          <w:lang w:val="en-AU"/>
        </w:rPr>
      </w:pPr>
    </w:p>
    <w:p w14:paraId="5F0C47FA" w14:textId="77777777" w:rsidR="008956BA" w:rsidRPr="008956BA" w:rsidRDefault="008956BA" w:rsidP="008956BA">
      <w:pPr>
        <w:keepNext/>
        <w:spacing w:line="360" w:lineRule="auto"/>
        <w:jc w:val="center"/>
        <w:outlineLvl w:val="0"/>
        <w:rPr>
          <w:rFonts w:ascii="Arial" w:hAnsi="Arial" w:cs="Arial"/>
          <w:b/>
          <w:caps/>
          <w:lang w:val="en-NZ" w:eastAsia="en-US"/>
        </w:rPr>
      </w:pPr>
    </w:p>
    <w:p w14:paraId="7532227A" w14:textId="77777777" w:rsidR="008956BA" w:rsidRPr="008956BA" w:rsidRDefault="008956BA" w:rsidP="008956BA">
      <w:pPr>
        <w:keepNext/>
        <w:spacing w:line="360" w:lineRule="auto"/>
        <w:jc w:val="center"/>
        <w:outlineLvl w:val="0"/>
        <w:rPr>
          <w:rFonts w:ascii="Arial" w:hAnsi="Arial" w:cs="Arial"/>
          <w:b/>
          <w:caps/>
          <w:lang w:val="en-NZ" w:eastAsia="en-US"/>
        </w:rPr>
      </w:pPr>
    </w:p>
    <w:p w14:paraId="1F61884D" w14:textId="77777777" w:rsidR="008956BA" w:rsidRPr="008956BA" w:rsidRDefault="008956BA" w:rsidP="008956BA">
      <w:pPr>
        <w:keepNext/>
        <w:spacing w:line="360" w:lineRule="auto"/>
        <w:jc w:val="center"/>
        <w:outlineLvl w:val="0"/>
        <w:rPr>
          <w:rFonts w:ascii="Arial" w:hAnsi="Arial" w:cs="Arial"/>
          <w:b/>
          <w:caps/>
          <w:lang w:val="en-NZ" w:eastAsia="en-US"/>
        </w:rPr>
      </w:pPr>
    </w:p>
    <w:p w14:paraId="7BB6ADB0" w14:textId="77777777" w:rsidR="008956BA" w:rsidRPr="008956BA" w:rsidRDefault="008956BA" w:rsidP="008956BA">
      <w:pPr>
        <w:jc w:val="both"/>
        <w:rPr>
          <w:rFonts w:ascii="Arial" w:hAnsi="Arial"/>
          <w:sz w:val="22"/>
          <w:szCs w:val="20"/>
          <w:lang w:val="en-NZ" w:eastAsia="en-US"/>
        </w:rPr>
      </w:pPr>
    </w:p>
    <w:p w14:paraId="2A32303A" w14:textId="77777777" w:rsidR="008956BA" w:rsidRPr="008956BA" w:rsidRDefault="008956BA" w:rsidP="008956BA">
      <w:pPr>
        <w:jc w:val="both"/>
        <w:rPr>
          <w:rFonts w:ascii="Arial" w:hAnsi="Arial"/>
          <w:sz w:val="22"/>
          <w:szCs w:val="20"/>
          <w:lang w:val="en-NZ" w:eastAsia="en-US"/>
        </w:rPr>
      </w:pPr>
    </w:p>
    <w:p w14:paraId="6270DB23" w14:textId="77777777" w:rsidR="008956BA" w:rsidRPr="008956BA" w:rsidRDefault="008956BA" w:rsidP="008956BA">
      <w:pPr>
        <w:jc w:val="both"/>
        <w:rPr>
          <w:rFonts w:ascii="Arial" w:hAnsi="Arial"/>
          <w:sz w:val="22"/>
          <w:szCs w:val="20"/>
          <w:lang w:val="en-NZ" w:eastAsia="en-US"/>
        </w:rPr>
      </w:pPr>
    </w:p>
    <w:p w14:paraId="1E93C527" w14:textId="77777777" w:rsidR="008956BA" w:rsidRPr="008956BA" w:rsidRDefault="008956BA" w:rsidP="008956BA">
      <w:pPr>
        <w:jc w:val="both"/>
        <w:rPr>
          <w:rFonts w:ascii="Arial" w:hAnsi="Arial"/>
          <w:sz w:val="22"/>
          <w:szCs w:val="20"/>
          <w:lang w:val="en-NZ" w:eastAsia="en-US"/>
        </w:rPr>
      </w:pPr>
    </w:p>
    <w:p w14:paraId="25FF312D" w14:textId="77777777" w:rsidR="008956BA" w:rsidRPr="008956BA" w:rsidRDefault="008956BA" w:rsidP="008956BA">
      <w:pPr>
        <w:jc w:val="both"/>
        <w:rPr>
          <w:rFonts w:ascii="Arial" w:hAnsi="Arial"/>
          <w:sz w:val="22"/>
          <w:szCs w:val="20"/>
          <w:lang w:val="en-NZ" w:eastAsia="en-US"/>
        </w:rPr>
      </w:pPr>
    </w:p>
    <w:p w14:paraId="4A0E542D" w14:textId="77777777" w:rsidR="008956BA" w:rsidRPr="008956BA" w:rsidRDefault="008956BA" w:rsidP="008956BA">
      <w:pPr>
        <w:jc w:val="both"/>
        <w:rPr>
          <w:rFonts w:ascii="Arial" w:hAnsi="Arial"/>
          <w:sz w:val="22"/>
          <w:szCs w:val="20"/>
          <w:lang w:val="en-NZ" w:eastAsia="en-US"/>
        </w:rPr>
      </w:pPr>
    </w:p>
    <w:p w14:paraId="22C03178" w14:textId="77777777" w:rsidR="008956BA" w:rsidRPr="008956BA" w:rsidRDefault="008956BA" w:rsidP="008956BA">
      <w:pPr>
        <w:keepNext/>
        <w:spacing w:line="360" w:lineRule="auto"/>
        <w:jc w:val="center"/>
        <w:outlineLvl w:val="0"/>
        <w:rPr>
          <w:rFonts w:ascii="Arial" w:hAnsi="Arial" w:cs="Arial"/>
          <w:b/>
          <w:caps/>
          <w:lang w:val="en-NZ" w:eastAsia="en-US"/>
        </w:rPr>
      </w:pPr>
    </w:p>
    <w:p w14:paraId="42368A62" w14:textId="77777777" w:rsidR="008956BA" w:rsidRPr="008956BA" w:rsidRDefault="008956BA" w:rsidP="008956BA">
      <w:pPr>
        <w:jc w:val="both"/>
        <w:rPr>
          <w:rFonts w:ascii="Arial" w:hAnsi="Arial"/>
          <w:sz w:val="22"/>
          <w:szCs w:val="20"/>
          <w:lang w:val="en-NZ" w:eastAsia="en-US"/>
        </w:rPr>
      </w:pPr>
    </w:p>
    <w:p w14:paraId="41679783" w14:textId="77777777" w:rsidR="008956BA" w:rsidRPr="008956BA" w:rsidRDefault="008956BA" w:rsidP="008956BA">
      <w:pPr>
        <w:jc w:val="both"/>
        <w:rPr>
          <w:rFonts w:ascii="Arial" w:hAnsi="Arial"/>
          <w:sz w:val="22"/>
          <w:szCs w:val="20"/>
          <w:lang w:val="en-NZ" w:eastAsia="en-US"/>
        </w:rPr>
      </w:pPr>
    </w:p>
    <w:p w14:paraId="3E2C4220" w14:textId="77777777" w:rsidR="008956BA" w:rsidRPr="008956BA" w:rsidRDefault="008956BA" w:rsidP="008956BA">
      <w:pPr>
        <w:jc w:val="both"/>
        <w:rPr>
          <w:rFonts w:ascii="Arial" w:hAnsi="Arial"/>
          <w:sz w:val="22"/>
          <w:szCs w:val="20"/>
          <w:lang w:val="en-NZ" w:eastAsia="en-US"/>
        </w:rPr>
      </w:pPr>
    </w:p>
    <w:p w14:paraId="42F18EAE" w14:textId="77777777" w:rsidR="008956BA" w:rsidRPr="008956BA" w:rsidRDefault="008956BA" w:rsidP="008956BA">
      <w:pPr>
        <w:keepNext/>
        <w:spacing w:line="360" w:lineRule="auto"/>
        <w:jc w:val="center"/>
        <w:outlineLvl w:val="0"/>
        <w:rPr>
          <w:rFonts w:ascii="Arial" w:hAnsi="Arial" w:cs="Arial"/>
          <w:b/>
          <w:caps/>
          <w:lang w:val="en-NZ" w:eastAsia="en-US"/>
        </w:rPr>
      </w:pPr>
    </w:p>
    <w:p w14:paraId="47FB86DF" w14:textId="77777777" w:rsidR="008956BA" w:rsidRPr="008956BA" w:rsidRDefault="008956BA" w:rsidP="008956BA">
      <w:pPr>
        <w:keepNext/>
        <w:spacing w:line="360" w:lineRule="auto"/>
        <w:jc w:val="center"/>
        <w:outlineLvl w:val="0"/>
        <w:rPr>
          <w:rFonts w:ascii="Arial" w:hAnsi="Arial" w:cs="Arial"/>
          <w:b/>
          <w:caps/>
          <w:lang w:val="en-NZ" w:eastAsia="en-US"/>
        </w:rPr>
      </w:pPr>
      <w:r w:rsidRPr="008956BA">
        <w:rPr>
          <w:rFonts w:ascii="Arial" w:hAnsi="Arial" w:cs="Arial"/>
          <w:b/>
          <w:lang w:val="en-NZ" w:eastAsia="en-US"/>
        </w:rPr>
        <w:t>Arrangement</w:t>
      </w:r>
    </w:p>
    <w:p w14:paraId="1771F4CD" w14:textId="77777777" w:rsidR="008956BA" w:rsidRPr="008956BA" w:rsidRDefault="008956BA" w:rsidP="008956BA">
      <w:pPr>
        <w:keepNext/>
        <w:spacing w:line="360" w:lineRule="auto"/>
        <w:jc w:val="center"/>
        <w:outlineLvl w:val="0"/>
        <w:rPr>
          <w:rFonts w:ascii="Arial" w:hAnsi="Arial" w:cs="Arial"/>
          <w:b/>
          <w:caps/>
          <w:lang w:val="en-NZ" w:eastAsia="en-US"/>
        </w:rPr>
      </w:pPr>
      <w:r w:rsidRPr="008956BA">
        <w:rPr>
          <w:rFonts w:ascii="Arial" w:hAnsi="Arial" w:cs="Arial"/>
          <w:b/>
          <w:lang w:val="en-NZ" w:eastAsia="en-US"/>
        </w:rPr>
        <w:t xml:space="preserve">between </w:t>
      </w:r>
    </w:p>
    <w:p w14:paraId="09C92382" w14:textId="77777777" w:rsidR="008956BA" w:rsidRPr="008956BA" w:rsidRDefault="008956BA" w:rsidP="008956BA">
      <w:pPr>
        <w:keepNext/>
        <w:spacing w:line="360" w:lineRule="auto"/>
        <w:jc w:val="center"/>
        <w:outlineLvl w:val="0"/>
        <w:rPr>
          <w:rFonts w:ascii="Arial" w:hAnsi="Arial" w:cs="Arial"/>
          <w:b/>
          <w:caps/>
          <w:lang w:val="en-NZ" w:eastAsia="en-US"/>
        </w:rPr>
      </w:pPr>
      <w:r w:rsidRPr="008956BA">
        <w:rPr>
          <w:rFonts w:ascii="Arial" w:hAnsi="Arial" w:cs="Arial"/>
          <w:b/>
          <w:lang w:val="en-NZ" w:eastAsia="en-US"/>
        </w:rPr>
        <w:t xml:space="preserve">the Government of </w:t>
      </w:r>
      <w:smartTag w:uri="urn:schemas-microsoft-com:office:smarttags" w:element="place">
        <w:smartTag w:uri="urn:schemas-microsoft-com:office:smarttags" w:element="country-region">
          <w:r w:rsidRPr="008956BA">
            <w:rPr>
              <w:rFonts w:ascii="Arial" w:hAnsi="Arial" w:cs="Arial"/>
              <w:b/>
              <w:lang w:val="en-NZ" w:eastAsia="en-US"/>
            </w:rPr>
            <w:t>New Zealand</w:t>
          </w:r>
        </w:smartTag>
      </w:smartTag>
      <w:r w:rsidRPr="008956BA">
        <w:rPr>
          <w:rFonts w:ascii="Arial" w:hAnsi="Arial" w:cs="Arial"/>
          <w:b/>
          <w:lang w:val="en-NZ" w:eastAsia="en-US"/>
        </w:rPr>
        <w:t xml:space="preserve"> </w:t>
      </w:r>
    </w:p>
    <w:p w14:paraId="0463ED33" w14:textId="77777777" w:rsidR="008956BA" w:rsidRPr="008956BA" w:rsidRDefault="008956BA" w:rsidP="008956BA">
      <w:pPr>
        <w:keepNext/>
        <w:spacing w:line="360" w:lineRule="auto"/>
        <w:jc w:val="center"/>
        <w:outlineLvl w:val="0"/>
        <w:rPr>
          <w:rFonts w:ascii="Arial" w:hAnsi="Arial" w:cs="Arial"/>
          <w:b/>
          <w:caps/>
          <w:lang w:val="en-NZ" w:eastAsia="en-US"/>
        </w:rPr>
      </w:pPr>
      <w:r w:rsidRPr="008956BA">
        <w:rPr>
          <w:rFonts w:ascii="Arial" w:hAnsi="Arial" w:cs="Arial"/>
          <w:b/>
          <w:lang w:val="en-NZ" w:eastAsia="en-US"/>
        </w:rPr>
        <w:t xml:space="preserve">and </w:t>
      </w:r>
    </w:p>
    <w:p w14:paraId="088F6F22" w14:textId="77777777" w:rsidR="008956BA" w:rsidRPr="008956BA" w:rsidRDefault="008956BA" w:rsidP="008956BA">
      <w:pPr>
        <w:keepNext/>
        <w:spacing w:line="360" w:lineRule="auto"/>
        <w:jc w:val="center"/>
        <w:outlineLvl w:val="0"/>
        <w:rPr>
          <w:rFonts w:ascii="Arial" w:hAnsi="Arial" w:cs="Arial"/>
          <w:b/>
          <w:caps/>
          <w:lang w:val="en-NZ" w:eastAsia="en-US"/>
        </w:rPr>
      </w:pPr>
      <w:r w:rsidRPr="008956BA">
        <w:rPr>
          <w:rFonts w:ascii="Arial" w:hAnsi="Arial" w:cs="Arial"/>
          <w:b/>
          <w:lang w:val="en-NZ" w:eastAsia="en-US"/>
        </w:rPr>
        <w:t xml:space="preserve">the Government of </w:t>
      </w:r>
      <w:smartTag w:uri="urn:schemas-microsoft-com:office:smarttags" w:element="place">
        <w:smartTag w:uri="urn:schemas-microsoft-com:office:smarttags" w:element="country-region">
          <w:r w:rsidRPr="008956BA">
            <w:rPr>
              <w:rFonts w:ascii="Arial" w:hAnsi="Arial" w:cs="Arial"/>
              <w:b/>
              <w:lang w:val="en-NZ" w:eastAsia="en-US"/>
            </w:rPr>
            <w:t>Australia</w:t>
          </w:r>
        </w:smartTag>
      </w:smartTag>
    </w:p>
    <w:p w14:paraId="01A72846" w14:textId="77777777" w:rsidR="008956BA" w:rsidRPr="008956BA" w:rsidRDefault="008956BA" w:rsidP="008956BA">
      <w:pPr>
        <w:keepNext/>
        <w:spacing w:line="360" w:lineRule="auto"/>
        <w:jc w:val="center"/>
        <w:outlineLvl w:val="0"/>
        <w:rPr>
          <w:rFonts w:ascii="Arial" w:hAnsi="Arial" w:cs="Arial"/>
          <w:b/>
          <w:caps/>
          <w:lang w:val="en-NZ" w:eastAsia="en-US"/>
        </w:rPr>
      </w:pPr>
      <w:r w:rsidRPr="008956BA">
        <w:rPr>
          <w:rFonts w:ascii="Arial" w:hAnsi="Arial" w:cs="Arial"/>
          <w:b/>
          <w:lang w:val="en-NZ" w:eastAsia="en-US"/>
        </w:rPr>
        <w:t>on</w:t>
      </w:r>
    </w:p>
    <w:p w14:paraId="04C0AC65" w14:textId="77777777" w:rsidR="008956BA" w:rsidRPr="008956BA" w:rsidRDefault="008956BA" w:rsidP="008956BA">
      <w:pPr>
        <w:keepNext/>
        <w:spacing w:line="360" w:lineRule="auto"/>
        <w:jc w:val="center"/>
        <w:outlineLvl w:val="0"/>
        <w:rPr>
          <w:rFonts w:ascii="Arial" w:hAnsi="Arial" w:cs="Arial"/>
          <w:b/>
          <w:caps/>
          <w:lang w:val="en-NZ" w:eastAsia="en-US"/>
        </w:rPr>
      </w:pPr>
      <w:r w:rsidRPr="008956BA">
        <w:rPr>
          <w:rFonts w:ascii="Arial" w:hAnsi="Arial" w:cs="Arial"/>
          <w:b/>
          <w:lang w:val="en-NZ" w:eastAsia="en-US"/>
        </w:rPr>
        <w:t>Trans-Tasman Retirement Savings Portability</w:t>
      </w:r>
    </w:p>
    <w:p w14:paraId="6EA2638D" w14:textId="77777777" w:rsidR="008956BA" w:rsidRPr="008956BA" w:rsidRDefault="008956BA" w:rsidP="008956BA">
      <w:pPr>
        <w:spacing w:line="360" w:lineRule="auto"/>
        <w:jc w:val="both"/>
        <w:rPr>
          <w:rFonts w:ascii="Arial" w:hAnsi="Arial" w:cs="Arial"/>
          <w:b/>
          <w:caps/>
          <w:lang w:val="en-NZ" w:eastAsia="en-US"/>
        </w:rPr>
      </w:pPr>
    </w:p>
    <w:p w14:paraId="66D1FAC9" w14:textId="77777777" w:rsidR="008956BA" w:rsidRPr="008956BA" w:rsidRDefault="008956BA" w:rsidP="008956BA">
      <w:pPr>
        <w:spacing w:line="360" w:lineRule="auto"/>
        <w:jc w:val="both"/>
        <w:rPr>
          <w:rFonts w:ascii="Arial" w:hAnsi="Arial" w:cs="Arial"/>
          <w:b/>
          <w:caps/>
          <w:lang w:val="en-NZ" w:eastAsia="en-US"/>
        </w:rPr>
      </w:pPr>
    </w:p>
    <w:p w14:paraId="208ED474" w14:textId="77777777" w:rsidR="008956BA" w:rsidRPr="008956BA" w:rsidRDefault="008956BA" w:rsidP="008956BA">
      <w:pPr>
        <w:spacing w:line="360" w:lineRule="auto"/>
        <w:jc w:val="both"/>
        <w:rPr>
          <w:rFonts w:ascii="Arial" w:hAnsi="Arial" w:cs="Arial"/>
          <w:lang w:val="en-NZ" w:eastAsia="en-US"/>
        </w:rPr>
      </w:pPr>
    </w:p>
    <w:p w14:paraId="22791B0B" w14:textId="77777777" w:rsidR="008956BA" w:rsidRPr="008956BA" w:rsidRDefault="008956BA" w:rsidP="008956BA">
      <w:pPr>
        <w:spacing w:line="360" w:lineRule="auto"/>
        <w:jc w:val="both"/>
        <w:rPr>
          <w:rFonts w:ascii="Arial" w:hAnsi="Arial" w:cs="Arial"/>
          <w:lang w:val="en-NZ" w:eastAsia="en-US"/>
        </w:rPr>
      </w:pPr>
    </w:p>
    <w:p w14:paraId="1B0F319E" w14:textId="77777777" w:rsidR="008956BA" w:rsidRPr="008956BA" w:rsidRDefault="008956BA" w:rsidP="008956BA">
      <w:pPr>
        <w:spacing w:line="360" w:lineRule="auto"/>
        <w:jc w:val="both"/>
        <w:rPr>
          <w:rFonts w:ascii="Arial" w:hAnsi="Arial" w:cs="Arial"/>
          <w:lang w:val="en-NZ" w:eastAsia="en-US"/>
        </w:rPr>
      </w:pPr>
    </w:p>
    <w:p w14:paraId="30EF2BDA" w14:textId="77777777" w:rsidR="008956BA" w:rsidRPr="008956BA" w:rsidRDefault="008956BA" w:rsidP="008956BA">
      <w:pPr>
        <w:spacing w:line="360" w:lineRule="auto"/>
        <w:jc w:val="both"/>
        <w:rPr>
          <w:rFonts w:ascii="Arial" w:hAnsi="Arial" w:cs="Arial"/>
          <w:lang w:val="en-NZ" w:eastAsia="en-US"/>
        </w:rPr>
      </w:pPr>
    </w:p>
    <w:p w14:paraId="62721F89" w14:textId="77777777" w:rsidR="008956BA" w:rsidRPr="008956BA" w:rsidRDefault="008956BA" w:rsidP="008956BA">
      <w:pPr>
        <w:spacing w:line="360" w:lineRule="auto"/>
        <w:jc w:val="both"/>
        <w:rPr>
          <w:rFonts w:ascii="Arial" w:hAnsi="Arial" w:cs="Arial"/>
          <w:lang w:val="en-NZ" w:eastAsia="en-US"/>
        </w:rPr>
      </w:pPr>
    </w:p>
    <w:p w14:paraId="4F30C6B3" w14:textId="77777777" w:rsidR="008956BA" w:rsidRPr="008956BA" w:rsidRDefault="008956BA" w:rsidP="008956BA">
      <w:pPr>
        <w:spacing w:line="360" w:lineRule="auto"/>
        <w:jc w:val="both"/>
        <w:rPr>
          <w:rFonts w:ascii="Arial" w:hAnsi="Arial" w:cs="Arial"/>
          <w:lang w:val="en-NZ" w:eastAsia="en-US"/>
        </w:rPr>
      </w:pPr>
    </w:p>
    <w:p w14:paraId="1D43AB81" w14:textId="77777777" w:rsidR="008956BA" w:rsidRPr="008956BA" w:rsidRDefault="008956BA" w:rsidP="008956BA">
      <w:pPr>
        <w:spacing w:line="360" w:lineRule="auto"/>
        <w:jc w:val="both"/>
        <w:rPr>
          <w:rFonts w:ascii="Arial" w:hAnsi="Arial" w:cs="Arial"/>
          <w:lang w:val="en-NZ" w:eastAsia="en-US"/>
        </w:rPr>
      </w:pPr>
    </w:p>
    <w:p w14:paraId="48172B9C" w14:textId="63BC2D7E" w:rsidR="008956BA" w:rsidRDefault="008956BA" w:rsidP="008956BA">
      <w:pPr>
        <w:spacing w:line="360" w:lineRule="auto"/>
        <w:jc w:val="both"/>
        <w:rPr>
          <w:rFonts w:ascii="Arial" w:hAnsi="Arial" w:cs="Arial"/>
          <w:lang w:val="en-NZ" w:eastAsia="en-US"/>
        </w:rPr>
      </w:pPr>
    </w:p>
    <w:p w14:paraId="452A1D74" w14:textId="7BB8CD71" w:rsidR="005C025D" w:rsidRDefault="005C025D" w:rsidP="008956BA">
      <w:pPr>
        <w:spacing w:line="360" w:lineRule="auto"/>
        <w:jc w:val="both"/>
        <w:rPr>
          <w:rFonts w:ascii="Arial" w:hAnsi="Arial" w:cs="Arial"/>
          <w:lang w:val="en-NZ" w:eastAsia="en-US"/>
        </w:rPr>
      </w:pPr>
    </w:p>
    <w:p w14:paraId="7BAE743D" w14:textId="77777777" w:rsidR="005C025D" w:rsidRPr="008956BA" w:rsidRDefault="005C025D" w:rsidP="008956BA">
      <w:pPr>
        <w:spacing w:line="360" w:lineRule="auto"/>
        <w:jc w:val="both"/>
        <w:rPr>
          <w:rFonts w:ascii="Arial" w:hAnsi="Arial" w:cs="Arial"/>
          <w:lang w:val="en-NZ" w:eastAsia="en-US"/>
        </w:rPr>
      </w:pPr>
    </w:p>
    <w:p w14:paraId="3BF0DEE8" w14:textId="1DDB9065" w:rsidR="008956BA" w:rsidRDefault="008956BA" w:rsidP="008956BA">
      <w:pPr>
        <w:spacing w:line="360" w:lineRule="auto"/>
        <w:jc w:val="both"/>
        <w:rPr>
          <w:rFonts w:ascii="Arial" w:hAnsi="Arial" w:cs="Arial"/>
          <w:lang w:val="en-NZ" w:eastAsia="en-US"/>
        </w:rPr>
      </w:pPr>
    </w:p>
    <w:p w14:paraId="0B3F3A54" w14:textId="13AD4E82" w:rsidR="00CC0208" w:rsidRDefault="00CC0208" w:rsidP="008956BA">
      <w:pPr>
        <w:spacing w:line="360" w:lineRule="auto"/>
        <w:jc w:val="both"/>
        <w:rPr>
          <w:rFonts w:ascii="Arial" w:hAnsi="Arial" w:cs="Arial"/>
          <w:lang w:val="en-NZ" w:eastAsia="en-US"/>
        </w:rPr>
      </w:pPr>
    </w:p>
    <w:p w14:paraId="7AA98838" w14:textId="77777777" w:rsidR="00CC0208" w:rsidRPr="008956BA" w:rsidRDefault="00CC0208" w:rsidP="008956BA">
      <w:pPr>
        <w:spacing w:line="360" w:lineRule="auto"/>
        <w:jc w:val="both"/>
        <w:rPr>
          <w:rFonts w:ascii="Arial" w:hAnsi="Arial" w:cs="Arial"/>
          <w:lang w:val="en-NZ" w:eastAsia="en-US"/>
        </w:rPr>
      </w:pPr>
    </w:p>
    <w:p w14:paraId="22A43EF4" w14:textId="77777777" w:rsidR="008956BA" w:rsidRPr="008956BA" w:rsidRDefault="008956BA" w:rsidP="008956BA">
      <w:pPr>
        <w:spacing w:line="360" w:lineRule="auto"/>
        <w:jc w:val="both"/>
        <w:rPr>
          <w:rFonts w:ascii="Arial" w:hAnsi="Arial" w:cs="Arial"/>
          <w:lang w:val="en-NZ" w:eastAsia="en-US"/>
        </w:rPr>
      </w:pPr>
    </w:p>
    <w:p w14:paraId="120FD3DC" w14:textId="77777777" w:rsidR="008956BA" w:rsidRPr="008956BA" w:rsidRDefault="008956BA" w:rsidP="008956BA">
      <w:pPr>
        <w:keepNext/>
        <w:spacing w:line="360" w:lineRule="auto"/>
        <w:jc w:val="both"/>
        <w:outlineLvl w:val="0"/>
        <w:rPr>
          <w:rFonts w:ascii="Arial" w:hAnsi="Arial" w:cs="Arial"/>
          <w:b/>
          <w:caps/>
          <w:lang w:val="en-NZ" w:eastAsia="en-US"/>
        </w:rPr>
      </w:pPr>
      <w:r w:rsidRPr="008956BA">
        <w:rPr>
          <w:rFonts w:ascii="Arial" w:hAnsi="Arial" w:cs="Arial"/>
          <w:b/>
          <w:lang w:val="en-NZ" w:eastAsia="en-US"/>
        </w:rPr>
        <w:lastRenderedPageBreak/>
        <w:t xml:space="preserve">Context </w:t>
      </w:r>
    </w:p>
    <w:p w14:paraId="043F61C3" w14:textId="77777777" w:rsidR="008956BA" w:rsidRPr="008956BA" w:rsidRDefault="008956BA" w:rsidP="008956BA">
      <w:pPr>
        <w:jc w:val="both"/>
        <w:rPr>
          <w:rFonts w:ascii="Arial" w:hAnsi="Arial"/>
          <w:sz w:val="22"/>
          <w:szCs w:val="20"/>
          <w:lang w:val="en-NZ" w:eastAsia="en-US"/>
        </w:rPr>
      </w:pPr>
    </w:p>
    <w:p w14:paraId="0E962A38" w14:textId="77777777" w:rsidR="008956BA" w:rsidRPr="008956BA" w:rsidRDefault="008956BA" w:rsidP="008956BA">
      <w:pPr>
        <w:numPr>
          <w:ilvl w:val="0"/>
          <w:numId w:val="5"/>
        </w:numPr>
        <w:tabs>
          <w:tab w:val="num" w:pos="567"/>
          <w:tab w:val="left" w:pos="8505"/>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The Government of </w:t>
      </w:r>
      <w:smartTag w:uri="urn:schemas-microsoft-com:office:smarttags" w:element="country-region">
        <w:r w:rsidRPr="008956BA">
          <w:rPr>
            <w:rFonts w:ascii="Arial" w:hAnsi="Arial" w:cs="Arial"/>
            <w:lang w:val="en-NZ" w:eastAsia="en-US"/>
          </w:rPr>
          <w:t>New Zealand</w:t>
        </w:r>
      </w:smartTag>
      <w:r w:rsidRPr="008956BA">
        <w:rPr>
          <w:rFonts w:ascii="Arial" w:hAnsi="Arial" w:cs="Arial"/>
          <w:lang w:val="en-NZ" w:eastAsia="en-US"/>
        </w:rPr>
        <w:t xml:space="preserve"> and the Government of </w:t>
      </w:r>
      <w:smartTag w:uri="urn:schemas-microsoft-com:office:smarttags" w:element="country-region">
        <w:smartTag w:uri="urn:schemas-microsoft-com:office:smarttags" w:element="place">
          <w:r w:rsidRPr="008956BA">
            <w:rPr>
              <w:rFonts w:ascii="Arial" w:hAnsi="Arial" w:cs="Arial"/>
              <w:lang w:val="en-NZ" w:eastAsia="en-US"/>
            </w:rPr>
            <w:t>Australia</w:t>
          </w:r>
        </w:smartTag>
      </w:smartTag>
      <w:r w:rsidRPr="008956BA">
        <w:rPr>
          <w:rFonts w:ascii="Arial" w:hAnsi="Arial" w:cs="Arial"/>
          <w:lang w:val="en-NZ" w:eastAsia="en-US"/>
        </w:rPr>
        <w:t xml:space="preserve"> (the Governments):</w:t>
      </w:r>
    </w:p>
    <w:p w14:paraId="31DE588C" w14:textId="77777777" w:rsidR="008956BA" w:rsidRPr="008956BA" w:rsidRDefault="008956BA" w:rsidP="008956BA">
      <w:pPr>
        <w:spacing w:line="360" w:lineRule="auto"/>
        <w:jc w:val="both"/>
        <w:rPr>
          <w:rFonts w:ascii="Arial" w:hAnsi="Arial" w:cs="Arial"/>
          <w:lang w:val="en-NZ" w:eastAsia="en-US"/>
        </w:rPr>
      </w:pPr>
    </w:p>
    <w:p w14:paraId="39F7C129" w14:textId="77777777" w:rsidR="008956BA" w:rsidRPr="008956BA" w:rsidRDefault="008956BA" w:rsidP="008956BA">
      <w:pPr>
        <w:numPr>
          <w:ilvl w:val="1"/>
          <w:numId w:val="4"/>
        </w:numPr>
        <w:spacing w:line="360" w:lineRule="auto"/>
        <w:ind w:leftChars="258" w:left="1187" w:hanging="568"/>
        <w:jc w:val="both"/>
        <w:rPr>
          <w:rFonts w:ascii="Arial" w:hAnsi="Arial" w:cs="Arial"/>
          <w:lang w:val="en-NZ" w:eastAsia="en-US"/>
        </w:rPr>
      </w:pPr>
      <w:r w:rsidRPr="008956BA">
        <w:rPr>
          <w:rFonts w:ascii="Arial" w:hAnsi="Arial" w:cs="Arial"/>
          <w:lang w:val="en-NZ" w:eastAsia="en-US"/>
        </w:rPr>
        <w:t xml:space="preserve">recognise the high degree of integration already achieved between the Australian and </w:t>
      </w:r>
      <w:smartTag w:uri="urn:schemas-microsoft-com:office:smarttags" w:element="country-region">
        <w:smartTag w:uri="urn:schemas-microsoft-com:office:smarttags" w:element="place">
          <w:r w:rsidRPr="008956BA">
            <w:rPr>
              <w:rFonts w:ascii="Arial" w:hAnsi="Arial" w:cs="Arial"/>
              <w:lang w:val="en-NZ" w:eastAsia="en-US"/>
            </w:rPr>
            <w:t>New Zealand</w:t>
          </w:r>
        </w:smartTag>
      </w:smartTag>
      <w:r w:rsidRPr="008956BA">
        <w:rPr>
          <w:rFonts w:ascii="Arial" w:hAnsi="Arial" w:cs="Arial"/>
          <w:lang w:val="en-NZ" w:eastAsia="en-US"/>
        </w:rPr>
        <w:t xml:space="preserve"> labour, financial and goods and services markets since the commencement of the Australia New Zealand Closer Economic Relations Trade </w:t>
      </w:r>
      <w:proofErr w:type="gramStart"/>
      <w:r w:rsidRPr="008956BA">
        <w:rPr>
          <w:rFonts w:ascii="Arial" w:hAnsi="Arial" w:cs="Arial"/>
          <w:lang w:val="en-NZ" w:eastAsia="en-US"/>
        </w:rPr>
        <w:t>Agreement;</w:t>
      </w:r>
      <w:proofErr w:type="gramEnd"/>
    </w:p>
    <w:p w14:paraId="70BA149D" w14:textId="77777777" w:rsidR="008956BA" w:rsidRPr="008956BA" w:rsidRDefault="008956BA" w:rsidP="008956BA">
      <w:pPr>
        <w:tabs>
          <w:tab w:val="num" w:pos="567"/>
        </w:tabs>
        <w:spacing w:line="360" w:lineRule="auto"/>
        <w:ind w:leftChars="258" w:left="1187" w:hanging="568"/>
        <w:jc w:val="both"/>
        <w:rPr>
          <w:rFonts w:ascii="Arial" w:hAnsi="Arial" w:cs="Arial"/>
          <w:lang w:val="en-NZ" w:eastAsia="en-US"/>
        </w:rPr>
      </w:pPr>
    </w:p>
    <w:p w14:paraId="2DB5B942" w14:textId="77777777" w:rsidR="008956BA" w:rsidRPr="008956BA" w:rsidRDefault="008956BA" w:rsidP="008956BA">
      <w:pPr>
        <w:numPr>
          <w:ilvl w:val="1"/>
          <w:numId w:val="4"/>
        </w:numPr>
        <w:spacing w:line="360" w:lineRule="auto"/>
        <w:ind w:leftChars="258" w:left="1187" w:hanging="568"/>
        <w:jc w:val="both"/>
        <w:rPr>
          <w:rFonts w:ascii="Arial" w:hAnsi="Arial" w:cs="Arial"/>
          <w:lang w:val="en-NZ" w:eastAsia="en-US"/>
        </w:rPr>
      </w:pPr>
      <w:r w:rsidRPr="008956BA">
        <w:rPr>
          <w:rFonts w:ascii="Arial" w:hAnsi="Arial" w:cs="Arial"/>
          <w:lang w:val="en-NZ" w:eastAsia="en-US"/>
        </w:rPr>
        <w:t>acknowledge that the ability to transfer retirement savings across the Tasman would further enhance the development of a seamless trans</w:t>
      </w:r>
      <w:r w:rsidRPr="008956BA">
        <w:rPr>
          <w:rFonts w:ascii="Arial" w:hAnsi="Arial" w:cs="Arial"/>
          <w:lang w:val="en-NZ" w:eastAsia="en-US"/>
        </w:rPr>
        <w:noBreakHyphen/>
        <w:t xml:space="preserve">Tasman labour </w:t>
      </w:r>
      <w:proofErr w:type="gramStart"/>
      <w:r w:rsidRPr="008956BA">
        <w:rPr>
          <w:rFonts w:ascii="Arial" w:hAnsi="Arial" w:cs="Arial"/>
          <w:lang w:val="en-NZ" w:eastAsia="en-US"/>
        </w:rPr>
        <w:t>market;</w:t>
      </w:r>
      <w:proofErr w:type="gramEnd"/>
    </w:p>
    <w:p w14:paraId="2F90D3F2" w14:textId="77777777" w:rsidR="008956BA" w:rsidRPr="008956BA" w:rsidRDefault="008956BA" w:rsidP="008956BA">
      <w:pPr>
        <w:tabs>
          <w:tab w:val="num" w:pos="567"/>
        </w:tabs>
        <w:spacing w:line="360" w:lineRule="auto"/>
        <w:ind w:leftChars="258" w:left="1187" w:hanging="568"/>
        <w:jc w:val="both"/>
        <w:rPr>
          <w:rFonts w:ascii="Arial" w:hAnsi="Arial" w:cs="Arial"/>
          <w:lang w:val="en-NZ" w:eastAsia="en-US"/>
        </w:rPr>
      </w:pPr>
    </w:p>
    <w:p w14:paraId="621FC2E1" w14:textId="77777777" w:rsidR="008956BA" w:rsidRPr="008956BA" w:rsidRDefault="008956BA" w:rsidP="008956BA">
      <w:pPr>
        <w:numPr>
          <w:ilvl w:val="1"/>
          <w:numId w:val="4"/>
        </w:numPr>
        <w:spacing w:line="360" w:lineRule="auto"/>
        <w:ind w:leftChars="258" w:left="1187" w:hanging="568"/>
        <w:jc w:val="both"/>
        <w:rPr>
          <w:rFonts w:ascii="Arial" w:hAnsi="Arial" w:cs="Arial"/>
          <w:lang w:val="en-NZ" w:eastAsia="en-US"/>
        </w:rPr>
      </w:pPr>
      <w:r w:rsidRPr="008956BA">
        <w:rPr>
          <w:rFonts w:ascii="Arial" w:hAnsi="Arial" w:cs="Arial"/>
          <w:lang w:val="en-NZ" w:eastAsia="en-US"/>
        </w:rPr>
        <w:t xml:space="preserve">consider that the removal of further impediments to trans-Tasman labour movement will support ongoing work toward the goal of a Single Economic Market, to which the Governments are jointly </w:t>
      </w:r>
      <w:proofErr w:type="gramStart"/>
      <w:r w:rsidRPr="008956BA">
        <w:rPr>
          <w:rFonts w:ascii="Arial" w:hAnsi="Arial" w:cs="Arial"/>
          <w:lang w:val="en-NZ" w:eastAsia="en-US"/>
        </w:rPr>
        <w:t>committed;</w:t>
      </w:r>
      <w:proofErr w:type="gramEnd"/>
    </w:p>
    <w:p w14:paraId="77841504" w14:textId="77777777" w:rsidR="008956BA" w:rsidRPr="008956BA" w:rsidRDefault="008956BA" w:rsidP="008956BA">
      <w:pPr>
        <w:tabs>
          <w:tab w:val="num" w:pos="567"/>
        </w:tabs>
        <w:spacing w:line="360" w:lineRule="auto"/>
        <w:ind w:leftChars="258" w:left="1187" w:hanging="568"/>
        <w:jc w:val="both"/>
        <w:rPr>
          <w:rFonts w:ascii="Arial" w:hAnsi="Arial" w:cs="Arial"/>
          <w:lang w:val="en-NZ" w:eastAsia="en-US"/>
        </w:rPr>
      </w:pPr>
    </w:p>
    <w:p w14:paraId="21272E25" w14:textId="77777777" w:rsidR="008956BA" w:rsidRPr="008956BA" w:rsidRDefault="008956BA" w:rsidP="008956BA">
      <w:pPr>
        <w:numPr>
          <w:ilvl w:val="1"/>
          <w:numId w:val="4"/>
        </w:numPr>
        <w:spacing w:line="360" w:lineRule="auto"/>
        <w:ind w:leftChars="258" w:left="1187" w:hanging="568"/>
        <w:jc w:val="both"/>
        <w:rPr>
          <w:rFonts w:ascii="Arial" w:hAnsi="Arial" w:cs="Arial"/>
          <w:lang w:val="en-NZ" w:eastAsia="en-US"/>
        </w:rPr>
      </w:pPr>
      <w:r w:rsidRPr="008956BA">
        <w:rPr>
          <w:rFonts w:ascii="Arial" w:hAnsi="Arial" w:cs="Arial"/>
          <w:lang w:val="en-NZ" w:eastAsia="en-US"/>
        </w:rPr>
        <w:t>note the findings of the Trans-Tasman Retirement Savings Working Group that investigated options for improving the portability of savings between the Australian and New Zealand retirement saving schemes; and</w:t>
      </w:r>
    </w:p>
    <w:p w14:paraId="7722064C" w14:textId="77777777" w:rsidR="008956BA" w:rsidRPr="008956BA" w:rsidRDefault="008956BA" w:rsidP="008956BA">
      <w:pPr>
        <w:tabs>
          <w:tab w:val="num" w:pos="567"/>
        </w:tabs>
        <w:spacing w:line="360" w:lineRule="auto"/>
        <w:ind w:leftChars="258" w:left="1187" w:hanging="568"/>
        <w:jc w:val="both"/>
        <w:rPr>
          <w:rFonts w:ascii="Arial" w:hAnsi="Arial" w:cs="Arial"/>
          <w:lang w:val="en-NZ" w:eastAsia="en-US"/>
        </w:rPr>
      </w:pPr>
    </w:p>
    <w:p w14:paraId="6F588F09" w14:textId="77777777" w:rsidR="008956BA" w:rsidRPr="008956BA" w:rsidRDefault="008956BA" w:rsidP="008956BA">
      <w:pPr>
        <w:numPr>
          <w:ilvl w:val="1"/>
          <w:numId w:val="4"/>
        </w:numPr>
        <w:spacing w:line="360" w:lineRule="auto"/>
        <w:ind w:leftChars="258" w:left="1187" w:hanging="568"/>
        <w:jc w:val="both"/>
        <w:rPr>
          <w:rFonts w:ascii="Arial" w:hAnsi="Arial" w:cs="Arial"/>
          <w:lang w:val="en-NZ" w:eastAsia="en-US"/>
        </w:rPr>
      </w:pPr>
      <w:r w:rsidRPr="008956BA">
        <w:rPr>
          <w:rFonts w:ascii="Arial" w:hAnsi="Arial" w:cs="Arial"/>
          <w:lang w:val="en-NZ" w:eastAsia="en-US"/>
        </w:rPr>
        <w:t>have reached the understandings outlined in this Arrangement.</w:t>
      </w:r>
    </w:p>
    <w:p w14:paraId="33744F2C" w14:textId="77777777" w:rsidR="008956BA" w:rsidRPr="008956BA" w:rsidRDefault="008956BA" w:rsidP="008956BA">
      <w:pPr>
        <w:tabs>
          <w:tab w:val="num" w:pos="567"/>
        </w:tabs>
        <w:spacing w:line="360" w:lineRule="auto"/>
        <w:ind w:leftChars="258" w:left="1187" w:hanging="568"/>
        <w:jc w:val="both"/>
        <w:rPr>
          <w:rFonts w:ascii="Arial" w:hAnsi="Arial" w:cs="Arial"/>
          <w:lang w:val="en-NZ" w:eastAsia="en-US"/>
        </w:rPr>
      </w:pPr>
    </w:p>
    <w:p w14:paraId="100E0B0D" w14:textId="77777777" w:rsidR="008956BA" w:rsidRPr="008956BA" w:rsidRDefault="008956BA" w:rsidP="008956BA">
      <w:pPr>
        <w:keepNext/>
        <w:spacing w:line="360" w:lineRule="auto"/>
        <w:jc w:val="both"/>
        <w:outlineLvl w:val="0"/>
        <w:rPr>
          <w:rFonts w:ascii="Arial" w:hAnsi="Arial" w:cs="Arial"/>
          <w:b/>
          <w:caps/>
          <w:lang w:val="en-NZ" w:eastAsia="en-US"/>
        </w:rPr>
      </w:pPr>
      <w:r w:rsidRPr="008956BA">
        <w:rPr>
          <w:rFonts w:ascii="Arial" w:hAnsi="Arial" w:cs="Arial"/>
          <w:b/>
          <w:lang w:val="en-NZ" w:eastAsia="en-US"/>
        </w:rPr>
        <w:t>Purpose</w:t>
      </w:r>
    </w:p>
    <w:p w14:paraId="05CAB0D1" w14:textId="77777777" w:rsidR="008956BA" w:rsidRPr="008956BA" w:rsidRDefault="008956BA" w:rsidP="008956BA">
      <w:pPr>
        <w:jc w:val="both"/>
        <w:rPr>
          <w:rFonts w:ascii="Arial" w:hAnsi="Arial"/>
          <w:sz w:val="22"/>
          <w:szCs w:val="20"/>
          <w:lang w:val="en-NZ" w:eastAsia="en-US"/>
        </w:rPr>
      </w:pPr>
    </w:p>
    <w:p w14:paraId="4BEDF327"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This Arrangement is to give effect to the Governments’ shared intention to allow for the trans-Tasman portability of retirement savings.</w:t>
      </w:r>
    </w:p>
    <w:p w14:paraId="029605F9" w14:textId="77777777" w:rsidR="008956BA" w:rsidRPr="008956BA" w:rsidRDefault="008956BA" w:rsidP="008956BA">
      <w:pPr>
        <w:keepNext/>
        <w:spacing w:line="360" w:lineRule="auto"/>
        <w:jc w:val="both"/>
        <w:outlineLvl w:val="0"/>
        <w:rPr>
          <w:rFonts w:ascii="Arial" w:hAnsi="Arial" w:cs="Arial"/>
          <w:b/>
          <w:caps/>
          <w:lang w:val="en-NZ" w:eastAsia="en-US"/>
        </w:rPr>
      </w:pPr>
      <w:r w:rsidRPr="008956BA">
        <w:rPr>
          <w:rFonts w:ascii="Arial" w:hAnsi="Arial" w:cs="Arial"/>
          <w:b/>
          <w:lang w:val="en-NZ" w:eastAsia="en-US"/>
        </w:rPr>
        <w:t>Definitions</w:t>
      </w:r>
    </w:p>
    <w:p w14:paraId="506FDD06" w14:textId="77777777" w:rsidR="008956BA" w:rsidRPr="008956BA" w:rsidRDefault="008956BA" w:rsidP="008956BA">
      <w:pPr>
        <w:jc w:val="both"/>
        <w:rPr>
          <w:rFonts w:ascii="Arial" w:hAnsi="Arial"/>
          <w:sz w:val="22"/>
          <w:szCs w:val="20"/>
          <w:lang w:val="en-NZ" w:eastAsia="en-US"/>
        </w:rPr>
      </w:pPr>
    </w:p>
    <w:p w14:paraId="6E7F1887"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In this Arrangement:</w:t>
      </w:r>
    </w:p>
    <w:p w14:paraId="1CDCF2B9" w14:textId="77777777" w:rsidR="008956BA" w:rsidRPr="008956BA" w:rsidRDefault="008956BA" w:rsidP="008956BA">
      <w:pPr>
        <w:spacing w:line="360" w:lineRule="auto"/>
        <w:jc w:val="both"/>
        <w:rPr>
          <w:rFonts w:ascii="Arial" w:hAnsi="Arial" w:cs="Arial"/>
          <w:lang w:val="en-NZ" w:eastAsia="en-US"/>
        </w:rPr>
      </w:pPr>
    </w:p>
    <w:p w14:paraId="63586A76" w14:textId="77777777" w:rsidR="008956BA" w:rsidRPr="008956BA" w:rsidRDefault="008956BA" w:rsidP="008956BA">
      <w:pPr>
        <w:spacing w:line="360" w:lineRule="auto"/>
        <w:ind w:left="567"/>
        <w:jc w:val="both"/>
        <w:rPr>
          <w:rFonts w:ascii="Arial" w:hAnsi="Arial" w:cs="Arial"/>
          <w:lang w:val="en-NZ" w:eastAsia="en-US"/>
        </w:rPr>
      </w:pPr>
      <w:r w:rsidRPr="008956BA">
        <w:rPr>
          <w:rFonts w:ascii="Arial" w:hAnsi="Arial" w:cs="Arial"/>
          <w:lang w:val="en-NZ" w:eastAsia="en-US"/>
        </w:rPr>
        <w:t>“source country” means: the country in which an individual’s retirement savings were first held.</w:t>
      </w:r>
    </w:p>
    <w:p w14:paraId="51F9271A" w14:textId="77777777" w:rsidR="008956BA" w:rsidRPr="008956BA" w:rsidRDefault="008956BA" w:rsidP="008956BA">
      <w:pPr>
        <w:spacing w:line="360" w:lineRule="auto"/>
        <w:ind w:left="567"/>
        <w:jc w:val="both"/>
        <w:rPr>
          <w:rFonts w:ascii="Arial" w:hAnsi="Arial" w:cs="Arial"/>
          <w:lang w:val="en-NZ" w:eastAsia="en-US"/>
        </w:rPr>
      </w:pPr>
    </w:p>
    <w:p w14:paraId="5E5E0269" w14:textId="77777777" w:rsidR="008956BA" w:rsidRPr="008956BA" w:rsidRDefault="008956BA" w:rsidP="008956BA">
      <w:pPr>
        <w:spacing w:line="360" w:lineRule="auto"/>
        <w:ind w:left="567"/>
        <w:jc w:val="both"/>
        <w:rPr>
          <w:rFonts w:ascii="Arial" w:hAnsi="Arial" w:cs="Arial"/>
          <w:lang w:val="en-NZ" w:eastAsia="en-US"/>
        </w:rPr>
      </w:pPr>
      <w:r w:rsidRPr="008956BA">
        <w:rPr>
          <w:rFonts w:ascii="Arial" w:hAnsi="Arial" w:cs="Arial"/>
          <w:lang w:val="en-NZ" w:eastAsia="en-US"/>
        </w:rPr>
        <w:lastRenderedPageBreak/>
        <w:t>“host country” means: the country to which an individual’s retirement savings will be transferred.</w:t>
      </w:r>
    </w:p>
    <w:p w14:paraId="578F5A8C" w14:textId="77777777" w:rsidR="008956BA" w:rsidRPr="008956BA" w:rsidRDefault="008956BA" w:rsidP="008956BA">
      <w:pPr>
        <w:spacing w:line="360" w:lineRule="auto"/>
        <w:ind w:left="567"/>
        <w:jc w:val="both"/>
        <w:rPr>
          <w:rFonts w:ascii="Arial" w:hAnsi="Arial" w:cs="Arial"/>
          <w:lang w:val="en-NZ" w:eastAsia="en-US"/>
        </w:rPr>
      </w:pPr>
    </w:p>
    <w:p w14:paraId="319195FC" w14:textId="77777777" w:rsidR="008956BA" w:rsidRPr="008956BA" w:rsidRDefault="008956BA" w:rsidP="008956BA">
      <w:pPr>
        <w:spacing w:line="360" w:lineRule="auto"/>
        <w:ind w:left="567"/>
        <w:jc w:val="both"/>
        <w:rPr>
          <w:rFonts w:ascii="Arial" w:hAnsi="Arial" w:cs="Arial"/>
          <w:lang w:val="en-NZ" w:eastAsia="en-US"/>
        </w:rPr>
      </w:pPr>
      <w:r w:rsidRPr="008956BA">
        <w:rPr>
          <w:rFonts w:ascii="Arial" w:hAnsi="Arial" w:cs="Arial"/>
          <w:lang w:val="en-NZ" w:eastAsia="en-US"/>
        </w:rPr>
        <w:t xml:space="preserve">“provider” means: an entity that offers a </w:t>
      </w:r>
      <w:proofErr w:type="spellStart"/>
      <w:r w:rsidRPr="008956BA">
        <w:rPr>
          <w:rFonts w:ascii="Arial" w:hAnsi="Arial" w:cs="Arial"/>
          <w:lang w:val="en-NZ" w:eastAsia="en-US"/>
        </w:rPr>
        <w:t>KiwiSaver</w:t>
      </w:r>
      <w:proofErr w:type="spellEnd"/>
      <w:r w:rsidRPr="008956BA">
        <w:rPr>
          <w:rFonts w:ascii="Arial" w:hAnsi="Arial" w:cs="Arial"/>
          <w:lang w:val="en-NZ" w:eastAsia="en-US"/>
        </w:rPr>
        <w:t xml:space="preserve"> account, an Australian complying superannuation fund or the Australian Commissioner of Taxation in their capacity under the </w:t>
      </w:r>
      <w:r w:rsidRPr="008956BA">
        <w:rPr>
          <w:rFonts w:ascii="Arial" w:hAnsi="Arial" w:cs="Arial"/>
          <w:i/>
          <w:lang w:val="en-NZ" w:eastAsia="en-US"/>
        </w:rPr>
        <w:t>Superannuation (Unclaimed Money and Lost Members) Act 1999</w:t>
      </w:r>
      <w:r w:rsidRPr="008956BA">
        <w:rPr>
          <w:rFonts w:ascii="Arial" w:hAnsi="Arial" w:cs="Arial"/>
          <w:lang w:val="en-NZ" w:eastAsia="en-US"/>
        </w:rPr>
        <w:t xml:space="preserve">. </w:t>
      </w:r>
    </w:p>
    <w:p w14:paraId="3933B851" w14:textId="77777777" w:rsidR="008956BA" w:rsidRPr="008956BA" w:rsidRDefault="008956BA" w:rsidP="008956BA">
      <w:pPr>
        <w:spacing w:line="360" w:lineRule="auto"/>
        <w:ind w:left="567"/>
        <w:jc w:val="both"/>
        <w:rPr>
          <w:rFonts w:ascii="Arial" w:hAnsi="Arial" w:cs="Arial"/>
          <w:lang w:val="en-NZ" w:eastAsia="en-US"/>
        </w:rPr>
      </w:pPr>
    </w:p>
    <w:p w14:paraId="1032D81E" w14:textId="77777777" w:rsidR="008956BA" w:rsidRPr="008956BA" w:rsidRDefault="008956BA" w:rsidP="008956BA">
      <w:pPr>
        <w:spacing w:line="360" w:lineRule="auto"/>
        <w:ind w:left="567"/>
        <w:jc w:val="both"/>
        <w:rPr>
          <w:rFonts w:ascii="Arial" w:hAnsi="Arial" w:cs="Arial"/>
          <w:lang w:val="en-NZ" w:eastAsia="en-US"/>
        </w:rPr>
      </w:pPr>
      <w:r w:rsidRPr="008956BA">
        <w:rPr>
          <w:rFonts w:ascii="Arial" w:hAnsi="Arial" w:cs="Arial"/>
          <w:lang w:val="en-NZ" w:eastAsia="en-US"/>
        </w:rPr>
        <w:t xml:space="preserve">“self-managed superannuation fund” means: a </w:t>
      </w:r>
      <w:proofErr w:type="spellStart"/>
      <w:r w:rsidRPr="008956BA">
        <w:rPr>
          <w:rFonts w:ascii="Arial" w:hAnsi="Arial" w:cs="Arial"/>
          <w:lang w:val="en-NZ" w:eastAsia="en-US"/>
        </w:rPr>
        <w:t>self managed</w:t>
      </w:r>
      <w:proofErr w:type="spellEnd"/>
      <w:r w:rsidRPr="008956BA">
        <w:rPr>
          <w:rFonts w:ascii="Arial" w:hAnsi="Arial" w:cs="Arial"/>
          <w:lang w:val="en-NZ" w:eastAsia="en-US"/>
        </w:rPr>
        <w:t xml:space="preserve"> superannuation fund as defined in the Australian </w:t>
      </w:r>
      <w:r w:rsidRPr="008956BA">
        <w:rPr>
          <w:rFonts w:ascii="Arial" w:hAnsi="Arial" w:cs="Arial"/>
          <w:i/>
          <w:lang w:val="en-NZ" w:eastAsia="en-US"/>
        </w:rPr>
        <w:t>Superannuation Industry (Supervision) Act 1993</w:t>
      </w:r>
      <w:r w:rsidRPr="008956BA">
        <w:rPr>
          <w:rFonts w:ascii="Arial" w:hAnsi="Arial" w:cs="Arial"/>
          <w:lang w:val="en-NZ" w:eastAsia="en-US"/>
        </w:rPr>
        <w:t>.</w:t>
      </w:r>
    </w:p>
    <w:p w14:paraId="09999E77" w14:textId="77777777" w:rsidR="008956BA" w:rsidRPr="008956BA" w:rsidRDefault="008956BA" w:rsidP="008956BA">
      <w:pPr>
        <w:spacing w:line="360" w:lineRule="auto"/>
        <w:ind w:left="567"/>
        <w:jc w:val="both"/>
        <w:rPr>
          <w:rFonts w:ascii="Arial" w:hAnsi="Arial" w:cs="Arial"/>
          <w:lang w:val="en-NZ" w:eastAsia="en-US"/>
        </w:rPr>
      </w:pPr>
    </w:p>
    <w:p w14:paraId="6560EB1C" w14:textId="77777777" w:rsidR="008956BA" w:rsidRPr="008956BA" w:rsidRDefault="008956BA" w:rsidP="008956BA">
      <w:pPr>
        <w:spacing w:line="360" w:lineRule="auto"/>
        <w:ind w:left="567"/>
        <w:jc w:val="both"/>
        <w:rPr>
          <w:rFonts w:ascii="Arial" w:hAnsi="Arial" w:cs="Arial"/>
          <w:lang w:val="en-NZ" w:eastAsia="en-US"/>
        </w:rPr>
      </w:pPr>
      <w:r w:rsidRPr="008956BA">
        <w:rPr>
          <w:rFonts w:ascii="Arial" w:hAnsi="Arial" w:cs="Arial"/>
          <w:lang w:val="en-NZ" w:eastAsia="en-US"/>
        </w:rPr>
        <w:t xml:space="preserve">“retirement savings” means: </w:t>
      </w:r>
    </w:p>
    <w:p w14:paraId="52286DA2" w14:textId="201112E4" w:rsidR="008956BA" w:rsidRPr="008956BA" w:rsidRDefault="008956BA" w:rsidP="008956BA">
      <w:pPr>
        <w:numPr>
          <w:ilvl w:val="0"/>
          <w:numId w:val="7"/>
        </w:numPr>
        <w:spacing w:line="360" w:lineRule="auto"/>
        <w:jc w:val="both"/>
        <w:rPr>
          <w:rFonts w:ascii="Arial" w:hAnsi="Arial" w:cs="Arial"/>
          <w:lang w:val="en-NZ" w:eastAsia="en-US"/>
        </w:rPr>
      </w:pPr>
      <w:r w:rsidRPr="008956BA">
        <w:rPr>
          <w:rFonts w:ascii="Arial" w:hAnsi="Arial" w:cs="Arial"/>
          <w:lang w:val="en-NZ" w:eastAsia="en-US"/>
        </w:rPr>
        <w:t xml:space="preserve">savings held in a </w:t>
      </w:r>
      <w:proofErr w:type="spellStart"/>
      <w:r w:rsidRPr="008956BA">
        <w:rPr>
          <w:rFonts w:ascii="Arial" w:hAnsi="Arial" w:cs="Arial"/>
          <w:lang w:val="en-NZ" w:eastAsia="en-US"/>
        </w:rPr>
        <w:t>KiwiSaver</w:t>
      </w:r>
      <w:proofErr w:type="spellEnd"/>
      <w:r w:rsidRPr="008956BA">
        <w:rPr>
          <w:rFonts w:ascii="Arial" w:hAnsi="Arial" w:cs="Arial"/>
          <w:lang w:val="en-NZ" w:eastAsia="en-US"/>
        </w:rPr>
        <w:t xml:space="preserve"> </w:t>
      </w:r>
      <w:proofErr w:type="gramStart"/>
      <w:r w:rsidRPr="008956BA">
        <w:rPr>
          <w:rFonts w:ascii="Arial" w:hAnsi="Arial" w:cs="Arial"/>
          <w:lang w:val="en-NZ" w:eastAsia="en-US"/>
        </w:rPr>
        <w:t>account</w:t>
      </w:r>
      <w:r w:rsidR="008F4733">
        <w:rPr>
          <w:rFonts w:ascii="Arial" w:hAnsi="Arial" w:cs="Arial"/>
          <w:lang w:val="en-NZ" w:eastAsia="en-US"/>
        </w:rPr>
        <w:t>;</w:t>
      </w:r>
      <w:proofErr w:type="gramEnd"/>
      <w:r w:rsidRPr="008956BA">
        <w:rPr>
          <w:rFonts w:ascii="Arial" w:hAnsi="Arial" w:cs="Arial"/>
          <w:lang w:val="en-NZ" w:eastAsia="en-US"/>
        </w:rPr>
        <w:t xml:space="preserve"> </w:t>
      </w:r>
    </w:p>
    <w:p w14:paraId="7402BF3C" w14:textId="4A0E659B" w:rsidR="008956BA" w:rsidRPr="008956BA" w:rsidRDefault="008956BA" w:rsidP="008956BA">
      <w:pPr>
        <w:numPr>
          <w:ilvl w:val="0"/>
          <w:numId w:val="7"/>
        </w:numPr>
        <w:spacing w:line="360" w:lineRule="auto"/>
        <w:jc w:val="both"/>
        <w:rPr>
          <w:rFonts w:ascii="Arial" w:hAnsi="Arial" w:cs="Arial"/>
          <w:lang w:val="en-NZ" w:eastAsia="en-US"/>
        </w:rPr>
      </w:pPr>
      <w:r w:rsidRPr="008956BA">
        <w:rPr>
          <w:rFonts w:ascii="Arial" w:hAnsi="Arial" w:cs="Arial"/>
          <w:lang w:val="en-NZ" w:eastAsia="en-US"/>
        </w:rPr>
        <w:t xml:space="preserve">savings held by the Australian Commissioner of Taxation in their capacity under the </w:t>
      </w:r>
      <w:r w:rsidRPr="008956BA">
        <w:rPr>
          <w:rFonts w:ascii="Arial" w:hAnsi="Arial" w:cs="Arial"/>
          <w:i/>
          <w:iCs/>
          <w:lang w:val="en-NZ" w:eastAsia="en-US"/>
        </w:rPr>
        <w:t>Superannuation (Unclaimed Money and Lost Members) Act 1999</w:t>
      </w:r>
      <w:r w:rsidR="008F4733">
        <w:rPr>
          <w:rFonts w:ascii="Arial" w:hAnsi="Arial" w:cs="Arial"/>
          <w:lang w:val="en-NZ" w:eastAsia="en-US"/>
        </w:rPr>
        <w:t>;</w:t>
      </w:r>
      <w:r w:rsidRPr="008956BA">
        <w:rPr>
          <w:rFonts w:ascii="Arial" w:hAnsi="Arial" w:cs="Arial"/>
          <w:lang w:val="en-NZ" w:eastAsia="en-US"/>
        </w:rPr>
        <w:t xml:space="preserve"> or</w:t>
      </w:r>
    </w:p>
    <w:p w14:paraId="286F4367" w14:textId="77777777" w:rsidR="008956BA" w:rsidRPr="008956BA" w:rsidRDefault="008956BA" w:rsidP="008956BA">
      <w:pPr>
        <w:numPr>
          <w:ilvl w:val="0"/>
          <w:numId w:val="7"/>
        </w:numPr>
        <w:spacing w:line="360" w:lineRule="auto"/>
        <w:jc w:val="both"/>
        <w:rPr>
          <w:rFonts w:ascii="Arial" w:hAnsi="Arial" w:cs="Arial"/>
          <w:lang w:val="en-NZ" w:eastAsia="en-US"/>
        </w:rPr>
      </w:pPr>
      <w:r w:rsidRPr="008956BA">
        <w:rPr>
          <w:rFonts w:ascii="Arial" w:hAnsi="Arial" w:cs="Arial"/>
          <w:lang w:val="en-NZ" w:eastAsia="en-US"/>
        </w:rPr>
        <w:t xml:space="preserve">savings held in an Australian complying superannuation fund, </w:t>
      </w:r>
    </w:p>
    <w:p w14:paraId="4F79A1C1" w14:textId="77777777" w:rsidR="008956BA" w:rsidRPr="008956BA" w:rsidRDefault="008956BA" w:rsidP="008956BA">
      <w:pPr>
        <w:spacing w:line="360" w:lineRule="auto"/>
        <w:ind w:left="1134"/>
        <w:jc w:val="both"/>
        <w:rPr>
          <w:rFonts w:ascii="Arial" w:hAnsi="Arial" w:cs="Arial"/>
          <w:lang w:val="en-NZ" w:eastAsia="en-US"/>
        </w:rPr>
      </w:pPr>
      <w:r w:rsidRPr="008956BA">
        <w:rPr>
          <w:rFonts w:ascii="Arial" w:hAnsi="Arial" w:cs="Arial"/>
          <w:lang w:val="en-NZ" w:eastAsia="en-US"/>
        </w:rPr>
        <w:t>including individual, employer and government contributions.</w:t>
      </w:r>
    </w:p>
    <w:p w14:paraId="083F5311" w14:textId="77777777" w:rsidR="008956BA" w:rsidRPr="008956BA" w:rsidRDefault="008956BA" w:rsidP="008956BA">
      <w:pPr>
        <w:spacing w:line="360" w:lineRule="auto"/>
        <w:jc w:val="both"/>
        <w:rPr>
          <w:rFonts w:ascii="Arial" w:hAnsi="Arial" w:cs="Arial"/>
          <w:lang w:val="en-NZ" w:eastAsia="en-US"/>
        </w:rPr>
      </w:pPr>
    </w:p>
    <w:p w14:paraId="00626083" w14:textId="77777777" w:rsidR="008956BA" w:rsidRPr="008956BA" w:rsidRDefault="008956BA" w:rsidP="008956BA">
      <w:pPr>
        <w:keepNext/>
        <w:spacing w:line="360" w:lineRule="auto"/>
        <w:jc w:val="both"/>
        <w:outlineLvl w:val="0"/>
        <w:rPr>
          <w:rFonts w:ascii="Arial" w:hAnsi="Arial" w:cs="Arial"/>
          <w:b/>
          <w:caps/>
          <w:lang w:val="en-NZ" w:eastAsia="en-US"/>
        </w:rPr>
      </w:pPr>
      <w:r w:rsidRPr="008956BA">
        <w:rPr>
          <w:rFonts w:ascii="Arial" w:hAnsi="Arial" w:cs="Arial"/>
          <w:b/>
          <w:lang w:val="en-NZ" w:eastAsia="en-US"/>
        </w:rPr>
        <w:t xml:space="preserve">Principles of Retirement Savings Portability </w:t>
      </w:r>
    </w:p>
    <w:p w14:paraId="591D30F1" w14:textId="77777777" w:rsidR="008956BA" w:rsidRPr="008956BA" w:rsidRDefault="008956BA" w:rsidP="008956BA">
      <w:pPr>
        <w:jc w:val="both"/>
        <w:rPr>
          <w:rFonts w:ascii="Arial" w:hAnsi="Arial"/>
          <w:sz w:val="22"/>
          <w:szCs w:val="20"/>
          <w:lang w:val="en-NZ" w:eastAsia="en-US"/>
        </w:rPr>
      </w:pPr>
    </w:p>
    <w:p w14:paraId="4FEB85F6"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The trans-Tasman retirement savings portability scheme established by this Arrangement is based upon the following four principles: </w:t>
      </w:r>
    </w:p>
    <w:p w14:paraId="197F12A0" w14:textId="77777777" w:rsidR="008956BA" w:rsidRPr="008956BA" w:rsidRDefault="008956BA" w:rsidP="008956BA">
      <w:pPr>
        <w:spacing w:line="360" w:lineRule="auto"/>
        <w:jc w:val="both"/>
        <w:rPr>
          <w:rFonts w:ascii="Arial" w:hAnsi="Arial" w:cs="Arial"/>
          <w:lang w:val="en-NZ" w:eastAsia="en-US"/>
        </w:rPr>
      </w:pPr>
    </w:p>
    <w:p w14:paraId="3AFA38F3" w14:textId="77777777" w:rsidR="008956BA" w:rsidRPr="008956BA" w:rsidRDefault="008956BA" w:rsidP="008956BA">
      <w:pPr>
        <w:numPr>
          <w:ilvl w:val="0"/>
          <w:numId w:val="6"/>
        </w:numPr>
        <w:tabs>
          <w:tab w:val="num" w:pos="1100"/>
        </w:tabs>
        <w:spacing w:line="360" w:lineRule="auto"/>
        <w:ind w:left="1100" w:hanging="533"/>
        <w:jc w:val="both"/>
        <w:rPr>
          <w:rFonts w:ascii="Arial" w:hAnsi="Arial" w:cs="Arial"/>
          <w:lang w:val="en-NZ" w:eastAsia="en-US"/>
        </w:rPr>
      </w:pPr>
      <w:bookmarkStart w:id="0" w:name="tempbookmark"/>
      <w:r w:rsidRPr="008956BA">
        <w:rPr>
          <w:rFonts w:ascii="Arial" w:hAnsi="Arial" w:cs="Arial"/>
          <w:lang w:val="en-NZ" w:eastAsia="en-US"/>
        </w:rPr>
        <w:t>enhanced trans</w:t>
      </w:r>
      <w:r w:rsidRPr="008956BA">
        <w:rPr>
          <w:rFonts w:ascii="Arial" w:hAnsi="Arial" w:cs="Arial"/>
          <w:lang w:val="en-NZ" w:eastAsia="en-US"/>
        </w:rPr>
        <w:noBreakHyphen/>
        <w:t xml:space="preserve">Tasman retirement savings portability should complement a seamless trans-Tasman labour </w:t>
      </w:r>
      <w:proofErr w:type="gramStart"/>
      <w:r w:rsidRPr="008956BA">
        <w:rPr>
          <w:rFonts w:ascii="Arial" w:hAnsi="Arial" w:cs="Arial"/>
          <w:lang w:val="en-NZ" w:eastAsia="en-US"/>
        </w:rPr>
        <w:t>market;</w:t>
      </w:r>
      <w:proofErr w:type="gramEnd"/>
      <w:r w:rsidRPr="008956BA">
        <w:rPr>
          <w:rFonts w:ascii="Arial" w:hAnsi="Arial" w:cs="Arial"/>
          <w:lang w:val="en-NZ" w:eastAsia="en-US"/>
        </w:rPr>
        <w:t xml:space="preserve"> </w:t>
      </w:r>
    </w:p>
    <w:p w14:paraId="2C679E4A" w14:textId="77777777" w:rsidR="008956BA" w:rsidRPr="008956BA" w:rsidRDefault="008956BA" w:rsidP="008956BA">
      <w:pPr>
        <w:numPr>
          <w:ilvl w:val="0"/>
          <w:numId w:val="6"/>
        </w:numPr>
        <w:tabs>
          <w:tab w:val="num" w:pos="1100"/>
        </w:tabs>
        <w:spacing w:line="360" w:lineRule="auto"/>
        <w:ind w:left="1100" w:hanging="533"/>
        <w:jc w:val="both"/>
        <w:rPr>
          <w:rFonts w:ascii="Arial" w:hAnsi="Arial" w:cs="Arial"/>
          <w:lang w:val="en-NZ" w:eastAsia="en-US"/>
        </w:rPr>
      </w:pPr>
      <w:r w:rsidRPr="008956BA">
        <w:rPr>
          <w:rFonts w:ascii="Arial" w:hAnsi="Arial" w:cs="Arial"/>
          <w:lang w:val="en-NZ" w:eastAsia="en-US"/>
        </w:rPr>
        <w:t xml:space="preserve">portability should allow retirement savings to be dealt with in a manner that generally meets standards for the treatment of retirement savings that are set by the host </w:t>
      </w:r>
      <w:proofErr w:type="gramStart"/>
      <w:r w:rsidRPr="008956BA">
        <w:rPr>
          <w:rFonts w:ascii="Arial" w:hAnsi="Arial" w:cs="Arial"/>
          <w:lang w:val="en-NZ" w:eastAsia="en-US"/>
        </w:rPr>
        <w:t>country;</w:t>
      </w:r>
      <w:proofErr w:type="gramEnd"/>
    </w:p>
    <w:p w14:paraId="1E3058D2" w14:textId="77777777" w:rsidR="008956BA" w:rsidRPr="008956BA" w:rsidRDefault="008956BA" w:rsidP="008956BA">
      <w:pPr>
        <w:numPr>
          <w:ilvl w:val="0"/>
          <w:numId w:val="6"/>
        </w:numPr>
        <w:tabs>
          <w:tab w:val="num" w:pos="1100"/>
        </w:tabs>
        <w:spacing w:line="360" w:lineRule="auto"/>
        <w:ind w:left="1100" w:hanging="533"/>
        <w:jc w:val="both"/>
        <w:rPr>
          <w:rFonts w:ascii="Arial" w:hAnsi="Arial" w:cs="Arial"/>
          <w:lang w:val="en-NZ" w:eastAsia="en-US"/>
        </w:rPr>
      </w:pPr>
      <w:r w:rsidRPr="008956BA">
        <w:rPr>
          <w:rFonts w:ascii="Arial" w:hAnsi="Arial" w:cs="Arial"/>
          <w:lang w:val="en-NZ" w:eastAsia="en-US"/>
        </w:rPr>
        <w:t xml:space="preserve">portability should not lead to an unnecessary loss in the value of retirement savings; and </w:t>
      </w:r>
    </w:p>
    <w:p w14:paraId="3FCC4542" w14:textId="77777777" w:rsidR="008956BA" w:rsidRPr="008956BA" w:rsidRDefault="008956BA" w:rsidP="008956BA">
      <w:pPr>
        <w:numPr>
          <w:ilvl w:val="0"/>
          <w:numId w:val="6"/>
        </w:numPr>
        <w:tabs>
          <w:tab w:val="num" w:pos="1100"/>
        </w:tabs>
        <w:spacing w:line="360" w:lineRule="auto"/>
        <w:ind w:left="1100" w:hanging="533"/>
        <w:jc w:val="both"/>
        <w:rPr>
          <w:rFonts w:ascii="Arial" w:hAnsi="Arial" w:cs="Arial"/>
          <w:lang w:val="en-NZ" w:eastAsia="en-US"/>
        </w:rPr>
      </w:pPr>
      <w:r w:rsidRPr="008956BA">
        <w:rPr>
          <w:rFonts w:ascii="Arial" w:hAnsi="Arial" w:cs="Arial"/>
          <w:lang w:val="en-NZ" w:eastAsia="en-US"/>
        </w:rPr>
        <w:t>compliance and administration costs associated with the scheme should, where possible, be minimised.</w:t>
      </w:r>
    </w:p>
    <w:bookmarkEnd w:id="0"/>
    <w:p w14:paraId="1A89CE12" w14:textId="77777777" w:rsidR="008956BA" w:rsidRPr="008956BA" w:rsidRDefault="008956BA" w:rsidP="008956BA">
      <w:pPr>
        <w:spacing w:line="360" w:lineRule="auto"/>
        <w:jc w:val="both"/>
        <w:rPr>
          <w:rFonts w:ascii="Arial" w:hAnsi="Arial" w:cs="Arial"/>
          <w:lang w:val="en-NZ" w:eastAsia="en-US"/>
        </w:rPr>
      </w:pPr>
    </w:p>
    <w:p w14:paraId="33B33AE4" w14:textId="77777777" w:rsidR="008956BA" w:rsidRPr="008956BA" w:rsidRDefault="008956BA" w:rsidP="008956BA">
      <w:pPr>
        <w:keepNext/>
        <w:spacing w:line="360" w:lineRule="auto"/>
        <w:jc w:val="both"/>
        <w:outlineLvl w:val="0"/>
        <w:rPr>
          <w:rFonts w:ascii="Arial" w:hAnsi="Arial" w:cs="Arial"/>
          <w:b/>
          <w:caps/>
          <w:lang w:val="en-NZ" w:eastAsia="en-US"/>
        </w:rPr>
      </w:pPr>
      <w:r w:rsidRPr="008956BA">
        <w:rPr>
          <w:rFonts w:ascii="Arial" w:hAnsi="Arial" w:cs="Arial"/>
          <w:b/>
          <w:lang w:val="en-NZ" w:eastAsia="en-US"/>
        </w:rPr>
        <w:lastRenderedPageBreak/>
        <w:t>Portability Working Arrangements</w:t>
      </w:r>
    </w:p>
    <w:p w14:paraId="7DE71910" w14:textId="77777777" w:rsidR="008956BA" w:rsidRPr="008956BA" w:rsidRDefault="008956BA" w:rsidP="008956BA">
      <w:pPr>
        <w:jc w:val="both"/>
        <w:rPr>
          <w:rFonts w:ascii="Arial" w:hAnsi="Arial"/>
          <w:sz w:val="22"/>
          <w:szCs w:val="20"/>
          <w:lang w:val="en-NZ" w:eastAsia="en-US"/>
        </w:rPr>
      </w:pPr>
    </w:p>
    <w:p w14:paraId="25B96BA8" w14:textId="77777777" w:rsidR="008956BA" w:rsidRPr="008956BA" w:rsidRDefault="008956BA" w:rsidP="008956BA">
      <w:pPr>
        <w:numPr>
          <w:ilvl w:val="0"/>
          <w:numId w:val="5"/>
        </w:numPr>
        <w:spacing w:line="360" w:lineRule="auto"/>
        <w:jc w:val="both"/>
        <w:rPr>
          <w:rFonts w:ascii="Arial" w:hAnsi="Arial" w:cs="Arial"/>
          <w:lang w:val="en-NZ" w:eastAsia="en-US"/>
        </w:rPr>
      </w:pPr>
      <w:r w:rsidRPr="008956BA">
        <w:rPr>
          <w:rFonts w:ascii="Arial" w:hAnsi="Arial" w:cs="Arial"/>
          <w:lang w:val="en-NZ" w:eastAsia="en-US"/>
        </w:rPr>
        <w:t xml:space="preserve">The Governments have mutually decided that retirement savings held in Australian complying superannuation funds or New Zealand </w:t>
      </w:r>
      <w:proofErr w:type="spellStart"/>
      <w:r w:rsidRPr="008956BA">
        <w:rPr>
          <w:rFonts w:ascii="Arial" w:hAnsi="Arial" w:cs="Arial"/>
          <w:lang w:val="en-NZ" w:eastAsia="en-US"/>
        </w:rPr>
        <w:t>KiwiSaver</w:t>
      </w:r>
      <w:proofErr w:type="spellEnd"/>
      <w:r w:rsidRPr="008956BA">
        <w:rPr>
          <w:rFonts w:ascii="Arial" w:hAnsi="Arial" w:cs="Arial"/>
          <w:lang w:val="en-NZ" w:eastAsia="en-US"/>
        </w:rPr>
        <w:t xml:space="preserve"> accounts may be transferred between Australia and New Zealand.  Additionally, the Governments have mutually decided that amounts held by the Australian Commissioner of Taxation in their capacity under the </w:t>
      </w:r>
      <w:r w:rsidRPr="008956BA">
        <w:rPr>
          <w:rFonts w:ascii="Arial" w:hAnsi="Arial" w:cs="Arial"/>
          <w:i/>
          <w:lang w:val="en-NZ" w:eastAsia="en-US"/>
        </w:rPr>
        <w:t>Superannuation (Unclaimed Money and Lost Members) Act 1999</w:t>
      </w:r>
      <w:r w:rsidRPr="008956BA">
        <w:rPr>
          <w:rFonts w:ascii="Arial" w:hAnsi="Arial" w:cs="Arial"/>
          <w:lang w:val="en-NZ" w:eastAsia="en-US"/>
        </w:rPr>
        <w:t xml:space="preserve"> may be transferred to New Zealand. </w:t>
      </w:r>
      <w:proofErr w:type="gramStart"/>
      <w:r w:rsidRPr="008956BA">
        <w:rPr>
          <w:rFonts w:ascii="Arial" w:hAnsi="Arial" w:cs="Arial"/>
          <w:lang w:val="en-NZ" w:eastAsia="en-US"/>
        </w:rPr>
        <w:t>In order to</w:t>
      </w:r>
      <w:proofErr w:type="gramEnd"/>
      <w:r w:rsidRPr="008956BA">
        <w:rPr>
          <w:rFonts w:ascii="Arial" w:hAnsi="Arial" w:cs="Arial"/>
          <w:lang w:val="en-NZ" w:eastAsia="en-US"/>
        </w:rPr>
        <w:t xml:space="preserve"> implement this understanding, the Governments consent to the arrangements outlined below.</w:t>
      </w:r>
    </w:p>
    <w:p w14:paraId="5563D4C9" w14:textId="77777777" w:rsidR="008956BA" w:rsidRPr="008956BA" w:rsidRDefault="008956BA" w:rsidP="008956BA">
      <w:pPr>
        <w:tabs>
          <w:tab w:val="num" w:pos="567"/>
        </w:tabs>
        <w:spacing w:line="360" w:lineRule="auto"/>
        <w:ind w:left="567" w:hanging="567"/>
        <w:jc w:val="both"/>
        <w:rPr>
          <w:rFonts w:ascii="Arial" w:hAnsi="Arial" w:cs="Arial"/>
          <w:lang w:val="en-NZ" w:eastAsia="en-US"/>
        </w:rPr>
      </w:pPr>
    </w:p>
    <w:p w14:paraId="71E70B2B"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For the avoidance of doubt, under this Arrangement, Australian-sourced retirement savings from an Australian untaxed source, or an Australian defined benefit scheme, cannot be transferred to a New Zealand </w:t>
      </w:r>
      <w:proofErr w:type="spellStart"/>
      <w:r w:rsidRPr="008956BA">
        <w:rPr>
          <w:rFonts w:ascii="Arial" w:hAnsi="Arial" w:cs="Arial"/>
          <w:lang w:val="en-NZ" w:eastAsia="en-US"/>
        </w:rPr>
        <w:t>KiwiSaver</w:t>
      </w:r>
      <w:proofErr w:type="spellEnd"/>
      <w:r w:rsidRPr="008956BA">
        <w:rPr>
          <w:rFonts w:ascii="Arial" w:hAnsi="Arial" w:cs="Arial"/>
          <w:lang w:val="en-NZ" w:eastAsia="en-US"/>
        </w:rPr>
        <w:t xml:space="preserve"> account.</w:t>
      </w:r>
    </w:p>
    <w:p w14:paraId="47A45CE4" w14:textId="77777777" w:rsidR="008956BA" w:rsidRPr="008956BA" w:rsidRDefault="008956BA" w:rsidP="008956BA">
      <w:pPr>
        <w:tabs>
          <w:tab w:val="num" w:pos="567"/>
        </w:tabs>
        <w:spacing w:line="360" w:lineRule="auto"/>
        <w:ind w:left="567" w:hanging="567"/>
        <w:jc w:val="both"/>
        <w:rPr>
          <w:rFonts w:ascii="Arial" w:hAnsi="Arial" w:cs="Arial"/>
          <w:lang w:val="en-NZ" w:eastAsia="en-US"/>
        </w:rPr>
      </w:pPr>
    </w:p>
    <w:p w14:paraId="078C82CE"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The arrangements to enhance portability will be voluntary for providers as to whether they will accept transferred retirement savings.  The arrangements will also be voluntary for individuals to transfer their retirement savings between </w:t>
      </w:r>
      <w:smartTag w:uri="urn:schemas-microsoft-com:office:smarttags" w:element="country-region">
        <w:r w:rsidRPr="008956BA">
          <w:rPr>
            <w:rFonts w:ascii="Arial" w:hAnsi="Arial" w:cs="Arial"/>
            <w:lang w:val="en-NZ" w:eastAsia="en-US"/>
          </w:rPr>
          <w:t>Australia</w:t>
        </w:r>
      </w:smartTag>
      <w:r w:rsidRPr="008956BA">
        <w:rPr>
          <w:rFonts w:ascii="Arial" w:hAnsi="Arial" w:cs="Arial"/>
          <w:lang w:val="en-NZ" w:eastAsia="en-US"/>
        </w:rPr>
        <w:t xml:space="preserve"> and </w:t>
      </w:r>
      <w:smartTag w:uri="urn:schemas-microsoft-com:office:smarttags" w:element="country-region">
        <w:smartTag w:uri="urn:schemas-microsoft-com:office:smarttags" w:element="place">
          <w:r w:rsidRPr="008956BA">
            <w:rPr>
              <w:rFonts w:ascii="Arial" w:hAnsi="Arial" w:cs="Arial"/>
              <w:lang w:val="en-NZ" w:eastAsia="en-US"/>
            </w:rPr>
            <w:t>New Zealand</w:t>
          </w:r>
        </w:smartTag>
      </w:smartTag>
      <w:r w:rsidRPr="008956BA">
        <w:rPr>
          <w:rFonts w:ascii="Arial" w:hAnsi="Arial" w:cs="Arial"/>
          <w:lang w:val="en-NZ" w:eastAsia="en-US"/>
        </w:rPr>
        <w:t>.</w:t>
      </w:r>
    </w:p>
    <w:p w14:paraId="3482C27F" w14:textId="77777777" w:rsidR="008956BA" w:rsidRPr="008956BA" w:rsidRDefault="008956BA" w:rsidP="008956BA">
      <w:pPr>
        <w:tabs>
          <w:tab w:val="num" w:pos="567"/>
        </w:tabs>
        <w:spacing w:line="360" w:lineRule="auto"/>
        <w:ind w:left="567" w:hanging="567"/>
        <w:jc w:val="both"/>
        <w:rPr>
          <w:rFonts w:ascii="Arial" w:hAnsi="Arial" w:cs="Arial"/>
          <w:lang w:val="en-NZ" w:eastAsia="en-US"/>
        </w:rPr>
      </w:pPr>
    </w:p>
    <w:p w14:paraId="176C5BAE"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The transfer of retirement savings may take place once an individual has provided their source country provider with all the relevant details of the chosen host country provider.  The Government of the source country may also require an individual to provide additional information (such as proof of address in the host country) to the source country Government or </w:t>
      </w:r>
      <w:proofErr w:type="gramStart"/>
      <w:r w:rsidRPr="008956BA">
        <w:rPr>
          <w:rFonts w:ascii="Arial" w:hAnsi="Arial" w:cs="Arial"/>
          <w:lang w:val="en-NZ" w:eastAsia="en-US"/>
        </w:rPr>
        <w:t>provider, before</w:t>
      </w:r>
      <w:proofErr w:type="gramEnd"/>
      <w:r w:rsidRPr="008956BA">
        <w:rPr>
          <w:rFonts w:ascii="Arial" w:hAnsi="Arial" w:cs="Arial"/>
          <w:lang w:val="en-NZ" w:eastAsia="en-US"/>
        </w:rPr>
        <w:t xml:space="preserve"> the retirement savings can be transferred to the host country.</w:t>
      </w:r>
    </w:p>
    <w:p w14:paraId="3305D803" w14:textId="77777777" w:rsidR="008956BA" w:rsidRPr="008956BA" w:rsidRDefault="008956BA" w:rsidP="008956BA">
      <w:pPr>
        <w:tabs>
          <w:tab w:val="num" w:pos="567"/>
        </w:tabs>
        <w:spacing w:line="360" w:lineRule="auto"/>
        <w:ind w:left="567" w:hanging="567"/>
        <w:jc w:val="both"/>
        <w:rPr>
          <w:rFonts w:ascii="Arial" w:hAnsi="Arial" w:cs="Arial"/>
          <w:lang w:val="en-NZ" w:eastAsia="en-US"/>
        </w:rPr>
      </w:pPr>
    </w:p>
    <w:p w14:paraId="023CAE9B"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Retirement savings may only be transferred to a provider in the host country that complies with conditions placed on the treatment of those savings by the source country, as outlined in this Arrangement. </w:t>
      </w:r>
      <w:r w:rsidRPr="008956BA">
        <w:rPr>
          <w:rFonts w:ascii="Arial" w:hAnsi="Arial" w:cs="Arial"/>
          <w:iCs/>
          <w:lang w:val="en-NZ" w:eastAsia="en-US"/>
        </w:rPr>
        <w:t>The Governments will provide for source country specific rules outlined in this Arrangement to be applied in the host country</w:t>
      </w:r>
      <w:r w:rsidRPr="008956BA">
        <w:rPr>
          <w:rFonts w:ascii="Arial" w:hAnsi="Arial" w:cs="Arial"/>
          <w:lang w:val="en-NZ" w:eastAsia="en-US"/>
        </w:rPr>
        <w:t>.</w:t>
      </w:r>
    </w:p>
    <w:p w14:paraId="6D0316AB" w14:textId="77777777" w:rsidR="008956BA" w:rsidRPr="008956BA" w:rsidRDefault="008956BA" w:rsidP="008956BA">
      <w:pPr>
        <w:tabs>
          <w:tab w:val="num" w:pos="567"/>
        </w:tabs>
        <w:spacing w:line="360" w:lineRule="auto"/>
        <w:ind w:left="567" w:hanging="567"/>
        <w:jc w:val="both"/>
        <w:rPr>
          <w:rFonts w:ascii="Arial" w:hAnsi="Arial" w:cs="Arial"/>
          <w:lang w:val="en-NZ" w:eastAsia="en-US"/>
        </w:rPr>
      </w:pPr>
    </w:p>
    <w:p w14:paraId="2A899E54" w14:textId="4E55AA21" w:rsidR="008956BA" w:rsidRPr="008D2F2E"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The transferred retirement savings must be separately identifiable within the account established in the host country.  This separate identification will allow </w:t>
      </w:r>
      <w:r w:rsidRPr="008956BA">
        <w:rPr>
          <w:rFonts w:ascii="Arial" w:hAnsi="Arial" w:cs="Arial"/>
          <w:lang w:val="en-NZ" w:eastAsia="en-US"/>
        </w:rPr>
        <w:lastRenderedPageBreak/>
        <w:t xml:space="preserve">the source country specific rules specified in paragraph 13 to be applied to retirement savings that are transferred to the host country. </w:t>
      </w:r>
      <w:r w:rsidRPr="008D2F2E">
        <w:rPr>
          <w:rFonts w:ascii="Arial" w:hAnsi="Arial" w:cs="Arial"/>
          <w:lang w:val="en-NZ" w:eastAsia="en-US"/>
        </w:rPr>
        <w:t xml:space="preserve">That is, the transferring provider will inform the receiving provider of the total amount of retirement savings to be transferred, the amounts that were accumulated in Australia and amounts that were accumulated in New Zealand. </w:t>
      </w:r>
    </w:p>
    <w:p w14:paraId="7C8BBED3" w14:textId="77777777" w:rsidR="008956BA" w:rsidRPr="008956BA" w:rsidRDefault="008956BA" w:rsidP="008956BA">
      <w:pPr>
        <w:spacing w:line="360" w:lineRule="auto"/>
        <w:ind w:left="360"/>
        <w:jc w:val="both"/>
        <w:rPr>
          <w:rFonts w:ascii="Arial" w:hAnsi="Arial" w:cs="Arial"/>
          <w:lang w:val="en-NZ" w:eastAsia="en-US"/>
        </w:rPr>
      </w:pPr>
    </w:p>
    <w:p w14:paraId="18249B57"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The Governments will exempt retirement savings transfers between the two countries from any entry or exit taxes and measures aimed at recouping Crown contributions to retirement savings.  These include:</w:t>
      </w:r>
    </w:p>
    <w:p w14:paraId="4F6827A7" w14:textId="77777777" w:rsidR="008956BA" w:rsidRPr="008956BA" w:rsidRDefault="008956BA" w:rsidP="008956BA">
      <w:pPr>
        <w:tabs>
          <w:tab w:val="num" w:pos="567"/>
        </w:tabs>
        <w:spacing w:line="360" w:lineRule="auto"/>
        <w:ind w:left="567" w:hanging="567"/>
        <w:jc w:val="both"/>
        <w:rPr>
          <w:rFonts w:ascii="Arial" w:hAnsi="Arial" w:cs="Arial"/>
          <w:lang w:val="en-NZ" w:eastAsia="en-US"/>
        </w:rPr>
      </w:pPr>
    </w:p>
    <w:p w14:paraId="69C623B5" w14:textId="77777777" w:rsidR="008956BA" w:rsidRPr="008956BA" w:rsidRDefault="008956BA" w:rsidP="008956BA">
      <w:pPr>
        <w:numPr>
          <w:ilvl w:val="1"/>
          <w:numId w:val="5"/>
        </w:numPr>
        <w:tabs>
          <w:tab w:val="num" w:pos="1134"/>
        </w:tabs>
        <w:spacing w:line="360" w:lineRule="auto"/>
        <w:ind w:left="993" w:hanging="426"/>
        <w:jc w:val="both"/>
        <w:rPr>
          <w:rFonts w:ascii="Arial" w:hAnsi="Arial" w:cs="Arial"/>
          <w:lang w:val="en-NZ" w:eastAsia="en-US"/>
        </w:rPr>
      </w:pPr>
      <w:r w:rsidRPr="008956BA">
        <w:rPr>
          <w:rFonts w:ascii="Arial" w:hAnsi="Arial" w:cs="Arial"/>
          <w:lang w:val="en-NZ" w:eastAsia="en-US"/>
        </w:rPr>
        <w:t xml:space="preserve">in the case of </w:t>
      </w:r>
      <w:smartTag w:uri="urn:schemas-microsoft-com:office:smarttags" w:element="country-region">
        <w:smartTag w:uri="urn:schemas-microsoft-com:office:smarttags" w:element="place">
          <w:r w:rsidRPr="008956BA">
            <w:rPr>
              <w:rFonts w:ascii="Arial" w:hAnsi="Arial" w:cs="Arial"/>
              <w:lang w:val="en-NZ" w:eastAsia="en-US"/>
            </w:rPr>
            <w:t>New Zealand</w:t>
          </w:r>
        </w:smartTag>
      </w:smartTag>
      <w:r w:rsidRPr="008956BA">
        <w:rPr>
          <w:rFonts w:ascii="Arial" w:hAnsi="Arial" w:cs="Arial"/>
          <w:lang w:val="en-NZ" w:eastAsia="en-US"/>
        </w:rPr>
        <w:t>:</w:t>
      </w:r>
    </w:p>
    <w:p w14:paraId="7154C220" w14:textId="77777777" w:rsidR="008956BA" w:rsidRPr="008956BA" w:rsidRDefault="008956BA" w:rsidP="008956BA">
      <w:pPr>
        <w:spacing w:line="360" w:lineRule="auto"/>
        <w:ind w:left="1134"/>
        <w:jc w:val="both"/>
        <w:rPr>
          <w:rFonts w:ascii="Arial" w:hAnsi="Arial" w:cs="Arial"/>
          <w:lang w:val="en-NZ" w:eastAsia="en-US"/>
        </w:rPr>
      </w:pPr>
    </w:p>
    <w:p w14:paraId="5BA82AA1" w14:textId="77777777" w:rsidR="008956BA" w:rsidRPr="008956BA" w:rsidRDefault="008956BA" w:rsidP="008956BA">
      <w:pPr>
        <w:numPr>
          <w:ilvl w:val="2"/>
          <w:numId w:val="5"/>
        </w:numPr>
        <w:tabs>
          <w:tab w:val="num" w:pos="1701"/>
        </w:tabs>
        <w:spacing w:line="360" w:lineRule="auto"/>
        <w:ind w:left="1701" w:hanging="567"/>
        <w:jc w:val="both"/>
        <w:rPr>
          <w:rFonts w:ascii="Arial" w:hAnsi="Arial" w:cs="Arial"/>
          <w:lang w:val="en-NZ" w:eastAsia="en-US"/>
        </w:rPr>
      </w:pPr>
      <w:r w:rsidRPr="008956BA">
        <w:rPr>
          <w:rFonts w:ascii="Arial" w:hAnsi="Arial" w:cs="Arial"/>
          <w:lang w:val="en-NZ" w:eastAsia="en-US"/>
        </w:rPr>
        <w:t xml:space="preserve">an exemption from measures that seek to recover member tax credits from </w:t>
      </w:r>
      <w:proofErr w:type="spellStart"/>
      <w:r w:rsidRPr="008956BA">
        <w:rPr>
          <w:rFonts w:ascii="Arial" w:hAnsi="Arial" w:cs="Arial"/>
          <w:lang w:val="en-NZ" w:eastAsia="en-US"/>
        </w:rPr>
        <w:t>KiwiSaver</w:t>
      </w:r>
      <w:proofErr w:type="spellEnd"/>
      <w:r w:rsidRPr="008956BA">
        <w:rPr>
          <w:rFonts w:ascii="Arial" w:hAnsi="Arial" w:cs="Arial"/>
          <w:lang w:val="en-NZ" w:eastAsia="en-US"/>
        </w:rPr>
        <w:t xml:space="preserve"> savings; and  </w:t>
      </w:r>
    </w:p>
    <w:p w14:paraId="5D7836A2" w14:textId="77777777" w:rsidR="008956BA" w:rsidRPr="008956BA" w:rsidRDefault="008956BA" w:rsidP="008956BA">
      <w:pPr>
        <w:numPr>
          <w:ilvl w:val="2"/>
          <w:numId w:val="5"/>
        </w:numPr>
        <w:tabs>
          <w:tab w:val="num" w:pos="1701"/>
        </w:tabs>
        <w:spacing w:line="360" w:lineRule="auto"/>
        <w:ind w:left="1701" w:hanging="567"/>
        <w:jc w:val="both"/>
        <w:rPr>
          <w:rFonts w:ascii="Arial" w:hAnsi="Arial" w:cs="Arial"/>
          <w:lang w:val="en-NZ" w:eastAsia="en-US"/>
        </w:rPr>
      </w:pPr>
      <w:r w:rsidRPr="008956BA">
        <w:rPr>
          <w:rFonts w:ascii="Arial" w:hAnsi="Arial" w:cs="Arial"/>
          <w:lang w:val="en-NZ" w:eastAsia="en-US"/>
        </w:rPr>
        <w:t>an exemption at the point of entry for Australian-sourced retirement savings from being treated as dividends for taxation purposes.</w:t>
      </w:r>
    </w:p>
    <w:p w14:paraId="67D4BE04" w14:textId="77777777" w:rsidR="008956BA" w:rsidRPr="008956BA" w:rsidRDefault="008956BA" w:rsidP="008956BA">
      <w:pPr>
        <w:spacing w:line="360" w:lineRule="auto"/>
        <w:ind w:left="1701"/>
        <w:jc w:val="both"/>
        <w:rPr>
          <w:rFonts w:ascii="Arial" w:hAnsi="Arial" w:cs="Arial"/>
          <w:lang w:val="en-NZ" w:eastAsia="en-US"/>
        </w:rPr>
      </w:pPr>
    </w:p>
    <w:p w14:paraId="678A7F22" w14:textId="77777777" w:rsidR="008956BA" w:rsidRPr="008956BA" w:rsidRDefault="008956BA" w:rsidP="008956BA">
      <w:pPr>
        <w:numPr>
          <w:ilvl w:val="1"/>
          <w:numId w:val="5"/>
        </w:numPr>
        <w:tabs>
          <w:tab w:val="num" w:pos="1134"/>
        </w:tabs>
        <w:spacing w:line="360" w:lineRule="auto"/>
        <w:ind w:left="1134" w:hanging="567"/>
        <w:jc w:val="both"/>
        <w:rPr>
          <w:rFonts w:ascii="Arial" w:hAnsi="Arial" w:cs="Arial"/>
          <w:lang w:val="en-NZ" w:eastAsia="en-US"/>
        </w:rPr>
      </w:pPr>
      <w:r w:rsidRPr="008956BA">
        <w:rPr>
          <w:rFonts w:ascii="Arial" w:hAnsi="Arial" w:cs="Arial"/>
          <w:lang w:val="en-NZ" w:eastAsia="en-US"/>
        </w:rPr>
        <w:t xml:space="preserve">in the case of </w:t>
      </w:r>
      <w:smartTag w:uri="urn:schemas-microsoft-com:office:smarttags" w:element="country-region">
        <w:smartTag w:uri="urn:schemas-microsoft-com:office:smarttags" w:element="place">
          <w:r w:rsidRPr="008956BA">
            <w:rPr>
              <w:rFonts w:ascii="Arial" w:hAnsi="Arial" w:cs="Arial"/>
              <w:lang w:val="en-NZ" w:eastAsia="en-US"/>
            </w:rPr>
            <w:t>Australia</w:t>
          </w:r>
        </w:smartTag>
      </w:smartTag>
      <w:r w:rsidRPr="008956BA">
        <w:rPr>
          <w:rFonts w:ascii="Arial" w:hAnsi="Arial" w:cs="Arial"/>
          <w:lang w:val="en-NZ" w:eastAsia="en-US"/>
        </w:rPr>
        <w:t xml:space="preserve">: </w:t>
      </w:r>
    </w:p>
    <w:p w14:paraId="473C39D5" w14:textId="77777777" w:rsidR="008956BA" w:rsidRPr="008956BA" w:rsidRDefault="008956BA" w:rsidP="008956BA">
      <w:pPr>
        <w:spacing w:line="360" w:lineRule="auto"/>
        <w:ind w:left="1440"/>
        <w:jc w:val="both"/>
        <w:rPr>
          <w:rFonts w:ascii="Arial" w:hAnsi="Arial" w:cs="Arial"/>
          <w:lang w:val="en-NZ" w:eastAsia="en-US"/>
        </w:rPr>
      </w:pPr>
    </w:p>
    <w:p w14:paraId="6C836B3B" w14:textId="77777777" w:rsidR="008956BA" w:rsidRPr="008956BA" w:rsidRDefault="008956BA" w:rsidP="008956BA">
      <w:pPr>
        <w:numPr>
          <w:ilvl w:val="2"/>
          <w:numId w:val="5"/>
        </w:numPr>
        <w:tabs>
          <w:tab w:val="num" w:pos="1701"/>
        </w:tabs>
        <w:spacing w:line="360" w:lineRule="auto"/>
        <w:ind w:left="1701" w:hanging="567"/>
        <w:jc w:val="both"/>
        <w:rPr>
          <w:rFonts w:ascii="Arial" w:hAnsi="Arial" w:cs="Arial"/>
          <w:lang w:val="en-NZ" w:eastAsia="en-US"/>
        </w:rPr>
      </w:pPr>
      <w:r w:rsidRPr="008956BA">
        <w:rPr>
          <w:rFonts w:ascii="Arial" w:hAnsi="Arial" w:cs="Arial"/>
          <w:lang w:val="en-NZ" w:eastAsia="en-US"/>
        </w:rPr>
        <w:t xml:space="preserve">an exemption from the withholding tax levied on Australian-sourced retirement savings taken out of </w:t>
      </w:r>
      <w:smartTag w:uri="urn:schemas-microsoft-com:office:smarttags" w:element="country-region">
        <w:smartTag w:uri="urn:schemas-microsoft-com:office:smarttags" w:element="place">
          <w:r w:rsidRPr="008956BA">
            <w:rPr>
              <w:rFonts w:ascii="Arial" w:hAnsi="Arial" w:cs="Arial"/>
              <w:lang w:val="en-NZ" w:eastAsia="en-US"/>
            </w:rPr>
            <w:t>Australia</w:t>
          </w:r>
        </w:smartTag>
      </w:smartTag>
      <w:r w:rsidRPr="008956BA">
        <w:rPr>
          <w:rFonts w:ascii="Arial" w:hAnsi="Arial" w:cs="Arial"/>
          <w:lang w:val="en-NZ" w:eastAsia="en-US"/>
        </w:rPr>
        <w:t xml:space="preserve"> by temporary residents.</w:t>
      </w:r>
    </w:p>
    <w:p w14:paraId="08B5A1E2" w14:textId="77777777" w:rsidR="008956BA" w:rsidRPr="008956BA" w:rsidRDefault="008956BA" w:rsidP="008956BA">
      <w:pPr>
        <w:spacing w:line="360" w:lineRule="auto"/>
        <w:ind w:left="567"/>
        <w:jc w:val="both"/>
        <w:rPr>
          <w:rFonts w:ascii="Arial" w:hAnsi="Arial" w:cs="Arial"/>
          <w:lang w:val="en-NZ" w:eastAsia="en-US"/>
        </w:rPr>
      </w:pPr>
    </w:p>
    <w:p w14:paraId="3B1020DC"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New Zealand-sourced retirement savings will continue to be subject to the Australian non-concessional contribution cap arrangements at the initial point of entry.  Australian-sourced retirement savings and any New Zealand-sourced retirement savings re-entering </w:t>
      </w:r>
      <w:smartTag w:uri="urn:schemas-microsoft-com:office:smarttags" w:element="country-region">
        <w:smartTag w:uri="urn:schemas-microsoft-com:office:smarttags" w:element="place">
          <w:r w:rsidRPr="008956BA">
            <w:rPr>
              <w:rFonts w:ascii="Arial" w:hAnsi="Arial" w:cs="Arial"/>
              <w:lang w:val="en-NZ" w:eastAsia="en-US"/>
            </w:rPr>
            <w:t>Australia</w:t>
          </w:r>
        </w:smartTag>
      </w:smartTag>
      <w:r w:rsidRPr="008956BA">
        <w:rPr>
          <w:rFonts w:ascii="Arial" w:hAnsi="Arial" w:cs="Arial"/>
          <w:lang w:val="en-NZ" w:eastAsia="en-US"/>
        </w:rPr>
        <w:t xml:space="preserve"> will be exempted from the contribution caps upon re-entering the Australian superannuation system.  The Australian Government will determine how Australian-sourced retirement savings repatriated to </w:t>
      </w:r>
      <w:smartTag w:uri="urn:schemas-microsoft-com:office:smarttags" w:element="country-region">
        <w:smartTag w:uri="urn:schemas-microsoft-com:office:smarttags" w:element="place">
          <w:r w:rsidRPr="008956BA">
            <w:rPr>
              <w:rFonts w:ascii="Arial" w:hAnsi="Arial" w:cs="Arial"/>
              <w:lang w:val="en-NZ" w:eastAsia="en-US"/>
            </w:rPr>
            <w:t>Australia</w:t>
          </w:r>
        </w:smartTag>
      </w:smartTag>
      <w:r w:rsidRPr="008956BA">
        <w:rPr>
          <w:rFonts w:ascii="Arial" w:hAnsi="Arial" w:cs="Arial"/>
          <w:lang w:val="en-NZ" w:eastAsia="en-US"/>
        </w:rPr>
        <w:t xml:space="preserve"> are to be treated for taxation purposes.  </w:t>
      </w:r>
    </w:p>
    <w:p w14:paraId="74C975E1" w14:textId="77777777" w:rsidR="008956BA" w:rsidRPr="008956BA" w:rsidRDefault="008956BA" w:rsidP="008956BA">
      <w:pPr>
        <w:tabs>
          <w:tab w:val="num" w:pos="567"/>
        </w:tabs>
        <w:spacing w:line="360" w:lineRule="auto"/>
        <w:ind w:left="567" w:right="567" w:hanging="567"/>
        <w:jc w:val="both"/>
        <w:rPr>
          <w:rFonts w:ascii="Arial" w:hAnsi="Arial" w:cs="Arial"/>
          <w:lang w:val="en-NZ" w:eastAsia="en-US"/>
        </w:rPr>
      </w:pPr>
    </w:p>
    <w:p w14:paraId="6FBC3065"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Retirement savings transferred across the Tasman will be made subject to host country rules, with the following exceptions:</w:t>
      </w:r>
    </w:p>
    <w:p w14:paraId="2199960B" w14:textId="77777777" w:rsidR="008956BA" w:rsidRPr="008956BA" w:rsidRDefault="008956BA" w:rsidP="008956BA">
      <w:pPr>
        <w:spacing w:line="360" w:lineRule="auto"/>
        <w:ind w:left="360"/>
        <w:jc w:val="both"/>
        <w:rPr>
          <w:rFonts w:ascii="Arial" w:hAnsi="Arial" w:cs="Arial"/>
          <w:lang w:val="en-NZ" w:eastAsia="en-US"/>
        </w:rPr>
      </w:pPr>
    </w:p>
    <w:p w14:paraId="1C1DE782" w14:textId="77777777" w:rsidR="008956BA" w:rsidRPr="008956BA" w:rsidRDefault="008956BA" w:rsidP="008956BA">
      <w:pPr>
        <w:numPr>
          <w:ilvl w:val="1"/>
          <w:numId w:val="5"/>
        </w:numPr>
        <w:tabs>
          <w:tab w:val="num" w:pos="1134"/>
        </w:tabs>
        <w:spacing w:line="360" w:lineRule="auto"/>
        <w:ind w:left="1134" w:hanging="567"/>
        <w:jc w:val="both"/>
        <w:rPr>
          <w:rFonts w:ascii="Arial" w:hAnsi="Arial" w:cs="Arial"/>
          <w:lang w:val="en-NZ" w:eastAsia="en-US"/>
        </w:rPr>
      </w:pPr>
      <w:r w:rsidRPr="008956BA">
        <w:rPr>
          <w:rFonts w:ascii="Arial" w:hAnsi="Arial" w:cs="Arial"/>
          <w:lang w:val="en-NZ" w:eastAsia="en-US"/>
        </w:rPr>
        <w:lastRenderedPageBreak/>
        <w:t xml:space="preserve">Australian-sourced retirement savings held in a New Zealand </w:t>
      </w:r>
      <w:proofErr w:type="spellStart"/>
      <w:r w:rsidRPr="008956BA">
        <w:rPr>
          <w:rFonts w:ascii="Arial" w:hAnsi="Arial" w:cs="Arial"/>
          <w:lang w:val="en-NZ" w:eastAsia="en-US"/>
        </w:rPr>
        <w:t>KiwiSaver</w:t>
      </w:r>
      <w:proofErr w:type="spellEnd"/>
      <w:r w:rsidRPr="008956BA">
        <w:rPr>
          <w:rFonts w:ascii="Arial" w:hAnsi="Arial" w:cs="Arial"/>
          <w:lang w:val="en-NZ" w:eastAsia="en-US"/>
        </w:rPr>
        <w:t xml:space="preserve"> account may not be withdrawn to purchase a first home.</w:t>
      </w:r>
    </w:p>
    <w:p w14:paraId="424732F4" w14:textId="77777777" w:rsidR="008956BA" w:rsidRPr="008956BA" w:rsidRDefault="008956BA" w:rsidP="008956BA">
      <w:pPr>
        <w:tabs>
          <w:tab w:val="num" w:pos="1134"/>
        </w:tabs>
        <w:spacing w:line="360" w:lineRule="auto"/>
        <w:ind w:left="1134" w:hanging="567"/>
        <w:jc w:val="both"/>
        <w:rPr>
          <w:rFonts w:ascii="Arial" w:hAnsi="Arial" w:cs="Arial"/>
          <w:lang w:val="en-NZ" w:eastAsia="en-US"/>
        </w:rPr>
      </w:pPr>
    </w:p>
    <w:p w14:paraId="407A947B" w14:textId="77777777" w:rsidR="008956BA" w:rsidRPr="008956BA" w:rsidRDefault="008956BA" w:rsidP="008956BA">
      <w:pPr>
        <w:numPr>
          <w:ilvl w:val="1"/>
          <w:numId w:val="5"/>
        </w:numPr>
        <w:tabs>
          <w:tab w:val="num" w:pos="1134"/>
        </w:tabs>
        <w:spacing w:line="360" w:lineRule="auto"/>
        <w:ind w:left="1134" w:hanging="567"/>
        <w:jc w:val="both"/>
        <w:rPr>
          <w:rFonts w:ascii="Arial" w:hAnsi="Arial" w:cs="Arial"/>
          <w:i/>
          <w:lang w:val="en-NZ" w:eastAsia="en-US"/>
        </w:rPr>
      </w:pPr>
      <w:r w:rsidRPr="008956BA">
        <w:rPr>
          <w:rFonts w:ascii="Arial" w:hAnsi="Arial" w:cs="Arial"/>
          <w:lang w:val="en-NZ" w:eastAsia="en-US"/>
        </w:rPr>
        <w:t xml:space="preserve">Australian-sourced retirement savings held in a New Zealand </w:t>
      </w:r>
      <w:proofErr w:type="spellStart"/>
      <w:r w:rsidRPr="008956BA">
        <w:rPr>
          <w:rFonts w:ascii="Arial" w:hAnsi="Arial" w:cs="Arial"/>
          <w:lang w:val="en-NZ" w:eastAsia="en-US"/>
        </w:rPr>
        <w:t>KiwiSaver</w:t>
      </w:r>
      <w:proofErr w:type="spellEnd"/>
      <w:r w:rsidRPr="008956BA">
        <w:rPr>
          <w:rFonts w:ascii="Arial" w:hAnsi="Arial" w:cs="Arial"/>
          <w:lang w:val="en-NZ" w:eastAsia="en-US"/>
        </w:rPr>
        <w:t xml:space="preserve"> account may be accessed when an individual reaches age 60 and satisfies the definition of retirement at that age, as set out in the Australian </w:t>
      </w:r>
      <w:r w:rsidRPr="008956BA">
        <w:rPr>
          <w:rFonts w:ascii="Arial" w:hAnsi="Arial" w:cs="Arial"/>
          <w:i/>
          <w:lang w:val="en-NZ" w:eastAsia="en-US"/>
        </w:rPr>
        <w:t>Superannuation Industry (Supervision) Regulations 1994.</w:t>
      </w:r>
    </w:p>
    <w:p w14:paraId="399F045B" w14:textId="77777777" w:rsidR="008956BA" w:rsidRPr="008956BA" w:rsidRDefault="008956BA" w:rsidP="008956BA">
      <w:pPr>
        <w:tabs>
          <w:tab w:val="num" w:pos="1134"/>
        </w:tabs>
        <w:spacing w:line="360" w:lineRule="auto"/>
        <w:ind w:left="1134" w:hanging="567"/>
        <w:jc w:val="both"/>
        <w:rPr>
          <w:rFonts w:ascii="Arial" w:hAnsi="Arial" w:cs="Arial"/>
          <w:lang w:val="en-NZ" w:eastAsia="en-US"/>
        </w:rPr>
      </w:pPr>
    </w:p>
    <w:p w14:paraId="2476F073" w14:textId="77777777" w:rsidR="008956BA" w:rsidRPr="008956BA" w:rsidRDefault="008956BA" w:rsidP="008956BA">
      <w:pPr>
        <w:numPr>
          <w:ilvl w:val="1"/>
          <w:numId w:val="5"/>
        </w:numPr>
        <w:tabs>
          <w:tab w:val="num" w:pos="1134"/>
        </w:tabs>
        <w:spacing w:line="360" w:lineRule="auto"/>
        <w:ind w:left="1134" w:hanging="567"/>
        <w:jc w:val="both"/>
        <w:rPr>
          <w:rFonts w:ascii="Arial" w:hAnsi="Arial" w:cs="Arial"/>
          <w:lang w:val="en-NZ" w:eastAsia="en-US"/>
        </w:rPr>
      </w:pPr>
      <w:r w:rsidRPr="008956BA">
        <w:rPr>
          <w:rFonts w:ascii="Arial" w:hAnsi="Arial" w:cs="Arial"/>
          <w:lang w:val="en-NZ" w:eastAsia="en-US"/>
        </w:rPr>
        <w:t xml:space="preserve">Australian-sourced retirement savings held in a New Zealand </w:t>
      </w:r>
      <w:proofErr w:type="spellStart"/>
      <w:r w:rsidRPr="008956BA">
        <w:rPr>
          <w:rFonts w:ascii="Arial" w:hAnsi="Arial" w:cs="Arial"/>
          <w:lang w:val="en-NZ" w:eastAsia="en-US"/>
        </w:rPr>
        <w:t>KiwiSaver</w:t>
      </w:r>
      <w:proofErr w:type="spellEnd"/>
      <w:r w:rsidRPr="008956BA">
        <w:rPr>
          <w:rFonts w:ascii="Arial" w:hAnsi="Arial" w:cs="Arial"/>
          <w:lang w:val="en-NZ" w:eastAsia="en-US"/>
        </w:rPr>
        <w:t xml:space="preserve"> account may not be transferred to a third country.</w:t>
      </w:r>
    </w:p>
    <w:p w14:paraId="01F33A02" w14:textId="77777777" w:rsidR="008956BA" w:rsidRPr="008956BA" w:rsidRDefault="008956BA" w:rsidP="008956BA">
      <w:pPr>
        <w:ind w:left="720"/>
        <w:jc w:val="both"/>
        <w:rPr>
          <w:rFonts w:ascii="Arial" w:hAnsi="Arial" w:cs="Arial"/>
          <w:lang w:val="en-NZ" w:eastAsia="en-US"/>
        </w:rPr>
      </w:pPr>
    </w:p>
    <w:p w14:paraId="6B05041D" w14:textId="77777777" w:rsidR="008956BA" w:rsidRPr="008956BA" w:rsidRDefault="008956BA" w:rsidP="008956BA">
      <w:pPr>
        <w:numPr>
          <w:ilvl w:val="1"/>
          <w:numId w:val="5"/>
        </w:numPr>
        <w:tabs>
          <w:tab w:val="num" w:pos="1134"/>
        </w:tabs>
        <w:spacing w:line="360" w:lineRule="auto"/>
        <w:ind w:left="1134" w:hanging="567"/>
        <w:jc w:val="both"/>
        <w:rPr>
          <w:rFonts w:ascii="Arial" w:hAnsi="Arial" w:cs="Arial"/>
          <w:lang w:val="en-NZ" w:eastAsia="en-US"/>
        </w:rPr>
      </w:pPr>
      <w:r w:rsidRPr="008956BA">
        <w:rPr>
          <w:rFonts w:ascii="Arial" w:hAnsi="Arial" w:cs="Arial"/>
          <w:lang w:val="en-NZ" w:eastAsia="en-US"/>
        </w:rPr>
        <w:t xml:space="preserve">New Zealand-sourced retirement savings may only be transferred to, and held by, Australian complying superannuation funds that are regulated by the Australian Prudential Regulation Authority.  However, these retirement savings may be subsequently transferred to, and held by, the Australian Commissioner of Taxation in accordance with the </w:t>
      </w:r>
      <w:r w:rsidRPr="008956BA">
        <w:rPr>
          <w:rFonts w:ascii="Arial" w:hAnsi="Arial" w:cs="Arial"/>
          <w:i/>
          <w:lang w:val="en-NZ" w:eastAsia="en-US"/>
        </w:rPr>
        <w:t>Superannuation (Unclaimed Money and Lost Members) Act 1999</w:t>
      </w:r>
      <w:r w:rsidRPr="008956BA">
        <w:rPr>
          <w:rFonts w:ascii="Arial" w:hAnsi="Arial" w:cs="Arial"/>
          <w:lang w:val="en-NZ" w:eastAsia="en-US"/>
        </w:rPr>
        <w:t>. Furthermore, these retirement savings may not be transferred to, or held in, Australian self-managed superannuation funds.</w:t>
      </w:r>
    </w:p>
    <w:p w14:paraId="3A7BBEE1" w14:textId="77777777" w:rsidR="008956BA" w:rsidRPr="008956BA" w:rsidRDefault="008956BA" w:rsidP="008956BA">
      <w:pPr>
        <w:tabs>
          <w:tab w:val="num" w:pos="1134"/>
        </w:tabs>
        <w:spacing w:line="360" w:lineRule="auto"/>
        <w:ind w:left="1134" w:hanging="567"/>
        <w:jc w:val="both"/>
        <w:rPr>
          <w:rFonts w:ascii="Arial" w:hAnsi="Arial" w:cs="Arial"/>
          <w:lang w:val="en-NZ" w:eastAsia="en-US"/>
        </w:rPr>
      </w:pPr>
    </w:p>
    <w:p w14:paraId="38568F56" w14:textId="77777777" w:rsidR="008956BA" w:rsidRPr="008956BA" w:rsidRDefault="008956BA" w:rsidP="008956BA">
      <w:pPr>
        <w:numPr>
          <w:ilvl w:val="1"/>
          <w:numId w:val="5"/>
        </w:numPr>
        <w:tabs>
          <w:tab w:val="num" w:pos="1134"/>
        </w:tabs>
        <w:spacing w:line="360" w:lineRule="auto"/>
        <w:ind w:left="1134" w:hanging="567"/>
        <w:jc w:val="both"/>
        <w:rPr>
          <w:rFonts w:ascii="Arial" w:hAnsi="Arial" w:cs="Arial"/>
          <w:lang w:val="en-NZ" w:eastAsia="en-US"/>
        </w:rPr>
      </w:pPr>
      <w:r w:rsidRPr="008956BA">
        <w:rPr>
          <w:rFonts w:ascii="Arial" w:hAnsi="Arial" w:cs="Arial"/>
          <w:lang w:val="en-NZ" w:eastAsia="en-US"/>
        </w:rPr>
        <w:t>New Zealand-sourced retirement savings held in an Australian complying superannuation fund will not be able to be accessed under the retirement or attaining preservation age conditions of release, as defined in the Australian</w:t>
      </w:r>
      <w:r w:rsidRPr="008956BA">
        <w:rPr>
          <w:rFonts w:ascii="Arial" w:hAnsi="Arial" w:cs="Arial"/>
          <w:i/>
          <w:lang w:val="en-NZ" w:eastAsia="en-US"/>
        </w:rPr>
        <w:t xml:space="preserve"> </w:t>
      </w:r>
      <w:r w:rsidRPr="008956BA">
        <w:rPr>
          <w:rFonts w:ascii="Arial" w:hAnsi="Arial" w:cs="Arial"/>
          <w:bCs/>
          <w:i/>
          <w:iCs/>
          <w:lang w:val="en-AU" w:eastAsia="en-US"/>
        </w:rPr>
        <w:t>Superannuation</w:t>
      </w:r>
      <w:r w:rsidRPr="008956BA">
        <w:rPr>
          <w:rFonts w:ascii="Arial" w:hAnsi="Arial" w:cs="Arial"/>
          <w:bCs/>
          <w:i/>
          <w:lang w:val="en-AU" w:eastAsia="en-US"/>
        </w:rPr>
        <w:t xml:space="preserve"> </w:t>
      </w:r>
      <w:r w:rsidRPr="008956BA">
        <w:rPr>
          <w:rFonts w:ascii="Arial" w:hAnsi="Arial" w:cs="Arial"/>
          <w:bCs/>
          <w:i/>
          <w:iCs/>
          <w:lang w:val="en-AU" w:eastAsia="en-US"/>
        </w:rPr>
        <w:t>Industry (Supervision) Regulations 1994</w:t>
      </w:r>
      <w:r w:rsidRPr="008956BA">
        <w:rPr>
          <w:rFonts w:ascii="Arial" w:hAnsi="Arial" w:cs="Arial"/>
          <w:lang w:val="en-NZ" w:eastAsia="en-US"/>
        </w:rPr>
        <w:t xml:space="preserve">, until the age of retirement as defined in the </w:t>
      </w:r>
      <w:r w:rsidRPr="008956BA">
        <w:rPr>
          <w:rFonts w:ascii="Arial" w:hAnsi="Arial" w:cs="Arial"/>
          <w:i/>
          <w:lang w:val="en-NZ" w:eastAsia="en-US"/>
        </w:rPr>
        <w:t>New Zealand Superannuation and Retirement Income Act 2001.</w:t>
      </w:r>
    </w:p>
    <w:p w14:paraId="6BC5A8A9" w14:textId="77777777" w:rsidR="008956BA" w:rsidRPr="008956BA" w:rsidRDefault="008956BA" w:rsidP="008956BA">
      <w:pPr>
        <w:ind w:left="720"/>
        <w:jc w:val="both"/>
        <w:rPr>
          <w:rFonts w:ascii="Arial" w:hAnsi="Arial" w:cs="Arial"/>
          <w:lang w:val="en-NZ" w:eastAsia="en-US"/>
        </w:rPr>
      </w:pPr>
    </w:p>
    <w:p w14:paraId="18E4541B" w14:textId="77777777" w:rsidR="008956BA" w:rsidRPr="008956BA" w:rsidRDefault="008956BA" w:rsidP="008956BA">
      <w:pPr>
        <w:numPr>
          <w:ilvl w:val="1"/>
          <w:numId w:val="5"/>
        </w:numPr>
        <w:tabs>
          <w:tab w:val="num" w:pos="1134"/>
        </w:tabs>
        <w:spacing w:line="360" w:lineRule="auto"/>
        <w:ind w:left="1134" w:hanging="567"/>
        <w:jc w:val="both"/>
        <w:rPr>
          <w:rFonts w:ascii="Arial" w:hAnsi="Arial" w:cs="Arial"/>
          <w:lang w:val="en-NZ" w:eastAsia="en-US"/>
        </w:rPr>
      </w:pPr>
      <w:r w:rsidRPr="008956BA">
        <w:rPr>
          <w:rFonts w:ascii="Arial" w:hAnsi="Arial"/>
          <w:sz w:val="22"/>
          <w:szCs w:val="20"/>
          <w:lang w:val="en-NZ" w:eastAsia="en-US"/>
        </w:rPr>
        <w:t xml:space="preserve"> </w:t>
      </w:r>
      <w:r w:rsidRPr="008956BA">
        <w:rPr>
          <w:rFonts w:ascii="Arial" w:hAnsi="Arial" w:cs="Arial"/>
          <w:lang w:val="en-NZ" w:eastAsia="en-US"/>
        </w:rPr>
        <w:t xml:space="preserve">New Zealand-sourced retirement savings will not be able to be paid to a person under the </w:t>
      </w:r>
      <w:r w:rsidRPr="002A58B2">
        <w:rPr>
          <w:rFonts w:ascii="Arial" w:hAnsi="Arial" w:cs="Arial"/>
          <w:i/>
          <w:iCs/>
          <w:lang w:val="en-NZ" w:eastAsia="en-US"/>
        </w:rPr>
        <w:t>Superannuation (Unclaimed Money and Lost Members) Act 1999</w:t>
      </w:r>
      <w:r w:rsidRPr="008956BA">
        <w:rPr>
          <w:rFonts w:ascii="Arial" w:hAnsi="Arial" w:cs="Arial"/>
          <w:lang w:val="en-NZ" w:eastAsia="en-US"/>
        </w:rPr>
        <w:t xml:space="preserve"> where a criterion for payment is that the person has reached the eligibility age (as defined in that Act) until the age of retirement as defined in the </w:t>
      </w:r>
      <w:r w:rsidRPr="002A58B2">
        <w:rPr>
          <w:rFonts w:ascii="Arial" w:hAnsi="Arial" w:cs="Arial"/>
          <w:i/>
          <w:iCs/>
          <w:lang w:val="en-NZ" w:eastAsia="en-US"/>
        </w:rPr>
        <w:t>New Zealand Superannuation and Retirement Income Act 2001</w:t>
      </w:r>
      <w:r w:rsidRPr="008956BA">
        <w:rPr>
          <w:rFonts w:ascii="Arial" w:hAnsi="Arial" w:cs="Arial"/>
          <w:lang w:val="en-NZ" w:eastAsia="en-US"/>
        </w:rPr>
        <w:t xml:space="preserve"> has also been reached by the person.</w:t>
      </w:r>
    </w:p>
    <w:p w14:paraId="0A7B5B44" w14:textId="77777777" w:rsidR="008956BA" w:rsidRPr="008956BA" w:rsidRDefault="008956BA" w:rsidP="008956BA">
      <w:pPr>
        <w:tabs>
          <w:tab w:val="num" w:pos="1134"/>
        </w:tabs>
        <w:spacing w:line="360" w:lineRule="auto"/>
        <w:ind w:left="1134" w:hanging="567"/>
        <w:jc w:val="both"/>
        <w:rPr>
          <w:rFonts w:ascii="Arial" w:hAnsi="Arial" w:cs="Arial"/>
          <w:lang w:val="en-NZ" w:eastAsia="en-US"/>
        </w:rPr>
      </w:pPr>
    </w:p>
    <w:p w14:paraId="3968EFCF" w14:textId="77777777" w:rsidR="008956BA" w:rsidRPr="008956BA" w:rsidRDefault="008956BA" w:rsidP="008956BA">
      <w:pPr>
        <w:numPr>
          <w:ilvl w:val="1"/>
          <w:numId w:val="5"/>
        </w:numPr>
        <w:tabs>
          <w:tab w:val="num" w:pos="1134"/>
        </w:tabs>
        <w:spacing w:line="360" w:lineRule="auto"/>
        <w:ind w:left="1134" w:hanging="567"/>
        <w:jc w:val="both"/>
        <w:rPr>
          <w:rFonts w:ascii="Arial" w:hAnsi="Arial" w:cs="Arial"/>
          <w:lang w:val="en-NZ" w:eastAsia="en-US"/>
        </w:rPr>
      </w:pPr>
      <w:r w:rsidRPr="008956BA">
        <w:rPr>
          <w:rFonts w:ascii="Arial" w:hAnsi="Arial" w:cs="Arial"/>
          <w:lang w:val="en-NZ" w:eastAsia="en-US"/>
        </w:rPr>
        <w:lastRenderedPageBreak/>
        <w:t>New Zealand-sourced retirement savings held in an Australian complying superannuation fund may not be transferred to a third country.</w:t>
      </w:r>
    </w:p>
    <w:p w14:paraId="09C4A335" w14:textId="77777777" w:rsidR="008956BA" w:rsidRPr="008956BA" w:rsidRDefault="008956BA" w:rsidP="008956BA">
      <w:pPr>
        <w:tabs>
          <w:tab w:val="num" w:pos="1134"/>
        </w:tabs>
        <w:spacing w:line="360" w:lineRule="auto"/>
        <w:ind w:left="1134" w:hanging="567"/>
        <w:jc w:val="both"/>
        <w:rPr>
          <w:rFonts w:ascii="Arial" w:hAnsi="Arial" w:cs="Arial"/>
          <w:lang w:val="en-NZ" w:eastAsia="en-US"/>
        </w:rPr>
      </w:pPr>
    </w:p>
    <w:p w14:paraId="57B5D4E9"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For the avoidance of doubt, this Arrangement applies only to retirement savings that are transferred from the source country to the host country.  Once transferred, any earnings on these savings will be subject to the rules of the host country.  In addition, any decrements to retirement savings balances would first be applied to host country retirement savings, before being applied to retirement savings transferred from the source country.</w:t>
      </w:r>
    </w:p>
    <w:p w14:paraId="75B5D25F" w14:textId="77777777" w:rsidR="008956BA" w:rsidRPr="008956BA" w:rsidRDefault="008956BA" w:rsidP="008956BA">
      <w:pPr>
        <w:spacing w:line="360" w:lineRule="auto"/>
        <w:ind w:left="360"/>
        <w:jc w:val="both"/>
        <w:rPr>
          <w:rFonts w:ascii="Arial" w:hAnsi="Arial" w:cs="Arial"/>
          <w:lang w:val="en-NZ" w:eastAsia="en-US"/>
        </w:rPr>
      </w:pPr>
    </w:p>
    <w:p w14:paraId="5B547DA5" w14:textId="77777777" w:rsidR="008956BA" w:rsidRPr="008956BA" w:rsidRDefault="008956BA" w:rsidP="008956BA">
      <w:pPr>
        <w:keepNext/>
        <w:spacing w:line="360" w:lineRule="auto"/>
        <w:jc w:val="both"/>
        <w:outlineLvl w:val="0"/>
        <w:rPr>
          <w:rFonts w:ascii="Arial" w:hAnsi="Arial" w:cs="Arial"/>
          <w:b/>
          <w:caps/>
          <w:lang w:val="en-NZ" w:eastAsia="en-US"/>
        </w:rPr>
      </w:pPr>
      <w:r w:rsidRPr="008956BA">
        <w:rPr>
          <w:rFonts w:ascii="Arial" w:hAnsi="Arial" w:cs="Arial"/>
          <w:b/>
          <w:lang w:val="en-NZ" w:eastAsia="en-US"/>
        </w:rPr>
        <w:t>Consultation</w:t>
      </w:r>
    </w:p>
    <w:p w14:paraId="53651BF3" w14:textId="77777777" w:rsidR="008956BA" w:rsidRPr="008956BA" w:rsidRDefault="008956BA" w:rsidP="008956BA">
      <w:pPr>
        <w:jc w:val="both"/>
        <w:rPr>
          <w:rFonts w:ascii="Arial" w:hAnsi="Arial"/>
          <w:sz w:val="22"/>
          <w:szCs w:val="20"/>
          <w:lang w:val="en-NZ" w:eastAsia="en-US"/>
        </w:rPr>
      </w:pPr>
    </w:p>
    <w:p w14:paraId="68EE2087"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The Governments will use their best endeavours to resolve amicably any issues arising under this Arrangement and, as necessary, will consult to that end.  </w:t>
      </w:r>
    </w:p>
    <w:p w14:paraId="1262C06D" w14:textId="77777777" w:rsidR="008956BA" w:rsidRPr="008956BA" w:rsidRDefault="008956BA" w:rsidP="008956BA">
      <w:pPr>
        <w:tabs>
          <w:tab w:val="num" w:pos="567"/>
        </w:tabs>
        <w:spacing w:line="360" w:lineRule="auto"/>
        <w:ind w:left="567" w:right="567" w:hanging="567"/>
        <w:jc w:val="both"/>
        <w:rPr>
          <w:rFonts w:ascii="Arial" w:hAnsi="Arial" w:cs="Arial"/>
          <w:lang w:val="en-NZ" w:eastAsia="en-US"/>
        </w:rPr>
      </w:pPr>
    </w:p>
    <w:p w14:paraId="717CBFDB"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The Governments will, at the written request of either, promptly </w:t>
      </w:r>
      <w:proofErr w:type="gramStart"/>
      <w:r w:rsidRPr="008956BA">
        <w:rPr>
          <w:rFonts w:ascii="Arial" w:hAnsi="Arial" w:cs="Arial"/>
          <w:lang w:val="en-NZ" w:eastAsia="en-US"/>
        </w:rPr>
        <w:t>enter into</w:t>
      </w:r>
      <w:proofErr w:type="gramEnd"/>
      <w:r w:rsidRPr="008956BA">
        <w:rPr>
          <w:rFonts w:ascii="Arial" w:hAnsi="Arial" w:cs="Arial"/>
          <w:lang w:val="en-NZ" w:eastAsia="en-US"/>
        </w:rPr>
        <w:t xml:space="preserve"> consultations with a view to seeking an early, equitable and mutually satisfactory solution, if the Government which requested the consultation considers that:</w:t>
      </w:r>
    </w:p>
    <w:p w14:paraId="59D91F7B" w14:textId="77777777" w:rsidR="008956BA" w:rsidRPr="008956BA" w:rsidRDefault="008956BA" w:rsidP="008956BA">
      <w:pPr>
        <w:spacing w:line="360" w:lineRule="auto"/>
        <w:ind w:left="720"/>
        <w:jc w:val="both"/>
        <w:rPr>
          <w:rFonts w:ascii="Arial" w:hAnsi="Arial" w:cs="Arial"/>
          <w:lang w:val="en-NZ" w:eastAsia="en-US"/>
        </w:rPr>
      </w:pPr>
    </w:p>
    <w:p w14:paraId="79999350" w14:textId="77777777" w:rsidR="008956BA" w:rsidRPr="008956BA" w:rsidRDefault="008956BA" w:rsidP="008956BA">
      <w:pPr>
        <w:numPr>
          <w:ilvl w:val="1"/>
          <w:numId w:val="5"/>
        </w:numPr>
        <w:tabs>
          <w:tab w:val="num" w:pos="1134"/>
        </w:tabs>
        <w:spacing w:line="360" w:lineRule="auto"/>
        <w:ind w:left="1134" w:right="1134" w:hanging="567"/>
        <w:jc w:val="both"/>
        <w:rPr>
          <w:rFonts w:ascii="Arial" w:hAnsi="Arial" w:cs="Arial"/>
          <w:lang w:val="en-NZ" w:eastAsia="en-US"/>
        </w:rPr>
      </w:pPr>
      <w:r w:rsidRPr="008956BA">
        <w:rPr>
          <w:rFonts w:ascii="Arial" w:hAnsi="Arial" w:cs="Arial"/>
          <w:lang w:val="en-NZ" w:eastAsia="en-US"/>
        </w:rPr>
        <w:t>an understanding under this Arrangement is being or may be frustrated; or</w:t>
      </w:r>
    </w:p>
    <w:p w14:paraId="13B557E8" w14:textId="77777777" w:rsidR="008956BA" w:rsidRPr="008956BA" w:rsidRDefault="008956BA" w:rsidP="008956BA">
      <w:pPr>
        <w:numPr>
          <w:ilvl w:val="1"/>
          <w:numId w:val="5"/>
        </w:numPr>
        <w:tabs>
          <w:tab w:val="num" w:pos="1134"/>
        </w:tabs>
        <w:spacing w:line="360" w:lineRule="auto"/>
        <w:ind w:left="1134" w:right="1134" w:hanging="567"/>
        <w:jc w:val="both"/>
        <w:rPr>
          <w:rFonts w:ascii="Arial" w:hAnsi="Arial" w:cs="Arial"/>
          <w:lang w:val="en-NZ" w:eastAsia="en-US"/>
        </w:rPr>
      </w:pPr>
      <w:r w:rsidRPr="008956BA">
        <w:rPr>
          <w:rFonts w:ascii="Arial" w:hAnsi="Arial" w:cs="Arial"/>
          <w:lang w:val="en-NZ" w:eastAsia="en-US"/>
        </w:rPr>
        <w:t>the achievement of any objective of this Arrangement is being or may be frustrated.</w:t>
      </w:r>
    </w:p>
    <w:p w14:paraId="2EFA0BDD" w14:textId="77777777" w:rsidR="008956BA" w:rsidRPr="008956BA" w:rsidRDefault="008956BA" w:rsidP="008956BA">
      <w:pPr>
        <w:spacing w:line="360" w:lineRule="auto"/>
        <w:ind w:left="360"/>
        <w:jc w:val="both"/>
        <w:rPr>
          <w:rFonts w:ascii="Arial" w:hAnsi="Arial" w:cs="Arial"/>
          <w:lang w:val="en-NZ" w:eastAsia="en-US"/>
        </w:rPr>
      </w:pPr>
    </w:p>
    <w:p w14:paraId="49A5FA0C" w14:textId="77777777" w:rsidR="008956BA" w:rsidRPr="008956BA" w:rsidRDefault="008956BA" w:rsidP="008956BA">
      <w:pPr>
        <w:keepNext/>
        <w:spacing w:line="360" w:lineRule="auto"/>
        <w:jc w:val="both"/>
        <w:outlineLvl w:val="0"/>
        <w:rPr>
          <w:rFonts w:ascii="Arial" w:hAnsi="Arial" w:cs="Arial"/>
          <w:b/>
          <w:caps/>
          <w:lang w:val="en-NZ" w:eastAsia="en-US"/>
        </w:rPr>
      </w:pPr>
      <w:r w:rsidRPr="008956BA">
        <w:rPr>
          <w:rFonts w:ascii="Arial" w:hAnsi="Arial" w:cs="Arial"/>
          <w:b/>
          <w:lang w:val="en-NZ" w:eastAsia="en-US"/>
        </w:rPr>
        <w:t xml:space="preserve">Amendment </w:t>
      </w:r>
    </w:p>
    <w:p w14:paraId="7F767340" w14:textId="77777777" w:rsidR="008956BA" w:rsidRPr="008956BA" w:rsidRDefault="008956BA" w:rsidP="008956BA">
      <w:pPr>
        <w:jc w:val="both"/>
        <w:rPr>
          <w:rFonts w:ascii="Arial" w:hAnsi="Arial"/>
          <w:sz w:val="22"/>
          <w:szCs w:val="20"/>
          <w:lang w:val="en-NZ" w:eastAsia="en-US"/>
        </w:rPr>
      </w:pPr>
    </w:p>
    <w:p w14:paraId="7E3056BB"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The Governments may amend this Arrangement by mutual decision through an exchange of diplomatic notes.  Any such amendments will come into effect on the date specified in those notes.</w:t>
      </w:r>
    </w:p>
    <w:p w14:paraId="1F7C4723" w14:textId="77777777" w:rsidR="008956BA" w:rsidRPr="008956BA" w:rsidRDefault="008956BA" w:rsidP="008956BA">
      <w:pPr>
        <w:tabs>
          <w:tab w:val="num" w:pos="567"/>
        </w:tabs>
        <w:spacing w:line="360" w:lineRule="auto"/>
        <w:ind w:left="567" w:right="567" w:hanging="567"/>
        <w:jc w:val="both"/>
        <w:rPr>
          <w:rFonts w:ascii="Arial" w:hAnsi="Arial" w:cs="Arial"/>
          <w:lang w:val="en-NZ" w:eastAsia="en-US"/>
        </w:rPr>
      </w:pPr>
    </w:p>
    <w:p w14:paraId="7DC1BF49"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 xml:space="preserve">The Governments have mutually decided that they will consult each other in writing on all significant amendments to their respective domestic retirement savings schemes that may affect the implementation of this Arrangement and/or the practical workings of retirement savings portability between </w:t>
      </w:r>
      <w:smartTag w:uri="urn:schemas-microsoft-com:office:smarttags" w:element="country-region">
        <w:r w:rsidRPr="008956BA">
          <w:rPr>
            <w:rFonts w:ascii="Arial" w:hAnsi="Arial" w:cs="Arial"/>
            <w:lang w:val="en-NZ" w:eastAsia="en-US"/>
          </w:rPr>
          <w:t>Australia</w:t>
        </w:r>
      </w:smartTag>
      <w:r w:rsidRPr="008956BA">
        <w:rPr>
          <w:rFonts w:ascii="Arial" w:hAnsi="Arial" w:cs="Arial"/>
          <w:lang w:val="en-NZ" w:eastAsia="en-US"/>
        </w:rPr>
        <w:t xml:space="preserve"> and </w:t>
      </w:r>
      <w:smartTag w:uri="urn:schemas-microsoft-com:office:smarttags" w:element="country-region">
        <w:smartTag w:uri="urn:schemas-microsoft-com:office:smarttags" w:element="place">
          <w:r w:rsidRPr="008956BA">
            <w:rPr>
              <w:rFonts w:ascii="Arial" w:hAnsi="Arial" w:cs="Arial"/>
              <w:lang w:val="en-NZ" w:eastAsia="en-US"/>
            </w:rPr>
            <w:t>New Zealand</w:t>
          </w:r>
        </w:smartTag>
      </w:smartTag>
      <w:r w:rsidRPr="008956BA">
        <w:rPr>
          <w:rFonts w:ascii="Arial" w:hAnsi="Arial" w:cs="Arial"/>
          <w:lang w:val="en-NZ" w:eastAsia="en-US"/>
        </w:rPr>
        <w:t>.</w:t>
      </w:r>
    </w:p>
    <w:p w14:paraId="0CD44EDB" w14:textId="77777777" w:rsidR="008956BA" w:rsidRPr="008956BA" w:rsidRDefault="008956BA" w:rsidP="008956BA">
      <w:pPr>
        <w:spacing w:line="360" w:lineRule="auto"/>
        <w:ind w:left="360"/>
        <w:jc w:val="both"/>
        <w:rPr>
          <w:rFonts w:ascii="Arial" w:hAnsi="Arial" w:cs="Arial"/>
          <w:lang w:val="en-NZ" w:eastAsia="en-US"/>
        </w:rPr>
      </w:pPr>
    </w:p>
    <w:p w14:paraId="47E1DA6F" w14:textId="77777777" w:rsidR="008956BA" w:rsidRPr="008956BA" w:rsidRDefault="008956BA" w:rsidP="008956BA">
      <w:pPr>
        <w:keepNext/>
        <w:spacing w:line="360" w:lineRule="auto"/>
        <w:jc w:val="both"/>
        <w:outlineLvl w:val="0"/>
        <w:rPr>
          <w:rFonts w:ascii="Arial" w:hAnsi="Arial" w:cs="Arial"/>
          <w:b/>
          <w:caps/>
          <w:lang w:val="en-NZ" w:eastAsia="en-US"/>
        </w:rPr>
      </w:pPr>
      <w:r w:rsidRPr="008956BA">
        <w:rPr>
          <w:rFonts w:ascii="Arial" w:hAnsi="Arial" w:cs="Arial"/>
          <w:b/>
          <w:lang w:val="en-NZ" w:eastAsia="en-US"/>
        </w:rPr>
        <w:t>Withdrawal, Termination</w:t>
      </w:r>
    </w:p>
    <w:p w14:paraId="3E85BAFA" w14:textId="77777777" w:rsidR="008956BA" w:rsidRPr="008956BA" w:rsidRDefault="008956BA" w:rsidP="008956BA">
      <w:pPr>
        <w:jc w:val="both"/>
        <w:rPr>
          <w:rFonts w:ascii="Arial" w:hAnsi="Arial"/>
          <w:sz w:val="22"/>
          <w:szCs w:val="20"/>
          <w:lang w:val="en-NZ" w:eastAsia="en-US"/>
        </w:rPr>
      </w:pPr>
    </w:p>
    <w:p w14:paraId="2B62DCD1"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Either Government may withdraw from this Arrangement by giving written notice of that intent.  In the event of a notice to withdraw, the Governments will work together to terminate this Arrangement as expeditiously as possible.  Termination will take effect at the expiration of 12 months from the date of written notice or on the date specified by mutual arrangement through an exchange of diplomatic notes.</w:t>
      </w:r>
    </w:p>
    <w:p w14:paraId="6B5F8BA5" w14:textId="77777777" w:rsidR="005C025D" w:rsidRDefault="005C025D" w:rsidP="008956BA">
      <w:pPr>
        <w:keepNext/>
        <w:spacing w:line="360" w:lineRule="auto"/>
        <w:jc w:val="both"/>
        <w:outlineLvl w:val="0"/>
        <w:rPr>
          <w:rFonts w:ascii="Arial" w:hAnsi="Arial" w:cs="Arial"/>
          <w:b/>
          <w:lang w:val="en-NZ" w:eastAsia="en-US"/>
        </w:rPr>
      </w:pPr>
    </w:p>
    <w:p w14:paraId="37720518" w14:textId="29A64987" w:rsidR="008956BA" w:rsidRPr="008956BA" w:rsidRDefault="008956BA" w:rsidP="008956BA">
      <w:pPr>
        <w:keepNext/>
        <w:spacing w:line="360" w:lineRule="auto"/>
        <w:jc w:val="both"/>
        <w:outlineLvl w:val="0"/>
        <w:rPr>
          <w:rFonts w:ascii="Arial" w:hAnsi="Arial" w:cs="Arial"/>
          <w:b/>
          <w:caps/>
          <w:lang w:val="en-NZ" w:eastAsia="en-US"/>
        </w:rPr>
      </w:pPr>
      <w:r w:rsidRPr="008956BA">
        <w:rPr>
          <w:rFonts w:ascii="Arial" w:hAnsi="Arial" w:cs="Arial"/>
          <w:b/>
          <w:lang w:val="en-NZ" w:eastAsia="en-US"/>
        </w:rPr>
        <w:t>General Review</w:t>
      </w:r>
    </w:p>
    <w:p w14:paraId="2C3A4116" w14:textId="77777777" w:rsidR="008956BA" w:rsidRPr="008956BA" w:rsidRDefault="008956BA" w:rsidP="008956BA">
      <w:pPr>
        <w:jc w:val="both"/>
        <w:rPr>
          <w:rFonts w:ascii="Arial" w:hAnsi="Arial"/>
          <w:sz w:val="22"/>
          <w:szCs w:val="20"/>
          <w:lang w:val="en-NZ" w:eastAsia="en-US"/>
        </w:rPr>
      </w:pPr>
    </w:p>
    <w:p w14:paraId="51DFBAE3"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bookmarkStart w:id="1" w:name="OLE_LINK5"/>
      <w:bookmarkStart w:id="2" w:name="OLE_LINK6"/>
      <w:r w:rsidRPr="008956BA">
        <w:rPr>
          <w:rFonts w:ascii="Arial" w:hAnsi="Arial" w:cs="Arial"/>
          <w:lang w:val="en-NZ" w:eastAsia="en-US"/>
        </w:rPr>
        <w:t xml:space="preserve">The Governments will carry out a periodic general review of the operation of the Arrangement and its relevant legislation, to assess the effectiveness of the arrangements in fostering and enhancing workforce mobility between </w:t>
      </w:r>
      <w:smartTag w:uri="urn:schemas-microsoft-com:office:smarttags" w:element="country-region">
        <w:r w:rsidRPr="008956BA">
          <w:rPr>
            <w:rFonts w:ascii="Arial" w:hAnsi="Arial" w:cs="Arial"/>
            <w:lang w:val="en-NZ" w:eastAsia="en-US"/>
          </w:rPr>
          <w:t>Australia</w:t>
        </w:r>
      </w:smartTag>
      <w:r w:rsidRPr="008956BA">
        <w:rPr>
          <w:rFonts w:ascii="Arial" w:hAnsi="Arial" w:cs="Arial"/>
          <w:lang w:val="en-NZ" w:eastAsia="en-US"/>
        </w:rPr>
        <w:t xml:space="preserve"> and </w:t>
      </w:r>
      <w:smartTag w:uri="urn:schemas-microsoft-com:office:smarttags" w:element="place">
        <w:smartTag w:uri="urn:schemas-microsoft-com:office:smarttags" w:element="country-region">
          <w:r w:rsidRPr="008956BA">
            <w:rPr>
              <w:rFonts w:ascii="Arial" w:hAnsi="Arial" w:cs="Arial"/>
              <w:lang w:val="en-NZ" w:eastAsia="en-US"/>
            </w:rPr>
            <w:t>New Zealand</w:t>
          </w:r>
        </w:smartTag>
      </w:smartTag>
      <w:r w:rsidRPr="008956BA">
        <w:rPr>
          <w:rFonts w:ascii="Arial" w:hAnsi="Arial" w:cs="Arial"/>
          <w:lang w:val="en-NZ" w:eastAsia="en-US"/>
        </w:rPr>
        <w:t>, and whether any changes to the Arrangement or related legislation are required to improve the operation of the Arrangement.</w:t>
      </w:r>
      <w:bookmarkEnd w:id="1"/>
      <w:bookmarkEnd w:id="2"/>
      <w:r w:rsidRPr="008956BA">
        <w:rPr>
          <w:rFonts w:ascii="Arial" w:hAnsi="Arial" w:cs="Arial"/>
          <w:lang w:val="en-NZ" w:eastAsia="en-US"/>
        </w:rPr>
        <w:t xml:space="preserve"> </w:t>
      </w:r>
    </w:p>
    <w:p w14:paraId="0F1184C3" w14:textId="54DBD8FC" w:rsidR="005C025D" w:rsidRDefault="005C025D">
      <w:pPr>
        <w:rPr>
          <w:rFonts w:ascii="Arial" w:hAnsi="Arial" w:cs="Arial"/>
          <w:lang w:val="en-NZ" w:eastAsia="en-US"/>
        </w:rPr>
      </w:pPr>
    </w:p>
    <w:p w14:paraId="2E1EEEB4" w14:textId="77777777" w:rsidR="008956BA" w:rsidRPr="008956BA" w:rsidRDefault="008956BA" w:rsidP="008956BA">
      <w:pPr>
        <w:keepNext/>
        <w:spacing w:line="360" w:lineRule="auto"/>
        <w:jc w:val="both"/>
        <w:outlineLvl w:val="0"/>
        <w:rPr>
          <w:rFonts w:ascii="Arial" w:hAnsi="Arial" w:cs="Arial"/>
          <w:b/>
          <w:caps/>
          <w:lang w:val="en-NZ" w:eastAsia="en-US"/>
        </w:rPr>
      </w:pPr>
      <w:bookmarkStart w:id="3" w:name="OLE_LINK3"/>
      <w:bookmarkStart w:id="4" w:name="OLE_LINK4"/>
      <w:r w:rsidRPr="008956BA">
        <w:rPr>
          <w:rFonts w:ascii="Arial" w:hAnsi="Arial" w:cs="Arial"/>
          <w:b/>
          <w:lang w:val="en-NZ" w:eastAsia="en-US"/>
        </w:rPr>
        <w:t>Effective Date</w:t>
      </w:r>
    </w:p>
    <w:p w14:paraId="73B83C44" w14:textId="77777777" w:rsidR="008956BA" w:rsidRPr="008956BA" w:rsidRDefault="008956BA" w:rsidP="008956BA">
      <w:pPr>
        <w:jc w:val="both"/>
        <w:rPr>
          <w:rFonts w:ascii="Arial" w:hAnsi="Arial"/>
          <w:sz w:val="22"/>
          <w:szCs w:val="20"/>
          <w:lang w:val="en-NZ" w:eastAsia="en-US"/>
        </w:rPr>
      </w:pPr>
    </w:p>
    <w:p w14:paraId="7DECE47A" w14:textId="77777777" w:rsidR="008956BA" w:rsidRPr="008956BA" w:rsidRDefault="008956BA" w:rsidP="008956BA">
      <w:pPr>
        <w:numPr>
          <w:ilvl w:val="0"/>
          <w:numId w:val="5"/>
        </w:numPr>
        <w:tabs>
          <w:tab w:val="num" w:pos="567"/>
        </w:tabs>
        <w:spacing w:line="360" w:lineRule="auto"/>
        <w:ind w:left="567" w:hanging="567"/>
        <w:jc w:val="both"/>
        <w:rPr>
          <w:rFonts w:ascii="Arial" w:hAnsi="Arial" w:cs="Arial"/>
          <w:lang w:val="en-NZ" w:eastAsia="en-US"/>
        </w:rPr>
      </w:pPr>
      <w:r w:rsidRPr="008956BA">
        <w:rPr>
          <w:rFonts w:ascii="Arial" w:hAnsi="Arial" w:cs="Arial"/>
          <w:lang w:val="en-NZ" w:eastAsia="en-US"/>
        </w:rPr>
        <w:t>This Arrangement will come into effect on the first day of the second month following the month in which the two Governments have exchanged notes informing each other that their respective constitutional or legislative matters necessary to give effect to this Arrangement have been fulfilled.</w:t>
      </w:r>
    </w:p>
    <w:bookmarkEnd w:id="3"/>
    <w:bookmarkEnd w:id="4"/>
    <w:p w14:paraId="04060C31" w14:textId="77777777" w:rsidR="008956BA" w:rsidRPr="008956BA" w:rsidRDefault="008956BA" w:rsidP="008956BA">
      <w:pPr>
        <w:spacing w:line="360" w:lineRule="auto"/>
        <w:ind w:left="720" w:hanging="720"/>
        <w:jc w:val="both"/>
        <w:rPr>
          <w:rFonts w:ascii="Arial" w:hAnsi="Arial" w:cs="Arial"/>
          <w:lang w:val="en-NZ" w:eastAsia="en-US"/>
        </w:rPr>
      </w:pPr>
    </w:p>
    <w:p w14:paraId="770E6E9E" w14:textId="77777777" w:rsidR="008956BA" w:rsidRPr="008956BA" w:rsidRDefault="008956BA" w:rsidP="008956BA">
      <w:pPr>
        <w:spacing w:line="360" w:lineRule="auto"/>
        <w:ind w:left="1287" w:hanging="720"/>
        <w:jc w:val="both"/>
        <w:rPr>
          <w:rFonts w:ascii="Arial" w:hAnsi="Arial" w:cs="Arial"/>
          <w:lang w:val="en-NZ" w:eastAsia="en-US"/>
        </w:rPr>
      </w:pPr>
      <w:r w:rsidRPr="008956BA">
        <w:rPr>
          <w:rFonts w:ascii="Arial" w:hAnsi="Arial" w:cs="Arial"/>
          <w:lang w:val="en-NZ" w:eastAsia="en-US"/>
        </w:rPr>
        <w:t xml:space="preserve">Signed in </w:t>
      </w:r>
      <w:smartTag w:uri="urn:schemas-microsoft-com:office:smarttags" w:element="City">
        <w:smartTag w:uri="urn:schemas-microsoft-com:office:smarttags" w:element="place">
          <w:r w:rsidRPr="008956BA">
            <w:rPr>
              <w:rFonts w:ascii="Arial" w:hAnsi="Arial" w:cs="Arial"/>
              <w:lang w:val="en-NZ" w:eastAsia="en-US"/>
            </w:rPr>
            <w:t>BRISBANE</w:t>
          </w:r>
        </w:smartTag>
      </w:smartTag>
      <w:r w:rsidRPr="008956BA">
        <w:rPr>
          <w:rFonts w:ascii="Arial" w:hAnsi="Arial" w:cs="Arial"/>
          <w:lang w:val="en-NZ" w:eastAsia="en-US"/>
        </w:rPr>
        <w:t>, in duplicate, this 16</w:t>
      </w:r>
      <w:r w:rsidRPr="008956BA">
        <w:rPr>
          <w:rFonts w:ascii="Arial" w:hAnsi="Arial" w:cs="Arial"/>
          <w:vertAlign w:val="superscript"/>
          <w:lang w:val="en-NZ" w:eastAsia="en-US"/>
        </w:rPr>
        <w:t>th</w:t>
      </w:r>
      <w:r w:rsidRPr="008956BA">
        <w:rPr>
          <w:rFonts w:ascii="Arial" w:hAnsi="Arial" w:cs="Arial"/>
          <w:lang w:val="en-NZ" w:eastAsia="en-US"/>
        </w:rPr>
        <w:t xml:space="preserve"> day of JULY 2009. </w:t>
      </w:r>
    </w:p>
    <w:tbl>
      <w:tblPr>
        <w:tblW w:w="9240" w:type="dxa"/>
        <w:jc w:val="center"/>
        <w:tblCellSpacing w:w="71" w:type="dxa"/>
        <w:tblCellMar>
          <w:top w:w="142" w:type="dxa"/>
          <w:left w:w="142" w:type="dxa"/>
          <w:bottom w:w="142" w:type="dxa"/>
          <w:right w:w="142" w:type="dxa"/>
        </w:tblCellMar>
        <w:tblLook w:val="0000" w:firstRow="0" w:lastRow="0" w:firstColumn="0" w:lastColumn="0" w:noHBand="0" w:noVBand="0"/>
      </w:tblPr>
      <w:tblGrid>
        <w:gridCol w:w="4738"/>
        <w:gridCol w:w="4502"/>
      </w:tblGrid>
      <w:tr w:rsidR="008956BA" w:rsidRPr="008956BA" w14:paraId="20E06BEF" w14:textId="77777777" w:rsidTr="00C65E59">
        <w:trPr>
          <w:tblCellSpacing w:w="71" w:type="dxa"/>
          <w:jc w:val="center"/>
        </w:trPr>
        <w:tc>
          <w:tcPr>
            <w:tcW w:w="4525" w:type="dxa"/>
          </w:tcPr>
          <w:p w14:paraId="7FB693CA" w14:textId="77777777" w:rsidR="008956BA" w:rsidRPr="008956BA" w:rsidRDefault="008956BA" w:rsidP="008956BA">
            <w:pPr>
              <w:rPr>
                <w:rFonts w:cs="Arial"/>
                <w:b/>
                <w:szCs w:val="20"/>
                <w:lang w:eastAsia="en-GB"/>
              </w:rPr>
            </w:pPr>
            <w:bookmarkStart w:id="5" w:name="OLE_LINK1"/>
            <w:bookmarkStart w:id="6" w:name="OLE_LINK2"/>
            <w:r w:rsidRPr="008956BA">
              <w:rPr>
                <w:rFonts w:ascii="Arial" w:hAnsi="Arial" w:cs="Arial"/>
                <w:b/>
                <w:lang w:val="da-DK" w:eastAsia="en-US"/>
              </w:rPr>
              <w:t>For the Government of New Zealand:</w:t>
            </w:r>
          </w:p>
        </w:tc>
        <w:tc>
          <w:tcPr>
            <w:tcW w:w="0" w:type="auto"/>
          </w:tcPr>
          <w:p w14:paraId="1A5097E8" w14:textId="77777777" w:rsidR="008956BA" w:rsidRPr="008956BA" w:rsidRDefault="008956BA" w:rsidP="008956BA">
            <w:pPr>
              <w:rPr>
                <w:rFonts w:cs="Arial"/>
                <w:b/>
                <w:szCs w:val="20"/>
                <w:lang w:eastAsia="en-GB"/>
              </w:rPr>
            </w:pPr>
            <w:r w:rsidRPr="008956BA">
              <w:rPr>
                <w:rFonts w:ascii="Arial" w:hAnsi="Arial" w:cs="Arial"/>
                <w:b/>
                <w:lang w:val="en-NZ" w:eastAsia="en-US"/>
              </w:rPr>
              <w:t xml:space="preserve">For the Government of </w:t>
            </w:r>
            <w:smartTag w:uri="urn:schemas-microsoft-com:office:smarttags" w:element="country-region">
              <w:smartTag w:uri="urn:schemas-microsoft-com:office:smarttags" w:element="place">
                <w:r w:rsidRPr="008956BA">
                  <w:rPr>
                    <w:rFonts w:ascii="Arial" w:hAnsi="Arial" w:cs="Arial"/>
                    <w:b/>
                    <w:lang w:val="en-NZ" w:eastAsia="en-US"/>
                  </w:rPr>
                  <w:t>Australia</w:t>
                </w:r>
              </w:smartTag>
            </w:smartTag>
            <w:r w:rsidRPr="008956BA">
              <w:rPr>
                <w:rFonts w:ascii="Arial" w:hAnsi="Arial" w:cs="Arial"/>
                <w:b/>
                <w:lang w:val="en-NZ" w:eastAsia="en-US"/>
              </w:rPr>
              <w:t>:</w:t>
            </w:r>
          </w:p>
        </w:tc>
      </w:tr>
      <w:tr w:rsidR="008956BA" w:rsidRPr="008956BA" w14:paraId="46FEF117" w14:textId="77777777" w:rsidTr="00C65E59">
        <w:trPr>
          <w:tblCellSpacing w:w="71" w:type="dxa"/>
          <w:jc w:val="center"/>
        </w:trPr>
        <w:tc>
          <w:tcPr>
            <w:tcW w:w="4525" w:type="dxa"/>
          </w:tcPr>
          <w:p w14:paraId="5C9982B2" w14:textId="77777777" w:rsidR="008956BA" w:rsidRPr="008956BA" w:rsidRDefault="008956BA" w:rsidP="008956BA">
            <w:pPr>
              <w:rPr>
                <w:rFonts w:cs="Arial"/>
                <w:b/>
                <w:sz w:val="8"/>
                <w:szCs w:val="8"/>
                <w:lang w:eastAsia="en-GB"/>
              </w:rPr>
            </w:pPr>
          </w:p>
          <w:p w14:paraId="0837BC76" w14:textId="77777777" w:rsidR="008956BA" w:rsidRPr="008956BA" w:rsidRDefault="008956BA" w:rsidP="008956BA">
            <w:pPr>
              <w:rPr>
                <w:rFonts w:cs="Arial"/>
                <w:b/>
                <w:szCs w:val="20"/>
                <w:lang w:eastAsia="en-GB"/>
              </w:rPr>
            </w:pPr>
            <w:r w:rsidRPr="008956BA">
              <w:rPr>
                <w:rFonts w:cs="Arial"/>
                <w:b/>
                <w:szCs w:val="20"/>
                <w:lang w:eastAsia="en-GB"/>
              </w:rPr>
              <w:br/>
              <w:t>SIGNED</w:t>
            </w:r>
          </w:p>
          <w:p w14:paraId="5D45AD84" w14:textId="77777777" w:rsidR="008956BA" w:rsidRPr="008956BA" w:rsidRDefault="008956BA" w:rsidP="008956BA">
            <w:pPr>
              <w:rPr>
                <w:rFonts w:cs="Arial"/>
                <w:b/>
                <w:szCs w:val="20"/>
                <w:lang w:eastAsia="en-GB"/>
              </w:rPr>
            </w:pPr>
            <w:r w:rsidRPr="008956BA">
              <w:rPr>
                <w:rFonts w:cs="Arial"/>
                <w:b/>
                <w:szCs w:val="20"/>
                <w:lang w:eastAsia="en-GB"/>
              </w:rPr>
              <w:t>___________________________________</w:t>
            </w:r>
          </w:p>
        </w:tc>
        <w:tc>
          <w:tcPr>
            <w:tcW w:w="0" w:type="auto"/>
          </w:tcPr>
          <w:p w14:paraId="551E9910" w14:textId="77777777" w:rsidR="008956BA" w:rsidRPr="008956BA" w:rsidRDefault="008956BA" w:rsidP="008956BA">
            <w:pPr>
              <w:rPr>
                <w:rFonts w:cs="Arial"/>
                <w:b/>
                <w:szCs w:val="20"/>
                <w:lang w:eastAsia="en-GB"/>
              </w:rPr>
            </w:pPr>
            <w:r w:rsidRPr="008956BA">
              <w:rPr>
                <w:rFonts w:cs="Arial"/>
                <w:b/>
                <w:szCs w:val="20"/>
                <w:lang w:eastAsia="en-GB"/>
              </w:rPr>
              <w:br/>
              <w:t>SIGNED</w:t>
            </w:r>
          </w:p>
          <w:p w14:paraId="11E2DB2C" w14:textId="77777777" w:rsidR="008956BA" w:rsidRPr="008956BA" w:rsidRDefault="008956BA" w:rsidP="008956BA">
            <w:pPr>
              <w:spacing w:before="100" w:beforeAutospacing="1" w:after="100" w:afterAutospacing="1"/>
              <w:rPr>
                <w:rFonts w:cs="Arial"/>
                <w:b/>
                <w:szCs w:val="20"/>
                <w:lang w:eastAsia="en-GB"/>
              </w:rPr>
            </w:pPr>
            <w:r w:rsidRPr="008956BA">
              <w:rPr>
                <w:rFonts w:cs="Arial"/>
                <w:b/>
                <w:szCs w:val="20"/>
                <w:lang w:eastAsia="en-GB"/>
              </w:rPr>
              <w:t>_________________________________</w:t>
            </w:r>
          </w:p>
        </w:tc>
      </w:tr>
      <w:tr w:rsidR="008956BA" w:rsidRPr="008956BA" w14:paraId="4F1C4D24" w14:textId="77777777" w:rsidTr="00C65E59">
        <w:trPr>
          <w:tblCellSpacing w:w="71" w:type="dxa"/>
          <w:jc w:val="center"/>
        </w:trPr>
        <w:tc>
          <w:tcPr>
            <w:tcW w:w="4525" w:type="dxa"/>
          </w:tcPr>
          <w:p w14:paraId="3D73CB7C" w14:textId="77777777" w:rsidR="008956BA" w:rsidRPr="008956BA" w:rsidRDefault="008956BA" w:rsidP="008956BA">
            <w:pPr>
              <w:rPr>
                <w:rFonts w:cs="Arial"/>
                <w:b/>
                <w:szCs w:val="20"/>
                <w:lang w:eastAsia="en-GB"/>
              </w:rPr>
            </w:pPr>
            <w:r w:rsidRPr="008956BA">
              <w:rPr>
                <w:rFonts w:ascii="Arial" w:hAnsi="Arial" w:cs="Arial"/>
                <w:b/>
                <w:lang w:val="en-NZ" w:eastAsia="en-US"/>
              </w:rPr>
              <w:t>Hon Bill English</w:t>
            </w:r>
          </w:p>
        </w:tc>
        <w:tc>
          <w:tcPr>
            <w:tcW w:w="0" w:type="auto"/>
          </w:tcPr>
          <w:p w14:paraId="1E521C81" w14:textId="77777777" w:rsidR="008956BA" w:rsidRPr="008956BA" w:rsidRDefault="008956BA" w:rsidP="008956BA">
            <w:pPr>
              <w:rPr>
                <w:rFonts w:ascii="Arial" w:hAnsi="Arial" w:cs="Arial"/>
                <w:b/>
                <w:szCs w:val="20"/>
                <w:lang w:eastAsia="en-GB"/>
              </w:rPr>
            </w:pPr>
            <w:r w:rsidRPr="008956BA">
              <w:rPr>
                <w:rFonts w:ascii="Arial" w:hAnsi="Arial" w:cs="Arial"/>
                <w:b/>
                <w:lang w:val="en-NZ" w:eastAsia="en-US"/>
              </w:rPr>
              <w:t>The Hon Wayne Swan MP</w:t>
            </w:r>
          </w:p>
        </w:tc>
      </w:tr>
      <w:tr w:rsidR="008956BA" w:rsidRPr="008956BA" w14:paraId="65FEEC6A" w14:textId="77777777" w:rsidTr="00C65E59">
        <w:trPr>
          <w:tblCellSpacing w:w="71" w:type="dxa"/>
          <w:jc w:val="center"/>
        </w:trPr>
        <w:tc>
          <w:tcPr>
            <w:tcW w:w="4525" w:type="dxa"/>
          </w:tcPr>
          <w:p w14:paraId="0BC83479" w14:textId="77777777" w:rsidR="008956BA" w:rsidRPr="008956BA" w:rsidRDefault="008956BA" w:rsidP="008956BA">
            <w:pPr>
              <w:rPr>
                <w:rFonts w:ascii="Arial" w:hAnsi="Arial" w:cs="Arial"/>
                <w:b/>
                <w:lang w:val="en-NZ" w:eastAsia="en-US"/>
              </w:rPr>
            </w:pPr>
            <w:r w:rsidRPr="008956BA">
              <w:rPr>
                <w:rFonts w:ascii="Arial" w:hAnsi="Arial" w:cs="Arial"/>
                <w:b/>
                <w:lang w:val="en-NZ" w:eastAsia="en-US"/>
              </w:rPr>
              <w:t>Minister of Finance</w:t>
            </w:r>
          </w:p>
        </w:tc>
        <w:tc>
          <w:tcPr>
            <w:tcW w:w="0" w:type="auto"/>
          </w:tcPr>
          <w:p w14:paraId="1A91C9FF" w14:textId="77777777" w:rsidR="008956BA" w:rsidRPr="008956BA" w:rsidRDefault="008956BA" w:rsidP="008956BA">
            <w:pPr>
              <w:rPr>
                <w:rFonts w:ascii="Arial" w:hAnsi="Arial" w:cs="Arial"/>
                <w:b/>
                <w:lang w:val="en-NZ" w:eastAsia="en-US"/>
              </w:rPr>
            </w:pPr>
            <w:r w:rsidRPr="008956BA">
              <w:rPr>
                <w:rFonts w:ascii="Arial" w:hAnsi="Arial" w:cs="Arial"/>
                <w:b/>
                <w:lang w:val="en-NZ" w:eastAsia="en-US"/>
              </w:rPr>
              <w:t>Treasurer</w:t>
            </w:r>
          </w:p>
        </w:tc>
      </w:tr>
      <w:bookmarkEnd w:id="5"/>
      <w:bookmarkEnd w:id="6"/>
    </w:tbl>
    <w:p w14:paraId="2D4CF413" w14:textId="77777777" w:rsidR="008956BA" w:rsidRPr="001843E0" w:rsidRDefault="008956BA">
      <w:pPr>
        <w:pStyle w:val="Normal13pt"/>
      </w:pPr>
    </w:p>
    <w:sectPr w:rsidR="008956BA" w:rsidRPr="001843E0" w:rsidSect="0091168C">
      <w:footerReference w:type="even" r:id="rId8"/>
      <w:footerReference w:type="default" r:id="rId9"/>
      <w:headerReference w:type="first" r:id="rId10"/>
      <w:footnotePr>
        <w:numRestart w:val="eachSect"/>
      </w:footnotePr>
      <w:pgSz w:w="11907" w:h="16834" w:code="9"/>
      <w:pgMar w:top="1134" w:right="1440" w:bottom="1440" w:left="1440" w:header="720" w:footer="720" w:gutter="0"/>
      <w:paperSrc w:first="15" w:other="15"/>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8ABAD" w14:textId="77777777" w:rsidR="0037751E" w:rsidRDefault="0037751E">
      <w:r>
        <w:separator/>
      </w:r>
    </w:p>
  </w:endnote>
  <w:endnote w:type="continuationSeparator" w:id="0">
    <w:p w14:paraId="56434EF3" w14:textId="77777777" w:rsidR="0037751E" w:rsidRDefault="00377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6AABE" w14:textId="77777777" w:rsidR="0091168C" w:rsidRDefault="0091168C" w:rsidP="00821B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66AABF" w14:textId="77777777" w:rsidR="0091168C" w:rsidRDefault="009116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6AAC0" w14:textId="77777777" w:rsidR="0093307A" w:rsidRDefault="0093307A" w:rsidP="00396B35">
    <w:pPr>
      <w:pStyle w:val="Footer"/>
      <w:jc w:val="center"/>
      <w:rPr>
        <w:rStyle w:val="PageNumber"/>
        <w:sz w:val="20"/>
        <w:szCs w:val="20"/>
      </w:rPr>
    </w:pPr>
  </w:p>
  <w:p w14:paraId="0A66AAC1" w14:textId="77777777" w:rsidR="0091168C" w:rsidRPr="00547534" w:rsidRDefault="00547534" w:rsidP="0093307A">
    <w:pPr>
      <w:pStyle w:val="Footer"/>
      <w:jc w:val="center"/>
      <w:rPr>
        <w:sz w:val="20"/>
        <w:szCs w:val="20"/>
        <w:lang w:val="en-AU"/>
      </w:rPr>
    </w:pPr>
    <w:r w:rsidRPr="00547534">
      <w:rPr>
        <w:rStyle w:val="PageNumber"/>
        <w:sz w:val="20"/>
        <w:szCs w:val="20"/>
      </w:rPr>
      <w:fldChar w:fldCharType="begin"/>
    </w:r>
    <w:r w:rsidRPr="00547534">
      <w:rPr>
        <w:rStyle w:val="PageNumber"/>
        <w:sz w:val="20"/>
        <w:szCs w:val="20"/>
      </w:rPr>
      <w:instrText xml:space="preserve"> PAGE </w:instrText>
    </w:r>
    <w:r w:rsidRPr="00547534">
      <w:rPr>
        <w:rStyle w:val="PageNumber"/>
        <w:sz w:val="20"/>
        <w:szCs w:val="20"/>
      </w:rPr>
      <w:fldChar w:fldCharType="separate"/>
    </w:r>
    <w:r w:rsidR="00BA03EB">
      <w:rPr>
        <w:rStyle w:val="PageNumber"/>
        <w:noProof/>
        <w:sz w:val="20"/>
        <w:szCs w:val="20"/>
      </w:rPr>
      <w:t>1</w:t>
    </w:r>
    <w:r w:rsidRPr="00547534">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E994CB" w14:textId="77777777" w:rsidR="0037751E" w:rsidRDefault="0037751E">
      <w:r>
        <w:separator/>
      </w:r>
    </w:p>
  </w:footnote>
  <w:footnote w:type="continuationSeparator" w:id="0">
    <w:p w14:paraId="5D1C2FAF" w14:textId="77777777" w:rsidR="0037751E" w:rsidRDefault="00377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6AAC2" w14:textId="77777777" w:rsidR="0091168C" w:rsidRDefault="0091168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268CB"/>
    <w:multiLevelType w:val="hybridMultilevel"/>
    <w:tmpl w:val="BBB6B5A2"/>
    <w:lvl w:ilvl="0" w:tplc="0809000F">
      <w:start w:val="1"/>
      <w:numFmt w:val="decimal"/>
      <w:lvlText w:val="%1."/>
      <w:lvlJc w:val="left"/>
      <w:pPr>
        <w:tabs>
          <w:tab w:val="num" w:pos="720"/>
        </w:tabs>
        <w:ind w:left="720" w:hanging="360"/>
      </w:pPr>
      <w:rPr>
        <w:rFonts w:cs="Times New Roman"/>
      </w:rPr>
    </w:lvl>
    <w:lvl w:ilvl="1" w:tplc="AEFA49B6">
      <w:start w:val="1"/>
      <w:numFmt w:val="lowerLetter"/>
      <w:lvlText w:val="%2."/>
      <w:lvlJc w:val="left"/>
      <w:pPr>
        <w:tabs>
          <w:tab w:val="num" w:pos="1440"/>
        </w:tabs>
        <w:ind w:left="1440" w:hanging="360"/>
      </w:pPr>
      <w:rPr>
        <w:rFonts w:cs="Times New Roman"/>
        <w:i w:val="0"/>
      </w:rPr>
    </w:lvl>
    <w:lvl w:ilvl="2" w:tplc="0809001B">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4F6E0E"/>
    <w:multiLevelType w:val="hybridMultilevel"/>
    <w:tmpl w:val="DB561E38"/>
    <w:lvl w:ilvl="0" w:tplc="A67C96E4">
      <w:start w:val="1"/>
      <w:numFmt w:val="lowerLetter"/>
      <w:lvlText w:val="%1."/>
      <w:lvlJc w:val="left"/>
      <w:pPr>
        <w:tabs>
          <w:tab w:val="num" w:pos="927"/>
        </w:tabs>
        <w:ind w:left="927" w:hanging="360"/>
      </w:pPr>
      <w:rPr>
        <w:rFonts w:cs="Times New Roman" w:hint="default"/>
        <w:b w:val="0"/>
        <w:i w:val="0"/>
      </w:rPr>
    </w:lvl>
    <w:lvl w:ilvl="1" w:tplc="08090019" w:tentative="1">
      <w:start w:val="1"/>
      <w:numFmt w:val="lowerLetter"/>
      <w:lvlText w:val="%2."/>
      <w:lvlJc w:val="left"/>
      <w:pPr>
        <w:tabs>
          <w:tab w:val="num" w:pos="1790"/>
        </w:tabs>
        <w:ind w:left="1790" w:hanging="360"/>
      </w:pPr>
      <w:rPr>
        <w:rFonts w:cs="Times New Roman"/>
      </w:rPr>
    </w:lvl>
    <w:lvl w:ilvl="2" w:tplc="0809001B" w:tentative="1">
      <w:start w:val="1"/>
      <w:numFmt w:val="lowerRoman"/>
      <w:lvlText w:val="%3."/>
      <w:lvlJc w:val="right"/>
      <w:pPr>
        <w:tabs>
          <w:tab w:val="num" w:pos="2510"/>
        </w:tabs>
        <w:ind w:left="2510" w:hanging="180"/>
      </w:pPr>
      <w:rPr>
        <w:rFonts w:cs="Times New Roman"/>
      </w:rPr>
    </w:lvl>
    <w:lvl w:ilvl="3" w:tplc="0809000F" w:tentative="1">
      <w:start w:val="1"/>
      <w:numFmt w:val="decimal"/>
      <w:lvlText w:val="%4."/>
      <w:lvlJc w:val="left"/>
      <w:pPr>
        <w:tabs>
          <w:tab w:val="num" w:pos="3230"/>
        </w:tabs>
        <w:ind w:left="3230" w:hanging="360"/>
      </w:pPr>
      <w:rPr>
        <w:rFonts w:cs="Times New Roman"/>
      </w:rPr>
    </w:lvl>
    <w:lvl w:ilvl="4" w:tplc="08090019" w:tentative="1">
      <w:start w:val="1"/>
      <w:numFmt w:val="lowerLetter"/>
      <w:lvlText w:val="%5."/>
      <w:lvlJc w:val="left"/>
      <w:pPr>
        <w:tabs>
          <w:tab w:val="num" w:pos="3950"/>
        </w:tabs>
        <w:ind w:left="3950" w:hanging="360"/>
      </w:pPr>
      <w:rPr>
        <w:rFonts w:cs="Times New Roman"/>
      </w:rPr>
    </w:lvl>
    <w:lvl w:ilvl="5" w:tplc="0809001B" w:tentative="1">
      <w:start w:val="1"/>
      <w:numFmt w:val="lowerRoman"/>
      <w:lvlText w:val="%6."/>
      <w:lvlJc w:val="right"/>
      <w:pPr>
        <w:tabs>
          <w:tab w:val="num" w:pos="4670"/>
        </w:tabs>
        <w:ind w:left="4670" w:hanging="180"/>
      </w:pPr>
      <w:rPr>
        <w:rFonts w:cs="Times New Roman"/>
      </w:rPr>
    </w:lvl>
    <w:lvl w:ilvl="6" w:tplc="0809000F" w:tentative="1">
      <w:start w:val="1"/>
      <w:numFmt w:val="decimal"/>
      <w:lvlText w:val="%7."/>
      <w:lvlJc w:val="left"/>
      <w:pPr>
        <w:tabs>
          <w:tab w:val="num" w:pos="5390"/>
        </w:tabs>
        <w:ind w:left="5390" w:hanging="360"/>
      </w:pPr>
      <w:rPr>
        <w:rFonts w:cs="Times New Roman"/>
      </w:rPr>
    </w:lvl>
    <w:lvl w:ilvl="7" w:tplc="08090019" w:tentative="1">
      <w:start w:val="1"/>
      <w:numFmt w:val="lowerLetter"/>
      <w:lvlText w:val="%8."/>
      <w:lvlJc w:val="left"/>
      <w:pPr>
        <w:tabs>
          <w:tab w:val="num" w:pos="6110"/>
        </w:tabs>
        <w:ind w:left="6110" w:hanging="360"/>
      </w:pPr>
      <w:rPr>
        <w:rFonts w:cs="Times New Roman"/>
      </w:rPr>
    </w:lvl>
    <w:lvl w:ilvl="8" w:tplc="0809001B" w:tentative="1">
      <w:start w:val="1"/>
      <w:numFmt w:val="lowerRoman"/>
      <w:lvlText w:val="%9."/>
      <w:lvlJc w:val="right"/>
      <w:pPr>
        <w:tabs>
          <w:tab w:val="num" w:pos="6830"/>
        </w:tabs>
        <w:ind w:left="6830" w:hanging="180"/>
      </w:pPr>
      <w:rPr>
        <w:rFonts w:cs="Times New Roman"/>
      </w:rPr>
    </w:lvl>
  </w:abstractNum>
  <w:abstractNum w:abstractNumId="2" w15:restartNumberingAfterBreak="0">
    <w:nsid w:val="28934A6B"/>
    <w:multiLevelType w:val="multilevel"/>
    <w:tmpl w:val="9ED268C4"/>
    <w:lvl w:ilvl="0">
      <w:start w:val="1"/>
      <w:numFmt w:val="bullet"/>
      <w:lvlText w:val=""/>
      <w:lvlJc w:val="left"/>
      <w:pPr>
        <w:tabs>
          <w:tab w:val="num" w:pos="425"/>
        </w:tabs>
        <w:ind w:left="425" w:hanging="425"/>
      </w:pPr>
      <w:rPr>
        <w:rFonts w:ascii="Symbol" w:hAnsi="Symbol" w:hint="default"/>
        <w:b/>
        <w:i w:val="0"/>
      </w:rPr>
    </w:lvl>
    <w:lvl w:ilvl="1">
      <w:start w:val="1"/>
      <w:numFmt w:val="lowerLetter"/>
      <w:pStyle w:val="Dot1"/>
      <w:lvlText w:val="%2."/>
      <w:lvlJc w:val="left"/>
      <w:pPr>
        <w:tabs>
          <w:tab w:val="num" w:pos="425"/>
        </w:tabs>
        <w:ind w:left="425" w:hanging="425"/>
      </w:pPr>
      <w:rPr>
        <w:rFonts w:ascii="Arial" w:eastAsia="Times New Roman" w:hAnsi="Arial" w:cs="Arial"/>
        <w:b w:val="0"/>
        <w:i w:val="0"/>
      </w:rPr>
    </w:lvl>
    <w:lvl w:ilvl="2">
      <w:start w:val="1"/>
      <w:numFmt w:val="lowerLetter"/>
      <w:lvlText w:val="%3."/>
      <w:lvlJc w:val="left"/>
      <w:pPr>
        <w:tabs>
          <w:tab w:val="num" w:pos="850"/>
        </w:tabs>
        <w:ind w:left="850" w:hanging="425"/>
      </w:pPr>
      <w:rPr>
        <w:rFonts w:ascii="Arial" w:eastAsia="Times New Roman" w:hAnsi="Arial" w:cs="Arial"/>
        <w:b w:val="0"/>
        <w:i w:val="0"/>
      </w:rPr>
    </w:lvl>
    <w:lvl w:ilvl="3">
      <w:start w:val="1"/>
      <w:numFmt w:val="bullet"/>
      <w:lvlText w:val="–"/>
      <w:lvlJc w:val="left"/>
      <w:pPr>
        <w:tabs>
          <w:tab w:val="num" w:pos="1276"/>
        </w:tabs>
        <w:ind w:left="1276" w:hanging="426"/>
      </w:pPr>
      <w:rPr>
        <w:b w:val="0"/>
        <w:i w:val="0"/>
      </w:rPr>
    </w:lvl>
    <w:lvl w:ilvl="4">
      <w:start w:val="1"/>
      <w:numFmt w:val="bullet"/>
      <w:lvlText w:val="–"/>
      <w:lvlJc w:val="left"/>
      <w:pPr>
        <w:tabs>
          <w:tab w:val="num" w:pos="1701"/>
        </w:tabs>
        <w:ind w:left="1701" w:hanging="425"/>
      </w:pPr>
      <w:rPr>
        <w:b w:val="0"/>
        <w:i w:val="0"/>
      </w:rPr>
    </w:lvl>
    <w:lvl w:ilvl="5">
      <w:start w:val="1"/>
      <w:numFmt w:val="bullet"/>
      <w:lvlText w:val="–"/>
      <w:lvlJc w:val="left"/>
      <w:pPr>
        <w:tabs>
          <w:tab w:val="num" w:pos="2126"/>
        </w:tabs>
        <w:ind w:left="2126" w:hanging="425"/>
      </w:pPr>
      <w:rPr>
        <w:b w:val="0"/>
        <w:i w:val="0"/>
      </w:rPr>
    </w:lvl>
    <w:lvl w:ilvl="6">
      <w:start w:val="1"/>
      <w:numFmt w:val="bullet"/>
      <w:lvlText w:val="–"/>
      <w:lvlJc w:val="left"/>
      <w:pPr>
        <w:tabs>
          <w:tab w:val="num" w:pos="2551"/>
        </w:tabs>
        <w:ind w:left="2551" w:hanging="425"/>
      </w:pPr>
      <w:rPr>
        <w:b w:val="0"/>
        <w:i w:val="0"/>
      </w:rPr>
    </w:lvl>
    <w:lvl w:ilvl="7">
      <w:start w:val="1"/>
      <w:numFmt w:val="bullet"/>
      <w:lvlText w:val="–"/>
      <w:lvlJc w:val="left"/>
      <w:pPr>
        <w:tabs>
          <w:tab w:val="num" w:pos="2976"/>
        </w:tabs>
        <w:ind w:left="2976" w:hanging="425"/>
      </w:pPr>
      <w:rPr>
        <w:b w:val="0"/>
        <w:i w:val="0"/>
      </w:rPr>
    </w:lvl>
    <w:lvl w:ilvl="8">
      <w:start w:val="1"/>
      <w:numFmt w:val="bullet"/>
      <w:lvlText w:val="–"/>
      <w:lvlJc w:val="left"/>
      <w:pPr>
        <w:tabs>
          <w:tab w:val="num" w:pos="3402"/>
        </w:tabs>
        <w:ind w:left="3402" w:hanging="426"/>
      </w:pPr>
      <w:rPr>
        <w:b w:val="0"/>
        <w:i w:val="0"/>
      </w:rPr>
    </w:lvl>
  </w:abstractNum>
  <w:abstractNum w:abstractNumId="3" w15:restartNumberingAfterBreak="0">
    <w:nsid w:val="3CC754D4"/>
    <w:multiLevelType w:val="hybridMultilevel"/>
    <w:tmpl w:val="9B103C76"/>
    <w:lvl w:ilvl="0" w:tplc="9FFE478E">
      <w:start w:val="1"/>
      <w:numFmt w:val="lowerLetter"/>
      <w:lvlText w:val="%1."/>
      <w:lvlJc w:val="left"/>
      <w:pPr>
        <w:ind w:left="1494" w:hanging="360"/>
      </w:pPr>
      <w:rPr>
        <w:rFonts w:cs="Times New Roman" w:hint="default"/>
      </w:rPr>
    </w:lvl>
    <w:lvl w:ilvl="1" w:tplc="0C090019" w:tentative="1">
      <w:start w:val="1"/>
      <w:numFmt w:val="lowerLetter"/>
      <w:lvlText w:val="%2."/>
      <w:lvlJc w:val="left"/>
      <w:pPr>
        <w:ind w:left="2214" w:hanging="360"/>
      </w:pPr>
      <w:rPr>
        <w:rFonts w:cs="Times New Roman"/>
      </w:rPr>
    </w:lvl>
    <w:lvl w:ilvl="2" w:tplc="0C09001B" w:tentative="1">
      <w:start w:val="1"/>
      <w:numFmt w:val="lowerRoman"/>
      <w:lvlText w:val="%3."/>
      <w:lvlJc w:val="right"/>
      <w:pPr>
        <w:ind w:left="2934" w:hanging="180"/>
      </w:pPr>
      <w:rPr>
        <w:rFonts w:cs="Times New Roman"/>
      </w:rPr>
    </w:lvl>
    <w:lvl w:ilvl="3" w:tplc="0C09000F" w:tentative="1">
      <w:start w:val="1"/>
      <w:numFmt w:val="decimal"/>
      <w:lvlText w:val="%4."/>
      <w:lvlJc w:val="left"/>
      <w:pPr>
        <w:ind w:left="3654" w:hanging="360"/>
      </w:pPr>
      <w:rPr>
        <w:rFonts w:cs="Times New Roman"/>
      </w:rPr>
    </w:lvl>
    <w:lvl w:ilvl="4" w:tplc="0C090019" w:tentative="1">
      <w:start w:val="1"/>
      <w:numFmt w:val="lowerLetter"/>
      <w:lvlText w:val="%5."/>
      <w:lvlJc w:val="left"/>
      <w:pPr>
        <w:ind w:left="4374" w:hanging="360"/>
      </w:pPr>
      <w:rPr>
        <w:rFonts w:cs="Times New Roman"/>
      </w:rPr>
    </w:lvl>
    <w:lvl w:ilvl="5" w:tplc="0C09001B" w:tentative="1">
      <w:start w:val="1"/>
      <w:numFmt w:val="lowerRoman"/>
      <w:lvlText w:val="%6."/>
      <w:lvlJc w:val="right"/>
      <w:pPr>
        <w:ind w:left="5094" w:hanging="180"/>
      </w:pPr>
      <w:rPr>
        <w:rFonts w:cs="Times New Roman"/>
      </w:rPr>
    </w:lvl>
    <w:lvl w:ilvl="6" w:tplc="0C09000F" w:tentative="1">
      <w:start w:val="1"/>
      <w:numFmt w:val="decimal"/>
      <w:lvlText w:val="%7."/>
      <w:lvlJc w:val="left"/>
      <w:pPr>
        <w:ind w:left="5814" w:hanging="360"/>
      </w:pPr>
      <w:rPr>
        <w:rFonts w:cs="Times New Roman"/>
      </w:rPr>
    </w:lvl>
    <w:lvl w:ilvl="7" w:tplc="0C090019" w:tentative="1">
      <w:start w:val="1"/>
      <w:numFmt w:val="lowerLetter"/>
      <w:lvlText w:val="%8."/>
      <w:lvlJc w:val="left"/>
      <w:pPr>
        <w:ind w:left="6534" w:hanging="360"/>
      </w:pPr>
      <w:rPr>
        <w:rFonts w:cs="Times New Roman"/>
      </w:rPr>
    </w:lvl>
    <w:lvl w:ilvl="8" w:tplc="0C09001B" w:tentative="1">
      <w:start w:val="1"/>
      <w:numFmt w:val="lowerRoman"/>
      <w:lvlText w:val="%9."/>
      <w:lvlJc w:val="right"/>
      <w:pPr>
        <w:ind w:left="7254" w:hanging="180"/>
      </w:pPr>
      <w:rPr>
        <w:rFonts w:cs="Times New Roman"/>
      </w:rPr>
    </w:lvl>
  </w:abstractNum>
  <w:abstractNum w:abstractNumId="4" w15:restartNumberingAfterBreak="0">
    <w:nsid w:val="3F322E5E"/>
    <w:multiLevelType w:val="hybridMultilevel"/>
    <w:tmpl w:val="53F43BEA"/>
    <w:lvl w:ilvl="0" w:tplc="5C5A5D8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5E3A0F87"/>
    <w:multiLevelType w:val="singleLevel"/>
    <w:tmpl w:val="CFD227FE"/>
    <w:lvl w:ilvl="0">
      <w:start w:val="2"/>
      <w:numFmt w:val="decimal"/>
      <w:lvlText w:val="%1."/>
      <w:lvlJc w:val="left"/>
      <w:pPr>
        <w:tabs>
          <w:tab w:val="num" w:pos="567"/>
        </w:tabs>
        <w:ind w:left="0" w:firstLine="0"/>
      </w:pPr>
      <w:rPr>
        <w:rFonts w:hint="default"/>
      </w:rPr>
    </w:lvl>
  </w:abstractNum>
  <w:abstractNum w:abstractNumId="6" w15:restartNumberingAfterBreak="0">
    <w:nsid w:val="7F3D1E14"/>
    <w:multiLevelType w:val="hybridMultilevel"/>
    <w:tmpl w:val="BA3C0984"/>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0F">
      <w:start w:val="1"/>
      <w:numFmt w:val="decimal"/>
      <w:lvlText w:val="%3."/>
      <w:lvlJc w:val="left"/>
      <w:pPr>
        <w:tabs>
          <w:tab w:val="num" w:pos="2340"/>
        </w:tabs>
        <w:ind w:left="2340" w:hanging="36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2"/>
    <w:lvlOverride w:ilvl="0"/>
    <w:lvlOverride w:ilvl="1">
      <w:startOverride w:val="1"/>
    </w:lvlOverride>
    <w:lvlOverride w:ilvl="2">
      <w:startOverride w:val="1"/>
    </w:lvlOverride>
    <w:lvlOverride w:ilvl="3"/>
    <w:lvlOverride w:ilvl="4"/>
    <w:lvlOverride w:ilvl="5"/>
    <w:lvlOverride w:ilvl="6"/>
    <w:lvlOverride w:ilvl="7"/>
    <w:lvlOverride w:ilvl="8"/>
  </w:num>
  <w:num w:numId="3">
    <w:abstractNumId w:val="4"/>
  </w:num>
  <w:num w:numId="4">
    <w:abstractNumId w:val="6"/>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intFractionalCharacterWidth/>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424"/>
    <w:rsid w:val="00023690"/>
    <w:rsid w:val="00044A2F"/>
    <w:rsid w:val="0009121F"/>
    <w:rsid w:val="001843E0"/>
    <w:rsid w:val="001A4E50"/>
    <w:rsid w:val="002344C5"/>
    <w:rsid w:val="00243DFB"/>
    <w:rsid w:val="00265C56"/>
    <w:rsid w:val="0028541F"/>
    <w:rsid w:val="002A4B1A"/>
    <w:rsid w:val="002A58B2"/>
    <w:rsid w:val="0031254B"/>
    <w:rsid w:val="00332A62"/>
    <w:rsid w:val="0037751E"/>
    <w:rsid w:val="003807CF"/>
    <w:rsid w:val="00396B35"/>
    <w:rsid w:val="00401E44"/>
    <w:rsid w:val="004059E2"/>
    <w:rsid w:val="00444C9F"/>
    <w:rsid w:val="00453CBE"/>
    <w:rsid w:val="004575A2"/>
    <w:rsid w:val="0046642B"/>
    <w:rsid w:val="00466683"/>
    <w:rsid w:val="00476BD2"/>
    <w:rsid w:val="004B3424"/>
    <w:rsid w:val="004C1774"/>
    <w:rsid w:val="005219E5"/>
    <w:rsid w:val="0052632A"/>
    <w:rsid w:val="00547534"/>
    <w:rsid w:val="00555078"/>
    <w:rsid w:val="00570155"/>
    <w:rsid w:val="005A0774"/>
    <w:rsid w:val="005C025D"/>
    <w:rsid w:val="00636CF3"/>
    <w:rsid w:val="00661F40"/>
    <w:rsid w:val="00672CDF"/>
    <w:rsid w:val="006810BE"/>
    <w:rsid w:val="006B5B63"/>
    <w:rsid w:val="006C0CE2"/>
    <w:rsid w:val="006E204B"/>
    <w:rsid w:val="00724A41"/>
    <w:rsid w:val="007309D2"/>
    <w:rsid w:val="007604A0"/>
    <w:rsid w:val="00782CD1"/>
    <w:rsid w:val="00821B88"/>
    <w:rsid w:val="00826B5C"/>
    <w:rsid w:val="008658C0"/>
    <w:rsid w:val="008956BA"/>
    <w:rsid w:val="008B2414"/>
    <w:rsid w:val="008C346A"/>
    <w:rsid w:val="008D2F2E"/>
    <w:rsid w:val="008D5CCD"/>
    <w:rsid w:val="008E1200"/>
    <w:rsid w:val="008E67BE"/>
    <w:rsid w:val="008F3CDE"/>
    <w:rsid w:val="008F4733"/>
    <w:rsid w:val="0091168C"/>
    <w:rsid w:val="00923D85"/>
    <w:rsid w:val="00927324"/>
    <w:rsid w:val="00927D38"/>
    <w:rsid w:val="0093307A"/>
    <w:rsid w:val="00957B55"/>
    <w:rsid w:val="0098038B"/>
    <w:rsid w:val="009E785D"/>
    <w:rsid w:val="009F7263"/>
    <w:rsid w:val="00A02FAC"/>
    <w:rsid w:val="00A133A0"/>
    <w:rsid w:val="00A235C6"/>
    <w:rsid w:val="00A26E5F"/>
    <w:rsid w:val="00A40DC6"/>
    <w:rsid w:val="00A43343"/>
    <w:rsid w:val="00A75961"/>
    <w:rsid w:val="00A81D5F"/>
    <w:rsid w:val="00A92630"/>
    <w:rsid w:val="00AC6A16"/>
    <w:rsid w:val="00AD578D"/>
    <w:rsid w:val="00AE18E7"/>
    <w:rsid w:val="00AE70DC"/>
    <w:rsid w:val="00B03434"/>
    <w:rsid w:val="00B52B23"/>
    <w:rsid w:val="00B7774E"/>
    <w:rsid w:val="00BA03EB"/>
    <w:rsid w:val="00BA4A93"/>
    <w:rsid w:val="00BB79DB"/>
    <w:rsid w:val="00BC2E45"/>
    <w:rsid w:val="00BC3BC4"/>
    <w:rsid w:val="00BF1AB2"/>
    <w:rsid w:val="00C052B4"/>
    <w:rsid w:val="00C105EA"/>
    <w:rsid w:val="00C31D58"/>
    <w:rsid w:val="00C6182D"/>
    <w:rsid w:val="00C762C2"/>
    <w:rsid w:val="00C8212D"/>
    <w:rsid w:val="00C916E5"/>
    <w:rsid w:val="00CC0208"/>
    <w:rsid w:val="00CE3797"/>
    <w:rsid w:val="00CF593E"/>
    <w:rsid w:val="00D66565"/>
    <w:rsid w:val="00D73A91"/>
    <w:rsid w:val="00D9274C"/>
    <w:rsid w:val="00DD2FD0"/>
    <w:rsid w:val="00DD79E8"/>
    <w:rsid w:val="00DE7DB8"/>
    <w:rsid w:val="00E67FD8"/>
    <w:rsid w:val="00EB3DBE"/>
    <w:rsid w:val="00ED6A77"/>
    <w:rsid w:val="00F11AF7"/>
    <w:rsid w:val="00F223B6"/>
    <w:rsid w:val="00F323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14:docId w14:val="0A66AA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sz w:val="24"/>
      <w:szCs w:val="24"/>
      <w:lang w:val="en-GB" w:eastAsia="zh-CN"/>
    </w:rPr>
  </w:style>
  <w:style w:type="paragraph" w:styleId="Heading1">
    <w:name w:val="heading 1"/>
    <w:basedOn w:val="Normal"/>
    <w:next w:val="Normal"/>
    <w:qFormat/>
    <w:pPr>
      <w:spacing w:before="240"/>
      <w:outlineLvl w:val="0"/>
    </w:pPr>
    <w:rPr>
      <w:b/>
      <w:bCs/>
      <w:u w:val="single"/>
    </w:rPr>
  </w:style>
  <w:style w:type="paragraph" w:styleId="Heading2">
    <w:name w:val="heading 2"/>
    <w:basedOn w:val="Normal"/>
    <w:next w:val="Normal"/>
    <w:qFormat/>
    <w:pPr>
      <w:spacing w:before="120"/>
      <w:outlineLvl w:val="1"/>
    </w:pPr>
    <w:rPr>
      <w:b/>
      <w:bCs/>
    </w:rPr>
  </w:style>
  <w:style w:type="paragraph" w:styleId="Heading4">
    <w:name w:val="heading 4"/>
    <w:basedOn w:val="Normal"/>
    <w:next w:val="Normal"/>
    <w:link w:val="Heading4Char"/>
    <w:semiHidden/>
    <w:unhideWhenUsed/>
    <w:qFormat/>
    <w:rsid w:val="00672CD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071"/>
      </w:tabs>
    </w:pPr>
  </w:style>
  <w:style w:type="paragraph" w:styleId="Footer">
    <w:name w:val="footer"/>
    <w:basedOn w:val="Normal"/>
    <w:rsid w:val="00821B88"/>
    <w:pPr>
      <w:tabs>
        <w:tab w:val="center" w:pos="4153"/>
        <w:tab w:val="right" w:pos="8306"/>
      </w:tabs>
    </w:pPr>
  </w:style>
  <w:style w:type="character" w:styleId="PageNumber">
    <w:name w:val="page number"/>
    <w:basedOn w:val="DefaultParagraphFont"/>
    <w:rsid w:val="00821B88"/>
  </w:style>
  <w:style w:type="paragraph" w:customStyle="1" w:styleId="FirstPara">
    <w:name w:val="FirstPara"/>
    <w:basedOn w:val="Normal"/>
    <w:next w:val="AfterFirstPara"/>
    <w:rsid w:val="008D5CCD"/>
    <w:pPr>
      <w:spacing w:before="120" w:after="120"/>
      <w:ind w:firstLine="567"/>
    </w:pPr>
    <w:rPr>
      <w:sz w:val="26"/>
    </w:rPr>
  </w:style>
  <w:style w:type="paragraph" w:customStyle="1" w:styleId="LineUnder">
    <w:name w:val="Line Under"/>
    <w:basedOn w:val="Normal"/>
    <w:rsid w:val="007309D2"/>
    <w:pPr>
      <w:ind w:right="-28"/>
    </w:pPr>
  </w:style>
  <w:style w:type="paragraph" w:customStyle="1" w:styleId="AfterFirstPara">
    <w:name w:val="AfterFirstPara"/>
    <w:basedOn w:val="Normal"/>
    <w:rsid w:val="00466683"/>
    <w:pPr>
      <w:spacing w:before="120" w:after="120"/>
    </w:pPr>
  </w:style>
  <w:style w:type="paragraph" w:customStyle="1" w:styleId="Normal13pt">
    <w:name w:val="Normal + 13 pt"/>
    <w:basedOn w:val="Normal"/>
    <w:rsid w:val="00401E44"/>
    <w:rPr>
      <w:sz w:val="26"/>
      <w:szCs w:val="26"/>
      <w:lang w:val="en-AU"/>
    </w:rPr>
  </w:style>
  <w:style w:type="paragraph" w:styleId="BalloonText">
    <w:name w:val="Balloon Text"/>
    <w:basedOn w:val="Normal"/>
    <w:link w:val="BalloonTextChar"/>
    <w:rsid w:val="00D66565"/>
    <w:rPr>
      <w:rFonts w:ascii="Tahoma" w:hAnsi="Tahoma" w:cs="Tahoma"/>
      <w:sz w:val="16"/>
      <w:szCs w:val="16"/>
    </w:rPr>
  </w:style>
  <w:style w:type="character" w:customStyle="1" w:styleId="BalloonTextChar">
    <w:name w:val="Balloon Text Char"/>
    <w:basedOn w:val="DefaultParagraphFont"/>
    <w:link w:val="BalloonText"/>
    <w:rsid w:val="00D66565"/>
    <w:rPr>
      <w:rFonts w:ascii="Tahoma" w:hAnsi="Tahoma" w:cs="Tahoma"/>
      <w:sz w:val="16"/>
      <w:szCs w:val="16"/>
      <w:lang w:val="en-GB" w:eastAsia="zh-CN"/>
    </w:rPr>
  </w:style>
  <w:style w:type="character" w:customStyle="1" w:styleId="PlainParagraphChar">
    <w:name w:val="Plain Paragraph Char"/>
    <w:aliases w:val="PP Char"/>
    <w:link w:val="PlainParagraph"/>
    <w:locked/>
    <w:rsid w:val="00B03434"/>
    <w:rPr>
      <w:rFonts w:ascii="Arial" w:hAnsi="Arial" w:cs="Arial"/>
      <w:sz w:val="22"/>
      <w:szCs w:val="22"/>
    </w:rPr>
  </w:style>
  <w:style w:type="paragraph" w:customStyle="1" w:styleId="PlainParagraph">
    <w:name w:val="Plain Paragraph"/>
    <w:aliases w:val="PP"/>
    <w:basedOn w:val="Normal"/>
    <w:link w:val="PlainParagraphChar"/>
    <w:qFormat/>
    <w:rsid w:val="00B03434"/>
    <w:pPr>
      <w:spacing w:before="140" w:after="140" w:line="280" w:lineRule="atLeast"/>
    </w:pPr>
    <w:rPr>
      <w:rFonts w:ascii="Arial" w:hAnsi="Arial" w:cs="Arial"/>
      <w:sz w:val="22"/>
      <w:szCs w:val="22"/>
      <w:lang w:val="en-AU" w:eastAsia="en-AU"/>
    </w:rPr>
  </w:style>
  <w:style w:type="character" w:customStyle="1" w:styleId="Dot1Char">
    <w:name w:val="Dot1 Char"/>
    <w:aliases w:val="DOT Char"/>
    <w:link w:val="Dot1"/>
    <w:uiPriority w:val="2"/>
    <w:locked/>
    <w:rsid w:val="00B03434"/>
    <w:rPr>
      <w:rFonts w:ascii="Arial" w:hAnsi="Arial" w:cs="Arial"/>
      <w:sz w:val="22"/>
      <w:szCs w:val="22"/>
    </w:rPr>
  </w:style>
  <w:style w:type="paragraph" w:customStyle="1" w:styleId="Dot1">
    <w:name w:val="Dot1"/>
    <w:aliases w:val="DOT"/>
    <w:basedOn w:val="Normal"/>
    <w:link w:val="Dot1Char"/>
    <w:uiPriority w:val="2"/>
    <w:qFormat/>
    <w:rsid w:val="00B03434"/>
    <w:pPr>
      <w:numPr>
        <w:ilvl w:val="1"/>
        <w:numId w:val="2"/>
      </w:numPr>
      <w:spacing w:after="140" w:line="280" w:lineRule="atLeast"/>
    </w:pPr>
    <w:rPr>
      <w:rFonts w:ascii="Arial" w:hAnsi="Arial" w:cs="Arial"/>
      <w:sz w:val="22"/>
      <w:szCs w:val="22"/>
      <w:lang w:val="en-AU" w:eastAsia="en-AU"/>
    </w:rPr>
  </w:style>
  <w:style w:type="paragraph" w:styleId="ListParagraph">
    <w:name w:val="List Paragraph"/>
    <w:basedOn w:val="Normal"/>
    <w:uiPriority w:val="34"/>
    <w:qFormat/>
    <w:rsid w:val="00E67FD8"/>
    <w:pPr>
      <w:ind w:left="720"/>
      <w:contextualSpacing/>
    </w:pPr>
  </w:style>
  <w:style w:type="character" w:customStyle="1" w:styleId="Heading4Char">
    <w:name w:val="Heading 4 Char"/>
    <w:basedOn w:val="DefaultParagraphFont"/>
    <w:link w:val="Heading4"/>
    <w:semiHidden/>
    <w:rsid w:val="00672CDF"/>
    <w:rPr>
      <w:rFonts w:asciiTheme="majorHAnsi" w:eastAsiaTheme="majorEastAsia" w:hAnsiTheme="majorHAnsi" w:cstheme="majorBidi"/>
      <w:i/>
      <w:iCs/>
      <w:color w:val="2E74B5" w:themeColor="accent1" w:themeShade="BF"/>
      <w:sz w:val="24"/>
      <w:szCs w:val="24"/>
      <w:lang w:val="en-GB" w:eastAsia="zh-CN"/>
    </w:rPr>
  </w:style>
  <w:style w:type="character" w:styleId="CommentReference">
    <w:name w:val="annotation reference"/>
    <w:basedOn w:val="DefaultParagraphFont"/>
    <w:uiPriority w:val="99"/>
    <w:rsid w:val="008956BA"/>
    <w:rPr>
      <w:rFonts w:cs="Times New Roman"/>
      <w:sz w:val="16"/>
      <w:szCs w:val="16"/>
    </w:rPr>
  </w:style>
  <w:style w:type="paragraph" w:styleId="CommentText">
    <w:name w:val="annotation text"/>
    <w:basedOn w:val="Normal"/>
    <w:link w:val="CommentTextChar"/>
    <w:uiPriority w:val="99"/>
    <w:rsid w:val="008956BA"/>
    <w:pPr>
      <w:jc w:val="both"/>
    </w:pPr>
    <w:rPr>
      <w:rFonts w:ascii="Arial" w:hAnsi="Arial"/>
      <w:sz w:val="20"/>
      <w:szCs w:val="20"/>
      <w:lang w:val="en-NZ" w:eastAsia="en-US"/>
    </w:rPr>
  </w:style>
  <w:style w:type="character" w:customStyle="1" w:styleId="CommentTextChar">
    <w:name w:val="Comment Text Char"/>
    <w:basedOn w:val="DefaultParagraphFont"/>
    <w:link w:val="CommentText"/>
    <w:uiPriority w:val="99"/>
    <w:rsid w:val="008956BA"/>
    <w:rPr>
      <w:rFonts w:ascii="Arial" w:hAnsi="Arial"/>
      <w:lang w:val="en-N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536942">
      <w:bodyDiv w:val="1"/>
      <w:marLeft w:val="0"/>
      <w:marRight w:val="0"/>
      <w:marTop w:val="0"/>
      <w:marBottom w:val="0"/>
      <w:divBdr>
        <w:top w:val="none" w:sz="0" w:space="0" w:color="auto"/>
        <w:left w:val="none" w:sz="0" w:space="0" w:color="auto"/>
        <w:bottom w:val="none" w:sz="0" w:space="0" w:color="auto"/>
        <w:right w:val="none" w:sz="0" w:space="0" w:color="auto"/>
      </w:divBdr>
    </w:div>
    <w:div w:id="235432852">
      <w:bodyDiv w:val="1"/>
      <w:marLeft w:val="0"/>
      <w:marRight w:val="0"/>
      <w:marTop w:val="0"/>
      <w:marBottom w:val="0"/>
      <w:divBdr>
        <w:top w:val="none" w:sz="0" w:space="0" w:color="auto"/>
        <w:left w:val="none" w:sz="0" w:space="0" w:color="auto"/>
        <w:bottom w:val="none" w:sz="0" w:space="0" w:color="auto"/>
        <w:right w:val="none" w:sz="0" w:space="0" w:color="auto"/>
      </w:divBdr>
    </w:div>
    <w:div w:id="2004619486">
      <w:bodyDiv w:val="1"/>
      <w:marLeft w:val="0"/>
      <w:marRight w:val="0"/>
      <w:marTop w:val="0"/>
      <w:marBottom w:val="0"/>
      <w:divBdr>
        <w:top w:val="none" w:sz="0" w:space="0" w:color="auto"/>
        <w:left w:val="none" w:sz="0" w:space="0" w:color="auto"/>
        <w:bottom w:val="none" w:sz="0" w:space="0" w:color="auto"/>
        <w:right w:val="none" w:sz="0" w:space="0" w:color="auto"/>
      </w:divBdr>
    </w:div>
    <w:div w:id="2146119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B1377-6E5B-45F0-8F7C-5B6E869F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1688</Words>
  <Characters>9782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Arrangement between the Government of Australia and the Government of New Zealand on Trans-Tasman Retirement Savings Portability</vt:lpstr>
    </vt:vector>
  </TitlesOfParts>
  <Company/>
  <LinksUpToDate>false</LinksUpToDate>
  <CharactersWithSpaces>11448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Arrangement between the Government of Australia and the Government of New Zealand on Trans-Tasman Retirement Savings Portability</dc:title>
  <dc:subject/>
  <dc:creator/>
  <cp:keywords/>
  <dc:description/>
  <cp:lastModifiedBy/>
  <cp:revision>1</cp:revision>
  <dcterms:created xsi:type="dcterms:W3CDTF">2021-12-22T01:51:00Z</dcterms:created>
  <dcterms:modified xsi:type="dcterms:W3CDTF">2021-12-22T01:51:00Z</dcterms:modified>
  <cp:category/>
</cp:coreProperties>
</file>