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5645642"/>
        <w:docPartObj>
          <w:docPartGallery w:val="Cover Pages"/>
          <w:docPartUnique/>
        </w:docPartObj>
      </w:sdtPr>
      <w:sdtEndPr>
        <w:rPr>
          <w:noProof/>
        </w:rPr>
      </w:sdtEndPr>
      <w:sdtContent>
        <w:sdt>
          <w:sdtPr>
            <w:id w:val="-1837834944"/>
            <w:docPartObj>
              <w:docPartGallery w:val="Cover Pages"/>
              <w:docPartUnique/>
            </w:docPartObj>
          </w:sdtPr>
          <w:sdtEndPr>
            <w:rPr>
              <w:noProof/>
            </w:rPr>
          </w:sdtEndPr>
          <w:sdtContent>
            <w:p w14:paraId="2D58C207" w14:textId="77777777" w:rsidR="00E428AC" w:rsidRPr="006D0240" w:rsidRDefault="00E428AC" w:rsidP="00E428AC">
              <w:r>
                <w:rPr>
                  <w:noProof/>
                  <w:lang w:eastAsia="zh-CN"/>
                </w:rPr>
                <w:drawing>
                  <wp:anchor distT="0" distB="0" distL="114300" distR="114300" simplePos="0" relativeHeight="251658240" behindDoc="1" locked="0" layoutInCell="1" allowOverlap="1" wp14:anchorId="169C2FB1" wp14:editId="036762B5">
                    <wp:simplePos x="0" y="0"/>
                    <wp:positionH relativeFrom="page">
                      <wp:posOffset>-31115</wp:posOffset>
                    </wp:positionH>
                    <wp:positionV relativeFrom="page">
                      <wp:posOffset>-55299</wp:posOffset>
                    </wp:positionV>
                    <wp:extent cx="7632066" cy="10793920"/>
                    <wp:effectExtent l="0" t="0" r="698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634062" cy="107967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84628" w14:textId="77777777" w:rsidR="00E428AC" w:rsidRPr="006D0240" w:rsidRDefault="00E428AC" w:rsidP="00E428AC">
              <w:pPr>
                <w:pStyle w:val="Crest"/>
                <w:spacing w:after="1800"/>
                <w:jc w:val="right"/>
              </w:pPr>
            </w:p>
            <w:p w14:paraId="5B484E89" w14:textId="77777777" w:rsidR="00E428AC" w:rsidRPr="000F0AC8" w:rsidRDefault="00E428AC" w:rsidP="00E428AC">
              <w:pPr>
                <w:pStyle w:val="Title"/>
                <w:rPr>
                  <w:rFonts w:ascii="Trebuchet MS" w:hAnsi="Trebuchet MS"/>
                  <w:color w:val="38BA93"/>
                </w:rPr>
              </w:pPr>
              <w:bookmarkStart w:id="0" w:name="_GoBack"/>
              <w:r>
                <w:rPr>
                  <w:rFonts w:ascii="Trebuchet MS" w:hAnsi="Trebuchet MS"/>
                  <w:color w:val="38BA93"/>
                </w:rPr>
                <w:t>Privacy Impact Assessment</w:t>
              </w:r>
            </w:p>
            <w:p w14:paraId="7FF9CE15" w14:textId="77777777" w:rsidR="00E428AC" w:rsidRPr="000F0AC8" w:rsidRDefault="00E428AC" w:rsidP="00E428AC">
              <w:pPr>
                <w:pStyle w:val="Subtitle"/>
                <w:spacing w:before="360"/>
                <w:rPr>
                  <w:rFonts w:ascii="Trebuchet MS" w:hAnsi="Trebuchet MS"/>
                </w:rPr>
              </w:pPr>
              <w:r>
                <w:rPr>
                  <w:rFonts w:ascii="Trebuchet MS" w:hAnsi="Trebuchet MS"/>
                  <w:color w:val="FFFFFF" w:themeColor="background1"/>
                </w:rPr>
                <w:t>Agency Response</w:t>
              </w:r>
            </w:p>
            <w:p w14:paraId="2D64068C" w14:textId="77777777" w:rsidR="00E428AC" w:rsidRPr="006923DF" w:rsidRDefault="00E428AC" w:rsidP="00E428AC">
              <w:pPr>
                <w:pStyle w:val="ReportDate"/>
                <w:spacing w:before="480"/>
                <w:rPr>
                  <w:rFonts w:ascii="Rockwell" w:hAnsi="Rockwell"/>
                  <w:sz w:val="24"/>
                </w:rPr>
              </w:pPr>
              <w:r>
                <w:rPr>
                  <w:rStyle w:val="ReportDateChar"/>
                </w:rPr>
                <w:t>November 2021</w:t>
              </w:r>
            </w:p>
            <w:p w14:paraId="715BF9B4" w14:textId="77777777" w:rsidR="00E428AC" w:rsidRDefault="00AD1EFF" w:rsidP="00E428AC">
              <w:pPr>
                <w:spacing w:before="0" w:after="160" w:line="259" w:lineRule="auto"/>
                <w:rPr>
                  <w:noProof/>
                </w:rPr>
              </w:pPr>
            </w:p>
          </w:sdtContent>
        </w:sdt>
        <w:bookmarkEnd w:id="0" w:displacedByCustomXml="prev"/>
        <w:p w14:paraId="37068777" w14:textId="70876E37" w:rsidR="00604EEF" w:rsidRPr="006923DF" w:rsidRDefault="00604EEF" w:rsidP="00E428AC">
          <w:pPr>
            <w:rPr>
              <w:rFonts w:ascii="Rockwell" w:hAnsi="Rockwell"/>
              <w:sz w:val="24"/>
            </w:rPr>
          </w:pPr>
        </w:p>
        <w:p w14:paraId="1087B7D3" w14:textId="77777777" w:rsidR="00604EEF" w:rsidRDefault="00604EEF">
          <w:pPr>
            <w:spacing w:before="0" w:after="160" w:line="259" w:lineRule="auto"/>
            <w:rPr>
              <w:noProof/>
            </w:rPr>
          </w:pPr>
          <w:r>
            <w:rPr>
              <w:noProof/>
            </w:rPr>
            <w:br w:type="page"/>
          </w:r>
        </w:p>
      </w:sdtContent>
    </w:sdt>
    <w:p w14:paraId="41A3DA17" w14:textId="0FA724F5" w:rsidR="000E0B74" w:rsidRDefault="000E0B74" w:rsidP="005877AC">
      <w:pPr>
        <w:spacing w:before="0" w:after="160" w:line="259" w:lineRule="auto"/>
        <w:rPr>
          <w:noProof/>
        </w:rPr>
      </w:pPr>
      <w:r w:rsidRPr="00661BF0">
        <w:lastRenderedPageBreak/>
        <w:t>© Commonwealth of Australia</w:t>
      </w:r>
      <w:r w:rsidR="00E428AC">
        <w:t xml:space="preserve"> 2021</w:t>
      </w:r>
    </w:p>
    <w:p w14:paraId="45F28649" w14:textId="1EF91CFD"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5"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041687DF" w14:textId="77777777" w:rsidR="000E0B74" w:rsidRDefault="000E0B74" w:rsidP="000E0B74">
      <w:pPr>
        <w:pStyle w:val="ChartGraphic"/>
        <w:jc w:val="left"/>
      </w:pPr>
      <w:r w:rsidRPr="00E56DFB">
        <w:rPr>
          <w:noProof/>
          <w:lang w:eastAsia="zh-CN"/>
        </w:rPr>
        <w:drawing>
          <wp:inline distT="0" distB="0" distL="0" distR="0" wp14:anchorId="4438BD8A" wp14:editId="4FCC286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F673852"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5E89879"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272E4F5F"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36A7BB31" w14:textId="27B15C25" w:rsidR="000E0B74" w:rsidRPr="00A13A11" w:rsidRDefault="000E0B74" w:rsidP="000E0B74">
      <w:pPr>
        <w:ind w:firstLine="720"/>
      </w:pPr>
      <w:r w:rsidRPr="002F1BC2">
        <w:rPr>
          <w:i/>
        </w:rPr>
        <w:t xml:space="preserve">Source: The </w:t>
      </w:r>
      <w:r w:rsidRPr="002F1BC2">
        <w:rPr>
          <w:i/>
          <w:iCs/>
        </w:rPr>
        <w:t>Australian Government the Treasury</w:t>
      </w:r>
      <w:r>
        <w:t>.</w:t>
      </w:r>
    </w:p>
    <w:p w14:paraId="5BC50BCF"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162E934"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A994409" w14:textId="6C7C5B54" w:rsidR="000E0B74" w:rsidRPr="006627B4" w:rsidRDefault="000E0B74" w:rsidP="000E0B74">
      <w:pPr>
        <w:ind w:firstLine="720"/>
      </w:pPr>
      <w:r w:rsidRPr="002F1BC2">
        <w:rPr>
          <w:i/>
        </w:rPr>
        <w:t>Based on The Australian Government the Treasury dat</w:t>
      </w:r>
      <w:r w:rsidR="00E428AC">
        <w:rPr>
          <w:i/>
        </w:rPr>
        <w:t>a</w:t>
      </w:r>
      <w:r>
        <w:t>.</w:t>
      </w:r>
    </w:p>
    <w:p w14:paraId="24D3E670" w14:textId="77777777" w:rsidR="000E0B74" w:rsidRPr="006627B4" w:rsidRDefault="000E0B74" w:rsidP="000E0B74">
      <w:pPr>
        <w:spacing w:before="240"/>
        <w:rPr>
          <w:b/>
        </w:rPr>
      </w:pPr>
      <w:r w:rsidRPr="006627B4">
        <w:rPr>
          <w:b/>
        </w:rPr>
        <w:t>Use of the Coat of Arms</w:t>
      </w:r>
    </w:p>
    <w:p w14:paraId="703C1001"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8" w:history="1">
        <w:r w:rsidRPr="005C503A">
          <w:rPr>
            <w:rStyle w:val="Hyperlink"/>
          </w:rPr>
          <w:t>www.pmc.gov.au/government/commonwealth-coat-arm</w:t>
        </w:r>
      </w:hyperlink>
      <w:r w:rsidRPr="005C503A">
        <w:t>s).</w:t>
      </w:r>
    </w:p>
    <w:p w14:paraId="4B3EF4D8" w14:textId="77777777" w:rsidR="000E0B74" w:rsidRPr="006627B4" w:rsidRDefault="000E0B74" w:rsidP="000E0B74">
      <w:pPr>
        <w:spacing w:before="240"/>
        <w:rPr>
          <w:b/>
        </w:rPr>
      </w:pPr>
      <w:r>
        <w:rPr>
          <w:b/>
        </w:rPr>
        <w:t>Other u</w:t>
      </w:r>
      <w:r w:rsidRPr="006627B4">
        <w:rPr>
          <w:b/>
        </w:rPr>
        <w:t>ses</w:t>
      </w:r>
    </w:p>
    <w:p w14:paraId="4943CD52" w14:textId="77777777" w:rsidR="000E0B74" w:rsidRPr="006627B4" w:rsidRDefault="000E0B74" w:rsidP="000E0B74">
      <w:r>
        <w:t>E</w:t>
      </w:r>
      <w:r w:rsidRPr="006627B4">
        <w:t>nquiries regarding this licence and any other use of this document are welcome at:</w:t>
      </w:r>
    </w:p>
    <w:p w14:paraId="38B11FC5" w14:textId="70DA0E21" w:rsidR="00F836F9" w:rsidRPr="00E32B4F" w:rsidRDefault="000E0B74" w:rsidP="00E32B4F">
      <w:pPr>
        <w:ind w:left="720"/>
        <w:rPr>
          <w:color w:val="3A6FAF" w:themeColor="accent2"/>
        </w:rPr>
        <w:sectPr w:rsidR="00F836F9" w:rsidRPr="00E32B4F" w:rsidSect="00917E28">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709" w:footer="709" w:gutter="0"/>
          <w:pgNumType w:fmt="lowerRoman" w:start="0"/>
          <w:cols w:space="708"/>
          <w:titlePg/>
          <w:docGrid w:linePitch="360"/>
        </w:sect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5" w:history="1">
        <w:r w:rsidR="00FF447A" w:rsidRPr="000951A5">
          <w:rPr>
            <w:rStyle w:val="Hyperlink"/>
          </w:rPr>
          <w:t>media@treasury.gov.au</w:t>
        </w:r>
      </w:hyperlink>
    </w:p>
    <w:p w14:paraId="11B5EDD6" w14:textId="6A0BD3E4" w:rsidR="006C5B73" w:rsidRDefault="00E428AC" w:rsidP="00E428AC">
      <w:pPr>
        <w:pStyle w:val="Heading2"/>
      </w:pPr>
      <w:r>
        <w:lastRenderedPageBreak/>
        <w:t>Treasury response to Privacy Impact Assessment – Version 4 of the CDR Rules</w:t>
      </w:r>
    </w:p>
    <w:p w14:paraId="0B71DEAC" w14:textId="64FF2E83" w:rsidR="006C5B73" w:rsidRDefault="00E428AC" w:rsidP="006C5B73">
      <w:r w:rsidRPr="008C6D1E">
        <w:t xml:space="preserve">On </w:t>
      </w:r>
      <w:r w:rsidRPr="00AB45A9">
        <w:t>1</w:t>
      </w:r>
      <w:r w:rsidR="008E3811" w:rsidRPr="00D713BB">
        <w:t>2</w:t>
      </w:r>
      <w:r w:rsidRPr="008C6D1E">
        <w:t xml:space="preserve"> November 2021 the Minister made the Competition and Consumer (Consumer Data Right) Amendment Rules (No 2). </w:t>
      </w:r>
      <w:r w:rsidR="005F2E6A" w:rsidRPr="008C6D1E">
        <w:t>The amendments to the Consumer Data Right Rules (</w:t>
      </w:r>
      <w:r w:rsidR="005F2E6A" w:rsidRPr="008C6D1E">
        <w:rPr>
          <w:b/>
          <w:bCs/>
        </w:rPr>
        <w:t>version 4 rules</w:t>
      </w:r>
      <w:r w:rsidR="005F2E6A" w:rsidRPr="008C6D1E">
        <w:t>) are an important step in increasing the ways businesses can participate in the C</w:t>
      </w:r>
      <w:r w:rsidR="00E03AF9" w:rsidRPr="008C6D1E">
        <w:t>onsumer Data Right (</w:t>
      </w:r>
      <w:r w:rsidR="00E03AF9" w:rsidRPr="009F11E8">
        <w:rPr>
          <w:b/>
        </w:rPr>
        <w:t>CDR</w:t>
      </w:r>
      <w:r w:rsidR="00E03AF9" w:rsidRPr="008C6D1E">
        <w:t>)</w:t>
      </w:r>
      <w:r w:rsidR="005F2E6A" w:rsidRPr="008C6D1E">
        <w:t xml:space="preserve"> and enabling consumers to get the benefit of their data through an increased range of services.</w:t>
      </w:r>
      <w:r w:rsidR="005F2E6A">
        <w:t xml:space="preserve"> </w:t>
      </w:r>
    </w:p>
    <w:p w14:paraId="0557F00D" w14:textId="663A91CE" w:rsidR="005F2E6A" w:rsidRDefault="005F2E6A" w:rsidP="006C5B73">
      <w:r>
        <w:t xml:space="preserve">This followed </w:t>
      </w:r>
      <w:r w:rsidR="00E03AF9">
        <w:t>consultation on the exposure draft CDR energy rules</w:t>
      </w:r>
      <w:r w:rsidR="000A6BD2">
        <w:t>,</w:t>
      </w:r>
      <w:r w:rsidR="00E03AF9">
        <w:t xml:space="preserve"> </w:t>
      </w:r>
      <w:r w:rsidR="00B54410">
        <w:rPr>
          <w:i/>
          <w:iCs/>
        </w:rPr>
        <w:t xml:space="preserve">Competition and Consumer </w:t>
      </w:r>
      <w:r w:rsidR="008E3811">
        <w:rPr>
          <w:i/>
          <w:iCs/>
        </w:rPr>
        <w:t xml:space="preserve">Amendment (Consumer Data Right) </w:t>
      </w:r>
      <w:r w:rsidR="00B54410">
        <w:rPr>
          <w:i/>
          <w:iCs/>
        </w:rPr>
        <w:t>Regulations 20</w:t>
      </w:r>
      <w:r w:rsidR="008E3811">
        <w:rPr>
          <w:i/>
          <w:iCs/>
        </w:rPr>
        <w:t>2</w:t>
      </w:r>
      <w:r w:rsidR="00B54410">
        <w:rPr>
          <w:i/>
          <w:iCs/>
        </w:rPr>
        <w:t xml:space="preserve">1 </w:t>
      </w:r>
      <w:r w:rsidR="00B54410">
        <w:t>(</w:t>
      </w:r>
      <w:r w:rsidR="00CE5122" w:rsidRPr="009F11E8">
        <w:rPr>
          <w:b/>
        </w:rPr>
        <w:t xml:space="preserve">CDR </w:t>
      </w:r>
      <w:r w:rsidR="00B54410" w:rsidRPr="009F11E8">
        <w:rPr>
          <w:b/>
        </w:rPr>
        <w:t>regulations</w:t>
      </w:r>
      <w:r w:rsidR="00B54410">
        <w:t>)</w:t>
      </w:r>
      <w:r w:rsidR="00E03AF9">
        <w:t xml:space="preserve"> </w:t>
      </w:r>
      <w:r w:rsidR="000A6BD2">
        <w:t>and explanatory materials</w:t>
      </w:r>
      <w:r w:rsidR="00E03AF9">
        <w:t xml:space="preserve"> between 17 August and 13 September 2021. </w:t>
      </w:r>
      <w:r w:rsidR="00606E4C">
        <w:t xml:space="preserve">The consultation included a general information session on the version 4 draft rules package, a forum targeted at smaller retailers and bilateral meetings with a range of Government, industry and consumer stakeholders. </w:t>
      </w:r>
      <w:r w:rsidR="006D2297">
        <w:t xml:space="preserve">The development of the rules was informed by </w:t>
      </w:r>
      <w:r w:rsidR="006D69A8">
        <w:t>30 submissions</w:t>
      </w:r>
      <w:r w:rsidR="006D2297">
        <w:t xml:space="preserve"> from </w:t>
      </w:r>
      <w:r w:rsidR="006D69A8">
        <w:t>respondents</w:t>
      </w:r>
      <w:r w:rsidR="006D2297">
        <w:t xml:space="preserve">. </w:t>
      </w:r>
    </w:p>
    <w:p w14:paraId="5F4F39BA" w14:textId="6FF875DB" w:rsidR="006D2297" w:rsidRDefault="006D2297" w:rsidP="006C5B73">
      <w:r>
        <w:t>The Privacy (Australian Government Agencies – Governance) APP Code 2017 requires a Privacy Impact Assessment (</w:t>
      </w:r>
      <w:r>
        <w:rPr>
          <w:b/>
          <w:bCs/>
        </w:rPr>
        <w:t>PIA</w:t>
      </w:r>
      <w:r>
        <w:t xml:space="preserve">) to be conducted for all high privacy risk </w:t>
      </w:r>
      <w:r w:rsidR="008A6BFF">
        <w:t xml:space="preserve">projects </w:t>
      </w:r>
      <w:r w:rsidR="000A6BD2">
        <w:t>which</w:t>
      </w:r>
      <w:r>
        <w:t xml:space="preserve"> must identify impacts on the privacy of individuals and set out recommendations for managing, minimising or eliminating that impact. </w:t>
      </w:r>
    </w:p>
    <w:p w14:paraId="639C38F9" w14:textId="29CE5396" w:rsidR="006D2297" w:rsidRDefault="00D46C7C" w:rsidP="006C5B73">
      <w:r>
        <w:t xml:space="preserve">Under the </w:t>
      </w:r>
      <w:r>
        <w:rPr>
          <w:i/>
          <w:iCs/>
        </w:rPr>
        <w:t xml:space="preserve">Competition and Consumer Act </w:t>
      </w:r>
      <w:r w:rsidRPr="00AB45A9">
        <w:t>2010</w:t>
      </w:r>
      <w:r>
        <w:t>, t</w:t>
      </w:r>
      <w:r w:rsidR="006D2297">
        <w:t xml:space="preserve">he likely effect of making the rules on privacy or confidentiality of consumers’ information must be considered by the Minister before making the rules. This must be considered alongside a range of other matters, including the likely effect of making the instrument on the </w:t>
      </w:r>
      <w:r w:rsidR="008A6BFF">
        <w:t xml:space="preserve">interests of consumers, the efficiency of relevant markets, promoting competition, promoting data driven innovation, any intellectual property in the information to be covered by the instrument, the public interest as well as the likely regulatory impact of the making of the rules. </w:t>
      </w:r>
    </w:p>
    <w:p w14:paraId="1D10C6D2" w14:textId="70A61BAE" w:rsidR="008A6BFF" w:rsidRDefault="008A6BFF" w:rsidP="006C5B73">
      <w:r>
        <w:t xml:space="preserve">Treasury engaged Maddocks to conduct a PIA for the proposed changes to assist the development of the version 4 rules and to inform the Minister’s decision to amend the CDR rules. </w:t>
      </w:r>
      <w:r w:rsidR="00EA1061">
        <w:t xml:space="preserve">The scope of the PIA is limited to the proposed amendments to the CDR </w:t>
      </w:r>
      <w:r w:rsidR="00414C4F">
        <w:t>r</w:t>
      </w:r>
      <w:r w:rsidR="00EA1061">
        <w:t xml:space="preserve">ules and </w:t>
      </w:r>
      <w:r w:rsidR="00CC2E2E">
        <w:t>proposed amendments to the Competition and Consumer Regulations 2010</w:t>
      </w:r>
      <w:r w:rsidR="00EA1061">
        <w:t xml:space="preserve">, insofar as they relate to the energy sector. </w:t>
      </w:r>
      <w:r>
        <w:t>The PIA was informed by submissions to the exposure draft rules</w:t>
      </w:r>
      <w:r w:rsidR="00DE5833">
        <w:t xml:space="preserve"> and was</w:t>
      </w:r>
      <w:r>
        <w:t xml:space="preserve"> prepared on the basis that it was an update to </w:t>
      </w:r>
      <w:r w:rsidR="00A5508A">
        <w:t xml:space="preserve">the original PIA prepared by Maddocks in November 2019, which was a point-in-time analysis of the proposed initial implementation of the CDR regime. </w:t>
      </w:r>
    </w:p>
    <w:p w14:paraId="35BB5734" w14:textId="4065B5B4" w:rsidR="00DE5833" w:rsidRDefault="00DE5833" w:rsidP="006C5B73">
      <w:r>
        <w:t xml:space="preserve">The final PIA and public submissions are now available on the Treasury website. The final PIA included seven recommendations. This document provides an agency response to each of these recommendations. </w:t>
      </w:r>
    </w:p>
    <w:p w14:paraId="30BA1A21" w14:textId="31575C31" w:rsidR="00DE5833" w:rsidRDefault="00DE5833" w:rsidP="006C5B73"/>
    <w:p w14:paraId="7F78843C" w14:textId="2F80CEA2" w:rsidR="00DE5833" w:rsidRDefault="00DE5833" w:rsidP="00D942F3">
      <w:pPr>
        <w:keepNext/>
        <w:rPr>
          <w:b/>
          <w:bCs/>
        </w:rPr>
      </w:pPr>
      <w:r>
        <w:rPr>
          <w:b/>
          <w:bCs/>
        </w:rPr>
        <w:t>Recommendation 1 – Guidance on application of CDR regime</w:t>
      </w:r>
    </w:p>
    <w:tbl>
      <w:tblPr>
        <w:tblStyle w:val="TableGrid1"/>
        <w:tblW w:w="0" w:type="auto"/>
        <w:tblLook w:val="04A0" w:firstRow="1" w:lastRow="0" w:firstColumn="1" w:lastColumn="0" w:noHBand="0" w:noVBand="1"/>
      </w:tblPr>
      <w:tblGrid>
        <w:gridCol w:w="9060"/>
      </w:tblGrid>
      <w:tr w:rsidR="00F06060" w:rsidRPr="00F06060" w14:paraId="319BA7BB" w14:textId="77777777" w:rsidTr="00F06060">
        <w:trPr>
          <w:trHeight w:val="2757"/>
        </w:trPr>
        <w:tc>
          <w:tcPr>
            <w:tcW w:w="9060" w:type="dxa"/>
            <w:tcBorders>
              <w:top w:val="single" w:sz="4" w:space="0" w:color="auto"/>
            </w:tcBorders>
            <w:shd w:val="clear" w:color="auto" w:fill="D5E1F1" w:themeFill="accent2" w:themeFillTint="33"/>
          </w:tcPr>
          <w:p w14:paraId="70260F32" w14:textId="77777777" w:rsidR="00F06060" w:rsidRPr="00F06060" w:rsidRDefault="00F06060" w:rsidP="00F06060">
            <w:pPr>
              <w:spacing w:before="0" w:after="220" w:line="276" w:lineRule="auto"/>
              <w:contextualSpacing/>
              <w:rPr>
                <w:sz w:val="22"/>
                <w:szCs w:val="22"/>
              </w:rPr>
            </w:pPr>
            <w:r w:rsidRPr="00F06060">
              <w:rPr>
                <w:sz w:val="22"/>
                <w:szCs w:val="22"/>
              </w:rPr>
              <w:t xml:space="preserve">As raised in previous PIA Update reports, it will be very important that all entities participating in the CDR regime (such as Retail Data Holders and AEMO) understand, and take steps to action, their obligations under the legislative framework. In addition, it will be important that CDR Consumers understand their rights under the CDR regime. </w:t>
            </w:r>
          </w:p>
          <w:p w14:paraId="4AF0D822" w14:textId="77777777" w:rsidR="00F06060" w:rsidRPr="00F06060" w:rsidRDefault="00F06060" w:rsidP="00F06060">
            <w:pPr>
              <w:spacing w:before="0" w:after="220" w:line="276" w:lineRule="auto"/>
              <w:contextualSpacing/>
              <w:rPr>
                <w:sz w:val="22"/>
                <w:szCs w:val="22"/>
              </w:rPr>
            </w:pPr>
          </w:p>
          <w:p w14:paraId="76F1B437" w14:textId="2F542A8B" w:rsidR="00F06060" w:rsidRPr="00F06060" w:rsidRDefault="00F06060" w:rsidP="00F06060">
            <w:pPr>
              <w:spacing w:before="0" w:after="220" w:line="276" w:lineRule="auto"/>
              <w:contextualSpacing/>
              <w:rPr>
                <w:rFonts w:asciiTheme="minorHAnsi" w:hAnsiTheme="minorHAnsi" w:cstheme="minorHAnsi"/>
                <w:szCs w:val="22"/>
              </w:rPr>
            </w:pPr>
            <w:r w:rsidRPr="00F06060">
              <w:rPr>
                <w:sz w:val="22"/>
                <w:szCs w:val="22"/>
              </w:rPr>
              <w:t>Accordingly, we recommend that Treasury arrange for detailed, comprehensive and clear guidance about the intended application of the CDR Rules, as amended by the proposed changes, to be issued. We suggest that specific guidance could be developed to assist CDR Consumers, AEMO and Retail Data Holders.</w:t>
            </w:r>
          </w:p>
        </w:tc>
      </w:tr>
      <w:tr w:rsidR="00F06060" w:rsidRPr="00F06060" w14:paraId="34B0ACD5" w14:textId="77777777" w:rsidTr="00F06060">
        <w:tc>
          <w:tcPr>
            <w:tcW w:w="9060" w:type="dxa"/>
            <w:tcBorders>
              <w:top w:val="single" w:sz="4" w:space="0" w:color="auto"/>
            </w:tcBorders>
            <w:shd w:val="clear" w:color="auto" w:fill="FFFFFF" w:themeFill="background1"/>
          </w:tcPr>
          <w:p w14:paraId="27FEB76A" w14:textId="39576D7F" w:rsidR="00F06060" w:rsidRPr="00F06060" w:rsidRDefault="00F06060" w:rsidP="00F06060">
            <w:pPr>
              <w:spacing w:before="0" w:after="220" w:line="276" w:lineRule="auto"/>
              <w:rPr>
                <w:rFonts w:asciiTheme="minorHAnsi" w:hAnsiTheme="minorHAnsi" w:cstheme="minorHAnsi"/>
                <w:color w:val="000000" w:themeColor="text1"/>
                <w:sz w:val="22"/>
                <w:szCs w:val="22"/>
              </w:rPr>
            </w:pPr>
            <w:r w:rsidRPr="00F06060">
              <w:rPr>
                <w:rFonts w:asciiTheme="minorHAnsi" w:hAnsiTheme="minorHAnsi" w:cstheme="minorHAnsi"/>
                <w:color w:val="000000" w:themeColor="text1"/>
                <w:sz w:val="22"/>
                <w:szCs w:val="22"/>
              </w:rPr>
              <w:lastRenderedPageBreak/>
              <w:t>Agency response –</w:t>
            </w:r>
            <w:r w:rsidRPr="00F06060">
              <w:rPr>
                <w:rFonts w:asciiTheme="minorHAnsi" w:hAnsiTheme="minorHAnsi" w:cstheme="minorHAnsi"/>
                <w:b/>
                <w:bCs/>
                <w:color w:val="000000" w:themeColor="text1"/>
                <w:sz w:val="22"/>
                <w:szCs w:val="22"/>
              </w:rPr>
              <w:t xml:space="preserve"> </w:t>
            </w:r>
            <w:r w:rsidR="00851E44">
              <w:rPr>
                <w:rFonts w:asciiTheme="minorHAnsi" w:hAnsiTheme="minorHAnsi" w:cstheme="minorHAnsi"/>
                <w:b/>
                <w:bCs/>
                <w:color w:val="000000" w:themeColor="text1"/>
                <w:sz w:val="22"/>
                <w:szCs w:val="22"/>
              </w:rPr>
              <w:t>Note</w:t>
            </w:r>
          </w:p>
          <w:p w14:paraId="71CF31A6" w14:textId="65395CE8" w:rsidR="00A003E7" w:rsidRPr="00F06060" w:rsidRDefault="00400EE9" w:rsidP="00F06060">
            <w:pPr>
              <w:spacing w:before="0" w:after="220" w:line="276" w:lineRule="auto"/>
              <w:rPr>
                <w:rFonts w:asciiTheme="minorHAnsi" w:hAnsiTheme="minorHAnsi" w:cstheme="minorHAnsi"/>
                <w:color w:val="000000" w:themeColor="text1"/>
              </w:rPr>
            </w:pPr>
            <w:r w:rsidRPr="00A003E7">
              <w:rPr>
                <w:rFonts w:asciiTheme="minorHAnsi" w:hAnsiTheme="minorHAnsi" w:cstheme="minorHAnsi"/>
                <w:color w:val="000000" w:themeColor="text1"/>
                <w:sz w:val="22"/>
                <w:szCs w:val="22"/>
              </w:rPr>
              <w:t xml:space="preserve">Treasury </w:t>
            </w:r>
            <w:r w:rsidR="00851E44">
              <w:rPr>
                <w:rFonts w:asciiTheme="minorHAnsi" w:hAnsiTheme="minorHAnsi" w:cstheme="minorHAnsi"/>
                <w:color w:val="000000" w:themeColor="text1"/>
                <w:sz w:val="22"/>
                <w:szCs w:val="22"/>
              </w:rPr>
              <w:t>notes</w:t>
            </w:r>
            <w:r w:rsidR="00361A25">
              <w:rPr>
                <w:rFonts w:asciiTheme="minorHAnsi" w:hAnsiTheme="minorHAnsi" w:cstheme="minorHAnsi"/>
                <w:color w:val="000000" w:themeColor="text1"/>
                <w:sz w:val="22"/>
                <w:szCs w:val="22"/>
              </w:rPr>
              <w:t xml:space="preserve"> </w:t>
            </w:r>
            <w:r w:rsidRPr="00A003E7">
              <w:rPr>
                <w:rFonts w:asciiTheme="minorHAnsi" w:hAnsiTheme="minorHAnsi" w:cstheme="minorHAnsi"/>
                <w:color w:val="000000" w:themeColor="text1"/>
                <w:sz w:val="22"/>
                <w:szCs w:val="22"/>
              </w:rPr>
              <w:t xml:space="preserve">the benefits of providing guidance to industry. </w:t>
            </w:r>
            <w:r w:rsidR="00F06060" w:rsidRPr="00A003E7">
              <w:rPr>
                <w:rFonts w:asciiTheme="minorHAnsi" w:hAnsiTheme="minorHAnsi" w:cstheme="minorHAnsi"/>
                <w:color w:val="000000" w:themeColor="text1"/>
                <w:sz w:val="22"/>
                <w:szCs w:val="22"/>
              </w:rPr>
              <w:t>The operation of the Rules and their policy intent is set out in the Explanatory Statement that accompanies the Rules</w:t>
            </w:r>
            <w:r w:rsidR="00C13281">
              <w:rPr>
                <w:rFonts w:asciiTheme="minorHAnsi" w:hAnsiTheme="minorHAnsi" w:cstheme="minorHAnsi"/>
                <w:color w:val="000000" w:themeColor="text1"/>
                <w:sz w:val="22"/>
                <w:szCs w:val="22"/>
              </w:rPr>
              <w:t xml:space="preserve">, being </w:t>
            </w:r>
            <w:r w:rsidR="00682089">
              <w:rPr>
                <w:rFonts w:asciiTheme="minorHAnsi" w:hAnsiTheme="minorHAnsi" w:cstheme="minorHAnsi"/>
                <w:color w:val="000000" w:themeColor="text1"/>
                <w:sz w:val="22"/>
                <w:szCs w:val="22"/>
              </w:rPr>
              <w:t xml:space="preserve">that the version 4 rules </w:t>
            </w:r>
            <w:r w:rsidR="00A5508A">
              <w:rPr>
                <w:rFonts w:asciiTheme="minorHAnsi" w:hAnsiTheme="minorHAnsi" w:cstheme="minorHAnsi"/>
                <w:color w:val="000000" w:themeColor="text1"/>
                <w:sz w:val="22"/>
                <w:szCs w:val="22"/>
              </w:rPr>
              <w:t>give</w:t>
            </w:r>
            <w:r w:rsidR="00C13281">
              <w:rPr>
                <w:rFonts w:asciiTheme="minorHAnsi" w:hAnsiTheme="minorHAnsi" w:cstheme="minorHAnsi"/>
                <w:color w:val="000000" w:themeColor="text1"/>
                <w:sz w:val="22"/>
                <w:szCs w:val="22"/>
              </w:rPr>
              <w:t xml:space="preserve"> effect to the Government’s intention to implement the CDR in the energy sector by establishing a peer-to-peer data access model for the energy sector and making energy sector specific rules. </w:t>
            </w:r>
            <w:r w:rsidR="00682089">
              <w:rPr>
                <w:rFonts w:asciiTheme="minorHAnsi" w:hAnsiTheme="minorHAnsi" w:cstheme="minorHAnsi"/>
                <w:color w:val="000000" w:themeColor="text1"/>
                <w:sz w:val="22"/>
                <w:szCs w:val="22"/>
              </w:rPr>
              <w:t>Additionally</w:t>
            </w:r>
            <w:r w:rsidR="00A40292">
              <w:rPr>
                <w:rFonts w:asciiTheme="minorHAnsi" w:hAnsiTheme="minorHAnsi" w:cstheme="minorHAnsi"/>
                <w:color w:val="000000" w:themeColor="text1"/>
                <w:sz w:val="22"/>
                <w:szCs w:val="22"/>
              </w:rPr>
              <w:t>,</w:t>
            </w:r>
            <w:r w:rsidR="00682089">
              <w:rPr>
                <w:rFonts w:asciiTheme="minorHAnsi" w:hAnsiTheme="minorHAnsi" w:cstheme="minorHAnsi"/>
                <w:color w:val="000000" w:themeColor="text1"/>
                <w:sz w:val="22"/>
                <w:szCs w:val="22"/>
              </w:rPr>
              <w:t xml:space="preserve"> t</w:t>
            </w:r>
            <w:r w:rsidR="00F06060" w:rsidRPr="00A003E7">
              <w:rPr>
                <w:rFonts w:asciiTheme="minorHAnsi" w:hAnsiTheme="minorHAnsi" w:cstheme="minorHAnsi"/>
                <w:color w:val="000000" w:themeColor="text1"/>
                <w:sz w:val="22"/>
                <w:szCs w:val="22"/>
              </w:rPr>
              <w:t xml:space="preserve">he Office of the Australian Information Commissioner (OAIC) and Australian Competition and Consumer Commission (ACCC) may also prepare guidance related to their functions. </w:t>
            </w:r>
          </w:p>
        </w:tc>
      </w:tr>
    </w:tbl>
    <w:p w14:paraId="69944A9D" w14:textId="77777777" w:rsidR="00DE5833" w:rsidRPr="00DE5833" w:rsidRDefault="00DE5833" w:rsidP="006C5B73">
      <w:pPr>
        <w:rPr>
          <w:b/>
          <w:bCs/>
        </w:rPr>
      </w:pPr>
    </w:p>
    <w:p w14:paraId="547766DF" w14:textId="79D9FC37" w:rsidR="00DE5833" w:rsidRDefault="00F06060" w:rsidP="006C5B73">
      <w:pPr>
        <w:rPr>
          <w:b/>
          <w:bCs/>
        </w:rPr>
      </w:pPr>
      <w:r>
        <w:rPr>
          <w:b/>
          <w:bCs/>
        </w:rPr>
        <w:t xml:space="preserve">Recommendation 2 </w:t>
      </w:r>
      <w:r w:rsidR="00DD43D5">
        <w:rPr>
          <w:b/>
          <w:bCs/>
        </w:rPr>
        <w:t>–</w:t>
      </w:r>
      <w:r>
        <w:rPr>
          <w:b/>
          <w:bCs/>
        </w:rPr>
        <w:t xml:space="preserve"> </w:t>
      </w:r>
      <w:r w:rsidR="00DD43D5">
        <w:rPr>
          <w:b/>
          <w:bCs/>
        </w:rPr>
        <w:t xml:space="preserve">disclosure of information about CDR </w:t>
      </w:r>
      <w:r w:rsidR="00B552C0">
        <w:rPr>
          <w:b/>
          <w:bCs/>
        </w:rPr>
        <w:t>c</w:t>
      </w:r>
      <w:r w:rsidR="00DD43D5">
        <w:rPr>
          <w:b/>
          <w:bCs/>
        </w:rPr>
        <w:t>onsumers</w:t>
      </w:r>
    </w:p>
    <w:tbl>
      <w:tblPr>
        <w:tblStyle w:val="TableGrid1"/>
        <w:tblW w:w="0" w:type="auto"/>
        <w:tblLook w:val="04A0" w:firstRow="1" w:lastRow="0" w:firstColumn="1" w:lastColumn="0" w:noHBand="0" w:noVBand="1"/>
      </w:tblPr>
      <w:tblGrid>
        <w:gridCol w:w="9060"/>
      </w:tblGrid>
      <w:tr w:rsidR="00DD43D5" w:rsidRPr="00F06060" w14:paraId="6549C36F" w14:textId="77777777" w:rsidTr="00DD43D5">
        <w:trPr>
          <w:trHeight w:val="1718"/>
        </w:trPr>
        <w:tc>
          <w:tcPr>
            <w:tcW w:w="9060" w:type="dxa"/>
            <w:tcBorders>
              <w:top w:val="single" w:sz="4" w:space="0" w:color="auto"/>
            </w:tcBorders>
            <w:shd w:val="clear" w:color="auto" w:fill="D5E1F1" w:themeFill="accent2" w:themeFillTint="33"/>
          </w:tcPr>
          <w:p w14:paraId="7D3E9792" w14:textId="48B7002C" w:rsidR="00DD43D5" w:rsidRPr="00F06060" w:rsidRDefault="00DD43D5" w:rsidP="00B552C0">
            <w:pPr>
              <w:spacing w:before="0" w:after="220" w:line="276" w:lineRule="auto"/>
              <w:contextualSpacing/>
              <w:rPr>
                <w:rFonts w:asciiTheme="minorHAnsi" w:hAnsiTheme="minorHAnsi" w:cstheme="minorHAnsi"/>
                <w:sz w:val="22"/>
                <w:szCs w:val="22"/>
              </w:rPr>
            </w:pPr>
            <w:r w:rsidRPr="00DD43D5">
              <w:rPr>
                <w:sz w:val="22"/>
                <w:szCs w:val="22"/>
              </w:rPr>
              <w:t>We recommend that, before commencement of the amendments to the CDR Rules, Treasury confirm that the Data Standards do (or will) prohibit Retail Data Holders from disclosing information to AEMO about CDR Consumers if that information would allow AEMO to identify one or more CDR Consumers for the data held by AEMO.</w:t>
            </w:r>
          </w:p>
        </w:tc>
      </w:tr>
      <w:tr w:rsidR="00DD43D5" w:rsidRPr="00F06060" w14:paraId="25ACD62B" w14:textId="77777777" w:rsidTr="00B552C0">
        <w:tc>
          <w:tcPr>
            <w:tcW w:w="9060" w:type="dxa"/>
            <w:tcBorders>
              <w:top w:val="single" w:sz="4" w:space="0" w:color="auto"/>
            </w:tcBorders>
            <w:shd w:val="clear" w:color="auto" w:fill="FFFFFF" w:themeFill="background1"/>
          </w:tcPr>
          <w:p w14:paraId="59DB5BDB" w14:textId="4AA10F4F" w:rsidR="00DD43D5" w:rsidRPr="00F06060" w:rsidRDefault="00DD43D5" w:rsidP="00B552C0">
            <w:pPr>
              <w:spacing w:before="0" w:after="220" w:line="276" w:lineRule="auto"/>
              <w:rPr>
                <w:rFonts w:asciiTheme="minorHAnsi" w:hAnsiTheme="minorHAnsi" w:cstheme="minorHAnsi"/>
                <w:color w:val="000000" w:themeColor="text1"/>
                <w:sz w:val="22"/>
                <w:szCs w:val="22"/>
              </w:rPr>
            </w:pPr>
            <w:r w:rsidRPr="00F06060">
              <w:rPr>
                <w:rFonts w:asciiTheme="minorHAnsi" w:hAnsiTheme="minorHAnsi" w:cstheme="minorHAnsi"/>
                <w:color w:val="000000" w:themeColor="text1"/>
                <w:sz w:val="22"/>
                <w:szCs w:val="22"/>
              </w:rPr>
              <w:t>Agency response –</w:t>
            </w:r>
            <w:r w:rsidRPr="00F06060">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Note</w:t>
            </w:r>
          </w:p>
          <w:p w14:paraId="76F001B9" w14:textId="0BB7E17F" w:rsidR="00206BAC" w:rsidRPr="00CF0AD5" w:rsidRDefault="00DD43D5" w:rsidP="00B552C0">
            <w:pPr>
              <w:spacing w:before="0" w:after="220" w:line="276" w:lineRule="auto"/>
              <w:rPr>
                <w:rFonts w:asciiTheme="minorHAnsi" w:hAnsiTheme="minorHAnsi" w:cstheme="minorHAnsi"/>
                <w:i/>
                <w:iCs/>
                <w:color w:val="000000" w:themeColor="text1"/>
                <w:sz w:val="22"/>
                <w:szCs w:val="22"/>
              </w:rPr>
            </w:pPr>
            <w:r w:rsidRPr="00A50683">
              <w:rPr>
                <w:rFonts w:asciiTheme="minorHAnsi" w:hAnsiTheme="minorHAnsi" w:cstheme="minorHAnsi"/>
                <w:color w:val="000000" w:themeColor="text1"/>
                <w:sz w:val="22"/>
                <w:szCs w:val="22"/>
              </w:rPr>
              <w:t>T</w:t>
            </w:r>
            <w:r w:rsidR="00E07A39" w:rsidRPr="00A50683">
              <w:rPr>
                <w:rFonts w:asciiTheme="minorHAnsi" w:hAnsiTheme="minorHAnsi" w:cstheme="minorHAnsi"/>
                <w:color w:val="000000" w:themeColor="text1"/>
                <w:sz w:val="22"/>
                <w:szCs w:val="22"/>
              </w:rPr>
              <w:t>reasury notes that this risk</w:t>
            </w:r>
            <w:r w:rsidRPr="00A50683">
              <w:rPr>
                <w:rFonts w:asciiTheme="minorHAnsi" w:hAnsiTheme="minorHAnsi" w:cstheme="minorHAnsi"/>
                <w:color w:val="000000" w:themeColor="text1"/>
                <w:sz w:val="22"/>
                <w:szCs w:val="22"/>
              </w:rPr>
              <w:t xml:space="preserve"> is unlikely to eventuate and</w:t>
            </w:r>
            <w:r w:rsidR="00E07A39" w:rsidRPr="00A50683">
              <w:rPr>
                <w:rFonts w:asciiTheme="minorHAnsi" w:hAnsiTheme="minorHAnsi" w:cstheme="minorHAnsi"/>
                <w:color w:val="000000" w:themeColor="text1"/>
                <w:sz w:val="22"/>
                <w:szCs w:val="22"/>
              </w:rPr>
              <w:t xml:space="preserve"> that</w:t>
            </w:r>
            <w:r w:rsidRPr="00A50683">
              <w:rPr>
                <w:rFonts w:asciiTheme="minorHAnsi" w:hAnsiTheme="minorHAnsi" w:cstheme="minorHAnsi"/>
                <w:color w:val="000000" w:themeColor="text1"/>
                <w:sz w:val="22"/>
                <w:szCs w:val="22"/>
              </w:rPr>
              <w:t xml:space="preserve"> existing mitigation strategies are </w:t>
            </w:r>
            <w:proofErr w:type="gramStart"/>
            <w:r w:rsidRPr="00A50683">
              <w:rPr>
                <w:rFonts w:asciiTheme="minorHAnsi" w:hAnsiTheme="minorHAnsi" w:cstheme="minorHAnsi"/>
                <w:color w:val="000000" w:themeColor="text1"/>
                <w:sz w:val="22"/>
                <w:szCs w:val="22"/>
              </w:rPr>
              <w:t>sufficient</w:t>
            </w:r>
            <w:proofErr w:type="gramEnd"/>
            <w:r w:rsidRPr="00A50683">
              <w:rPr>
                <w:rFonts w:asciiTheme="minorHAnsi" w:hAnsiTheme="minorHAnsi" w:cstheme="minorHAnsi"/>
                <w:color w:val="000000" w:themeColor="text1"/>
                <w:sz w:val="22"/>
                <w:szCs w:val="22"/>
              </w:rPr>
              <w:t xml:space="preserve">. </w:t>
            </w:r>
            <w:r w:rsidR="00C93F1E" w:rsidRPr="00A50683">
              <w:rPr>
                <w:rFonts w:asciiTheme="minorHAnsi" w:hAnsiTheme="minorHAnsi" w:cstheme="minorHAnsi"/>
                <w:color w:val="000000" w:themeColor="text1"/>
                <w:sz w:val="22"/>
                <w:szCs w:val="22"/>
              </w:rPr>
              <w:t>T</w:t>
            </w:r>
            <w:r w:rsidRPr="00A50683">
              <w:rPr>
                <w:rFonts w:asciiTheme="minorHAnsi" w:hAnsiTheme="minorHAnsi" w:cstheme="minorHAnsi"/>
                <w:color w:val="000000" w:themeColor="text1"/>
                <w:sz w:val="22"/>
                <w:szCs w:val="22"/>
              </w:rPr>
              <w:t xml:space="preserve">he data standards </w:t>
            </w:r>
            <w:r w:rsidR="003328EB" w:rsidRPr="00A50683">
              <w:rPr>
                <w:rFonts w:asciiTheme="minorHAnsi" w:hAnsiTheme="minorHAnsi" w:cstheme="minorHAnsi"/>
                <w:color w:val="000000" w:themeColor="text1"/>
                <w:sz w:val="22"/>
                <w:szCs w:val="22"/>
              </w:rPr>
              <w:t>prohibit the retailer communicating the identity of the CDR consumer to AEMO when retrieving data</w:t>
            </w:r>
            <w:r w:rsidR="00BE50A9" w:rsidRPr="00CF0AD5">
              <w:rPr>
                <w:rFonts w:asciiTheme="minorHAnsi" w:hAnsiTheme="minorHAnsi" w:cstheme="minorHAnsi"/>
                <w:color w:val="000000" w:themeColor="text1"/>
                <w:sz w:val="22"/>
                <w:szCs w:val="22"/>
              </w:rPr>
              <w:t xml:space="preserve"> from AEMO</w:t>
            </w:r>
            <w:r w:rsidR="000937BE" w:rsidRPr="00A50683">
              <w:rPr>
                <w:rFonts w:asciiTheme="minorHAnsi" w:hAnsiTheme="minorHAnsi" w:cstheme="minorHAnsi"/>
                <w:color w:val="000000" w:themeColor="text1"/>
                <w:sz w:val="22"/>
                <w:szCs w:val="22"/>
              </w:rPr>
              <w:t xml:space="preserve">. </w:t>
            </w:r>
            <w:r w:rsidR="003328EB" w:rsidRPr="00A50683">
              <w:rPr>
                <w:rFonts w:asciiTheme="minorHAnsi" w:hAnsiTheme="minorHAnsi" w:cstheme="minorHAnsi"/>
                <w:color w:val="000000" w:themeColor="text1"/>
                <w:sz w:val="22"/>
                <w:szCs w:val="22"/>
              </w:rPr>
              <w:t>All requests to AEMO must be made using the unique identifier for the customer’s connection point, the National Metering Identifier.</w:t>
            </w:r>
            <w:r w:rsidR="003328EB" w:rsidRPr="00A50683">
              <w:rPr>
                <w:rFonts w:asciiTheme="minorHAnsi" w:hAnsiTheme="minorHAnsi" w:cstheme="minorHAnsi"/>
                <w:i/>
                <w:color w:val="000000" w:themeColor="text1"/>
                <w:sz w:val="22"/>
                <w:szCs w:val="22"/>
              </w:rPr>
              <w:t xml:space="preserve"> </w:t>
            </w:r>
            <w:r w:rsidR="002912A0" w:rsidRPr="00A50683">
              <w:rPr>
                <w:sz w:val="22"/>
                <w:szCs w:val="22"/>
              </w:rPr>
              <w:t>In any further follow up dealings, for example where responding to a CDR Consumer’s complaint or dispute, a transaction identifier will be used</w:t>
            </w:r>
            <w:r w:rsidR="00BE50A9" w:rsidRPr="00CF0AD5">
              <w:rPr>
                <w:sz w:val="22"/>
                <w:szCs w:val="22"/>
              </w:rPr>
              <w:t xml:space="preserve"> so </w:t>
            </w:r>
            <w:r w:rsidR="00BE50A9" w:rsidRPr="00A50683">
              <w:rPr>
                <w:sz w:val="22"/>
                <w:szCs w:val="22"/>
              </w:rPr>
              <w:t>that the identity</w:t>
            </w:r>
            <w:r w:rsidR="00E0149D" w:rsidRPr="00A50683">
              <w:rPr>
                <w:sz w:val="22"/>
                <w:szCs w:val="22"/>
              </w:rPr>
              <w:t xml:space="preserve"> of the consumer associated with the connection point</w:t>
            </w:r>
            <w:r w:rsidR="00BE50A9" w:rsidRPr="00A50683">
              <w:rPr>
                <w:sz w:val="22"/>
                <w:szCs w:val="22"/>
              </w:rPr>
              <w:t xml:space="preserve"> is not disclosed to AEMO</w:t>
            </w:r>
            <w:r w:rsidR="002912A0" w:rsidRPr="00A50683">
              <w:rPr>
                <w:sz w:val="22"/>
                <w:szCs w:val="22"/>
              </w:rPr>
              <w:t>.</w:t>
            </w:r>
          </w:p>
          <w:p w14:paraId="4F5FB4ED" w14:textId="7F8DC955" w:rsidR="00DD43D5" w:rsidRPr="00292484" w:rsidRDefault="00206BAC" w:rsidP="00B552C0">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the unlikely situation that </w:t>
            </w:r>
            <w:r w:rsidR="00DD43D5">
              <w:rPr>
                <w:rFonts w:asciiTheme="minorHAnsi" w:hAnsiTheme="minorHAnsi" w:cstheme="minorHAnsi"/>
                <w:color w:val="000000" w:themeColor="text1"/>
                <w:sz w:val="22"/>
                <w:szCs w:val="22"/>
              </w:rPr>
              <w:t>AEMO receive</w:t>
            </w:r>
            <w:r w:rsidR="00C93F1E" w:rsidRPr="00A50683">
              <w:rPr>
                <w:rFonts w:asciiTheme="minorHAnsi" w:hAnsiTheme="minorHAnsi" w:cstheme="minorHAnsi"/>
                <w:color w:val="000000" w:themeColor="text1"/>
                <w:sz w:val="22"/>
                <w:szCs w:val="22"/>
              </w:rPr>
              <w:t>d</w:t>
            </w:r>
            <w:r w:rsidR="00DD43D5" w:rsidRPr="00A50683">
              <w:rPr>
                <w:rFonts w:asciiTheme="minorHAnsi" w:hAnsiTheme="minorHAnsi" w:cstheme="minorHAnsi"/>
                <w:color w:val="000000" w:themeColor="text1"/>
                <w:sz w:val="22"/>
                <w:szCs w:val="22"/>
              </w:rPr>
              <w:t xml:space="preserve"> personal information from a retailer, AEMO w</w:t>
            </w:r>
            <w:r w:rsidR="00C93F1E" w:rsidRPr="00A50683">
              <w:rPr>
                <w:rFonts w:asciiTheme="minorHAnsi" w:hAnsiTheme="minorHAnsi" w:cstheme="minorHAnsi"/>
                <w:color w:val="000000" w:themeColor="text1"/>
                <w:sz w:val="22"/>
                <w:szCs w:val="22"/>
              </w:rPr>
              <w:t>ould</w:t>
            </w:r>
            <w:r w:rsidR="00DD43D5" w:rsidRPr="00A50683">
              <w:rPr>
                <w:rFonts w:asciiTheme="minorHAnsi" w:hAnsiTheme="minorHAnsi" w:cstheme="minorHAnsi"/>
                <w:color w:val="000000" w:themeColor="text1"/>
                <w:sz w:val="22"/>
                <w:szCs w:val="22"/>
              </w:rPr>
              <w:t xml:space="preserve"> need to comply with the </w:t>
            </w:r>
            <w:r w:rsidR="00DD43D5" w:rsidRPr="00A50683">
              <w:rPr>
                <w:rFonts w:asciiTheme="minorHAnsi" w:hAnsiTheme="minorHAnsi" w:cstheme="minorHAnsi"/>
                <w:i/>
                <w:color w:val="000000" w:themeColor="text1"/>
                <w:sz w:val="22"/>
                <w:szCs w:val="22"/>
              </w:rPr>
              <w:t xml:space="preserve">Privacy Act 1988 </w:t>
            </w:r>
            <w:r w:rsidR="00DD43D5" w:rsidRPr="00A50683">
              <w:rPr>
                <w:rFonts w:asciiTheme="minorHAnsi" w:hAnsiTheme="minorHAnsi" w:cstheme="minorHAnsi"/>
                <w:color w:val="000000" w:themeColor="text1"/>
                <w:sz w:val="22"/>
                <w:szCs w:val="22"/>
              </w:rPr>
              <w:t>and relevant obligations under national energy legislation</w:t>
            </w:r>
            <w:r w:rsidR="00DD43D5">
              <w:rPr>
                <w:rFonts w:asciiTheme="minorHAnsi" w:hAnsiTheme="minorHAnsi" w:cstheme="minorHAnsi"/>
                <w:color w:val="000000" w:themeColor="text1"/>
                <w:sz w:val="22"/>
                <w:szCs w:val="22"/>
              </w:rPr>
              <w:t xml:space="preserve"> </w:t>
            </w:r>
            <w:r w:rsidR="00ED3AF2" w:rsidRPr="00292484">
              <w:rPr>
                <w:rFonts w:asciiTheme="minorHAnsi" w:hAnsiTheme="minorHAnsi" w:cstheme="minorHAnsi"/>
                <w:color w:val="000000" w:themeColor="text1"/>
                <w:sz w:val="22"/>
                <w:szCs w:val="22"/>
              </w:rPr>
              <w:t xml:space="preserve">(being the </w:t>
            </w:r>
            <w:r w:rsidR="00ED3AF2" w:rsidRPr="00292484">
              <w:rPr>
                <w:rFonts w:asciiTheme="minorHAnsi" w:hAnsiTheme="minorHAnsi" w:cstheme="minorHAnsi"/>
                <w:i/>
                <w:iCs/>
                <w:color w:val="000000" w:themeColor="text1"/>
                <w:sz w:val="22"/>
                <w:szCs w:val="22"/>
              </w:rPr>
              <w:t xml:space="preserve">National Electricity Law </w:t>
            </w:r>
            <w:r w:rsidR="00ED3AF2" w:rsidRPr="00292484">
              <w:rPr>
                <w:rFonts w:asciiTheme="minorHAnsi" w:hAnsiTheme="minorHAnsi" w:cstheme="minorHAnsi"/>
                <w:color w:val="000000" w:themeColor="text1"/>
                <w:sz w:val="22"/>
                <w:szCs w:val="22"/>
              </w:rPr>
              <w:t xml:space="preserve">(NEL) and </w:t>
            </w:r>
            <w:r w:rsidR="00ED3AF2" w:rsidRPr="00292484">
              <w:rPr>
                <w:rFonts w:asciiTheme="minorHAnsi" w:hAnsiTheme="minorHAnsi" w:cstheme="minorHAnsi"/>
                <w:i/>
                <w:iCs/>
                <w:color w:val="000000" w:themeColor="text1"/>
                <w:sz w:val="22"/>
                <w:szCs w:val="22"/>
              </w:rPr>
              <w:t xml:space="preserve">National Electricity Rules </w:t>
            </w:r>
            <w:r w:rsidR="00ED3AF2" w:rsidRPr="007B61D5">
              <w:rPr>
                <w:rFonts w:asciiTheme="minorHAnsi" w:hAnsiTheme="minorHAnsi" w:cstheme="minorHAnsi"/>
                <w:color w:val="000000" w:themeColor="text1"/>
                <w:sz w:val="22"/>
                <w:szCs w:val="22"/>
              </w:rPr>
              <w:t>(NER))</w:t>
            </w:r>
            <w:r w:rsidR="00DD43D5" w:rsidRPr="00292484">
              <w:rPr>
                <w:rFonts w:asciiTheme="minorHAnsi" w:hAnsiTheme="minorHAnsi" w:cstheme="minorHAnsi"/>
                <w:color w:val="000000" w:themeColor="text1"/>
                <w:sz w:val="22"/>
                <w:szCs w:val="22"/>
              </w:rPr>
              <w:t xml:space="preserve"> </w:t>
            </w:r>
            <w:r w:rsidR="00DD43D5">
              <w:rPr>
                <w:rFonts w:asciiTheme="minorHAnsi" w:hAnsiTheme="minorHAnsi" w:cstheme="minorHAnsi"/>
                <w:color w:val="000000" w:themeColor="text1"/>
                <w:sz w:val="22"/>
                <w:szCs w:val="22"/>
              </w:rPr>
              <w:t xml:space="preserve">in respect of that information. </w:t>
            </w:r>
            <w:r w:rsidR="00DD43D5" w:rsidRPr="00292484">
              <w:rPr>
                <w:rFonts w:asciiTheme="minorHAnsi" w:hAnsiTheme="minorHAnsi" w:cstheme="minorHAnsi"/>
                <w:color w:val="000000" w:themeColor="text1"/>
                <w:sz w:val="22"/>
                <w:szCs w:val="22"/>
              </w:rPr>
              <w:t xml:space="preserve"> </w:t>
            </w:r>
          </w:p>
        </w:tc>
      </w:tr>
    </w:tbl>
    <w:p w14:paraId="5EBDC38E" w14:textId="5CF6D8C0" w:rsidR="00DD43D5" w:rsidRDefault="00DD43D5" w:rsidP="006C5B73">
      <w:pPr>
        <w:rPr>
          <w:b/>
          <w:bCs/>
        </w:rPr>
      </w:pPr>
    </w:p>
    <w:p w14:paraId="04E6278D" w14:textId="1A800941" w:rsidR="00DD43D5" w:rsidRPr="00DD43D5" w:rsidRDefault="00DD43D5" w:rsidP="006C5B73">
      <w:pPr>
        <w:rPr>
          <w:b/>
          <w:bCs/>
        </w:rPr>
      </w:pPr>
      <w:r>
        <w:rPr>
          <w:b/>
          <w:bCs/>
        </w:rPr>
        <w:t xml:space="preserve">Recommendation 3 </w:t>
      </w:r>
      <w:r w:rsidR="00B552C0">
        <w:rPr>
          <w:b/>
          <w:bCs/>
        </w:rPr>
        <w:t>–</w:t>
      </w:r>
      <w:r>
        <w:rPr>
          <w:b/>
          <w:bCs/>
        </w:rPr>
        <w:t xml:space="preserve"> </w:t>
      </w:r>
      <w:r w:rsidR="00B552C0">
        <w:rPr>
          <w:b/>
          <w:bCs/>
        </w:rPr>
        <w:t>CDR consumer awareness of AEMO’s role</w:t>
      </w:r>
    </w:p>
    <w:tbl>
      <w:tblPr>
        <w:tblStyle w:val="TableGrid1"/>
        <w:tblW w:w="0" w:type="auto"/>
        <w:tblLook w:val="04A0" w:firstRow="1" w:lastRow="0" w:firstColumn="1" w:lastColumn="0" w:noHBand="0" w:noVBand="1"/>
      </w:tblPr>
      <w:tblGrid>
        <w:gridCol w:w="9060"/>
      </w:tblGrid>
      <w:tr w:rsidR="00B552C0" w:rsidRPr="00F06060" w14:paraId="3421179C" w14:textId="77777777" w:rsidTr="00B552C0">
        <w:trPr>
          <w:trHeight w:val="1718"/>
        </w:trPr>
        <w:tc>
          <w:tcPr>
            <w:tcW w:w="9060" w:type="dxa"/>
            <w:tcBorders>
              <w:top w:val="single" w:sz="4" w:space="0" w:color="auto"/>
            </w:tcBorders>
            <w:shd w:val="clear" w:color="auto" w:fill="D5E1F1" w:themeFill="accent2" w:themeFillTint="33"/>
          </w:tcPr>
          <w:p w14:paraId="28B7F43A" w14:textId="47AFFAE7" w:rsidR="00B552C0" w:rsidRPr="00F06060" w:rsidRDefault="00B552C0" w:rsidP="00B552C0">
            <w:pPr>
              <w:spacing w:before="0" w:after="220" w:line="276" w:lineRule="auto"/>
              <w:contextualSpacing/>
              <w:rPr>
                <w:rFonts w:asciiTheme="minorHAnsi" w:hAnsiTheme="minorHAnsi" w:cstheme="minorHAnsi"/>
                <w:sz w:val="22"/>
                <w:szCs w:val="22"/>
              </w:rPr>
            </w:pPr>
            <w:r w:rsidRPr="00B552C0">
              <w:rPr>
                <w:sz w:val="22"/>
                <w:szCs w:val="22"/>
              </w:rPr>
              <w:t xml:space="preserve">We recommend that Treasury consider whether it would be appropriate to make CDR Consumers aware of the involvement of AEMO in respect of the fulfilment of Consumer Data Requests, or whether this would risk ‘information overload’ for CDR </w:t>
            </w:r>
            <w:r w:rsidR="00E07A39">
              <w:rPr>
                <w:sz w:val="22"/>
                <w:szCs w:val="22"/>
              </w:rPr>
              <w:t>c</w:t>
            </w:r>
            <w:r w:rsidRPr="00B552C0">
              <w:rPr>
                <w:sz w:val="22"/>
                <w:szCs w:val="22"/>
              </w:rPr>
              <w:t>onsumers or be otherwise unnecessary. This may involve the Data Standards Body undertaking consumer research as required.</w:t>
            </w:r>
          </w:p>
        </w:tc>
      </w:tr>
      <w:tr w:rsidR="00B552C0" w:rsidRPr="00F06060" w14:paraId="5BCEBF3D" w14:textId="77777777" w:rsidTr="00B552C0">
        <w:tc>
          <w:tcPr>
            <w:tcW w:w="9060" w:type="dxa"/>
            <w:tcBorders>
              <w:top w:val="single" w:sz="4" w:space="0" w:color="auto"/>
            </w:tcBorders>
            <w:shd w:val="clear" w:color="auto" w:fill="FFFFFF" w:themeFill="background1"/>
          </w:tcPr>
          <w:p w14:paraId="74937A89" w14:textId="66A6052C" w:rsidR="00B552C0" w:rsidRPr="00D72D45" w:rsidRDefault="00B552C0" w:rsidP="00B552C0">
            <w:pPr>
              <w:spacing w:before="0" w:after="220" w:line="276" w:lineRule="auto"/>
              <w:rPr>
                <w:rFonts w:asciiTheme="minorHAnsi" w:hAnsiTheme="minorHAnsi" w:cstheme="minorHAnsi"/>
                <w:color w:val="000000" w:themeColor="text1"/>
                <w:sz w:val="22"/>
                <w:szCs w:val="22"/>
              </w:rPr>
            </w:pPr>
            <w:r w:rsidRPr="00D72D45">
              <w:rPr>
                <w:rFonts w:asciiTheme="minorHAnsi" w:hAnsiTheme="minorHAnsi" w:cstheme="minorHAnsi"/>
                <w:color w:val="000000" w:themeColor="text1"/>
                <w:sz w:val="22"/>
                <w:szCs w:val="22"/>
              </w:rPr>
              <w:t>Agency response –</w:t>
            </w:r>
            <w:r w:rsidRPr="00D72D45">
              <w:rPr>
                <w:rFonts w:asciiTheme="minorHAnsi" w:hAnsiTheme="minorHAnsi" w:cstheme="minorHAnsi"/>
                <w:b/>
                <w:bCs/>
                <w:color w:val="000000" w:themeColor="text1"/>
                <w:sz w:val="22"/>
                <w:szCs w:val="22"/>
              </w:rPr>
              <w:t xml:space="preserve"> </w:t>
            </w:r>
            <w:r w:rsidR="00D72D45" w:rsidRPr="00D72D45">
              <w:rPr>
                <w:rFonts w:asciiTheme="minorHAnsi" w:hAnsiTheme="minorHAnsi" w:cstheme="minorHAnsi"/>
                <w:b/>
                <w:bCs/>
                <w:color w:val="000000" w:themeColor="text1"/>
                <w:sz w:val="22"/>
                <w:szCs w:val="22"/>
              </w:rPr>
              <w:t>Agree in principle</w:t>
            </w:r>
          </w:p>
          <w:p w14:paraId="75311FBD" w14:textId="22A3EE22" w:rsidR="00386C98" w:rsidRDefault="005452AC" w:rsidP="00B552C0">
            <w:pPr>
              <w:spacing w:before="0" w:after="220" w:line="276" w:lineRule="auto"/>
              <w:rPr>
                <w:rFonts w:asciiTheme="minorHAnsi" w:hAnsiTheme="minorHAnsi" w:cstheme="minorHAnsi"/>
                <w:color w:val="000000" w:themeColor="text1"/>
                <w:sz w:val="22"/>
                <w:szCs w:val="22"/>
              </w:rPr>
            </w:pPr>
            <w:r w:rsidRPr="00D72D45">
              <w:rPr>
                <w:rFonts w:asciiTheme="minorHAnsi" w:hAnsiTheme="minorHAnsi" w:cstheme="minorHAnsi"/>
                <w:color w:val="000000" w:themeColor="text1"/>
                <w:sz w:val="22"/>
                <w:szCs w:val="22"/>
              </w:rPr>
              <w:lastRenderedPageBreak/>
              <w:t xml:space="preserve">Treasury will work closely with the Data Standards Body’s (DSB) consumer experience team to consider this issue. </w:t>
            </w:r>
            <w:r>
              <w:rPr>
                <w:rFonts w:asciiTheme="minorHAnsi" w:hAnsiTheme="minorHAnsi" w:cstheme="minorHAnsi"/>
                <w:color w:val="000000" w:themeColor="text1"/>
                <w:sz w:val="22"/>
                <w:szCs w:val="22"/>
              </w:rPr>
              <w:t>Treasury notes that r</w:t>
            </w:r>
            <w:r w:rsidR="00386C98">
              <w:rPr>
                <w:rFonts w:asciiTheme="minorHAnsi" w:hAnsiTheme="minorHAnsi" w:cstheme="minorHAnsi"/>
                <w:color w:val="000000" w:themeColor="text1"/>
                <w:sz w:val="22"/>
                <w:szCs w:val="22"/>
              </w:rPr>
              <w:t xml:space="preserve">etailers are expected to provide an appropriate level of information regarding their role in providing AEMO held data in their CDR policy. </w:t>
            </w:r>
          </w:p>
          <w:p w14:paraId="0A437127" w14:textId="25C7BCAD" w:rsidR="006E0596" w:rsidRDefault="00AA522C" w:rsidP="00B552C0">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Treasury considers that the DSB is best placed to conduct behavioural research into consumer consent processes and information security reviews. </w:t>
            </w:r>
            <w:r w:rsidR="00D72D45" w:rsidRPr="00D72D45">
              <w:rPr>
                <w:rFonts w:asciiTheme="minorHAnsi" w:hAnsiTheme="minorHAnsi" w:cstheme="minorHAnsi"/>
                <w:color w:val="000000" w:themeColor="text1"/>
                <w:sz w:val="22"/>
                <w:szCs w:val="22"/>
              </w:rPr>
              <w:t>This will enable further consultation and consideration of this issue with CDR agencies and stakeholders, likely leading to a better outcome for consumers.</w:t>
            </w:r>
          </w:p>
          <w:p w14:paraId="58D0C2D1" w14:textId="5D2C9619" w:rsidR="00B552C0" w:rsidRPr="00D72D45" w:rsidRDefault="00D72D45" w:rsidP="00B552C0">
            <w:pPr>
              <w:spacing w:before="0" w:after="220" w:line="276" w:lineRule="auto"/>
              <w:rPr>
                <w:rFonts w:asciiTheme="minorHAnsi" w:hAnsiTheme="minorHAnsi" w:cstheme="minorHAnsi"/>
                <w:color w:val="000000" w:themeColor="text1"/>
                <w:sz w:val="22"/>
                <w:szCs w:val="22"/>
              </w:rPr>
            </w:pPr>
            <w:r w:rsidRPr="00D72D45">
              <w:rPr>
                <w:rFonts w:asciiTheme="minorHAnsi" w:hAnsiTheme="minorHAnsi" w:cstheme="minorHAnsi"/>
                <w:color w:val="000000" w:themeColor="text1"/>
                <w:sz w:val="22"/>
                <w:szCs w:val="22"/>
              </w:rPr>
              <w:t>Presently, Treasury</w:t>
            </w:r>
            <w:r w:rsidR="00F344B8">
              <w:rPr>
                <w:rFonts w:asciiTheme="minorHAnsi" w:hAnsiTheme="minorHAnsi" w:cstheme="minorHAnsi"/>
                <w:color w:val="000000" w:themeColor="text1"/>
                <w:sz w:val="22"/>
                <w:szCs w:val="22"/>
              </w:rPr>
              <w:t xml:space="preserve"> does not recommend including additional rules to </w:t>
            </w:r>
            <w:r w:rsidRPr="00D72D45">
              <w:rPr>
                <w:rFonts w:asciiTheme="minorHAnsi" w:hAnsiTheme="minorHAnsi" w:cstheme="minorHAnsi"/>
                <w:color w:val="000000" w:themeColor="text1"/>
                <w:sz w:val="22"/>
                <w:szCs w:val="22"/>
              </w:rPr>
              <w:t>prescribe the level of information to consumers regarding AEMO’s rol</w:t>
            </w:r>
            <w:r w:rsidR="005452AC">
              <w:rPr>
                <w:rFonts w:asciiTheme="minorHAnsi" w:hAnsiTheme="minorHAnsi" w:cstheme="minorHAnsi"/>
                <w:color w:val="000000" w:themeColor="text1"/>
                <w:sz w:val="22"/>
                <w:szCs w:val="22"/>
              </w:rPr>
              <w:t>e</w:t>
            </w:r>
            <w:r w:rsidR="003C7F34">
              <w:rPr>
                <w:rFonts w:asciiTheme="minorHAnsi" w:hAnsiTheme="minorHAnsi" w:cstheme="minorHAnsi"/>
                <w:color w:val="000000" w:themeColor="text1"/>
                <w:sz w:val="22"/>
                <w:szCs w:val="22"/>
              </w:rPr>
              <w:t>. Treasury will work closely with the DSB to consider the issue as part of DSB’s consumer data standards.</w:t>
            </w:r>
          </w:p>
        </w:tc>
      </w:tr>
    </w:tbl>
    <w:p w14:paraId="1E72B9E4" w14:textId="716CA8F8" w:rsidR="008A6BFF" w:rsidRDefault="008A6BFF" w:rsidP="006C5B73"/>
    <w:p w14:paraId="709B3271" w14:textId="1E6F8FF9" w:rsidR="00386C98" w:rsidRDefault="00386C98" w:rsidP="006C5B73">
      <w:pPr>
        <w:rPr>
          <w:b/>
          <w:bCs/>
        </w:rPr>
      </w:pPr>
      <w:r>
        <w:rPr>
          <w:b/>
          <w:bCs/>
        </w:rPr>
        <w:t xml:space="preserve">Recommendation 4 – disclosure of AEMO </w:t>
      </w:r>
      <w:r w:rsidR="003724F8">
        <w:rPr>
          <w:b/>
          <w:bCs/>
        </w:rPr>
        <w:t>data to Retail Data Holders</w:t>
      </w:r>
    </w:p>
    <w:tbl>
      <w:tblPr>
        <w:tblStyle w:val="TableGrid1"/>
        <w:tblW w:w="0" w:type="auto"/>
        <w:tblLook w:val="04A0" w:firstRow="1" w:lastRow="0" w:firstColumn="1" w:lastColumn="0" w:noHBand="0" w:noVBand="1"/>
      </w:tblPr>
      <w:tblGrid>
        <w:gridCol w:w="9060"/>
      </w:tblGrid>
      <w:tr w:rsidR="003724F8" w:rsidRPr="00F06060" w14:paraId="33F6C6F3" w14:textId="77777777" w:rsidTr="009D05AD">
        <w:trPr>
          <w:trHeight w:val="2111"/>
        </w:trPr>
        <w:tc>
          <w:tcPr>
            <w:tcW w:w="9060" w:type="dxa"/>
            <w:tcBorders>
              <w:top w:val="single" w:sz="4" w:space="0" w:color="auto"/>
            </w:tcBorders>
            <w:shd w:val="clear" w:color="auto" w:fill="D5E1F1" w:themeFill="accent2" w:themeFillTint="33"/>
          </w:tcPr>
          <w:p w14:paraId="67B20856" w14:textId="493E557D" w:rsidR="003724F8" w:rsidRPr="009D05AD" w:rsidRDefault="009D05AD" w:rsidP="000328FF">
            <w:pPr>
              <w:spacing w:before="0" w:after="220" w:line="276" w:lineRule="auto"/>
              <w:contextualSpacing/>
              <w:rPr>
                <w:rFonts w:asciiTheme="minorHAnsi" w:hAnsiTheme="minorHAnsi" w:cstheme="minorHAnsi"/>
                <w:sz w:val="22"/>
                <w:szCs w:val="22"/>
              </w:rPr>
            </w:pPr>
            <w:r w:rsidRPr="009D05AD">
              <w:rPr>
                <w:sz w:val="22"/>
                <w:szCs w:val="22"/>
              </w:rPr>
              <w:t xml:space="preserve">The proposed amendments to the CDR Rules will authorise AEMO to disclose CDR Data to a Retail Data </w:t>
            </w:r>
            <w:proofErr w:type="gramStart"/>
            <w:r w:rsidRPr="009D05AD">
              <w:rPr>
                <w:sz w:val="22"/>
                <w:szCs w:val="22"/>
              </w:rPr>
              <w:t>Holder, but</w:t>
            </w:r>
            <w:proofErr w:type="gramEnd"/>
            <w:r w:rsidRPr="009D05AD">
              <w:rPr>
                <w:sz w:val="22"/>
                <w:szCs w:val="22"/>
              </w:rPr>
              <w:t xml:space="preserve"> will not require AEMO to do so. While the risks of a CDR Consumer not being able to access all of their CDR Data may be low for the energy sector in circumstances where there is only one Secondary Data Holder (AEMO), we recommend that Treasury consider whether further amendments to the CC Act should be proposed in future to mitigate this risk, if the P2P model is to be applied to other designated sectors.</w:t>
            </w:r>
          </w:p>
        </w:tc>
      </w:tr>
      <w:tr w:rsidR="003724F8" w:rsidRPr="00D72D45" w14:paraId="2238CAA2" w14:textId="77777777" w:rsidTr="000328FF">
        <w:tc>
          <w:tcPr>
            <w:tcW w:w="9060" w:type="dxa"/>
            <w:tcBorders>
              <w:top w:val="single" w:sz="4" w:space="0" w:color="auto"/>
            </w:tcBorders>
            <w:shd w:val="clear" w:color="auto" w:fill="FFFFFF" w:themeFill="background1"/>
          </w:tcPr>
          <w:p w14:paraId="1D3B2DD9" w14:textId="3C6D5AF2" w:rsidR="003724F8" w:rsidRPr="00D72D45" w:rsidRDefault="003724F8" w:rsidP="000328FF">
            <w:pPr>
              <w:spacing w:before="0" w:after="220" w:line="276" w:lineRule="auto"/>
              <w:rPr>
                <w:rFonts w:asciiTheme="minorHAnsi" w:hAnsiTheme="minorHAnsi" w:cstheme="minorHAnsi"/>
                <w:color w:val="000000" w:themeColor="text1"/>
                <w:sz w:val="22"/>
                <w:szCs w:val="22"/>
              </w:rPr>
            </w:pPr>
            <w:r w:rsidRPr="00D72D45">
              <w:rPr>
                <w:rFonts w:asciiTheme="minorHAnsi" w:hAnsiTheme="minorHAnsi" w:cstheme="minorHAnsi"/>
                <w:color w:val="000000" w:themeColor="text1"/>
                <w:sz w:val="22"/>
                <w:szCs w:val="22"/>
              </w:rPr>
              <w:t>Agency response –</w:t>
            </w:r>
            <w:r w:rsidRPr="00D72D45">
              <w:rPr>
                <w:rFonts w:asciiTheme="minorHAnsi" w:hAnsiTheme="minorHAnsi" w:cstheme="minorHAnsi"/>
                <w:b/>
                <w:bCs/>
                <w:color w:val="000000" w:themeColor="text1"/>
                <w:sz w:val="22"/>
                <w:szCs w:val="22"/>
              </w:rPr>
              <w:t xml:space="preserve"> </w:t>
            </w:r>
            <w:r w:rsidR="009D05AD">
              <w:rPr>
                <w:rFonts w:asciiTheme="minorHAnsi" w:hAnsiTheme="minorHAnsi" w:cstheme="minorHAnsi"/>
                <w:b/>
                <w:bCs/>
                <w:color w:val="000000" w:themeColor="text1"/>
                <w:sz w:val="22"/>
                <w:szCs w:val="22"/>
              </w:rPr>
              <w:t>Note</w:t>
            </w:r>
          </w:p>
          <w:p w14:paraId="06575914" w14:textId="7139E37C" w:rsidR="00EE42C2" w:rsidRDefault="000F0B3F" w:rsidP="00EE42C2">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in future the peer-to-peer model is applied to other sectors in the CDR, Treasury will consider </w:t>
            </w:r>
            <w:r w:rsidR="00B672F6">
              <w:rPr>
                <w:rFonts w:asciiTheme="minorHAnsi" w:hAnsiTheme="minorHAnsi" w:cstheme="minorHAnsi"/>
                <w:color w:val="000000" w:themeColor="text1"/>
                <w:sz w:val="22"/>
                <w:szCs w:val="22"/>
              </w:rPr>
              <w:t>whether amendments to the Act to enable the CDR Rules to require disclosure from a secondary data holder to a primary data holder may be preferable. However, the risk is currently low for the energy sector in circumstances where th</w:t>
            </w:r>
            <w:r w:rsidR="001F0CAA">
              <w:rPr>
                <w:rFonts w:asciiTheme="minorHAnsi" w:hAnsiTheme="minorHAnsi" w:cstheme="minorHAnsi"/>
                <w:color w:val="000000" w:themeColor="text1"/>
                <w:sz w:val="22"/>
                <w:szCs w:val="22"/>
              </w:rPr>
              <w:t>ere</w:t>
            </w:r>
            <w:r w:rsidR="00B672F6">
              <w:rPr>
                <w:rFonts w:asciiTheme="minorHAnsi" w:hAnsiTheme="minorHAnsi" w:cstheme="minorHAnsi"/>
                <w:color w:val="000000" w:themeColor="text1"/>
                <w:sz w:val="22"/>
                <w:szCs w:val="22"/>
              </w:rPr>
              <w:t xml:space="preserve"> is only one secondary data holder</w:t>
            </w:r>
            <w:r w:rsidR="00B94862">
              <w:rPr>
                <w:rFonts w:asciiTheme="minorHAnsi" w:hAnsiTheme="minorHAnsi" w:cstheme="minorHAnsi"/>
                <w:color w:val="000000" w:themeColor="text1"/>
                <w:sz w:val="22"/>
                <w:szCs w:val="22"/>
              </w:rPr>
              <w:t xml:space="preserve">, and that data holder is </w:t>
            </w:r>
            <w:r w:rsidR="00B523D2">
              <w:rPr>
                <w:rFonts w:asciiTheme="minorHAnsi" w:hAnsiTheme="minorHAnsi" w:cstheme="minorHAnsi"/>
                <w:color w:val="000000" w:themeColor="text1"/>
                <w:sz w:val="22"/>
                <w:szCs w:val="22"/>
              </w:rPr>
              <w:t xml:space="preserve">the </w:t>
            </w:r>
            <w:r w:rsidR="00B94862">
              <w:rPr>
                <w:rFonts w:asciiTheme="minorHAnsi" w:hAnsiTheme="minorHAnsi" w:cstheme="minorHAnsi"/>
                <w:color w:val="000000" w:themeColor="text1"/>
                <w:sz w:val="22"/>
                <w:szCs w:val="22"/>
              </w:rPr>
              <w:t>market operator</w:t>
            </w:r>
            <w:r w:rsidR="00B523D2">
              <w:rPr>
                <w:rFonts w:asciiTheme="minorHAnsi" w:hAnsiTheme="minorHAnsi" w:cstheme="minorHAnsi"/>
                <w:color w:val="000000" w:themeColor="text1"/>
                <w:sz w:val="22"/>
                <w:szCs w:val="22"/>
              </w:rPr>
              <w:t xml:space="preserve"> rather than a market participant</w:t>
            </w:r>
            <w:r w:rsidR="00B672F6">
              <w:rPr>
                <w:rFonts w:asciiTheme="minorHAnsi" w:hAnsiTheme="minorHAnsi" w:cstheme="minorHAnsi"/>
                <w:color w:val="000000" w:themeColor="text1"/>
                <w:sz w:val="22"/>
                <w:szCs w:val="22"/>
              </w:rPr>
              <w:t xml:space="preserve">. </w:t>
            </w:r>
          </w:p>
          <w:p w14:paraId="6A0378A9" w14:textId="085F2565" w:rsidR="003724F8" w:rsidRPr="00D72D45" w:rsidRDefault="00EE42C2" w:rsidP="000328FF">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its role as the energy market operator, AEMO is continually required to </w:t>
            </w:r>
            <w:r w:rsidR="0038247D">
              <w:rPr>
                <w:rFonts w:asciiTheme="minorHAnsi" w:hAnsiTheme="minorHAnsi" w:cstheme="minorHAnsi"/>
                <w:color w:val="000000" w:themeColor="text1"/>
                <w:sz w:val="22"/>
                <w:szCs w:val="22"/>
              </w:rPr>
              <w:t>m</w:t>
            </w:r>
            <w:r>
              <w:rPr>
                <w:rFonts w:asciiTheme="minorHAnsi" w:hAnsiTheme="minorHAnsi" w:cstheme="minorHAnsi"/>
                <w:color w:val="000000" w:themeColor="text1"/>
                <w:sz w:val="22"/>
                <w:szCs w:val="22"/>
              </w:rPr>
              <w:t xml:space="preserve">ake decisions, including in relation to the management of energy data, that give effect to the objectives of the legislation it operates under. It is unlikely that AEMO will refuse to disclose CDR data in circumstances where there are no grounds under the CDR rules for AEMO to refuse to share the data with a Retail Data Holder. </w:t>
            </w:r>
          </w:p>
        </w:tc>
      </w:tr>
    </w:tbl>
    <w:p w14:paraId="38F31295" w14:textId="24192705" w:rsidR="003724F8" w:rsidRDefault="003724F8" w:rsidP="006C5B73">
      <w:pPr>
        <w:rPr>
          <w:b/>
          <w:bCs/>
        </w:rPr>
      </w:pPr>
    </w:p>
    <w:p w14:paraId="73FAA854" w14:textId="7379CABA" w:rsidR="000328FF" w:rsidRDefault="000328FF" w:rsidP="00D942F3">
      <w:pPr>
        <w:keepNext/>
        <w:rPr>
          <w:b/>
          <w:bCs/>
        </w:rPr>
      </w:pPr>
      <w:r>
        <w:rPr>
          <w:b/>
          <w:bCs/>
        </w:rPr>
        <w:t xml:space="preserve">Recommendation 5 – AEMO’s </w:t>
      </w:r>
      <w:r w:rsidR="0025293E">
        <w:rPr>
          <w:b/>
          <w:bCs/>
        </w:rPr>
        <w:t>information on Retail Data Holders</w:t>
      </w:r>
    </w:p>
    <w:tbl>
      <w:tblPr>
        <w:tblStyle w:val="TableGrid1"/>
        <w:tblW w:w="0" w:type="auto"/>
        <w:tblLook w:val="04A0" w:firstRow="1" w:lastRow="0" w:firstColumn="1" w:lastColumn="0" w:noHBand="0" w:noVBand="1"/>
      </w:tblPr>
      <w:tblGrid>
        <w:gridCol w:w="9060"/>
      </w:tblGrid>
      <w:tr w:rsidR="0025293E" w:rsidRPr="009D05AD" w14:paraId="3DC4EFC9" w14:textId="77777777" w:rsidTr="00BB7260">
        <w:trPr>
          <w:trHeight w:val="1640"/>
        </w:trPr>
        <w:tc>
          <w:tcPr>
            <w:tcW w:w="9060" w:type="dxa"/>
            <w:tcBorders>
              <w:top w:val="single" w:sz="4" w:space="0" w:color="auto"/>
            </w:tcBorders>
            <w:shd w:val="clear" w:color="auto" w:fill="D5E1F1" w:themeFill="accent2" w:themeFillTint="33"/>
          </w:tcPr>
          <w:p w14:paraId="3A828F6C" w14:textId="3360E21A" w:rsidR="0025293E" w:rsidRPr="0025293E" w:rsidRDefault="0025293E" w:rsidP="00A34516">
            <w:pPr>
              <w:spacing w:before="0" w:after="220" w:line="276" w:lineRule="auto"/>
              <w:contextualSpacing/>
              <w:rPr>
                <w:rFonts w:asciiTheme="minorHAnsi" w:hAnsiTheme="minorHAnsi" w:cstheme="minorHAnsi"/>
                <w:sz w:val="22"/>
                <w:szCs w:val="22"/>
              </w:rPr>
            </w:pPr>
            <w:r w:rsidRPr="0025293E">
              <w:rPr>
                <w:sz w:val="22"/>
                <w:szCs w:val="22"/>
              </w:rPr>
              <w:t xml:space="preserve">We recommend that Treasury satisfy itself that AEMO’s existing mechanisms will enable it to determine whether a retailer is a Retail Data Holder for the purposes of the CDR regime. </w:t>
            </w:r>
            <w:proofErr w:type="gramStart"/>
            <w:r w:rsidRPr="0025293E">
              <w:rPr>
                <w:sz w:val="22"/>
                <w:szCs w:val="22"/>
              </w:rPr>
              <w:t>In particular, we</w:t>
            </w:r>
            <w:proofErr w:type="gramEnd"/>
            <w:r w:rsidRPr="0025293E">
              <w:rPr>
                <w:sz w:val="22"/>
                <w:szCs w:val="22"/>
              </w:rPr>
              <w:t xml:space="preserve"> are considering recommending that Treasury satisfy itself that AEMO will have access to real-time information about whether, at any given point in time, a retailer is a Retail Data Holder for the purposes of the CDR regime.</w:t>
            </w:r>
          </w:p>
        </w:tc>
      </w:tr>
      <w:tr w:rsidR="0025293E" w:rsidRPr="00D72D45" w14:paraId="6467C6B1" w14:textId="77777777" w:rsidTr="00A34516">
        <w:tc>
          <w:tcPr>
            <w:tcW w:w="9060" w:type="dxa"/>
            <w:tcBorders>
              <w:top w:val="single" w:sz="4" w:space="0" w:color="auto"/>
            </w:tcBorders>
            <w:shd w:val="clear" w:color="auto" w:fill="FFFFFF" w:themeFill="background1"/>
          </w:tcPr>
          <w:p w14:paraId="472FCBC9" w14:textId="591B7396" w:rsidR="0025293E" w:rsidRPr="00D72D45" w:rsidRDefault="0025293E" w:rsidP="00A34516">
            <w:pPr>
              <w:spacing w:before="0" w:after="220" w:line="276" w:lineRule="auto"/>
              <w:rPr>
                <w:rFonts w:asciiTheme="minorHAnsi" w:hAnsiTheme="minorHAnsi" w:cstheme="minorHAnsi"/>
                <w:color w:val="000000" w:themeColor="text1"/>
                <w:sz w:val="22"/>
                <w:szCs w:val="22"/>
              </w:rPr>
            </w:pPr>
            <w:r w:rsidRPr="00D72D45">
              <w:rPr>
                <w:rFonts w:asciiTheme="minorHAnsi" w:hAnsiTheme="minorHAnsi" w:cstheme="minorHAnsi"/>
                <w:color w:val="000000" w:themeColor="text1"/>
                <w:sz w:val="22"/>
                <w:szCs w:val="22"/>
              </w:rPr>
              <w:t>Agency response –</w:t>
            </w:r>
            <w:r w:rsidRPr="00D72D45">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Note</w:t>
            </w:r>
          </w:p>
          <w:p w14:paraId="264241B8" w14:textId="127AE957" w:rsidR="00982630" w:rsidRDefault="00B05937" w:rsidP="0025293E">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AEMO will rely on established systems and the information security mechanisms already in place between AEMO and retailers to determine whether a retailer is a Retail Data Holder for the purposes of the CDR regime.</w:t>
            </w:r>
            <w:r w:rsidR="003A018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AEMO will not be able to provide CDR data to a Retail Data Holder without first receiving a technical request. </w:t>
            </w:r>
            <w:r w:rsidR="00982630">
              <w:rPr>
                <w:rFonts w:asciiTheme="minorHAnsi" w:hAnsiTheme="minorHAnsi" w:cstheme="minorHAnsi"/>
                <w:color w:val="000000" w:themeColor="text1"/>
                <w:sz w:val="22"/>
                <w:szCs w:val="22"/>
              </w:rPr>
              <w:t>The</w:t>
            </w:r>
            <w:r>
              <w:rPr>
                <w:rFonts w:asciiTheme="minorHAnsi" w:hAnsiTheme="minorHAnsi" w:cstheme="minorHAnsi"/>
                <w:color w:val="000000" w:themeColor="text1"/>
                <w:sz w:val="22"/>
                <w:szCs w:val="22"/>
              </w:rPr>
              <w:t>se</w:t>
            </w:r>
            <w:r w:rsidR="00982630">
              <w:rPr>
                <w:rFonts w:asciiTheme="minorHAnsi" w:hAnsiTheme="minorHAnsi" w:cstheme="minorHAnsi"/>
                <w:color w:val="000000" w:themeColor="text1"/>
                <w:sz w:val="22"/>
                <w:szCs w:val="22"/>
              </w:rPr>
              <w:t xml:space="preserve"> existing</w:t>
            </w:r>
            <w:r w:rsidR="007953DA">
              <w:rPr>
                <w:rFonts w:asciiTheme="minorHAnsi" w:hAnsiTheme="minorHAnsi" w:cstheme="minorHAnsi"/>
                <w:color w:val="000000" w:themeColor="text1"/>
                <w:sz w:val="22"/>
                <w:szCs w:val="22"/>
              </w:rPr>
              <w:t xml:space="preserve"> systems through which AEMO may determine whether a retailer is a Retail Data Holder</w:t>
            </w:r>
            <w:r w:rsidR="00982630">
              <w:rPr>
                <w:rFonts w:asciiTheme="minorHAnsi" w:hAnsiTheme="minorHAnsi" w:cstheme="minorHAnsi"/>
                <w:color w:val="000000" w:themeColor="text1"/>
                <w:sz w:val="22"/>
                <w:szCs w:val="22"/>
              </w:rPr>
              <w:t xml:space="preserve"> mean there is a </w:t>
            </w:r>
            <w:r w:rsidR="006D028F">
              <w:rPr>
                <w:rFonts w:asciiTheme="minorHAnsi" w:hAnsiTheme="minorHAnsi" w:cstheme="minorHAnsi"/>
                <w:color w:val="000000" w:themeColor="text1"/>
                <w:sz w:val="22"/>
                <w:szCs w:val="22"/>
              </w:rPr>
              <w:t>very</w:t>
            </w:r>
            <w:r w:rsidR="00982630">
              <w:rPr>
                <w:rFonts w:asciiTheme="minorHAnsi" w:hAnsiTheme="minorHAnsi" w:cstheme="minorHAnsi"/>
                <w:color w:val="000000" w:themeColor="text1"/>
                <w:sz w:val="22"/>
                <w:szCs w:val="22"/>
              </w:rPr>
              <w:t xml:space="preserve"> low risk that AEMO w</w:t>
            </w:r>
            <w:r w:rsidR="003A0182">
              <w:rPr>
                <w:rFonts w:asciiTheme="minorHAnsi" w:hAnsiTheme="minorHAnsi" w:cstheme="minorHAnsi"/>
                <w:color w:val="000000" w:themeColor="text1"/>
                <w:sz w:val="22"/>
                <w:szCs w:val="22"/>
              </w:rPr>
              <w:t>ould</w:t>
            </w:r>
            <w:r w:rsidR="00982630">
              <w:rPr>
                <w:rFonts w:asciiTheme="minorHAnsi" w:hAnsiTheme="minorHAnsi" w:cstheme="minorHAnsi"/>
                <w:color w:val="000000" w:themeColor="text1"/>
                <w:sz w:val="22"/>
                <w:szCs w:val="22"/>
              </w:rPr>
              <w:t xml:space="preserve"> provide CDR data in response to a request made by an entity that is not a Retail Data Holder. </w:t>
            </w:r>
          </w:p>
          <w:p w14:paraId="7ABA9EB7" w14:textId="6E74024F" w:rsidR="0025293E" w:rsidRPr="00D72D45" w:rsidRDefault="00982630" w:rsidP="0025293E">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Given the </w:t>
            </w:r>
            <w:r w:rsidR="007953DA">
              <w:rPr>
                <w:rFonts w:asciiTheme="minorHAnsi" w:hAnsiTheme="minorHAnsi" w:cstheme="minorHAnsi"/>
                <w:color w:val="000000" w:themeColor="text1"/>
                <w:sz w:val="22"/>
                <w:szCs w:val="22"/>
              </w:rPr>
              <w:t xml:space="preserve">costs and </w:t>
            </w:r>
            <w:r w:rsidR="00CB2A53">
              <w:rPr>
                <w:rFonts w:asciiTheme="minorHAnsi" w:hAnsiTheme="minorHAnsi" w:cstheme="minorHAnsi"/>
                <w:color w:val="000000" w:themeColor="text1"/>
                <w:sz w:val="22"/>
                <w:szCs w:val="22"/>
              </w:rPr>
              <w:t xml:space="preserve">resources involved in building the necessary infrastructure to make a request to AEMO in accordance with the Data Standards, it is highly likely that only retailers that are Retail Data Holders will be making requests to AEMO. </w:t>
            </w:r>
            <w:r w:rsidR="008173FC">
              <w:rPr>
                <w:rFonts w:asciiTheme="minorHAnsi" w:hAnsiTheme="minorHAnsi" w:cstheme="minorHAnsi"/>
                <w:color w:val="000000" w:themeColor="text1"/>
                <w:sz w:val="22"/>
                <w:szCs w:val="22"/>
              </w:rPr>
              <w:t>As the market operator, AEMO</w:t>
            </w:r>
            <w:r w:rsidR="00F242E5">
              <w:rPr>
                <w:rFonts w:asciiTheme="minorHAnsi" w:hAnsiTheme="minorHAnsi" w:cstheme="minorHAnsi"/>
                <w:color w:val="000000" w:themeColor="text1"/>
                <w:sz w:val="22"/>
                <w:szCs w:val="22"/>
              </w:rPr>
              <w:t xml:space="preserve"> </w:t>
            </w:r>
            <w:r w:rsidR="00E0149D">
              <w:rPr>
                <w:rFonts w:asciiTheme="minorHAnsi" w:hAnsiTheme="minorHAnsi" w:cstheme="minorHAnsi"/>
                <w:color w:val="000000" w:themeColor="text1"/>
                <w:sz w:val="22"/>
                <w:szCs w:val="22"/>
              </w:rPr>
              <w:t xml:space="preserve">is </w:t>
            </w:r>
            <w:r w:rsidR="00F242E5">
              <w:rPr>
                <w:rFonts w:asciiTheme="minorHAnsi" w:hAnsiTheme="minorHAnsi" w:cstheme="minorHAnsi"/>
                <w:color w:val="000000" w:themeColor="text1"/>
                <w:sz w:val="22"/>
                <w:szCs w:val="22"/>
              </w:rPr>
              <w:t>advised</w:t>
            </w:r>
            <w:r w:rsidR="00E0149D">
              <w:rPr>
                <w:rFonts w:asciiTheme="minorHAnsi" w:hAnsiTheme="minorHAnsi" w:cstheme="minorHAnsi"/>
                <w:color w:val="000000" w:themeColor="text1"/>
                <w:sz w:val="22"/>
                <w:szCs w:val="22"/>
              </w:rPr>
              <w:t xml:space="preserve"> by the relevant energy regulator</w:t>
            </w:r>
            <w:r w:rsidR="00F242E5">
              <w:rPr>
                <w:rFonts w:asciiTheme="minorHAnsi" w:hAnsiTheme="minorHAnsi" w:cstheme="minorHAnsi"/>
                <w:color w:val="000000" w:themeColor="text1"/>
                <w:sz w:val="22"/>
                <w:szCs w:val="22"/>
              </w:rPr>
              <w:t xml:space="preserve"> if a retailer ceases to hold a </w:t>
            </w:r>
            <w:r w:rsidR="008173FC">
              <w:rPr>
                <w:rFonts w:asciiTheme="minorHAnsi" w:hAnsiTheme="minorHAnsi" w:cstheme="minorHAnsi"/>
                <w:color w:val="000000" w:themeColor="text1"/>
                <w:sz w:val="22"/>
                <w:szCs w:val="22"/>
              </w:rPr>
              <w:t>retailer authorisation or licence</w:t>
            </w:r>
            <w:r w:rsidR="00F242E5">
              <w:rPr>
                <w:rFonts w:asciiTheme="minorHAnsi" w:hAnsiTheme="minorHAnsi" w:cstheme="minorHAnsi"/>
                <w:color w:val="000000" w:themeColor="text1"/>
                <w:sz w:val="22"/>
                <w:szCs w:val="22"/>
              </w:rPr>
              <w:t xml:space="preserve"> (and therefore ceases to be a Retail Data Holder)</w:t>
            </w:r>
            <w:r w:rsidR="008173FC">
              <w:rPr>
                <w:rFonts w:asciiTheme="minorHAnsi" w:hAnsiTheme="minorHAnsi" w:cstheme="minorHAnsi"/>
                <w:color w:val="000000" w:themeColor="text1"/>
                <w:sz w:val="22"/>
                <w:szCs w:val="22"/>
              </w:rPr>
              <w:t xml:space="preserve">, </w:t>
            </w:r>
            <w:r w:rsidR="00F242E5">
              <w:rPr>
                <w:rFonts w:asciiTheme="minorHAnsi" w:hAnsiTheme="minorHAnsi" w:cstheme="minorHAnsi"/>
                <w:color w:val="000000" w:themeColor="text1"/>
                <w:sz w:val="22"/>
                <w:szCs w:val="22"/>
              </w:rPr>
              <w:t xml:space="preserve">as </w:t>
            </w:r>
            <w:r w:rsidR="00823F06">
              <w:rPr>
                <w:rFonts w:asciiTheme="minorHAnsi" w:hAnsiTheme="minorHAnsi" w:cstheme="minorHAnsi"/>
                <w:color w:val="000000" w:themeColor="text1"/>
                <w:sz w:val="22"/>
                <w:szCs w:val="22"/>
              </w:rPr>
              <w:t>this information is relevant to various AEMO functions under national energy legislation</w:t>
            </w:r>
            <w:r w:rsidR="00F242E5">
              <w:rPr>
                <w:rFonts w:asciiTheme="minorHAnsi" w:hAnsiTheme="minorHAnsi" w:cstheme="minorHAnsi"/>
                <w:color w:val="000000" w:themeColor="text1"/>
                <w:sz w:val="22"/>
                <w:szCs w:val="22"/>
              </w:rPr>
              <w:t xml:space="preserve">.  </w:t>
            </w:r>
          </w:p>
        </w:tc>
      </w:tr>
    </w:tbl>
    <w:p w14:paraId="22633A6F" w14:textId="15AF2602" w:rsidR="0025293E" w:rsidRDefault="0025293E" w:rsidP="006C5B73">
      <w:pPr>
        <w:rPr>
          <w:b/>
          <w:bCs/>
        </w:rPr>
      </w:pPr>
    </w:p>
    <w:p w14:paraId="7B51CAFA" w14:textId="4B857932" w:rsidR="00016047" w:rsidRDefault="00016047" w:rsidP="006C5B73">
      <w:pPr>
        <w:rPr>
          <w:b/>
          <w:bCs/>
        </w:rPr>
      </w:pPr>
      <w:r>
        <w:rPr>
          <w:b/>
          <w:bCs/>
        </w:rPr>
        <w:t xml:space="preserve">Recommendation 6 </w:t>
      </w:r>
      <w:r w:rsidR="00BB7260">
        <w:rPr>
          <w:b/>
          <w:bCs/>
        </w:rPr>
        <w:t>–</w:t>
      </w:r>
      <w:r>
        <w:rPr>
          <w:b/>
          <w:bCs/>
        </w:rPr>
        <w:t xml:space="preserve"> </w:t>
      </w:r>
      <w:r w:rsidR="00BB7260">
        <w:rPr>
          <w:b/>
          <w:bCs/>
        </w:rPr>
        <w:t>AEMO’s privacy obligations</w:t>
      </w:r>
    </w:p>
    <w:tbl>
      <w:tblPr>
        <w:tblStyle w:val="TableGrid1"/>
        <w:tblW w:w="0" w:type="auto"/>
        <w:tblLook w:val="04A0" w:firstRow="1" w:lastRow="0" w:firstColumn="1" w:lastColumn="0" w:noHBand="0" w:noVBand="1"/>
      </w:tblPr>
      <w:tblGrid>
        <w:gridCol w:w="9060"/>
      </w:tblGrid>
      <w:tr w:rsidR="00BB7260" w:rsidRPr="0025293E" w14:paraId="6CD203BC" w14:textId="77777777" w:rsidTr="00A34516">
        <w:trPr>
          <w:trHeight w:val="1640"/>
        </w:trPr>
        <w:tc>
          <w:tcPr>
            <w:tcW w:w="9060" w:type="dxa"/>
            <w:tcBorders>
              <w:top w:val="single" w:sz="4" w:space="0" w:color="auto"/>
            </w:tcBorders>
            <w:shd w:val="clear" w:color="auto" w:fill="D5E1F1" w:themeFill="accent2" w:themeFillTint="33"/>
          </w:tcPr>
          <w:p w14:paraId="2BD0A121" w14:textId="77777777" w:rsidR="00BB7260" w:rsidRPr="00BB7260" w:rsidRDefault="00BB7260" w:rsidP="00A34516">
            <w:pPr>
              <w:spacing w:before="0" w:after="220" w:line="276" w:lineRule="auto"/>
              <w:contextualSpacing/>
              <w:rPr>
                <w:sz w:val="22"/>
                <w:szCs w:val="22"/>
              </w:rPr>
            </w:pPr>
            <w:r w:rsidRPr="00BB7260">
              <w:rPr>
                <w:sz w:val="22"/>
                <w:szCs w:val="22"/>
              </w:rPr>
              <w:t xml:space="preserve">We recommend that: </w:t>
            </w:r>
          </w:p>
          <w:p w14:paraId="7AC6B2FF" w14:textId="0D2E2872" w:rsidR="00BB7260" w:rsidRPr="00BB7260" w:rsidRDefault="00BB7260" w:rsidP="00BB7260">
            <w:pPr>
              <w:pStyle w:val="Bullet"/>
              <w:rPr>
                <w:rFonts w:asciiTheme="minorHAnsi" w:hAnsiTheme="minorHAnsi" w:cstheme="minorHAnsi"/>
                <w:sz w:val="22"/>
                <w:szCs w:val="22"/>
              </w:rPr>
            </w:pPr>
            <w:r w:rsidRPr="00BB7260">
              <w:rPr>
                <w:sz w:val="22"/>
                <w:szCs w:val="22"/>
              </w:rPr>
              <w:t xml:space="preserve">Treasury consider whether it is appropriate to build flexibility into the CDR Rules so that all of the obligations on Data Holders, including the obligation to comply with all of the Privacy Safeguards, will automatically apply to AEMO if it holds CDR Data from which it could identify a CDR Consumer; and/or </w:t>
            </w:r>
          </w:p>
          <w:p w14:paraId="55B20093" w14:textId="51A609CE" w:rsidR="00BB7260" w:rsidRPr="00BB7260" w:rsidRDefault="00BB7260" w:rsidP="00BB7260">
            <w:pPr>
              <w:pStyle w:val="Bullet"/>
              <w:rPr>
                <w:rFonts w:asciiTheme="minorHAnsi" w:hAnsiTheme="minorHAnsi" w:cstheme="minorHAnsi"/>
                <w:sz w:val="22"/>
                <w:szCs w:val="22"/>
              </w:rPr>
            </w:pPr>
            <w:r w:rsidRPr="00BB7260">
              <w:rPr>
                <w:sz w:val="22"/>
                <w:szCs w:val="22"/>
              </w:rPr>
              <w:t xml:space="preserve">AEMO be required to: </w:t>
            </w:r>
          </w:p>
          <w:p w14:paraId="0EF84066" w14:textId="77777777" w:rsidR="00BB7260" w:rsidRPr="00BB7260" w:rsidRDefault="00BB7260" w:rsidP="00BB7260">
            <w:pPr>
              <w:pStyle w:val="Dash"/>
              <w:rPr>
                <w:rFonts w:asciiTheme="minorHAnsi" w:hAnsiTheme="minorHAnsi" w:cstheme="minorHAnsi"/>
                <w:sz w:val="22"/>
                <w:szCs w:val="22"/>
              </w:rPr>
            </w:pPr>
            <w:r w:rsidRPr="00BB7260">
              <w:rPr>
                <w:sz w:val="22"/>
                <w:szCs w:val="22"/>
              </w:rPr>
              <w:t xml:space="preserve">implement processes and systems to be able to identify if it does become the holder of CDR Data from which a CDR Consumer could be identified by AEMO; and </w:t>
            </w:r>
          </w:p>
          <w:p w14:paraId="0D2F5B66" w14:textId="4EBEF635" w:rsidR="00BB7260" w:rsidRPr="00BB7260" w:rsidRDefault="00BB7260" w:rsidP="00BB7260">
            <w:pPr>
              <w:pStyle w:val="Dash"/>
              <w:rPr>
                <w:rFonts w:asciiTheme="minorHAnsi" w:hAnsiTheme="minorHAnsi" w:cstheme="minorHAnsi"/>
              </w:rPr>
            </w:pPr>
            <w:r w:rsidRPr="00BB7260">
              <w:rPr>
                <w:sz w:val="22"/>
                <w:szCs w:val="22"/>
              </w:rPr>
              <w:t>notify the CDR regulators if this occurs, so that appropriate steps can be taken as a result, if required.</w:t>
            </w:r>
          </w:p>
        </w:tc>
      </w:tr>
      <w:tr w:rsidR="00BB7260" w:rsidRPr="00D72D45" w14:paraId="1AA8C623" w14:textId="77777777" w:rsidTr="00A34516">
        <w:tc>
          <w:tcPr>
            <w:tcW w:w="9060" w:type="dxa"/>
            <w:tcBorders>
              <w:top w:val="single" w:sz="4" w:space="0" w:color="auto"/>
            </w:tcBorders>
            <w:shd w:val="clear" w:color="auto" w:fill="FFFFFF" w:themeFill="background1"/>
          </w:tcPr>
          <w:p w14:paraId="4FE63F87" w14:textId="3D197B13" w:rsidR="00BB7260" w:rsidRPr="00D72D45" w:rsidRDefault="00BB7260" w:rsidP="00A34516">
            <w:pPr>
              <w:spacing w:before="0" w:after="220" w:line="276" w:lineRule="auto"/>
              <w:rPr>
                <w:rFonts w:asciiTheme="minorHAnsi" w:hAnsiTheme="minorHAnsi" w:cstheme="minorHAnsi"/>
                <w:color w:val="000000" w:themeColor="text1"/>
                <w:sz w:val="22"/>
                <w:szCs w:val="22"/>
              </w:rPr>
            </w:pPr>
            <w:r w:rsidRPr="00D72D45">
              <w:rPr>
                <w:rFonts w:asciiTheme="minorHAnsi" w:hAnsiTheme="minorHAnsi" w:cstheme="minorHAnsi"/>
                <w:color w:val="000000" w:themeColor="text1"/>
                <w:sz w:val="22"/>
                <w:szCs w:val="22"/>
              </w:rPr>
              <w:t>Agency response –</w:t>
            </w:r>
            <w:r w:rsidRPr="00D72D45">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Note</w:t>
            </w:r>
          </w:p>
          <w:p w14:paraId="14383D44" w14:textId="181A6181" w:rsidR="00CB5B97" w:rsidRDefault="00711988" w:rsidP="00BB7260">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AEMO’s </w:t>
            </w:r>
            <w:r w:rsidR="004844C1">
              <w:rPr>
                <w:rFonts w:asciiTheme="minorHAnsi" w:hAnsiTheme="minorHAnsi" w:cstheme="minorHAnsi"/>
                <w:color w:val="000000" w:themeColor="text1"/>
                <w:sz w:val="22"/>
                <w:szCs w:val="22"/>
              </w:rPr>
              <w:t xml:space="preserve">existing </w:t>
            </w:r>
            <w:r>
              <w:rPr>
                <w:rFonts w:asciiTheme="minorHAnsi" w:hAnsiTheme="minorHAnsi" w:cstheme="minorHAnsi"/>
                <w:color w:val="000000" w:themeColor="text1"/>
                <w:sz w:val="22"/>
                <w:szCs w:val="22"/>
              </w:rPr>
              <w:t>market systems</w:t>
            </w:r>
            <w:r w:rsidR="00CB5B97">
              <w:rPr>
                <w:rFonts w:asciiTheme="minorHAnsi" w:hAnsiTheme="minorHAnsi" w:cstheme="minorHAnsi"/>
                <w:color w:val="000000" w:themeColor="text1"/>
                <w:sz w:val="22"/>
                <w:szCs w:val="22"/>
              </w:rPr>
              <w:t>, from which CDR data will be shared,</w:t>
            </w:r>
            <w:r>
              <w:rPr>
                <w:rFonts w:asciiTheme="minorHAnsi" w:hAnsiTheme="minorHAnsi" w:cstheme="minorHAnsi"/>
                <w:color w:val="000000" w:themeColor="text1"/>
                <w:sz w:val="22"/>
                <w:szCs w:val="22"/>
              </w:rPr>
              <w:t xml:space="preserve"> do not hold </w:t>
            </w:r>
            <w:r w:rsidR="00CB5B97">
              <w:rPr>
                <w:rFonts w:asciiTheme="minorHAnsi" w:hAnsiTheme="minorHAnsi" w:cstheme="minorHAnsi"/>
                <w:color w:val="000000" w:themeColor="text1"/>
                <w:sz w:val="22"/>
                <w:szCs w:val="22"/>
              </w:rPr>
              <w:t>information that identifies any consumer. As noted above, t</w:t>
            </w:r>
            <w:r w:rsidR="00CB5B97" w:rsidRPr="00E616BC">
              <w:rPr>
                <w:rFonts w:asciiTheme="minorHAnsi" w:hAnsiTheme="minorHAnsi" w:cstheme="minorHAnsi"/>
                <w:color w:val="000000" w:themeColor="text1"/>
                <w:sz w:val="22"/>
                <w:szCs w:val="22"/>
              </w:rPr>
              <w:t xml:space="preserve">he data standards prohibit </w:t>
            </w:r>
            <w:r w:rsidR="00CB5B97">
              <w:rPr>
                <w:rFonts w:asciiTheme="minorHAnsi" w:hAnsiTheme="minorHAnsi" w:cstheme="minorHAnsi"/>
                <w:color w:val="000000" w:themeColor="text1"/>
                <w:sz w:val="22"/>
                <w:szCs w:val="22"/>
              </w:rPr>
              <w:t>a</w:t>
            </w:r>
            <w:r w:rsidR="00CB5B97" w:rsidRPr="00E616BC">
              <w:rPr>
                <w:rFonts w:asciiTheme="minorHAnsi" w:hAnsiTheme="minorHAnsi" w:cstheme="minorHAnsi"/>
                <w:color w:val="000000" w:themeColor="text1"/>
                <w:sz w:val="22"/>
                <w:szCs w:val="22"/>
              </w:rPr>
              <w:t xml:space="preserve"> retailer communicating the identity of the CDR consumer to AEMO when retrieving data. All requests to AEMO must be made using the unique identifier for the customer’s connection point, the National Metering Identifier</w:t>
            </w:r>
            <w:r w:rsidR="007B61D5">
              <w:rPr>
                <w:rFonts w:asciiTheme="minorHAnsi" w:hAnsiTheme="minorHAnsi" w:cstheme="minorHAnsi"/>
                <w:color w:val="000000" w:themeColor="text1"/>
                <w:sz w:val="22"/>
                <w:szCs w:val="22"/>
              </w:rPr>
              <w:t xml:space="preserve"> (NMI)</w:t>
            </w:r>
            <w:r w:rsidR="00CB5B97">
              <w:rPr>
                <w:rFonts w:asciiTheme="minorHAnsi" w:hAnsiTheme="minorHAnsi" w:cstheme="minorHAnsi"/>
                <w:color w:val="000000" w:themeColor="text1"/>
                <w:sz w:val="22"/>
                <w:szCs w:val="22"/>
              </w:rPr>
              <w:t xml:space="preserve">. In these circumstances, the risk that AEMO would </w:t>
            </w:r>
            <w:r w:rsidR="00721C21">
              <w:rPr>
                <w:rFonts w:asciiTheme="minorHAnsi" w:hAnsiTheme="minorHAnsi" w:cstheme="minorHAnsi"/>
                <w:color w:val="000000" w:themeColor="text1"/>
                <w:sz w:val="22"/>
                <w:szCs w:val="22"/>
              </w:rPr>
              <w:t>receive</w:t>
            </w:r>
            <w:r w:rsidR="00882BE3">
              <w:rPr>
                <w:rFonts w:asciiTheme="minorHAnsi" w:hAnsiTheme="minorHAnsi" w:cstheme="minorHAnsi"/>
                <w:color w:val="000000" w:themeColor="text1"/>
                <w:sz w:val="22"/>
                <w:szCs w:val="22"/>
              </w:rPr>
              <w:t xml:space="preserve"> or </w:t>
            </w:r>
            <w:r w:rsidR="00CB5B97">
              <w:rPr>
                <w:rFonts w:asciiTheme="minorHAnsi" w:hAnsiTheme="minorHAnsi" w:cstheme="minorHAnsi"/>
                <w:color w:val="000000" w:themeColor="text1"/>
                <w:sz w:val="22"/>
                <w:szCs w:val="22"/>
              </w:rPr>
              <w:t>hold information from which it could identify a CDR consumer is not material. We do not consider it necessary to implement CDR rules to accommodate situations that are unlikely to occur</w:t>
            </w:r>
            <w:r w:rsidR="006A7550">
              <w:rPr>
                <w:rFonts w:asciiTheme="minorHAnsi" w:hAnsiTheme="minorHAnsi" w:cstheme="minorHAnsi"/>
                <w:color w:val="000000" w:themeColor="text1"/>
                <w:sz w:val="22"/>
                <w:szCs w:val="22"/>
              </w:rPr>
              <w:t>. Further</w:t>
            </w:r>
            <w:r w:rsidR="00B611CE">
              <w:rPr>
                <w:rFonts w:asciiTheme="minorHAnsi" w:hAnsiTheme="minorHAnsi" w:cstheme="minorHAnsi"/>
                <w:color w:val="000000" w:themeColor="text1"/>
                <w:sz w:val="22"/>
                <w:szCs w:val="22"/>
              </w:rPr>
              <w:t xml:space="preserve">, </w:t>
            </w:r>
            <w:r w:rsidR="006A7550">
              <w:rPr>
                <w:rFonts w:asciiTheme="minorHAnsi" w:hAnsiTheme="minorHAnsi" w:cstheme="minorHAnsi"/>
                <w:color w:val="000000" w:themeColor="text1"/>
                <w:sz w:val="22"/>
                <w:szCs w:val="22"/>
              </w:rPr>
              <w:t xml:space="preserve">the automatic application of </w:t>
            </w:r>
            <w:r w:rsidR="00823F06">
              <w:rPr>
                <w:rFonts w:asciiTheme="minorHAnsi" w:hAnsiTheme="minorHAnsi" w:cstheme="minorHAnsi"/>
                <w:color w:val="000000" w:themeColor="text1"/>
                <w:sz w:val="22"/>
                <w:szCs w:val="22"/>
              </w:rPr>
              <w:t xml:space="preserve">some of </w:t>
            </w:r>
            <w:r w:rsidR="006A7550">
              <w:rPr>
                <w:rFonts w:asciiTheme="minorHAnsi" w:hAnsiTheme="minorHAnsi" w:cstheme="minorHAnsi"/>
                <w:color w:val="000000" w:themeColor="text1"/>
                <w:sz w:val="22"/>
                <w:szCs w:val="22"/>
              </w:rPr>
              <w:t>the Privacy Safeguards to AEMO is problematic because AEMO is not a consumer-facing entity</w:t>
            </w:r>
            <w:r w:rsidR="00CB5B97">
              <w:rPr>
                <w:rFonts w:asciiTheme="minorHAnsi" w:hAnsiTheme="minorHAnsi" w:cstheme="minorHAnsi"/>
                <w:color w:val="000000" w:themeColor="text1"/>
                <w:sz w:val="22"/>
                <w:szCs w:val="22"/>
              </w:rPr>
              <w:t>.</w:t>
            </w:r>
            <w:r w:rsidR="00B611CE">
              <w:rPr>
                <w:rFonts w:asciiTheme="minorHAnsi" w:hAnsiTheme="minorHAnsi" w:cstheme="minorHAnsi"/>
                <w:color w:val="000000" w:themeColor="text1"/>
                <w:sz w:val="22"/>
                <w:szCs w:val="22"/>
              </w:rPr>
              <w:t xml:space="preserve"> </w:t>
            </w:r>
          </w:p>
          <w:p w14:paraId="2D77A281" w14:textId="23C775E0" w:rsidR="00B33B55" w:rsidRDefault="006A7550">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 this scenario is highly unlikely to occur, </w:t>
            </w:r>
            <w:r w:rsidR="00882BE3">
              <w:rPr>
                <w:rFonts w:asciiTheme="minorHAnsi" w:hAnsiTheme="minorHAnsi" w:cstheme="minorHAnsi"/>
                <w:color w:val="000000" w:themeColor="text1"/>
                <w:sz w:val="22"/>
                <w:szCs w:val="22"/>
              </w:rPr>
              <w:t>we consider it is unnecessary to mandate process</w:t>
            </w:r>
            <w:r w:rsidR="00823F06">
              <w:rPr>
                <w:rFonts w:asciiTheme="minorHAnsi" w:hAnsiTheme="minorHAnsi" w:cstheme="minorHAnsi"/>
                <w:color w:val="000000" w:themeColor="text1"/>
                <w:sz w:val="22"/>
                <w:szCs w:val="22"/>
              </w:rPr>
              <w:t>es</w:t>
            </w:r>
            <w:r w:rsidR="00882BE3">
              <w:rPr>
                <w:rFonts w:asciiTheme="minorHAnsi" w:hAnsiTheme="minorHAnsi" w:cstheme="minorHAnsi"/>
                <w:color w:val="000000" w:themeColor="text1"/>
                <w:sz w:val="22"/>
                <w:szCs w:val="22"/>
              </w:rPr>
              <w:t xml:space="preserve"> or systems that require AEMO to identify if it becomes the holder of CDR data from which a CDR consumer could be identified.  </w:t>
            </w:r>
            <w:r w:rsidR="004F14E7">
              <w:rPr>
                <w:rFonts w:asciiTheme="minorHAnsi" w:hAnsiTheme="minorHAnsi" w:cstheme="minorHAnsi"/>
                <w:color w:val="000000" w:themeColor="text1"/>
                <w:sz w:val="22"/>
                <w:szCs w:val="22"/>
              </w:rPr>
              <w:t xml:space="preserve">In these circumstances, </w:t>
            </w:r>
            <w:r>
              <w:rPr>
                <w:rFonts w:asciiTheme="minorHAnsi" w:hAnsiTheme="minorHAnsi" w:cstheme="minorHAnsi"/>
                <w:color w:val="000000" w:themeColor="text1"/>
                <w:sz w:val="22"/>
                <w:szCs w:val="22"/>
              </w:rPr>
              <w:t>AEMO’s existing processes and obligations under n</w:t>
            </w:r>
            <w:r w:rsidR="00D20DE4">
              <w:rPr>
                <w:rFonts w:asciiTheme="minorHAnsi" w:hAnsiTheme="minorHAnsi" w:cstheme="minorHAnsi"/>
                <w:color w:val="000000" w:themeColor="text1"/>
                <w:sz w:val="22"/>
                <w:szCs w:val="22"/>
              </w:rPr>
              <w:t>ational energy legislation</w:t>
            </w:r>
            <w:r>
              <w:rPr>
                <w:rFonts w:asciiTheme="minorHAnsi" w:hAnsiTheme="minorHAnsi" w:cstheme="minorHAnsi"/>
                <w:color w:val="000000" w:themeColor="text1"/>
                <w:sz w:val="22"/>
                <w:szCs w:val="22"/>
              </w:rPr>
              <w:t xml:space="preserve"> are </w:t>
            </w:r>
            <w:proofErr w:type="gramStart"/>
            <w:r w:rsidR="00882BE3">
              <w:rPr>
                <w:rFonts w:asciiTheme="minorHAnsi" w:hAnsiTheme="minorHAnsi" w:cstheme="minorHAnsi"/>
                <w:color w:val="000000" w:themeColor="text1"/>
                <w:sz w:val="22"/>
                <w:szCs w:val="22"/>
              </w:rPr>
              <w:t>sufficient</w:t>
            </w:r>
            <w:proofErr w:type="gramEnd"/>
            <w:r w:rsidR="00D20DE4">
              <w:rPr>
                <w:rFonts w:asciiTheme="minorHAnsi" w:hAnsiTheme="minorHAnsi" w:cstheme="minorHAnsi"/>
                <w:color w:val="000000" w:themeColor="text1"/>
                <w:sz w:val="22"/>
                <w:szCs w:val="22"/>
              </w:rPr>
              <w:t xml:space="preserve">. </w:t>
            </w:r>
          </w:p>
          <w:p w14:paraId="1966DFEA" w14:textId="3ABF025C" w:rsidR="00E16C69" w:rsidRPr="00D72D45" w:rsidRDefault="00295C10" w:rsidP="00B478BB">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If AEMO is subject to a regulatory change that affects their data holdings </w:t>
            </w:r>
            <w:r w:rsidR="00823F06">
              <w:rPr>
                <w:rFonts w:asciiTheme="minorHAnsi" w:hAnsiTheme="minorHAnsi" w:cstheme="minorHAnsi"/>
                <w:color w:val="000000" w:themeColor="text1"/>
                <w:sz w:val="22"/>
                <w:szCs w:val="22"/>
              </w:rPr>
              <w:t>such that AEMO could identify individual consumers from its metering data, NMI standing data or DER Register data</w:t>
            </w:r>
            <w:r>
              <w:rPr>
                <w:rFonts w:asciiTheme="minorHAnsi" w:hAnsiTheme="minorHAnsi" w:cstheme="minorHAnsi"/>
                <w:color w:val="000000" w:themeColor="text1"/>
                <w:sz w:val="22"/>
                <w:szCs w:val="22"/>
              </w:rPr>
              <w:t xml:space="preserve">, Treasury considers that would be the appropriate time to consider if amendments to AEMO’s CDR obligations </w:t>
            </w:r>
            <w:r w:rsidR="004F14E7">
              <w:rPr>
                <w:rFonts w:asciiTheme="minorHAnsi" w:hAnsiTheme="minorHAnsi" w:cstheme="minorHAnsi"/>
                <w:color w:val="000000" w:themeColor="text1"/>
                <w:sz w:val="22"/>
                <w:szCs w:val="22"/>
              </w:rPr>
              <w:t>are</w:t>
            </w:r>
            <w:r>
              <w:rPr>
                <w:rFonts w:asciiTheme="minorHAnsi" w:hAnsiTheme="minorHAnsi" w:cstheme="minorHAnsi"/>
                <w:color w:val="000000" w:themeColor="text1"/>
                <w:sz w:val="22"/>
                <w:szCs w:val="22"/>
              </w:rPr>
              <w:t xml:space="preserve"> required. </w:t>
            </w:r>
          </w:p>
        </w:tc>
      </w:tr>
    </w:tbl>
    <w:p w14:paraId="5A875087" w14:textId="25B3E2E3" w:rsidR="00BB7260" w:rsidRDefault="00BB7260" w:rsidP="006C5B73">
      <w:pPr>
        <w:rPr>
          <w:b/>
          <w:bCs/>
        </w:rPr>
      </w:pPr>
    </w:p>
    <w:p w14:paraId="0113D8B0" w14:textId="3C989185" w:rsidR="00D52F9B" w:rsidRDefault="00D52F9B" w:rsidP="006C5B73">
      <w:pPr>
        <w:rPr>
          <w:b/>
          <w:bCs/>
        </w:rPr>
      </w:pPr>
      <w:r>
        <w:rPr>
          <w:b/>
          <w:bCs/>
        </w:rPr>
        <w:t>Recommendation 7 - Consideration of Direct to Consumer requests</w:t>
      </w:r>
    </w:p>
    <w:tbl>
      <w:tblPr>
        <w:tblStyle w:val="TableGrid1"/>
        <w:tblW w:w="0" w:type="auto"/>
        <w:tblLook w:val="04A0" w:firstRow="1" w:lastRow="0" w:firstColumn="1" w:lastColumn="0" w:noHBand="0" w:noVBand="1"/>
      </w:tblPr>
      <w:tblGrid>
        <w:gridCol w:w="9060"/>
      </w:tblGrid>
      <w:tr w:rsidR="00D52F9B" w:rsidRPr="0025293E" w14:paraId="62B0A9EA" w14:textId="77777777" w:rsidTr="00400EE9">
        <w:trPr>
          <w:trHeight w:val="1640"/>
        </w:trPr>
        <w:tc>
          <w:tcPr>
            <w:tcW w:w="9060" w:type="dxa"/>
            <w:tcBorders>
              <w:top w:val="single" w:sz="4" w:space="0" w:color="auto"/>
            </w:tcBorders>
            <w:shd w:val="clear" w:color="auto" w:fill="D5E1F1" w:themeFill="accent2" w:themeFillTint="33"/>
          </w:tcPr>
          <w:p w14:paraId="4FF0C489" w14:textId="04822818" w:rsidR="00D52F9B" w:rsidRPr="00D52F9B" w:rsidRDefault="00D52F9B" w:rsidP="00400EE9">
            <w:pPr>
              <w:spacing w:before="0" w:after="220" w:line="276" w:lineRule="auto"/>
              <w:contextualSpacing/>
              <w:rPr>
                <w:rFonts w:asciiTheme="minorHAnsi" w:hAnsiTheme="minorHAnsi" w:cstheme="minorHAnsi"/>
                <w:sz w:val="22"/>
                <w:szCs w:val="22"/>
              </w:rPr>
            </w:pPr>
            <w:r w:rsidRPr="00D52F9B">
              <w:rPr>
                <w:sz w:val="22"/>
                <w:szCs w:val="22"/>
              </w:rPr>
              <w:t>We recommend that, as part of further consideration of Direct to Consumer requests in the energy sector, a detailed analysis be undertaken to determine the differences (if any) in the data that CDR Consumers can currently access under existing mechanisms, and the CDR Data that CDR Consumers would be able to access if they could make Direct to Consumer Requests. This analysis would assist all parties to understand the potential benefits for CDR Consumers in being able to make Direct to Consumer requests.</w:t>
            </w:r>
          </w:p>
        </w:tc>
      </w:tr>
      <w:tr w:rsidR="00D52F9B" w:rsidRPr="00D72D45" w14:paraId="6474340E" w14:textId="77777777" w:rsidTr="00400EE9">
        <w:tc>
          <w:tcPr>
            <w:tcW w:w="9060" w:type="dxa"/>
            <w:tcBorders>
              <w:top w:val="single" w:sz="4" w:space="0" w:color="auto"/>
            </w:tcBorders>
            <w:shd w:val="clear" w:color="auto" w:fill="FFFFFF" w:themeFill="background1"/>
          </w:tcPr>
          <w:p w14:paraId="2E73504C" w14:textId="1287290F" w:rsidR="00D52F9B" w:rsidRDefault="00D52F9B" w:rsidP="00400EE9">
            <w:pPr>
              <w:spacing w:before="0" w:after="220" w:line="276" w:lineRule="auto"/>
              <w:rPr>
                <w:rFonts w:asciiTheme="minorHAnsi" w:hAnsiTheme="minorHAnsi" w:cstheme="minorHAnsi"/>
                <w:b/>
                <w:bCs/>
                <w:color w:val="000000" w:themeColor="text1"/>
                <w:sz w:val="22"/>
                <w:szCs w:val="22"/>
              </w:rPr>
            </w:pPr>
            <w:r w:rsidRPr="00D72D45">
              <w:rPr>
                <w:rFonts w:asciiTheme="minorHAnsi" w:hAnsiTheme="minorHAnsi" w:cstheme="minorHAnsi"/>
                <w:color w:val="000000" w:themeColor="text1"/>
                <w:sz w:val="22"/>
                <w:szCs w:val="22"/>
              </w:rPr>
              <w:t>Agency response –</w:t>
            </w:r>
            <w:r w:rsidRPr="00D72D45">
              <w:rPr>
                <w:rFonts w:asciiTheme="minorHAnsi" w:hAnsiTheme="minorHAnsi" w:cstheme="minorHAnsi"/>
                <w:b/>
                <w:bCs/>
                <w:color w:val="000000" w:themeColor="text1"/>
                <w:sz w:val="22"/>
                <w:szCs w:val="22"/>
              </w:rPr>
              <w:t xml:space="preserve"> </w:t>
            </w:r>
            <w:r w:rsidR="000F0381">
              <w:rPr>
                <w:rFonts w:asciiTheme="minorHAnsi" w:hAnsiTheme="minorHAnsi" w:cstheme="minorHAnsi"/>
                <w:b/>
                <w:bCs/>
                <w:color w:val="000000" w:themeColor="text1"/>
                <w:sz w:val="22"/>
                <w:szCs w:val="22"/>
              </w:rPr>
              <w:t>Disagree</w:t>
            </w:r>
          </w:p>
          <w:p w14:paraId="447072C6" w14:textId="708D5152" w:rsidR="00395D3B" w:rsidRDefault="0052771C" w:rsidP="00400EE9">
            <w:pPr>
              <w:spacing w:before="0" w:after="220" w:line="276" w:lineRule="auto"/>
              <w:rPr>
                <w:rFonts w:asciiTheme="minorHAnsi" w:hAnsiTheme="minorHAnsi" w:cstheme="minorHAnsi"/>
                <w:color w:val="000000" w:themeColor="text1"/>
                <w:sz w:val="22"/>
                <w:szCs w:val="22"/>
              </w:rPr>
            </w:pPr>
            <w:r w:rsidRPr="0052771C">
              <w:rPr>
                <w:rFonts w:asciiTheme="minorHAnsi" w:hAnsiTheme="minorHAnsi" w:cstheme="minorHAnsi"/>
                <w:color w:val="000000" w:themeColor="text1"/>
                <w:sz w:val="22"/>
                <w:szCs w:val="22"/>
              </w:rPr>
              <w:t>Treasury notes</w:t>
            </w:r>
            <w:r>
              <w:rPr>
                <w:rFonts w:asciiTheme="minorHAnsi" w:hAnsiTheme="minorHAnsi" w:cstheme="minorHAnsi"/>
                <w:color w:val="000000" w:themeColor="text1"/>
                <w:sz w:val="22"/>
                <w:szCs w:val="22"/>
              </w:rPr>
              <w:t xml:space="preserve"> that </w:t>
            </w:r>
            <w:r w:rsidR="00CE064D">
              <w:rPr>
                <w:rFonts w:asciiTheme="minorHAnsi" w:hAnsiTheme="minorHAnsi" w:cstheme="minorHAnsi"/>
                <w:color w:val="000000" w:themeColor="text1"/>
                <w:sz w:val="22"/>
                <w:szCs w:val="22"/>
              </w:rPr>
              <w:t xml:space="preserve">Direct to Consumer requests are not available to CDR consumers in the energy sector, pursuant to </w:t>
            </w:r>
            <w:r w:rsidR="00D52F9B">
              <w:rPr>
                <w:rFonts w:asciiTheme="minorHAnsi" w:hAnsiTheme="minorHAnsi" w:cstheme="minorHAnsi"/>
                <w:color w:val="000000" w:themeColor="text1"/>
                <w:sz w:val="22"/>
                <w:szCs w:val="22"/>
              </w:rPr>
              <w:t xml:space="preserve">rule 8.5 of Schedule 4 </w:t>
            </w:r>
            <w:r w:rsidR="00CE064D">
              <w:rPr>
                <w:rFonts w:asciiTheme="minorHAnsi" w:hAnsiTheme="minorHAnsi" w:cstheme="minorHAnsi"/>
                <w:color w:val="000000" w:themeColor="text1"/>
                <w:sz w:val="22"/>
                <w:szCs w:val="22"/>
              </w:rPr>
              <w:t xml:space="preserve">which </w:t>
            </w:r>
            <w:r w:rsidR="00D52F9B">
              <w:rPr>
                <w:rFonts w:asciiTheme="minorHAnsi" w:hAnsiTheme="minorHAnsi" w:cstheme="minorHAnsi"/>
                <w:color w:val="000000" w:themeColor="text1"/>
                <w:sz w:val="22"/>
                <w:szCs w:val="22"/>
              </w:rPr>
              <w:t xml:space="preserve">provides that Part 3 of the CDR Rules does not apply in relation to energy sector data. </w:t>
            </w:r>
            <w:r w:rsidR="00395D3B">
              <w:rPr>
                <w:rFonts w:asciiTheme="minorHAnsi" w:hAnsiTheme="minorHAnsi" w:cstheme="minorHAnsi"/>
                <w:color w:val="000000" w:themeColor="text1"/>
                <w:sz w:val="22"/>
                <w:szCs w:val="22"/>
              </w:rPr>
              <w:t xml:space="preserve">Treasury notes that there is an existing, detailed regime for Direct to Consumer requests </w:t>
            </w:r>
            <w:r w:rsidR="003024DA">
              <w:rPr>
                <w:rFonts w:asciiTheme="minorHAnsi" w:hAnsiTheme="minorHAnsi" w:cstheme="minorHAnsi"/>
                <w:color w:val="000000" w:themeColor="text1"/>
                <w:sz w:val="22"/>
                <w:szCs w:val="22"/>
              </w:rPr>
              <w:t>for</w:t>
            </w:r>
            <w:r w:rsidR="00395D3B">
              <w:rPr>
                <w:rFonts w:asciiTheme="minorHAnsi" w:hAnsiTheme="minorHAnsi" w:cstheme="minorHAnsi"/>
                <w:color w:val="000000" w:themeColor="text1"/>
                <w:sz w:val="22"/>
                <w:szCs w:val="22"/>
              </w:rPr>
              <w:t xml:space="preserve"> metering and billing data</w:t>
            </w:r>
            <w:r w:rsidR="00592E46">
              <w:rPr>
                <w:rFonts w:asciiTheme="minorHAnsi" w:hAnsiTheme="minorHAnsi" w:cstheme="minorHAnsi"/>
                <w:color w:val="000000" w:themeColor="text1"/>
                <w:sz w:val="22"/>
                <w:szCs w:val="22"/>
              </w:rPr>
              <w:t xml:space="preserve"> under national energy legislation</w:t>
            </w:r>
            <w:r w:rsidR="00F501C2">
              <w:rPr>
                <w:rFonts w:asciiTheme="minorHAnsi" w:hAnsiTheme="minorHAnsi" w:cstheme="minorHAnsi"/>
                <w:color w:val="000000" w:themeColor="text1"/>
                <w:sz w:val="22"/>
                <w:szCs w:val="22"/>
              </w:rPr>
              <w:t xml:space="preserve">, with the legislation </w:t>
            </w:r>
            <w:r w:rsidR="0037610A">
              <w:rPr>
                <w:rFonts w:asciiTheme="minorHAnsi" w:hAnsiTheme="minorHAnsi" w:cstheme="minorHAnsi"/>
                <w:color w:val="000000" w:themeColor="text1"/>
                <w:sz w:val="22"/>
                <w:szCs w:val="22"/>
              </w:rPr>
              <w:t>recently unde</w:t>
            </w:r>
            <w:r w:rsidR="00F501C2">
              <w:rPr>
                <w:rFonts w:asciiTheme="minorHAnsi" w:hAnsiTheme="minorHAnsi" w:cstheme="minorHAnsi"/>
                <w:color w:val="000000" w:themeColor="text1"/>
                <w:sz w:val="22"/>
                <w:szCs w:val="22"/>
              </w:rPr>
              <w:t>rgoing</w:t>
            </w:r>
            <w:r w:rsidR="0037610A">
              <w:rPr>
                <w:rFonts w:asciiTheme="minorHAnsi" w:hAnsiTheme="minorHAnsi" w:cstheme="minorHAnsi"/>
                <w:color w:val="000000" w:themeColor="text1"/>
                <w:sz w:val="22"/>
                <w:szCs w:val="22"/>
              </w:rPr>
              <w:t xml:space="preserve"> </w:t>
            </w:r>
            <w:r w:rsidR="00395D3B">
              <w:rPr>
                <w:rFonts w:asciiTheme="minorHAnsi" w:hAnsiTheme="minorHAnsi" w:cstheme="minorHAnsi"/>
                <w:color w:val="000000" w:themeColor="text1"/>
                <w:sz w:val="22"/>
                <w:szCs w:val="22"/>
              </w:rPr>
              <w:t xml:space="preserve">a consultation </w:t>
            </w:r>
            <w:r w:rsidR="0037610A">
              <w:rPr>
                <w:rFonts w:asciiTheme="minorHAnsi" w:hAnsiTheme="minorHAnsi" w:cstheme="minorHAnsi"/>
                <w:color w:val="000000" w:themeColor="text1"/>
                <w:sz w:val="22"/>
                <w:szCs w:val="22"/>
              </w:rPr>
              <w:t>to</w:t>
            </w:r>
            <w:r w:rsidR="00395D3B">
              <w:rPr>
                <w:rFonts w:asciiTheme="minorHAnsi" w:hAnsiTheme="minorHAnsi" w:cstheme="minorHAnsi"/>
                <w:color w:val="000000" w:themeColor="text1"/>
                <w:sz w:val="22"/>
                <w:szCs w:val="22"/>
              </w:rPr>
              <w:t xml:space="preserve"> extend that regime to </w:t>
            </w:r>
            <w:r w:rsidR="00A72583">
              <w:rPr>
                <w:rFonts w:asciiTheme="minorHAnsi" w:hAnsiTheme="minorHAnsi" w:cstheme="minorHAnsi"/>
                <w:color w:val="000000" w:themeColor="text1"/>
                <w:sz w:val="22"/>
                <w:szCs w:val="22"/>
              </w:rPr>
              <w:t xml:space="preserve">enable consumer </w:t>
            </w:r>
            <w:r w:rsidR="00395D3B">
              <w:rPr>
                <w:rFonts w:asciiTheme="minorHAnsi" w:hAnsiTheme="minorHAnsi" w:cstheme="minorHAnsi"/>
                <w:color w:val="000000" w:themeColor="text1"/>
                <w:sz w:val="22"/>
                <w:szCs w:val="22"/>
              </w:rPr>
              <w:t>access</w:t>
            </w:r>
            <w:r w:rsidR="00A72583">
              <w:rPr>
                <w:rFonts w:asciiTheme="minorHAnsi" w:hAnsiTheme="minorHAnsi" w:cstheme="minorHAnsi"/>
                <w:color w:val="000000" w:themeColor="text1"/>
                <w:sz w:val="22"/>
                <w:szCs w:val="22"/>
              </w:rPr>
              <w:t xml:space="preserve"> to</w:t>
            </w:r>
            <w:r w:rsidR="00395D3B">
              <w:rPr>
                <w:rFonts w:asciiTheme="minorHAnsi" w:hAnsiTheme="minorHAnsi" w:cstheme="minorHAnsi"/>
                <w:color w:val="000000" w:themeColor="text1"/>
                <w:sz w:val="22"/>
                <w:szCs w:val="22"/>
              </w:rPr>
              <w:t xml:space="preserve"> NMI standing data. </w:t>
            </w:r>
          </w:p>
          <w:p w14:paraId="55DEEE99" w14:textId="11E3910D" w:rsidR="00D52F9B" w:rsidRPr="00D72D45" w:rsidRDefault="00395D3B" w:rsidP="00400EE9">
            <w:pPr>
              <w:spacing w:before="0" w:after="2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Accordingly, given the existing rules and policy environment, T</w:t>
            </w:r>
            <w:r w:rsidR="00950A9B">
              <w:rPr>
                <w:rFonts w:asciiTheme="minorHAnsi" w:hAnsiTheme="minorHAnsi" w:cstheme="minorHAnsi"/>
                <w:color w:val="000000" w:themeColor="text1"/>
                <w:sz w:val="22"/>
                <w:szCs w:val="22"/>
              </w:rPr>
              <w:t xml:space="preserve">reasury does not consider it appropriate </w:t>
            </w:r>
            <w:r w:rsidR="00A20332">
              <w:rPr>
                <w:rFonts w:asciiTheme="minorHAnsi" w:hAnsiTheme="minorHAnsi" w:cstheme="minorHAnsi"/>
                <w:color w:val="000000" w:themeColor="text1"/>
                <w:sz w:val="22"/>
                <w:szCs w:val="22"/>
              </w:rPr>
              <w:t xml:space="preserve">to undertake detailed analysis </w:t>
            </w:r>
            <w:proofErr w:type="gramStart"/>
            <w:r w:rsidR="004F14E7">
              <w:rPr>
                <w:rFonts w:asciiTheme="minorHAnsi" w:hAnsiTheme="minorHAnsi" w:cstheme="minorHAnsi"/>
                <w:color w:val="000000" w:themeColor="text1"/>
                <w:sz w:val="22"/>
                <w:szCs w:val="22"/>
              </w:rPr>
              <w:t>at this point in time</w:t>
            </w:r>
            <w:proofErr w:type="gramEnd"/>
            <w:r w:rsidR="00A20332">
              <w:rPr>
                <w:rFonts w:asciiTheme="minorHAnsi" w:hAnsiTheme="minorHAnsi" w:cstheme="minorHAnsi"/>
                <w:color w:val="000000" w:themeColor="text1"/>
                <w:sz w:val="22"/>
                <w:szCs w:val="22"/>
              </w:rPr>
              <w:t xml:space="preserve"> to</w:t>
            </w:r>
            <w:r w:rsidR="00950A9B">
              <w:rPr>
                <w:rFonts w:asciiTheme="minorHAnsi" w:hAnsiTheme="minorHAnsi" w:cstheme="minorHAnsi"/>
                <w:color w:val="000000" w:themeColor="text1"/>
                <w:sz w:val="22"/>
                <w:szCs w:val="22"/>
              </w:rPr>
              <w:t xml:space="preserve"> accommodate </w:t>
            </w:r>
            <w:r w:rsidR="004F14E7">
              <w:rPr>
                <w:rFonts w:asciiTheme="minorHAnsi" w:hAnsiTheme="minorHAnsi" w:cstheme="minorHAnsi"/>
                <w:color w:val="000000" w:themeColor="text1"/>
                <w:sz w:val="22"/>
                <w:szCs w:val="22"/>
              </w:rPr>
              <w:t>the possibility of future changes to the rules on Direct to Consumer requests</w:t>
            </w:r>
            <w:r w:rsidR="00950A9B">
              <w:rPr>
                <w:rFonts w:asciiTheme="minorHAnsi" w:hAnsiTheme="minorHAnsi" w:cstheme="minorHAnsi"/>
                <w:color w:val="000000" w:themeColor="text1"/>
                <w:sz w:val="22"/>
                <w:szCs w:val="22"/>
              </w:rPr>
              <w:t xml:space="preserve">. </w:t>
            </w:r>
          </w:p>
        </w:tc>
      </w:tr>
    </w:tbl>
    <w:p w14:paraId="7EC73560" w14:textId="77777777" w:rsidR="00D52F9B" w:rsidRPr="000328FF" w:rsidRDefault="00D52F9B" w:rsidP="006C5B73">
      <w:pPr>
        <w:rPr>
          <w:b/>
          <w:bCs/>
        </w:rPr>
      </w:pPr>
    </w:p>
    <w:p w14:paraId="13784EA2" w14:textId="3AF0A06C" w:rsidR="0005138B" w:rsidRDefault="0005138B" w:rsidP="00E32B4F"/>
    <w:sectPr w:rsidR="0005138B" w:rsidSect="00EC236D">
      <w:headerReference w:type="even" r:id="rId26"/>
      <w:headerReference w:type="default" r:id="rId27"/>
      <w:footerReference w:type="even" r:id="rId28"/>
      <w:headerReference w:type="first" r:id="rId29"/>
      <w:footerReference w:type="first" r:id="rId3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8D67F" w14:textId="77777777" w:rsidR="008A0709" w:rsidRDefault="008A0709">
      <w:pPr>
        <w:spacing w:before="0" w:after="0"/>
      </w:pPr>
      <w:r>
        <w:separator/>
      </w:r>
    </w:p>
  </w:endnote>
  <w:endnote w:type="continuationSeparator" w:id="0">
    <w:p w14:paraId="3CDFF9BC" w14:textId="77777777" w:rsidR="008A0709" w:rsidRDefault="008A0709">
      <w:pPr>
        <w:spacing w:before="0" w:after="0"/>
      </w:pPr>
      <w:r>
        <w:continuationSeparator/>
      </w:r>
    </w:p>
  </w:endnote>
  <w:endnote w:type="continuationNotice" w:id="1">
    <w:p w14:paraId="7D6D20CE" w14:textId="77777777" w:rsidR="008A0709" w:rsidRDefault="008A07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F674" w14:textId="77777777" w:rsidR="008A0709" w:rsidRDefault="008A0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7965" w14:textId="77777777" w:rsidR="008A0709" w:rsidRPr="00F60198" w:rsidRDefault="008A0709" w:rsidP="00F60198">
    <w:pPr>
      <w:pStyle w:val="FooterOdd"/>
    </w:pPr>
    <w:r w:rsidRPr="00F60198">
      <w:fldChar w:fldCharType="begin"/>
    </w:r>
    <w:r w:rsidRPr="00F60198">
      <w:instrText xml:space="preserve"> PAGE   \* MERGEFORMAT </w:instrText>
    </w:r>
    <w:r w:rsidRPr="00F60198">
      <w:fldChar w:fldCharType="separate"/>
    </w:r>
    <w:r>
      <w:rPr>
        <w:noProof/>
      </w:rPr>
      <w:t>i</w:t>
    </w:r>
    <w:r w:rsidRPr="00F6019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D3CE" w14:textId="77777777" w:rsidR="008A0709" w:rsidRDefault="008A0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7E1E" w14:textId="77777777" w:rsidR="008A0709" w:rsidRPr="00E77C89" w:rsidRDefault="008A0709" w:rsidP="00EE1447">
    <w:pPr>
      <w:pStyle w:val="FooterEven"/>
    </w:pPr>
    <w:r>
      <w:fldChar w:fldCharType="begin"/>
    </w:r>
    <w:r>
      <w:instrText xml:space="preserve"> PAGE  \* Arabic  \* MERGEFORMAT </w:instrText>
    </w:r>
    <w:r>
      <w:fldChar w:fldCharType="separate"/>
    </w:r>
    <w: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D7FD" w14:textId="77777777" w:rsidR="008A0709" w:rsidRDefault="008A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74832" w14:textId="77777777" w:rsidR="008A0709" w:rsidRDefault="008A0709">
      <w:pPr>
        <w:spacing w:before="0" w:after="0"/>
      </w:pPr>
      <w:r>
        <w:separator/>
      </w:r>
    </w:p>
  </w:footnote>
  <w:footnote w:type="continuationSeparator" w:id="0">
    <w:p w14:paraId="3B24D172" w14:textId="77777777" w:rsidR="008A0709" w:rsidRDefault="008A0709">
      <w:pPr>
        <w:spacing w:before="0" w:after="0"/>
      </w:pPr>
      <w:r>
        <w:continuationSeparator/>
      </w:r>
    </w:p>
  </w:footnote>
  <w:footnote w:type="continuationNotice" w:id="1">
    <w:p w14:paraId="714CB650" w14:textId="77777777" w:rsidR="008A0709" w:rsidRDefault="008A070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C315" w14:textId="77777777" w:rsidR="008A0709" w:rsidRDefault="008A0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D8F9" w14:textId="77777777" w:rsidR="008A0709" w:rsidRDefault="008A0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ADC3" w14:textId="77777777" w:rsidR="008A0709" w:rsidRDefault="008A0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8E2AE" w14:textId="06E1128D" w:rsidR="008A0709" w:rsidRPr="001F3912" w:rsidRDefault="003D31C3" w:rsidP="00A12F62">
    <w:pPr>
      <w:pStyle w:val="HeaderEven"/>
    </w:pPr>
    <w:fldSimple w:instr=" STYLEREF  Title  \* MERGEFORMAT ">
      <w:r w:rsidR="00AD1EFF">
        <w:rPr>
          <w:noProof/>
        </w:rPr>
        <w:t>Privacy Impact Assessment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27E9" w14:textId="663C3E25" w:rsidR="008A0709" w:rsidRPr="001F3912" w:rsidRDefault="008A0709" w:rsidP="00A12F62">
    <w:pPr>
      <w:pStyle w:val="HeaderOd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2222" w14:textId="77777777" w:rsidR="008A0709" w:rsidRDefault="008A0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B441EC"/>
    <w:multiLevelType w:val="hybridMultilevel"/>
    <w:tmpl w:val="7048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3" w15:restartNumberingAfterBreak="0">
    <w:nsid w:val="510D2021"/>
    <w:multiLevelType w:val="multilevel"/>
    <w:tmpl w:val="72F8140E"/>
    <w:numStyleLink w:val="OutlineList"/>
  </w:abstractNum>
  <w:abstractNum w:abstractNumId="14"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9"/>
  </w:num>
  <w:num w:numId="2">
    <w:abstractNumId w:val="1"/>
  </w:num>
  <w:num w:numId="3">
    <w:abstractNumId w:val="11"/>
  </w:num>
  <w:num w:numId="4">
    <w:abstractNumId w:val="3"/>
  </w:num>
  <w:num w:numId="5">
    <w:abstractNumId w:val="4"/>
  </w:num>
  <w:num w:numId="6">
    <w:abstractNumId w:val="13"/>
  </w:num>
  <w:num w:numId="7">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7"/>
  </w:num>
  <w:num w:numId="11">
    <w:abstractNumId w:val="16"/>
  </w:num>
  <w:num w:numId="12">
    <w:abstractNumId w:val="13"/>
  </w:num>
  <w:num w:numId="13">
    <w:abstractNumId w:val="17"/>
  </w:num>
  <w:num w:numId="14">
    <w:abstractNumId w:val="12"/>
  </w:num>
  <w:num w:numId="15">
    <w:abstractNumId w:val="6"/>
  </w:num>
  <w:num w:numId="16">
    <w:abstractNumId w:val="14"/>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20"/>
  <w:evenAndOddHeaders/>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AC"/>
    <w:rsid w:val="0000218E"/>
    <w:rsid w:val="00002374"/>
    <w:rsid w:val="00003393"/>
    <w:rsid w:val="00011725"/>
    <w:rsid w:val="00012C62"/>
    <w:rsid w:val="0001396A"/>
    <w:rsid w:val="00016047"/>
    <w:rsid w:val="00024CCE"/>
    <w:rsid w:val="0002544D"/>
    <w:rsid w:val="00025495"/>
    <w:rsid w:val="000328FF"/>
    <w:rsid w:val="0004274D"/>
    <w:rsid w:val="00043348"/>
    <w:rsid w:val="0004483F"/>
    <w:rsid w:val="00050821"/>
    <w:rsid w:val="0005138B"/>
    <w:rsid w:val="000522B7"/>
    <w:rsid w:val="00056880"/>
    <w:rsid w:val="000675D1"/>
    <w:rsid w:val="00070185"/>
    <w:rsid w:val="00073521"/>
    <w:rsid w:val="000775DE"/>
    <w:rsid w:val="00087FAF"/>
    <w:rsid w:val="000937BE"/>
    <w:rsid w:val="000A6BD2"/>
    <w:rsid w:val="000C571D"/>
    <w:rsid w:val="000C5F40"/>
    <w:rsid w:val="000D412F"/>
    <w:rsid w:val="000D574A"/>
    <w:rsid w:val="000E0B74"/>
    <w:rsid w:val="000E7901"/>
    <w:rsid w:val="000F0381"/>
    <w:rsid w:val="000F0B3F"/>
    <w:rsid w:val="0010502B"/>
    <w:rsid w:val="00131DC3"/>
    <w:rsid w:val="00135E4C"/>
    <w:rsid w:val="001373F5"/>
    <w:rsid w:val="00154B35"/>
    <w:rsid w:val="001574C0"/>
    <w:rsid w:val="001606CF"/>
    <w:rsid w:val="0016128D"/>
    <w:rsid w:val="0017089D"/>
    <w:rsid w:val="0019101A"/>
    <w:rsid w:val="001972D2"/>
    <w:rsid w:val="001A0E80"/>
    <w:rsid w:val="001A5DD2"/>
    <w:rsid w:val="001B276B"/>
    <w:rsid w:val="001B3587"/>
    <w:rsid w:val="001C358D"/>
    <w:rsid w:val="001F0CAA"/>
    <w:rsid w:val="001F1B27"/>
    <w:rsid w:val="00206BAC"/>
    <w:rsid w:val="00211049"/>
    <w:rsid w:val="002205D4"/>
    <w:rsid w:val="00221EC0"/>
    <w:rsid w:val="00230C17"/>
    <w:rsid w:val="00231049"/>
    <w:rsid w:val="002314D2"/>
    <w:rsid w:val="0023305C"/>
    <w:rsid w:val="00241881"/>
    <w:rsid w:val="0024294C"/>
    <w:rsid w:val="0025293E"/>
    <w:rsid w:val="002537D7"/>
    <w:rsid w:val="0025652F"/>
    <w:rsid w:val="00261653"/>
    <w:rsid w:val="00263B6C"/>
    <w:rsid w:val="00272939"/>
    <w:rsid w:val="0027590B"/>
    <w:rsid w:val="00285969"/>
    <w:rsid w:val="002912A0"/>
    <w:rsid w:val="00291CA1"/>
    <w:rsid w:val="00292484"/>
    <w:rsid w:val="00295B43"/>
    <w:rsid w:val="00295C10"/>
    <w:rsid w:val="002A41E4"/>
    <w:rsid w:val="002A74EF"/>
    <w:rsid w:val="002B3829"/>
    <w:rsid w:val="002C22EF"/>
    <w:rsid w:val="002E454C"/>
    <w:rsid w:val="002E4E7D"/>
    <w:rsid w:val="002F5CA3"/>
    <w:rsid w:val="002F617F"/>
    <w:rsid w:val="00300109"/>
    <w:rsid w:val="00301755"/>
    <w:rsid w:val="003024DA"/>
    <w:rsid w:val="00303988"/>
    <w:rsid w:val="0030665E"/>
    <w:rsid w:val="00306894"/>
    <w:rsid w:val="003122F4"/>
    <w:rsid w:val="0032178C"/>
    <w:rsid w:val="003268D5"/>
    <w:rsid w:val="003328EB"/>
    <w:rsid w:val="00340609"/>
    <w:rsid w:val="003448F6"/>
    <w:rsid w:val="00350759"/>
    <w:rsid w:val="00354D27"/>
    <w:rsid w:val="0035738A"/>
    <w:rsid w:val="00361A25"/>
    <w:rsid w:val="003724F8"/>
    <w:rsid w:val="0037610A"/>
    <w:rsid w:val="0038247D"/>
    <w:rsid w:val="003858A6"/>
    <w:rsid w:val="00386C98"/>
    <w:rsid w:val="00392DCC"/>
    <w:rsid w:val="00395D3B"/>
    <w:rsid w:val="003A0182"/>
    <w:rsid w:val="003A4F72"/>
    <w:rsid w:val="003A5B36"/>
    <w:rsid w:val="003B61E3"/>
    <w:rsid w:val="003C24B4"/>
    <w:rsid w:val="003C7F34"/>
    <w:rsid w:val="003D31C3"/>
    <w:rsid w:val="003E20D6"/>
    <w:rsid w:val="003E4AC6"/>
    <w:rsid w:val="003E4D87"/>
    <w:rsid w:val="00400EE9"/>
    <w:rsid w:val="00401082"/>
    <w:rsid w:val="00414C4F"/>
    <w:rsid w:val="00416762"/>
    <w:rsid w:val="00416E55"/>
    <w:rsid w:val="00417653"/>
    <w:rsid w:val="00420E4C"/>
    <w:rsid w:val="0042518A"/>
    <w:rsid w:val="004276A0"/>
    <w:rsid w:val="0044144B"/>
    <w:rsid w:val="00445265"/>
    <w:rsid w:val="004559CE"/>
    <w:rsid w:val="00455BCF"/>
    <w:rsid w:val="00460E1A"/>
    <w:rsid w:val="00463DF8"/>
    <w:rsid w:val="00464D63"/>
    <w:rsid w:val="00475085"/>
    <w:rsid w:val="00475650"/>
    <w:rsid w:val="004766DC"/>
    <w:rsid w:val="00476CF6"/>
    <w:rsid w:val="00477AA8"/>
    <w:rsid w:val="00480B9B"/>
    <w:rsid w:val="00481D53"/>
    <w:rsid w:val="004844C1"/>
    <w:rsid w:val="004851D6"/>
    <w:rsid w:val="00487617"/>
    <w:rsid w:val="00492FCB"/>
    <w:rsid w:val="004A0F11"/>
    <w:rsid w:val="004A3EAA"/>
    <w:rsid w:val="004A7D97"/>
    <w:rsid w:val="004B5133"/>
    <w:rsid w:val="004C060C"/>
    <w:rsid w:val="004C41B6"/>
    <w:rsid w:val="004D2010"/>
    <w:rsid w:val="004D6E37"/>
    <w:rsid w:val="004E00EA"/>
    <w:rsid w:val="004F14E7"/>
    <w:rsid w:val="004F22CD"/>
    <w:rsid w:val="004F4B92"/>
    <w:rsid w:val="004F5344"/>
    <w:rsid w:val="005124B1"/>
    <w:rsid w:val="00516785"/>
    <w:rsid w:val="0052419D"/>
    <w:rsid w:val="00525446"/>
    <w:rsid w:val="0052771C"/>
    <w:rsid w:val="00527A70"/>
    <w:rsid w:val="005301F8"/>
    <w:rsid w:val="005312FC"/>
    <w:rsid w:val="0053569E"/>
    <w:rsid w:val="0053603D"/>
    <w:rsid w:val="0053742A"/>
    <w:rsid w:val="00537C85"/>
    <w:rsid w:val="00541D29"/>
    <w:rsid w:val="0054413F"/>
    <w:rsid w:val="005452AC"/>
    <w:rsid w:val="005476CB"/>
    <w:rsid w:val="00562F17"/>
    <w:rsid w:val="0056582C"/>
    <w:rsid w:val="005868DE"/>
    <w:rsid w:val="005877AC"/>
    <w:rsid w:val="00592E46"/>
    <w:rsid w:val="005966B7"/>
    <w:rsid w:val="005B0797"/>
    <w:rsid w:val="005B5E2A"/>
    <w:rsid w:val="005C02A4"/>
    <w:rsid w:val="005C119B"/>
    <w:rsid w:val="005C2084"/>
    <w:rsid w:val="005C20D2"/>
    <w:rsid w:val="005C32FE"/>
    <w:rsid w:val="005C503A"/>
    <w:rsid w:val="005C5B1C"/>
    <w:rsid w:val="005D024A"/>
    <w:rsid w:val="005D31AB"/>
    <w:rsid w:val="005D4FD4"/>
    <w:rsid w:val="005D6D64"/>
    <w:rsid w:val="005F2E6A"/>
    <w:rsid w:val="005F50BB"/>
    <w:rsid w:val="00601650"/>
    <w:rsid w:val="00604EEF"/>
    <w:rsid w:val="00605AFD"/>
    <w:rsid w:val="00606E4C"/>
    <w:rsid w:val="006123D4"/>
    <w:rsid w:val="00612647"/>
    <w:rsid w:val="0061445B"/>
    <w:rsid w:val="00624C4B"/>
    <w:rsid w:val="006315B3"/>
    <w:rsid w:val="006379AA"/>
    <w:rsid w:val="006564D3"/>
    <w:rsid w:val="00664FB9"/>
    <w:rsid w:val="00670701"/>
    <w:rsid w:val="0067622C"/>
    <w:rsid w:val="00682089"/>
    <w:rsid w:val="00683ED9"/>
    <w:rsid w:val="00685CF7"/>
    <w:rsid w:val="00686165"/>
    <w:rsid w:val="00691CB5"/>
    <w:rsid w:val="006923DF"/>
    <w:rsid w:val="00696ED7"/>
    <w:rsid w:val="006A37F5"/>
    <w:rsid w:val="006A74C9"/>
    <w:rsid w:val="006A7550"/>
    <w:rsid w:val="006B38FF"/>
    <w:rsid w:val="006C1892"/>
    <w:rsid w:val="006C5B73"/>
    <w:rsid w:val="006C645D"/>
    <w:rsid w:val="006D028F"/>
    <w:rsid w:val="006D2297"/>
    <w:rsid w:val="006D69A8"/>
    <w:rsid w:val="006E0596"/>
    <w:rsid w:val="006E2D2A"/>
    <w:rsid w:val="006E3CC3"/>
    <w:rsid w:val="007010DC"/>
    <w:rsid w:val="00706E8E"/>
    <w:rsid w:val="00711988"/>
    <w:rsid w:val="00721C21"/>
    <w:rsid w:val="00722B53"/>
    <w:rsid w:val="00723815"/>
    <w:rsid w:val="007255A3"/>
    <w:rsid w:val="007331C0"/>
    <w:rsid w:val="00736ECA"/>
    <w:rsid w:val="007509DD"/>
    <w:rsid w:val="00757C5C"/>
    <w:rsid w:val="00763474"/>
    <w:rsid w:val="007644C7"/>
    <w:rsid w:val="00766ED3"/>
    <w:rsid w:val="00784C0A"/>
    <w:rsid w:val="00794B40"/>
    <w:rsid w:val="007953DA"/>
    <w:rsid w:val="007A1079"/>
    <w:rsid w:val="007B2677"/>
    <w:rsid w:val="007B61D5"/>
    <w:rsid w:val="007B6498"/>
    <w:rsid w:val="007B76AB"/>
    <w:rsid w:val="007C66A0"/>
    <w:rsid w:val="007D344F"/>
    <w:rsid w:val="007D42B9"/>
    <w:rsid w:val="007D592B"/>
    <w:rsid w:val="007D5AA6"/>
    <w:rsid w:val="007D7A91"/>
    <w:rsid w:val="007E0AB4"/>
    <w:rsid w:val="007E6456"/>
    <w:rsid w:val="007F2FC5"/>
    <w:rsid w:val="007F2FEB"/>
    <w:rsid w:val="00800206"/>
    <w:rsid w:val="008021EB"/>
    <w:rsid w:val="00807751"/>
    <w:rsid w:val="00811943"/>
    <w:rsid w:val="008173FC"/>
    <w:rsid w:val="00823F06"/>
    <w:rsid w:val="0083011E"/>
    <w:rsid w:val="008311B8"/>
    <w:rsid w:val="00834243"/>
    <w:rsid w:val="00851E44"/>
    <w:rsid w:val="00857969"/>
    <w:rsid w:val="00867359"/>
    <w:rsid w:val="00870E3B"/>
    <w:rsid w:val="0087540D"/>
    <w:rsid w:val="0088065A"/>
    <w:rsid w:val="00882BE3"/>
    <w:rsid w:val="00882CC4"/>
    <w:rsid w:val="008844AC"/>
    <w:rsid w:val="00884557"/>
    <w:rsid w:val="008865C6"/>
    <w:rsid w:val="008A0709"/>
    <w:rsid w:val="008A6BFF"/>
    <w:rsid w:val="008B2366"/>
    <w:rsid w:val="008C6D1E"/>
    <w:rsid w:val="008C7F71"/>
    <w:rsid w:val="008D339F"/>
    <w:rsid w:val="008D36A8"/>
    <w:rsid w:val="008E3811"/>
    <w:rsid w:val="008E6292"/>
    <w:rsid w:val="008E71E0"/>
    <w:rsid w:val="008F23EB"/>
    <w:rsid w:val="008F2AAC"/>
    <w:rsid w:val="00904D1E"/>
    <w:rsid w:val="00912101"/>
    <w:rsid w:val="00917E28"/>
    <w:rsid w:val="009242A6"/>
    <w:rsid w:val="00925AA5"/>
    <w:rsid w:val="009303B2"/>
    <w:rsid w:val="0093540D"/>
    <w:rsid w:val="0094019D"/>
    <w:rsid w:val="00942C11"/>
    <w:rsid w:val="0094351F"/>
    <w:rsid w:val="00950A9B"/>
    <w:rsid w:val="00951CE9"/>
    <w:rsid w:val="009547F8"/>
    <w:rsid w:val="009729D4"/>
    <w:rsid w:val="00976FBD"/>
    <w:rsid w:val="00980759"/>
    <w:rsid w:val="009817B0"/>
    <w:rsid w:val="009821CE"/>
    <w:rsid w:val="00982630"/>
    <w:rsid w:val="00987317"/>
    <w:rsid w:val="009A277C"/>
    <w:rsid w:val="009A3428"/>
    <w:rsid w:val="009A5BED"/>
    <w:rsid w:val="009A658F"/>
    <w:rsid w:val="009B0F84"/>
    <w:rsid w:val="009C6648"/>
    <w:rsid w:val="009D05AD"/>
    <w:rsid w:val="009E171B"/>
    <w:rsid w:val="009F11E8"/>
    <w:rsid w:val="009F3BA5"/>
    <w:rsid w:val="009F6A6C"/>
    <w:rsid w:val="00A003E7"/>
    <w:rsid w:val="00A015E8"/>
    <w:rsid w:val="00A07D47"/>
    <w:rsid w:val="00A1060D"/>
    <w:rsid w:val="00A12F62"/>
    <w:rsid w:val="00A14B6B"/>
    <w:rsid w:val="00A14FE9"/>
    <w:rsid w:val="00A20332"/>
    <w:rsid w:val="00A34516"/>
    <w:rsid w:val="00A3749B"/>
    <w:rsid w:val="00A37D87"/>
    <w:rsid w:val="00A40292"/>
    <w:rsid w:val="00A50683"/>
    <w:rsid w:val="00A50D88"/>
    <w:rsid w:val="00A5508A"/>
    <w:rsid w:val="00A56923"/>
    <w:rsid w:val="00A62E42"/>
    <w:rsid w:val="00A64A71"/>
    <w:rsid w:val="00A72583"/>
    <w:rsid w:val="00A72960"/>
    <w:rsid w:val="00A72D8F"/>
    <w:rsid w:val="00A82F7E"/>
    <w:rsid w:val="00A93401"/>
    <w:rsid w:val="00AA522C"/>
    <w:rsid w:val="00AA683A"/>
    <w:rsid w:val="00AA6929"/>
    <w:rsid w:val="00AB0427"/>
    <w:rsid w:val="00AB1AD3"/>
    <w:rsid w:val="00AB3C4F"/>
    <w:rsid w:val="00AB45A9"/>
    <w:rsid w:val="00AB56E7"/>
    <w:rsid w:val="00AC3196"/>
    <w:rsid w:val="00AC44D0"/>
    <w:rsid w:val="00AC7A11"/>
    <w:rsid w:val="00AD0537"/>
    <w:rsid w:val="00AD14CA"/>
    <w:rsid w:val="00AD1EFF"/>
    <w:rsid w:val="00AD4FA4"/>
    <w:rsid w:val="00AD739E"/>
    <w:rsid w:val="00AE2F90"/>
    <w:rsid w:val="00AF6354"/>
    <w:rsid w:val="00B02E24"/>
    <w:rsid w:val="00B03DD6"/>
    <w:rsid w:val="00B05937"/>
    <w:rsid w:val="00B124AA"/>
    <w:rsid w:val="00B262EC"/>
    <w:rsid w:val="00B33B55"/>
    <w:rsid w:val="00B3583B"/>
    <w:rsid w:val="00B36132"/>
    <w:rsid w:val="00B37A8F"/>
    <w:rsid w:val="00B478BB"/>
    <w:rsid w:val="00B523D2"/>
    <w:rsid w:val="00B54410"/>
    <w:rsid w:val="00B552C0"/>
    <w:rsid w:val="00B611CE"/>
    <w:rsid w:val="00B65347"/>
    <w:rsid w:val="00B65DE1"/>
    <w:rsid w:val="00B672F6"/>
    <w:rsid w:val="00B87927"/>
    <w:rsid w:val="00B94862"/>
    <w:rsid w:val="00BB0D5B"/>
    <w:rsid w:val="00BB24ED"/>
    <w:rsid w:val="00BB7260"/>
    <w:rsid w:val="00BD26AA"/>
    <w:rsid w:val="00BD2759"/>
    <w:rsid w:val="00BD454F"/>
    <w:rsid w:val="00BD4D14"/>
    <w:rsid w:val="00BE50A9"/>
    <w:rsid w:val="00BF2473"/>
    <w:rsid w:val="00BF3F5F"/>
    <w:rsid w:val="00BF4FFE"/>
    <w:rsid w:val="00C01DCC"/>
    <w:rsid w:val="00C07542"/>
    <w:rsid w:val="00C13281"/>
    <w:rsid w:val="00C202B3"/>
    <w:rsid w:val="00C2185F"/>
    <w:rsid w:val="00C21EE0"/>
    <w:rsid w:val="00C24081"/>
    <w:rsid w:val="00C25DC4"/>
    <w:rsid w:val="00C30297"/>
    <w:rsid w:val="00C569A7"/>
    <w:rsid w:val="00C64D3C"/>
    <w:rsid w:val="00C72318"/>
    <w:rsid w:val="00C724E6"/>
    <w:rsid w:val="00C74012"/>
    <w:rsid w:val="00C747A5"/>
    <w:rsid w:val="00C77AE7"/>
    <w:rsid w:val="00C83B74"/>
    <w:rsid w:val="00C85314"/>
    <w:rsid w:val="00C85EA7"/>
    <w:rsid w:val="00C90F44"/>
    <w:rsid w:val="00C92CAE"/>
    <w:rsid w:val="00C93F1E"/>
    <w:rsid w:val="00CA0116"/>
    <w:rsid w:val="00CA4BC0"/>
    <w:rsid w:val="00CA5CA8"/>
    <w:rsid w:val="00CA7ADD"/>
    <w:rsid w:val="00CB0157"/>
    <w:rsid w:val="00CB2A53"/>
    <w:rsid w:val="00CB5205"/>
    <w:rsid w:val="00CB5B97"/>
    <w:rsid w:val="00CC2E2E"/>
    <w:rsid w:val="00CC559D"/>
    <w:rsid w:val="00CD654B"/>
    <w:rsid w:val="00CD75F9"/>
    <w:rsid w:val="00CE064D"/>
    <w:rsid w:val="00CE223E"/>
    <w:rsid w:val="00CE5122"/>
    <w:rsid w:val="00CE5744"/>
    <w:rsid w:val="00CF0AD5"/>
    <w:rsid w:val="00CF3F0D"/>
    <w:rsid w:val="00D101F7"/>
    <w:rsid w:val="00D128C2"/>
    <w:rsid w:val="00D145F5"/>
    <w:rsid w:val="00D20DE4"/>
    <w:rsid w:val="00D355F0"/>
    <w:rsid w:val="00D43AC8"/>
    <w:rsid w:val="00D46C7C"/>
    <w:rsid w:val="00D52F9B"/>
    <w:rsid w:val="00D56113"/>
    <w:rsid w:val="00D56E12"/>
    <w:rsid w:val="00D658E3"/>
    <w:rsid w:val="00D713BB"/>
    <w:rsid w:val="00D72D45"/>
    <w:rsid w:val="00D74323"/>
    <w:rsid w:val="00D833D9"/>
    <w:rsid w:val="00D83BD9"/>
    <w:rsid w:val="00D942F3"/>
    <w:rsid w:val="00D94DCF"/>
    <w:rsid w:val="00D94EAE"/>
    <w:rsid w:val="00DA586F"/>
    <w:rsid w:val="00DB08DA"/>
    <w:rsid w:val="00DB6AE9"/>
    <w:rsid w:val="00DB7F09"/>
    <w:rsid w:val="00DC00E8"/>
    <w:rsid w:val="00DC1C56"/>
    <w:rsid w:val="00DC404D"/>
    <w:rsid w:val="00DC4756"/>
    <w:rsid w:val="00DC6379"/>
    <w:rsid w:val="00DC659F"/>
    <w:rsid w:val="00DD43D5"/>
    <w:rsid w:val="00DE399F"/>
    <w:rsid w:val="00DE3C77"/>
    <w:rsid w:val="00DE5833"/>
    <w:rsid w:val="00DF6F61"/>
    <w:rsid w:val="00E00E2B"/>
    <w:rsid w:val="00E0149D"/>
    <w:rsid w:val="00E03154"/>
    <w:rsid w:val="00E03AF9"/>
    <w:rsid w:val="00E07A39"/>
    <w:rsid w:val="00E101C6"/>
    <w:rsid w:val="00E16C69"/>
    <w:rsid w:val="00E22D51"/>
    <w:rsid w:val="00E32B4F"/>
    <w:rsid w:val="00E428AC"/>
    <w:rsid w:val="00E50E7C"/>
    <w:rsid w:val="00E51545"/>
    <w:rsid w:val="00E51D9E"/>
    <w:rsid w:val="00E537D1"/>
    <w:rsid w:val="00E567E6"/>
    <w:rsid w:val="00E56971"/>
    <w:rsid w:val="00E57311"/>
    <w:rsid w:val="00E61484"/>
    <w:rsid w:val="00E711D7"/>
    <w:rsid w:val="00E815E1"/>
    <w:rsid w:val="00E902B0"/>
    <w:rsid w:val="00E902E8"/>
    <w:rsid w:val="00EA1061"/>
    <w:rsid w:val="00EA23AC"/>
    <w:rsid w:val="00EA7C3D"/>
    <w:rsid w:val="00EB45B5"/>
    <w:rsid w:val="00EB6878"/>
    <w:rsid w:val="00EC01FA"/>
    <w:rsid w:val="00EC1E0E"/>
    <w:rsid w:val="00EC236D"/>
    <w:rsid w:val="00EC6B16"/>
    <w:rsid w:val="00ED34D4"/>
    <w:rsid w:val="00ED3AF2"/>
    <w:rsid w:val="00ED7448"/>
    <w:rsid w:val="00ED7B74"/>
    <w:rsid w:val="00EE1447"/>
    <w:rsid w:val="00EE42C2"/>
    <w:rsid w:val="00EF145E"/>
    <w:rsid w:val="00EF2BBB"/>
    <w:rsid w:val="00F0032B"/>
    <w:rsid w:val="00F0082D"/>
    <w:rsid w:val="00F015AB"/>
    <w:rsid w:val="00F03A6A"/>
    <w:rsid w:val="00F06060"/>
    <w:rsid w:val="00F07C90"/>
    <w:rsid w:val="00F1514C"/>
    <w:rsid w:val="00F155E1"/>
    <w:rsid w:val="00F242E5"/>
    <w:rsid w:val="00F33DB8"/>
    <w:rsid w:val="00F344B8"/>
    <w:rsid w:val="00F501C2"/>
    <w:rsid w:val="00F51CCA"/>
    <w:rsid w:val="00F57BED"/>
    <w:rsid w:val="00F60198"/>
    <w:rsid w:val="00F7613A"/>
    <w:rsid w:val="00F80328"/>
    <w:rsid w:val="00F82746"/>
    <w:rsid w:val="00F836F9"/>
    <w:rsid w:val="00F845D7"/>
    <w:rsid w:val="00F87039"/>
    <w:rsid w:val="00F92279"/>
    <w:rsid w:val="00F92CE8"/>
    <w:rsid w:val="00F93C00"/>
    <w:rsid w:val="00F97FF0"/>
    <w:rsid w:val="00FB46DF"/>
    <w:rsid w:val="00FB4D21"/>
    <w:rsid w:val="00FB762B"/>
    <w:rsid w:val="00FC6ADA"/>
    <w:rsid w:val="00FF44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17F83F"/>
  <w15:docId w15:val="{1C0F583C-43EC-4F76-B888-C73518A1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qFormat/>
    <w:rsid w:val="006564D3"/>
    <w:pPr>
      <w:outlineLvl w:val="3"/>
    </w:pPr>
    <w:rPr>
      <w:bCs w:val="0"/>
      <w:color w:val="3A6FAF" w:themeColor="accent2"/>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semiHidden/>
    <w:unhideWhenUsed/>
    <w:qFormat/>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6564D3"/>
    <w:pPr>
      <w:keepNext/>
      <w:spacing w:before="0" w:after="360"/>
    </w:pPr>
    <w:rPr>
      <w:color w:val="00818F" w:themeColor="accent5"/>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6564D3"/>
    <w:pPr>
      <w:spacing w:before="0" w:after="300"/>
      <w:contextualSpacing/>
    </w:pPr>
    <w:rPr>
      <w:rFonts w:eastAsiaTheme="majorEastAsia" w:cstheme="majorBidi"/>
      <w:b/>
      <w:color w:val="002C47" w:themeColor="accent1"/>
      <w:spacing w:val="5"/>
      <w:kern w:val="28"/>
      <w:sz w:val="72"/>
      <w:szCs w:val="52"/>
    </w:rPr>
  </w:style>
  <w:style w:type="character" w:customStyle="1" w:styleId="TitleChar">
    <w:name w:val="Title Char"/>
    <w:basedOn w:val="DefaultParagraphFont"/>
    <w:link w:val="Title"/>
    <w:uiPriority w:val="10"/>
    <w:rsid w:val="006564D3"/>
    <w:rPr>
      <w:rFonts w:ascii="Calibri" w:eastAsiaTheme="majorEastAsia" w:hAnsi="Calibri" w:cstheme="majorBidi"/>
      <w:b/>
      <w:color w:val="002C47" w:themeColor="accent1"/>
      <w:spacing w:val="5"/>
      <w:kern w:val="28"/>
      <w:sz w:val="72"/>
      <w:szCs w:val="52"/>
      <w:lang w:eastAsia="en-AU"/>
    </w:rPr>
  </w:style>
  <w:style w:type="paragraph" w:styleId="Subtitle">
    <w:name w:val="Subtitle"/>
    <w:basedOn w:val="Normal"/>
    <w:next w:val="Normal"/>
    <w:link w:val="SubtitleChar"/>
    <w:uiPriority w:val="11"/>
    <w:qFormat/>
    <w:rsid w:val="006923DF"/>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6923DF"/>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6564D3"/>
    <w:rPr>
      <w:rFonts w:ascii="Calibri" w:eastAsia="Times New Roman" w:hAnsi="Calibri" w:cs="Times New Roman"/>
      <w:color w:val="00818F" w:themeColor="accent5"/>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table" w:customStyle="1" w:styleId="TableGrid1">
    <w:name w:val="Table Grid1"/>
    <w:basedOn w:val="TableNormal"/>
    <w:next w:val="TableGrid"/>
    <w:rsid w:val="00F0606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CE8"/>
    <w:rPr>
      <w:sz w:val="16"/>
      <w:szCs w:val="16"/>
    </w:rPr>
  </w:style>
  <w:style w:type="paragraph" w:styleId="CommentText">
    <w:name w:val="annotation text"/>
    <w:basedOn w:val="Normal"/>
    <w:link w:val="CommentTextChar"/>
    <w:uiPriority w:val="99"/>
    <w:semiHidden/>
    <w:unhideWhenUsed/>
    <w:rsid w:val="00F92CE8"/>
    <w:rPr>
      <w:sz w:val="20"/>
    </w:rPr>
  </w:style>
  <w:style w:type="character" w:customStyle="1" w:styleId="CommentTextChar">
    <w:name w:val="Comment Text Char"/>
    <w:basedOn w:val="DefaultParagraphFont"/>
    <w:link w:val="CommentText"/>
    <w:uiPriority w:val="99"/>
    <w:semiHidden/>
    <w:rsid w:val="00F92CE8"/>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92CE8"/>
    <w:rPr>
      <w:b/>
      <w:bCs/>
    </w:rPr>
  </w:style>
  <w:style w:type="character" w:customStyle="1" w:styleId="CommentSubjectChar">
    <w:name w:val="Comment Subject Char"/>
    <w:basedOn w:val="CommentTextChar"/>
    <w:link w:val="CommentSubject"/>
    <w:uiPriority w:val="99"/>
    <w:semiHidden/>
    <w:rsid w:val="00F92CE8"/>
    <w:rPr>
      <w:rFonts w:ascii="Calibri" w:eastAsia="Times New Roman" w:hAnsi="Calibri" w:cs="Times New Roman"/>
      <w:b/>
      <w:bCs/>
      <w:sz w:val="20"/>
      <w:szCs w:val="20"/>
      <w:lang w:eastAsia="en-AU"/>
    </w:rPr>
  </w:style>
  <w:style w:type="character" w:styleId="UnresolvedMention">
    <w:name w:val="Unresolved Mention"/>
    <w:basedOn w:val="DefaultParagraphFont"/>
    <w:uiPriority w:val="99"/>
    <w:semiHidden/>
    <w:unhideWhenUsed/>
    <w:rsid w:val="00F92CE8"/>
    <w:rPr>
      <w:color w:val="605E5C"/>
      <w:shd w:val="clear" w:color="auto" w:fill="E1DFDD"/>
    </w:rPr>
  </w:style>
  <w:style w:type="character" w:customStyle="1" w:styleId="DashChar">
    <w:name w:val="Dash Char"/>
    <w:basedOn w:val="DefaultParagraphFont"/>
    <w:link w:val="Dash"/>
    <w:rsid w:val="00F92CE8"/>
    <w:rPr>
      <w:rFonts w:ascii="Calibri" w:eastAsia="Times New Roman" w:hAnsi="Calibri" w:cs="Times New Roman"/>
      <w:szCs w:val="20"/>
      <w:lang w:eastAsia="en-AU"/>
    </w:rPr>
  </w:style>
  <w:style w:type="paragraph" w:styleId="Revision">
    <w:name w:val="Revision"/>
    <w:hidden/>
    <w:uiPriority w:val="99"/>
    <w:semiHidden/>
    <w:rsid w:val="002205D4"/>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pmc.gov.au/government/commonwealth-coat-ar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hyperlink" Target="mailto:media@treasury.gov.au"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legalcode"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3.0/au/deed.en"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2602" ma:contentTypeDescription="" ma:contentTypeScope="" ma:versionID="66b35f03ada16914765900665398ce9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2021MG-133-60239</_dlc_DocId>
    <_dlc_DocIdUrl xmlns="0f563589-9cf9-4143-b1eb-fb0534803d38">
      <Url>http://tweb/sites/mg/sbccpd/_layouts/15/DocIdRedir.aspx?ID=2021MG-133-60239</Url>
      <Description>2021MG-133-60239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4786-20E2-4CB9-A107-953E4FA90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0EDCF-6653-43C0-B78A-8D00CE992460}">
  <ds:schemaRefs>
    <ds:schemaRef ds:uri="http://schemas.microsoft.com/sharepoint/v3/contenttype/forms"/>
  </ds:schemaRefs>
</ds:datastoreItem>
</file>

<file path=customXml/itemProps3.xml><?xml version="1.0" encoding="utf-8"?>
<ds:datastoreItem xmlns:ds="http://schemas.openxmlformats.org/officeDocument/2006/customXml" ds:itemID="{27F2ADE6-800C-492E-BC34-961699B91F56}">
  <ds:schemaRefs>
    <ds:schemaRef ds:uri="office.server.policy"/>
  </ds:schemaRefs>
</ds:datastoreItem>
</file>

<file path=customXml/itemProps4.xml><?xml version="1.0" encoding="utf-8"?>
<ds:datastoreItem xmlns:ds="http://schemas.openxmlformats.org/officeDocument/2006/customXml" ds:itemID="{5D6AA324-90AB-4E5E-9140-CAD02404DFB2}">
  <ds:schemaRefs>
    <ds:schemaRef ds:uri="http://schemas.microsoft.com/sharepoint/events"/>
  </ds:schemaRefs>
</ds:datastoreItem>
</file>

<file path=customXml/itemProps5.xml><?xml version="1.0" encoding="utf-8"?>
<ds:datastoreItem xmlns:ds="http://schemas.openxmlformats.org/officeDocument/2006/customXml" ds:itemID="{2DC534DE-9001-410E-974E-AB64060031BE}">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d4dd4adf-ddb3-46a3-8d7c-fab3fb2a6bc7"/>
    <ds:schemaRef ds:uri="http://www.w3.org/XML/1998/namespace"/>
    <ds:schemaRef ds:uri="http://purl.org/dc/dcmitype/"/>
  </ds:schemaRefs>
</ds:datastoreItem>
</file>

<file path=customXml/itemProps6.xml><?xml version="1.0" encoding="utf-8"?>
<ds:datastoreItem xmlns:ds="http://schemas.openxmlformats.org/officeDocument/2006/customXml" ds:itemID="{311F999A-7684-4071-8DCE-D118F51F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3</TotalTime>
  <Pages>7</Pages>
  <Words>2341</Words>
  <Characters>12499</Characters>
  <Application>Microsoft Office Word</Application>
  <DocSecurity>0</DocSecurity>
  <Lines>215</Lines>
  <Paragraphs>65</Paragraphs>
  <ScaleCrop>false</ScaleCrop>
  <HeadingPairs>
    <vt:vector size="2" baseType="variant">
      <vt:variant>
        <vt:lpstr>Title</vt:lpstr>
      </vt:variant>
      <vt:variant>
        <vt:i4>1</vt:i4>
      </vt:variant>
    </vt:vector>
  </HeadingPairs>
  <TitlesOfParts>
    <vt:vector size="1" baseType="lpstr">
      <vt:lpstr>Privacy Impact Assessment Agency Response - November 2021</vt:lpstr>
    </vt:vector>
  </TitlesOfParts>
  <Company>Australian Government - The Treasury</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Agency Response - November 2021</dc:title>
  <dc:creator>Treasury</dc:creator>
  <cp:keywords/>
  <cp:lastModifiedBy>Hill, Christine</cp:lastModifiedBy>
  <cp:revision>3</cp:revision>
  <cp:lastPrinted>2019-05-17T02:37:00Z</cp:lastPrinted>
  <dcterms:created xsi:type="dcterms:W3CDTF">2021-11-26T04:46:00Z</dcterms:created>
  <dcterms:modified xsi:type="dcterms:W3CDTF">2021-11-26T05:31:00Z</dcterms:modified>
  <cp:category/>
</cp:coreProperties>
</file>