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15B0A" w14:textId="77777777" w:rsidR="000E0B74" w:rsidRPr="006D0240" w:rsidRDefault="000E0B74" w:rsidP="008E6292">
      <w:bookmarkStart w:id="0" w:name="_GoBack"/>
      <w:bookmarkEnd w:id="0"/>
    </w:p>
    <w:p w14:paraId="6E4E4C85" w14:textId="77777777" w:rsidR="000E0B74" w:rsidRPr="006D0240" w:rsidRDefault="000E0B74" w:rsidP="001D4EAA">
      <w:pPr>
        <w:pStyle w:val="Crest"/>
        <w:spacing w:after="1320"/>
        <w:jc w:val="left"/>
      </w:pPr>
    </w:p>
    <w:p w14:paraId="4CDA8BDE" w14:textId="74FCDF74" w:rsidR="000E0B74" w:rsidRPr="00B916D2" w:rsidRDefault="00A672AF" w:rsidP="001D4EAA">
      <w:pPr>
        <w:pStyle w:val="Title"/>
        <w:rPr>
          <w:color w:val="002C47" w:themeColor="accent1"/>
        </w:rPr>
      </w:pPr>
      <w:r w:rsidRPr="00B916D2">
        <w:rPr>
          <w:color w:val="002C47" w:themeColor="accent1"/>
        </w:rPr>
        <w:t>Regional Banking Taskforce</w:t>
      </w:r>
    </w:p>
    <w:p w14:paraId="77349FBB" w14:textId="4C3C1FE4" w:rsidR="000E0B74" w:rsidRPr="00B916D2" w:rsidRDefault="00A672AF" w:rsidP="001D4EAA">
      <w:pPr>
        <w:pStyle w:val="Subtitle"/>
        <w:rPr>
          <w:color w:val="002060"/>
        </w:rPr>
      </w:pPr>
      <w:r w:rsidRPr="00B916D2">
        <w:rPr>
          <w:color w:val="002060"/>
        </w:rPr>
        <w:t>Issues Paper</w:t>
      </w:r>
    </w:p>
    <w:p w14:paraId="38E0D234" w14:textId="7009A6B2" w:rsidR="00056880" w:rsidRPr="00B916D2" w:rsidRDefault="00CC4BFE" w:rsidP="001D4EAA">
      <w:pPr>
        <w:pStyle w:val="ReportDate"/>
        <w:rPr>
          <w:rFonts w:ascii="Rockwell" w:hAnsi="Rockwell"/>
          <w:color w:val="002060"/>
          <w:sz w:val="24"/>
        </w:rPr>
      </w:pPr>
      <w:r w:rsidRPr="00B916D2">
        <w:rPr>
          <w:rStyle w:val="ReportDateChar"/>
          <w:color w:val="002060"/>
        </w:rPr>
        <w:t>November 2021</w:t>
      </w:r>
    </w:p>
    <w:p w14:paraId="23ECE5BE" w14:textId="77777777" w:rsidR="002F617F" w:rsidRPr="001D4EAA" w:rsidRDefault="002F617F" w:rsidP="001D4EAA">
      <w:pPr>
        <w:spacing w:after="6000"/>
      </w:pPr>
    </w:p>
    <w:p w14:paraId="52365D20" w14:textId="77777777" w:rsidR="002F617F" w:rsidRDefault="002F617F"/>
    <w:p w14:paraId="6D30EF5A" w14:textId="77777777" w:rsidR="000E0B74" w:rsidRDefault="000E0B74" w:rsidP="000E0B74">
      <w:pPr>
        <w:rPr>
          <w:rFonts w:cs="Calibri"/>
          <w:sz w:val="20"/>
        </w:rPr>
      </w:pPr>
    </w:p>
    <w:p w14:paraId="095B35FA" w14:textId="77777777" w:rsidR="000E0B74" w:rsidRDefault="000E0B74" w:rsidP="000E0B74">
      <w:pPr>
        <w:sectPr w:rsidR="000E0B74" w:rsidSect="00E1136B">
          <w:headerReference w:type="even" r:id="rId14"/>
          <w:headerReference w:type="default" r:id="rId15"/>
          <w:footerReference w:type="even" r:id="rId16"/>
          <w:footerReference w:type="default" r:id="rId17"/>
          <w:footerReference w:type="first" r:id="rId18"/>
          <w:pgSz w:w="11906" w:h="16838"/>
          <w:pgMar w:top="1418" w:right="1418" w:bottom="1418" w:left="1418" w:header="709" w:footer="709" w:gutter="0"/>
          <w:pgNumType w:fmt="lowerRoman" w:start="1"/>
          <w:cols w:space="720"/>
        </w:sectPr>
      </w:pPr>
    </w:p>
    <w:p w14:paraId="0B32690D" w14:textId="6E90F3CF" w:rsidR="000E0B74" w:rsidRDefault="000E0B74" w:rsidP="000E0B74">
      <w:pPr>
        <w:spacing w:before="240"/>
      </w:pPr>
      <w:r w:rsidRPr="00661BF0">
        <w:lastRenderedPageBreak/>
        <w:t xml:space="preserve">© Commonwealth of Australia </w:t>
      </w:r>
      <w:r w:rsidRPr="00CC4BFE">
        <w:t>20</w:t>
      </w:r>
      <w:r w:rsidR="00EF2FBF" w:rsidRPr="00CC4BFE">
        <w:t>2</w:t>
      </w:r>
      <w:r w:rsidR="00CC4BFE">
        <w:t>1</w:t>
      </w:r>
    </w:p>
    <w:p w14:paraId="27F4D82A" w14:textId="6F1ADDA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20"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77157ED3" w14:textId="77777777" w:rsidR="000E0B74" w:rsidRDefault="000E0B74" w:rsidP="000E0B74">
      <w:pPr>
        <w:pStyle w:val="ChartGraphic"/>
        <w:jc w:val="left"/>
      </w:pPr>
      <w:r w:rsidRPr="00E56DFB">
        <w:rPr>
          <w:noProof/>
          <w:lang w:eastAsia="zh-CN"/>
        </w:rPr>
        <w:drawing>
          <wp:inline distT="0" distB="0" distL="0" distR="0" wp14:anchorId="5F4D5109" wp14:editId="342AB29E">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0EAF4E01"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2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6503ED2"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7F8702E9"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98791F6" w14:textId="7326F9E7" w:rsidR="000E0B74" w:rsidRPr="00A13A11" w:rsidRDefault="000E0B74" w:rsidP="000E0B74">
      <w:pPr>
        <w:ind w:firstLine="720"/>
      </w:pPr>
      <w:r w:rsidRPr="002F1BC2">
        <w:rPr>
          <w:i/>
        </w:rPr>
        <w:t xml:space="preserve">Source: The </w:t>
      </w:r>
      <w:r w:rsidRPr="002F1BC2">
        <w:rPr>
          <w:i/>
          <w:iCs/>
        </w:rPr>
        <w:t>Australian Government the Treasury</w:t>
      </w:r>
      <w:r>
        <w:t>.</w:t>
      </w:r>
    </w:p>
    <w:p w14:paraId="60F78B2B" w14:textId="77777777" w:rsidR="000E0B74" w:rsidRPr="006627B4" w:rsidRDefault="000E0B74" w:rsidP="000E0B74">
      <w:pPr>
        <w:spacing w:before="240"/>
      </w:pPr>
      <w:r w:rsidRPr="00CC63CC">
        <w:rPr>
          <w:b/>
        </w:rPr>
        <w:t>Derivative</w:t>
      </w:r>
      <w:r w:rsidRPr="006627B4">
        <w:t xml:space="preserve"> </w:t>
      </w:r>
      <w:r w:rsidRPr="00CC63CC">
        <w:rPr>
          <w:b/>
        </w:rPr>
        <w:t>material</w:t>
      </w:r>
    </w:p>
    <w:p w14:paraId="13A2D3C1"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68A25280" w14:textId="5804CC49" w:rsidR="000E0B74" w:rsidRPr="006627B4" w:rsidRDefault="000E0B74" w:rsidP="000E0B74">
      <w:pPr>
        <w:ind w:firstLine="720"/>
      </w:pPr>
      <w:r w:rsidRPr="002F1BC2">
        <w:rPr>
          <w:i/>
        </w:rPr>
        <w:t>Based on The Australian Government the Treasury data</w:t>
      </w:r>
      <w:r>
        <w:t>.</w:t>
      </w:r>
    </w:p>
    <w:p w14:paraId="3643EBF7" w14:textId="77777777" w:rsidR="000E0B74" w:rsidRPr="006627B4" w:rsidRDefault="000E0B74" w:rsidP="000E0B74">
      <w:pPr>
        <w:spacing w:before="240"/>
        <w:rPr>
          <w:b/>
        </w:rPr>
      </w:pPr>
      <w:r w:rsidRPr="006627B4">
        <w:rPr>
          <w:b/>
        </w:rPr>
        <w:t>Use of the Coat of Arms</w:t>
      </w:r>
    </w:p>
    <w:p w14:paraId="66C0390C"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3" w:history="1">
        <w:r w:rsidRPr="005A283B">
          <w:rPr>
            <w:rStyle w:val="Hyperlink"/>
          </w:rPr>
          <w:t>www.pmc.gov.au/government/commonwealth-coat-arm</w:t>
        </w:r>
      </w:hyperlink>
      <w:r w:rsidRPr="004A7BC2">
        <w:t>s).</w:t>
      </w:r>
    </w:p>
    <w:p w14:paraId="775964C9" w14:textId="77777777" w:rsidR="000E0B74" w:rsidRPr="006627B4" w:rsidRDefault="000E0B74" w:rsidP="000E0B74">
      <w:pPr>
        <w:spacing w:before="240"/>
        <w:rPr>
          <w:b/>
        </w:rPr>
      </w:pPr>
      <w:r>
        <w:rPr>
          <w:b/>
        </w:rPr>
        <w:t>Other u</w:t>
      </w:r>
      <w:r w:rsidRPr="006627B4">
        <w:rPr>
          <w:b/>
        </w:rPr>
        <w:t>ses</w:t>
      </w:r>
    </w:p>
    <w:p w14:paraId="3B7C74A5" w14:textId="77777777" w:rsidR="000E0B74" w:rsidRPr="006627B4" w:rsidRDefault="000E0B74" w:rsidP="000E0B74">
      <w:r>
        <w:t>E</w:t>
      </w:r>
      <w:r w:rsidRPr="006627B4">
        <w:t>nquiries regarding this licence and any other use of this document are welcome at:</w:t>
      </w:r>
    </w:p>
    <w:p w14:paraId="3093C113"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4" w:history="1">
        <w:r w:rsidR="004A077D" w:rsidRPr="000951A5">
          <w:rPr>
            <w:rStyle w:val="Hyperlink"/>
          </w:rPr>
          <w:t>media@treasury.gov.au</w:t>
        </w:r>
      </w:hyperlink>
      <w:r w:rsidR="004A077D">
        <w:t xml:space="preserve"> </w:t>
      </w:r>
    </w:p>
    <w:p w14:paraId="2F62B54B" w14:textId="77777777" w:rsidR="000E0B74" w:rsidRDefault="000E0B74" w:rsidP="000E0B74">
      <w:pPr>
        <w:pStyle w:val="SingleParagraph"/>
        <w:sectPr w:rsidR="000E0B74" w:rsidSect="00475B7B">
          <w:headerReference w:type="even" r:id="rId25"/>
          <w:headerReference w:type="default" r:id="rId26"/>
          <w:footerReference w:type="even" r:id="rId27"/>
          <w:pgSz w:w="11906" w:h="16838" w:code="9"/>
          <w:pgMar w:top="1418" w:right="1418" w:bottom="1418" w:left="1418" w:header="709" w:footer="709" w:gutter="0"/>
          <w:pgNumType w:fmt="lowerRoman"/>
          <w:cols w:space="708"/>
          <w:titlePg/>
          <w:docGrid w:linePitch="360"/>
        </w:sectPr>
      </w:pPr>
    </w:p>
    <w:p w14:paraId="78D1CB58" w14:textId="77777777" w:rsidR="000E0B74" w:rsidRPr="00354FBB" w:rsidRDefault="000E0B74" w:rsidP="00354FBB">
      <w:pPr>
        <w:pStyle w:val="Heading1"/>
      </w:pPr>
      <w:bookmarkStart w:id="1" w:name="_Toc88044475"/>
      <w:bookmarkStart w:id="2" w:name="_Toc88123439"/>
      <w:r w:rsidRPr="00354FBB">
        <w:lastRenderedPageBreak/>
        <w:t>Contents</w:t>
      </w:r>
      <w:bookmarkEnd w:id="1"/>
      <w:bookmarkEnd w:id="2"/>
    </w:p>
    <w:p w14:paraId="5D9F5C83" w14:textId="6182A21F" w:rsidR="00B95477"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88123439" w:history="1">
        <w:r w:rsidR="00B95477" w:rsidRPr="00F9138C">
          <w:rPr>
            <w:rStyle w:val="Hyperlink"/>
          </w:rPr>
          <w:t>Contents</w:t>
        </w:r>
        <w:r w:rsidR="00B95477">
          <w:rPr>
            <w:webHidden/>
          </w:rPr>
          <w:tab/>
        </w:r>
        <w:r w:rsidR="00B95477">
          <w:rPr>
            <w:webHidden/>
          </w:rPr>
          <w:fldChar w:fldCharType="begin"/>
        </w:r>
        <w:r w:rsidR="00B95477">
          <w:rPr>
            <w:webHidden/>
          </w:rPr>
          <w:instrText xml:space="preserve"> PAGEREF _Toc88123439 \h </w:instrText>
        </w:r>
        <w:r w:rsidR="00B95477">
          <w:rPr>
            <w:webHidden/>
          </w:rPr>
        </w:r>
        <w:r w:rsidR="00B95477">
          <w:rPr>
            <w:webHidden/>
          </w:rPr>
          <w:fldChar w:fldCharType="separate"/>
        </w:r>
        <w:r w:rsidR="00B95477">
          <w:rPr>
            <w:webHidden/>
          </w:rPr>
          <w:t>iii</w:t>
        </w:r>
        <w:r w:rsidR="00B95477">
          <w:rPr>
            <w:webHidden/>
          </w:rPr>
          <w:fldChar w:fldCharType="end"/>
        </w:r>
      </w:hyperlink>
    </w:p>
    <w:p w14:paraId="45ACEE19" w14:textId="1E34A93C" w:rsidR="00B95477" w:rsidRDefault="00E45C45">
      <w:pPr>
        <w:pStyle w:val="TOC1"/>
        <w:rPr>
          <w:rFonts w:asciiTheme="minorHAnsi" w:eastAsiaTheme="minorEastAsia" w:hAnsiTheme="minorHAnsi" w:cstheme="minorBidi"/>
          <w:b w:val="0"/>
          <w:color w:val="auto"/>
        </w:rPr>
      </w:pPr>
      <w:hyperlink w:anchor="_Toc88123440" w:history="1">
        <w:r w:rsidR="00B95477" w:rsidRPr="00F9138C">
          <w:rPr>
            <w:rStyle w:val="Hyperlink"/>
          </w:rPr>
          <w:t>Consultation Process</w:t>
        </w:r>
        <w:r w:rsidR="00B95477">
          <w:rPr>
            <w:webHidden/>
          </w:rPr>
          <w:tab/>
        </w:r>
        <w:r w:rsidR="00B95477">
          <w:rPr>
            <w:webHidden/>
          </w:rPr>
          <w:fldChar w:fldCharType="begin"/>
        </w:r>
        <w:r w:rsidR="00B95477">
          <w:rPr>
            <w:webHidden/>
          </w:rPr>
          <w:instrText xml:space="preserve"> PAGEREF _Toc88123440 \h </w:instrText>
        </w:r>
        <w:r w:rsidR="00B95477">
          <w:rPr>
            <w:webHidden/>
          </w:rPr>
        </w:r>
        <w:r w:rsidR="00B95477">
          <w:rPr>
            <w:webHidden/>
          </w:rPr>
          <w:fldChar w:fldCharType="separate"/>
        </w:r>
        <w:r w:rsidR="00B95477">
          <w:rPr>
            <w:webHidden/>
          </w:rPr>
          <w:t>1</w:t>
        </w:r>
        <w:r w:rsidR="00B95477">
          <w:rPr>
            <w:webHidden/>
          </w:rPr>
          <w:fldChar w:fldCharType="end"/>
        </w:r>
      </w:hyperlink>
    </w:p>
    <w:p w14:paraId="16371897" w14:textId="7CA04ADC" w:rsidR="00B95477" w:rsidRDefault="00E45C45">
      <w:pPr>
        <w:pStyle w:val="TOC2"/>
        <w:rPr>
          <w:rFonts w:asciiTheme="minorHAnsi" w:eastAsiaTheme="minorEastAsia" w:hAnsiTheme="minorHAnsi" w:cstheme="minorBidi"/>
          <w:color w:val="auto"/>
          <w:szCs w:val="22"/>
        </w:rPr>
      </w:pPr>
      <w:hyperlink w:anchor="_Toc88123441" w:history="1">
        <w:r w:rsidR="00B95477" w:rsidRPr="00F9138C">
          <w:rPr>
            <w:rStyle w:val="Hyperlink"/>
          </w:rPr>
          <w:t>Request for feedback and comments</w:t>
        </w:r>
        <w:r w:rsidR="00B95477">
          <w:rPr>
            <w:webHidden/>
          </w:rPr>
          <w:tab/>
        </w:r>
        <w:r w:rsidR="00B95477">
          <w:rPr>
            <w:webHidden/>
          </w:rPr>
          <w:fldChar w:fldCharType="begin"/>
        </w:r>
        <w:r w:rsidR="00B95477">
          <w:rPr>
            <w:webHidden/>
          </w:rPr>
          <w:instrText xml:space="preserve"> PAGEREF _Toc88123441 \h </w:instrText>
        </w:r>
        <w:r w:rsidR="00B95477">
          <w:rPr>
            <w:webHidden/>
          </w:rPr>
        </w:r>
        <w:r w:rsidR="00B95477">
          <w:rPr>
            <w:webHidden/>
          </w:rPr>
          <w:fldChar w:fldCharType="separate"/>
        </w:r>
        <w:r w:rsidR="00B95477">
          <w:rPr>
            <w:webHidden/>
          </w:rPr>
          <w:t>1</w:t>
        </w:r>
        <w:r w:rsidR="00B95477">
          <w:rPr>
            <w:webHidden/>
          </w:rPr>
          <w:fldChar w:fldCharType="end"/>
        </w:r>
      </w:hyperlink>
    </w:p>
    <w:p w14:paraId="5AB714B9" w14:textId="403D36DB" w:rsidR="00B95477" w:rsidRDefault="00E45C45">
      <w:pPr>
        <w:pStyle w:val="TOC1"/>
        <w:rPr>
          <w:rFonts w:asciiTheme="minorHAnsi" w:eastAsiaTheme="minorEastAsia" w:hAnsiTheme="minorHAnsi" w:cstheme="minorBidi"/>
          <w:b w:val="0"/>
          <w:color w:val="auto"/>
        </w:rPr>
      </w:pPr>
      <w:hyperlink w:anchor="_Toc88123442" w:history="1">
        <w:r w:rsidR="00B95477" w:rsidRPr="00F9138C">
          <w:rPr>
            <w:rStyle w:val="Hyperlink"/>
          </w:rPr>
          <w:t>Regional Banking Taskforce</w:t>
        </w:r>
        <w:r w:rsidR="00B95477">
          <w:rPr>
            <w:webHidden/>
          </w:rPr>
          <w:tab/>
        </w:r>
        <w:r w:rsidR="00B95477">
          <w:rPr>
            <w:webHidden/>
          </w:rPr>
          <w:fldChar w:fldCharType="begin"/>
        </w:r>
        <w:r w:rsidR="00B95477">
          <w:rPr>
            <w:webHidden/>
          </w:rPr>
          <w:instrText xml:space="preserve"> PAGEREF _Toc88123442 \h </w:instrText>
        </w:r>
        <w:r w:rsidR="00B95477">
          <w:rPr>
            <w:webHidden/>
          </w:rPr>
        </w:r>
        <w:r w:rsidR="00B95477">
          <w:rPr>
            <w:webHidden/>
          </w:rPr>
          <w:fldChar w:fldCharType="separate"/>
        </w:r>
        <w:r w:rsidR="00B95477">
          <w:rPr>
            <w:webHidden/>
          </w:rPr>
          <w:t>2</w:t>
        </w:r>
        <w:r w:rsidR="00B95477">
          <w:rPr>
            <w:webHidden/>
          </w:rPr>
          <w:fldChar w:fldCharType="end"/>
        </w:r>
      </w:hyperlink>
    </w:p>
    <w:p w14:paraId="3CA2DC11" w14:textId="44B48BA6" w:rsidR="00B95477" w:rsidRDefault="00E45C45">
      <w:pPr>
        <w:pStyle w:val="TOC2"/>
        <w:rPr>
          <w:rFonts w:asciiTheme="minorHAnsi" w:eastAsiaTheme="minorEastAsia" w:hAnsiTheme="minorHAnsi" w:cstheme="minorBidi"/>
          <w:color w:val="auto"/>
          <w:szCs w:val="22"/>
        </w:rPr>
      </w:pPr>
      <w:hyperlink w:anchor="_Toc88123443" w:history="1">
        <w:r w:rsidR="00B95477" w:rsidRPr="00F9138C">
          <w:rPr>
            <w:rStyle w:val="Hyperlink"/>
          </w:rPr>
          <w:t>Introduction</w:t>
        </w:r>
        <w:r w:rsidR="00B95477">
          <w:rPr>
            <w:webHidden/>
          </w:rPr>
          <w:tab/>
        </w:r>
        <w:r w:rsidR="00B95477">
          <w:rPr>
            <w:webHidden/>
          </w:rPr>
          <w:fldChar w:fldCharType="begin"/>
        </w:r>
        <w:r w:rsidR="00B95477">
          <w:rPr>
            <w:webHidden/>
          </w:rPr>
          <w:instrText xml:space="preserve"> PAGEREF _Toc88123443 \h </w:instrText>
        </w:r>
        <w:r w:rsidR="00B95477">
          <w:rPr>
            <w:webHidden/>
          </w:rPr>
        </w:r>
        <w:r w:rsidR="00B95477">
          <w:rPr>
            <w:webHidden/>
          </w:rPr>
          <w:fldChar w:fldCharType="separate"/>
        </w:r>
        <w:r w:rsidR="00B95477">
          <w:rPr>
            <w:webHidden/>
          </w:rPr>
          <w:t>2</w:t>
        </w:r>
        <w:r w:rsidR="00B95477">
          <w:rPr>
            <w:webHidden/>
          </w:rPr>
          <w:fldChar w:fldCharType="end"/>
        </w:r>
      </w:hyperlink>
    </w:p>
    <w:p w14:paraId="4EE1505E" w14:textId="1A23FC20" w:rsidR="00B95477" w:rsidRDefault="00E45C45">
      <w:pPr>
        <w:pStyle w:val="TOC3"/>
        <w:rPr>
          <w:rFonts w:asciiTheme="minorHAnsi" w:eastAsiaTheme="minorEastAsia" w:hAnsiTheme="minorHAnsi" w:cstheme="minorBidi"/>
          <w:color w:val="auto"/>
          <w:szCs w:val="22"/>
        </w:rPr>
      </w:pPr>
      <w:hyperlink w:anchor="_Toc88123444" w:history="1">
        <w:r w:rsidR="00B95477" w:rsidRPr="00F9138C">
          <w:rPr>
            <w:rStyle w:val="Hyperlink"/>
          </w:rPr>
          <w:t>Terms of Reference</w:t>
        </w:r>
        <w:r w:rsidR="00B95477">
          <w:rPr>
            <w:webHidden/>
          </w:rPr>
          <w:tab/>
        </w:r>
        <w:r w:rsidR="00B95477">
          <w:rPr>
            <w:webHidden/>
          </w:rPr>
          <w:fldChar w:fldCharType="begin"/>
        </w:r>
        <w:r w:rsidR="00B95477">
          <w:rPr>
            <w:webHidden/>
          </w:rPr>
          <w:instrText xml:space="preserve"> PAGEREF _Toc88123444 \h </w:instrText>
        </w:r>
        <w:r w:rsidR="00B95477">
          <w:rPr>
            <w:webHidden/>
          </w:rPr>
        </w:r>
        <w:r w:rsidR="00B95477">
          <w:rPr>
            <w:webHidden/>
          </w:rPr>
          <w:fldChar w:fldCharType="separate"/>
        </w:r>
        <w:r w:rsidR="00B95477">
          <w:rPr>
            <w:webHidden/>
          </w:rPr>
          <w:t>2</w:t>
        </w:r>
        <w:r w:rsidR="00B95477">
          <w:rPr>
            <w:webHidden/>
          </w:rPr>
          <w:fldChar w:fldCharType="end"/>
        </w:r>
      </w:hyperlink>
    </w:p>
    <w:p w14:paraId="34D4F7F9" w14:textId="4ABB0EA7" w:rsidR="00B95477" w:rsidRDefault="00E45C45">
      <w:pPr>
        <w:pStyle w:val="TOC2"/>
        <w:rPr>
          <w:rFonts w:asciiTheme="minorHAnsi" w:eastAsiaTheme="minorEastAsia" w:hAnsiTheme="minorHAnsi" w:cstheme="minorBidi"/>
          <w:color w:val="auto"/>
          <w:szCs w:val="22"/>
        </w:rPr>
      </w:pPr>
      <w:hyperlink w:anchor="_Toc88123445" w:history="1">
        <w:r w:rsidR="00B95477" w:rsidRPr="00F9138C">
          <w:rPr>
            <w:rStyle w:val="Hyperlink"/>
          </w:rPr>
          <w:t>Importance of supporting regional communities</w:t>
        </w:r>
        <w:r w:rsidR="00B95477">
          <w:rPr>
            <w:webHidden/>
          </w:rPr>
          <w:tab/>
        </w:r>
        <w:r w:rsidR="00B95477">
          <w:rPr>
            <w:webHidden/>
          </w:rPr>
          <w:fldChar w:fldCharType="begin"/>
        </w:r>
        <w:r w:rsidR="00B95477">
          <w:rPr>
            <w:webHidden/>
          </w:rPr>
          <w:instrText xml:space="preserve"> PAGEREF _Toc88123445 \h </w:instrText>
        </w:r>
        <w:r w:rsidR="00B95477">
          <w:rPr>
            <w:webHidden/>
          </w:rPr>
        </w:r>
        <w:r w:rsidR="00B95477">
          <w:rPr>
            <w:webHidden/>
          </w:rPr>
          <w:fldChar w:fldCharType="separate"/>
        </w:r>
        <w:r w:rsidR="00B95477">
          <w:rPr>
            <w:webHidden/>
          </w:rPr>
          <w:t>2</w:t>
        </w:r>
        <w:r w:rsidR="00B95477">
          <w:rPr>
            <w:webHidden/>
          </w:rPr>
          <w:fldChar w:fldCharType="end"/>
        </w:r>
      </w:hyperlink>
    </w:p>
    <w:p w14:paraId="6939CC6B" w14:textId="56D205F4" w:rsidR="00B95477" w:rsidRDefault="00E45C45">
      <w:pPr>
        <w:pStyle w:val="TOC2"/>
        <w:rPr>
          <w:rFonts w:asciiTheme="minorHAnsi" w:eastAsiaTheme="minorEastAsia" w:hAnsiTheme="minorHAnsi" w:cstheme="minorBidi"/>
          <w:color w:val="auto"/>
          <w:szCs w:val="22"/>
        </w:rPr>
      </w:pPr>
      <w:hyperlink w:anchor="_Toc88123446" w:history="1">
        <w:r w:rsidR="00B95477" w:rsidRPr="00F9138C">
          <w:rPr>
            <w:rStyle w:val="Hyperlink"/>
          </w:rPr>
          <w:t>Bank branch closures</w:t>
        </w:r>
        <w:r w:rsidR="00B95477">
          <w:rPr>
            <w:webHidden/>
          </w:rPr>
          <w:tab/>
        </w:r>
        <w:r w:rsidR="00B95477">
          <w:rPr>
            <w:webHidden/>
          </w:rPr>
          <w:fldChar w:fldCharType="begin"/>
        </w:r>
        <w:r w:rsidR="00B95477">
          <w:rPr>
            <w:webHidden/>
          </w:rPr>
          <w:instrText xml:space="preserve"> PAGEREF _Toc88123446 \h </w:instrText>
        </w:r>
        <w:r w:rsidR="00B95477">
          <w:rPr>
            <w:webHidden/>
          </w:rPr>
        </w:r>
        <w:r w:rsidR="00B95477">
          <w:rPr>
            <w:webHidden/>
          </w:rPr>
          <w:fldChar w:fldCharType="separate"/>
        </w:r>
        <w:r w:rsidR="00B95477">
          <w:rPr>
            <w:webHidden/>
          </w:rPr>
          <w:t>3</w:t>
        </w:r>
        <w:r w:rsidR="00B95477">
          <w:rPr>
            <w:webHidden/>
          </w:rPr>
          <w:fldChar w:fldCharType="end"/>
        </w:r>
      </w:hyperlink>
    </w:p>
    <w:p w14:paraId="69641137" w14:textId="6D55B994" w:rsidR="00B95477" w:rsidRDefault="00E45C45">
      <w:pPr>
        <w:pStyle w:val="TOC3"/>
        <w:rPr>
          <w:rFonts w:asciiTheme="minorHAnsi" w:eastAsiaTheme="minorEastAsia" w:hAnsiTheme="minorHAnsi" w:cstheme="minorBidi"/>
          <w:color w:val="auto"/>
          <w:szCs w:val="22"/>
        </w:rPr>
      </w:pPr>
      <w:hyperlink w:anchor="_Toc88123447" w:history="1">
        <w:r w:rsidR="00B95477" w:rsidRPr="00F9138C">
          <w:rPr>
            <w:rStyle w:val="Hyperlink"/>
          </w:rPr>
          <w:t>Context</w:t>
        </w:r>
        <w:r w:rsidR="00B95477">
          <w:rPr>
            <w:webHidden/>
          </w:rPr>
          <w:tab/>
        </w:r>
        <w:r w:rsidR="00B95477">
          <w:rPr>
            <w:webHidden/>
          </w:rPr>
          <w:fldChar w:fldCharType="begin"/>
        </w:r>
        <w:r w:rsidR="00B95477">
          <w:rPr>
            <w:webHidden/>
          </w:rPr>
          <w:instrText xml:space="preserve"> PAGEREF _Toc88123447 \h </w:instrText>
        </w:r>
        <w:r w:rsidR="00B95477">
          <w:rPr>
            <w:webHidden/>
          </w:rPr>
        </w:r>
        <w:r w:rsidR="00B95477">
          <w:rPr>
            <w:webHidden/>
          </w:rPr>
          <w:fldChar w:fldCharType="separate"/>
        </w:r>
        <w:r w:rsidR="00B95477">
          <w:rPr>
            <w:webHidden/>
          </w:rPr>
          <w:t>3</w:t>
        </w:r>
        <w:r w:rsidR="00B95477">
          <w:rPr>
            <w:webHidden/>
          </w:rPr>
          <w:fldChar w:fldCharType="end"/>
        </w:r>
      </w:hyperlink>
    </w:p>
    <w:p w14:paraId="3EF55DD9" w14:textId="704981D8" w:rsidR="00B95477" w:rsidRDefault="00E45C45">
      <w:pPr>
        <w:pStyle w:val="TOC3"/>
        <w:rPr>
          <w:rFonts w:asciiTheme="minorHAnsi" w:eastAsiaTheme="minorEastAsia" w:hAnsiTheme="minorHAnsi" w:cstheme="minorBidi"/>
          <w:color w:val="auto"/>
          <w:szCs w:val="22"/>
        </w:rPr>
      </w:pPr>
      <w:hyperlink w:anchor="_Toc88123448" w:history="1">
        <w:r w:rsidR="00B95477" w:rsidRPr="00F9138C">
          <w:rPr>
            <w:rStyle w:val="Hyperlink"/>
          </w:rPr>
          <w:t>Impacts</w:t>
        </w:r>
        <w:r w:rsidR="00B95477">
          <w:rPr>
            <w:webHidden/>
          </w:rPr>
          <w:tab/>
        </w:r>
        <w:r w:rsidR="00B95477">
          <w:rPr>
            <w:webHidden/>
          </w:rPr>
          <w:fldChar w:fldCharType="begin"/>
        </w:r>
        <w:r w:rsidR="00B95477">
          <w:rPr>
            <w:webHidden/>
          </w:rPr>
          <w:instrText xml:space="preserve"> PAGEREF _Toc88123448 \h </w:instrText>
        </w:r>
        <w:r w:rsidR="00B95477">
          <w:rPr>
            <w:webHidden/>
          </w:rPr>
        </w:r>
        <w:r w:rsidR="00B95477">
          <w:rPr>
            <w:webHidden/>
          </w:rPr>
          <w:fldChar w:fldCharType="separate"/>
        </w:r>
        <w:r w:rsidR="00B95477">
          <w:rPr>
            <w:webHidden/>
          </w:rPr>
          <w:t>6</w:t>
        </w:r>
        <w:r w:rsidR="00B95477">
          <w:rPr>
            <w:webHidden/>
          </w:rPr>
          <w:fldChar w:fldCharType="end"/>
        </w:r>
      </w:hyperlink>
    </w:p>
    <w:p w14:paraId="661E12C4" w14:textId="7A65C5E9" w:rsidR="00B95477" w:rsidRDefault="00E45C45">
      <w:pPr>
        <w:pStyle w:val="TOC3"/>
        <w:rPr>
          <w:rFonts w:asciiTheme="minorHAnsi" w:eastAsiaTheme="minorEastAsia" w:hAnsiTheme="minorHAnsi" w:cstheme="minorBidi"/>
          <w:color w:val="auto"/>
          <w:szCs w:val="22"/>
        </w:rPr>
      </w:pPr>
      <w:hyperlink w:anchor="_Toc88123449" w:history="1">
        <w:r w:rsidR="00B95477" w:rsidRPr="00F9138C">
          <w:rPr>
            <w:rStyle w:val="Hyperlink"/>
          </w:rPr>
          <w:t>Bank support</w:t>
        </w:r>
        <w:r w:rsidR="00B95477">
          <w:rPr>
            <w:webHidden/>
          </w:rPr>
          <w:tab/>
        </w:r>
        <w:r w:rsidR="00B95477">
          <w:rPr>
            <w:webHidden/>
          </w:rPr>
          <w:fldChar w:fldCharType="begin"/>
        </w:r>
        <w:r w:rsidR="00B95477">
          <w:rPr>
            <w:webHidden/>
          </w:rPr>
          <w:instrText xml:space="preserve"> PAGEREF _Toc88123449 \h </w:instrText>
        </w:r>
        <w:r w:rsidR="00B95477">
          <w:rPr>
            <w:webHidden/>
          </w:rPr>
        </w:r>
        <w:r w:rsidR="00B95477">
          <w:rPr>
            <w:webHidden/>
          </w:rPr>
          <w:fldChar w:fldCharType="separate"/>
        </w:r>
        <w:r w:rsidR="00B95477">
          <w:rPr>
            <w:webHidden/>
          </w:rPr>
          <w:t>7</w:t>
        </w:r>
        <w:r w:rsidR="00B95477">
          <w:rPr>
            <w:webHidden/>
          </w:rPr>
          <w:fldChar w:fldCharType="end"/>
        </w:r>
      </w:hyperlink>
    </w:p>
    <w:p w14:paraId="2AC2C73D" w14:textId="0A57D839" w:rsidR="00B95477" w:rsidRDefault="00E45C45">
      <w:pPr>
        <w:pStyle w:val="TOC3"/>
        <w:rPr>
          <w:rFonts w:asciiTheme="minorHAnsi" w:eastAsiaTheme="minorEastAsia" w:hAnsiTheme="minorHAnsi" w:cstheme="minorBidi"/>
          <w:color w:val="auto"/>
          <w:szCs w:val="22"/>
        </w:rPr>
      </w:pPr>
      <w:hyperlink w:anchor="_Toc88123450" w:history="1">
        <w:r w:rsidR="00B95477" w:rsidRPr="00F9138C">
          <w:rPr>
            <w:rStyle w:val="Hyperlink"/>
          </w:rPr>
          <w:t>Alternatives to closed bank branches</w:t>
        </w:r>
        <w:r w:rsidR="00B95477">
          <w:rPr>
            <w:webHidden/>
          </w:rPr>
          <w:tab/>
        </w:r>
        <w:r w:rsidR="00B95477">
          <w:rPr>
            <w:webHidden/>
          </w:rPr>
          <w:fldChar w:fldCharType="begin"/>
        </w:r>
        <w:r w:rsidR="00B95477">
          <w:rPr>
            <w:webHidden/>
          </w:rPr>
          <w:instrText xml:space="preserve"> PAGEREF _Toc88123450 \h </w:instrText>
        </w:r>
        <w:r w:rsidR="00B95477">
          <w:rPr>
            <w:webHidden/>
          </w:rPr>
        </w:r>
        <w:r w:rsidR="00B95477">
          <w:rPr>
            <w:webHidden/>
          </w:rPr>
          <w:fldChar w:fldCharType="separate"/>
        </w:r>
        <w:r w:rsidR="00B95477">
          <w:rPr>
            <w:webHidden/>
          </w:rPr>
          <w:t>8</w:t>
        </w:r>
        <w:r w:rsidR="00B95477">
          <w:rPr>
            <w:webHidden/>
          </w:rPr>
          <w:fldChar w:fldCharType="end"/>
        </w:r>
      </w:hyperlink>
    </w:p>
    <w:p w14:paraId="0D62476E" w14:textId="28291838" w:rsidR="00B95477" w:rsidRDefault="00E45C45">
      <w:pPr>
        <w:pStyle w:val="TOC2"/>
        <w:rPr>
          <w:rFonts w:asciiTheme="minorHAnsi" w:eastAsiaTheme="minorEastAsia" w:hAnsiTheme="minorHAnsi" w:cstheme="minorBidi"/>
          <w:color w:val="auto"/>
          <w:szCs w:val="22"/>
        </w:rPr>
      </w:pPr>
      <w:hyperlink w:anchor="_Toc88123451" w:history="1">
        <w:r w:rsidR="00B95477" w:rsidRPr="00F9138C">
          <w:rPr>
            <w:rStyle w:val="Hyperlink"/>
          </w:rPr>
          <w:t>List of consultation questions</w:t>
        </w:r>
        <w:r w:rsidR="00B95477">
          <w:rPr>
            <w:webHidden/>
          </w:rPr>
          <w:tab/>
        </w:r>
        <w:r w:rsidR="00B95477">
          <w:rPr>
            <w:webHidden/>
          </w:rPr>
          <w:fldChar w:fldCharType="begin"/>
        </w:r>
        <w:r w:rsidR="00B95477">
          <w:rPr>
            <w:webHidden/>
          </w:rPr>
          <w:instrText xml:space="preserve"> PAGEREF _Toc88123451 \h </w:instrText>
        </w:r>
        <w:r w:rsidR="00B95477">
          <w:rPr>
            <w:webHidden/>
          </w:rPr>
        </w:r>
        <w:r w:rsidR="00B95477">
          <w:rPr>
            <w:webHidden/>
          </w:rPr>
          <w:fldChar w:fldCharType="separate"/>
        </w:r>
        <w:r w:rsidR="00B95477">
          <w:rPr>
            <w:webHidden/>
          </w:rPr>
          <w:t>12</w:t>
        </w:r>
        <w:r w:rsidR="00B95477">
          <w:rPr>
            <w:webHidden/>
          </w:rPr>
          <w:fldChar w:fldCharType="end"/>
        </w:r>
      </w:hyperlink>
    </w:p>
    <w:p w14:paraId="0E5AF964" w14:textId="0A03EE49" w:rsidR="00B95477" w:rsidRDefault="00E45C45">
      <w:pPr>
        <w:pStyle w:val="TOC2"/>
        <w:rPr>
          <w:rFonts w:asciiTheme="minorHAnsi" w:eastAsiaTheme="minorEastAsia" w:hAnsiTheme="minorHAnsi" w:cstheme="minorBidi"/>
          <w:color w:val="auto"/>
          <w:szCs w:val="22"/>
        </w:rPr>
      </w:pPr>
      <w:hyperlink w:anchor="_Toc88123452" w:history="1">
        <w:r w:rsidR="00B95477" w:rsidRPr="00F9138C">
          <w:rPr>
            <w:rStyle w:val="Hyperlink"/>
          </w:rPr>
          <w:t>References</w:t>
        </w:r>
        <w:r w:rsidR="00B95477">
          <w:rPr>
            <w:webHidden/>
          </w:rPr>
          <w:tab/>
        </w:r>
        <w:r w:rsidR="00B95477">
          <w:rPr>
            <w:webHidden/>
          </w:rPr>
          <w:fldChar w:fldCharType="begin"/>
        </w:r>
        <w:r w:rsidR="00B95477">
          <w:rPr>
            <w:webHidden/>
          </w:rPr>
          <w:instrText xml:space="preserve"> PAGEREF _Toc88123452 \h </w:instrText>
        </w:r>
        <w:r w:rsidR="00B95477">
          <w:rPr>
            <w:webHidden/>
          </w:rPr>
        </w:r>
        <w:r w:rsidR="00B95477">
          <w:rPr>
            <w:webHidden/>
          </w:rPr>
          <w:fldChar w:fldCharType="separate"/>
        </w:r>
        <w:r w:rsidR="00B95477">
          <w:rPr>
            <w:webHidden/>
          </w:rPr>
          <w:t>13</w:t>
        </w:r>
        <w:r w:rsidR="00B95477">
          <w:rPr>
            <w:webHidden/>
          </w:rPr>
          <w:fldChar w:fldCharType="end"/>
        </w:r>
      </w:hyperlink>
    </w:p>
    <w:p w14:paraId="4614F46B" w14:textId="77777777"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345E1E99" w14:textId="77777777" w:rsidR="000E0B74" w:rsidRDefault="000E0B74" w:rsidP="00354FBB">
      <w:pPr>
        <w:pStyle w:val="Heading1"/>
      </w:pPr>
      <w:bookmarkStart w:id="3" w:name="_Toc88044476"/>
      <w:bookmarkStart w:id="4" w:name="_Toc88123440"/>
      <w:bookmarkStart w:id="5" w:name="_Toc432067103"/>
      <w:r>
        <w:lastRenderedPageBreak/>
        <w:t>Consultation Process</w:t>
      </w:r>
      <w:bookmarkEnd w:id="3"/>
      <w:bookmarkEnd w:id="4"/>
    </w:p>
    <w:p w14:paraId="19C8B2D2" w14:textId="77777777" w:rsidR="000E0B74" w:rsidRDefault="000E0B74" w:rsidP="000E0B74">
      <w:pPr>
        <w:pStyle w:val="Heading2"/>
      </w:pPr>
      <w:bookmarkStart w:id="6" w:name="_Toc88044477"/>
      <w:bookmarkStart w:id="7" w:name="_Toc88123441"/>
      <w:r>
        <w:t>Request for feedback and comments</w:t>
      </w:r>
      <w:bookmarkEnd w:id="6"/>
      <w:bookmarkEnd w:id="7"/>
    </w:p>
    <w:p w14:paraId="747F9E22" w14:textId="3777EDC6" w:rsidR="00CC4BFE" w:rsidRDefault="00CC4BFE" w:rsidP="00CC4BFE">
      <w:r>
        <w:t xml:space="preserve">Interested parties are invited to </w:t>
      </w:r>
      <w:r w:rsidR="00A35AF2">
        <w:t xml:space="preserve">respond to the list of consultation questions listed </w:t>
      </w:r>
      <w:r w:rsidR="00A35AF2" w:rsidRPr="00EB223B">
        <w:t>on page 12 and</w:t>
      </w:r>
      <w:r w:rsidR="00A35AF2">
        <w:t xml:space="preserve"> to </w:t>
      </w:r>
      <w:r>
        <w:t xml:space="preserve">comment on the issues raised in this </w:t>
      </w:r>
      <w:r w:rsidRPr="005C2B0A">
        <w:t>paper by</w:t>
      </w:r>
      <w:r w:rsidR="008E383B" w:rsidRPr="005C2B0A">
        <w:t xml:space="preserve"> 1</w:t>
      </w:r>
      <w:r w:rsidR="00BB0A86" w:rsidRPr="005C2B0A">
        <w:t>8</w:t>
      </w:r>
      <w:r w:rsidR="008E383B" w:rsidRPr="005C2B0A">
        <w:t xml:space="preserve"> December 2021</w:t>
      </w:r>
      <w:r w:rsidRPr="005C2B0A">
        <w:t>.</w:t>
      </w:r>
      <w:r>
        <w:t xml:space="preserve"> </w:t>
      </w:r>
    </w:p>
    <w:p w14:paraId="4380D098" w14:textId="0C56A590" w:rsidR="000E0B74" w:rsidRDefault="00CC4BFE" w:rsidP="00CC4BFE">
      <w:r>
        <w:t>While submissions may be lodged electronically or by post, electronic lodgement is preferred. For accessibility reasons, please submit responses sent via email in a Word or RTF format. An additional PDF version may also be submitted.</w:t>
      </w:r>
    </w:p>
    <w:p w14:paraId="5576AC4A" w14:textId="262DF47F" w:rsidR="00CC4BFE" w:rsidRDefault="00CD767D" w:rsidP="00CC4BFE">
      <w:r w:rsidRPr="008218F1">
        <w:t>All i</w:t>
      </w:r>
      <w:r w:rsidR="00CC4BFE" w:rsidRPr="008218F1">
        <w:t xml:space="preserve">nformation (including name and address details) contained in formal submissions </w:t>
      </w:r>
      <w:r w:rsidRPr="008218F1">
        <w:t>may</w:t>
      </w:r>
      <w:r w:rsidR="00CC4BFE" w:rsidRPr="008218F1">
        <w:t xml:space="preserve"> be made available to the public on the Australian Treasury website, unless you indicate that you would like all or part of your submission to remain confidential. Automatically generated confidentiality statements in emails do not suffice for this purpose. Respondents who would like part of their submission to remain confidential should provide this information marked as such in a separate attachment.</w:t>
      </w:r>
      <w:r w:rsidR="00CC4BFE">
        <w:t xml:space="preserve"> </w:t>
      </w:r>
    </w:p>
    <w:p w14:paraId="731A4F57" w14:textId="2F8E1CD9" w:rsidR="00CC4BFE" w:rsidRDefault="00CC4BFE" w:rsidP="00CC4BFE">
      <w:r>
        <w:t xml:space="preserve">Legal requirements, such as those imposed by the </w:t>
      </w:r>
      <w:r w:rsidRPr="00B90852">
        <w:rPr>
          <w:i/>
        </w:rPr>
        <w:t>Freedom of Information Act 1982</w:t>
      </w:r>
      <w:r>
        <w:t xml:space="preserve">, may affect the confidentiality of your submission. </w:t>
      </w:r>
    </w:p>
    <w:p w14:paraId="3FCF3ACC" w14:textId="7F103087" w:rsidR="000E0B74" w:rsidRDefault="000E0B74" w:rsidP="00257AEE">
      <w:pPr>
        <w:pStyle w:val="Heading3noTOC"/>
      </w:pPr>
      <w:r w:rsidRPr="005C2B0A">
        <w:t xml:space="preserve">Closing date for submissions: </w:t>
      </w:r>
      <w:sdt>
        <w:sdtPr>
          <w:rPr>
            <w:rStyle w:val="Heading3Char"/>
          </w:rPr>
          <w:id w:val="1454836312"/>
          <w:placeholder>
            <w:docPart w:val="B3714C487711457C8F1D36541ADF5F13"/>
          </w:placeholder>
          <w:date w:fullDate="2021-12-18T00:00:00Z">
            <w:dateFormat w:val="dd MMMM yyyy"/>
            <w:lid w:val="en-AU"/>
            <w:storeMappedDataAs w:val="dateTime"/>
            <w:calendar w:val="gregorian"/>
          </w:date>
        </w:sdtPr>
        <w:sdtEndPr>
          <w:rPr>
            <w:rStyle w:val="DefaultParagraphFont"/>
            <w:rFonts w:cs="Calibri"/>
          </w:rPr>
        </w:sdtEndPr>
        <w:sdtContent>
          <w:r w:rsidR="00BB0A86" w:rsidRPr="005C2B0A">
            <w:rPr>
              <w:rStyle w:val="Heading3Char"/>
            </w:rPr>
            <w:t>18 December 2021</w:t>
          </w:r>
        </w:sdtContent>
      </w:sdt>
    </w:p>
    <w:tbl>
      <w:tblPr>
        <w:tblStyle w:val="TableGrid"/>
        <w:tblW w:w="0" w:type="auto"/>
        <w:tblLook w:val="04A0" w:firstRow="1" w:lastRow="0" w:firstColumn="1" w:lastColumn="0" w:noHBand="0" w:noVBand="1"/>
      </w:tblPr>
      <w:tblGrid>
        <w:gridCol w:w="1516"/>
        <w:gridCol w:w="7554"/>
      </w:tblGrid>
      <w:tr w:rsidR="000E0B74" w:rsidRPr="00B85F47" w14:paraId="43AAA341" w14:textId="77777777" w:rsidTr="002A100A">
        <w:tc>
          <w:tcPr>
            <w:tcW w:w="1516" w:type="dxa"/>
            <w:shd w:val="clear" w:color="auto" w:fill="auto"/>
          </w:tcPr>
          <w:p w14:paraId="0C0F8D50" w14:textId="77777777" w:rsidR="000E0B74" w:rsidRPr="004B5974" w:rsidRDefault="000E0B74" w:rsidP="0017089D">
            <w:pPr>
              <w:rPr>
                <w:sz w:val="22"/>
                <w:szCs w:val="22"/>
              </w:rPr>
            </w:pPr>
            <w:r w:rsidRPr="008E383B">
              <w:rPr>
                <w:sz w:val="22"/>
                <w:szCs w:val="22"/>
              </w:rPr>
              <w:t>Email</w:t>
            </w:r>
          </w:p>
        </w:tc>
        <w:tc>
          <w:tcPr>
            <w:tcW w:w="7554" w:type="dxa"/>
            <w:shd w:val="clear" w:color="auto" w:fill="auto"/>
          </w:tcPr>
          <w:p w14:paraId="4BACEA70" w14:textId="3E9CB26E" w:rsidR="000E0B74" w:rsidRPr="00EE7F07" w:rsidRDefault="00E20291" w:rsidP="00516785">
            <w:pPr>
              <w:rPr>
                <w:sz w:val="22"/>
                <w:szCs w:val="22"/>
              </w:rPr>
            </w:pPr>
            <w:r w:rsidRPr="00EE7F07">
              <w:rPr>
                <w:rFonts w:cs="Arial"/>
                <w:szCs w:val="22"/>
              </w:rPr>
              <w:t>regionalbanking</w:t>
            </w:r>
            <w:r w:rsidR="00CC4BFE" w:rsidRPr="00EE7F07">
              <w:rPr>
                <w:rFonts w:cs="Arial"/>
                <w:szCs w:val="22"/>
              </w:rPr>
              <w:t>@treasury.gov.au</w:t>
            </w:r>
          </w:p>
        </w:tc>
      </w:tr>
      <w:tr w:rsidR="000E0B74" w:rsidRPr="00B85F47" w14:paraId="217784CC" w14:textId="77777777" w:rsidTr="002A100A">
        <w:tc>
          <w:tcPr>
            <w:tcW w:w="1516" w:type="dxa"/>
            <w:shd w:val="clear" w:color="auto" w:fill="auto"/>
          </w:tcPr>
          <w:p w14:paraId="0445C2EB" w14:textId="77777777" w:rsidR="000E0B74" w:rsidRPr="00B85F47" w:rsidRDefault="000E0B74" w:rsidP="0017089D">
            <w:pPr>
              <w:rPr>
                <w:sz w:val="22"/>
                <w:szCs w:val="22"/>
              </w:rPr>
            </w:pPr>
            <w:r w:rsidRPr="00B85F47">
              <w:rPr>
                <w:sz w:val="22"/>
                <w:szCs w:val="22"/>
              </w:rPr>
              <w:t>Mail</w:t>
            </w:r>
          </w:p>
          <w:p w14:paraId="03535DBC" w14:textId="77777777" w:rsidR="008D7F38" w:rsidRPr="00B85F47" w:rsidRDefault="008D7F38" w:rsidP="0017089D">
            <w:pPr>
              <w:rPr>
                <w:sz w:val="22"/>
                <w:szCs w:val="22"/>
              </w:rPr>
            </w:pPr>
          </w:p>
          <w:p w14:paraId="303F96CB" w14:textId="77777777" w:rsidR="008D7F38" w:rsidRPr="00B85F47" w:rsidRDefault="008D7F38" w:rsidP="0017089D">
            <w:pPr>
              <w:rPr>
                <w:sz w:val="22"/>
                <w:szCs w:val="22"/>
              </w:rPr>
            </w:pPr>
          </w:p>
        </w:tc>
        <w:tc>
          <w:tcPr>
            <w:tcW w:w="7554" w:type="dxa"/>
            <w:shd w:val="clear" w:color="auto" w:fill="auto"/>
          </w:tcPr>
          <w:p w14:paraId="0B5B8FB1" w14:textId="77777777" w:rsidR="001831FD" w:rsidRPr="00EE7F07" w:rsidRDefault="009C437A" w:rsidP="0017089D">
            <w:pPr>
              <w:pStyle w:val="SingleParagraph"/>
              <w:rPr>
                <w:rFonts w:cs="Arial"/>
                <w:sz w:val="22"/>
                <w:szCs w:val="22"/>
              </w:rPr>
            </w:pPr>
            <w:r w:rsidRPr="00EE7F07">
              <w:rPr>
                <w:rFonts w:cs="Arial"/>
                <w:szCs w:val="22"/>
              </w:rPr>
              <w:t xml:space="preserve">Secretariat, </w:t>
            </w:r>
          </w:p>
          <w:p w14:paraId="1288A4A5" w14:textId="4CDB1258" w:rsidR="000E0B74" w:rsidRPr="00EE7F07" w:rsidRDefault="009C437A" w:rsidP="0017089D">
            <w:pPr>
              <w:pStyle w:val="SingleParagraph"/>
              <w:rPr>
                <w:rFonts w:cs="Arial"/>
                <w:sz w:val="22"/>
                <w:szCs w:val="22"/>
              </w:rPr>
            </w:pPr>
            <w:r w:rsidRPr="00EE7F07">
              <w:rPr>
                <w:rFonts w:cs="Arial"/>
                <w:szCs w:val="22"/>
              </w:rPr>
              <w:t>Regional Banking Taskforce</w:t>
            </w:r>
          </w:p>
          <w:p w14:paraId="1F210F95" w14:textId="3BCB348D" w:rsidR="000E0B74" w:rsidRPr="00EE7F07" w:rsidRDefault="009C437A" w:rsidP="0017089D">
            <w:pPr>
              <w:pStyle w:val="SingleParagraph"/>
              <w:rPr>
                <w:rFonts w:cs="Arial"/>
                <w:sz w:val="22"/>
                <w:szCs w:val="22"/>
              </w:rPr>
            </w:pPr>
            <w:r w:rsidRPr="00EE7F07">
              <w:rPr>
                <w:rFonts w:cs="Arial"/>
                <w:szCs w:val="22"/>
              </w:rPr>
              <w:t>Financial System Division</w:t>
            </w:r>
          </w:p>
          <w:p w14:paraId="525F7F19" w14:textId="77777777" w:rsidR="000E0B74" w:rsidRPr="00EE7F07" w:rsidRDefault="000E0B74" w:rsidP="0017089D">
            <w:pPr>
              <w:pStyle w:val="SingleParagraph"/>
              <w:rPr>
                <w:rFonts w:cs="Arial"/>
                <w:sz w:val="22"/>
                <w:szCs w:val="22"/>
              </w:rPr>
            </w:pPr>
            <w:r w:rsidRPr="00EE7F07">
              <w:rPr>
                <w:rFonts w:cs="Arial"/>
                <w:szCs w:val="22"/>
              </w:rPr>
              <w:t>The Treasury</w:t>
            </w:r>
          </w:p>
          <w:p w14:paraId="349BD639" w14:textId="77777777" w:rsidR="000E0B74" w:rsidRPr="00EE7F07" w:rsidRDefault="000E0B74" w:rsidP="0017089D">
            <w:pPr>
              <w:pStyle w:val="SingleParagraph"/>
              <w:rPr>
                <w:rFonts w:cs="Arial"/>
                <w:sz w:val="22"/>
                <w:szCs w:val="22"/>
              </w:rPr>
            </w:pPr>
            <w:r w:rsidRPr="00EE7F07">
              <w:rPr>
                <w:rFonts w:cs="Arial"/>
                <w:szCs w:val="22"/>
              </w:rPr>
              <w:t>Langton Crescent</w:t>
            </w:r>
          </w:p>
          <w:p w14:paraId="59761103" w14:textId="77777777" w:rsidR="000E0B74" w:rsidRPr="00FD604D" w:rsidRDefault="000E0B74" w:rsidP="0017089D">
            <w:pPr>
              <w:pStyle w:val="SingleParagraph"/>
              <w:rPr>
                <w:sz w:val="22"/>
                <w:szCs w:val="22"/>
              </w:rPr>
            </w:pPr>
            <w:r w:rsidRPr="00EE7F07">
              <w:rPr>
                <w:szCs w:val="22"/>
              </w:rPr>
              <w:t>PARKES ACT 2600</w:t>
            </w:r>
          </w:p>
        </w:tc>
      </w:tr>
      <w:tr w:rsidR="000E0B74" w:rsidRPr="00B85F47" w14:paraId="5A27FAA6" w14:textId="77777777" w:rsidTr="002A100A">
        <w:tc>
          <w:tcPr>
            <w:tcW w:w="1516" w:type="dxa"/>
            <w:shd w:val="clear" w:color="auto" w:fill="auto"/>
          </w:tcPr>
          <w:p w14:paraId="012E3E62" w14:textId="77777777" w:rsidR="000E0B74" w:rsidRPr="00B85F47" w:rsidRDefault="000E0B74" w:rsidP="0017089D">
            <w:pPr>
              <w:rPr>
                <w:sz w:val="22"/>
                <w:szCs w:val="22"/>
              </w:rPr>
            </w:pPr>
            <w:r w:rsidRPr="00B85F47">
              <w:rPr>
                <w:sz w:val="22"/>
                <w:szCs w:val="22"/>
              </w:rPr>
              <w:t>Enquiries</w:t>
            </w:r>
          </w:p>
        </w:tc>
        <w:tc>
          <w:tcPr>
            <w:tcW w:w="7554" w:type="dxa"/>
            <w:shd w:val="clear" w:color="auto" w:fill="auto"/>
          </w:tcPr>
          <w:p w14:paraId="661BF8E3" w14:textId="1C75EF51" w:rsidR="000E0B74" w:rsidRPr="0078169D" w:rsidRDefault="000E0B74" w:rsidP="0017089D">
            <w:r w:rsidRPr="009A040A">
              <w:rPr>
                <w:rFonts w:cs="Arial"/>
              </w:rPr>
              <w:t xml:space="preserve">Enquiries can be initially directed to </w:t>
            </w:r>
            <w:r w:rsidR="00F65A07" w:rsidRPr="00CD1307">
              <w:rPr>
                <w:rFonts w:cs="Arial"/>
              </w:rPr>
              <w:t>regionalbanking</w:t>
            </w:r>
            <w:r w:rsidR="009C437A" w:rsidRPr="00CD1307">
              <w:rPr>
                <w:rFonts w:cs="Arial"/>
              </w:rPr>
              <w:t>@treasury.gov.au</w:t>
            </w:r>
          </w:p>
        </w:tc>
      </w:tr>
      <w:bookmarkEnd w:id="5"/>
    </w:tbl>
    <w:p w14:paraId="08DA80CE" w14:textId="77777777" w:rsidR="00E10D39" w:rsidRDefault="00E10D39" w:rsidP="0007102C"/>
    <w:p w14:paraId="3830FB82" w14:textId="77777777" w:rsidR="008D7F38" w:rsidRPr="008D7F38" w:rsidRDefault="008D7F38" w:rsidP="008D7F38"/>
    <w:p w14:paraId="4A2D78FA" w14:textId="77777777" w:rsidR="00E10D39" w:rsidRDefault="00E10D39">
      <w:pPr>
        <w:spacing w:before="0" w:after="160" w:line="259" w:lineRule="auto"/>
        <w:rPr>
          <w:rFonts w:cs="Arial"/>
          <w:color w:val="004A7F"/>
          <w:kern w:val="32"/>
          <w:sz w:val="48"/>
          <w:szCs w:val="36"/>
        </w:rPr>
      </w:pPr>
      <w:r>
        <w:br w:type="page"/>
      </w:r>
    </w:p>
    <w:p w14:paraId="4D86E4FD" w14:textId="32B37DE4" w:rsidR="000E0B74" w:rsidRDefault="009C437A" w:rsidP="00354FBB">
      <w:pPr>
        <w:pStyle w:val="Heading1"/>
      </w:pPr>
      <w:bookmarkStart w:id="8" w:name="_Toc88044478"/>
      <w:bookmarkStart w:id="9" w:name="_Toc88123442"/>
      <w:r>
        <w:lastRenderedPageBreak/>
        <w:t>Regional Banking Taskforce</w:t>
      </w:r>
      <w:bookmarkEnd w:id="8"/>
      <w:bookmarkEnd w:id="9"/>
    </w:p>
    <w:p w14:paraId="4B0B9367" w14:textId="15F632AB" w:rsidR="000E0B74" w:rsidRDefault="000E0B74" w:rsidP="000E0B74">
      <w:pPr>
        <w:pStyle w:val="Heading2"/>
      </w:pPr>
      <w:bookmarkStart w:id="10" w:name="_Toc306887371"/>
      <w:bookmarkStart w:id="11" w:name="_Toc432064635"/>
      <w:bookmarkStart w:id="12" w:name="_Toc88044479"/>
      <w:bookmarkStart w:id="13" w:name="_Toc88123443"/>
      <w:r>
        <w:t>Introduction</w:t>
      </w:r>
      <w:bookmarkEnd w:id="10"/>
      <w:bookmarkEnd w:id="11"/>
      <w:bookmarkEnd w:id="12"/>
      <w:bookmarkEnd w:id="13"/>
    </w:p>
    <w:p w14:paraId="1622B9ED" w14:textId="4C20A98D" w:rsidR="000E0B74" w:rsidRDefault="009C437A" w:rsidP="00E10D39">
      <w:r w:rsidRPr="00FB7D43">
        <w:t>On 22 October 2021,</w:t>
      </w:r>
      <w:r w:rsidR="007F559A">
        <w:t xml:space="preserve"> </w:t>
      </w:r>
      <w:r>
        <w:t>the Hon Michael Sukkar MP (</w:t>
      </w:r>
      <w:r w:rsidRPr="00450C2F">
        <w:t>the Assistant Treasur</w:t>
      </w:r>
      <w:r w:rsidR="00C12482">
        <w:t>er</w:t>
      </w:r>
      <w:r>
        <w:t>, the Minister for Housing and the Minister for Homelessness, Social and Community Housing)</w:t>
      </w:r>
      <w:r w:rsidR="007F559A">
        <w:t>,</w:t>
      </w:r>
      <w:r w:rsidR="007F559A" w:rsidRPr="007F559A">
        <w:t xml:space="preserve"> </w:t>
      </w:r>
      <w:r w:rsidR="007F559A">
        <w:t>Senator the Hon Bridget McKenzie (the Minister for Emergency Management and National Recovery and Resilience and Minister for Regionalisation, Regional Communications and Regional Education)</w:t>
      </w:r>
      <w:r>
        <w:t xml:space="preserve"> and Senator Perin Davey announced the formation of </w:t>
      </w:r>
      <w:r w:rsidR="000A0BB4">
        <w:t>the</w:t>
      </w:r>
      <w:r w:rsidR="00776FFD">
        <w:t xml:space="preserve"> </w:t>
      </w:r>
      <w:r>
        <w:t>Regional Banking Taskforce to examine the impact of bank branch closures in the regions as outlined in the Terms of Reference below</w:t>
      </w:r>
      <w:r w:rsidR="007575A6">
        <w:t>.</w:t>
      </w:r>
    </w:p>
    <w:p w14:paraId="7C5B29E3" w14:textId="77777777" w:rsidR="007575A6" w:rsidRPr="00255BC8" w:rsidRDefault="007575A6" w:rsidP="00B95477">
      <w:pPr>
        <w:pStyle w:val="Heading3"/>
      </w:pPr>
      <w:bookmarkStart w:id="14" w:name="_Toc88123444"/>
      <w:r>
        <w:t>Terms of Reference</w:t>
      </w:r>
      <w:bookmarkEnd w:id="14"/>
    </w:p>
    <w:p w14:paraId="5062E71E" w14:textId="77777777" w:rsidR="007575A6" w:rsidRPr="00FB7D43" w:rsidRDefault="007575A6" w:rsidP="007575A6">
      <w:pPr>
        <w:pStyle w:val="Bullet"/>
        <w:numPr>
          <w:ilvl w:val="0"/>
          <w:numId w:val="0"/>
        </w:numPr>
      </w:pPr>
      <w:r w:rsidRPr="00FB7D43">
        <w:t xml:space="preserve">The Government has established the Regional Banking Taskforce (“Taskforce”). The purpose of the Taskforce is to bring together banks and other key stakeholders to work together in partnership to share information and identify ways in which banks, in collaboration with Government, assess the impact of bank branch closures in the regions. </w:t>
      </w:r>
    </w:p>
    <w:p w14:paraId="7D495B43" w14:textId="77777777" w:rsidR="007575A6" w:rsidRPr="00FB7D43" w:rsidRDefault="007575A6" w:rsidP="007575A6">
      <w:pPr>
        <w:pStyle w:val="Bullet"/>
        <w:numPr>
          <w:ilvl w:val="0"/>
          <w:numId w:val="0"/>
        </w:numPr>
      </w:pPr>
      <w:r w:rsidRPr="00FB7D43">
        <w:t xml:space="preserve">The Taskforce will: </w:t>
      </w:r>
    </w:p>
    <w:p w14:paraId="023F12BA" w14:textId="77777777" w:rsidR="007575A6" w:rsidRPr="004F2D66" w:rsidRDefault="007575A6" w:rsidP="007575A6">
      <w:pPr>
        <w:pStyle w:val="Bullet"/>
        <w:tabs>
          <w:tab w:val="clear" w:pos="283"/>
          <w:tab w:val="num" w:pos="567"/>
        </w:tabs>
      </w:pPr>
      <w:r w:rsidRPr="004F2D66">
        <w:t xml:space="preserve">Analyse the trends in bank branch closures in regional and remote Australia; </w:t>
      </w:r>
    </w:p>
    <w:p w14:paraId="48BE26F0" w14:textId="77777777" w:rsidR="007575A6" w:rsidRPr="004F2D66" w:rsidRDefault="007575A6" w:rsidP="007575A6">
      <w:pPr>
        <w:pStyle w:val="Bullet"/>
        <w:tabs>
          <w:tab w:val="clear" w:pos="283"/>
          <w:tab w:val="num" w:pos="567"/>
        </w:tabs>
      </w:pPr>
      <w:r w:rsidRPr="004F2D66">
        <w:t>Assess the impacts of these branch closures on individuals, businesses</w:t>
      </w:r>
      <w:r>
        <w:t>, community organisations</w:t>
      </w:r>
      <w:r w:rsidRPr="004F2D66">
        <w:t xml:space="preserve"> and regional industries </w:t>
      </w:r>
      <w:r>
        <w:t xml:space="preserve">(including business and land values) </w:t>
      </w:r>
      <w:r w:rsidRPr="004F2D66">
        <w:t xml:space="preserve">and determine accessibility issues </w:t>
      </w:r>
      <w:r>
        <w:t xml:space="preserve">and wider impacts on communities </w:t>
      </w:r>
      <w:r w:rsidRPr="004F2D66">
        <w:t xml:space="preserve">from these branch closures for banking facilities, services and products; </w:t>
      </w:r>
    </w:p>
    <w:p w14:paraId="41E895F6" w14:textId="77777777" w:rsidR="007575A6" w:rsidRPr="004F2D66" w:rsidRDefault="007575A6" w:rsidP="007575A6">
      <w:pPr>
        <w:pStyle w:val="Bullet"/>
        <w:tabs>
          <w:tab w:val="clear" w:pos="283"/>
          <w:tab w:val="num" w:pos="567"/>
        </w:tabs>
      </w:pPr>
      <w:r w:rsidRPr="004F2D66">
        <w:t xml:space="preserve">Assess how banks transition their services and delivery models to communities where they have closed (or will close) branches; </w:t>
      </w:r>
    </w:p>
    <w:p w14:paraId="12CDE7DF" w14:textId="77777777" w:rsidR="007575A6" w:rsidRDefault="007575A6" w:rsidP="007575A6">
      <w:pPr>
        <w:pStyle w:val="Bullet"/>
        <w:tabs>
          <w:tab w:val="clear" w:pos="283"/>
          <w:tab w:val="num" w:pos="567"/>
        </w:tabs>
      </w:pPr>
      <w:r w:rsidRPr="004F2D66">
        <w:t xml:space="preserve">Identify alternatives to bank branch models that would maintain or improve banking services and accessibility in areas where branches have been closed and potential solutions to overcome accessibility issues where branches have closed. </w:t>
      </w:r>
    </w:p>
    <w:p w14:paraId="46005367" w14:textId="0B5F4536" w:rsidR="008576EA" w:rsidRPr="004F2D66" w:rsidRDefault="008576EA" w:rsidP="008576EA">
      <w:pPr>
        <w:pStyle w:val="Bullet"/>
        <w:numPr>
          <w:ilvl w:val="0"/>
          <w:numId w:val="0"/>
        </w:numPr>
      </w:pPr>
      <w:r w:rsidRPr="00756E3F">
        <w:t>Members agree to share relevant data and other information to assist in performing these functions but will not be required to share any data or other information, or act in a particular way, if to do so would be in breach of obligations under competition and other laws or is commercially sensitive.</w:t>
      </w:r>
    </w:p>
    <w:p w14:paraId="36371DDE" w14:textId="72242130" w:rsidR="00A868C0" w:rsidRDefault="00AF2768" w:rsidP="007575A6">
      <w:pPr>
        <w:pStyle w:val="Heading2"/>
      </w:pPr>
      <w:bookmarkStart w:id="15" w:name="_Toc88044480"/>
      <w:bookmarkStart w:id="16" w:name="_Toc88123445"/>
      <w:r>
        <w:t>Importance of s</w:t>
      </w:r>
      <w:r w:rsidR="00A868C0">
        <w:t>upporting regional communities</w:t>
      </w:r>
      <w:bookmarkEnd w:id="15"/>
      <w:bookmarkEnd w:id="16"/>
    </w:p>
    <w:p w14:paraId="2AF1C7A9" w14:textId="1C2E6D00" w:rsidR="002A6AC3" w:rsidRPr="007905C9" w:rsidRDefault="00712FB1" w:rsidP="00A868C0">
      <w:r w:rsidRPr="007905C9">
        <w:t xml:space="preserve">Investing in </w:t>
      </w:r>
      <w:r w:rsidR="005421FB" w:rsidRPr="007905C9">
        <w:t>Australia’s regions</w:t>
      </w:r>
      <w:r w:rsidRPr="007905C9">
        <w:t xml:space="preserve"> is important to Australia’s ongoing economic growth, sustainability and quality of life</w:t>
      </w:r>
      <w:r w:rsidR="002A6AC3" w:rsidRPr="007905C9">
        <w:t>. P</w:t>
      </w:r>
      <w:r w:rsidR="005421FB" w:rsidRPr="007905C9">
        <w:t xml:space="preserve">articularly following the </w:t>
      </w:r>
      <w:r w:rsidR="00545466" w:rsidRPr="007905C9">
        <w:t xml:space="preserve">recent </w:t>
      </w:r>
      <w:r w:rsidR="005421FB" w:rsidRPr="007905C9">
        <w:t xml:space="preserve">challenges of widespread drought conditions, bushfires, devastating floods and the COVID-19 pandemic, </w:t>
      </w:r>
      <w:r w:rsidR="002A6AC3" w:rsidRPr="007905C9">
        <w:t xml:space="preserve">it has been </w:t>
      </w:r>
      <w:r w:rsidR="00291003" w:rsidRPr="007905C9">
        <w:t>especially critical</w:t>
      </w:r>
      <w:r w:rsidR="002A6AC3" w:rsidRPr="007905C9">
        <w:t xml:space="preserve"> to support and grow regional Australia.</w:t>
      </w:r>
      <w:r w:rsidR="005421FB" w:rsidRPr="007905C9">
        <w:t xml:space="preserve"> </w:t>
      </w:r>
    </w:p>
    <w:p w14:paraId="284E765B" w14:textId="6CB7AAD8" w:rsidR="00291003" w:rsidRPr="007905C9" w:rsidRDefault="00D63CB2" w:rsidP="00A868C0">
      <w:r w:rsidRPr="007905C9">
        <w:t>The Taskforce</w:t>
      </w:r>
      <w:r w:rsidR="00545466" w:rsidRPr="007905C9">
        <w:t>,</w:t>
      </w:r>
      <w:r w:rsidRPr="007905C9">
        <w:t xml:space="preserve"> </w:t>
      </w:r>
      <w:r w:rsidR="00340092" w:rsidRPr="007905C9">
        <w:t xml:space="preserve">by </w:t>
      </w:r>
      <w:r w:rsidR="00706719" w:rsidRPr="007905C9">
        <w:t>examining the role of</w:t>
      </w:r>
      <w:r w:rsidR="00340092" w:rsidRPr="007905C9">
        <w:t xml:space="preserve"> bank branches and banking services in regional Australia</w:t>
      </w:r>
      <w:r w:rsidR="00545466" w:rsidRPr="007905C9">
        <w:t>,</w:t>
      </w:r>
      <w:r w:rsidR="00340092" w:rsidRPr="007905C9">
        <w:t xml:space="preserve"> </w:t>
      </w:r>
      <w:r w:rsidRPr="007905C9">
        <w:t>builds o</w:t>
      </w:r>
      <w:r w:rsidR="00CC6D50" w:rsidRPr="007905C9">
        <w:t>n</w:t>
      </w:r>
      <w:r w:rsidR="00755521" w:rsidRPr="007905C9">
        <w:t xml:space="preserve"> </w:t>
      </w:r>
      <w:r w:rsidR="00AF082B" w:rsidRPr="007905C9">
        <w:t xml:space="preserve">the </w:t>
      </w:r>
      <w:r w:rsidR="00755521" w:rsidRPr="007905C9">
        <w:t xml:space="preserve">work the Government </w:t>
      </w:r>
      <w:r w:rsidR="00DD1E71" w:rsidRPr="007905C9">
        <w:t xml:space="preserve">is doing </w:t>
      </w:r>
      <w:r w:rsidR="00F06FD6" w:rsidRPr="007905C9">
        <w:t xml:space="preserve">to </w:t>
      </w:r>
      <w:r w:rsidR="00CC6D50" w:rsidRPr="007905C9">
        <w:t>ensur</w:t>
      </w:r>
      <w:r w:rsidR="00F06FD6" w:rsidRPr="007905C9">
        <w:t>e</w:t>
      </w:r>
      <w:r w:rsidR="00CC6D50" w:rsidRPr="007905C9">
        <w:t xml:space="preserve"> regions have the jobs and services they need for growing populations</w:t>
      </w:r>
      <w:r w:rsidR="00291003" w:rsidRPr="007905C9">
        <w:t xml:space="preserve"> and </w:t>
      </w:r>
      <w:r w:rsidR="00D3746E" w:rsidRPr="007905C9">
        <w:t>to</w:t>
      </w:r>
      <w:r w:rsidR="00CC6D50" w:rsidRPr="007905C9">
        <w:t xml:space="preserve"> </w:t>
      </w:r>
      <w:r w:rsidR="00755521" w:rsidRPr="007905C9">
        <w:t>support</w:t>
      </w:r>
      <w:r w:rsidR="00CC6D50" w:rsidRPr="007905C9">
        <w:t xml:space="preserve"> and accelerate sustainable growth</w:t>
      </w:r>
      <w:r w:rsidR="00DD1E71" w:rsidRPr="007905C9">
        <w:t xml:space="preserve"> in regional Australia</w:t>
      </w:r>
      <w:r w:rsidR="00755521" w:rsidRPr="007905C9">
        <w:t xml:space="preserve">. </w:t>
      </w:r>
      <w:r w:rsidR="002A6AC3" w:rsidRPr="007905C9">
        <w:t xml:space="preserve"> This includes </w:t>
      </w:r>
      <w:r w:rsidR="00340092" w:rsidRPr="007905C9">
        <w:t>investments</w:t>
      </w:r>
      <w:r w:rsidR="006A7B92" w:rsidRPr="007905C9">
        <w:t xml:space="preserve"> in improved telecommunications connectivity</w:t>
      </w:r>
      <w:r w:rsidR="00DD1E71" w:rsidRPr="007905C9">
        <w:t xml:space="preserve"> (</w:t>
      </w:r>
      <w:r w:rsidR="003B036B" w:rsidRPr="007905C9">
        <w:t xml:space="preserve">such as </w:t>
      </w:r>
      <w:r w:rsidR="0041215D">
        <w:t xml:space="preserve">through </w:t>
      </w:r>
      <w:r w:rsidR="00DD1E71" w:rsidRPr="007905C9">
        <w:t xml:space="preserve">the Mobile </w:t>
      </w:r>
      <w:r w:rsidR="0041215D">
        <w:t xml:space="preserve">Black </w:t>
      </w:r>
      <w:r w:rsidR="00DD1E71" w:rsidRPr="007905C9">
        <w:t>Spot Program and Regional Connectivity Program)</w:t>
      </w:r>
      <w:r w:rsidR="00291003" w:rsidRPr="007905C9">
        <w:t xml:space="preserve">, regional education and </w:t>
      </w:r>
      <w:r w:rsidR="00340092" w:rsidRPr="007905C9">
        <w:t xml:space="preserve">rail </w:t>
      </w:r>
      <w:r w:rsidR="00291003" w:rsidRPr="007905C9">
        <w:t>infrastructure</w:t>
      </w:r>
      <w:r w:rsidR="00340092" w:rsidRPr="007905C9">
        <w:t xml:space="preserve"> (through the Inland Rail project)</w:t>
      </w:r>
      <w:r w:rsidR="00291003" w:rsidRPr="007905C9">
        <w:t xml:space="preserve">. </w:t>
      </w:r>
    </w:p>
    <w:p w14:paraId="493437C9" w14:textId="5394C72E" w:rsidR="00291003" w:rsidRPr="000A0BB4" w:rsidRDefault="00291003" w:rsidP="00A868C0">
      <w:r w:rsidRPr="007905C9">
        <w:lastRenderedPageBreak/>
        <w:t>The Taskforce is part of the Government’s economic plan to support the recovery and keep Australians together.</w:t>
      </w:r>
      <w:r w:rsidR="00502A55">
        <w:t xml:space="preserve"> </w:t>
      </w:r>
      <w:r w:rsidR="00502A55" w:rsidRPr="00F84BC6">
        <w:t xml:space="preserve">The Government </w:t>
      </w:r>
      <w:r w:rsidR="00903139">
        <w:t xml:space="preserve">has </w:t>
      </w:r>
      <w:r w:rsidR="005B75BC">
        <w:t xml:space="preserve">previously </w:t>
      </w:r>
      <w:r w:rsidR="00903139">
        <w:t>worked</w:t>
      </w:r>
      <w:r w:rsidR="00502A55" w:rsidRPr="00F84BC6">
        <w:t xml:space="preserve"> with ban</w:t>
      </w:r>
      <w:r w:rsidR="00502A55">
        <w:t>ks</w:t>
      </w:r>
      <w:r w:rsidR="00502A55" w:rsidRPr="00F84BC6">
        <w:t xml:space="preserve"> and other</w:t>
      </w:r>
      <w:r w:rsidR="00502A55">
        <w:t xml:space="preserve"> organisations</w:t>
      </w:r>
      <w:r w:rsidR="00502A55" w:rsidRPr="00F84BC6">
        <w:t xml:space="preserve"> through the Drought Finance Taskforce to share information and identify ways to assist farms and other businesses in drought-affected regions.</w:t>
      </w:r>
    </w:p>
    <w:p w14:paraId="668A0EFD" w14:textId="6105CA84" w:rsidR="007575A6" w:rsidRDefault="007575A6" w:rsidP="007575A6">
      <w:pPr>
        <w:pStyle w:val="Heading2"/>
      </w:pPr>
      <w:bookmarkStart w:id="17" w:name="_Toc88044481"/>
      <w:bookmarkStart w:id="18" w:name="_Toc88123446"/>
      <w:r>
        <w:t>Bank branch closures</w:t>
      </w:r>
      <w:bookmarkEnd w:id="17"/>
      <w:bookmarkEnd w:id="18"/>
    </w:p>
    <w:p w14:paraId="0BBD1362" w14:textId="77777777" w:rsidR="007575A6" w:rsidRDefault="007575A6" w:rsidP="007575A6">
      <w:pPr>
        <w:pStyle w:val="Heading3"/>
      </w:pPr>
      <w:bookmarkStart w:id="19" w:name="_Toc85979412"/>
      <w:bookmarkStart w:id="20" w:name="_Toc88044482"/>
      <w:bookmarkStart w:id="21" w:name="_Toc88123447"/>
      <w:r>
        <w:t>Context</w:t>
      </w:r>
      <w:bookmarkEnd w:id="19"/>
      <w:bookmarkEnd w:id="20"/>
      <w:bookmarkEnd w:id="21"/>
      <w:r w:rsidRPr="003F4E8E">
        <w:t xml:space="preserve"> </w:t>
      </w:r>
    </w:p>
    <w:p w14:paraId="0ED4280F" w14:textId="09F6BC91" w:rsidR="001831FD" w:rsidRDefault="00A95B58" w:rsidP="007575A6">
      <w:r w:rsidRPr="004539C1">
        <w:t xml:space="preserve">Banks provide a wide variety of services to their customers. These include </w:t>
      </w:r>
      <w:r w:rsidR="00323DEE" w:rsidRPr="004539C1">
        <w:t>enabling</w:t>
      </w:r>
      <w:r w:rsidR="00CF7DAD" w:rsidRPr="004539C1">
        <w:t xml:space="preserve"> customers to open and close accounts, </w:t>
      </w:r>
      <w:r w:rsidR="00323DEE" w:rsidRPr="004539C1">
        <w:t xml:space="preserve">to </w:t>
      </w:r>
      <w:r w:rsidRPr="004539C1">
        <w:t>deposit and withdraw cash</w:t>
      </w:r>
      <w:r w:rsidR="00323DEE" w:rsidRPr="004539C1">
        <w:t xml:space="preserve"> and to</w:t>
      </w:r>
      <w:r w:rsidR="00CF7DAD" w:rsidRPr="004539C1">
        <w:t xml:space="preserve"> obtain various types of loans. </w:t>
      </w:r>
      <w:r w:rsidR="007575A6" w:rsidRPr="004539C1">
        <w:t>Historically, bank</w:t>
      </w:r>
      <w:r w:rsidR="006F601D" w:rsidRPr="004539C1">
        <w:t>s</w:t>
      </w:r>
      <w:r w:rsidR="007F559A" w:rsidRPr="004539C1">
        <w:t xml:space="preserve"> </w:t>
      </w:r>
      <w:r w:rsidR="007575A6" w:rsidRPr="004539C1">
        <w:t xml:space="preserve">tended to deliver </w:t>
      </w:r>
      <w:r w:rsidR="006F601D" w:rsidRPr="004539C1">
        <w:t xml:space="preserve">these services </w:t>
      </w:r>
      <w:r w:rsidR="007575A6" w:rsidRPr="004539C1">
        <w:t xml:space="preserve">through </w:t>
      </w:r>
      <w:r w:rsidR="006F601D" w:rsidRPr="004539C1">
        <w:t>their</w:t>
      </w:r>
      <w:r w:rsidR="007575A6" w:rsidRPr="004539C1">
        <w:t xml:space="preserve"> branches</w:t>
      </w:r>
      <w:r w:rsidR="00CF7DAD" w:rsidRPr="004539C1">
        <w:t xml:space="preserve">, though Australia Post </w:t>
      </w:r>
      <w:r w:rsidR="00354D5C" w:rsidRPr="004539C1">
        <w:t xml:space="preserve">also </w:t>
      </w:r>
      <w:r w:rsidR="00CF7DAD" w:rsidRPr="004539C1">
        <w:t>has a long history of providing some banking services.</w:t>
      </w:r>
      <w:r w:rsidR="00117978" w:rsidRPr="004539C1">
        <w:t xml:space="preserve"> </w:t>
      </w:r>
    </w:p>
    <w:p w14:paraId="7836E1FF" w14:textId="3530715C" w:rsidR="00027283" w:rsidRDefault="00FB5A22" w:rsidP="007575A6">
      <w:r>
        <w:t>Over time, however,</w:t>
      </w:r>
      <w:r w:rsidR="00027283">
        <w:t xml:space="preserve"> the </w:t>
      </w:r>
      <w:r>
        <w:t xml:space="preserve">provision </w:t>
      </w:r>
      <w:r w:rsidR="00027283">
        <w:t>of banking service</w:t>
      </w:r>
      <w:r>
        <w:t>s</w:t>
      </w:r>
      <w:r w:rsidR="00027283">
        <w:t xml:space="preserve"> has changed. </w:t>
      </w:r>
      <w:r w:rsidR="00027283" w:rsidRPr="003B58AE">
        <w:t>Changes</w:t>
      </w:r>
      <w:r w:rsidR="00027283">
        <w:t xml:space="preserve"> in financial </w:t>
      </w:r>
      <w:r w:rsidR="00027283" w:rsidRPr="00682BAC">
        <w:t xml:space="preserve">regulation, technological </w:t>
      </w:r>
      <w:r w:rsidR="00027283">
        <w:t>developments like the growing use of electronic banking</w:t>
      </w:r>
      <w:r w:rsidR="00027283" w:rsidRPr="00682BAC">
        <w:t xml:space="preserve">, shifts in consumer demands and demographic </w:t>
      </w:r>
      <w:r w:rsidR="00027283">
        <w:t xml:space="preserve">shifts towards larger cities and towns have </w:t>
      </w:r>
      <w:r w:rsidR="00027283" w:rsidRPr="00682BAC">
        <w:t xml:space="preserve">contributed to the pressure on banks to </w:t>
      </w:r>
      <w:r w:rsidR="00027283">
        <w:t>reduce</w:t>
      </w:r>
      <w:r w:rsidR="00027283" w:rsidRPr="00682BAC">
        <w:t xml:space="preserve"> their branch networks</w:t>
      </w:r>
      <w:r w:rsidR="00027283">
        <w:t>.</w:t>
      </w:r>
      <w:r w:rsidR="00027283">
        <w:rPr>
          <w:rStyle w:val="FootnoteReference"/>
        </w:rPr>
        <w:footnoteReference w:id="2"/>
      </w:r>
      <w:r w:rsidR="00027283" w:rsidRPr="00682BAC">
        <w:t xml:space="preserve"> </w:t>
      </w:r>
      <w:r w:rsidR="00027283">
        <w:t>Reflecting this, in the 1990s and early 2000s bank branch closures raised concerns about access to banking services in remote and regional Australia.</w:t>
      </w:r>
    </w:p>
    <w:p w14:paraId="26887221" w14:textId="64D0BE6E" w:rsidR="00AD56FE" w:rsidRPr="000A0BB4" w:rsidRDefault="00027283" w:rsidP="00027283">
      <w:pPr>
        <w:rPr>
          <w:bCs/>
        </w:rPr>
      </w:pPr>
      <w:r w:rsidRPr="000A0BB4">
        <w:rPr>
          <w:bCs/>
        </w:rPr>
        <w:t>These concerns were reflected in a series of reports. The 1997 Wallis Inquiry into Financial Services discussed the role of branches and the need to r</w:t>
      </w:r>
      <w:r w:rsidRPr="007C04F8">
        <w:rPr>
          <w:bCs/>
        </w:rPr>
        <w:t>eplace</w:t>
      </w:r>
      <w:r w:rsidRPr="007C04F8">
        <w:t xml:space="preserve"> any closed rural bank branches with alternative delivery channels. The 1999 </w:t>
      </w:r>
      <w:r w:rsidRPr="007C04F8">
        <w:rPr>
          <w:i/>
          <w:iCs/>
        </w:rPr>
        <w:t>Regional Banking Services: Money Too Far Away</w:t>
      </w:r>
      <w:r w:rsidRPr="007C04F8">
        <w:t xml:space="preserve"> report (from the House of Representatives Standing Committee on Economics, Finance and Public Administration)</w:t>
      </w:r>
      <w:r w:rsidRPr="009D3A82">
        <w:t xml:space="preserve"> </w:t>
      </w:r>
      <w:r w:rsidRPr="007C04F8">
        <w:t xml:space="preserve">included discussion of the access to cash withdrawal and deposit facilities and the 2004 Parliamentary Inquiry report, </w:t>
      </w:r>
      <w:r w:rsidRPr="007C04F8">
        <w:rPr>
          <w:i/>
          <w:iCs/>
        </w:rPr>
        <w:t>Money Matters in the Bush</w:t>
      </w:r>
      <w:r w:rsidRPr="007C04F8">
        <w:t>, highlighted the level of dissatisfaction felt in and by communities where bank branches had closed</w:t>
      </w:r>
      <w:r w:rsidR="009D6C76">
        <w:t>,</w:t>
      </w:r>
      <w:r w:rsidRPr="007C04F8">
        <w:t xml:space="preserve"> with some seeing it as part of a general erosion of services to the country. </w:t>
      </w:r>
      <w:r w:rsidR="009D6C76">
        <w:rPr>
          <w:bCs/>
        </w:rPr>
        <w:t>T</w:t>
      </w:r>
      <w:r w:rsidRPr="00B062A3">
        <w:rPr>
          <w:bCs/>
        </w:rPr>
        <w:t xml:space="preserve">hese </w:t>
      </w:r>
      <w:r w:rsidRPr="00B062A3">
        <w:t xml:space="preserve">concerns have persisted with the recent Royal Commission into Misconduct in the Banking, Superannuation and Financial Services Industry discussing how </w:t>
      </w:r>
      <w:r>
        <w:t>regional and remote customers can be financially excluded</w:t>
      </w:r>
      <w:r w:rsidRPr="00B062A3">
        <w:t xml:space="preserve"> and recommending that the Banking Code be amended so banks work with customers in remote areas to identify how those customers can access and undertake their banking.</w:t>
      </w:r>
      <w:r w:rsidRPr="00B062A3">
        <w:rPr>
          <w:rStyle w:val="FootnoteReference"/>
        </w:rPr>
        <w:footnoteReference w:id="3"/>
      </w:r>
      <w:r>
        <w:rPr>
          <w:bCs/>
        </w:rPr>
        <w:t xml:space="preserve"> </w:t>
      </w:r>
    </w:p>
    <w:p w14:paraId="45A606B5" w14:textId="77777777" w:rsidR="00B12526" w:rsidRDefault="00BE356A" w:rsidP="0078169D">
      <w:pPr>
        <w:rPr>
          <w:bCs/>
        </w:rPr>
      </w:pPr>
      <w:r>
        <w:rPr>
          <w:bCs/>
        </w:rPr>
        <w:t xml:space="preserve">Following on from </w:t>
      </w:r>
      <w:r w:rsidR="00133CEA">
        <w:rPr>
          <w:bCs/>
        </w:rPr>
        <w:t>earlier branch closures</w:t>
      </w:r>
      <w:r w:rsidR="002F2BB8">
        <w:rPr>
          <w:bCs/>
        </w:rPr>
        <w:t>,</w:t>
      </w:r>
      <w:r w:rsidR="007F3099">
        <w:rPr>
          <w:bCs/>
        </w:rPr>
        <w:t xml:space="preserve"> t</w:t>
      </w:r>
      <w:r>
        <w:rPr>
          <w:bCs/>
        </w:rPr>
        <w:t xml:space="preserve">here has been </w:t>
      </w:r>
      <w:r w:rsidR="007575A6" w:rsidRPr="007C04F8">
        <w:rPr>
          <w:bCs/>
        </w:rPr>
        <w:t>a significant decline in the number of bank branches in Australia</w:t>
      </w:r>
      <w:r w:rsidR="002F2BB8">
        <w:rPr>
          <w:bCs/>
        </w:rPr>
        <w:t xml:space="preserve"> more recently</w:t>
      </w:r>
      <w:r w:rsidR="007575A6" w:rsidRPr="007C04F8">
        <w:rPr>
          <w:bCs/>
        </w:rPr>
        <w:t xml:space="preserve"> (Figure 1)</w:t>
      </w:r>
      <w:r w:rsidR="000D306C" w:rsidRPr="007C04F8">
        <w:rPr>
          <w:bCs/>
        </w:rPr>
        <w:t>. T</w:t>
      </w:r>
      <w:r w:rsidR="007575A6" w:rsidRPr="007C04F8">
        <w:rPr>
          <w:bCs/>
        </w:rPr>
        <w:t xml:space="preserve">he number of branches in regional and remote Australia </w:t>
      </w:r>
      <w:r w:rsidR="002802BE">
        <w:rPr>
          <w:bCs/>
        </w:rPr>
        <w:t>has fallen</w:t>
      </w:r>
      <w:r w:rsidR="002802BE" w:rsidRPr="007C04F8">
        <w:rPr>
          <w:bCs/>
        </w:rPr>
        <w:t xml:space="preserve"> </w:t>
      </w:r>
      <w:r w:rsidR="007575A6" w:rsidRPr="007C04F8">
        <w:rPr>
          <w:bCs/>
        </w:rPr>
        <w:t xml:space="preserve">from around 2,500 to 1,900 in the four years to June 2021 (a decline </w:t>
      </w:r>
      <w:r w:rsidR="007F559A" w:rsidRPr="007C04F8">
        <w:rPr>
          <w:bCs/>
        </w:rPr>
        <w:t>of almost</w:t>
      </w:r>
      <w:r w:rsidR="007575A6" w:rsidRPr="007C04F8">
        <w:rPr>
          <w:bCs/>
        </w:rPr>
        <w:t xml:space="preserve"> a quarter)</w:t>
      </w:r>
      <w:r w:rsidR="000D306C" w:rsidRPr="007C04F8">
        <w:rPr>
          <w:bCs/>
        </w:rPr>
        <w:t xml:space="preserve"> with a </w:t>
      </w:r>
      <w:r w:rsidR="0009713B">
        <w:rPr>
          <w:bCs/>
        </w:rPr>
        <w:t>5</w:t>
      </w:r>
      <w:r w:rsidR="000D306C" w:rsidRPr="007C04F8">
        <w:rPr>
          <w:bCs/>
        </w:rPr>
        <w:t xml:space="preserve"> per cent decline in branches in the past year</w:t>
      </w:r>
      <w:r w:rsidR="006C6304" w:rsidRPr="007C04F8">
        <w:rPr>
          <w:bCs/>
        </w:rPr>
        <w:t>.</w:t>
      </w:r>
      <w:r w:rsidR="000D306C" w:rsidRPr="007C04F8">
        <w:rPr>
          <w:bCs/>
        </w:rPr>
        <w:t xml:space="preserve"> </w:t>
      </w:r>
      <w:r w:rsidR="00B803A4">
        <w:rPr>
          <w:bCs/>
        </w:rPr>
        <w:t>T</w:t>
      </w:r>
      <w:r w:rsidR="000D306C" w:rsidRPr="007C04F8">
        <w:rPr>
          <w:bCs/>
        </w:rPr>
        <w:t>here have been</w:t>
      </w:r>
      <w:r w:rsidR="00B803A4">
        <w:rPr>
          <w:bCs/>
        </w:rPr>
        <w:t xml:space="preserve"> similar declines </w:t>
      </w:r>
      <w:r w:rsidR="000D306C" w:rsidRPr="007C04F8">
        <w:rPr>
          <w:bCs/>
        </w:rPr>
        <w:t xml:space="preserve">at a national level with bank branches declining </w:t>
      </w:r>
      <w:r w:rsidR="00043FEF" w:rsidRPr="007C04F8">
        <w:rPr>
          <w:bCs/>
        </w:rPr>
        <w:t xml:space="preserve">from around 5,800 to 4,500 over the past four years. </w:t>
      </w:r>
      <w:r w:rsidR="00706719">
        <w:rPr>
          <w:bCs/>
        </w:rPr>
        <w:t>T</w:t>
      </w:r>
      <w:r w:rsidR="00043FEF" w:rsidRPr="007C04F8">
        <w:rPr>
          <w:bCs/>
        </w:rPr>
        <w:t>he effect</w:t>
      </w:r>
      <w:r w:rsidR="00706719">
        <w:rPr>
          <w:bCs/>
        </w:rPr>
        <w:t>s</w:t>
      </w:r>
      <w:r w:rsidR="00043FEF" w:rsidRPr="007C04F8">
        <w:rPr>
          <w:bCs/>
        </w:rPr>
        <w:t xml:space="preserve"> of </w:t>
      </w:r>
      <w:r w:rsidR="006E48C3" w:rsidRPr="007C04F8">
        <w:rPr>
          <w:bCs/>
        </w:rPr>
        <w:t>these declines may be</w:t>
      </w:r>
      <w:r w:rsidR="00043FEF" w:rsidRPr="007C04F8">
        <w:rPr>
          <w:bCs/>
        </w:rPr>
        <w:t xml:space="preserve"> particularly felt in regional communities</w:t>
      </w:r>
      <w:r w:rsidR="00706719">
        <w:rPr>
          <w:bCs/>
        </w:rPr>
        <w:t>,</w:t>
      </w:r>
      <w:r w:rsidR="00043FEF" w:rsidRPr="007C04F8">
        <w:rPr>
          <w:bCs/>
        </w:rPr>
        <w:t xml:space="preserve"> where closures can affect the liveability of towns, </w:t>
      </w:r>
      <w:r w:rsidR="006E48C3" w:rsidRPr="007C04F8">
        <w:rPr>
          <w:bCs/>
        </w:rPr>
        <w:t>especially</w:t>
      </w:r>
      <w:r w:rsidR="00043FEF" w:rsidRPr="007C04F8">
        <w:rPr>
          <w:bCs/>
        </w:rPr>
        <w:t xml:space="preserve"> for residents who are unable to use online services to do their banking.</w:t>
      </w:r>
    </w:p>
    <w:p w14:paraId="216DDAA7" w14:textId="77777777" w:rsidR="00B12526" w:rsidRDefault="00B12526">
      <w:pPr>
        <w:spacing w:before="0" w:after="160" w:line="259" w:lineRule="auto"/>
        <w:rPr>
          <w:bCs/>
          <w:sz w:val="20"/>
        </w:rPr>
      </w:pPr>
      <w:r>
        <w:rPr>
          <w:bCs/>
        </w:rPr>
        <w:br w:type="page"/>
      </w:r>
    </w:p>
    <w:tbl>
      <w:tblPr>
        <w:tblStyle w:val="TableGrid"/>
        <w:tblW w:w="0" w:type="auto"/>
        <w:jc w:val="center"/>
        <w:tblLook w:val="04A0" w:firstRow="1" w:lastRow="0" w:firstColumn="1" w:lastColumn="0" w:noHBand="0" w:noVBand="1"/>
      </w:tblPr>
      <w:tblGrid>
        <w:gridCol w:w="5954"/>
      </w:tblGrid>
      <w:tr w:rsidR="007575A6" w14:paraId="3F06E973" w14:textId="77777777" w:rsidTr="004C0888">
        <w:trPr>
          <w:jc w:val="center"/>
        </w:trPr>
        <w:tc>
          <w:tcPr>
            <w:tcW w:w="5954" w:type="dxa"/>
          </w:tcPr>
          <w:p w14:paraId="34912360" w14:textId="0C59A739" w:rsidR="007575A6" w:rsidRPr="00D86CB9" w:rsidRDefault="00870D5F" w:rsidP="004C0888">
            <w:pPr>
              <w:jc w:val="center"/>
              <w:rPr>
                <w:b/>
                <w:bCs/>
              </w:rPr>
            </w:pPr>
            <w:r w:rsidRPr="007C04F8">
              <w:rPr>
                <w:bCs/>
              </w:rPr>
              <w:lastRenderedPageBreak/>
              <w:t xml:space="preserve"> </w:t>
            </w:r>
            <w:r w:rsidR="007575A6" w:rsidRPr="00CF3B87">
              <w:rPr>
                <w:b/>
                <w:bCs/>
              </w:rPr>
              <w:t>Figure 1: Change in bank points of presence</w:t>
            </w:r>
            <w:r w:rsidR="007575A6">
              <w:rPr>
                <w:b/>
                <w:bCs/>
              </w:rPr>
              <w:t xml:space="preserve"> </w:t>
            </w:r>
            <w:r w:rsidR="007575A6" w:rsidRPr="00CF3B87">
              <w:rPr>
                <w:b/>
                <w:bCs/>
              </w:rPr>
              <w:t>(June 2017- June 2021)</w:t>
            </w:r>
          </w:p>
        </w:tc>
      </w:tr>
      <w:tr w:rsidR="007575A6" w14:paraId="59125789" w14:textId="77777777" w:rsidTr="004C0888">
        <w:trPr>
          <w:jc w:val="center"/>
        </w:trPr>
        <w:tc>
          <w:tcPr>
            <w:tcW w:w="5954" w:type="dxa"/>
          </w:tcPr>
          <w:p w14:paraId="0736B6E0" w14:textId="77777777" w:rsidR="007575A6" w:rsidRDefault="007575A6" w:rsidP="004C0888">
            <w:pPr>
              <w:jc w:val="center"/>
            </w:pPr>
            <w:r w:rsidRPr="00062D1C">
              <w:rPr>
                <w:noProof/>
              </w:rPr>
              <w:drawing>
                <wp:inline distT="0" distB="0" distL="0" distR="0" wp14:anchorId="15CBCA88" wp14:editId="43676D71">
                  <wp:extent cx="2476500" cy="2562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3130" cy="2569212"/>
                          </a:xfrm>
                          <a:prstGeom prst="rect">
                            <a:avLst/>
                          </a:prstGeom>
                          <a:noFill/>
                          <a:ln>
                            <a:noFill/>
                          </a:ln>
                        </pic:spPr>
                      </pic:pic>
                    </a:graphicData>
                  </a:graphic>
                </wp:inline>
              </w:drawing>
            </w:r>
          </w:p>
        </w:tc>
      </w:tr>
      <w:tr w:rsidR="007575A6" w14:paraId="4F5CA68C" w14:textId="77777777" w:rsidTr="004C0888">
        <w:trPr>
          <w:jc w:val="center"/>
        </w:trPr>
        <w:tc>
          <w:tcPr>
            <w:tcW w:w="5954" w:type="dxa"/>
          </w:tcPr>
          <w:p w14:paraId="2FB50A66" w14:textId="77884DB8" w:rsidR="007575A6" w:rsidRDefault="007575A6" w:rsidP="004C0888">
            <w:pPr>
              <w:rPr>
                <w:noProof/>
              </w:rPr>
            </w:pPr>
            <w:r>
              <w:rPr>
                <w:noProof/>
              </w:rPr>
              <w:t>Source:APRA</w:t>
            </w:r>
            <w:r w:rsidR="003748B4">
              <w:rPr>
                <w:noProof/>
              </w:rPr>
              <w:t xml:space="preserve"> (2021)</w:t>
            </w:r>
          </w:p>
        </w:tc>
      </w:tr>
    </w:tbl>
    <w:p w14:paraId="1AA6F2F7" w14:textId="29A2DCC8" w:rsidR="00A42811" w:rsidRDefault="007C04F8" w:rsidP="0078169D">
      <w:pPr>
        <w:pStyle w:val="Bullet"/>
        <w:numPr>
          <w:ilvl w:val="0"/>
          <w:numId w:val="0"/>
        </w:numPr>
        <w:spacing w:before="240"/>
      </w:pPr>
      <w:r>
        <w:t>Other bank face-to-face points of presence in regional and remote Australia have seen a more modest decline from around 2,500 to 2,400 in the past four years, with Bank@Post numbers steady at around 1,900.</w:t>
      </w:r>
      <w:r>
        <w:rPr>
          <w:rStyle w:val="FootnoteReference"/>
        </w:rPr>
        <w:footnoteReference w:id="4"/>
      </w:r>
    </w:p>
    <w:p w14:paraId="1AA9112A" w14:textId="7A5F8CF5" w:rsidR="00B803A4" w:rsidRDefault="0009025C" w:rsidP="007C04F8">
      <w:pPr>
        <w:pStyle w:val="Bullet"/>
        <w:numPr>
          <w:ilvl w:val="0"/>
          <w:numId w:val="0"/>
        </w:numPr>
        <w:spacing w:before="120"/>
      </w:pPr>
      <w:r>
        <w:t xml:space="preserve">The number of </w:t>
      </w:r>
      <w:r w:rsidR="003B1591">
        <w:t>ATMs ha</w:t>
      </w:r>
      <w:r w:rsidR="00937598">
        <w:t>s</w:t>
      </w:r>
      <w:r w:rsidR="003B1591">
        <w:t xml:space="preserve"> also declined, with the total number of active ATMs nationally having fallen by around 20 per cent since its peak in late 2016.</w:t>
      </w:r>
      <w:r w:rsidR="003B1591">
        <w:rPr>
          <w:rStyle w:val="FootnoteReference"/>
        </w:rPr>
        <w:footnoteReference w:id="5"/>
      </w:r>
    </w:p>
    <w:p w14:paraId="52263796" w14:textId="4AE61E79" w:rsidR="00305E49" w:rsidRDefault="00FE440C" w:rsidP="00305E49">
      <w:r>
        <w:t>Recent declines in b</w:t>
      </w:r>
      <w:r w:rsidR="00305E49">
        <w:t xml:space="preserve">ranch </w:t>
      </w:r>
      <w:r>
        <w:t>numbers</w:t>
      </w:r>
      <w:r w:rsidR="00305E49">
        <w:t xml:space="preserve"> have occurred during a substantial shift </w:t>
      </w:r>
      <w:r w:rsidR="00420164">
        <w:t xml:space="preserve">in banking </w:t>
      </w:r>
      <w:r w:rsidR="00305E49">
        <w:t>away from in-person to online</w:t>
      </w:r>
      <w:r>
        <w:t xml:space="preserve"> delivery</w:t>
      </w:r>
      <w:r w:rsidR="008E5E62">
        <w:t>. This</w:t>
      </w:r>
      <w:r w:rsidR="00305E49">
        <w:t xml:space="preserve"> has relied on the use of digital technologies</w:t>
      </w:r>
      <w:r w:rsidR="008E5E62">
        <w:t xml:space="preserve"> and</w:t>
      </w:r>
      <w:r w:rsidR="00305E49" w:rsidRPr="004539C1">
        <w:t xml:space="preserve"> has been supported by the National Broadband Network (NBN) initial build which was completed during 2020 with only a small number of complex connections remaining. NBN Co Limited has rolled out the network using the technology best suited to each area of Australia, with the NBN designed to provide access to peak wholesale download speeds of at least 25 megabits per second to all Australian premises and at least 50 megabits per second to 90 per cent of fixed-line premises.</w:t>
      </w:r>
      <w:r w:rsidR="00305E49">
        <w:t xml:space="preserve"> </w:t>
      </w:r>
      <w:r w:rsidR="00196169">
        <w:t>NBN Co currently invests around $200 million annually to optimise the performance of the fixed wireless network with finite spectrum limitations.</w:t>
      </w:r>
      <w:r w:rsidR="00305E49">
        <w:t xml:space="preserve"> </w:t>
      </w:r>
    </w:p>
    <w:p w14:paraId="1F2F4B66" w14:textId="6254F95A" w:rsidR="00305E49" w:rsidRPr="003B58AE" w:rsidRDefault="00305E49" w:rsidP="00305E49">
      <w:pPr>
        <w:shd w:val="clear" w:color="auto" w:fill="FFFFFF"/>
        <w:spacing w:before="100" w:beforeAutospacing="1" w:after="225"/>
        <w:rPr>
          <w:highlight w:val="cyan"/>
        </w:rPr>
      </w:pPr>
      <w:r>
        <w:t xml:space="preserve">With </w:t>
      </w:r>
      <w:r w:rsidR="00196169">
        <w:t xml:space="preserve">this </w:t>
      </w:r>
      <w:r w:rsidR="00FE440C">
        <w:t>digital</w:t>
      </w:r>
      <w:r>
        <w:t xml:space="preserve"> tech</w:t>
      </w:r>
      <w:r w:rsidR="00A55956">
        <w:t>nology</w:t>
      </w:r>
      <w:r>
        <w:t xml:space="preserve">, </w:t>
      </w:r>
      <w:r w:rsidR="009724B2">
        <w:t>Australians have taken advantage of accessing convenient, fast, secure and easy-to-use banking services digitally and have been</w:t>
      </w:r>
      <w:r w:rsidRPr="00793ABD">
        <w:t xml:space="preserve"> among the wo</w:t>
      </w:r>
      <w:r w:rsidRPr="00BF634D">
        <w:t>rld leaders in embracing digital and self-serve banking channels, lessening the need for in-person banking services</w:t>
      </w:r>
      <w:r w:rsidRPr="000A0BB4">
        <w:t>.</w:t>
      </w:r>
      <w:r w:rsidRPr="000A0BB4">
        <w:rPr>
          <w:rStyle w:val="FootnoteReference"/>
        </w:rPr>
        <w:footnoteReference w:id="6"/>
      </w:r>
      <w:r>
        <w:t xml:space="preserve"> A number of statistics point to how much Australians have changed their behaviours and preferences towards </w:t>
      </w:r>
      <w:r>
        <w:lastRenderedPageBreak/>
        <w:t xml:space="preserve">using online options. </w:t>
      </w:r>
      <w:r w:rsidRPr="00562779">
        <w:t xml:space="preserve">ABA </w:t>
      </w:r>
      <w:r>
        <w:t>data from the major banks indicate</w:t>
      </w:r>
      <w:r w:rsidRPr="00562779">
        <w:t xml:space="preserve"> that millions of customers now use banking app</w:t>
      </w:r>
      <w:r>
        <w:t>s</w:t>
      </w:r>
      <w:r w:rsidRPr="00562779">
        <w:t xml:space="preserve"> every day to do their banking, and digital interactions continue to grow</w:t>
      </w:r>
      <w:r>
        <w:t xml:space="preserve">. </w:t>
      </w:r>
      <w:r w:rsidRPr="003B58AE">
        <w:t xml:space="preserve">Other data show that more than 80 per cent of Australians prefer to transfer money, pay bills or check account balances online and less than 20 per cent of Australians say they prefer to do </w:t>
      </w:r>
      <w:r w:rsidR="00B122DD">
        <w:t>their</w:t>
      </w:r>
      <w:r w:rsidRPr="003B58AE">
        <w:t xml:space="preserve"> banking activities in branches, with 72 per cent of Australians reporting that they did not visit the branch of their main bank in the month leading up to September 2021. One in ten Australians regularly leave home without their wallet instead using their phone to pay for items (up from four per cent in 2019).</w:t>
      </w:r>
      <w:r w:rsidRPr="003B58AE">
        <w:rPr>
          <w:rStyle w:val="FootnoteReference"/>
        </w:rPr>
        <w:footnoteReference w:id="7"/>
      </w:r>
    </w:p>
    <w:p w14:paraId="746C5860" w14:textId="692DDE72" w:rsidR="00305E49" w:rsidRPr="00CE6854" w:rsidRDefault="00305E49" w:rsidP="00305E49">
      <w:r w:rsidRPr="004539C1">
        <w:t>Regional Australia</w:t>
      </w:r>
      <w:r>
        <w:t xml:space="preserve"> has </w:t>
      </w:r>
      <w:r w:rsidR="004A1947">
        <w:t xml:space="preserve">also </w:t>
      </w:r>
      <w:r w:rsidR="00A55956">
        <w:t>seen the roll out of digital technology</w:t>
      </w:r>
      <w:r>
        <w:t xml:space="preserve"> and the associated change in consumer behaviour. There is</w:t>
      </w:r>
      <w:r w:rsidRPr="004539C1">
        <w:t xml:space="preserve"> a high level of home internet access and </w:t>
      </w:r>
      <w:r>
        <w:t>online</w:t>
      </w:r>
      <w:r w:rsidRPr="004539C1">
        <w:t xml:space="preserve"> banking, with data from the Australian Communications and Media Authority (ACMA) indicating that</w:t>
      </w:r>
      <w:r w:rsidRPr="00CE6854">
        <w:t>,</w:t>
      </w:r>
      <w:r w:rsidRPr="004539C1">
        <w:t xml:space="preserve"> in June 2020</w:t>
      </w:r>
      <w:r w:rsidR="00F123C2">
        <w:t>,</w:t>
      </w:r>
      <w:r w:rsidRPr="004539C1">
        <w:t xml:space="preserve"> 95</w:t>
      </w:r>
      <w:r w:rsidR="004C7DB8">
        <w:t> </w:t>
      </w:r>
      <w:r w:rsidRPr="004539C1">
        <w:t>per cent of adult Australian</w:t>
      </w:r>
      <w:r>
        <w:t>s</w:t>
      </w:r>
      <w:r w:rsidRPr="004539C1">
        <w:t xml:space="preserve"> in regional areas ha</w:t>
      </w:r>
      <w:r>
        <w:t>d</w:t>
      </w:r>
      <w:r w:rsidRPr="004539C1">
        <w:t xml:space="preserve"> internet access at home (the same as for metropolitan areas and up from 8</w:t>
      </w:r>
      <w:r w:rsidR="0098201B">
        <w:t>2</w:t>
      </w:r>
      <w:r w:rsidRPr="004539C1">
        <w:t xml:space="preserve"> per cent in June 2017) and </w:t>
      </w:r>
      <w:r w:rsidRPr="00CE6854">
        <w:t xml:space="preserve">89 per cent </w:t>
      </w:r>
      <w:r w:rsidRPr="003B58AE">
        <w:t>of internet users</w:t>
      </w:r>
      <w:r w:rsidRPr="00CE6854">
        <w:t xml:space="preserve"> in re</w:t>
      </w:r>
      <w:r>
        <w:t xml:space="preserve">gional areas </w:t>
      </w:r>
      <w:r w:rsidRPr="00CE6854">
        <w:t>perform</w:t>
      </w:r>
      <w:r>
        <w:t>ed</w:t>
      </w:r>
      <w:r w:rsidRPr="00CE6854">
        <w:t xml:space="preserve"> banking activities online in the past six months (the same as for metropolitan areas and up from 82 per cent in </w:t>
      </w:r>
      <w:r>
        <w:t xml:space="preserve">May </w:t>
      </w:r>
      <w:r w:rsidRPr="00CE6854">
        <w:t>2019).</w:t>
      </w:r>
      <w:r>
        <w:rPr>
          <w:rStyle w:val="FootnoteReference"/>
        </w:rPr>
        <w:footnoteReference w:id="8"/>
      </w:r>
    </w:p>
    <w:p w14:paraId="7B875049" w14:textId="68D2693A" w:rsidR="00305E49" w:rsidRDefault="00305E49" w:rsidP="00305E49">
      <w:r>
        <w:t>R</w:t>
      </w:r>
      <w:r w:rsidRPr="004539C1">
        <w:t>egional Australians are doing their banking online rather than visiting a branch</w:t>
      </w:r>
      <w:r>
        <w:t xml:space="preserve">, with </w:t>
      </w:r>
      <w:r w:rsidRPr="004539C1">
        <w:t xml:space="preserve">64 per cent of </w:t>
      </w:r>
      <w:r w:rsidR="00B122DD">
        <w:t xml:space="preserve">regional Australians </w:t>
      </w:r>
      <w:r>
        <w:t>doing their</w:t>
      </w:r>
      <w:r w:rsidRPr="004539C1">
        <w:t xml:space="preserve"> banking </w:t>
      </w:r>
      <w:r w:rsidR="00AB26AF">
        <w:t>with</w:t>
      </w:r>
      <w:r w:rsidRPr="004539C1">
        <w:t xml:space="preserve"> their main financial institution</w:t>
      </w:r>
      <w:r>
        <w:t xml:space="preserve"> </w:t>
      </w:r>
      <w:r w:rsidRPr="004539C1">
        <w:t>online via a computer or laptop in the last month</w:t>
      </w:r>
      <w:r>
        <w:t xml:space="preserve"> </w:t>
      </w:r>
      <w:r w:rsidRPr="00CE6854">
        <w:t>and</w:t>
      </w:r>
      <w:r w:rsidRPr="004539C1">
        <w:t xml:space="preserve"> 61 per cent</w:t>
      </w:r>
      <w:r w:rsidRPr="00CE6854">
        <w:t xml:space="preserve"> </w:t>
      </w:r>
      <w:r w:rsidRPr="004539C1">
        <w:t>via a smart phone</w:t>
      </w:r>
      <w:r>
        <w:t>. This compares to</w:t>
      </w:r>
      <w:r w:rsidRPr="004539C1">
        <w:t xml:space="preserve"> 32</w:t>
      </w:r>
      <w:r w:rsidR="00F86983">
        <w:t> </w:t>
      </w:r>
      <w:r w:rsidRPr="004539C1">
        <w:t>per</w:t>
      </w:r>
      <w:r w:rsidR="00F86983">
        <w:t> </w:t>
      </w:r>
      <w:r w:rsidRPr="004539C1">
        <w:t>cent visit</w:t>
      </w:r>
      <w:r>
        <w:t>ing</w:t>
      </w:r>
      <w:r w:rsidRPr="004539C1">
        <w:t xml:space="preserve"> a branch and 10 per cent us</w:t>
      </w:r>
      <w:r>
        <w:t>ing</w:t>
      </w:r>
      <w:r w:rsidRPr="004539C1">
        <w:t xml:space="preserve"> telephone banking</w:t>
      </w:r>
      <w:r>
        <w:t>.</w:t>
      </w:r>
      <w:r>
        <w:rPr>
          <w:rStyle w:val="FootnoteReference"/>
        </w:rPr>
        <w:footnoteReference w:id="9"/>
      </w:r>
    </w:p>
    <w:p w14:paraId="111FF2A3" w14:textId="2B209871" w:rsidR="00305E49" w:rsidRPr="004539C1" w:rsidRDefault="00305E49" w:rsidP="00305E49">
      <w:r>
        <w:t xml:space="preserve">The </w:t>
      </w:r>
      <w:r w:rsidR="008E5E62">
        <w:t xml:space="preserve">general </w:t>
      </w:r>
      <w:r w:rsidR="00A42492">
        <w:t>shift</w:t>
      </w:r>
      <w:r>
        <w:t xml:space="preserve"> from banking in-person (at shopfronts and buildings) to online</w:t>
      </w:r>
      <w:r w:rsidRPr="004539C1">
        <w:t xml:space="preserve"> has also been seen in other sectors of the economy and in the provision of government services</w:t>
      </w:r>
      <w:r>
        <w:t>, including in regional Australia</w:t>
      </w:r>
      <w:r w:rsidRPr="004539C1">
        <w:t xml:space="preserve">. </w:t>
      </w:r>
      <w:r w:rsidR="000F3CF8">
        <w:t>T</w:t>
      </w:r>
      <w:r w:rsidRPr="004539C1">
        <w:t>echnological developments and significant investment</w:t>
      </w:r>
      <w:r w:rsidR="00661907">
        <w:t>s</w:t>
      </w:r>
      <w:r w:rsidRPr="004539C1">
        <w:t xml:space="preserve"> in improv</w:t>
      </w:r>
      <w:r w:rsidR="00661907">
        <w:t>ing</w:t>
      </w:r>
      <w:r w:rsidRPr="004539C1">
        <w:t xml:space="preserve"> digital infrastructure have seen the way Australians buy goods and services shift significantly</w:t>
      </w:r>
      <w:r w:rsidR="00661907">
        <w:t>. There has been a shift</w:t>
      </w:r>
      <w:r w:rsidRPr="004539C1">
        <w:t xml:space="preserve"> away from in-store purchases towards online </w:t>
      </w:r>
      <w:r>
        <w:t xml:space="preserve">options </w:t>
      </w:r>
      <w:r w:rsidRPr="004539C1">
        <w:t xml:space="preserve">that can be accessed </w:t>
      </w:r>
      <w:r>
        <w:t xml:space="preserve">at times that </w:t>
      </w:r>
      <w:r w:rsidRPr="004539C1">
        <w:t xml:space="preserve">suit the customer. For example, the share of retail sales being sold online has risen from </w:t>
      </w:r>
      <w:r w:rsidRPr="0078169D">
        <w:t>2.</w:t>
      </w:r>
      <w:r w:rsidR="000F3CF8">
        <w:t>7</w:t>
      </w:r>
      <w:r w:rsidRPr="004539C1">
        <w:t xml:space="preserve"> per cent in 201</w:t>
      </w:r>
      <w:r w:rsidRPr="003B58AE">
        <w:t>4</w:t>
      </w:r>
      <w:r w:rsidRPr="004539C1">
        <w:t xml:space="preserve"> to 6.3</w:t>
      </w:r>
      <w:r w:rsidR="004C7DB8">
        <w:t> </w:t>
      </w:r>
      <w:r w:rsidRPr="004539C1">
        <w:t>per</w:t>
      </w:r>
      <w:r w:rsidR="004C7DB8">
        <w:t> </w:t>
      </w:r>
      <w:r w:rsidRPr="004539C1">
        <w:t xml:space="preserve">cent in 2019 and following the onset of </w:t>
      </w:r>
      <w:r>
        <w:t xml:space="preserve">the </w:t>
      </w:r>
      <w:r w:rsidRPr="004539C1">
        <w:t>COVID</w:t>
      </w:r>
      <w:r>
        <w:t>-19 pandemic</w:t>
      </w:r>
      <w:r w:rsidRPr="004539C1">
        <w:t xml:space="preserve"> to 15.3 per cent in September 2021.</w:t>
      </w:r>
      <w:r w:rsidRPr="004539C1">
        <w:rPr>
          <w:rStyle w:val="FootnoteReference"/>
        </w:rPr>
        <w:footnoteReference w:id="10"/>
      </w:r>
      <w:r w:rsidRPr="004539C1">
        <w:t xml:space="preserve"> </w:t>
      </w:r>
    </w:p>
    <w:p w14:paraId="11AC2345" w14:textId="34A4A74D" w:rsidR="00305E49" w:rsidRDefault="00305E49" w:rsidP="00305E49">
      <w:r w:rsidRPr="004539C1">
        <w:t>Th</w:t>
      </w:r>
      <w:r w:rsidR="00661907">
        <w:t>e</w:t>
      </w:r>
      <w:r w:rsidRPr="004539C1">
        <w:t xml:space="preserve"> move to </w:t>
      </w:r>
      <w:r w:rsidR="00661907">
        <w:t xml:space="preserve">a </w:t>
      </w:r>
      <w:r w:rsidRPr="004539C1">
        <w:t xml:space="preserve">greater use of technology has not only enabled </w:t>
      </w:r>
      <w:r w:rsidR="000F3CF8">
        <w:t>bank</w:t>
      </w:r>
      <w:r w:rsidR="00661907">
        <w:t>ing</w:t>
      </w:r>
      <w:r w:rsidR="000F3CF8">
        <w:t xml:space="preserve"> </w:t>
      </w:r>
      <w:r w:rsidRPr="004539C1">
        <w:t>customer</w:t>
      </w:r>
      <w:r>
        <w:t>s</w:t>
      </w:r>
      <w:r w:rsidR="000F3CF8">
        <w:t xml:space="preserve"> to access quality banking services</w:t>
      </w:r>
      <w:r w:rsidR="00F63DF1">
        <w:t xml:space="preserve"> quickly and</w:t>
      </w:r>
      <w:r w:rsidR="000F3CF8">
        <w:t xml:space="preserve"> at a time that suits them</w:t>
      </w:r>
      <w:r w:rsidR="00661907">
        <w:t>, i</w:t>
      </w:r>
      <w:r w:rsidRPr="003B58AE">
        <w:t xml:space="preserve">t </w:t>
      </w:r>
      <w:r w:rsidRPr="004539C1">
        <w:t xml:space="preserve">has also provided opportunities to change </w:t>
      </w:r>
      <w:r>
        <w:t xml:space="preserve">how </w:t>
      </w:r>
      <w:r w:rsidRPr="004539C1">
        <w:t>banking service</w:t>
      </w:r>
      <w:r w:rsidR="005C2B0A">
        <w:t>s</w:t>
      </w:r>
      <w:r w:rsidRPr="004539C1">
        <w:t xml:space="preserve"> </w:t>
      </w:r>
      <w:r>
        <w:t>are provided</w:t>
      </w:r>
      <w:r w:rsidR="00661907">
        <w:t xml:space="preserve"> (f</w:t>
      </w:r>
      <w:r w:rsidRPr="004539C1">
        <w:t xml:space="preserve">or example, the greater use of video conferencing </w:t>
      </w:r>
      <w:r w:rsidR="007B1BDC">
        <w:t xml:space="preserve">platforms </w:t>
      </w:r>
      <w:r w:rsidRPr="004539C1">
        <w:t>for lending appointments</w:t>
      </w:r>
      <w:r w:rsidR="007B1BDC">
        <w:t>)</w:t>
      </w:r>
      <w:r w:rsidRPr="004539C1">
        <w:t>.</w:t>
      </w:r>
    </w:p>
    <w:p w14:paraId="143FCAF8" w14:textId="2E799D57" w:rsidR="00E92F9A" w:rsidRPr="004539C1" w:rsidRDefault="00A42811" w:rsidP="007C04F8">
      <w:pPr>
        <w:pStyle w:val="Bullet"/>
        <w:numPr>
          <w:ilvl w:val="0"/>
          <w:numId w:val="0"/>
        </w:numPr>
        <w:spacing w:before="120"/>
      </w:pPr>
      <w:r w:rsidRPr="004539C1">
        <w:t xml:space="preserve">ATM and branch declines have </w:t>
      </w:r>
      <w:r w:rsidR="00305E49">
        <w:t xml:space="preserve">also </w:t>
      </w:r>
      <w:r w:rsidRPr="004539C1">
        <w:t>occurred amid a sizeable decline in the use of cash</w:t>
      </w:r>
      <w:r w:rsidR="007F3099" w:rsidRPr="004539C1">
        <w:t>,</w:t>
      </w:r>
      <w:r w:rsidRPr="004539C1">
        <w:t xml:space="preserve"> with </w:t>
      </w:r>
      <w:r w:rsidR="00F56E9A" w:rsidRPr="004539C1">
        <w:t xml:space="preserve">the value of </w:t>
      </w:r>
      <w:r w:rsidRPr="004539C1">
        <w:t xml:space="preserve">cash withdrawals </w:t>
      </w:r>
      <w:r w:rsidR="005F251C" w:rsidRPr="004539C1">
        <w:t>from cards and ATMs</w:t>
      </w:r>
      <w:r w:rsidRPr="004539C1">
        <w:t xml:space="preserve"> </w:t>
      </w:r>
      <w:r w:rsidR="00F56E9A" w:rsidRPr="004539C1">
        <w:t>having almost halved in September 2021 compared to its peak in December 2008 and down around a third in the past two years</w:t>
      </w:r>
      <w:r w:rsidR="00F63DF1">
        <w:t>.</w:t>
      </w:r>
      <w:r w:rsidR="00F56E9A" w:rsidRPr="004539C1">
        <w:rPr>
          <w:rStyle w:val="FootnoteReference"/>
        </w:rPr>
        <w:footnoteReference w:id="11"/>
      </w:r>
      <w:r w:rsidR="00C37026" w:rsidRPr="004539C1">
        <w:t xml:space="preserve"> </w:t>
      </w:r>
      <w:r w:rsidR="00315134" w:rsidRPr="004539C1">
        <w:t xml:space="preserve">Before </w:t>
      </w:r>
      <w:r w:rsidR="00F26353" w:rsidRPr="004539C1">
        <w:t xml:space="preserve">the </w:t>
      </w:r>
      <w:r w:rsidR="00315134" w:rsidRPr="004539C1">
        <w:t xml:space="preserve">COVID-19 </w:t>
      </w:r>
      <w:r w:rsidR="00F26353" w:rsidRPr="004539C1">
        <w:lastRenderedPageBreak/>
        <w:t xml:space="preserve">pandemic, </w:t>
      </w:r>
      <w:r w:rsidR="00315134" w:rsidRPr="004539C1">
        <w:t>c</w:t>
      </w:r>
      <w:r w:rsidR="00047852" w:rsidRPr="004539C1">
        <w:t xml:space="preserve">ash was </w:t>
      </w:r>
      <w:r w:rsidR="00F26353" w:rsidRPr="004539C1">
        <w:t xml:space="preserve">used in </w:t>
      </w:r>
      <w:r w:rsidR="00047852" w:rsidRPr="004539C1">
        <w:t xml:space="preserve">27 per cent of all consumer payments </w:t>
      </w:r>
      <w:r w:rsidR="0041215D">
        <w:t xml:space="preserve">in 2019 </w:t>
      </w:r>
      <w:r w:rsidR="00047852" w:rsidRPr="004539C1">
        <w:t xml:space="preserve">(down from 69 per cent in 2007) while cards were </w:t>
      </w:r>
      <w:r w:rsidR="00F26353" w:rsidRPr="004539C1">
        <w:t xml:space="preserve">used in </w:t>
      </w:r>
      <w:r w:rsidR="00047852" w:rsidRPr="004539C1">
        <w:t>63 per cent of payments (up from 26</w:t>
      </w:r>
      <w:r w:rsidR="00F86983">
        <w:t> </w:t>
      </w:r>
      <w:r w:rsidR="00047852" w:rsidRPr="004539C1">
        <w:t>per</w:t>
      </w:r>
      <w:r w:rsidR="00F86983">
        <w:t> </w:t>
      </w:r>
      <w:r w:rsidR="00047852" w:rsidRPr="004539C1">
        <w:t>cent in 2007).</w:t>
      </w:r>
      <w:r w:rsidR="00047852" w:rsidRPr="004539C1">
        <w:rPr>
          <w:rStyle w:val="FootnoteReference"/>
        </w:rPr>
        <w:footnoteReference w:id="12"/>
      </w:r>
    </w:p>
    <w:p w14:paraId="606112CB" w14:textId="2C08194B" w:rsidR="00490038" w:rsidRDefault="00490038" w:rsidP="007C04F8">
      <w:pPr>
        <w:pStyle w:val="Bullet"/>
        <w:numPr>
          <w:ilvl w:val="0"/>
          <w:numId w:val="0"/>
        </w:numPr>
        <w:spacing w:before="120"/>
      </w:pPr>
      <w:r w:rsidRPr="004539C1">
        <w:t xml:space="preserve">Branch closures </w:t>
      </w:r>
      <w:r w:rsidR="007F3099" w:rsidRPr="003B58AE">
        <w:t>are</w:t>
      </w:r>
      <w:r w:rsidRPr="004539C1">
        <w:t xml:space="preserve"> not unique to Australia with just under a quarter of the branches that were operating in September 2019 closing by March 2021 in New Zealand</w:t>
      </w:r>
      <w:r w:rsidR="007F3099" w:rsidRPr="004539C1">
        <w:t>.</w:t>
      </w:r>
      <w:r w:rsidR="007F3099" w:rsidRPr="004539C1">
        <w:rPr>
          <w:rStyle w:val="FootnoteReference"/>
        </w:rPr>
        <w:footnoteReference w:id="13"/>
      </w:r>
    </w:p>
    <w:p w14:paraId="1DDFCED6" w14:textId="693BA95D" w:rsidR="00EE7476" w:rsidRDefault="00EE7476" w:rsidP="007575A6">
      <w:pPr>
        <w:pStyle w:val="Bullet"/>
        <w:numPr>
          <w:ilvl w:val="0"/>
          <w:numId w:val="0"/>
        </w:numPr>
        <w:spacing w:before="120"/>
      </w:pPr>
      <w:r>
        <w:t xml:space="preserve">While there has been a significant decline in the number of branches in remote and regional </w:t>
      </w:r>
      <w:r w:rsidRPr="006C6304">
        <w:t xml:space="preserve">Australia, </w:t>
      </w:r>
      <w:r w:rsidRPr="000A0BB4">
        <w:t>41</w:t>
      </w:r>
      <w:r w:rsidRPr="006C6304">
        <w:t xml:space="preserve"> per cent of </w:t>
      </w:r>
      <w:r w:rsidR="00A55956">
        <w:t xml:space="preserve">all </w:t>
      </w:r>
      <w:r w:rsidRPr="006C6304">
        <w:t xml:space="preserve">branches were in regional and remote </w:t>
      </w:r>
      <w:r w:rsidR="001975F3" w:rsidRPr="006C6304">
        <w:t>areas</w:t>
      </w:r>
      <w:r w:rsidRPr="006C6304">
        <w:t xml:space="preserve"> in 2020 wh</w:t>
      </w:r>
      <w:r w:rsidR="009724B2">
        <w:t>ere</w:t>
      </w:r>
      <w:r w:rsidRPr="006C6304">
        <w:t xml:space="preserve"> </w:t>
      </w:r>
      <w:r w:rsidRPr="000A0BB4">
        <w:t>28</w:t>
      </w:r>
      <w:r>
        <w:t xml:space="preserve"> per</w:t>
      </w:r>
      <w:r w:rsidR="00F86983">
        <w:t xml:space="preserve"> </w:t>
      </w:r>
      <w:r>
        <w:t xml:space="preserve">cent of the </w:t>
      </w:r>
      <w:r w:rsidR="009E03D0">
        <w:t xml:space="preserve">Australian </w:t>
      </w:r>
      <w:r>
        <w:t>population lived</w:t>
      </w:r>
      <w:r w:rsidR="00BB178F">
        <w:t>, with these percentages little changed from 2017</w:t>
      </w:r>
      <w:r>
        <w:t>.</w:t>
      </w:r>
    </w:p>
    <w:p w14:paraId="18B0CD6B" w14:textId="04885051" w:rsidR="001975F3" w:rsidRDefault="003339F2" w:rsidP="007575A6">
      <w:pPr>
        <w:pStyle w:val="Bullet"/>
        <w:numPr>
          <w:ilvl w:val="0"/>
          <w:numId w:val="0"/>
        </w:numPr>
        <w:spacing w:before="120"/>
      </w:pPr>
      <w:r>
        <w:t>T</w:t>
      </w:r>
      <w:r w:rsidR="003D6DD3">
        <w:t xml:space="preserve">he banking sector is </w:t>
      </w:r>
      <w:r w:rsidR="005C3F91">
        <w:t xml:space="preserve">also </w:t>
      </w:r>
      <w:r w:rsidR="003D6DD3">
        <w:t xml:space="preserve">a </w:t>
      </w:r>
      <w:r>
        <w:t xml:space="preserve">relatively </w:t>
      </w:r>
      <w:r w:rsidR="003D6DD3">
        <w:t xml:space="preserve">small employer in </w:t>
      </w:r>
      <w:r w:rsidR="00BB75BE">
        <w:t xml:space="preserve">remote and </w:t>
      </w:r>
      <w:r w:rsidR="003D6DD3">
        <w:t xml:space="preserve">regional Australia, with </w:t>
      </w:r>
      <w:r w:rsidR="007F3099">
        <w:t xml:space="preserve">ABS Census data for 2016 indicating that </w:t>
      </w:r>
      <w:r>
        <w:t xml:space="preserve">banks </w:t>
      </w:r>
      <w:r w:rsidR="00BB75BE">
        <w:t xml:space="preserve">employ less than </w:t>
      </w:r>
      <w:r w:rsidR="00BB75BE" w:rsidRPr="000A0BB4">
        <w:t>½</w:t>
      </w:r>
      <w:r w:rsidR="00BB75BE">
        <w:t xml:space="preserve"> per cent of total employment in regional and remote areas</w:t>
      </w:r>
      <w:r w:rsidR="00376216">
        <w:t xml:space="preserve"> and banks have scope to redeploy staff if branches close</w:t>
      </w:r>
      <w:r w:rsidR="00BB75BE" w:rsidRPr="00376216">
        <w:t>.</w:t>
      </w:r>
    </w:p>
    <w:p w14:paraId="339FCCDD" w14:textId="14038C7A" w:rsidR="00D60A36" w:rsidRDefault="00C85AD8">
      <w:pPr>
        <w:keepNext/>
        <w:pBdr>
          <w:top w:val="single" w:sz="4" w:space="1" w:color="auto"/>
          <w:left w:val="single" w:sz="4" w:space="4" w:color="auto"/>
          <w:bottom w:val="single" w:sz="4" w:space="1" w:color="auto"/>
          <w:right w:val="single" w:sz="4" w:space="4" w:color="auto"/>
        </w:pBdr>
        <w:shd w:val="clear" w:color="auto" w:fill="F2F2F2" w:themeFill="background1" w:themeFillShade="F2"/>
      </w:pPr>
      <w:r w:rsidRPr="00D04BD9">
        <w:rPr>
          <w:b/>
        </w:rPr>
        <w:t>Question 1:</w:t>
      </w:r>
      <w:r w:rsidRPr="00587C88">
        <w:t xml:space="preserve"> </w:t>
      </w:r>
      <w:r w:rsidRPr="00C85AD8">
        <w:t>How are Australians changing the ways they are accessing banking services? What are driving these changes?</w:t>
      </w:r>
    </w:p>
    <w:p w14:paraId="18115090" w14:textId="77777777" w:rsidR="00573C67" w:rsidRDefault="00573C67" w:rsidP="00573C67">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Question 2</w:t>
      </w:r>
      <w:r w:rsidRPr="00AF0F4F">
        <w:rPr>
          <w:b/>
        </w:rPr>
        <w:t>:</w:t>
      </w:r>
      <w:r w:rsidRPr="00AF0F4F">
        <w:t xml:space="preserve"> </w:t>
      </w:r>
      <w:r w:rsidRPr="00822A12">
        <w:t>What banking facilities, services and products are used in regional bank branches?</w:t>
      </w:r>
    </w:p>
    <w:p w14:paraId="0F5F30FA" w14:textId="0EE32DF1" w:rsidR="00573C67" w:rsidRDefault="00573C67" w:rsidP="008D3EBC">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Question 3</w:t>
      </w:r>
      <w:r w:rsidRPr="00AF0F4F">
        <w:rPr>
          <w:b/>
        </w:rPr>
        <w:t>:</w:t>
      </w:r>
      <w:r w:rsidRPr="00822A12">
        <w:t xml:space="preserve"> Are there particular banking products or services that need to be delivered face-to-face or have support provided face-to-face? Are any of these particularly important for regional customers?</w:t>
      </w:r>
    </w:p>
    <w:p w14:paraId="0D7DAFF6" w14:textId="4695D899" w:rsidR="007575A6" w:rsidRPr="007241A8" w:rsidRDefault="007575A6" w:rsidP="007575A6">
      <w:pPr>
        <w:pStyle w:val="Heading3"/>
      </w:pPr>
      <w:bookmarkStart w:id="22" w:name="_Toc85979413"/>
      <w:bookmarkStart w:id="23" w:name="_Toc88044483"/>
      <w:bookmarkStart w:id="24" w:name="_Toc88123448"/>
      <w:r w:rsidRPr="007241A8">
        <w:t>Impacts</w:t>
      </w:r>
      <w:bookmarkEnd w:id="22"/>
      <w:bookmarkEnd w:id="23"/>
      <w:bookmarkEnd w:id="24"/>
    </w:p>
    <w:p w14:paraId="5E8163A5" w14:textId="1FF30A77" w:rsidR="009805FE" w:rsidRDefault="007575A6" w:rsidP="007575A6">
      <w:r w:rsidRPr="005C3AA1">
        <w:t>Bank branch closures</w:t>
      </w:r>
      <w:r>
        <w:t xml:space="preserve"> can</w:t>
      </w:r>
      <w:r w:rsidRPr="005C3AA1">
        <w:t xml:space="preserve"> </w:t>
      </w:r>
      <w:r>
        <w:t xml:space="preserve">impact </w:t>
      </w:r>
      <w:r w:rsidRPr="005C3AA1">
        <w:t>the accessibility of banking services</w:t>
      </w:r>
      <w:r>
        <w:t xml:space="preserve"> for some customers, </w:t>
      </w:r>
      <w:r w:rsidR="00AA635A">
        <w:t>limiting the ability to use and benefit from banking services</w:t>
      </w:r>
      <w:r>
        <w:t>. Specifically</w:t>
      </w:r>
      <w:r w:rsidR="00451144">
        <w:t>,</w:t>
      </w:r>
      <w:r>
        <w:t xml:space="preserve"> branch closures can impact the location </w:t>
      </w:r>
      <w:r w:rsidR="00F86983">
        <w:t>and</w:t>
      </w:r>
      <w:r>
        <w:t xml:space="preserve"> availability</w:t>
      </w:r>
      <w:r w:rsidR="0041215D">
        <w:t xml:space="preserve"> of </w:t>
      </w:r>
      <w:r w:rsidR="00F86983">
        <w:t>some bank</w:t>
      </w:r>
      <w:r w:rsidR="0041215D">
        <w:t xml:space="preserve"> services, </w:t>
      </w:r>
      <w:r w:rsidR="00F86983">
        <w:t xml:space="preserve">and increase </w:t>
      </w:r>
      <w:r w:rsidR="00527509">
        <w:t xml:space="preserve">the time and cost required to travel to access </w:t>
      </w:r>
      <w:r w:rsidR="007B1BDC">
        <w:t xml:space="preserve">similar </w:t>
      </w:r>
      <w:r w:rsidR="00527509">
        <w:t>services</w:t>
      </w:r>
      <w:r>
        <w:t>.</w:t>
      </w:r>
      <w:r w:rsidRPr="00D13334">
        <w:t xml:space="preserve"> </w:t>
      </w:r>
      <w:r w:rsidR="00AA635A">
        <w:t>T</w:t>
      </w:r>
      <w:r w:rsidRPr="00BB3A2F">
        <w:t>he loss of face-to-face banking could also reduce the availability of information on services in a way that is easier for some people to understand, and thereby reduce the quality of financial decisions</w:t>
      </w:r>
      <w:r w:rsidR="007B1BDC">
        <w:t xml:space="preserve"> and options</w:t>
      </w:r>
      <w:r w:rsidRPr="00BB3A2F">
        <w:t>.</w:t>
      </w:r>
    </w:p>
    <w:p w14:paraId="48F47836" w14:textId="1B2D4BA4" w:rsidR="007575A6" w:rsidRPr="00043017" w:rsidRDefault="00F65A07" w:rsidP="007575A6">
      <w:r>
        <w:t xml:space="preserve">While </w:t>
      </w:r>
      <w:r w:rsidR="007E5C9E">
        <w:t xml:space="preserve">significant </w:t>
      </w:r>
      <w:r>
        <w:t>technological developments and changes in consumer</w:t>
      </w:r>
      <w:r w:rsidR="0059315C">
        <w:t>s’ use</w:t>
      </w:r>
      <w:r w:rsidR="00847A86">
        <w:t xml:space="preserve"> of technology</w:t>
      </w:r>
      <w:r>
        <w:t xml:space="preserve"> have lessened these issues </w:t>
      </w:r>
      <w:r w:rsidR="00B46A50">
        <w:t xml:space="preserve">for individuals </w:t>
      </w:r>
      <w:r>
        <w:t>more recently,</w:t>
      </w:r>
      <w:r w:rsidR="007575A6">
        <w:t xml:space="preserve"> the 2004 Parliamentary Inquiry into branch closures found that </w:t>
      </w:r>
      <w:r w:rsidR="00BD703C">
        <w:t>regional customers</w:t>
      </w:r>
      <w:r w:rsidR="007575A6">
        <w:t xml:space="preserve"> </w:t>
      </w:r>
      <w:r>
        <w:t xml:space="preserve">experienced accessibility </w:t>
      </w:r>
      <w:r w:rsidR="007575A6">
        <w:t>impacts includ</w:t>
      </w:r>
      <w:r w:rsidR="00B7323D">
        <w:t>ing</w:t>
      </w:r>
      <w:r w:rsidR="007575A6">
        <w:t>:</w:t>
      </w:r>
    </w:p>
    <w:p w14:paraId="65B48FE6" w14:textId="57DCD0BC" w:rsidR="007575A6" w:rsidRPr="00126861" w:rsidRDefault="007575A6" w:rsidP="00126861">
      <w:pPr>
        <w:pStyle w:val="Bullet"/>
        <w:tabs>
          <w:tab w:val="clear" w:pos="283"/>
          <w:tab w:val="num" w:pos="567"/>
        </w:tabs>
      </w:pPr>
      <w:r w:rsidRPr="00043017">
        <w:rPr>
          <w:szCs w:val="22"/>
        </w:rPr>
        <w:t xml:space="preserve">The inconvenience, worry and extra costs associated with having to rearrange or transfer bank accounts or </w:t>
      </w:r>
      <w:r w:rsidRPr="00126861">
        <w:t>learn new ways of banking</w:t>
      </w:r>
      <w:r w:rsidR="00126861" w:rsidRPr="00126861">
        <w:t>;</w:t>
      </w:r>
    </w:p>
    <w:p w14:paraId="5B01540D" w14:textId="2B811AD3" w:rsidR="007575A6" w:rsidRPr="00126861" w:rsidRDefault="007575A6" w:rsidP="00126861">
      <w:pPr>
        <w:pStyle w:val="Bullet"/>
        <w:tabs>
          <w:tab w:val="clear" w:pos="283"/>
          <w:tab w:val="num" w:pos="567"/>
        </w:tabs>
      </w:pPr>
      <w:r w:rsidRPr="00126861">
        <w:t>The inconvenience and additional costs involved in travelling to the nearest branch to conduct business</w:t>
      </w:r>
      <w:r w:rsidR="00126861" w:rsidRPr="00126861">
        <w:t>;</w:t>
      </w:r>
    </w:p>
    <w:p w14:paraId="5D026D55" w14:textId="15EFBC29" w:rsidR="007575A6" w:rsidRPr="00126861" w:rsidRDefault="007575A6" w:rsidP="00126861">
      <w:pPr>
        <w:pStyle w:val="Bullet"/>
        <w:tabs>
          <w:tab w:val="clear" w:pos="283"/>
          <w:tab w:val="num" w:pos="567"/>
        </w:tabs>
      </w:pPr>
      <w:r w:rsidRPr="00126861">
        <w:t xml:space="preserve">The safety, security and savings implications that arise where </w:t>
      </w:r>
      <w:r w:rsidR="00190F77" w:rsidRPr="00126861">
        <w:t>customers</w:t>
      </w:r>
      <w:r w:rsidRPr="00126861">
        <w:t xml:space="preserve"> may withdraw larger amounts of cash than they normally would to tide them over until the next trip to a bank branch</w:t>
      </w:r>
      <w:r w:rsidR="00126861" w:rsidRPr="00126861">
        <w:t>;</w:t>
      </w:r>
    </w:p>
    <w:p w14:paraId="41294453" w14:textId="7AFA881E" w:rsidR="007575A6" w:rsidRPr="00126861" w:rsidRDefault="007575A6" w:rsidP="00126861">
      <w:pPr>
        <w:pStyle w:val="Bullet"/>
        <w:tabs>
          <w:tab w:val="clear" w:pos="283"/>
          <w:tab w:val="num" w:pos="567"/>
        </w:tabs>
      </w:pPr>
      <w:r w:rsidRPr="00126861">
        <w:t xml:space="preserve">The absence of competition leaving </w:t>
      </w:r>
      <w:r w:rsidR="00190F77" w:rsidRPr="00126861">
        <w:t>customers</w:t>
      </w:r>
      <w:r w:rsidRPr="00126861">
        <w:t xml:space="preserve"> with limited choices, in some cases effectively no choice, in the range of financial services and products available to them which could lead to loss of saving or investment opportunities</w:t>
      </w:r>
      <w:r w:rsidR="00126861" w:rsidRPr="00126861">
        <w:t>;</w:t>
      </w:r>
    </w:p>
    <w:p w14:paraId="672EF3F3" w14:textId="77777777" w:rsidR="007575A6" w:rsidRPr="00043017" w:rsidRDefault="007575A6" w:rsidP="00126861">
      <w:pPr>
        <w:pStyle w:val="Bullet"/>
        <w:tabs>
          <w:tab w:val="clear" w:pos="283"/>
          <w:tab w:val="num" w:pos="567"/>
        </w:tabs>
        <w:rPr>
          <w:szCs w:val="22"/>
        </w:rPr>
      </w:pPr>
      <w:r w:rsidRPr="00126861">
        <w:t>The lack of</w:t>
      </w:r>
      <w:r w:rsidRPr="00043017">
        <w:rPr>
          <w:szCs w:val="22"/>
        </w:rPr>
        <w:t xml:space="preserve"> readily available advice from local bank staff who understand the community. </w:t>
      </w:r>
    </w:p>
    <w:p w14:paraId="14ED6CC2" w14:textId="6D0023C1" w:rsidR="00B46A50" w:rsidRDefault="00B46A50" w:rsidP="007575A6">
      <w:r>
        <w:t xml:space="preserve">Importantly, the impact of branch closures in a small community is not limited to </w:t>
      </w:r>
      <w:r w:rsidR="00A35AF2">
        <w:t xml:space="preserve">bank </w:t>
      </w:r>
      <w:r>
        <w:t xml:space="preserve">customers.  If a person or business is forced to travel to the next town to do their banking, </w:t>
      </w:r>
      <w:r w:rsidR="00753AB5">
        <w:t xml:space="preserve">they are likely to </w:t>
      </w:r>
      <w:r w:rsidR="00A8030A">
        <w:t>buy</w:t>
      </w:r>
      <w:r w:rsidR="00753AB5">
        <w:t xml:space="preserve"> other goods and services in that town as well.</w:t>
      </w:r>
      <w:r>
        <w:t xml:space="preserve">  Anecdotally, if someone is to drive 50 kilomet</w:t>
      </w:r>
      <w:r w:rsidR="004D7FCA">
        <w:t>re</w:t>
      </w:r>
      <w:r>
        <w:t xml:space="preserve">s to do </w:t>
      </w:r>
      <w:r>
        <w:lastRenderedPageBreak/>
        <w:t>their banking, they will likely buy a coffee, do their groceries and utilise other services</w:t>
      </w:r>
      <w:r w:rsidR="00EE7F07">
        <w:t xml:space="preserve"> at their destination</w:t>
      </w:r>
      <w:r>
        <w:t xml:space="preserve">, thereby taking more business out of </w:t>
      </w:r>
      <w:r w:rsidR="00EE7F07">
        <w:t xml:space="preserve">their </w:t>
      </w:r>
      <w:r w:rsidR="003A0307">
        <w:t xml:space="preserve">regional or remote </w:t>
      </w:r>
      <w:r w:rsidR="00EE7F07">
        <w:t>home</w:t>
      </w:r>
      <w:r>
        <w:t>town.</w:t>
      </w:r>
      <w:r w:rsidR="00A8030A">
        <w:t xml:space="preserve"> </w:t>
      </w:r>
    </w:p>
    <w:p w14:paraId="711A5F90" w14:textId="6856C179" w:rsidR="00B14730" w:rsidRDefault="000A44FC" w:rsidP="007575A6">
      <w:r>
        <w:t xml:space="preserve">As discussed by the Royal Commission, </w:t>
      </w:r>
      <w:r w:rsidR="001F04B9">
        <w:t>remote and regional areas may suffer from some specific types of financial exclusion. A</w:t>
      </w:r>
      <w:r>
        <w:t xml:space="preserve"> lack of access to bank branches </w:t>
      </w:r>
      <w:r w:rsidR="001F04B9">
        <w:t xml:space="preserve">or alternative methods of withdrawing cash can result </w:t>
      </w:r>
      <w:r w:rsidR="00C07952">
        <w:t>with</w:t>
      </w:r>
      <w:r w:rsidR="001F04B9">
        <w:t xml:space="preserve"> </w:t>
      </w:r>
      <w:r w:rsidR="009B1FD2">
        <w:t>some</w:t>
      </w:r>
      <w:r w:rsidR="00B65C3B">
        <w:t xml:space="preserve"> in </w:t>
      </w:r>
      <w:r w:rsidR="001F04B9">
        <w:t>regional and remote areas paying high transaction costs to obtain cash, such as ATM fees</w:t>
      </w:r>
      <w:r w:rsidR="004A5138">
        <w:t>,</w:t>
      </w:r>
      <w:r w:rsidR="00190F77">
        <w:t xml:space="preserve"> and</w:t>
      </w:r>
      <w:r w:rsidR="001F04B9">
        <w:t xml:space="preserve"> difficulties in access</w:t>
      </w:r>
      <w:r w:rsidR="00527509">
        <w:t>ing</w:t>
      </w:r>
      <w:r w:rsidR="001F04B9">
        <w:t xml:space="preserve"> the internet can also lead to financia</w:t>
      </w:r>
      <w:r w:rsidR="00FE43BD">
        <w:t>l</w:t>
      </w:r>
      <w:r w:rsidR="001F04B9">
        <w:t xml:space="preserve"> exclusion</w:t>
      </w:r>
      <w:r w:rsidR="007575A6">
        <w:t>.</w:t>
      </w:r>
      <w:r w:rsidR="00B46A50">
        <w:t xml:space="preserve"> </w:t>
      </w:r>
      <w:r w:rsidR="00E42918">
        <w:t>Also</w:t>
      </w:r>
      <w:r w:rsidR="004C7DB8">
        <w:t>,</w:t>
      </w:r>
      <w:r w:rsidR="00B46A50" w:rsidDel="0020755C">
        <w:t xml:space="preserve"> </w:t>
      </w:r>
      <w:r w:rsidR="00206234">
        <w:t>l</w:t>
      </w:r>
      <w:r w:rsidR="00B46A50">
        <w:t xml:space="preserve">ocal community groups </w:t>
      </w:r>
      <w:r w:rsidR="00C07952">
        <w:t xml:space="preserve">and organisations </w:t>
      </w:r>
      <w:r w:rsidR="00B46A50">
        <w:t xml:space="preserve">seeking cash and change for floats </w:t>
      </w:r>
      <w:r w:rsidR="001F4D2C">
        <w:t>may experience</w:t>
      </w:r>
      <w:r w:rsidR="00B46A50">
        <w:t xml:space="preserve"> </w:t>
      </w:r>
      <w:r w:rsidR="00C07952">
        <w:t xml:space="preserve">negative </w:t>
      </w:r>
      <w:r w:rsidR="00B46A50">
        <w:t>impacts on key fundraising opportunities.</w:t>
      </w:r>
    </w:p>
    <w:p w14:paraId="38857D1D" w14:textId="56E66A97" w:rsidR="007575A6" w:rsidRDefault="00B14730" w:rsidP="000A0BB4">
      <w:pPr>
        <w:pStyle w:val="Bullet"/>
        <w:numPr>
          <w:ilvl w:val="0"/>
          <w:numId w:val="0"/>
        </w:numPr>
        <w:spacing w:before="120"/>
      </w:pPr>
      <w:r w:rsidRPr="007905C9">
        <w:t>Branch closures could also lead to reductions in bank employment</w:t>
      </w:r>
      <w:r w:rsidR="005C3F91">
        <w:t xml:space="preserve">. </w:t>
      </w:r>
      <w:r w:rsidR="00376216">
        <w:t xml:space="preserve">However </w:t>
      </w:r>
      <w:r w:rsidR="00D54316">
        <w:t>Australian Banking Association (ABA)</w:t>
      </w:r>
      <w:r w:rsidRPr="007905C9">
        <w:t xml:space="preserve"> data </w:t>
      </w:r>
      <w:r w:rsidR="00F84BC6">
        <w:t xml:space="preserve">from </w:t>
      </w:r>
      <w:r w:rsidR="00F27888">
        <w:t>the</w:t>
      </w:r>
      <w:r w:rsidRPr="007905C9">
        <w:t xml:space="preserve"> major banks suggests that the vast majority of staff at branches which were permanently closed in the last financial year were redeployed amid an increase in demand for phone banking.</w:t>
      </w:r>
      <w:r w:rsidRPr="000A0BB4">
        <w:t xml:space="preserve"> </w:t>
      </w:r>
    </w:p>
    <w:p w14:paraId="62F9CA32" w14:textId="11CB6A38" w:rsidR="00F11D2C" w:rsidRPr="004539C1" w:rsidRDefault="005C3F91" w:rsidP="000670BA">
      <w:r>
        <w:t>W</w:t>
      </w:r>
      <w:r w:rsidR="00F11D2C" w:rsidRPr="004539C1">
        <w:t xml:space="preserve">hile the closure of bank branches may cause inconvenience and extra travel time for some customers and services, the significant investment by banks in digital alternatives </w:t>
      </w:r>
      <w:r w:rsidR="009B1FD2" w:rsidRPr="004539C1">
        <w:t xml:space="preserve">means </w:t>
      </w:r>
      <w:r w:rsidR="00F11D2C" w:rsidRPr="004539C1">
        <w:t>that customers have the option of accessing extensive banking services from the comfort and convenience of their home at the time of their choosin</w:t>
      </w:r>
      <w:r w:rsidR="00AD1B43" w:rsidRPr="004539C1">
        <w:t xml:space="preserve">g. </w:t>
      </w:r>
      <w:r w:rsidR="00F34DAA" w:rsidRPr="003B58AE">
        <w:t xml:space="preserve"> </w:t>
      </w:r>
    </w:p>
    <w:p w14:paraId="7DED0A83" w14:textId="3CC1197F" w:rsidR="008469D5" w:rsidRDefault="008469D5" w:rsidP="007575A6">
      <w:r w:rsidRPr="00F84BC6">
        <w:t>Given decreased usage of branches and the cost of maintaining branches</w:t>
      </w:r>
      <w:r w:rsidRPr="00562779">
        <w:t>,</w:t>
      </w:r>
      <w:r w:rsidRPr="00F84BC6">
        <w:t xml:space="preserve"> it may be hard for branches to remain viable and maintaining branches could increase the cost of providing banking services.</w:t>
      </w:r>
      <w:r>
        <w:rPr>
          <w:rStyle w:val="FootnoteReference"/>
        </w:rPr>
        <w:footnoteReference w:id="14"/>
      </w:r>
      <w:r>
        <w:t xml:space="preserve"> This could come at the cost of investment in other services including the quality of alternative channels of delivery</w:t>
      </w:r>
      <w:r w:rsidR="007A006F">
        <w:t xml:space="preserve">, which as discussed </w:t>
      </w:r>
      <w:r w:rsidR="000F768F">
        <w:t>above</w:t>
      </w:r>
      <w:r w:rsidR="001F4D2C">
        <w:t>,</w:t>
      </w:r>
      <w:r w:rsidR="007A006F">
        <w:t xml:space="preserve"> have become important </w:t>
      </w:r>
      <w:r w:rsidR="0090708D">
        <w:t>ways of providing banking services</w:t>
      </w:r>
      <w:r>
        <w:t>.</w:t>
      </w:r>
    </w:p>
    <w:p w14:paraId="18CE60F8" w14:textId="20B37297" w:rsidR="00822A12" w:rsidRDefault="00822A12" w:rsidP="00822A12">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Question 4</w:t>
      </w:r>
      <w:r w:rsidRPr="00AF0F4F">
        <w:rPr>
          <w:b/>
        </w:rPr>
        <w:t>:</w:t>
      </w:r>
      <w:r w:rsidRPr="00822A12">
        <w:t xml:space="preserve"> What are the impacts of regional bank branch closures on the banking needs of individuals?</w:t>
      </w:r>
    </w:p>
    <w:p w14:paraId="0EB55EE0" w14:textId="32557B88" w:rsidR="00822A12" w:rsidRDefault="00822A12" w:rsidP="00822A12">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Question 5</w:t>
      </w:r>
      <w:r w:rsidRPr="00AF0F4F">
        <w:rPr>
          <w:b/>
        </w:rPr>
        <w:t>:</w:t>
      </w:r>
      <w:r w:rsidRPr="00822A12">
        <w:t xml:space="preserve"> What are the impacts on the banking needs of businesses, community organisations and communities?</w:t>
      </w:r>
    </w:p>
    <w:p w14:paraId="7E57C285" w14:textId="66FA1D47" w:rsidR="00822A12" w:rsidRDefault="00822A12" w:rsidP="00C85AD8">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Question 6</w:t>
      </w:r>
      <w:r w:rsidRPr="00AF0F4F">
        <w:rPr>
          <w:b/>
        </w:rPr>
        <w:t>:</w:t>
      </w:r>
      <w:r w:rsidRPr="00822A12">
        <w:t xml:space="preserve"> Are there particular issues in the provision of banking services in regional Australia for specific vulnerable groups?</w:t>
      </w:r>
    </w:p>
    <w:p w14:paraId="5DE1A15A" w14:textId="77777777" w:rsidR="007575A6" w:rsidRDefault="007575A6" w:rsidP="007575A6">
      <w:pPr>
        <w:pStyle w:val="Heading3"/>
      </w:pPr>
      <w:bookmarkStart w:id="25" w:name="_Toc85979414"/>
      <w:bookmarkStart w:id="26" w:name="_Toc88044484"/>
      <w:bookmarkStart w:id="27" w:name="_Toc88123449"/>
      <w:r>
        <w:t>Bank support</w:t>
      </w:r>
      <w:bookmarkEnd w:id="25"/>
      <w:bookmarkEnd w:id="26"/>
      <w:bookmarkEnd w:id="27"/>
      <w:r>
        <w:t xml:space="preserve"> </w:t>
      </w:r>
    </w:p>
    <w:p w14:paraId="33F7E18C" w14:textId="00D5895A" w:rsidR="007575A6" w:rsidRDefault="007575A6" w:rsidP="007575A6">
      <w:r>
        <w:t xml:space="preserve">In the </w:t>
      </w:r>
      <w:r w:rsidR="00B4272B">
        <w:t xml:space="preserve">ABA’s </w:t>
      </w:r>
      <w:r>
        <w:t xml:space="preserve">Banking Code of Practice (updated in light of </w:t>
      </w:r>
      <w:r w:rsidR="000F4005">
        <w:t>R</w:t>
      </w:r>
      <w:r w:rsidR="00B4272B">
        <w:t xml:space="preserve">ecommendation 1.8 of the </w:t>
      </w:r>
      <w:r>
        <w:t>Royal Commission</w:t>
      </w:r>
      <w:r w:rsidR="00C81CAE">
        <w:t>, which recommended the Code specify that ABA member banks must be inclusive to those who live in regional and remote areas</w:t>
      </w:r>
      <w:r>
        <w:t>),</w:t>
      </w:r>
      <w:r w:rsidR="00C81CAE">
        <w:t xml:space="preserve"> </w:t>
      </w:r>
      <w:r w:rsidR="00B4272B">
        <w:t xml:space="preserve">ABA member </w:t>
      </w:r>
      <w:r>
        <w:t>banks have committed to assist customers who reside in remote communities to access and undertake their banking services and to provide cultural awareness training to staff who regularly assist customers in remote Indigenous communities.</w:t>
      </w:r>
      <w:r>
        <w:rPr>
          <w:rStyle w:val="FootnoteReference"/>
        </w:rPr>
        <w:footnoteReference w:id="15"/>
      </w:r>
    </w:p>
    <w:p w14:paraId="1206CAD9" w14:textId="327065C5" w:rsidR="00D75D38" w:rsidRDefault="007575A6" w:rsidP="007575A6">
      <w:r>
        <w:t xml:space="preserve">Under the Branch Closure Protocol, </w:t>
      </w:r>
      <w:r w:rsidR="00B4272B">
        <w:t xml:space="preserve">ABA member </w:t>
      </w:r>
      <w:r>
        <w:t>banks are committed to provid</w:t>
      </w:r>
      <w:r w:rsidR="00C07952">
        <w:t>ing</w:t>
      </w:r>
      <w:r>
        <w:t xml:space="preserve"> personal and small business customers in remote, rural and regional areas</w:t>
      </w:r>
      <w:r w:rsidR="00FE706C">
        <w:t>,</w:t>
      </w:r>
      <w:r>
        <w:t xml:space="preserve"> ongoing face-to-face banking services when branches close. </w:t>
      </w:r>
    </w:p>
    <w:p w14:paraId="37516F07" w14:textId="17BD15E5" w:rsidR="00D75D38" w:rsidRDefault="006337C2" w:rsidP="007575A6">
      <w:r>
        <w:lastRenderedPageBreak/>
        <w:t xml:space="preserve">Specifically, when a branch closes </w:t>
      </w:r>
      <w:r w:rsidR="00D75D38">
        <w:t xml:space="preserve">ABA member banks </w:t>
      </w:r>
      <w:r w:rsidR="007575A6">
        <w:t xml:space="preserve">will </w:t>
      </w:r>
      <w:r>
        <w:t>provide</w:t>
      </w:r>
      <w:r w:rsidR="007575A6">
        <w:t xml:space="preserve"> ongoing locally available face-to-face services </w:t>
      </w:r>
      <w:r>
        <w:t>with</w:t>
      </w:r>
      <w:r w:rsidR="007575A6">
        <w:t xml:space="preserve"> cash deposit and withdrawal facilities where it is commercially viable. </w:t>
      </w:r>
      <w:r w:rsidR="00D75D38">
        <w:t xml:space="preserve"> The </w:t>
      </w:r>
      <w:r>
        <w:t>bank</w:t>
      </w:r>
      <w:r w:rsidR="00D75D38">
        <w:t xml:space="preserve"> will give customers and relevant organisations written notice of the intention to close the branch and provide customers with information about accessing services</w:t>
      </w:r>
      <w:r w:rsidR="008B3EF3">
        <w:t xml:space="preserve"> and offer</w:t>
      </w:r>
      <w:r w:rsidR="00D75D38">
        <w:t xml:space="preserve"> </w:t>
      </w:r>
      <w:r w:rsidR="00C55CF5">
        <w:t>assistance to help customers adjust to the change.</w:t>
      </w:r>
      <w:r w:rsidR="007575A6">
        <w:t xml:space="preserve"> </w:t>
      </w:r>
    </w:p>
    <w:p w14:paraId="3D619E82" w14:textId="737798BB" w:rsidR="008B3EF3" w:rsidRDefault="007575A6" w:rsidP="007575A6">
      <w:r>
        <w:t xml:space="preserve">If </w:t>
      </w:r>
      <w:r w:rsidR="008B3EF3">
        <w:t>it</w:t>
      </w:r>
      <w:r>
        <w:t xml:space="preserve"> is not commercially viable to maintain branch services and local face-to-face services are not available, banks will undertake to identify other retail banking service options prior to closure</w:t>
      </w:r>
      <w:r w:rsidR="008B3EF3">
        <w:t>.</w:t>
      </w:r>
      <w:r w:rsidR="00FC77F6">
        <w:t xml:space="preserve"> The bank will provide information about accessing services and offer training and assistance to help </w:t>
      </w:r>
      <w:r w:rsidR="007052C1">
        <w:t>customers</w:t>
      </w:r>
      <w:r w:rsidR="00FC77F6">
        <w:t xml:space="preserve"> adjust to the change, </w:t>
      </w:r>
      <w:r w:rsidR="00B96462">
        <w:t xml:space="preserve">and </w:t>
      </w:r>
      <w:r w:rsidR="00FC77F6">
        <w:t>also waiv</w:t>
      </w:r>
      <w:r w:rsidR="00B96462">
        <w:t>e</w:t>
      </w:r>
      <w:r w:rsidR="00FC77F6">
        <w:t xml:space="preserve"> any fees and charges associated with transferring accounts to other financial institutions that offer alternative banking services in the same </w:t>
      </w:r>
      <w:r w:rsidR="007052C1">
        <w:t>area</w:t>
      </w:r>
      <w:r w:rsidR="00FC77F6">
        <w:t>.</w:t>
      </w:r>
      <w:r>
        <w:t xml:space="preserve"> </w:t>
      </w:r>
    </w:p>
    <w:p w14:paraId="4AA6FBDD" w14:textId="1CFCFD14" w:rsidR="00822A12" w:rsidRDefault="007575A6" w:rsidP="00822A12">
      <w:r w:rsidRPr="00952490">
        <w:t xml:space="preserve">The Royal Commission noted that </w:t>
      </w:r>
      <w:bookmarkStart w:id="28" w:name="_Hlk87862810"/>
      <w:r w:rsidRPr="00952490">
        <w:t xml:space="preserve">consistent with the </w:t>
      </w:r>
      <w:r w:rsidR="00802875">
        <w:t>P</w:t>
      </w:r>
      <w:r w:rsidRPr="00952490">
        <w:t>rotocol</w:t>
      </w:r>
      <w:r w:rsidR="007B0207">
        <w:t xml:space="preserve"> </w:t>
      </w:r>
      <w:r w:rsidR="000F398B">
        <w:t>saying</w:t>
      </w:r>
      <w:r w:rsidR="007B0207">
        <w:t xml:space="preserve"> that banks are committed to maintaining face-to-face services</w:t>
      </w:r>
      <w:bookmarkEnd w:id="28"/>
      <w:r w:rsidR="00B4272B">
        <w:t>,</w:t>
      </w:r>
      <w:r w:rsidRPr="00952490">
        <w:t xml:space="preserve"> the number of Bank@Post access points has generally increased since 1996 and the number of ATMs and EFTPOS terminals </w:t>
      </w:r>
      <w:r w:rsidR="006A5FC5">
        <w:t>has</w:t>
      </w:r>
      <w:r w:rsidR="006A5FC5" w:rsidRPr="00952490">
        <w:t xml:space="preserve"> </w:t>
      </w:r>
      <w:r w:rsidRPr="00952490">
        <w:t>generally been increasing since the early 1990s</w:t>
      </w:r>
      <w:r w:rsidR="00BB178F">
        <w:t xml:space="preserve">, though bank </w:t>
      </w:r>
      <w:r w:rsidR="0035465D">
        <w:t xml:space="preserve">in-person </w:t>
      </w:r>
      <w:r w:rsidR="00BB178F">
        <w:t xml:space="preserve">points of presence and ATMs have </w:t>
      </w:r>
      <w:r w:rsidR="00B90551">
        <w:t xml:space="preserve">significantly </w:t>
      </w:r>
      <w:r w:rsidR="00BB178F">
        <w:t xml:space="preserve">declined </w:t>
      </w:r>
      <w:r w:rsidR="00F50C70">
        <w:t>in recent times</w:t>
      </w:r>
      <w:r w:rsidR="00BB178F">
        <w:t>.</w:t>
      </w:r>
    </w:p>
    <w:p w14:paraId="0319293A" w14:textId="31E14DE1" w:rsidR="00822A12" w:rsidRDefault="00822A12" w:rsidP="00822A12">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Question 7</w:t>
      </w:r>
      <w:r w:rsidRPr="00AF0F4F">
        <w:rPr>
          <w:b/>
        </w:rPr>
        <w:t>:</w:t>
      </w:r>
      <w:r w:rsidRPr="00822A12">
        <w:t xml:space="preserve"> What more could banks do to help customers transition to alternative banking services that would enable them to do their banking in a timely, efficient and cost-effective way?</w:t>
      </w:r>
    </w:p>
    <w:p w14:paraId="25F0FB32" w14:textId="4C89FE7B" w:rsidR="007575A6" w:rsidRDefault="007575A6" w:rsidP="007575A6">
      <w:pPr>
        <w:pStyle w:val="Heading3"/>
      </w:pPr>
      <w:bookmarkStart w:id="29" w:name="_Toc85979415"/>
      <w:bookmarkStart w:id="30" w:name="_Toc88044485"/>
      <w:bookmarkStart w:id="31" w:name="_Toc88123450"/>
      <w:r>
        <w:t xml:space="preserve">Alternatives to </w:t>
      </w:r>
      <w:r w:rsidR="00FA31BB">
        <w:t>closed bank branches</w:t>
      </w:r>
      <w:bookmarkEnd w:id="29"/>
      <w:bookmarkEnd w:id="30"/>
      <w:bookmarkEnd w:id="31"/>
    </w:p>
    <w:p w14:paraId="1851BA31" w14:textId="0D6B690B" w:rsidR="00C56E00" w:rsidRDefault="00465922" w:rsidP="007575A6">
      <w:r>
        <w:t xml:space="preserve">There are a number of </w:t>
      </w:r>
      <w:r w:rsidR="00080741">
        <w:t xml:space="preserve">potential </w:t>
      </w:r>
      <w:r>
        <w:t>alternatives</w:t>
      </w:r>
      <w:r w:rsidR="007575A6">
        <w:t xml:space="preserve"> to banking at branches</w:t>
      </w:r>
      <w:r w:rsidR="000F768F">
        <w:t>,</w:t>
      </w:r>
      <w:r w:rsidR="00E81700">
        <w:t xml:space="preserve"> </w:t>
      </w:r>
      <w:r w:rsidR="00E81700" w:rsidRPr="001C3C2C">
        <w:t xml:space="preserve">with </w:t>
      </w:r>
      <w:r w:rsidR="00A76C44">
        <w:t>T</w:t>
      </w:r>
      <w:r w:rsidR="00E81700" w:rsidRPr="001C3C2C">
        <w:t xml:space="preserve">able </w:t>
      </w:r>
      <w:r w:rsidR="001C3C2C" w:rsidRPr="003B58AE">
        <w:t>1</w:t>
      </w:r>
      <w:r w:rsidR="00E81700" w:rsidRPr="001C3C2C">
        <w:t xml:space="preserve"> summarising the services </w:t>
      </w:r>
      <w:r w:rsidR="00DA416D">
        <w:t xml:space="preserve">already </w:t>
      </w:r>
      <w:r w:rsidR="00E81700" w:rsidRPr="001C3C2C">
        <w:t>available from different modes of delivery including branches and various alternatives.</w:t>
      </w:r>
      <w:r w:rsidR="00F961AB">
        <w:t xml:space="preserve"> Many of the services provided in branches are available through </w:t>
      </w:r>
      <w:r w:rsidR="00986605">
        <w:t xml:space="preserve">these </w:t>
      </w:r>
      <w:r w:rsidR="00F961AB">
        <w:t>alternative methods.</w:t>
      </w:r>
    </w:p>
    <w:p w14:paraId="41B94451" w14:textId="77777777" w:rsidR="00BB0A86" w:rsidRDefault="00BB0A86" w:rsidP="00BB0A86">
      <w:r w:rsidRPr="00E81336">
        <w:t>Telephone calls, the internet and mobile apps provide</w:t>
      </w:r>
      <w:r>
        <w:t xml:space="preserve"> a wide variety of banking services with a high quality of service being convenient, fast, secure and easy-to-use. Banks are also taking advantage of the opportunities of digital technology to provide a variety of new services including expanded phone services, live chat services, video conferencing consultations and credit assessments (including for mortgages) to provide more options to their customers. </w:t>
      </w:r>
    </w:p>
    <w:p w14:paraId="7B7EAD84" w14:textId="77777777" w:rsidR="00BB0A86" w:rsidRPr="003B58AE" w:rsidRDefault="00BB0A86" w:rsidP="00BB0A86">
      <w:r w:rsidRPr="003B58AE">
        <w:t>To continue delivering and improving these online options to regional and remote areas, there will need to be ongoing investment</w:t>
      </w:r>
      <w:r>
        <w:t xml:space="preserve"> </w:t>
      </w:r>
      <w:r w:rsidRPr="003B58AE">
        <w:t xml:space="preserve">in digital technology to ensure delivery of </w:t>
      </w:r>
      <w:r>
        <w:t xml:space="preserve">digital </w:t>
      </w:r>
      <w:r w:rsidRPr="003B58AE">
        <w:t xml:space="preserve">banking services. </w:t>
      </w:r>
    </w:p>
    <w:p w14:paraId="1A557E6C" w14:textId="77777777" w:rsidR="00BB0A86" w:rsidRDefault="00BB0A86" w:rsidP="00BB0A86">
      <w:r>
        <w:t>T</w:t>
      </w:r>
      <w:r w:rsidRPr="0018297B">
        <w:t xml:space="preserve">he banking industry and the Government can play a role </w:t>
      </w:r>
      <w:r>
        <w:t>in</w:t>
      </w:r>
      <w:r w:rsidRPr="0018297B">
        <w:t xml:space="preserve"> educating businesses and consumers to ensure good digital literacy.</w:t>
      </w:r>
      <w:r>
        <w:rPr>
          <w:rStyle w:val="FootnoteReference"/>
        </w:rPr>
        <w:footnoteReference w:id="16"/>
      </w:r>
      <w:r w:rsidRPr="0018297B">
        <w:t xml:space="preserve"> This can enable customers to understand their options, make good decisions and enhance money management for all Australians</w:t>
      </w:r>
      <w:r>
        <w:t xml:space="preserve">. The increasing digitalisation of the economy and financial services and the risks and opportunities this presents to consumers will be considered as part of the new National Financial Capability Strategy. This will complement the priorities outlined in the 2030 Digital Economy Strategy to support digital inclusion, the digitalisation of the Australian Economy and efforts to improve digital literacy.   </w:t>
      </w:r>
    </w:p>
    <w:p w14:paraId="57E4AE0C" w14:textId="061DF9DE" w:rsidR="00BB0A86" w:rsidRDefault="00BB0A86" w:rsidP="007575A6"/>
    <w:p w14:paraId="47076AF3" w14:textId="28D374D8" w:rsidR="00BB0A86" w:rsidRDefault="00BB0A86" w:rsidP="007575A6"/>
    <w:p w14:paraId="53365A5C" w14:textId="5A7AF2E0" w:rsidR="00BB0A86" w:rsidRDefault="00BB0A86" w:rsidP="007575A6"/>
    <w:p w14:paraId="39C45750" w14:textId="4C0EB1A1" w:rsidR="00BB0A86" w:rsidRDefault="00BB0A86" w:rsidP="007575A6"/>
    <w:p w14:paraId="6AC14ED1" w14:textId="77777777" w:rsidR="00BB0A86" w:rsidRDefault="00BB0A86" w:rsidP="007575A6"/>
    <w:p w14:paraId="43AD11C3" w14:textId="77777777" w:rsidR="00481A35" w:rsidRPr="00CE6854" w:rsidRDefault="00481A35" w:rsidP="00481A35">
      <w:pPr>
        <w:jc w:val="center"/>
        <w:rPr>
          <w:b/>
        </w:rPr>
      </w:pPr>
      <w:r w:rsidRPr="00CE6854">
        <w:rPr>
          <w:b/>
          <w:bCs/>
        </w:rPr>
        <w:lastRenderedPageBreak/>
        <w:t xml:space="preserve">Table 1: Bank services </w:t>
      </w:r>
      <w:r w:rsidRPr="004539C1">
        <w:rPr>
          <w:b/>
          <w:bCs/>
        </w:rPr>
        <w:t xml:space="preserve">offered </w:t>
      </w:r>
      <w:r w:rsidRPr="00CE6854">
        <w:rPr>
          <w:b/>
          <w:bCs/>
        </w:rPr>
        <w:t>by different modes of delivery (for selected services)</w:t>
      </w:r>
    </w:p>
    <w:tbl>
      <w:tblPr>
        <w:tblStyle w:val="ListTable4-Accent2"/>
        <w:tblW w:w="0" w:type="auto"/>
        <w:tblLook w:val="04A0" w:firstRow="1" w:lastRow="0" w:firstColumn="1" w:lastColumn="0" w:noHBand="0" w:noVBand="1"/>
      </w:tblPr>
      <w:tblGrid>
        <w:gridCol w:w="2302"/>
        <w:gridCol w:w="842"/>
        <w:gridCol w:w="1243"/>
        <w:gridCol w:w="1390"/>
        <w:gridCol w:w="1761"/>
        <w:gridCol w:w="1307"/>
      </w:tblGrid>
      <w:tr w:rsidR="00481A35" w14:paraId="6D4C7B93" w14:textId="77777777" w:rsidTr="008D3EBC">
        <w:trPr>
          <w:cnfStyle w:val="100000000000" w:firstRow="1" w:lastRow="0" w:firstColumn="0" w:lastColumn="0" w:oddVBand="0" w:evenVBand="0" w:oddHBand="0" w:evenHBand="0" w:firstRowFirstColumn="0" w:firstRowLastColumn="0" w:lastRowFirstColumn="0" w:lastRowLastColumn="0"/>
          <w:trHeight w:val="470"/>
          <w:tblHead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tcBorders>
          </w:tcPr>
          <w:p w14:paraId="618F4CF0" w14:textId="77777777" w:rsidR="00481A35" w:rsidRDefault="00481A35" w:rsidP="00CE1389"/>
        </w:tc>
        <w:tc>
          <w:tcPr>
            <w:tcW w:w="0" w:type="dxa"/>
            <w:tcBorders>
              <w:top w:val="none" w:sz="0" w:space="0" w:color="auto"/>
              <w:bottom w:val="none" w:sz="0" w:space="0" w:color="auto"/>
            </w:tcBorders>
          </w:tcPr>
          <w:p w14:paraId="518790FE" w14:textId="77777777" w:rsidR="00481A35" w:rsidRDefault="00481A35" w:rsidP="00CE1389">
            <w:pPr>
              <w:jc w:val="center"/>
              <w:cnfStyle w:val="100000000000" w:firstRow="1" w:lastRow="0" w:firstColumn="0" w:lastColumn="0" w:oddVBand="0" w:evenVBand="0" w:oddHBand="0" w:evenHBand="0" w:firstRowFirstColumn="0" w:firstRowLastColumn="0" w:lastRowFirstColumn="0" w:lastRowLastColumn="0"/>
            </w:pPr>
            <w:r>
              <w:rPr>
                <w:b w:val="0"/>
                <w:bCs w:val="0"/>
                <w:szCs w:val="22"/>
              </w:rPr>
              <w:t>Branch</w:t>
            </w:r>
          </w:p>
        </w:tc>
        <w:tc>
          <w:tcPr>
            <w:tcW w:w="0" w:type="dxa"/>
            <w:tcBorders>
              <w:top w:val="none" w:sz="0" w:space="0" w:color="auto"/>
              <w:bottom w:val="none" w:sz="0" w:space="0" w:color="auto"/>
            </w:tcBorders>
          </w:tcPr>
          <w:p w14:paraId="58D23923" w14:textId="77777777" w:rsidR="00481A35" w:rsidRDefault="00481A35" w:rsidP="00CE1389">
            <w:pPr>
              <w:jc w:val="center"/>
              <w:cnfStyle w:val="100000000000" w:firstRow="1" w:lastRow="0" w:firstColumn="0" w:lastColumn="0" w:oddVBand="0" w:evenVBand="0" w:oddHBand="0" w:evenHBand="0" w:firstRowFirstColumn="0" w:firstRowLastColumn="0" w:lastRowFirstColumn="0" w:lastRowLastColumn="0"/>
            </w:pPr>
            <w:r>
              <w:rPr>
                <w:b w:val="0"/>
                <w:bCs w:val="0"/>
                <w:szCs w:val="22"/>
              </w:rPr>
              <w:t>Bank@Post</w:t>
            </w:r>
          </w:p>
        </w:tc>
        <w:tc>
          <w:tcPr>
            <w:tcW w:w="0" w:type="dxa"/>
            <w:tcBorders>
              <w:top w:val="none" w:sz="0" w:space="0" w:color="auto"/>
              <w:bottom w:val="none" w:sz="0" w:space="0" w:color="auto"/>
            </w:tcBorders>
          </w:tcPr>
          <w:p w14:paraId="13E6DDE4" w14:textId="77777777" w:rsidR="00481A35" w:rsidRDefault="00481A35" w:rsidP="00CE1389">
            <w:pPr>
              <w:jc w:val="center"/>
              <w:cnfStyle w:val="100000000000" w:firstRow="1" w:lastRow="0" w:firstColumn="0" w:lastColumn="0" w:oddVBand="0" w:evenVBand="0" w:oddHBand="0" w:evenHBand="0" w:firstRowFirstColumn="0" w:firstRowLastColumn="0" w:lastRowFirstColumn="0" w:lastRowLastColumn="0"/>
            </w:pPr>
            <w:r>
              <w:rPr>
                <w:b w:val="0"/>
                <w:bCs w:val="0"/>
                <w:szCs w:val="22"/>
              </w:rPr>
              <w:t>App/Internet Banking</w:t>
            </w:r>
          </w:p>
        </w:tc>
        <w:tc>
          <w:tcPr>
            <w:tcW w:w="0" w:type="dxa"/>
            <w:tcBorders>
              <w:top w:val="none" w:sz="0" w:space="0" w:color="auto"/>
              <w:bottom w:val="none" w:sz="0" w:space="0" w:color="auto"/>
            </w:tcBorders>
          </w:tcPr>
          <w:p w14:paraId="1ADB3611" w14:textId="77777777" w:rsidR="00481A35" w:rsidRDefault="00481A35" w:rsidP="00CE1389">
            <w:pPr>
              <w:jc w:val="center"/>
              <w:cnfStyle w:val="100000000000" w:firstRow="1" w:lastRow="0" w:firstColumn="0" w:lastColumn="0" w:oddVBand="0" w:evenVBand="0" w:oddHBand="0" w:evenHBand="0" w:firstRowFirstColumn="0" w:firstRowLastColumn="0" w:lastRowFirstColumn="0" w:lastRowLastColumn="0"/>
            </w:pPr>
            <w:r>
              <w:rPr>
                <w:b w:val="0"/>
                <w:bCs w:val="0"/>
                <w:szCs w:val="22"/>
              </w:rPr>
              <w:t>Telephone/Zoom</w:t>
            </w:r>
          </w:p>
        </w:tc>
        <w:tc>
          <w:tcPr>
            <w:tcW w:w="0" w:type="dxa"/>
            <w:tcBorders>
              <w:top w:val="none" w:sz="0" w:space="0" w:color="auto"/>
              <w:bottom w:val="none" w:sz="0" w:space="0" w:color="auto"/>
              <w:right w:val="none" w:sz="0" w:space="0" w:color="auto"/>
            </w:tcBorders>
          </w:tcPr>
          <w:p w14:paraId="66B5F387" w14:textId="77777777" w:rsidR="00481A35" w:rsidRDefault="00481A35" w:rsidP="00CE1389">
            <w:pPr>
              <w:jc w:val="center"/>
              <w:cnfStyle w:val="100000000000" w:firstRow="1" w:lastRow="0" w:firstColumn="0" w:lastColumn="0" w:oddVBand="0" w:evenVBand="0" w:oddHBand="0" w:evenHBand="0" w:firstRowFirstColumn="0" w:firstRowLastColumn="0" w:lastRowFirstColumn="0" w:lastRowLastColumn="0"/>
            </w:pPr>
            <w:r>
              <w:rPr>
                <w:b w:val="0"/>
                <w:bCs w:val="0"/>
                <w:szCs w:val="22"/>
              </w:rPr>
              <w:t>ATM</w:t>
            </w:r>
          </w:p>
        </w:tc>
      </w:tr>
      <w:tr w:rsidR="00481A35" w14:paraId="53DB7253" w14:textId="77777777" w:rsidTr="00A6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A2DA812" w14:textId="77777777" w:rsidR="00481A35" w:rsidRDefault="00481A35" w:rsidP="00CE1389">
            <w:r>
              <w:rPr>
                <w:b w:val="0"/>
                <w:bCs w:val="0"/>
                <w:szCs w:val="22"/>
              </w:rPr>
              <w:t>Open and close savings accounts</w:t>
            </w:r>
            <w:r>
              <w:rPr>
                <w:szCs w:val="22"/>
              </w:rPr>
              <w:t> </w:t>
            </w:r>
          </w:p>
        </w:tc>
        <w:tc>
          <w:tcPr>
            <w:tcW w:w="0" w:type="dxa"/>
          </w:tcPr>
          <w:p w14:paraId="34958325"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66D4FCA7"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CE6854">
              <w:rPr>
                <w:color w:val="FF0000"/>
                <w:szCs w:val="22"/>
              </w:rPr>
              <w:t>No</w:t>
            </w:r>
          </w:p>
        </w:tc>
        <w:tc>
          <w:tcPr>
            <w:tcW w:w="0" w:type="dxa"/>
          </w:tcPr>
          <w:p w14:paraId="13ED872F"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 (open only)</w:t>
            </w:r>
          </w:p>
        </w:tc>
        <w:tc>
          <w:tcPr>
            <w:tcW w:w="0" w:type="dxa"/>
          </w:tcPr>
          <w:p w14:paraId="1A67DADC"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1D43FA06"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AF3F9E">
              <w:rPr>
                <w:color w:val="FF0000"/>
                <w:szCs w:val="22"/>
              </w:rPr>
              <w:t>No</w:t>
            </w:r>
          </w:p>
        </w:tc>
      </w:tr>
      <w:tr w:rsidR="00481A35" w14:paraId="459BF858" w14:textId="77777777" w:rsidTr="0078169D">
        <w:tc>
          <w:tcPr>
            <w:cnfStyle w:val="001000000000" w:firstRow="0" w:lastRow="0" w:firstColumn="1" w:lastColumn="0" w:oddVBand="0" w:evenVBand="0" w:oddHBand="0" w:evenHBand="0" w:firstRowFirstColumn="0" w:firstRowLastColumn="0" w:lastRowFirstColumn="0" w:lastRowLastColumn="0"/>
            <w:tcW w:w="0" w:type="dxa"/>
          </w:tcPr>
          <w:p w14:paraId="24BDB232" w14:textId="77777777" w:rsidR="00481A35" w:rsidRDefault="00481A35" w:rsidP="00CE1389">
            <w:r>
              <w:rPr>
                <w:b w:val="0"/>
                <w:bCs w:val="0"/>
                <w:szCs w:val="22"/>
              </w:rPr>
              <w:t>Withdraw cash</w:t>
            </w:r>
            <w:r>
              <w:rPr>
                <w:szCs w:val="22"/>
              </w:rPr>
              <w:t> </w:t>
            </w:r>
          </w:p>
        </w:tc>
        <w:tc>
          <w:tcPr>
            <w:tcW w:w="0" w:type="dxa"/>
          </w:tcPr>
          <w:p w14:paraId="1C69EC0D"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269177EE"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35B2AAB2"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sidRPr="00AF3F9E">
              <w:rPr>
                <w:color w:val="FF0000"/>
                <w:szCs w:val="22"/>
              </w:rPr>
              <w:t>No</w:t>
            </w:r>
          </w:p>
        </w:tc>
        <w:tc>
          <w:tcPr>
            <w:tcW w:w="0" w:type="dxa"/>
          </w:tcPr>
          <w:p w14:paraId="224B4236"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sidRPr="00AF3F9E">
              <w:rPr>
                <w:color w:val="FF0000"/>
                <w:szCs w:val="22"/>
              </w:rPr>
              <w:t>No</w:t>
            </w:r>
          </w:p>
        </w:tc>
        <w:tc>
          <w:tcPr>
            <w:tcW w:w="0" w:type="dxa"/>
          </w:tcPr>
          <w:p w14:paraId="3C37D966"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r>
      <w:tr w:rsidR="00481A35" w14:paraId="13193BBC" w14:textId="77777777" w:rsidTr="00A6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B931D17" w14:textId="77777777" w:rsidR="00481A35" w:rsidRDefault="00481A35" w:rsidP="00CE1389">
            <w:r>
              <w:rPr>
                <w:b w:val="0"/>
                <w:bCs w:val="0"/>
                <w:szCs w:val="22"/>
              </w:rPr>
              <w:t>Deposit cash</w:t>
            </w:r>
            <w:r>
              <w:rPr>
                <w:szCs w:val="22"/>
              </w:rPr>
              <w:t> </w:t>
            </w:r>
          </w:p>
        </w:tc>
        <w:tc>
          <w:tcPr>
            <w:tcW w:w="0" w:type="dxa"/>
          </w:tcPr>
          <w:p w14:paraId="25CFBC05"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2D6CDC4A"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444BDFDE"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AF3F9E">
              <w:rPr>
                <w:color w:val="FF0000"/>
                <w:szCs w:val="22"/>
              </w:rPr>
              <w:t>No</w:t>
            </w:r>
          </w:p>
        </w:tc>
        <w:tc>
          <w:tcPr>
            <w:tcW w:w="0" w:type="dxa"/>
          </w:tcPr>
          <w:p w14:paraId="2DD83173"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AF3F9E">
              <w:rPr>
                <w:color w:val="FF0000"/>
                <w:szCs w:val="22"/>
              </w:rPr>
              <w:t>No</w:t>
            </w:r>
          </w:p>
        </w:tc>
        <w:tc>
          <w:tcPr>
            <w:tcW w:w="0" w:type="dxa"/>
          </w:tcPr>
          <w:p w14:paraId="59EDCE89"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Smart ATMs</w:t>
            </w:r>
          </w:p>
        </w:tc>
      </w:tr>
      <w:tr w:rsidR="00481A35" w14:paraId="1D8907FA" w14:textId="77777777" w:rsidTr="0078169D">
        <w:tc>
          <w:tcPr>
            <w:cnfStyle w:val="001000000000" w:firstRow="0" w:lastRow="0" w:firstColumn="1" w:lastColumn="0" w:oddVBand="0" w:evenVBand="0" w:oddHBand="0" w:evenHBand="0" w:firstRowFirstColumn="0" w:firstRowLastColumn="0" w:lastRowFirstColumn="0" w:lastRowLastColumn="0"/>
            <w:tcW w:w="0" w:type="dxa"/>
          </w:tcPr>
          <w:p w14:paraId="4A15463B" w14:textId="77777777" w:rsidR="00481A35" w:rsidRDefault="00481A35" w:rsidP="00CE1389">
            <w:r>
              <w:rPr>
                <w:b w:val="0"/>
                <w:bCs w:val="0"/>
                <w:szCs w:val="22"/>
              </w:rPr>
              <w:t>Check account details &amp; balance</w:t>
            </w:r>
            <w:r>
              <w:rPr>
                <w:szCs w:val="22"/>
              </w:rPr>
              <w:t> </w:t>
            </w:r>
          </w:p>
        </w:tc>
        <w:tc>
          <w:tcPr>
            <w:tcW w:w="0" w:type="dxa"/>
          </w:tcPr>
          <w:p w14:paraId="2D342259"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44166CCD"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2B58BE5B"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068B6049"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2BF97EFA"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r>
      <w:tr w:rsidR="00481A35" w14:paraId="01ACCB58" w14:textId="77777777" w:rsidTr="00A6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D03BC6A" w14:textId="77777777" w:rsidR="00481A35" w:rsidRDefault="00481A35" w:rsidP="00CE1389">
            <w:r>
              <w:rPr>
                <w:b w:val="0"/>
                <w:bCs w:val="0"/>
                <w:szCs w:val="22"/>
              </w:rPr>
              <w:t>Deposit cheques</w:t>
            </w:r>
            <w:r>
              <w:rPr>
                <w:szCs w:val="22"/>
              </w:rPr>
              <w:t> </w:t>
            </w:r>
          </w:p>
        </w:tc>
        <w:tc>
          <w:tcPr>
            <w:tcW w:w="0" w:type="dxa"/>
          </w:tcPr>
          <w:p w14:paraId="03600A00"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166C4D29"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53D8E959"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lang w:val="en-US"/>
              </w:rPr>
              <w:t>Yes (Up to a limit)</w:t>
            </w:r>
          </w:p>
        </w:tc>
        <w:tc>
          <w:tcPr>
            <w:tcW w:w="0" w:type="dxa"/>
          </w:tcPr>
          <w:p w14:paraId="437CD1CD"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AF3F9E">
              <w:rPr>
                <w:color w:val="FF0000"/>
                <w:szCs w:val="22"/>
              </w:rPr>
              <w:t>No</w:t>
            </w:r>
          </w:p>
        </w:tc>
        <w:tc>
          <w:tcPr>
            <w:tcW w:w="0" w:type="dxa"/>
          </w:tcPr>
          <w:p w14:paraId="2689707A" w14:textId="77777777" w:rsidR="00481A35" w:rsidRPr="00CE6854" w:rsidRDefault="00481A35" w:rsidP="00CE1389">
            <w:pPr>
              <w:jc w:val="center"/>
              <w:cnfStyle w:val="000000100000" w:firstRow="0" w:lastRow="0" w:firstColumn="0" w:lastColumn="0" w:oddVBand="0" w:evenVBand="0" w:oddHBand="1" w:evenHBand="0" w:firstRowFirstColumn="0" w:firstRowLastColumn="0" w:lastRowFirstColumn="0" w:lastRowLastColumn="0"/>
              <w:rPr>
                <w:szCs w:val="22"/>
                <w:lang w:val="en-US"/>
              </w:rPr>
            </w:pPr>
            <w:r>
              <w:rPr>
                <w:szCs w:val="22"/>
                <w:lang w:val="en-US"/>
              </w:rPr>
              <w:t>Yes (With limits)</w:t>
            </w:r>
          </w:p>
        </w:tc>
      </w:tr>
      <w:tr w:rsidR="00481A35" w14:paraId="3BC7E00D" w14:textId="77777777" w:rsidTr="0078169D">
        <w:tc>
          <w:tcPr>
            <w:cnfStyle w:val="001000000000" w:firstRow="0" w:lastRow="0" w:firstColumn="1" w:lastColumn="0" w:oddVBand="0" w:evenVBand="0" w:oddHBand="0" w:evenHBand="0" w:firstRowFirstColumn="0" w:firstRowLastColumn="0" w:lastRowFirstColumn="0" w:lastRowLastColumn="0"/>
            <w:tcW w:w="0" w:type="dxa"/>
          </w:tcPr>
          <w:p w14:paraId="5D01AC55" w14:textId="77777777" w:rsidR="00481A35" w:rsidRDefault="00481A35" w:rsidP="00CE1389">
            <w:r>
              <w:rPr>
                <w:b w:val="0"/>
                <w:bCs w:val="0"/>
                <w:szCs w:val="22"/>
              </w:rPr>
              <w:t>Change for business floats</w:t>
            </w:r>
            <w:r>
              <w:rPr>
                <w:szCs w:val="22"/>
              </w:rPr>
              <w:t> </w:t>
            </w:r>
          </w:p>
        </w:tc>
        <w:tc>
          <w:tcPr>
            <w:tcW w:w="0" w:type="dxa"/>
          </w:tcPr>
          <w:p w14:paraId="243D3005"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5A67F2F3"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60E04AE3"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sidRPr="00AF3F9E">
              <w:rPr>
                <w:color w:val="FF0000"/>
                <w:szCs w:val="22"/>
              </w:rPr>
              <w:t>No</w:t>
            </w:r>
          </w:p>
        </w:tc>
        <w:tc>
          <w:tcPr>
            <w:tcW w:w="0" w:type="dxa"/>
          </w:tcPr>
          <w:p w14:paraId="17A5D4E9"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sidRPr="00AF3F9E">
              <w:rPr>
                <w:color w:val="FF0000"/>
                <w:szCs w:val="22"/>
              </w:rPr>
              <w:t>No</w:t>
            </w:r>
          </w:p>
        </w:tc>
        <w:tc>
          <w:tcPr>
            <w:tcW w:w="0" w:type="dxa"/>
          </w:tcPr>
          <w:p w14:paraId="4FE5BE71"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sidRPr="00AF3F9E">
              <w:rPr>
                <w:color w:val="FF0000"/>
                <w:szCs w:val="22"/>
              </w:rPr>
              <w:t>No</w:t>
            </w:r>
          </w:p>
        </w:tc>
      </w:tr>
      <w:tr w:rsidR="00481A35" w14:paraId="1276C01D" w14:textId="77777777" w:rsidTr="00A6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DEB14E2" w14:textId="77777777" w:rsidR="00481A35" w:rsidRDefault="00481A35" w:rsidP="00CE1389">
            <w:r>
              <w:rPr>
                <w:b w:val="0"/>
                <w:bCs w:val="0"/>
                <w:szCs w:val="22"/>
              </w:rPr>
              <w:t xml:space="preserve">Lock card/report card stolen </w:t>
            </w:r>
          </w:p>
        </w:tc>
        <w:tc>
          <w:tcPr>
            <w:tcW w:w="0" w:type="dxa"/>
          </w:tcPr>
          <w:p w14:paraId="3E8D0ADA"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43E624A3"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AF3F9E">
              <w:rPr>
                <w:color w:val="FF0000"/>
                <w:szCs w:val="22"/>
              </w:rPr>
              <w:t>No</w:t>
            </w:r>
          </w:p>
        </w:tc>
        <w:tc>
          <w:tcPr>
            <w:tcW w:w="0" w:type="dxa"/>
          </w:tcPr>
          <w:p w14:paraId="6F185A14"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14449B71"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270C005D"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AF3F9E">
              <w:rPr>
                <w:color w:val="FF0000"/>
                <w:szCs w:val="22"/>
              </w:rPr>
              <w:t>No</w:t>
            </w:r>
          </w:p>
        </w:tc>
      </w:tr>
      <w:tr w:rsidR="00481A35" w14:paraId="4661FD09" w14:textId="77777777" w:rsidTr="0078169D">
        <w:tc>
          <w:tcPr>
            <w:cnfStyle w:val="001000000000" w:firstRow="0" w:lastRow="0" w:firstColumn="1" w:lastColumn="0" w:oddVBand="0" w:evenVBand="0" w:oddHBand="0" w:evenHBand="0" w:firstRowFirstColumn="0" w:firstRowLastColumn="0" w:lastRowFirstColumn="0" w:lastRowLastColumn="0"/>
            <w:tcW w:w="0" w:type="dxa"/>
          </w:tcPr>
          <w:p w14:paraId="70B4C138" w14:textId="4BFDAE49" w:rsidR="00481A35" w:rsidRDefault="00481A35" w:rsidP="00CE1389">
            <w:r>
              <w:rPr>
                <w:b w:val="0"/>
                <w:bCs w:val="0"/>
                <w:szCs w:val="22"/>
              </w:rPr>
              <w:t xml:space="preserve">Card </w:t>
            </w:r>
            <w:r w:rsidR="00FE706C">
              <w:rPr>
                <w:b w:val="0"/>
                <w:bCs w:val="0"/>
                <w:szCs w:val="22"/>
              </w:rPr>
              <w:t>a</w:t>
            </w:r>
            <w:r>
              <w:rPr>
                <w:b w:val="0"/>
                <w:bCs w:val="0"/>
                <w:szCs w:val="22"/>
              </w:rPr>
              <w:t>ctivation</w:t>
            </w:r>
            <w:r>
              <w:rPr>
                <w:szCs w:val="22"/>
              </w:rPr>
              <w:t> </w:t>
            </w:r>
          </w:p>
        </w:tc>
        <w:tc>
          <w:tcPr>
            <w:tcW w:w="0" w:type="dxa"/>
          </w:tcPr>
          <w:p w14:paraId="61657362"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0C086221"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sidRPr="00AF3F9E">
              <w:rPr>
                <w:color w:val="FF0000"/>
                <w:szCs w:val="22"/>
              </w:rPr>
              <w:t>No</w:t>
            </w:r>
          </w:p>
        </w:tc>
        <w:tc>
          <w:tcPr>
            <w:tcW w:w="0" w:type="dxa"/>
          </w:tcPr>
          <w:p w14:paraId="38A93234"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4DF7C0CB"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t>Yes</w:t>
            </w:r>
          </w:p>
        </w:tc>
        <w:tc>
          <w:tcPr>
            <w:tcW w:w="0" w:type="dxa"/>
          </w:tcPr>
          <w:p w14:paraId="34AC05A9"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sidRPr="00CE6854">
              <w:rPr>
                <w:color w:val="FF0000"/>
                <w:szCs w:val="22"/>
              </w:rPr>
              <w:t>No</w:t>
            </w:r>
          </w:p>
        </w:tc>
      </w:tr>
      <w:tr w:rsidR="00481A35" w14:paraId="54BA2799" w14:textId="77777777" w:rsidTr="00A6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835178A" w14:textId="77777777" w:rsidR="00481A35" w:rsidRDefault="00481A35" w:rsidP="00CE1389">
            <w:r>
              <w:rPr>
                <w:b w:val="0"/>
                <w:bCs w:val="0"/>
                <w:szCs w:val="22"/>
              </w:rPr>
              <w:t>Set or change a card PIN</w:t>
            </w:r>
            <w:r>
              <w:rPr>
                <w:szCs w:val="22"/>
              </w:rPr>
              <w:t> </w:t>
            </w:r>
          </w:p>
        </w:tc>
        <w:tc>
          <w:tcPr>
            <w:tcW w:w="0" w:type="dxa"/>
          </w:tcPr>
          <w:p w14:paraId="67D4D7BB"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6B650F87"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AF3F9E">
              <w:rPr>
                <w:color w:val="FF0000"/>
                <w:szCs w:val="22"/>
              </w:rPr>
              <w:t>No</w:t>
            </w:r>
          </w:p>
        </w:tc>
        <w:tc>
          <w:tcPr>
            <w:tcW w:w="0" w:type="dxa"/>
          </w:tcPr>
          <w:p w14:paraId="1F118BC8"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7F2C341F"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CE6854">
              <w:rPr>
                <w:color w:val="FF0000"/>
                <w:szCs w:val="22"/>
              </w:rPr>
              <w:t>No</w:t>
            </w:r>
          </w:p>
        </w:tc>
        <w:tc>
          <w:tcPr>
            <w:tcW w:w="0" w:type="dxa"/>
          </w:tcPr>
          <w:p w14:paraId="5DD87981"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lang w:val="en-US"/>
              </w:rPr>
              <w:t>Yes</w:t>
            </w:r>
          </w:p>
        </w:tc>
      </w:tr>
      <w:tr w:rsidR="00481A35" w14:paraId="19AF3111" w14:textId="77777777" w:rsidTr="0078169D">
        <w:tc>
          <w:tcPr>
            <w:cnfStyle w:val="001000000000" w:firstRow="0" w:lastRow="0" w:firstColumn="1" w:lastColumn="0" w:oddVBand="0" w:evenVBand="0" w:oddHBand="0" w:evenHBand="0" w:firstRowFirstColumn="0" w:firstRowLastColumn="0" w:lastRowFirstColumn="0" w:lastRowLastColumn="0"/>
            <w:tcW w:w="0" w:type="dxa"/>
          </w:tcPr>
          <w:p w14:paraId="048DFB57" w14:textId="77777777" w:rsidR="00481A35" w:rsidRDefault="00481A35" w:rsidP="00CE1389">
            <w:r>
              <w:rPr>
                <w:b w:val="0"/>
                <w:bCs w:val="0"/>
                <w:szCs w:val="22"/>
              </w:rPr>
              <w:t>Apply for a personal or business loan</w:t>
            </w:r>
            <w:r>
              <w:rPr>
                <w:szCs w:val="22"/>
              </w:rPr>
              <w:t> </w:t>
            </w:r>
          </w:p>
        </w:tc>
        <w:tc>
          <w:tcPr>
            <w:tcW w:w="0" w:type="dxa"/>
          </w:tcPr>
          <w:p w14:paraId="55EFFB84"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7290D8A8"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sidRPr="00AF3F9E">
              <w:rPr>
                <w:color w:val="FF0000"/>
                <w:szCs w:val="22"/>
              </w:rPr>
              <w:t>No</w:t>
            </w:r>
          </w:p>
        </w:tc>
        <w:tc>
          <w:tcPr>
            <w:tcW w:w="0" w:type="dxa"/>
          </w:tcPr>
          <w:p w14:paraId="39D49FD7"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2D04C9DB"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2BC0ACBA"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sidRPr="00AF3F9E">
              <w:rPr>
                <w:color w:val="FF0000"/>
                <w:szCs w:val="22"/>
              </w:rPr>
              <w:t>No</w:t>
            </w:r>
          </w:p>
        </w:tc>
      </w:tr>
      <w:tr w:rsidR="00481A35" w14:paraId="115E9FDA" w14:textId="77777777" w:rsidTr="00A6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0FA1651" w14:textId="77777777" w:rsidR="00481A35" w:rsidRDefault="00481A35" w:rsidP="00CE1389">
            <w:r>
              <w:rPr>
                <w:b w:val="0"/>
                <w:bCs w:val="0"/>
                <w:szCs w:val="22"/>
              </w:rPr>
              <w:t>Apply for a mortgage </w:t>
            </w:r>
            <w:r>
              <w:rPr>
                <w:szCs w:val="22"/>
              </w:rPr>
              <w:t> </w:t>
            </w:r>
          </w:p>
        </w:tc>
        <w:tc>
          <w:tcPr>
            <w:tcW w:w="0" w:type="dxa"/>
          </w:tcPr>
          <w:p w14:paraId="453703A8"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6A9422F7"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AF3F9E">
              <w:rPr>
                <w:color w:val="FF0000"/>
                <w:szCs w:val="22"/>
              </w:rPr>
              <w:t>No</w:t>
            </w:r>
          </w:p>
        </w:tc>
        <w:tc>
          <w:tcPr>
            <w:tcW w:w="0" w:type="dxa"/>
          </w:tcPr>
          <w:p w14:paraId="500E3CE4"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4D42C487"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157A56BF"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sidRPr="00AF3F9E">
              <w:rPr>
                <w:color w:val="FF0000"/>
                <w:szCs w:val="22"/>
              </w:rPr>
              <w:t>No</w:t>
            </w:r>
          </w:p>
        </w:tc>
      </w:tr>
      <w:tr w:rsidR="00481A35" w14:paraId="73C632AC" w14:textId="77777777" w:rsidTr="0078169D">
        <w:tc>
          <w:tcPr>
            <w:cnfStyle w:val="001000000000" w:firstRow="0" w:lastRow="0" w:firstColumn="1" w:lastColumn="0" w:oddVBand="0" w:evenVBand="0" w:oddHBand="0" w:evenHBand="0" w:firstRowFirstColumn="0" w:firstRowLastColumn="0" w:lastRowFirstColumn="0" w:lastRowLastColumn="0"/>
            <w:tcW w:w="0" w:type="dxa"/>
          </w:tcPr>
          <w:p w14:paraId="76272617" w14:textId="77777777" w:rsidR="00481A35" w:rsidRDefault="00481A35" w:rsidP="00CE1389">
            <w:r>
              <w:rPr>
                <w:b w:val="0"/>
                <w:bCs w:val="0"/>
                <w:szCs w:val="22"/>
              </w:rPr>
              <w:t>Pay a bill and transfer funds</w:t>
            </w:r>
            <w:r>
              <w:rPr>
                <w:szCs w:val="22"/>
              </w:rPr>
              <w:t> </w:t>
            </w:r>
          </w:p>
        </w:tc>
        <w:tc>
          <w:tcPr>
            <w:tcW w:w="0" w:type="dxa"/>
          </w:tcPr>
          <w:p w14:paraId="56ED2D86"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63F8608B"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4A9C9FCB"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75AB0CC7"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Pr>
                <w:szCs w:val="22"/>
              </w:rPr>
              <w:t>Yes</w:t>
            </w:r>
          </w:p>
        </w:tc>
        <w:tc>
          <w:tcPr>
            <w:tcW w:w="0" w:type="dxa"/>
          </w:tcPr>
          <w:p w14:paraId="3E162CEC" w14:textId="77777777" w:rsidR="00481A35" w:rsidRDefault="00481A35" w:rsidP="00CE1389">
            <w:pPr>
              <w:jc w:val="center"/>
              <w:cnfStyle w:val="000000000000" w:firstRow="0" w:lastRow="0" w:firstColumn="0" w:lastColumn="0" w:oddVBand="0" w:evenVBand="0" w:oddHBand="0" w:evenHBand="0" w:firstRowFirstColumn="0" w:firstRowLastColumn="0" w:lastRowFirstColumn="0" w:lastRowLastColumn="0"/>
            </w:pPr>
            <w:r w:rsidRPr="00AF3F9E">
              <w:rPr>
                <w:color w:val="FF0000"/>
                <w:szCs w:val="22"/>
              </w:rPr>
              <w:t>No</w:t>
            </w:r>
          </w:p>
        </w:tc>
      </w:tr>
      <w:tr w:rsidR="00481A35" w14:paraId="63AD3033" w14:textId="77777777" w:rsidTr="00A62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592E1A1" w14:textId="77777777" w:rsidR="00481A35" w:rsidRDefault="00481A35" w:rsidP="00CE1389">
            <w:r>
              <w:rPr>
                <w:b w:val="0"/>
                <w:bCs w:val="0"/>
                <w:szCs w:val="22"/>
              </w:rPr>
              <w:t>Credit card repayments</w:t>
            </w:r>
            <w:r>
              <w:rPr>
                <w:szCs w:val="22"/>
              </w:rPr>
              <w:t> </w:t>
            </w:r>
          </w:p>
        </w:tc>
        <w:tc>
          <w:tcPr>
            <w:tcW w:w="0" w:type="dxa"/>
          </w:tcPr>
          <w:p w14:paraId="3EE69BC1"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2FF212C8"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74C74A0F"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1C7125A0"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w:t>
            </w:r>
          </w:p>
        </w:tc>
        <w:tc>
          <w:tcPr>
            <w:tcW w:w="0" w:type="dxa"/>
          </w:tcPr>
          <w:p w14:paraId="3BBD2E7C" w14:textId="77777777" w:rsidR="00481A35" w:rsidRDefault="00481A35" w:rsidP="00CE1389">
            <w:pPr>
              <w:jc w:val="center"/>
              <w:cnfStyle w:val="000000100000" w:firstRow="0" w:lastRow="0" w:firstColumn="0" w:lastColumn="0" w:oddVBand="0" w:evenVBand="0" w:oddHBand="1" w:evenHBand="0" w:firstRowFirstColumn="0" w:firstRowLastColumn="0" w:lastRowFirstColumn="0" w:lastRowLastColumn="0"/>
            </w:pPr>
            <w:r>
              <w:rPr>
                <w:szCs w:val="22"/>
              </w:rPr>
              <w:t>Yes (Cash only)</w:t>
            </w:r>
          </w:p>
        </w:tc>
      </w:tr>
    </w:tbl>
    <w:p w14:paraId="061EF69D" w14:textId="0E4F4FF6" w:rsidR="00481A35" w:rsidRDefault="00481A35" w:rsidP="00481A35">
      <w:pPr>
        <w:textAlignment w:val="baseline"/>
        <w:rPr>
          <w:rFonts w:ascii="Segoe UI" w:hAnsi="Segoe UI" w:cs="Segoe UI"/>
          <w:sz w:val="18"/>
          <w:szCs w:val="18"/>
          <w:lang w:val="en-US"/>
        </w:rPr>
      </w:pPr>
      <w:r>
        <w:t>*Depending on bank, available only on internet.</w:t>
      </w:r>
      <w:r>
        <w:rPr>
          <w:lang w:val="en-US"/>
        </w:rPr>
        <w:t>  Source: ABA</w:t>
      </w:r>
    </w:p>
    <w:p w14:paraId="0C755F60" w14:textId="7A2ACDED" w:rsidR="00AA0E0A" w:rsidRDefault="00AA0E0A" w:rsidP="00AA0E0A">
      <w:r w:rsidRPr="00E81336">
        <w:t>Bank@Post, which</w:t>
      </w:r>
      <w:r>
        <w:t xml:space="preserve"> involves</w:t>
      </w:r>
      <w:r w:rsidR="00527509">
        <w:t xml:space="preserve"> post offices acting as an agent and providing services to customers of</w:t>
      </w:r>
      <w:r>
        <w:t xml:space="preserve"> over 80 banks and </w:t>
      </w:r>
      <w:r w:rsidR="001167AF">
        <w:t xml:space="preserve">other </w:t>
      </w:r>
      <w:r>
        <w:t>financial institution</w:t>
      </w:r>
      <w:r w:rsidRPr="003B58AE">
        <w:t xml:space="preserve">s, is another significant alternative to bank branches. </w:t>
      </w:r>
      <w:r w:rsidR="001B4625">
        <w:t xml:space="preserve">This is a commercial partnership that banks have entered into for Australia Post to deliver services and have involved substantial investments in the capability, technology and security of Bank@Post outlets to make sure customers can bank easily, safely and in a way that suits them. </w:t>
      </w:r>
      <w:r w:rsidR="00B0607B" w:rsidRPr="003B58AE">
        <w:t>Amongst its services</w:t>
      </w:r>
      <w:r w:rsidR="00533155">
        <w:t>,</w:t>
      </w:r>
      <w:r w:rsidR="00B0607B" w:rsidRPr="003B58AE">
        <w:t xml:space="preserve"> it enables customers to </w:t>
      </w:r>
      <w:r w:rsidRPr="003B58AE">
        <w:t>withdraw and deposit cash, check account details, deposit cheques, pay bills and transfer funds and make credit card repayments.</w:t>
      </w:r>
      <w:r>
        <w:t xml:space="preserve"> This can be done at over 3,500 post offices including more than 1,900 in rural and remote locations. There </w:t>
      </w:r>
      <w:r w:rsidRPr="00C2538F">
        <w:t>are 1,</w:t>
      </w:r>
      <w:r w:rsidRPr="00CE6854">
        <w:t>1</w:t>
      </w:r>
      <w:r w:rsidRPr="00C2538F">
        <w:t xml:space="preserve">45 </w:t>
      </w:r>
      <w:r w:rsidRPr="00CE6854">
        <w:t>Bank@</w:t>
      </w:r>
      <w:r>
        <w:t>P</w:t>
      </w:r>
      <w:r w:rsidRPr="00CE6854">
        <w:t xml:space="preserve">ost </w:t>
      </w:r>
      <w:r w:rsidRPr="00C2538F">
        <w:t xml:space="preserve">offices in </w:t>
      </w:r>
      <w:r w:rsidRPr="00CE6854">
        <w:t>regional and rural communities</w:t>
      </w:r>
      <w:r w:rsidRPr="00C2538F">
        <w:t xml:space="preserve"> with no bank branch.</w:t>
      </w:r>
    </w:p>
    <w:p w14:paraId="2F4F2284" w14:textId="130D913F" w:rsidR="00FF7AF7" w:rsidRDefault="00FF7AF7" w:rsidP="00FF7AF7">
      <w:r w:rsidRPr="00E81336">
        <w:lastRenderedPageBreak/>
        <w:t>ATMs are another</w:t>
      </w:r>
      <w:r>
        <w:t xml:space="preserve"> alternative to branches, providing the ability to withdraw cash with some also accepting deposits. While there has been a significant decline in ATMs recently amid a decline in the use of cash for payments, </w:t>
      </w:r>
      <w:r w:rsidR="00C07952">
        <w:t>a</w:t>
      </w:r>
      <w:r>
        <w:t>round 95 per cent of people lived within about 5 km of a cash access point in 2020, broadly unchanged from 2017.</w:t>
      </w:r>
      <w:r w:rsidR="009C2A45">
        <w:rPr>
          <w:rStyle w:val="FootnoteReference"/>
        </w:rPr>
        <w:footnoteReference w:id="17"/>
      </w:r>
      <w:r>
        <w:t xml:space="preserve">  </w:t>
      </w:r>
    </w:p>
    <w:p w14:paraId="504564C9" w14:textId="2C3EC138" w:rsidR="0093166E" w:rsidRPr="003B58AE" w:rsidRDefault="00FF7AF7" w:rsidP="0093166E">
      <w:r w:rsidRPr="003B58AE">
        <w:t>Banks are also deploying mobile bankers, who can visit individual customers in their homes or places of business. This type of model may be cost-effective in regional or remote areas where bank branches are unavailable or some distance awa</w:t>
      </w:r>
      <w:r w:rsidR="00847566" w:rsidRPr="003B58AE">
        <w:t>y</w:t>
      </w:r>
      <w:r w:rsidRPr="003B58AE">
        <w:t>.</w:t>
      </w:r>
    </w:p>
    <w:p w14:paraId="611E756F" w14:textId="0E2D2D2C" w:rsidR="00F53B6F" w:rsidRDefault="00A857AA" w:rsidP="007575A6">
      <w:r>
        <w:t>B</w:t>
      </w:r>
      <w:r w:rsidR="00F53B6F">
        <w:t>ank</w:t>
      </w:r>
      <w:r>
        <w:t xml:space="preserve">s </w:t>
      </w:r>
      <w:r w:rsidR="004110BE">
        <w:t xml:space="preserve">are also </w:t>
      </w:r>
      <w:r w:rsidR="004110BE" w:rsidRPr="00E81336">
        <w:t xml:space="preserve">enabling </w:t>
      </w:r>
      <w:r w:rsidR="00FE4770" w:rsidRPr="00E81336">
        <w:t xml:space="preserve">branches </w:t>
      </w:r>
      <w:r w:rsidR="004110BE" w:rsidRPr="00E81336">
        <w:t>to</w:t>
      </w:r>
      <w:r w:rsidR="00FE4770" w:rsidRPr="00E81336">
        <w:t xml:space="preserve"> continue to operate</w:t>
      </w:r>
      <w:r w:rsidR="00FE4770" w:rsidRPr="000A0BB4">
        <w:t xml:space="preserve"> but for reduced hours, using staff </w:t>
      </w:r>
      <w:r w:rsidR="0003617B">
        <w:t>for</w:t>
      </w:r>
      <w:r w:rsidR="00FE4770" w:rsidRPr="000A0BB4">
        <w:t xml:space="preserve"> other </w:t>
      </w:r>
      <w:r w:rsidR="002538A3">
        <w:t xml:space="preserve">banking </w:t>
      </w:r>
      <w:r w:rsidR="00FE4770" w:rsidRPr="000A0BB4">
        <w:t>services when the branch is closed</w:t>
      </w:r>
      <w:r w:rsidR="009A4EAB">
        <w:t xml:space="preserve"> and</w:t>
      </w:r>
      <w:r w:rsidR="004110BE">
        <w:t xml:space="preserve"> keeping jobs in the community</w:t>
      </w:r>
      <w:r w:rsidR="00FE4770" w:rsidRPr="000A0BB4">
        <w:t>.</w:t>
      </w:r>
      <w:r w:rsidR="00BC6A65">
        <w:t xml:space="preserve"> </w:t>
      </w:r>
      <w:r w:rsidR="00BC6A65" w:rsidRPr="003B58AE">
        <w:t>This enables banks to meet demand for services like phone</w:t>
      </w:r>
      <w:r w:rsidR="00DA416D">
        <w:t xml:space="preserve"> call centres</w:t>
      </w:r>
      <w:r w:rsidR="00B62D4B">
        <w:t xml:space="preserve"> </w:t>
      </w:r>
      <w:r w:rsidR="00BC6A65" w:rsidRPr="003B58AE">
        <w:t xml:space="preserve">and online services, while also maintaining a presence in regional areas and </w:t>
      </w:r>
      <w:r w:rsidR="00847566" w:rsidRPr="003B58AE">
        <w:t xml:space="preserve">potentially </w:t>
      </w:r>
      <w:r w:rsidR="00BC6A65" w:rsidRPr="003B58AE">
        <w:t>allowing the development of staff by creating a broader range of career opportunities.</w:t>
      </w:r>
    </w:p>
    <w:p w14:paraId="3ADAD8C3" w14:textId="148833F7" w:rsidR="00BD6A12" w:rsidRDefault="00F15C8C" w:rsidP="007575A6">
      <w:r>
        <w:t>Banks w</w:t>
      </w:r>
      <w:r w:rsidR="001F5B6F">
        <w:t xml:space="preserve">orking with the local community </w:t>
      </w:r>
      <w:r w:rsidR="00BD2D90">
        <w:t>can</w:t>
      </w:r>
      <w:r w:rsidR="001F5B6F">
        <w:t xml:space="preserve"> provid</w:t>
      </w:r>
      <w:r w:rsidR="00BD2D90">
        <w:t>e</w:t>
      </w:r>
      <w:r w:rsidR="001F5B6F">
        <w:t xml:space="preserve"> </w:t>
      </w:r>
      <w:r>
        <w:t xml:space="preserve">further </w:t>
      </w:r>
      <w:r w:rsidR="001F5B6F">
        <w:t xml:space="preserve">options for providing access to in-person banking services.  </w:t>
      </w:r>
    </w:p>
    <w:p w14:paraId="22C56DED" w14:textId="61E7D539" w:rsidR="00582FCD" w:rsidRPr="003B58AE" w:rsidRDefault="00BD6A12" w:rsidP="00582FCD">
      <w:r>
        <w:t xml:space="preserve">For example, </w:t>
      </w:r>
      <w:r w:rsidR="00432509">
        <w:t xml:space="preserve">Bendigo and Adelaide’s Community Bank </w:t>
      </w:r>
      <w:r w:rsidR="005C2B0A">
        <w:t xml:space="preserve">model </w:t>
      </w:r>
      <w:r w:rsidR="00432509">
        <w:t xml:space="preserve">(which </w:t>
      </w:r>
      <w:r w:rsidR="003B7F6D">
        <w:t>is a locally owned and operated company</w:t>
      </w:r>
      <w:r w:rsidR="00432509">
        <w:t xml:space="preserve"> which functions as a franchise of</w:t>
      </w:r>
      <w:r w:rsidR="003B7F6D">
        <w:t xml:space="preserve"> Bendigo and Adelaide </w:t>
      </w:r>
      <w:r w:rsidR="003B7F6D" w:rsidRPr="003B58AE">
        <w:t>Bank</w:t>
      </w:r>
      <w:r w:rsidR="00D77711">
        <w:t>)</w:t>
      </w:r>
      <w:r w:rsidR="003B7F6D" w:rsidRPr="003B58AE">
        <w:t xml:space="preserve"> </w:t>
      </w:r>
      <w:r w:rsidR="00582FCD" w:rsidRPr="003B58AE">
        <w:t xml:space="preserve">may assist in providing banking services that may not be available otherwise </w:t>
      </w:r>
      <w:r w:rsidR="00847566" w:rsidRPr="003B58AE">
        <w:t xml:space="preserve">and </w:t>
      </w:r>
      <w:r w:rsidR="00D45D79" w:rsidRPr="003B58AE">
        <w:t>also provid</w:t>
      </w:r>
      <w:r w:rsidR="005C2B0A">
        <w:t>es</w:t>
      </w:r>
      <w:r w:rsidR="00D45D79" w:rsidRPr="003B58AE">
        <w:t xml:space="preserve"> benefits </w:t>
      </w:r>
      <w:r w:rsidR="00986605" w:rsidRPr="003B58AE">
        <w:t xml:space="preserve">to the community through its </w:t>
      </w:r>
      <w:r w:rsidR="00D45D79" w:rsidRPr="003B58AE">
        <w:t xml:space="preserve">shared value </w:t>
      </w:r>
      <w:r w:rsidR="00986605" w:rsidRPr="003B58AE">
        <w:t xml:space="preserve">model </w:t>
      </w:r>
      <w:r w:rsidR="00984746">
        <w:t>that features</w:t>
      </w:r>
      <w:r w:rsidR="00984746" w:rsidRPr="003B58AE">
        <w:t xml:space="preserve"> </w:t>
      </w:r>
      <w:r w:rsidR="00D45D79" w:rsidRPr="003B58AE">
        <w:t>a</w:t>
      </w:r>
      <w:r w:rsidR="00582FCD" w:rsidRPr="003B58AE">
        <w:t xml:space="preserve"> local community shareholder dividend</w:t>
      </w:r>
      <w:r w:rsidR="005C2B0A">
        <w:t xml:space="preserve"> and profit share with the community</w:t>
      </w:r>
      <w:r w:rsidR="00582FCD" w:rsidRPr="003B58AE">
        <w:t>.</w:t>
      </w:r>
      <w:r w:rsidR="00E77A9B" w:rsidRPr="003B58AE">
        <w:t xml:space="preserve"> </w:t>
      </w:r>
    </w:p>
    <w:p w14:paraId="0CD51F98" w14:textId="0B3EDC4D" w:rsidR="00E77A9B" w:rsidRDefault="00986605" w:rsidP="007575A6">
      <w:r w:rsidRPr="003B58AE">
        <w:t>Similarly,</w:t>
      </w:r>
      <w:r w:rsidR="00E77A9B" w:rsidRPr="003B58AE">
        <w:t xml:space="preserve"> </w:t>
      </w:r>
      <w:r w:rsidR="00692654">
        <w:t>t</w:t>
      </w:r>
      <w:r w:rsidR="00E77A9B" w:rsidRPr="003B58AE">
        <w:t>he Bank of Queensland’s franchise model may help in providing banking services, with the local franchisees encouraged to develop and maintain relationship</w:t>
      </w:r>
      <w:r w:rsidR="00847566" w:rsidRPr="003B58AE">
        <w:t>s</w:t>
      </w:r>
      <w:r w:rsidR="00E77A9B" w:rsidRPr="003B58AE">
        <w:t xml:space="preserve"> with their customers and the local </w:t>
      </w:r>
      <w:r w:rsidR="00E77A9B" w:rsidRPr="0018297B">
        <w:t>community.</w:t>
      </w:r>
      <w:r w:rsidR="00E77A9B">
        <w:t xml:space="preserve">  </w:t>
      </w:r>
    </w:p>
    <w:p w14:paraId="108C5A2F" w14:textId="3D4D8295" w:rsidR="00672E4C" w:rsidRPr="004539C1" w:rsidRDefault="009A7B2F" w:rsidP="007575A6">
      <w:r w:rsidRPr="004539C1">
        <w:t xml:space="preserve">Toowoomba-based </w:t>
      </w:r>
      <w:r w:rsidR="001F5B6F" w:rsidRPr="004539C1">
        <w:t xml:space="preserve">Heritage Bank </w:t>
      </w:r>
      <w:r w:rsidR="00BD6A12" w:rsidRPr="004539C1">
        <w:t xml:space="preserve">also </w:t>
      </w:r>
      <w:r w:rsidR="001F5B6F" w:rsidRPr="004539C1">
        <w:t xml:space="preserve">operates a number of community branches involving a joint-venture between Heritage </w:t>
      </w:r>
      <w:r w:rsidR="00672E4C" w:rsidRPr="004539C1">
        <w:t xml:space="preserve">Bank </w:t>
      </w:r>
      <w:r w:rsidR="001F5B6F" w:rsidRPr="004539C1">
        <w:t xml:space="preserve">and the local community. The model involves a community-based company made up of investors from the local area. Heritage and the community company contribute to the set-up costs and share ongoing expenses and the directors of the community company act in a voluntary capacity. </w:t>
      </w:r>
      <w:r w:rsidR="00F15C8C">
        <w:t xml:space="preserve">The community company </w:t>
      </w:r>
      <w:r w:rsidR="001F5B6F" w:rsidRPr="004539C1">
        <w:t>distributes its share of profits back to the community via grants to support charities, sporting clubs and local organisations</w:t>
      </w:r>
      <w:r w:rsidR="00672E4C" w:rsidRPr="004539C1">
        <w:t>. This model helps keep access to local face-to-face bank branch</w:t>
      </w:r>
      <w:r w:rsidR="00F15C8C">
        <w:t xml:space="preserve"> and supports jobs and local services</w:t>
      </w:r>
      <w:r w:rsidR="00672E4C" w:rsidRPr="004539C1">
        <w:t>.</w:t>
      </w:r>
    </w:p>
    <w:p w14:paraId="4AD90F1B" w14:textId="34E70601" w:rsidR="0002164D" w:rsidRPr="003B58AE" w:rsidRDefault="009A7B2F" w:rsidP="007575A6">
      <w:r w:rsidRPr="003B58AE">
        <w:t>Similarly,</w:t>
      </w:r>
      <w:r w:rsidR="00672E4C" w:rsidRPr="004539C1">
        <w:t xml:space="preserve"> Queensland-based credit union The Capricornian </w:t>
      </w:r>
      <w:r w:rsidR="009A4EAB">
        <w:t xml:space="preserve">has </w:t>
      </w:r>
      <w:r w:rsidR="00454C88">
        <w:t>partnered</w:t>
      </w:r>
      <w:r w:rsidR="00454C88" w:rsidRPr="004539C1">
        <w:t xml:space="preserve"> </w:t>
      </w:r>
      <w:r w:rsidR="00672E4C" w:rsidRPr="004539C1">
        <w:t>with local council</w:t>
      </w:r>
      <w:r w:rsidR="00D357A5">
        <w:t>s</w:t>
      </w:r>
      <w:r w:rsidR="00CF2E12">
        <w:t xml:space="preserve"> and operated from local council buildings</w:t>
      </w:r>
      <w:r w:rsidR="00454C88">
        <w:t>,</w:t>
      </w:r>
      <w:r w:rsidR="00D357A5">
        <w:t xml:space="preserve"> </w:t>
      </w:r>
      <w:r w:rsidR="009A4EAB">
        <w:t>allowing</w:t>
      </w:r>
      <w:r w:rsidR="00672E4C" w:rsidRPr="004539C1">
        <w:t xml:space="preserve"> residents ongoing access to in-person banking services.</w:t>
      </w:r>
      <w:r w:rsidR="001F5B6F" w:rsidRPr="004539C1">
        <w:t xml:space="preserve"> </w:t>
      </w:r>
      <w:r w:rsidR="003B7F6D" w:rsidRPr="004539C1">
        <w:t xml:space="preserve"> </w:t>
      </w:r>
    </w:p>
    <w:p w14:paraId="0E1D784F" w14:textId="66DAEFCE" w:rsidR="00420164" w:rsidRDefault="00420164" w:rsidP="00420164">
      <w:bookmarkStart w:id="32" w:name="_Hlk87957221"/>
      <w:r w:rsidRPr="0018297B">
        <w:t xml:space="preserve">In New Zealand, there is currently a trial of regional banking hubs featuring a smart ATM </w:t>
      </w:r>
      <w:r w:rsidR="00454C88">
        <w:t>that facilitates</w:t>
      </w:r>
      <w:r w:rsidR="00454C88" w:rsidRPr="0018297B">
        <w:t xml:space="preserve"> </w:t>
      </w:r>
      <w:r w:rsidRPr="0018297B">
        <w:t>cash deposits and withdrawals with other transactions available through tablets or phones with staff to assist.</w:t>
      </w:r>
      <w:r>
        <w:t xml:space="preserve"> </w:t>
      </w:r>
      <w:r w:rsidR="0069540E">
        <w:t>(Unlike Australia, the post office in New Zealand is a private bank so could not provide a service similar to Bank@Post for other financial institutions.)</w:t>
      </w:r>
      <w:r w:rsidR="00B670BF">
        <w:t xml:space="preserve"> </w:t>
      </w:r>
      <w:r>
        <w:t>Possibly this type of shared services hub (</w:t>
      </w:r>
      <w:r w:rsidRPr="0018297B">
        <w:t>where banks share costs in providing a hub</w:t>
      </w:r>
      <w:r>
        <w:t>)</w:t>
      </w:r>
      <w:r w:rsidRPr="0018297B">
        <w:t xml:space="preserve"> might be another alternative to branches. However</w:t>
      </w:r>
      <w:r>
        <w:t>,</w:t>
      </w:r>
      <w:r w:rsidRPr="0018297B">
        <w:t xml:space="preserve"> these hubs could be </w:t>
      </w:r>
      <w:r w:rsidR="00454C88">
        <w:t>in</w:t>
      </w:r>
      <w:r w:rsidRPr="0018297B">
        <w:t xml:space="preserve"> competition with Bank@Post</w:t>
      </w:r>
      <w:r w:rsidR="009A2235">
        <w:t xml:space="preserve"> </w:t>
      </w:r>
      <w:r w:rsidRPr="0018297B">
        <w:t xml:space="preserve">and so potentially erode the viability of </w:t>
      </w:r>
      <w:r w:rsidR="009A2235">
        <w:t xml:space="preserve">Bank@Post </w:t>
      </w:r>
      <w:r w:rsidR="00687ED3">
        <w:t>licensees</w:t>
      </w:r>
      <w:r w:rsidRPr="0018297B">
        <w:t xml:space="preserve"> and the services they provide</w:t>
      </w:r>
      <w:r>
        <w:t>.</w:t>
      </w:r>
    </w:p>
    <w:p w14:paraId="7369094D" w14:textId="5C2FB527" w:rsidR="00DA416D" w:rsidRDefault="00DA416D" w:rsidP="00DA416D">
      <w:r w:rsidRPr="003B58AE">
        <w:t>Similarly, partnering with major supermarkets or petrol stations could be an option, though there may be complexity in ensuring that it is compliant with financial regulations</w:t>
      </w:r>
      <w:r w:rsidR="005C2B0A">
        <w:t xml:space="preserve"> and suitably secure</w:t>
      </w:r>
      <w:r w:rsidRPr="003B58AE">
        <w:t xml:space="preserve">. </w:t>
      </w:r>
      <w:r w:rsidR="00420164">
        <w:t>This</w:t>
      </w:r>
      <w:r w:rsidRPr="003B58AE">
        <w:t xml:space="preserve"> </w:t>
      </w:r>
      <w:r w:rsidRPr="003B58AE">
        <w:lastRenderedPageBreak/>
        <w:t xml:space="preserve">may </w:t>
      </w:r>
      <w:r w:rsidR="00420164">
        <w:t xml:space="preserve">also </w:t>
      </w:r>
      <w:r w:rsidRPr="003B58AE">
        <w:t xml:space="preserve">not have the </w:t>
      </w:r>
      <w:r>
        <w:t xml:space="preserve">geographic </w:t>
      </w:r>
      <w:r w:rsidRPr="003B58AE">
        <w:t>coverage</w:t>
      </w:r>
      <w:r>
        <w:t xml:space="preserve"> of </w:t>
      </w:r>
      <w:r w:rsidRPr="003B58AE">
        <w:t>Bank@Post and may undermine the viability of the services provided through Bank@Post.</w:t>
      </w:r>
    </w:p>
    <w:bookmarkEnd w:id="32"/>
    <w:p w14:paraId="271E9FB4" w14:textId="53B97D43" w:rsidR="00437DC4" w:rsidRDefault="00DA416D" w:rsidP="00822A12">
      <w:r w:rsidRPr="003B58AE">
        <w:t>Importantly, banking services are and can be delivered in a variety of ways in regional and remote Australia. A variety of approaches, with appropriate support, are likely to be important to provide the services that Australians need including those that are vulnerable and marginalised with less digital literacy or transport options.</w:t>
      </w:r>
    </w:p>
    <w:p w14:paraId="692E35C0" w14:textId="033F2BD6" w:rsidR="004248BD" w:rsidRDefault="00822A12" w:rsidP="004248BD">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33" w:name="_Hlk88040170"/>
      <w:r>
        <w:rPr>
          <w:b/>
        </w:rPr>
        <w:t>Question 8</w:t>
      </w:r>
      <w:r w:rsidRPr="00AF0F4F">
        <w:rPr>
          <w:b/>
        </w:rPr>
        <w:t>:</w:t>
      </w:r>
      <w:r w:rsidR="004248BD">
        <w:t xml:space="preserve"> Are </w:t>
      </w:r>
      <w:bookmarkEnd w:id="33"/>
      <w:r w:rsidR="004248BD">
        <w:t>there facilities, services and products provided in bank branches that are not available through alternatives like ATMs, Bank@Post, phone banking, mobile banking, the telephone and the internet?</w:t>
      </w:r>
    </w:p>
    <w:p w14:paraId="2CD0F199" w14:textId="06299D2B" w:rsidR="004248BD" w:rsidRDefault="004248BD" w:rsidP="004248BD">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Question 9</w:t>
      </w:r>
      <w:r w:rsidRPr="00AF0F4F">
        <w:rPr>
          <w:b/>
        </w:rPr>
        <w:t>:</w:t>
      </w:r>
      <w:r>
        <w:t xml:space="preserve"> What are alternatives to bank branch models that would maintain or improve banking services and accessibility in areas where branches have been closed? </w:t>
      </w:r>
    </w:p>
    <w:p w14:paraId="66D1552B" w14:textId="6FA62DA7" w:rsidR="004248BD" w:rsidRDefault="004248BD" w:rsidP="004248BD">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Question 10</w:t>
      </w:r>
      <w:r w:rsidRPr="00AF0F4F">
        <w:rPr>
          <w:b/>
        </w:rPr>
        <w:t>:</w:t>
      </w:r>
      <w:r>
        <w:t xml:space="preserve"> Are there any alternative models for the provision of banking services that could be considered for adoption by banks in Australia?  </w:t>
      </w:r>
    </w:p>
    <w:p w14:paraId="1403C2D6" w14:textId="33AC0CBA" w:rsidR="00822A12" w:rsidRDefault="004248BD" w:rsidP="004248BD">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Question 11</w:t>
      </w:r>
      <w:r w:rsidRPr="00AF0F4F">
        <w:rPr>
          <w:b/>
        </w:rPr>
        <w:t>:</w:t>
      </w:r>
      <w:r>
        <w:t xml:space="preserve"> What are the lessons from Australian and international experiences that can help improve banking services and accessibility in regional communities where bank branches have been closed?</w:t>
      </w:r>
    </w:p>
    <w:p w14:paraId="2A1A6DA9" w14:textId="12FFBFCC" w:rsidR="00BB0A86" w:rsidRDefault="00BB0A86" w:rsidP="00DA416D"/>
    <w:p w14:paraId="786DAEA7" w14:textId="40E3A583" w:rsidR="00BB0A86" w:rsidRDefault="00BB0A86" w:rsidP="00DA416D"/>
    <w:p w14:paraId="78517A70" w14:textId="3FA65C3B" w:rsidR="00BB0A86" w:rsidRDefault="00BB0A86" w:rsidP="00DA416D"/>
    <w:p w14:paraId="6C2D23DD" w14:textId="5CDC2531" w:rsidR="00BB0A86" w:rsidRDefault="00BB0A86" w:rsidP="00DA416D"/>
    <w:p w14:paraId="048BBBF8" w14:textId="4A5AFA8C" w:rsidR="00BB0A86" w:rsidRDefault="00BB0A86" w:rsidP="00DA416D"/>
    <w:p w14:paraId="1F4ABC81" w14:textId="15CA6181" w:rsidR="00BB0A86" w:rsidRDefault="00BB0A86" w:rsidP="00DA416D"/>
    <w:p w14:paraId="100B51A1" w14:textId="55D33DAC" w:rsidR="00BB0A86" w:rsidRDefault="00BB0A86" w:rsidP="00DA416D"/>
    <w:p w14:paraId="23F1D2C4" w14:textId="501D6A86" w:rsidR="00BB0A86" w:rsidRDefault="00BB0A86" w:rsidP="00DA416D"/>
    <w:p w14:paraId="138C844E" w14:textId="2957DC4B" w:rsidR="00BB0A86" w:rsidRDefault="00BB0A86" w:rsidP="00DA416D"/>
    <w:p w14:paraId="2AAAFD9E" w14:textId="2666ABE4" w:rsidR="00BB0A86" w:rsidRDefault="00BB0A86" w:rsidP="00DA416D"/>
    <w:p w14:paraId="4BDD0C24" w14:textId="5B8970BA" w:rsidR="00BB0A86" w:rsidRDefault="00BB0A86" w:rsidP="00DA416D"/>
    <w:p w14:paraId="42B681C3" w14:textId="2B938723" w:rsidR="00BB0A86" w:rsidRDefault="00BB0A86" w:rsidP="00DA416D"/>
    <w:p w14:paraId="55B4134B" w14:textId="60B865AF" w:rsidR="00BB0A86" w:rsidRDefault="00BB0A86" w:rsidP="00DA416D"/>
    <w:p w14:paraId="1D21D1C1" w14:textId="41701DB7" w:rsidR="00BB0A86" w:rsidRDefault="00BB0A86" w:rsidP="00DA416D"/>
    <w:p w14:paraId="0530CB5A" w14:textId="10CD792A" w:rsidR="00BB0A86" w:rsidRDefault="00BB0A86" w:rsidP="00DA416D"/>
    <w:p w14:paraId="35AE09B0" w14:textId="5FA1A8FB" w:rsidR="00BB0A86" w:rsidRDefault="00BB0A86" w:rsidP="00DA416D"/>
    <w:p w14:paraId="57DC7FFF" w14:textId="492B5D74" w:rsidR="00BB0A86" w:rsidRDefault="00BB0A86" w:rsidP="00DA416D"/>
    <w:p w14:paraId="1FAD0BE0" w14:textId="748D8475" w:rsidR="00BB0A86" w:rsidRDefault="00BB0A86" w:rsidP="00DA416D"/>
    <w:p w14:paraId="741F65C6" w14:textId="7B79FC8F" w:rsidR="00BB0A86" w:rsidRDefault="00BB0A86" w:rsidP="00DA416D"/>
    <w:p w14:paraId="11DAF7E8" w14:textId="77777777" w:rsidR="00BB0A86" w:rsidRDefault="00BB0A86" w:rsidP="00DA416D"/>
    <w:p w14:paraId="3A51A3C9" w14:textId="77777777" w:rsidR="008B2B0C" w:rsidRDefault="008B2B0C">
      <w:pPr>
        <w:spacing w:before="0" w:after="160" w:line="259" w:lineRule="auto"/>
        <w:rPr>
          <w:rFonts w:cs="Arial"/>
          <w:iCs/>
          <w:color w:val="002C47"/>
          <w:kern w:val="32"/>
          <w:sz w:val="36"/>
          <w:szCs w:val="28"/>
        </w:rPr>
      </w:pPr>
      <w:bookmarkStart w:id="34" w:name="_Toc88044486"/>
      <w:r>
        <w:br w:type="page"/>
      </w:r>
    </w:p>
    <w:p w14:paraId="4A9EA316" w14:textId="7409E2E0" w:rsidR="00420164" w:rsidRPr="007905C9" w:rsidRDefault="00420164" w:rsidP="00420164">
      <w:pPr>
        <w:pStyle w:val="Heading2"/>
      </w:pPr>
      <w:bookmarkStart w:id="35" w:name="_Toc88123451"/>
      <w:r>
        <w:lastRenderedPageBreak/>
        <w:t>List of consultation questions</w:t>
      </w:r>
      <w:bookmarkEnd w:id="34"/>
      <w:bookmarkEnd w:id="35"/>
    </w:p>
    <w:p w14:paraId="42E35497" w14:textId="77777777" w:rsidR="00420164" w:rsidRPr="004A5138" w:rsidRDefault="00420164" w:rsidP="00420164"/>
    <w:p w14:paraId="0C4C41B4" w14:textId="343B06D3" w:rsidR="00C85AD8" w:rsidRPr="00C23EA8" w:rsidRDefault="00C85AD8" w:rsidP="008D3EBC">
      <w:pPr>
        <w:pStyle w:val="OutlineNumbered1"/>
      </w:pPr>
      <w:bookmarkStart w:id="36" w:name="_Hlk88039400"/>
      <w:r w:rsidRPr="003B58AE">
        <w:t>How are Australians changing the ways they are accessing banking services</w:t>
      </w:r>
      <w:r w:rsidRPr="00A622C3">
        <w:rPr>
          <w:i/>
          <w:iCs/>
        </w:rPr>
        <w:t xml:space="preserve">? </w:t>
      </w:r>
      <w:r w:rsidRPr="00C23EA8">
        <w:t>What are driving these changes?</w:t>
      </w:r>
    </w:p>
    <w:bookmarkEnd w:id="36"/>
    <w:p w14:paraId="2630F747" w14:textId="17DD7490" w:rsidR="00420164" w:rsidRDefault="00420164" w:rsidP="00822A12">
      <w:pPr>
        <w:pStyle w:val="OutlineNumbered1"/>
      </w:pPr>
      <w:r w:rsidRPr="001B231E">
        <w:t>What banking facilities, services and products are used in regional bank branches?</w:t>
      </w:r>
    </w:p>
    <w:p w14:paraId="06BD02A0" w14:textId="77777777" w:rsidR="00822A12" w:rsidRPr="001B231E" w:rsidRDefault="00822A12" w:rsidP="00822A12">
      <w:pPr>
        <w:pStyle w:val="OutlineNumbered1"/>
      </w:pPr>
      <w:r w:rsidRPr="001B231E">
        <w:t>Are there particular banking products or services that need to</w:t>
      </w:r>
      <w:r>
        <w:t xml:space="preserve"> be</w:t>
      </w:r>
      <w:r w:rsidRPr="001B231E">
        <w:t xml:space="preserve"> delivered face-to-face or have support provided face-to-face? Are any of these particular</w:t>
      </w:r>
      <w:r>
        <w:t>ly</w:t>
      </w:r>
      <w:r w:rsidRPr="001B231E">
        <w:t xml:space="preserve"> important for regional customers?</w:t>
      </w:r>
    </w:p>
    <w:p w14:paraId="59306B1B" w14:textId="77777777" w:rsidR="00822A12" w:rsidRPr="001B231E" w:rsidRDefault="00822A12" w:rsidP="00822A12">
      <w:pPr>
        <w:pStyle w:val="OutlineNumbered1"/>
      </w:pPr>
      <w:r w:rsidRPr="001B231E">
        <w:t xml:space="preserve">What are the impacts of regional bank branch closures on </w:t>
      </w:r>
      <w:r>
        <w:t>the banking needs of individuals</w:t>
      </w:r>
      <w:r w:rsidRPr="001B231E">
        <w:t>?</w:t>
      </w:r>
    </w:p>
    <w:p w14:paraId="0A7655F9" w14:textId="77777777" w:rsidR="00822A12" w:rsidRPr="001B231E" w:rsidRDefault="00822A12" w:rsidP="00822A12">
      <w:pPr>
        <w:pStyle w:val="OutlineNumbered1"/>
      </w:pPr>
      <w:r w:rsidRPr="001B231E">
        <w:t xml:space="preserve">What are the impacts on </w:t>
      </w:r>
      <w:r>
        <w:t>the banking needs of businesses,</w:t>
      </w:r>
      <w:r w:rsidRPr="001B231E">
        <w:t xml:space="preserve"> community organisations</w:t>
      </w:r>
      <w:r>
        <w:t xml:space="preserve"> and communities</w:t>
      </w:r>
      <w:r w:rsidRPr="001B231E">
        <w:t>?</w:t>
      </w:r>
    </w:p>
    <w:p w14:paraId="2D33D9F2" w14:textId="77777777" w:rsidR="00822A12" w:rsidRDefault="00822A12" w:rsidP="00822A12">
      <w:pPr>
        <w:pStyle w:val="OutlineNumbered1"/>
      </w:pPr>
      <w:r w:rsidRPr="009B4377">
        <w:t xml:space="preserve">Are there particular issues </w:t>
      </w:r>
      <w:r>
        <w:t xml:space="preserve">in the provision of banking services in regional Australia </w:t>
      </w:r>
      <w:r w:rsidRPr="009B4377">
        <w:t>for specific vulnerable groups?</w:t>
      </w:r>
    </w:p>
    <w:p w14:paraId="76E1E24B" w14:textId="77777777" w:rsidR="00822A12" w:rsidRPr="009B4377" w:rsidRDefault="00822A12" w:rsidP="00822A12">
      <w:pPr>
        <w:pStyle w:val="OutlineNumbered1"/>
      </w:pPr>
      <w:r>
        <w:t>What more could banks do to help</w:t>
      </w:r>
      <w:r w:rsidRPr="001B231E">
        <w:t xml:space="preserve"> customers transition to alternative banking services that would enable them to do their </w:t>
      </w:r>
      <w:r>
        <w:t>banking</w:t>
      </w:r>
      <w:r w:rsidRPr="001B231E">
        <w:t xml:space="preserve"> in a timely, efficient and cost-effective way?</w:t>
      </w:r>
    </w:p>
    <w:p w14:paraId="7345A928" w14:textId="77777777" w:rsidR="004248BD" w:rsidRPr="001B231E" w:rsidRDefault="004248BD" w:rsidP="004248BD">
      <w:pPr>
        <w:pStyle w:val="OutlineNumbered1"/>
      </w:pPr>
      <w:r w:rsidRPr="001B231E">
        <w:t>Are there facilities, services and products provided in bank branches that are not available through alternatives like ATMs, Bank@</w:t>
      </w:r>
      <w:r>
        <w:t>P</w:t>
      </w:r>
      <w:r w:rsidRPr="001B231E">
        <w:t xml:space="preserve">ost, </w:t>
      </w:r>
      <w:r>
        <w:t xml:space="preserve">phone banking, mobile banking, </w:t>
      </w:r>
      <w:r w:rsidRPr="001B231E">
        <w:t>the telephone and the internet?</w:t>
      </w:r>
    </w:p>
    <w:p w14:paraId="0C7D62D5" w14:textId="77777777" w:rsidR="004248BD" w:rsidRPr="001B231E" w:rsidRDefault="004248BD" w:rsidP="004248BD">
      <w:pPr>
        <w:pStyle w:val="OutlineNumbered1"/>
      </w:pPr>
      <w:r w:rsidRPr="001B231E">
        <w:t>What are alternative</w:t>
      </w:r>
      <w:r>
        <w:t>s</w:t>
      </w:r>
      <w:r w:rsidRPr="001B231E">
        <w:t xml:space="preserve"> to bank branch models that would maintain or improve banking services and accessibility in areas where branches have been closed? </w:t>
      </w:r>
    </w:p>
    <w:p w14:paraId="340AD6EB" w14:textId="04376BEA" w:rsidR="00BB0A86" w:rsidRDefault="004248BD" w:rsidP="004248BD">
      <w:pPr>
        <w:pStyle w:val="OutlineNumbered1"/>
      </w:pPr>
      <w:r>
        <w:t>Are there any alternative models for the provision of banking services that could be considered for adoption by banks in Australia?</w:t>
      </w:r>
      <w:r w:rsidRPr="009B4377">
        <w:t xml:space="preserve"> </w:t>
      </w:r>
    </w:p>
    <w:p w14:paraId="1FB369F2" w14:textId="6C910A07" w:rsidR="0086403A" w:rsidRDefault="00BB0A86" w:rsidP="00437DC4">
      <w:pPr>
        <w:pStyle w:val="OutlineNumbered1"/>
      </w:pPr>
      <w:r w:rsidRPr="0073043A">
        <w:rPr>
          <w:iCs/>
        </w:rPr>
        <w:t>What are the lessons from Australian and international experiences that can help improve banking services and accessibility in regional communities where bank branches have been closed?</w:t>
      </w:r>
    </w:p>
    <w:p w14:paraId="07BC2991" w14:textId="77777777" w:rsidR="0086403A" w:rsidRDefault="0086403A">
      <w:pPr>
        <w:spacing w:before="0" w:after="160" w:line="259" w:lineRule="auto"/>
        <w:rPr>
          <w:rFonts w:cs="Arial"/>
          <w:iCs/>
          <w:color w:val="002C47"/>
          <w:kern w:val="32"/>
          <w:sz w:val="36"/>
          <w:szCs w:val="28"/>
        </w:rPr>
      </w:pPr>
      <w:r>
        <w:br w:type="page"/>
      </w:r>
    </w:p>
    <w:p w14:paraId="44AD2273" w14:textId="37FCABCC" w:rsidR="00BB0A86" w:rsidRPr="007905C9" w:rsidRDefault="00BB0A86" w:rsidP="00BB0A86">
      <w:pPr>
        <w:pStyle w:val="Heading2"/>
      </w:pPr>
      <w:bookmarkStart w:id="37" w:name="_Toc88123452"/>
      <w:r>
        <w:lastRenderedPageBreak/>
        <w:t>References</w:t>
      </w:r>
      <w:bookmarkEnd w:id="37"/>
    </w:p>
    <w:p w14:paraId="4E2EAAF3" w14:textId="7C743328" w:rsidR="00403855" w:rsidRDefault="00403855" w:rsidP="00403855">
      <w:r>
        <w:t xml:space="preserve">Australian Banking Association (ABA), </w:t>
      </w:r>
      <w:r w:rsidRPr="008C4E55">
        <w:rPr>
          <w:i/>
          <w:iCs/>
        </w:rPr>
        <w:t>Banking Code of Practice</w:t>
      </w:r>
      <w:r w:rsidRPr="008C4E55">
        <w:t>,</w:t>
      </w:r>
      <w:r w:rsidRPr="00F874FF">
        <w:t xml:space="preserve"> </w:t>
      </w:r>
      <w:r w:rsidRPr="008C4E55">
        <w:t>2021</w:t>
      </w:r>
      <w:r w:rsidR="00E0317D">
        <w:t>a</w:t>
      </w:r>
      <w:r>
        <w:t xml:space="preserve">. </w:t>
      </w:r>
      <w:hyperlink r:id="rId29" w:history="1">
        <w:r w:rsidRPr="003C4D6B">
          <w:rPr>
            <w:rStyle w:val="Hyperlink"/>
          </w:rPr>
          <w:t>https://www.ausbanking.org.au/wp-content/uploads/2021/03/2021-Code-A4-Booklet-with-COVID-19-Special-Note-Web.pdf</w:t>
        </w:r>
      </w:hyperlink>
      <w:r>
        <w:t xml:space="preserve"> </w:t>
      </w:r>
    </w:p>
    <w:p w14:paraId="10DB78ED" w14:textId="16EC99E6" w:rsidR="00E0317D" w:rsidRDefault="00E0317D" w:rsidP="00403855">
      <w:r>
        <w:t xml:space="preserve">ABA, </w:t>
      </w:r>
      <w:r w:rsidRPr="003B58AE">
        <w:rPr>
          <w:i/>
          <w:iCs/>
        </w:rPr>
        <w:t>Banking customers continue shift to digital</w:t>
      </w:r>
      <w:r>
        <w:t>, 2021b.</w:t>
      </w:r>
      <w:r w:rsidR="00E21F97">
        <w:t xml:space="preserve"> </w:t>
      </w:r>
      <w:hyperlink r:id="rId30" w:history="1">
        <w:r w:rsidR="00E21F97" w:rsidRPr="007C3E90">
          <w:rPr>
            <w:rStyle w:val="Hyperlink"/>
          </w:rPr>
          <w:t>https://www.ausbanking.org.au/banking-customers-continue-shift-to-digital/</w:t>
        </w:r>
      </w:hyperlink>
      <w:r w:rsidR="00E21F97">
        <w:t xml:space="preserve"> </w:t>
      </w:r>
    </w:p>
    <w:p w14:paraId="6F611AA5" w14:textId="6E03872E" w:rsidR="00403855" w:rsidRDefault="00403855" w:rsidP="00403855">
      <w:r>
        <w:t xml:space="preserve">ABA, </w:t>
      </w:r>
      <w:r w:rsidRPr="002A100A">
        <w:rPr>
          <w:i/>
          <w:iCs/>
        </w:rPr>
        <w:t>Branch Closure Protocol</w:t>
      </w:r>
      <w:r>
        <w:t xml:space="preserve">, 2015. </w:t>
      </w:r>
      <w:hyperlink r:id="rId31" w:history="1">
        <w:r w:rsidRPr="003C4D6B">
          <w:rPr>
            <w:rStyle w:val="Hyperlink"/>
          </w:rPr>
          <w:t>https://www.ausbanking.org.au/wp-content/uploads/2015/10/ABA-Branch-Closure-Protocol.pdf</w:t>
        </w:r>
      </w:hyperlink>
      <w:r>
        <w:t xml:space="preserve"> </w:t>
      </w:r>
    </w:p>
    <w:p w14:paraId="04189690" w14:textId="4900362C" w:rsidR="00BE356A" w:rsidRDefault="00647774" w:rsidP="00403855">
      <w:r>
        <w:t xml:space="preserve">Australian Bureau of Statistics (ABS), </w:t>
      </w:r>
      <w:r w:rsidRPr="003B58AE">
        <w:rPr>
          <w:i/>
          <w:iCs/>
        </w:rPr>
        <w:t>Retail Trade, Australia</w:t>
      </w:r>
      <w:r>
        <w:t xml:space="preserve">, September 2021. </w:t>
      </w:r>
      <w:hyperlink r:id="rId32" w:history="1">
        <w:r w:rsidRPr="007C3E90">
          <w:rPr>
            <w:rStyle w:val="Hyperlink"/>
          </w:rPr>
          <w:t>https://www.abs.gov.au/statistics/industry/retail-and-wholesale-trade/retail-trade-australia</w:t>
        </w:r>
      </w:hyperlink>
      <w:r>
        <w:t xml:space="preserve"> </w:t>
      </w:r>
    </w:p>
    <w:p w14:paraId="11CA451A" w14:textId="047EC35C" w:rsidR="00F058A9" w:rsidRDefault="00F058A9" w:rsidP="00403855">
      <w:r>
        <w:t xml:space="preserve">Australian Communications and Media Authority (ACMA) </w:t>
      </w:r>
      <w:r w:rsidRPr="003B58AE">
        <w:rPr>
          <w:i/>
          <w:iCs/>
        </w:rPr>
        <w:t>Communications and media in Australia: How we use the internet</w:t>
      </w:r>
      <w:r>
        <w:t xml:space="preserve">, 2021a. </w:t>
      </w:r>
      <w:hyperlink r:id="rId33" w:history="1">
        <w:r w:rsidRPr="007C3E90">
          <w:rPr>
            <w:rStyle w:val="Hyperlink"/>
          </w:rPr>
          <w:t>https://www.acma.gov.au/publications/2021-05/report/communications-and-media-australia-how-we-use-internet</w:t>
        </w:r>
      </w:hyperlink>
      <w:r>
        <w:t xml:space="preserve"> </w:t>
      </w:r>
    </w:p>
    <w:p w14:paraId="776A684C" w14:textId="64BC6804" w:rsidR="00F058A9" w:rsidRDefault="00F058A9" w:rsidP="00403855">
      <w:r>
        <w:t xml:space="preserve">ACMA, </w:t>
      </w:r>
      <w:r w:rsidRPr="003B58AE">
        <w:rPr>
          <w:i/>
          <w:iCs/>
        </w:rPr>
        <w:t>Communications and media in Australia: The digital lives of older Australians</w:t>
      </w:r>
      <w:r>
        <w:t xml:space="preserve">, 2021b. </w:t>
      </w:r>
      <w:hyperlink r:id="rId34" w:history="1">
        <w:r w:rsidRPr="007C3E90">
          <w:rPr>
            <w:rStyle w:val="Hyperlink"/>
          </w:rPr>
          <w:t>https://www.acma.gov.au/sites/default/files/2021-05/The%20digital%20lives%20of%20older%20Australians.pdf</w:t>
        </w:r>
      </w:hyperlink>
      <w:r>
        <w:t xml:space="preserve"> </w:t>
      </w:r>
    </w:p>
    <w:p w14:paraId="7B481B22" w14:textId="590852E5" w:rsidR="00403855" w:rsidRDefault="00403855" w:rsidP="00403855">
      <w:r>
        <w:t xml:space="preserve">Australian Prudential Regulation Authority (APRA), </w:t>
      </w:r>
      <w:r w:rsidRPr="002A100A">
        <w:rPr>
          <w:i/>
          <w:iCs/>
        </w:rPr>
        <w:t>Authorised deposit-taking institutions points of presence statistics</w:t>
      </w:r>
      <w:r>
        <w:t>,</w:t>
      </w:r>
      <w:r w:rsidR="004A5138">
        <w:t xml:space="preserve"> </w:t>
      </w:r>
      <w:r>
        <w:t xml:space="preserve">2021. </w:t>
      </w:r>
      <w:hyperlink r:id="rId35" w:history="1">
        <w:r w:rsidRPr="003C4D6B">
          <w:rPr>
            <w:rStyle w:val="Hyperlink"/>
          </w:rPr>
          <w:t>https://www.apra.gov.au/authorised-deposit-taking-institutions-points-of-presence-statistics</w:t>
        </w:r>
      </w:hyperlink>
      <w:r>
        <w:t xml:space="preserve"> </w:t>
      </w:r>
    </w:p>
    <w:p w14:paraId="42975526" w14:textId="4896B500" w:rsidR="007370B9" w:rsidRDefault="007370B9" w:rsidP="00403855">
      <w:r>
        <w:t xml:space="preserve">J Caddy, L Delaney, C Fisher and C Noone, ‘Consumer Payment Behaviour in Australia’ </w:t>
      </w:r>
      <w:r>
        <w:rPr>
          <w:i/>
          <w:iCs/>
        </w:rPr>
        <w:t>Reserve Bank of Australia (RBA)</w:t>
      </w:r>
      <w:r w:rsidRPr="002A100A">
        <w:rPr>
          <w:i/>
          <w:iCs/>
        </w:rPr>
        <w:t xml:space="preserve"> Bulletin</w:t>
      </w:r>
      <w:r>
        <w:t xml:space="preserve"> March 2020. </w:t>
      </w:r>
      <w:hyperlink r:id="rId36" w:history="1">
        <w:r w:rsidRPr="001C5D52">
          <w:rPr>
            <w:rStyle w:val="Hyperlink"/>
          </w:rPr>
          <w:t>https://www.rba.gov.au/publications/bulletin/2020/mar/consumer-payment-behaviour-in-australia.html</w:t>
        </w:r>
      </w:hyperlink>
      <w:r>
        <w:t xml:space="preserve"> </w:t>
      </w:r>
    </w:p>
    <w:p w14:paraId="1845D679" w14:textId="58AAA241" w:rsidR="00403855" w:rsidRDefault="00403855" w:rsidP="00403855">
      <w:r>
        <w:t>J Caddy and Z Zhang, ‘How Far Do Australians Need to Travel to Access Cash?’</w:t>
      </w:r>
      <w:r w:rsidDel="000A558D">
        <w:t xml:space="preserve"> </w:t>
      </w:r>
      <w:r>
        <w:rPr>
          <w:i/>
          <w:iCs/>
        </w:rPr>
        <w:t>Reserve Bank of Australia (RBA)</w:t>
      </w:r>
      <w:r w:rsidRPr="002A100A">
        <w:rPr>
          <w:i/>
          <w:iCs/>
        </w:rPr>
        <w:t xml:space="preserve"> Bulletin</w:t>
      </w:r>
      <w:r>
        <w:t xml:space="preserve"> June 2021. </w:t>
      </w:r>
      <w:hyperlink r:id="rId37" w:history="1">
        <w:r w:rsidRPr="003C4D6B">
          <w:rPr>
            <w:rStyle w:val="Hyperlink"/>
          </w:rPr>
          <w:t>https://www.rba.gov.au/publications/bulletin/2021/jun/how-far-do-australians-need-to-travel-to-access-cash.html</w:t>
        </w:r>
      </w:hyperlink>
      <w:r>
        <w:t xml:space="preserve"> </w:t>
      </w:r>
    </w:p>
    <w:p w14:paraId="4A41A1D2" w14:textId="77777777" w:rsidR="00403855" w:rsidRDefault="00403855" w:rsidP="00403855">
      <w:r>
        <w:t xml:space="preserve">L Delaney, N McClure and R Finlay, ‘Cash Use in Australia: Results from the 2019 Consumer Payments Survey’, </w:t>
      </w:r>
      <w:r w:rsidRPr="002A100A">
        <w:rPr>
          <w:i/>
          <w:iCs/>
        </w:rPr>
        <w:t>RBA Bulletin</w:t>
      </w:r>
      <w:r>
        <w:t xml:space="preserve"> June 2020. </w:t>
      </w:r>
      <w:hyperlink r:id="rId38" w:history="1">
        <w:r w:rsidRPr="003C4D6B">
          <w:rPr>
            <w:rStyle w:val="Hyperlink"/>
          </w:rPr>
          <w:t>https://www.rba.gov.au/publications/bulletin/2020/jun/cash-use-in-australia-results-from-the-2019-consumer-payments-survey.html</w:t>
        </w:r>
      </w:hyperlink>
      <w:r>
        <w:t xml:space="preserve"> </w:t>
      </w:r>
    </w:p>
    <w:p w14:paraId="52E9C22A" w14:textId="77777777" w:rsidR="00403855" w:rsidRDefault="00403855" w:rsidP="00403855">
      <w:r>
        <w:t xml:space="preserve">Financial System Inquiry, </w:t>
      </w:r>
      <w:r w:rsidRPr="002D3096">
        <w:rPr>
          <w:i/>
          <w:iCs/>
        </w:rPr>
        <w:t>Financial System Inquiry Final Report</w:t>
      </w:r>
      <w:r>
        <w:t xml:space="preserve"> (S.Wallis, Chair), 1997. </w:t>
      </w:r>
      <w:hyperlink r:id="rId39" w:history="1">
        <w:r w:rsidRPr="003C4D6B">
          <w:rPr>
            <w:rStyle w:val="Hyperlink"/>
          </w:rPr>
          <w:t>https://treasury.gov.au/publication/p1996-fsi-fr</w:t>
        </w:r>
      </w:hyperlink>
      <w:r>
        <w:t xml:space="preserve"> </w:t>
      </w:r>
    </w:p>
    <w:p w14:paraId="6CCAAD08" w14:textId="77777777" w:rsidR="00403855" w:rsidRDefault="00403855" w:rsidP="00403855">
      <w:pPr>
        <w:rPr>
          <w:bCs/>
          <w:iCs/>
        </w:rPr>
      </w:pPr>
      <w:r>
        <w:rPr>
          <w:bCs/>
          <w:iCs/>
        </w:rPr>
        <w:t xml:space="preserve">R Guttmann, C Pavlik, B Ung and G Wang, ‘Cash Demand during COVID-19’ </w:t>
      </w:r>
      <w:r w:rsidRPr="002A100A">
        <w:rPr>
          <w:bCs/>
          <w:i/>
        </w:rPr>
        <w:t>RBA Bulletin</w:t>
      </w:r>
      <w:r>
        <w:rPr>
          <w:bCs/>
          <w:iCs/>
        </w:rPr>
        <w:t xml:space="preserve"> March 2021. </w:t>
      </w:r>
      <w:hyperlink r:id="rId40" w:history="1">
        <w:r w:rsidRPr="003C4D6B">
          <w:rPr>
            <w:rStyle w:val="Hyperlink"/>
            <w:bCs/>
            <w:iCs/>
          </w:rPr>
          <w:t>https://www.rba.gov.au/publications/bulletin/2021/mar/cash-demand-during-covid-19.html</w:t>
        </w:r>
      </w:hyperlink>
      <w:r>
        <w:rPr>
          <w:bCs/>
          <w:iCs/>
        </w:rPr>
        <w:t xml:space="preserve"> </w:t>
      </w:r>
    </w:p>
    <w:p w14:paraId="365CFBB3" w14:textId="77777777" w:rsidR="00403855" w:rsidRPr="00E275B5" w:rsidRDefault="00403855" w:rsidP="00403855">
      <w:pPr>
        <w:rPr>
          <w:bCs/>
          <w:iCs/>
        </w:rPr>
      </w:pPr>
      <w:r w:rsidRPr="002D3096">
        <w:rPr>
          <w:bCs/>
          <w:iCs/>
        </w:rPr>
        <w:t>House of Representatives Standing Committee on Economics, Finance and Pubic Administration,</w:t>
      </w:r>
      <w:r>
        <w:rPr>
          <w:bCs/>
          <w:i/>
        </w:rPr>
        <w:t xml:space="preserve"> </w:t>
      </w:r>
      <w:r w:rsidRPr="002D3096">
        <w:rPr>
          <w:bCs/>
          <w:i/>
        </w:rPr>
        <w:t>Regional Banking Services: Money Too Far Away</w:t>
      </w:r>
      <w:r>
        <w:rPr>
          <w:bCs/>
          <w:iCs/>
        </w:rPr>
        <w:t xml:space="preserve">, </w:t>
      </w:r>
      <w:r w:rsidRPr="002D3096">
        <w:rPr>
          <w:bCs/>
          <w:iCs/>
        </w:rPr>
        <w:t>1999</w:t>
      </w:r>
      <w:r>
        <w:rPr>
          <w:bCs/>
          <w:iCs/>
        </w:rPr>
        <w:t xml:space="preserve">. </w:t>
      </w:r>
      <w:hyperlink r:id="rId41" w:history="1">
        <w:r w:rsidRPr="003C4D6B">
          <w:rPr>
            <w:rStyle w:val="Hyperlink"/>
            <w:bCs/>
            <w:iCs/>
          </w:rPr>
          <w:t>https://www.aph.gov.au/Parliamentary_Business/Committees/House_of_Representatives_Committees?url=efpa/./rbs/rbsrep.htm</w:t>
        </w:r>
      </w:hyperlink>
      <w:r>
        <w:rPr>
          <w:bCs/>
          <w:iCs/>
        </w:rPr>
        <w:t xml:space="preserve"> </w:t>
      </w:r>
    </w:p>
    <w:p w14:paraId="2830DC2B" w14:textId="77777777" w:rsidR="00403855" w:rsidRDefault="00403855" w:rsidP="00403855">
      <w:r>
        <w:t xml:space="preserve">Parliamentary Joint Committee on Corporations and Financial Services, </w:t>
      </w:r>
      <w:r w:rsidRPr="002A100A">
        <w:rPr>
          <w:i/>
          <w:iCs/>
        </w:rPr>
        <w:t>Money Matters in the Bush Inquiry into the Level of Banking and Financial Services in Rural, Regional and Remote Areas of Australia</w:t>
      </w:r>
      <w:r>
        <w:t xml:space="preserve">, 2004. </w:t>
      </w:r>
      <w:hyperlink r:id="rId42" w:history="1">
        <w:r w:rsidRPr="003C4D6B">
          <w:rPr>
            <w:rStyle w:val="Hyperlink"/>
          </w:rPr>
          <w:t>https://www.aph.gov.au/Parliamentary_Business/Committees/Joint/Corporations_and_Financial_Services/Completed_inquiries/2002-04/banking/report/index</w:t>
        </w:r>
      </w:hyperlink>
    </w:p>
    <w:p w14:paraId="757B24CD" w14:textId="77777777" w:rsidR="00403855" w:rsidRDefault="00403855" w:rsidP="00403855">
      <w:pPr>
        <w:rPr>
          <w:bCs/>
        </w:rPr>
      </w:pPr>
      <w:r>
        <w:rPr>
          <w:bCs/>
        </w:rPr>
        <w:lastRenderedPageBreak/>
        <w:t xml:space="preserve">Productivity Commission, </w:t>
      </w:r>
      <w:r w:rsidRPr="002A100A">
        <w:rPr>
          <w:bCs/>
          <w:i/>
          <w:iCs/>
        </w:rPr>
        <w:t>Competition in the Australian Financial System</w:t>
      </w:r>
      <w:r>
        <w:rPr>
          <w:bCs/>
        </w:rPr>
        <w:t xml:space="preserve">, Report no. 89, 2018. </w:t>
      </w:r>
      <w:hyperlink r:id="rId43" w:history="1">
        <w:r w:rsidRPr="003C4D6B">
          <w:rPr>
            <w:rStyle w:val="Hyperlink"/>
            <w:bCs/>
          </w:rPr>
          <w:t>https://www.pc.gov.au/inquiries/completed/financial-system/report/financial-system.pdf</w:t>
        </w:r>
      </w:hyperlink>
      <w:r>
        <w:rPr>
          <w:bCs/>
        </w:rPr>
        <w:t xml:space="preserve"> </w:t>
      </w:r>
    </w:p>
    <w:p w14:paraId="78B45445" w14:textId="2CA4C8C7" w:rsidR="000A1DCE" w:rsidRDefault="00647774" w:rsidP="00403855">
      <w:pPr>
        <w:rPr>
          <w:bCs/>
        </w:rPr>
      </w:pPr>
      <w:r>
        <w:rPr>
          <w:bCs/>
        </w:rPr>
        <w:t xml:space="preserve">Reserve Bank of Australia (RBA), </w:t>
      </w:r>
      <w:r w:rsidRPr="003B58AE">
        <w:rPr>
          <w:bCs/>
          <w:i/>
          <w:iCs/>
        </w:rPr>
        <w:t>Statistical Tables</w:t>
      </w:r>
      <w:r w:rsidR="00BD2D90">
        <w:rPr>
          <w:bCs/>
        </w:rPr>
        <w:t>, 2021.</w:t>
      </w:r>
      <w:r>
        <w:rPr>
          <w:bCs/>
        </w:rPr>
        <w:t xml:space="preserve"> </w:t>
      </w:r>
      <w:hyperlink r:id="rId44" w:history="1">
        <w:r w:rsidRPr="007C3E90">
          <w:rPr>
            <w:rStyle w:val="Hyperlink"/>
            <w:bCs/>
          </w:rPr>
          <w:t>https://www.rba.gov.au/statistics/tables/</w:t>
        </w:r>
      </w:hyperlink>
      <w:r>
        <w:rPr>
          <w:bCs/>
        </w:rPr>
        <w:t xml:space="preserve"> </w:t>
      </w:r>
    </w:p>
    <w:p w14:paraId="55FBAC09" w14:textId="53FA17D9" w:rsidR="004001A4" w:rsidRDefault="007F3099" w:rsidP="00403855">
      <w:r>
        <w:rPr>
          <w:bCs/>
        </w:rPr>
        <w:t xml:space="preserve">Reserve Bank of New Zealand, </w:t>
      </w:r>
      <w:r w:rsidRPr="005E3779">
        <w:rPr>
          <w:bCs/>
          <w:i/>
          <w:iCs/>
        </w:rPr>
        <w:t>Cash and payments update: COVID-19 special</w:t>
      </w:r>
      <w:r>
        <w:rPr>
          <w:bCs/>
        </w:rPr>
        <w:t xml:space="preserve">, 2021. </w:t>
      </w:r>
      <w:hyperlink r:id="rId45" w:history="1">
        <w:r w:rsidR="004001A4" w:rsidRPr="00B04E1C">
          <w:rPr>
            <w:rStyle w:val="Hyperlink"/>
            <w:bCs/>
          </w:rPr>
          <w:t>https://www.rbnz.govt.nz/notes-and-coins/future-of-money/news-and-resources</w:t>
        </w:r>
      </w:hyperlink>
      <w:r w:rsidR="004001A4">
        <w:rPr>
          <w:bCs/>
        </w:rPr>
        <w:t xml:space="preserve"> </w:t>
      </w:r>
    </w:p>
    <w:p w14:paraId="103FBBBF" w14:textId="0598E7A7" w:rsidR="00403855" w:rsidRDefault="00403855" w:rsidP="00403855">
      <w:pPr>
        <w:rPr>
          <w:bCs/>
        </w:rPr>
      </w:pPr>
      <w:r w:rsidRPr="002D3096">
        <w:rPr>
          <w:bCs/>
        </w:rPr>
        <w:t>Royal Commission into Misconduct in the Banking, Superannuation and Financial Services Industry</w:t>
      </w:r>
      <w:r>
        <w:rPr>
          <w:bCs/>
        </w:rPr>
        <w:t xml:space="preserve">, </w:t>
      </w:r>
      <w:r w:rsidRPr="002A100A">
        <w:rPr>
          <w:bCs/>
          <w:i/>
          <w:iCs/>
        </w:rPr>
        <w:t>Final Report</w:t>
      </w:r>
      <w:r>
        <w:rPr>
          <w:bCs/>
        </w:rPr>
        <w:t xml:space="preserve">, 2019. </w:t>
      </w:r>
      <w:r w:rsidRPr="002D3096">
        <w:rPr>
          <w:bCs/>
        </w:rPr>
        <w:t xml:space="preserve"> </w:t>
      </w:r>
      <w:hyperlink r:id="rId46" w:history="1">
        <w:r w:rsidRPr="003C4D6B">
          <w:rPr>
            <w:rStyle w:val="Hyperlink"/>
            <w:bCs/>
          </w:rPr>
          <w:t>https://treasury.gov.au/publication/p2019-fsrc-final-report</w:t>
        </w:r>
      </w:hyperlink>
      <w:r>
        <w:rPr>
          <w:bCs/>
        </w:rPr>
        <w:t xml:space="preserve"> </w:t>
      </w:r>
      <w:r w:rsidRPr="002D3096">
        <w:rPr>
          <w:bCs/>
        </w:rPr>
        <w:t xml:space="preserve"> </w:t>
      </w:r>
    </w:p>
    <w:p w14:paraId="4DD3E22F" w14:textId="66494073" w:rsidR="004539C1" w:rsidRDefault="00403855" w:rsidP="00403855">
      <w:pPr>
        <w:rPr>
          <w:bCs/>
        </w:rPr>
      </w:pPr>
      <w:r w:rsidRPr="002D3096">
        <w:rPr>
          <w:bCs/>
        </w:rPr>
        <w:t>Royal Commission into Misconduct in the Banking, Superannuation and Financial Services Industry</w:t>
      </w:r>
      <w:r>
        <w:rPr>
          <w:bCs/>
        </w:rPr>
        <w:t xml:space="preserve">, </w:t>
      </w:r>
      <w:r>
        <w:rPr>
          <w:bCs/>
          <w:i/>
          <w:iCs/>
        </w:rPr>
        <w:t>Background paper 18: Some Features of Financial Services in Regional and Remote Communities</w:t>
      </w:r>
      <w:r>
        <w:rPr>
          <w:bCs/>
        </w:rPr>
        <w:t xml:space="preserve">, </w:t>
      </w:r>
      <w:r w:rsidRPr="002A100A">
        <w:rPr>
          <w:bCs/>
        </w:rPr>
        <w:t>2018</w:t>
      </w:r>
      <w:r>
        <w:rPr>
          <w:bCs/>
        </w:rPr>
        <w:t>.</w:t>
      </w:r>
      <w:r w:rsidRPr="002A100A">
        <w:rPr>
          <w:bCs/>
        </w:rPr>
        <w:t xml:space="preserve"> </w:t>
      </w:r>
      <w:hyperlink r:id="rId47" w:history="1">
        <w:r w:rsidRPr="002A100A">
          <w:rPr>
            <w:rStyle w:val="Hyperlink"/>
            <w:bCs/>
          </w:rPr>
          <w:t>https://financialservices.royalcommission.gov.au/publications/Documents/fsrc-paper-18.pdf</w:t>
        </w:r>
      </w:hyperlink>
    </w:p>
    <w:p w14:paraId="4AA54CF3" w14:textId="395E13C2" w:rsidR="004539C1" w:rsidRDefault="004539C1" w:rsidP="00403855">
      <w:pPr>
        <w:rPr>
          <w:bCs/>
        </w:rPr>
      </w:pPr>
    </w:p>
    <w:p w14:paraId="6928C693" w14:textId="15C2FE3A" w:rsidR="004539C1" w:rsidRDefault="004539C1" w:rsidP="00403855">
      <w:pPr>
        <w:rPr>
          <w:bCs/>
        </w:rPr>
      </w:pPr>
    </w:p>
    <w:p w14:paraId="749FC18C" w14:textId="16A097E4" w:rsidR="004539C1" w:rsidRDefault="004539C1" w:rsidP="00403855">
      <w:pPr>
        <w:rPr>
          <w:bCs/>
        </w:rPr>
      </w:pPr>
    </w:p>
    <w:p w14:paraId="29EFCF1C" w14:textId="27B4FEF6" w:rsidR="004539C1" w:rsidRDefault="004539C1" w:rsidP="00403855">
      <w:pPr>
        <w:rPr>
          <w:bCs/>
        </w:rPr>
      </w:pPr>
    </w:p>
    <w:p w14:paraId="65A5FA35" w14:textId="61BE9FB5" w:rsidR="004539C1" w:rsidRDefault="004539C1" w:rsidP="00403855">
      <w:pPr>
        <w:rPr>
          <w:bCs/>
        </w:rPr>
      </w:pPr>
    </w:p>
    <w:p w14:paraId="6901C67B" w14:textId="2F5F6C99" w:rsidR="004539C1" w:rsidRDefault="004539C1" w:rsidP="00403855">
      <w:pPr>
        <w:rPr>
          <w:bCs/>
        </w:rPr>
      </w:pPr>
    </w:p>
    <w:p w14:paraId="7AD5F2DC" w14:textId="667DA2AD" w:rsidR="004539C1" w:rsidRDefault="004539C1" w:rsidP="00403855">
      <w:pPr>
        <w:rPr>
          <w:bCs/>
        </w:rPr>
      </w:pPr>
    </w:p>
    <w:p w14:paraId="7CD6B344" w14:textId="62F1EC0D" w:rsidR="004539C1" w:rsidRDefault="004539C1" w:rsidP="00403855">
      <w:pPr>
        <w:rPr>
          <w:bCs/>
        </w:rPr>
      </w:pPr>
    </w:p>
    <w:p w14:paraId="75F9AA6D" w14:textId="0F9F5E46" w:rsidR="004539C1" w:rsidRDefault="004539C1" w:rsidP="00403855">
      <w:pPr>
        <w:rPr>
          <w:bCs/>
        </w:rPr>
      </w:pPr>
    </w:p>
    <w:p w14:paraId="6FF05B66" w14:textId="6F8715C4" w:rsidR="004539C1" w:rsidRDefault="004539C1" w:rsidP="00403855">
      <w:pPr>
        <w:rPr>
          <w:bCs/>
        </w:rPr>
      </w:pPr>
    </w:p>
    <w:p w14:paraId="2C5AEEA6" w14:textId="722735B3" w:rsidR="004539C1" w:rsidRDefault="004539C1" w:rsidP="00403855">
      <w:pPr>
        <w:rPr>
          <w:bCs/>
        </w:rPr>
      </w:pPr>
    </w:p>
    <w:p w14:paraId="5A21C068" w14:textId="77777777" w:rsidR="00AB5DCF" w:rsidRDefault="00AB5DCF" w:rsidP="008361B4"/>
    <w:sectPr w:rsidR="00AB5DCF" w:rsidSect="00E1136B">
      <w:headerReference w:type="even" r:id="rId48"/>
      <w:headerReference w:type="default" r:id="rId49"/>
      <w:footerReference w:type="even" r:id="rId50"/>
      <w:footerReference w:type="default" r:id="rId51"/>
      <w:headerReference w:type="first" r:id="rId52"/>
      <w:footerReference w:type="first" r:id="rId53"/>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ACC31" w14:textId="77777777" w:rsidR="005B7AE6" w:rsidRDefault="005B7AE6">
      <w:pPr>
        <w:spacing w:before="0" w:after="0"/>
      </w:pPr>
      <w:r>
        <w:separator/>
      </w:r>
    </w:p>
  </w:endnote>
  <w:endnote w:type="continuationSeparator" w:id="0">
    <w:p w14:paraId="5C05B173" w14:textId="77777777" w:rsidR="005B7AE6" w:rsidRDefault="005B7AE6">
      <w:pPr>
        <w:spacing w:before="0" w:after="0"/>
      </w:pPr>
      <w:r>
        <w:continuationSeparator/>
      </w:r>
    </w:p>
  </w:endnote>
  <w:endnote w:type="continuationNotice" w:id="1">
    <w:p w14:paraId="71D61C3A" w14:textId="77777777" w:rsidR="005B7AE6" w:rsidRDefault="005B7AE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03635" w14:textId="3C7639AD" w:rsidR="005B7AE6" w:rsidRDefault="005B7AE6">
    <w:pPr>
      <w:pStyle w:val="Footer"/>
    </w:pPr>
  </w:p>
  <w:p w14:paraId="1E8F770B" w14:textId="21C302CB" w:rsidR="005B7AE6" w:rsidRDefault="004001A4" w:rsidP="00CC4BFE">
    <w:pPr>
      <w:pStyle w:val="SecurityClassificationFooter"/>
    </w:pPr>
    <w:fldSimple w:instr=" DOCPROPERTY WorkingDocStatus \* MERGEFORMAT ">
      <w:r w:rsidR="001E355F">
        <w:t>DRAFT WORKING DOCUMENT</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20268" w14:textId="7AAE0483" w:rsidR="005B7AE6" w:rsidRDefault="005B7AE6">
    <w:pPr>
      <w:pStyle w:val="Footer"/>
    </w:pPr>
  </w:p>
  <w:p w14:paraId="00F00683" w14:textId="1CA595D9" w:rsidR="005B7AE6" w:rsidRPr="00B916D2" w:rsidRDefault="005B7AE6" w:rsidP="00CC4BFE">
    <w:pPr>
      <w:pStyle w:val="SecurityClassificationFoo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E74FA" w14:textId="45BAED0A" w:rsidR="005B7AE6" w:rsidRDefault="005B7AE6">
    <w:pPr>
      <w:pStyle w:val="Footer"/>
    </w:pPr>
  </w:p>
  <w:p w14:paraId="2F246C1B" w14:textId="68F403A5" w:rsidR="005B7AE6" w:rsidRDefault="005B7AE6" w:rsidP="00CC4BFE">
    <w:pPr>
      <w:pStyle w:val="SecurityClassification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AE349" w14:textId="4406E248" w:rsidR="005B7AE6" w:rsidRDefault="005B7AE6" w:rsidP="0017089D">
    <w:r>
      <w:fldChar w:fldCharType="begin"/>
    </w:r>
    <w:r>
      <w:instrText xml:space="preserve"> PAGE  \* Arabic  \* MERGEFORMAT </w:instrText>
    </w:r>
    <w:r>
      <w:fldChar w:fldCharType="separate"/>
    </w:r>
    <w:r>
      <w:t>6</w:t>
    </w:r>
    <w:r>
      <w:fldChar w:fldCharType="end"/>
    </w:r>
  </w:p>
  <w:p w14:paraId="5723C197" w14:textId="5C347F0F" w:rsidR="005B7AE6" w:rsidRPr="00E77C89" w:rsidRDefault="004001A4" w:rsidP="00CC4BFE">
    <w:pPr>
      <w:pStyle w:val="SecurityClassificationFooter"/>
    </w:pPr>
    <w:fldSimple w:instr=" DOCPROPERTY WorkingDocStatus \* MERGEFORMAT ">
      <w:r w:rsidR="001E355F">
        <w:t>DRAFT WORKING DOCUMENT</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D8AD7" w14:textId="5738AFC6" w:rsidR="005B7AE6" w:rsidRDefault="005B7AE6" w:rsidP="0017089D"/>
  <w:p w14:paraId="34BC26C8" w14:textId="712759C9" w:rsidR="005B7AE6" w:rsidRPr="00E77C89" w:rsidRDefault="004001A4" w:rsidP="00CC4BFE">
    <w:pPr>
      <w:pStyle w:val="SecurityClassificationFooter"/>
    </w:pPr>
    <w:fldSimple w:instr=" DOCPROPERTY WorkingDocStatus \* MERGEFORMAT ">
      <w:r w:rsidR="001E355F">
        <w:t>DRAFT WORKING DOCUMENT</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36ADE" w14:textId="7FD6200B" w:rsidR="005B7AE6" w:rsidRDefault="005B7AE6" w:rsidP="00E1136B">
    <w:pPr>
      <w:pStyle w:val="Footer"/>
      <w:rPr>
        <w:noProof/>
      </w:rPr>
    </w:pPr>
    <w:r>
      <w:fldChar w:fldCharType="begin"/>
    </w:r>
    <w:r>
      <w:instrText xml:space="preserve"> PAGE   \* MERGEFORMAT </w:instrText>
    </w:r>
    <w:r>
      <w:fldChar w:fldCharType="separate"/>
    </w:r>
    <w:r>
      <w:rPr>
        <w:noProof/>
      </w:rPr>
      <w:t>2</w:t>
    </w:r>
    <w:r>
      <w:rPr>
        <w:noProof/>
      </w:rPr>
      <w:fldChar w:fldCharType="end"/>
    </w:r>
  </w:p>
  <w:p w14:paraId="549855DC" w14:textId="1BAB6547" w:rsidR="005B7AE6" w:rsidRPr="00E1136B" w:rsidRDefault="005B7AE6" w:rsidP="00CC4BFE">
    <w:pPr>
      <w:pStyle w:val="SecurityClassification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45E2" w14:textId="04F303E7" w:rsidR="005B7AE6" w:rsidRDefault="005B7AE6">
    <w:pPr>
      <w:pStyle w:val="Footer"/>
    </w:pPr>
  </w:p>
  <w:p w14:paraId="79E961CC" w14:textId="71DAEAC2" w:rsidR="005B7AE6" w:rsidRDefault="004001A4" w:rsidP="00CC4BFE">
    <w:pPr>
      <w:pStyle w:val="SecurityClassificationFooter"/>
    </w:pPr>
    <w:fldSimple w:instr=" DOCPROPERTY WorkingDocStatus \* MERGEFORMAT ">
      <w:r w:rsidR="001E355F">
        <w:t>DRAFT WORKING DOCUMENT</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48412" w14:textId="77777777" w:rsidR="005B7AE6" w:rsidRDefault="005B7AE6">
      <w:pPr>
        <w:spacing w:before="0" w:after="0"/>
      </w:pPr>
      <w:r>
        <w:separator/>
      </w:r>
    </w:p>
  </w:footnote>
  <w:footnote w:type="continuationSeparator" w:id="0">
    <w:p w14:paraId="3927F0CF" w14:textId="77777777" w:rsidR="005B7AE6" w:rsidRDefault="005B7AE6">
      <w:pPr>
        <w:spacing w:before="0" w:after="0"/>
      </w:pPr>
      <w:r>
        <w:continuationSeparator/>
      </w:r>
    </w:p>
  </w:footnote>
  <w:footnote w:type="continuationNotice" w:id="1">
    <w:p w14:paraId="666509AE" w14:textId="77777777" w:rsidR="005B7AE6" w:rsidRDefault="005B7AE6">
      <w:pPr>
        <w:spacing w:before="0" w:after="0"/>
      </w:pPr>
    </w:p>
  </w:footnote>
  <w:footnote w:id="2">
    <w:p w14:paraId="0627220D" w14:textId="7C06DE65" w:rsidR="005B7AE6" w:rsidRDefault="005B7AE6" w:rsidP="00027283">
      <w:pPr>
        <w:pStyle w:val="FootnoteText"/>
      </w:pPr>
      <w:r>
        <w:rPr>
          <w:rStyle w:val="FootnoteReference"/>
        </w:rPr>
        <w:footnoteRef/>
      </w:r>
      <w:r>
        <w:t xml:space="preserve"> The </w:t>
      </w:r>
      <w:r w:rsidRPr="00C318B5">
        <w:t>2004 Parliamentary Inquiry into the Level of Banking and Financial Services in Rural, Regional and Remote Areas of Australia</w:t>
      </w:r>
      <w:r>
        <w:t>. More recently there have been significant technological developments and shifts in consumer demand.</w:t>
      </w:r>
    </w:p>
  </w:footnote>
  <w:footnote w:id="3">
    <w:p w14:paraId="5DC05EA7" w14:textId="65437963" w:rsidR="005B7AE6" w:rsidRDefault="005B7AE6" w:rsidP="00027283">
      <w:pPr>
        <w:pStyle w:val="FootnoteText"/>
      </w:pPr>
      <w:r>
        <w:rPr>
          <w:rStyle w:val="FootnoteReference"/>
        </w:rPr>
        <w:footnoteRef/>
      </w:r>
      <w:r>
        <w:t xml:space="preserve"> Recommendation 1.8 of the Royal Commission into Misconduct in the Banking, Superannuation and Financial Services Industry. The Australian Banking Association (ABA) has subsequently adopted </w:t>
      </w:r>
      <w:r w:rsidRPr="003B58AE">
        <w:t xml:space="preserve">the recommendation. Similarly following earlier inquiries, the ABA Branch Closure Protocol was introduced in 2001. </w:t>
      </w:r>
    </w:p>
  </w:footnote>
  <w:footnote w:id="4">
    <w:p w14:paraId="640C7310" w14:textId="77777777" w:rsidR="005B7AE6" w:rsidRDefault="005B7AE6" w:rsidP="007C04F8">
      <w:pPr>
        <w:pStyle w:val="FootnoteText"/>
      </w:pPr>
      <w:r>
        <w:rPr>
          <w:rStyle w:val="FootnoteReference"/>
        </w:rPr>
        <w:footnoteRef/>
      </w:r>
      <w:r>
        <w:t xml:space="preserve"> In the APRA statistics, branches are face-to-face points of presence that (1) accept cash and other deposits (including business deposits) and provide change, (2) facilitate the keeping of accounts for customer access, (3) open and close accounts, (4) can facilitate or arrange the assessment of credit risk for existing and potential customers and (5) offer additional services such as financial services, business banking and specialist lending.</w:t>
      </w:r>
    </w:p>
    <w:p w14:paraId="4CA70EE5" w14:textId="7875ABA1" w:rsidR="005B7AE6" w:rsidRDefault="005B7AE6" w:rsidP="007C04F8">
      <w:pPr>
        <w:pStyle w:val="FootnoteText"/>
      </w:pPr>
      <w:r w:rsidRPr="00BC302D">
        <w:t xml:space="preserve">Other face-to-face </w:t>
      </w:r>
      <w:r>
        <w:t xml:space="preserve">points of presence (which include Bank@Post) </w:t>
      </w:r>
      <w:r w:rsidRPr="00BC302D">
        <w:t xml:space="preserve">provide face-to-face services and maintain a </w:t>
      </w:r>
      <w:r w:rsidRPr="007905C9">
        <w:t xml:space="preserve">fixed address, but do not meet all the requirements to be a branch. </w:t>
      </w:r>
      <w:r w:rsidRPr="000A0BB4">
        <w:t>Banks include building societies and credit unions.</w:t>
      </w:r>
    </w:p>
  </w:footnote>
  <w:footnote w:id="5">
    <w:p w14:paraId="39B9B78A" w14:textId="5F4CEE63" w:rsidR="005B7AE6" w:rsidRDefault="005B7AE6">
      <w:pPr>
        <w:pStyle w:val="FootnoteText"/>
      </w:pPr>
      <w:r>
        <w:rPr>
          <w:rStyle w:val="FootnoteReference"/>
        </w:rPr>
        <w:footnoteRef/>
      </w:r>
      <w:r>
        <w:t xml:space="preserve"> </w:t>
      </w:r>
      <w:r w:rsidRPr="008C4E55">
        <w:t>J Caddy and Z Zhang,</w:t>
      </w:r>
      <w:r>
        <w:t xml:space="preserve"> 2021.</w:t>
      </w:r>
    </w:p>
  </w:footnote>
  <w:footnote w:id="6">
    <w:p w14:paraId="73144AFB" w14:textId="7FA092E5" w:rsidR="005B7AE6" w:rsidRPr="008F145C" w:rsidRDefault="005B7AE6" w:rsidP="0078169D">
      <w:pPr>
        <w:spacing w:before="0" w:after="0"/>
        <w:rPr>
          <w:bCs/>
        </w:rPr>
      </w:pPr>
      <w:r>
        <w:rPr>
          <w:rStyle w:val="FootnoteReference"/>
        </w:rPr>
        <w:footnoteRef/>
      </w:r>
      <w:r>
        <w:rPr>
          <w:bCs/>
          <w:sz w:val="20"/>
        </w:rPr>
        <w:t xml:space="preserve"> </w:t>
      </w:r>
      <w:r w:rsidRPr="006E7943">
        <w:rPr>
          <w:bCs/>
          <w:sz w:val="20"/>
        </w:rPr>
        <w:t>Productivity Commission</w:t>
      </w:r>
      <w:r w:rsidR="00EB223B">
        <w:rPr>
          <w:bCs/>
          <w:sz w:val="20"/>
        </w:rPr>
        <w:t xml:space="preserve"> (</w:t>
      </w:r>
      <w:r>
        <w:rPr>
          <w:bCs/>
          <w:sz w:val="20"/>
        </w:rPr>
        <w:t>2018</w:t>
      </w:r>
      <w:r w:rsidR="00EB223B">
        <w:rPr>
          <w:bCs/>
          <w:sz w:val="20"/>
        </w:rPr>
        <w:t>)</w:t>
      </w:r>
      <w:r>
        <w:rPr>
          <w:bCs/>
          <w:i/>
          <w:iCs/>
          <w:sz w:val="20"/>
        </w:rPr>
        <w:t xml:space="preserve"> </w:t>
      </w:r>
      <w:r w:rsidRPr="000A0BB4">
        <w:rPr>
          <w:bCs/>
          <w:sz w:val="20"/>
        </w:rPr>
        <w:t xml:space="preserve">quoting research by Bain </w:t>
      </w:r>
      <w:r>
        <w:rPr>
          <w:bCs/>
          <w:sz w:val="20"/>
        </w:rPr>
        <w:t xml:space="preserve">from </w:t>
      </w:r>
      <w:r w:rsidRPr="000A0BB4">
        <w:rPr>
          <w:bCs/>
          <w:sz w:val="20"/>
        </w:rPr>
        <w:t>2016.</w:t>
      </w:r>
      <w:r w:rsidRPr="006E7943">
        <w:rPr>
          <w:bCs/>
          <w:sz w:val="20"/>
        </w:rPr>
        <w:t xml:space="preserve"> </w:t>
      </w:r>
    </w:p>
  </w:footnote>
  <w:footnote w:id="7">
    <w:p w14:paraId="6C8D7B90" w14:textId="77777777" w:rsidR="005B7AE6" w:rsidRDefault="005B7AE6" w:rsidP="00305E49">
      <w:pPr>
        <w:pStyle w:val="FootnoteText"/>
      </w:pPr>
      <w:r>
        <w:rPr>
          <w:rStyle w:val="FootnoteReference"/>
        </w:rPr>
        <w:footnoteRef/>
      </w:r>
      <w:r>
        <w:t xml:space="preserve"> ABA, 2021b.</w:t>
      </w:r>
    </w:p>
  </w:footnote>
  <w:footnote w:id="8">
    <w:p w14:paraId="0ACA313C" w14:textId="45754B14" w:rsidR="005B7AE6" w:rsidRDefault="005B7AE6" w:rsidP="00305E49">
      <w:pPr>
        <w:pStyle w:val="FootnoteText"/>
      </w:pPr>
      <w:r>
        <w:rPr>
          <w:rStyle w:val="FootnoteReference"/>
        </w:rPr>
        <w:footnoteRef/>
      </w:r>
      <w:r>
        <w:t xml:space="preserve"> ACMA, 2021a. </w:t>
      </w:r>
      <w:r w:rsidRPr="003B58AE">
        <w:t xml:space="preserve">99 per cent of Australians in both regional and metropolitan Australia accessed the internet in the last six months to June 2020. The Australian Digital Inclusion Index (ADII) scores for Access and Affordability continue to improve including for regional areas. Previous ADII reports show that the NBN has been a key factor in reducing the gap in Access between Australians living in capital cities and rural areas. </w:t>
      </w:r>
      <w:r>
        <w:t>O</w:t>
      </w:r>
      <w:r w:rsidRPr="003B58AE">
        <w:t xml:space="preserve">lder Australians have relatively lower internet access (with 93 per cent of Australians over 64 having internet access at home in </w:t>
      </w:r>
      <w:r>
        <w:t xml:space="preserve">June </w:t>
      </w:r>
      <w:r w:rsidRPr="003B58AE">
        <w:t xml:space="preserve">2020, though it is up from 68 per cent in June 2017) and </w:t>
      </w:r>
      <w:r w:rsidR="00EB223B">
        <w:t xml:space="preserve">are </w:t>
      </w:r>
      <w:r w:rsidRPr="003B58AE">
        <w:t xml:space="preserve">doing less online banking (77 per cent of internet users did banking activities in the past six months in </w:t>
      </w:r>
      <w:r>
        <w:t xml:space="preserve">June </w:t>
      </w:r>
      <w:r w:rsidRPr="003B58AE">
        <w:t>2020</w:t>
      </w:r>
      <w:r>
        <w:t>, though</w:t>
      </w:r>
      <w:r w:rsidRPr="003B58AE">
        <w:t xml:space="preserve"> up from 59 per cent</w:t>
      </w:r>
      <w:r>
        <w:t xml:space="preserve"> in June 2017</w:t>
      </w:r>
      <w:r w:rsidRPr="003B58AE">
        <w:t>)</w:t>
      </w:r>
      <w:r>
        <w:t xml:space="preserve"> (ACMA, 2021b). </w:t>
      </w:r>
      <w:r w:rsidRPr="003B58AE">
        <w:t>This suggests there may be some groups for which additional assistance can be provided in understanding and using digital services including banking</w:t>
      </w:r>
      <w:r>
        <w:t>.</w:t>
      </w:r>
    </w:p>
  </w:footnote>
  <w:footnote w:id="9">
    <w:p w14:paraId="09CF9042" w14:textId="35F7A97B" w:rsidR="005B7AE6" w:rsidRDefault="005B7AE6" w:rsidP="00305E49">
      <w:pPr>
        <w:pStyle w:val="FootnoteText"/>
      </w:pPr>
      <w:r>
        <w:rPr>
          <w:rStyle w:val="FootnoteReference"/>
        </w:rPr>
        <w:footnoteRef/>
      </w:r>
      <w:r>
        <w:t xml:space="preserve"> RFi Group data for April 2021.</w:t>
      </w:r>
    </w:p>
  </w:footnote>
  <w:footnote w:id="10">
    <w:p w14:paraId="7ADDF60F" w14:textId="77777777" w:rsidR="005B7AE6" w:rsidRDefault="005B7AE6" w:rsidP="00305E49">
      <w:pPr>
        <w:pStyle w:val="FootnoteText"/>
      </w:pPr>
      <w:r>
        <w:rPr>
          <w:rStyle w:val="FootnoteReference"/>
        </w:rPr>
        <w:footnoteRef/>
      </w:r>
      <w:r>
        <w:t xml:space="preserve"> </w:t>
      </w:r>
      <w:r w:rsidRPr="00354D5C">
        <w:t xml:space="preserve">Australian Bureau of Statistics </w:t>
      </w:r>
      <w:r>
        <w:t xml:space="preserve">(ABS) </w:t>
      </w:r>
      <w:r w:rsidRPr="00354D5C">
        <w:t>Retail Trade statistics in original terms</w:t>
      </w:r>
      <w:r>
        <w:t>.</w:t>
      </w:r>
    </w:p>
  </w:footnote>
  <w:footnote w:id="11">
    <w:p w14:paraId="4FC69BBD" w14:textId="1EB89253" w:rsidR="005B7AE6" w:rsidRDefault="005B7AE6">
      <w:pPr>
        <w:pStyle w:val="FootnoteText"/>
      </w:pPr>
      <w:r>
        <w:rPr>
          <w:rStyle w:val="FootnoteReference"/>
        </w:rPr>
        <w:footnoteRef/>
      </w:r>
      <w:r>
        <w:t xml:space="preserve"> RBA statistics for ATM withdrawals, debit card cash out transactions and credit card cash advances (not break adjusted).</w:t>
      </w:r>
    </w:p>
  </w:footnote>
  <w:footnote w:id="12">
    <w:p w14:paraId="37B9095B" w14:textId="1CBFF484" w:rsidR="005B7AE6" w:rsidRDefault="005B7AE6">
      <w:pPr>
        <w:pStyle w:val="FootnoteText"/>
      </w:pPr>
      <w:r>
        <w:rPr>
          <w:rStyle w:val="FootnoteReference"/>
        </w:rPr>
        <w:footnoteRef/>
      </w:r>
      <w:r>
        <w:t xml:space="preserve"> </w:t>
      </w:r>
      <w:r w:rsidRPr="008C4E55">
        <w:t>J Caddy</w:t>
      </w:r>
      <w:r>
        <w:t>, L Delaney, C Fisher and C Noone, 2020.</w:t>
      </w:r>
    </w:p>
  </w:footnote>
  <w:footnote w:id="13">
    <w:p w14:paraId="4DBF2B09" w14:textId="5F9A4B6A" w:rsidR="005B7AE6" w:rsidRDefault="005B7AE6">
      <w:pPr>
        <w:pStyle w:val="FootnoteText"/>
      </w:pPr>
      <w:r>
        <w:rPr>
          <w:rStyle w:val="FootnoteReference"/>
        </w:rPr>
        <w:footnoteRef/>
      </w:r>
      <w:r>
        <w:t xml:space="preserve"> Reserve Bank of New Zealand, 2021.</w:t>
      </w:r>
    </w:p>
  </w:footnote>
  <w:footnote w:id="14">
    <w:p w14:paraId="39CAA106" w14:textId="77777777" w:rsidR="005B7AE6" w:rsidRDefault="005B7AE6" w:rsidP="008469D5">
      <w:pPr>
        <w:pStyle w:val="FootnoteText"/>
      </w:pPr>
      <w:r>
        <w:rPr>
          <w:rStyle w:val="FootnoteReference"/>
        </w:rPr>
        <w:footnoteRef/>
      </w:r>
      <w:r>
        <w:t xml:space="preserve"> </w:t>
      </w:r>
      <w:r w:rsidRPr="00F84BC6">
        <w:t xml:space="preserve">ABA </w:t>
      </w:r>
      <w:r>
        <w:t>data from the major banks indicate that branch usage has dropped by a third since January 2019</w:t>
      </w:r>
      <w:r w:rsidRPr="00F84BC6">
        <w:t>.</w:t>
      </w:r>
    </w:p>
  </w:footnote>
  <w:footnote w:id="15">
    <w:p w14:paraId="108112DB" w14:textId="13761FA0" w:rsidR="005B7AE6" w:rsidRDefault="005B7AE6" w:rsidP="00FD7C50">
      <w:pPr>
        <w:spacing w:before="0"/>
      </w:pPr>
      <w:r>
        <w:rPr>
          <w:rStyle w:val="FootnoteReference"/>
        </w:rPr>
        <w:footnoteRef/>
      </w:r>
      <w:r>
        <w:t xml:space="preserve"> </w:t>
      </w:r>
      <w:r w:rsidRPr="002A100A">
        <w:rPr>
          <w:sz w:val="20"/>
        </w:rPr>
        <w:t xml:space="preserve">Previously the Code had a commitment to take reasonable steps to make information about banking services accessible to remote communities and to provide the cultural awareness training.   </w:t>
      </w:r>
      <w:r w:rsidRPr="00A147F5">
        <w:rPr>
          <w:sz w:val="20"/>
        </w:rPr>
        <w:t>There is currently a review underway of the Banking Code which will consider the extent to which banking services are inclusive</w:t>
      </w:r>
      <w:r>
        <w:rPr>
          <w:sz w:val="20"/>
        </w:rPr>
        <w:t>,</w:t>
      </w:r>
      <w:r w:rsidRPr="00A147F5">
        <w:rPr>
          <w:sz w:val="20"/>
        </w:rPr>
        <w:t xml:space="preserve"> affordable and accessible for all customers, including customers in remote, rural and regional areas. The review is due to report in November 2022.</w:t>
      </w:r>
    </w:p>
  </w:footnote>
  <w:footnote w:id="16">
    <w:p w14:paraId="5CDFBDFD" w14:textId="77777777" w:rsidR="005B7AE6" w:rsidRDefault="005B7AE6" w:rsidP="00BB0A86">
      <w:pPr>
        <w:pStyle w:val="FootnoteText"/>
      </w:pPr>
      <w:r>
        <w:rPr>
          <w:rStyle w:val="FootnoteReference"/>
        </w:rPr>
        <w:footnoteRef/>
      </w:r>
      <w:r>
        <w:t xml:space="preserve"> This was highlighted in Recommendation 14 of the Farrell Payment system review.</w:t>
      </w:r>
    </w:p>
  </w:footnote>
  <w:footnote w:id="17">
    <w:p w14:paraId="346754E1" w14:textId="3B1A11AA" w:rsidR="005B7AE6" w:rsidRDefault="005B7AE6">
      <w:pPr>
        <w:pStyle w:val="FootnoteText"/>
      </w:pPr>
      <w:r>
        <w:rPr>
          <w:rStyle w:val="FootnoteReference"/>
        </w:rPr>
        <w:footnoteRef/>
      </w:r>
      <w:r>
        <w:t xml:space="preserve"> </w:t>
      </w:r>
      <w:r w:rsidRPr="008C4E55">
        <w:t>J Caddy and Z Zhang</w:t>
      </w:r>
      <w:r>
        <w:t xml:space="preserve">, 2021, </w:t>
      </w:r>
      <w:r w:rsidRPr="008C4E55">
        <w:t>L Delaney, N McClure and R Finlay</w:t>
      </w:r>
      <w:r>
        <w:t xml:space="preserve">, 2020 and </w:t>
      </w:r>
      <w:r w:rsidRPr="008C4E55">
        <w:rPr>
          <w:bCs/>
          <w:iCs/>
        </w:rPr>
        <w:t>R Guttmann, C Pavlik, B Ung and G Wang</w:t>
      </w:r>
      <w:r>
        <w:rPr>
          <w:bCs/>
          <w:iCs/>
        </w:rPr>
        <w:t xml:space="preserv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BD0E0" w14:textId="1FBB2096" w:rsidR="005B7AE6" w:rsidRDefault="004001A4" w:rsidP="00CC4BFE">
    <w:pPr>
      <w:pStyle w:val="SecurityClassificationHeader"/>
    </w:pPr>
    <w:fldSimple w:instr=" DOCPROPERTY WorkingDocStatus \* MERGEFORMAT ">
      <w:r w:rsidR="001E355F">
        <w:t>DRAFT WORKING DOCUMENT</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1BBFA" w14:textId="5444365B" w:rsidR="005B7AE6" w:rsidRDefault="005B7AE6" w:rsidP="00CC4BFE">
    <w:pPr>
      <w:pStyle w:val="SecurityClassificationHeader"/>
    </w:pPr>
    <w:r>
      <w:rPr>
        <w:noProof/>
        <w:lang w:eastAsia="zh-CN"/>
      </w:rPr>
      <w:drawing>
        <wp:anchor distT="0" distB="0" distL="114300" distR="114300" simplePos="0" relativeHeight="251658240" behindDoc="1" locked="0" layoutInCell="1" allowOverlap="1" wp14:anchorId="66BA0E1A" wp14:editId="798C9A5C">
          <wp:simplePos x="0" y="0"/>
          <wp:positionH relativeFrom="page">
            <wp:posOffset>237596</wp:posOffset>
          </wp:positionH>
          <wp:positionV relativeFrom="page">
            <wp:posOffset>323850</wp:posOffset>
          </wp:positionV>
          <wp:extent cx="7085753" cy="100203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085753"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74FA9" w14:textId="59438DA1" w:rsidR="005B7AE6" w:rsidRDefault="004001A4" w:rsidP="00CC4BFE">
    <w:pPr>
      <w:pStyle w:val="SecurityClassificationHeader"/>
    </w:pPr>
    <w:fldSimple w:instr=" DOCPROPERTY WorkingDocStatus \* MERGEFORMAT ">
      <w:r w:rsidR="001E355F">
        <w:t>DRAFT WORKING DOCUMENT</w:t>
      </w:r>
    </w:fldSimple>
  </w:p>
  <w:p w14:paraId="6729C3AB" w14:textId="63ABBDA5" w:rsidR="005B7AE6" w:rsidRPr="001F3912" w:rsidRDefault="005B7AE6" w:rsidP="0017089D">
    <w:r>
      <w:fldChar w:fldCharType="begin"/>
    </w:r>
    <w:r>
      <w:instrText xml:space="preserve"> macrobutton nomacro [Click and add Publication Title] </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128CD" w14:textId="1C0C1799" w:rsidR="005B7AE6" w:rsidRPr="001F3912" w:rsidRDefault="004001A4" w:rsidP="00CC4BFE">
    <w:pPr>
      <w:pStyle w:val="SecurityClassificationHeader"/>
    </w:pPr>
    <w:fldSimple w:instr=" DOCPROPERTY WorkingDocStatus \* MERGEFORMAT ">
      <w:r w:rsidR="001E355F">
        <w:t>DRAFT WORKING DOCUMENT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AFCF4" w14:textId="18B72CDB" w:rsidR="005B7AE6" w:rsidRPr="001F3912" w:rsidRDefault="004001A4" w:rsidP="00CC4BFE">
    <w:pPr>
      <w:pStyle w:val="SecurityClassificationHeader"/>
    </w:pPr>
    <w:fldSimple w:instr=" DOCPROPERTY WorkingDocStatus \* MERGEFORMAT ">
      <w:r w:rsidR="001E355F">
        <w:t>DRAFT WORKING DOCUMENT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A5600" w14:textId="12D0200D" w:rsidR="005B7AE6" w:rsidRDefault="005B7AE6" w:rsidP="00CC4BFE">
    <w:pPr>
      <w:pStyle w:val="SecurityClassificationHeader"/>
    </w:pPr>
  </w:p>
  <w:p w14:paraId="2093189C" w14:textId="6CD524C8" w:rsidR="005B7AE6" w:rsidRPr="001F3912" w:rsidRDefault="004001A4" w:rsidP="00EF4A00">
    <w:pPr>
      <w:pStyle w:val="Header"/>
      <w:spacing w:after="240"/>
    </w:pPr>
    <w:fldSimple w:instr=" STYLEREF  Title  \* MERGEFORMAT ">
      <w:r w:rsidR="00E45C45">
        <w:rPr>
          <w:noProof/>
        </w:rPr>
        <w:t>Regional Banking Taskforce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43B42" w14:textId="2CF354DF" w:rsidR="005B7AE6" w:rsidRDefault="004001A4" w:rsidP="00CC4BFE">
    <w:pPr>
      <w:pStyle w:val="SecurityClassificationHeader"/>
    </w:pPr>
    <w:fldSimple w:instr=" DOCPROPERTY WorkingDocStatus \* MERGEFORMAT ">
      <w:r w:rsidR="001E355F">
        <w:t>DRAFT WORKING DOCUMENT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894"/>
    <w:multiLevelType w:val="multilevel"/>
    <w:tmpl w:val="8D32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A30758D"/>
    <w:multiLevelType w:val="multilevel"/>
    <w:tmpl w:val="EC5A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670C3"/>
    <w:multiLevelType w:val="hybridMultilevel"/>
    <w:tmpl w:val="FFFFFFFF"/>
    <w:lvl w:ilvl="0" w:tplc="4E9E7810">
      <w:start w:val="1"/>
      <w:numFmt w:val="decimal"/>
      <w:lvlText w:val="%1."/>
      <w:lvlJc w:val="left"/>
      <w:pPr>
        <w:ind w:left="720" w:hanging="360"/>
      </w:pPr>
    </w:lvl>
    <w:lvl w:ilvl="1" w:tplc="92624D14">
      <w:start w:val="1"/>
      <w:numFmt w:val="lowerLetter"/>
      <w:lvlText w:val="%2."/>
      <w:lvlJc w:val="left"/>
      <w:pPr>
        <w:ind w:left="1440" w:hanging="360"/>
      </w:pPr>
    </w:lvl>
    <w:lvl w:ilvl="2" w:tplc="738EA18A">
      <w:start w:val="1"/>
      <w:numFmt w:val="lowerRoman"/>
      <w:lvlText w:val="%3."/>
      <w:lvlJc w:val="right"/>
      <w:pPr>
        <w:ind w:left="2160" w:hanging="180"/>
      </w:pPr>
    </w:lvl>
    <w:lvl w:ilvl="3" w:tplc="ACC2348C">
      <w:start w:val="1"/>
      <w:numFmt w:val="decimal"/>
      <w:lvlText w:val="%4."/>
      <w:lvlJc w:val="left"/>
      <w:pPr>
        <w:ind w:left="2880" w:hanging="360"/>
      </w:pPr>
    </w:lvl>
    <w:lvl w:ilvl="4" w:tplc="3D08B818">
      <w:start w:val="1"/>
      <w:numFmt w:val="lowerLetter"/>
      <w:lvlText w:val="%5."/>
      <w:lvlJc w:val="left"/>
      <w:pPr>
        <w:ind w:left="3600" w:hanging="360"/>
      </w:pPr>
    </w:lvl>
    <w:lvl w:ilvl="5" w:tplc="19FAD890">
      <w:start w:val="1"/>
      <w:numFmt w:val="lowerRoman"/>
      <w:lvlText w:val="%6."/>
      <w:lvlJc w:val="right"/>
      <w:pPr>
        <w:ind w:left="4320" w:hanging="180"/>
      </w:pPr>
    </w:lvl>
    <w:lvl w:ilvl="6" w:tplc="938A9FE2">
      <w:start w:val="1"/>
      <w:numFmt w:val="decimal"/>
      <w:lvlText w:val="%7."/>
      <w:lvlJc w:val="left"/>
      <w:pPr>
        <w:ind w:left="5040" w:hanging="360"/>
      </w:pPr>
    </w:lvl>
    <w:lvl w:ilvl="7" w:tplc="1846B774">
      <w:start w:val="1"/>
      <w:numFmt w:val="lowerLetter"/>
      <w:lvlText w:val="%8."/>
      <w:lvlJc w:val="left"/>
      <w:pPr>
        <w:ind w:left="5760" w:hanging="360"/>
      </w:pPr>
    </w:lvl>
    <w:lvl w:ilvl="8" w:tplc="96CCA0CE">
      <w:start w:val="1"/>
      <w:numFmt w:val="lowerRoman"/>
      <w:lvlText w:val="%9."/>
      <w:lvlJc w:val="right"/>
      <w:pPr>
        <w:ind w:left="6480" w:hanging="180"/>
      </w:pPr>
    </w:lvl>
  </w:abstractNum>
  <w:abstractNum w:abstractNumId="4"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7F532D"/>
    <w:multiLevelType w:val="hybridMultilevel"/>
    <w:tmpl w:val="4BE4E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10917CB"/>
    <w:multiLevelType w:val="multilevel"/>
    <w:tmpl w:val="9F003862"/>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2"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9B4046"/>
    <w:multiLevelType w:val="hybridMultilevel"/>
    <w:tmpl w:val="14D47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10D2021"/>
    <w:multiLevelType w:val="multilevel"/>
    <w:tmpl w:val="72F8140E"/>
    <w:numStyleLink w:val="OutlineList"/>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1"/>
  </w:num>
  <w:num w:numId="2">
    <w:abstractNumId w:val="1"/>
  </w:num>
  <w:num w:numId="3">
    <w:abstractNumId w:val="13"/>
  </w:num>
  <w:num w:numId="4">
    <w:abstractNumId w:val="5"/>
  </w:num>
  <w:num w:numId="5">
    <w:abstractNumId w:val="7"/>
  </w:num>
  <w:num w:numId="6">
    <w:abstractNumId w:val="15"/>
  </w:num>
  <w:num w:numId="7">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8"/>
  </w:num>
  <w:num w:numId="9">
    <w:abstractNumId w:val="4"/>
  </w:num>
  <w:num w:numId="10">
    <w:abstractNumId w:val="10"/>
  </w:num>
  <w:num w:numId="11">
    <w:abstractNumId w:val="16"/>
  </w:num>
  <w:num w:numId="12">
    <w:abstractNumId w:val="15"/>
  </w:num>
  <w:num w:numId="13">
    <w:abstractNumId w:val="10"/>
  </w:num>
  <w:num w:numId="14">
    <w:abstractNumId w:val="12"/>
  </w:num>
  <w:num w:numId="15">
    <w:abstractNumId w:val="9"/>
  </w:num>
  <w:num w:numId="16">
    <w:abstractNumId w:val="14"/>
  </w:num>
  <w:num w:numId="17">
    <w:abstractNumId w:val="11"/>
  </w:num>
  <w:num w:numId="18">
    <w:abstractNumId w:val="11"/>
  </w:num>
  <w:num w:numId="19">
    <w:abstractNumId w:val="6"/>
  </w:num>
  <w:num w:numId="20">
    <w:abstractNumId w:val="6"/>
  </w:num>
  <w:num w:numId="21">
    <w:abstractNumId w:val="0"/>
  </w:num>
  <w:num w:numId="22">
    <w:abstractNumId w:val="2"/>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defaultTabStop w:val="720"/>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True"/>
  </w:docVars>
  <w:rsids>
    <w:rsidRoot w:val="003636EC"/>
    <w:rsid w:val="00005AD3"/>
    <w:rsid w:val="00005DAE"/>
    <w:rsid w:val="00011725"/>
    <w:rsid w:val="00012C62"/>
    <w:rsid w:val="00012F48"/>
    <w:rsid w:val="00015FD7"/>
    <w:rsid w:val="00020895"/>
    <w:rsid w:val="0002154A"/>
    <w:rsid w:val="0002164D"/>
    <w:rsid w:val="00024281"/>
    <w:rsid w:val="000243E8"/>
    <w:rsid w:val="0002544D"/>
    <w:rsid w:val="00027283"/>
    <w:rsid w:val="000279FC"/>
    <w:rsid w:val="000301E7"/>
    <w:rsid w:val="000315C2"/>
    <w:rsid w:val="0003617B"/>
    <w:rsid w:val="000375A5"/>
    <w:rsid w:val="00040456"/>
    <w:rsid w:val="00041A8B"/>
    <w:rsid w:val="0004274D"/>
    <w:rsid w:val="00043FEF"/>
    <w:rsid w:val="00044C0A"/>
    <w:rsid w:val="000455A4"/>
    <w:rsid w:val="00047852"/>
    <w:rsid w:val="000502D6"/>
    <w:rsid w:val="00053D0B"/>
    <w:rsid w:val="00053F2A"/>
    <w:rsid w:val="00056329"/>
    <w:rsid w:val="00056880"/>
    <w:rsid w:val="00057DCA"/>
    <w:rsid w:val="000639E3"/>
    <w:rsid w:val="00064B1E"/>
    <w:rsid w:val="000670BA"/>
    <w:rsid w:val="000675D1"/>
    <w:rsid w:val="00067C53"/>
    <w:rsid w:val="0007102C"/>
    <w:rsid w:val="00072352"/>
    <w:rsid w:val="00073521"/>
    <w:rsid w:val="00074C43"/>
    <w:rsid w:val="000775DE"/>
    <w:rsid w:val="00080741"/>
    <w:rsid w:val="00081588"/>
    <w:rsid w:val="000839B1"/>
    <w:rsid w:val="000858F2"/>
    <w:rsid w:val="00087DF6"/>
    <w:rsid w:val="00087FAF"/>
    <w:rsid w:val="0009025C"/>
    <w:rsid w:val="0009131C"/>
    <w:rsid w:val="0009713B"/>
    <w:rsid w:val="000A0BB4"/>
    <w:rsid w:val="000A1DCE"/>
    <w:rsid w:val="000A44FC"/>
    <w:rsid w:val="000A558D"/>
    <w:rsid w:val="000A62A1"/>
    <w:rsid w:val="000B5DAB"/>
    <w:rsid w:val="000B79A8"/>
    <w:rsid w:val="000C5C70"/>
    <w:rsid w:val="000C5D6B"/>
    <w:rsid w:val="000C5F40"/>
    <w:rsid w:val="000C7459"/>
    <w:rsid w:val="000D306C"/>
    <w:rsid w:val="000D36F9"/>
    <w:rsid w:val="000D45EA"/>
    <w:rsid w:val="000D662F"/>
    <w:rsid w:val="000E0175"/>
    <w:rsid w:val="000E0B74"/>
    <w:rsid w:val="000E2E99"/>
    <w:rsid w:val="000E61F4"/>
    <w:rsid w:val="000F0BF8"/>
    <w:rsid w:val="000F2666"/>
    <w:rsid w:val="000F398B"/>
    <w:rsid w:val="000F3CF8"/>
    <w:rsid w:val="000F4005"/>
    <w:rsid w:val="000F4F59"/>
    <w:rsid w:val="000F632D"/>
    <w:rsid w:val="000F7517"/>
    <w:rsid w:val="000F768F"/>
    <w:rsid w:val="00101A29"/>
    <w:rsid w:val="001050DF"/>
    <w:rsid w:val="001064FC"/>
    <w:rsid w:val="00114100"/>
    <w:rsid w:val="001167AF"/>
    <w:rsid w:val="00117978"/>
    <w:rsid w:val="00126861"/>
    <w:rsid w:val="0013112D"/>
    <w:rsid w:val="00133CEA"/>
    <w:rsid w:val="0013598D"/>
    <w:rsid w:val="001368AF"/>
    <w:rsid w:val="0014091C"/>
    <w:rsid w:val="00143AF0"/>
    <w:rsid w:val="001444CE"/>
    <w:rsid w:val="001549B4"/>
    <w:rsid w:val="0016004B"/>
    <w:rsid w:val="001606CF"/>
    <w:rsid w:val="0016128D"/>
    <w:rsid w:val="00163289"/>
    <w:rsid w:val="0017089D"/>
    <w:rsid w:val="00176E37"/>
    <w:rsid w:val="00177371"/>
    <w:rsid w:val="0018297B"/>
    <w:rsid w:val="001831FD"/>
    <w:rsid w:val="00183558"/>
    <w:rsid w:val="001837CF"/>
    <w:rsid w:val="0018412F"/>
    <w:rsid w:val="00190F77"/>
    <w:rsid w:val="0019101A"/>
    <w:rsid w:val="001948F4"/>
    <w:rsid w:val="00195952"/>
    <w:rsid w:val="00196169"/>
    <w:rsid w:val="001975F3"/>
    <w:rsid w:val="001A2974"/>
    <w:rsid w:val="001A6361"/>
    <w:rsid w:val="001B13FA"/>
    <w:rsid w:val="001B1AC8"/>
    <w:rsid w:val="001B1C7E"/>
    <w:rsid w:val="001B3E5C"/>
    <w:rsid w:val="001B41AE"/>
    <w:rsid w:val="001B4625"/>
    <w:rsid w:val="001B5D81"/>
    <w:rsid w:val="001B61C9"/>
    <w:rsid w:val="001B648C"/>
    <w:rsid w:val="001C358D"/>
    <w:rsid w:val="001C3A2B"/>
    <w:rsid w:val="001C3C2C"/>
    <w:rsid w:val="001C4D9E"/>
    <w:rsid w:val="001C4DFD"/>
    <w:rsid w:val="001C710C"/>
    <w:rsid w:val="001D05F0"/>
    <w:rsid w:val="001D3C40"/>
    <w:rsid w:val="001D4EAA"/>
    <w:rsid w:val="001E265C"/>
    <w:rsid w:val="001E355F"/>
    <w:rsid w:val="001E3D17"/>
    <w:rsid w:val="001E4CE5"/>
    <w:rsid w:val="001F04B9"/>
    <w:rsid w:val="001F07F4"/>
    <w:rsid w:val="001F36DC"/>
    <w:rsid w:val="001F4D2C"/>
    <w:rsid w:val="001F5B6F"/>
    <w:rsid w:val="001F5C15"/>
    <w:rsid w:val="002019F1"/>
    <w:rsid w:val="00206234"/>
    <w:rsid w:val="0020755C"/>
    <w:rsid w:val="00213B68"/>
    <w:rsid w:val="00215C92"/>
    <w:rsid w:val="002163DD"/>
    <w:rsid w:val="002164C4"/>
    <w:rsid w:val="00217071"/>
    <w:rsid w:val="0022190E"/>
    <w:rsid w:val="002274B6"/>
    <w:rsid w:val="00227503"/>
    <w:rsid w:val="00231049"/>
    <w:rsid w:val="002314D2"/>
    <w:rsid w:val="002321EC"/>
    <w:rsid w:val="00232F5F"/>
    <w:rsid w:val="002372A6"/>
    <w:rsid w:val="0023764E"/>
    <w:rsid w:val="00242EE2"/>
    <w:rsid w:val="00244B1D"/>
    <w:rsid w:val="002460D7"/>
    <w:rsid w:val="00247CBD"/>
    <w:rsid w:val="002508F6"/>
    <w:rsid w:val="0025200A"/>
    <w:rsid w:val="002538A3"/>
    <w:rsid w:val="00253BFF"/>
    <w:rsid w:val="00257AEE"/>
    <w:rsid w:val="00260011"/>
    <w:rsid w:val="00263B6C"/>
    <w:rsid w:val="00263EB8"/>
    <w:rsid w:val="00264BD1"/>
    <w:rsid w:val="002678E2"/>
    <w:rsid w:val="0027203E"/>
    <w:rsid w:val="00274869"/>
    <w:rsid w:val="0027590B"/>
    <w:rsid w:val="0027682C"/>
    <w:rsid w:val="002802BE"/>
    <w:rsid w:val="0028337C"/>
    <w:rsid w:val="00283AA0"/>
    <w:rsid w:val="00285969"/>
    <w:rsid w:val="00286D17"/>
    <w:rsid w:val="00291003"/>
    <w:rsid w:val="002917A8"/>
    <w:rsid w:val="002940EC"/>
    <w:rsid w:val="002956D4"/>
    <w:rsid w:val="002A100A"/>
    <w:rsid w:val="002A5C30"/>
    <w:rsid w:val="002A6AB0"/>
    <w:rsid w:val="002A6AC3"/>
    <w:rsid w:val="002B1571"/>
    <w:rsid w:val="002B2D87"/>
    <w:rsid w:val="002B3829"/>
    <w:rsid w:val="002B4103"/>
    <w:rsid w:val="002B4D4D"/>
    <w:rsid w:val="002B5C39"/>
    <w:rsid w:val="002C3D00"/>
    <w:rsid w:val="002C4F92"/>
    <w:rsid w:val="002D01CF"/>
    <w:rsid w:val="002D2FFC"/>
    <w:rsid w:val="002D31B1"/>
    <w:rsid w:val="002D46D7"/>
    <w:rsid w:val="002D488F"/>
    <w:rsid w:val="002D62F0"/>
    <w:rsid w:val="002E0038"/>
    <w:rsid w:val="002E5E0F"/>
    <w:rsid w:val="002F2BB8"/>
    <w:rsid w:val="002F48D9"/>
    <w:rsid w:val="002F617F"/>
    <w:rsid w:val="00302BF3"/>
    <w:rsid w:val="00305E49"/>
    <w:rsid w:val="00310C9E"/>
    <w:rsid w:val="003122F4"/>
    <w:rsid w:val="00312508"/>
    <w:rsid w:val="003139DC"/>
    <w:rsid w:val="00315134"/>
    <w:rsid w:val="0031571C"/>
    <w:rsid w:val="00315DE4"/>
    <w:rsid w:val="00316471"/>
    <w:rsid w:val="003208F1"/>
    <w:rsid w:val="0032188E"/>
    <w:rsid w:val="00322940"/>
    <w:rsid w:val="00323DEE"/>
    <w:rsid w:val="00325C3E"/>
    <w:rsid w:val="003268D5"/>
    <w:rsid w:val="003329E6"/>
    <w:rsid w:val="0033394B"/>
    <w:rsid w:val="003339F2"/>
    <w:rsid w:val="003340BE"/>
    <w:rsid w:val="00334320"/>
    <w:rsid w:val="00335676"/>
    <w:rsid w:val="00340092"/>
    <w:rsid w:val="00340EEB"/>
    <w:rsid w:val="003419B1"/>
    <w:rsid w:val="003441EE"/>
    <w:rsid w:val="00344779"/>
    <w:rsid w:val="00346570"/>
    <w:rsid w:val="00350304"/>
    <w:rsid w:val="0035465D"/>
    <w:rsid w:val="00354D27"/>
    <w:rsid w:val="00354D5C"/>
    <w:rsid w:val="00354FBB"/>
    <w:rsid w:val="003559DC"/>
    <w:rsid w:val="003563AF"/>
    <w:rsid w:val="00356D4E"/>
    <w:rsid w:val="003604C6"/>
    <w:rsid w:val="003636EC"/>
    <w:rsid w:val="00363883"/>
    <w:rsid w:val="0036458A"/>
    <w:rsid w:val="00373166"/>
    <w:rsid w:val="00374869"/>
    <w:rsid w:val="003748B4"/>
    <w:rsid w:val="00376216"/>
    <w:rsid w:val="00377D4F"/>
    <w:rsid w:val="003839F0"/>
    <w:rsid w:val="003858A6"/>
    <w:rsid w:val="00387652"/>
    <w:rsid w:val="00390D7B"/>
    <w:rsid w:val="00392DCC"/>
    <w:rsid w:val="00396F87"/>
    <w:rsid w:val="00397BFC"/>
    <w:rsid w:val="003A0307"/>
    <w:rsid w:val="003A7705"/>
    <w:rsid w:val="003B036B"/>
    <w:rsid w:val="003B1591"/>
    <w:rsid w:val="003B58AE"/>
    <w:rsid w:val="003B5AD4"/>
    <w:rsid w:val="003B7F6D"/>
    <w:rsid w:val="003C2AA1"/>
    <w:rsid w:val="003C3C67"/>
    <w:rsid w:val="003C4921"/>
    <w:rsid w:val="003C4ADC"/>
    <w:rsid w:val="003C604F"/>
    <w:rsid w:val="003D2D61"/>
    <w:rsid w:val="003D3341"/>
    <w:rsid w:val="003D58B8"/>
    <w:rsid w:val="003D6DD3"/>
    <w:rsid w:val="003E1702"/>
    <w:rsid w:val="003E38B0"/>
    <w:rsid w:val="003E3F66"/>
    <w:rsid w:val="003E4D87"/>
    <w:rsid w:val="003F3416"/>
    <w:rsid w:val="003F3443"/>
    <w:rsid w:val="003F5366"/>
    <w:rsid w:val="003F5A01"/>
    <w:rsid w:val="003F71F2"/>
    <w:rsid w:val="003F7720"/>
    <w:rsid w:val="003F7A4C"/>
    <w:rsid w:val="004001A4"/>
    <w:rsid w:val="004037CB"/>
    <w:rsid w:val="00403855"/>
    <w:rsid w:val="004068F3"/>
    <w:rsid w:val="00407D1B"/>
    <w:rsid w:val="00410ED6"/>
    <w:rsid w:val="004110BE"/>
    <w:rsid w:val="0041215D"/>
    <w:rsid w:val="0041245B"/>
    <w:rsid w:val="00413789"/>
    <w:rsid w:val="00413828"/>
    <w:rsid w:val="00416762"/>
    <w:rsid w:val="00420164"/>
    <w:rsid w:val="00421351"/>
    <w:rsid w:val="00421ACB"/>
    <w:rsid w:val="004248BD"/>
    <w:rsid w:val="00425BA8"/>
    <w:rsid w:val="00432509"/>
    <w:rsid w:val="00432B5F"/>
    <w:rsid w:val="00437DC4"/>
    <w:rsid w:val="00444635"/>
    <w:rsid w:val="004447DE"/>
    <w:rsid w:val="00445265"/>
    <w:rsid w:val="004461E8"/>
    <w:rsid w:val="00451144"/>
    <w:rsid w:val="004539C1"/>
    <w:rsid w:val="00454C6F"/>
    <w:rsid w:val="00454C88"/>
    <w:rsid w:val="004559CE"/>
    <w:rsid w:val="004621DB"/>
    <w:rsid w:val="00465922"/>
    <w:rsid w:val="00470B4C"/>
    <w:rsid w:val="00474AC5"/>
    <w:rsid w:val="00475B7B"/>
    <w:rsid w:val="00475F4D"/>
    <w:rsid w:val="00477C47"/>
    <w:rsid w:val="00480FAF"/>
    <w:rsid w:val="00481A35"/>
    <w:rsid w:val="00482AD1"/>
    <w:rsid w:val="00483049"/>
    <w:rsid w:val="00484206"/>
    <w:rsid w:val="00490038"/>
    <w:rsid w:val="00492E27"/>
    <w:rsid w:val="00492FC6"/>
    <w:rsid w:val="00492FCB"/>
    <w:rsid w:val="004938D1"/>
    <w:rsid w:val="004951A8"/>
    <w:rsid w:val="00497A8E"/>
    <w:rsid w:val="004A077D"/>
    <w:rsid w:val="004A1613"/>
    <w:rsid w:val="004A1947"/>
    <w:rsid w:val="004A2B9B"/>
    <w:rsid w:val="004A5138"/>
    <w:rsid w:val="004A5DCC"/>
    <w:rsid w:val="004A7BC2"/>
    <w:rsid w:val="004B0533"/>
    <w:rsid w:val="004B5974"/>
    <w:rsid w:val="004B7A6C"/>
    <w:rsid w:val="004C0888"/>
    <w:rsid w:val="004C7DB8"/>
    <w:rsid w:val="004D7FCA"/>
    <w:rsid w:val="004E06FF"/>
    <w:rsid w:val="004E636F"/>
    <w:rsid w:val="004F0A6F"/>
    <w:rsid w:val="004F1164"/>
    <w:rsid w:val="004F47DF"/>
    <w:rsid w:val="004F62DD"/>
    <w:rsid w:val="004F71B3"/>
    <w:rsid w:val="004F75A2"/>
    <w:rsid w:val="00502A55"/>
    <w:rsid w:val="00505500"/>
    <w:rsid w:val="005075C8"/>
    <w:rsid w:val="00516785"/>
    <w:rsid w:val="00520336"/>
    <w:rsid w:val="00522CA1"/>
    <w:rsid w:val="0052419D"/>
    <w:rsid w:val="00524FBF"/>
    <w:rsid w:val="005256B0"/>
    <w:rsid w:val="00527509"/>
    <w:rsid w:val="005301F8"/>
    <w:rsid w:val="005312FC"/>
    <w:rsid w:val="00531BD3"/>
    <w:rsid w:val="00533155"/>
    <w:rsid w:val="0053603D"/>
    <w:rsid w:val="0053616A"/>
    <w:rsid w:val="00536C40"/>
    <w:rsid w:val="00536D3C"/>
    <w:rsid w:val="005421FB"/>
    <w:rsid w:val="00545466"/>
    <w:rsid w:val="005623BD"/>
    <w:rsid w:val="00562779"/>
    <w:rsid w:val="00564C1E"/>
    <w:rsid w:val="00570104"/>
    <w:rsid w:val="0057094F"/>
    <w:rsid w:val="00570F88"/>
    <w:rsid w:val="00571A9A"/>
    <w:rsid w:val="00571B98"/>
    <w:rsid w:val="00573C67"/>
    <w:rsid w:val="00577404"/>
    <w:rsid w:val="0058140B"/>
    <w:rsid w:val="00582FCD"/>
    <w:rsid w:val="00583D3C"/>
    <w:rsid w:val="005868DE"/>
    <w:rsid w:val="005914A1"/>
    <w:rsid w:val="00592FC5"/>
    <w:rsid w:val="0059315C"/>
    <w:rsid w:val="0059475B"/>
    <w:rsid w:val="005949E0"/>
    <w:rsid w:val="005959C6"/>
    <w:rsid w:val="005A3905"/>
    <w:rsid w:val="005A702D"/>
    <w:rsid w:val="005B5ECB"/>
    <w:rsid w:val="005B65D4"/>
    <w:rsid w:val="005B6FDD"/>
    <w:rsid w:val="005B75BC"/>
    <w:rsid w:val="005B7AE6"/>
    <w:rsid w:val="005C2B0A"/>
    <w:rsid w:val="005C2C10"/>
    <w:rsid w:val="005C3264"/>
    <w:rsid w:val="005C3F91"/>
    <w:rsid w:val="005D631D"/>
    <w:rsid w:val="005D76E2"/>
    <w:rsid w:val="005E215B"/>
    <w:rsid w:val="005E3779"/>
    <w:rsid w:val="005F251C"/>
    <w:rsid w:val="005F4BA8"/>
    <w:rsid w:val="005F7C9C"/>
    <w:rsid w:val="00601382"/>
    <w:rsid w:val="00602748"/>
    <w:rsid w:val="00604F34"/>
    <w:rsid w:val="0060595B"/>
    <w:rsid w:val="00605AFD"/>
    <w:rsid w:val="00607C7C"/>
    <w:rsid w:val="00611140"/>
    <w:rsid w:val="0061189A"/>
    <w:rsid w:val="00611EB9"/>
    <w:rsid w:val="006123D4"/>
    <w:rsid w:val="006129EE"/>
    <w:rsid w:val="006148D6"/>
    <w:rsid w:val="00616139"/>
    <w:rsid w:val="00617F74"/>
    <w:rsid w:val="0062039E"/>
    <w:rsid w:val="00621540"/>
    <w:rsid w:val="0062460D"/>
    <w:rsid w:val="0062463C"/>
    <w:rsid w:val="006334C9"/>
    <w:rsid w:val="006337C2"/>
    <w:rsid w:val="00635BB7"/>
    <w:rsid w:val="00637C14"/>
    <w:rsid w:val="006411BF"/>
    <w:rsid w:val="0064356E"/>
    <w:rsid w:val="00647774"/>
    <w:rsid w:val="00653DD8"/>
    <w:rsid w:val="0065482D"/>
    <w:rsid w:val="006548BC"/>
    <w:rsid w:val="00654A4F"/>
    <w:rsid w:val="00656356"/>
    <w:rsid w:val="006613E2"/>
    <w:rsid w:val="00661907"/>
    <w:rsid w:val="006636E3"/>
    <w:rsid w:val="00666764"/>
    <w:rsid w:val="00672E4C"/>
    <w:rsid w:val="00674071"/>
    <w:rsid w:val="006755BF"/>
    <w:rsid w:val="00677789"/>
    <w:rsid w:val="00681F28"/>
    <w:rsid w:val="00683B5A"/>
    <w:rsid w:val="00684FC7"/>
    <w:rsid w:val="00686165"/>
    <w:rsid w:val="00687ED3"/>
    <w:rsid w:val="00691CB5"/>
    <w:rsid w:val="00692654"/>
    <w:rsid w:val="0069540E"/>
    <w:rsid w:val="00695794"/>
    <w:rsid w:val="00695925"/>
    <w:rsid w:val="006A5F21"/>
    <w:rsid w:val="006A5FC5"/>
    <w:rsid w:val="006A6EE1"/>
    <w:rsid w:val="006A7B92"/>
    <w:rsid w:val="006B080D"/>
    <w:rsid w:val="006B5E7C"/>
    <w:rsid w:val="006C02F2"/>
    <w:rsid w:val="006C0B48"/>
    <w:rsid w:val="006C1AB6"/>
    <w:rsid w:val="006C1D2F"/>
    <w:rsid w:val="006C2C70"/>
    <w:rsid w:val="006C513B"/>
    <w:rsid w:val="006C5DC4"/>
    <w:rsid w:val="006C6304"/>
    <w:rsid w:val="006C645D"/>
    <w:rsid w:val="006C6F1C"/>
    <w:rsid w:val="006C7101"/>
    <w:rsid w:val="006D42C7"/>
    <w:rsid w:val="006D53C7"/>
    <w:rsid w:val="006D73E2"/>
    <w:rsid w:val="006E1F02"/>
    <w:rsid w:val="006E3CC3"/>
    <w:rsid w:val="006E48C3"/>
    <w:rsid w:val="006E62E7"/>
    <w:rsid w:val="006E7943"/>
    <w:rsid w:val="006F1F88"/>
    <w:rsid w:val="006F355D"/>
    <w:rsid w:val="006F542F"/>
    <w:rsid w:val="006F601D"/>
    <w:rsid w:val="006F656C"/>
    <w:rsid w:val="006F69EA"/>
    <w:rsid w:val="006F76DB"/>
    <w:rsid w:val="007052C1"/>
    <w:rsid w:val="00706719"/>
    <w:rsid w:val="00706911"/>
    <w:rsid w:val="00707014"/>
    <w:rsid w:val="00712FB1"/>
    <w:rsid w:val="00727E55"/>
    <w:rsid w:val="00731543"/>
    <w:rsid w:val="007326F3"/>
    <w:rsid w:val="007370B9"/>
    <w:rsid w:val="007403E2"/>
    <w:rsid w:val="00740B98"/>
    <w:rsid w:val="00745A87"/>
    <w:rsid w:val="00746581"/>
    <w:rsid w:val="00750815"/>
    <w:rsid w:val="0075138B"/>
    <w:rsid w:val="007523AB"/>
    <w:rsid w:val="00753AB5"/>
    <w:rsid w:val="00755521"/>
    <w:rsid w:val="007575A6"/>
    <w:rsid w:val="00757816"/>
    <w:rsid w:val="00764820"/>
    <w:rsid w:val="00766AD7"/>
    <w:rsid w:val="007739DC"/>
    <w:rsid w:val="00776FFD"/>
    <w:rsid w:val="0077706F"/>
    <w:rsid w:val="0078169D"/>
    <w:rsid w:val="0078509F"/>
    <w:rsid w:val="00785C8E"/>
    <w:rsid w:val="00787C6E"/>
    <w:rsid w:val="007905C9"/>
    <w:rsid w:val="0079081B"/>
    <w:rsid w:val="0079365D"/>
    <w:rsid w:val="00793ABD"/>
    <w:rsid w:val="0079406F"/>
    <w:rsid w:val="00794499"/>
    <w:rsid w:val="007970B9"/>
    <w:rsid w:val="007A006F"/>
    <w:rsid w:val="007A1E50"/>
    <w:rsid w:val="007B00FD"/>
    <w:rsid w:val="007B0207"/>
    <w:rsid w:val="007B1BDC"/>
    <w:rsid w:val="007B3E4F"/>
    <w:rsid w:val="007B4301"/>
    <w:rsid w:val="007B5987"/>
    <w:rsid w:val="007C04F8"/>
    <w:rsid w:val="007C31D0"/>
    <w:rsid w:val="007D0B82"/>
    <w:rsid w:val="007D5AA6"/>
    <w:rsid w:val="007D6E5C"/>
    <w:rsid w:val="007E2342"/>
    <w:rsid w:val="007E2AB9"/>
    <w:rsid w:val="007E4F69"/>
    <w:rsid w:val="007E5C9E"/>
    <w:rsid w:val="007E6456"/>
    <w:rsid w:val="007F3099"/>
    <w:rsid w:val="007F559A"/>
    <w:rsid w:val="007F685E"/>
    <w:rsid w:val="007F7492"/>
    <w:rsid w:val="00800D14"/>
    <w:rsid w:val="00802875"/>
    <w:rsid w:val="008050E9"/>
    <w:rsid w:val="00811A9D"/>
    <w:rsid w:val="00812C07"/>
    <w:rsid w:val="00813691"/>
    <w:rsid w:val="00813979"/>
    <w:rsid w:val="00813B06"/>
    <w:rsid w:val="00815130"/>
    <w:rsid w:val="00815C96"/>
    <w:rsid w:val="00820A2B"/>
    <w:rsid w:val="008218F1"/>
    <w:rsid w:val="00822793"/>
    <w:rsid w:val="00822A12"/>
    <w:rsid w:val="008243C4"/>
    <w:rsid w:val="00831A3D"/>
    <w:rsid w:val="0083228C"/>
    <w:rsid w:val="008338E3"/>
    <w:rsid w:val="00834243"/>
    <w:rsid w:val="00835E7F"/>
    <w:rsid w:val="008361B4"/>
    <w:rsid w:val="00844B84"/>
    <w:rsid w:val="008452E4"/>
    <w:rsid w:val="008469D5"/>
    <w:rsid w:val="00847566"/>
    <w:rsid w:val="00847A86"/>
    <w:rsid w:val="00855276"/>
    <w:rsid w:val="00855618"/>
    <w:rsid w:val="008576EA"/>
    <w:rsid w:val="0085773B"/>
    <w:rsid w:val="00857969"/>
    <w:rsid w:val="0086403A"/>
    <w:rsid w:val="00865A3C"/>
    <w:rsid w:val="0086677D"/>
    <w:rsid w:val="00866A1E"/>
    <w:rsid w:val="00867736"/>
    <w:rsid w:val="00870D5F"/>
    <w:rsid w:val="0087769C"/>
    <w:rsid w:val="00881186"/>
    <w:rsid w:val="00887089"/>
    <w:rsid w:val="0088772B"/>
    <w:rsid w:val="0089063F"/>
    <w:rsid w:val="0089070D"/>
    <w:rsid w:val="008A1187"/>
    <w:rsid w:val="008A1A25"/>
    <w:rsid w:val="008A350A"/>
    <w:rsid w:val="008A6DBD"/>
    <w:rsid w:val="008A700E"/>
    <w:rsid w:val="008B1216"/>
    <w:rsid w:val="008B1499"/>
    <w:rsid w:val="008B2B0C"/>
    <w:rsid w:val="008B3EF3"/>
    <w:rsid w:val="008B437C"/>
    <w:rsid w:val="008B59BF"/>
    <w:rsid w:val="008C10C5"/>
    <w:rsid w:val="008C2260"/>
    <w:rsid w:val="008C3C8A"/>
    <w:rsid w:val="008C53F6"/>
    <w:rsid w:val="008C5E8C"/>
    <w:rsid w:val="008D1705"/>
    <w:rsid w:val="008D339F"/>
    <w:rsid w:val="008D3EBC"/>
    <w:rsid w:val="008D7F38"/>
    <w:rsid w:val="008E383B"/>
    <w:rsid w:val="008E5E62"/>
    <w:rsid w:val="008E6292"/>
    <w:rsid w:val="008F145C"/>
    <w:rsid w:val="008F4163"/>
    <w:rsid w:val="008F5F84"/>
    <w:rsid w:val="0090160F"/>
    <w:rsid w:val="00903139"/>
    <w:rsid w:val="0090708D"/>
    <w:rsid w:val="00910BD0"/>
    <w:rsid w:val="00915FA9"/>
    <w:rsid w:val="009226BF"/>
    <w:rsid w:val="00925AA5"/>
    <w:rsid w:val="0093166E"/>
    <w:rsid w:val="00931686"/>
    <w:rsid w:val="00934003"/>
    <w:rsid w:val="009347F7"/>
    <w:rsid w:val="00936B07"/>
    <w:rsid w:val="00937598"/>
    <w:rsid w:val="0094019D"/>
    <w:rsid w:val="00940966"/>
    <w:rsid w:val="00942C11"/>
    <w:rsid w:val="00944ECC"/>
    <w:rsid w:val="009516BD"/>
    <w:rsid w:val="00953EE2"/>
    <w:rsid w:val="00955093"/>
    <w:rsid w:val="00956BFE"/>
    <w:rsid w:val="00956E2F"/>
    <w:rsid w:val="00961051"/>
    <w:rsid w:val="009647F3"/>
    <w:rsid w:val="00965D31"/>
    <w:rsid w:val="009715B3"/>
    <w:rsid w:val="00971745"/>
    <w:rsid w:val="009724B2"/>
    <w:rsid w:val="00972703"/>
    <w:rsid w:val="0097270D"/>
    <w:rsid w:val="009732EC"/>
    <w:rsid w:val="009764BA"/>
    <w:rsid w:val="00977C99"/>
    <w:rsid w:val="009804DB"/>
    <w:rsid w:val="009805FE"/>
    <w:rsid w:val="0098201B"/>
    <w:rsid w:val="009821CE"/>
    <w:rsid w:val="00983CBC"/>
    <w:rsid w:val="00984746"/>
    <w:rsid w:val="009852CF"/>
    <w:rsid w:val="00986605"/>
    <w:rsid w:val="00993D9A"/>
    <w:rsid w:val="009A040A"/>
    <w:rsid w:val="009A2235"/>
    <w:rsid w:val="009A232A"/>
    <w:rsid w:val="009A2A1C"/>
    <w:rsid w:val="009A4EAB"/>
    <w:rsid w:val="009A658F"/>
    <w:rsid w:val="009A668A"/>
    <w:rsid w:val="009A7330"/>
    <w:rsid w:val="009A7B2F"/>
    <w:rsid w:val="009B1FD2"/>
    <w:rsid w:val="009B38FC"/>
    <w:rsid w:val="009B39F4"/>
    <w:rsid w:val="009B7376"/>
    <w:rsid w:val="009B781E"/>
    <w:rsid w:val="009B7EC0"/>
    <w:rsid w:val="009C269D"/>
    <w:rsid w:val="009C2A45"/>
    <w:rsid w:val="009C437A"/>
    <w:rsid w:val="009C5976"/>
    <w:rsid w:val="009D3A82"/>
    <w:rsid w:val="009D3CA5"/>
    <w:rsid w:val="009D45D3"/>
    <w:rsid w:val="009D6C76"/>
    <w:rsid w:val="009E000C"/>
    <w:rsid w:val="009E03D0"/>
    <w:rsid w:val="009E2A54"/>
    <w:rsid w:val="009E4239"/>
    <w:rsid w:val="009F381C"/>
    <w:rsid w:val="00A05B49"/>
    <w:rsid w:val="00A06981"/>
    <w:rsid w:val="00A10876"/>
    <w:rsid w:val="00A16E03"/>
    <w:rsid w:val="00A24280"/>
    <w:rsid w:val="00A2525A"/>
    <w:rsid w:val="00A260CD"/>
    <w:rsid w:val="00A26D0C"/>
    <w:rsid w:val="00A2724E"/>
    <w:rsid w:val="00A30879"/>
    <w:rsid w:val="00A33873"/>
    <w:rsid w:val="00A35AF2"/>
    <w:rsid w:val="00A36E06"/>
    <w:rsid w:val="00A3749B"/>
    <w:rsid w:val="00A42492"/>
    <w:rsid w:val="00A42811"/>
    <w:rsid w:val="00A45134"/>
    <w:rsid w:val="00A45D91"/>
    <w:rsid w:val="00A50577"/>
    <w:rsid w:val="00A5066C"/>
    <w:rsid w:val="00A55956"/>
    <w:rsid w:val="00A60899"/>
    <w:rsid w:val="00A615A9"/>
    <w:rsid w:val="00A622C3"/>
    <w:rsid w:val="00A62E42"/>
    <w:rsid w:val="00A637D9"/>
    <w:rsid w:val="00A64A71"/>
    <w:rsid w:val="00A6557F"/>
    <w:rsid w:val="00A672AF"/>
    <w:rsid w:val="00A72763"/>
    <w:rsid w:val="00A76C44"/>
    <w:rsid w:val="00A77882"/>
    <w:rsid w:val="00A8024F"/>
    <w:rsid w:val="00A8030A"/>
    <w:rsid w:val="00A816ED"/>
    <w:rsid w:val="00A855CA"/>
    <w:rsid w:val="00A857AA"/>
    <w:rsid w:val="00A868C0"/>
    <w:rsid w:val="00A95B58"/>
    <w:rsid w:val="00A97696"/>
    <w:rsid w:val="00AA091D"/>
    <w:rsid w:val="00AA0E0A"/>
    <w:rsid w:val="00AA26D2"/>
    <w:rsid w:val="00AA5B6E"/>
    <w:rsid w:val="00AA635A"/>
    <w:rsid w:val="00AB0E98"/>
    <w:rsid w:val="00AB26AF"/>
    <w:rsid w:val="00AB5DCF"/>
    <w:rsid w:val="00AC07F3"/>
    <w:rsid w:val="00AC35B2"/>
    <w:rsid w:val="00AC4BBC"/>
    <w:rsid w:val="00AC6A78"/>
    <w:rsid w:val="00AD0B5F"/>
    <w:rsid w:val="00AD0C38"/>
    <w:rsid w:val="00AD1B43"/>
    <w:rsid w:val="00AD20BF"/>
    <w:rsid w:val="00AD320D"/>
    <w:rsid w:val="00AD42D4"/>
    <w:rsid w:val="00AD4833"/>
    <w:rsid w:val="00AD4A72"/>
    <w:rsid w:val="00AD56FE"/>
    <w:rsid w:val="00AE2F90"/>
    <w:rsid w:val="00AE6EEA"/>
    <w:rsid w:val="00AE7380"/>
    <w:rsid w:val="00AF017F"/>
    <w:rsid w:val="00AF082B"/>
    <w:rsid w:val="00AF2768"/>
    <w:rsid w:val="00B0384C"/>
    <w:rsid w:val="00B04CE4"/>
    <w:rsid w:val="00B0529E"/>
    <w:rsid w:val="00B0607B"/>
    <w:rsid w:val="00B062A3"/>
    <w:rsid w:val="00B106F1"/>
    <w:rsid w:val="00B122DD"/>
    <w:rsid w:val="00B12526"/>
    <w:rsid w:val="00B14730"/>
    <w:rsid w:val="00B1478B"/>
    <w:rsid w:val="00B15F61"/>
    <w:rsid w:val="00B26539"/>
    <w:rsid w:val="00B3149D"/>
    <w:rsid w:val="00B4272B"/>
    <w:rsid w:val="00B4621E"/>
    <w:rsid w:val="00B46A50"/>
    <w:rsid w:val="00B51BDB"/>
    <w:rsid w:val="00B5565E"/>
    <w:rsid w:val="00B62D4B"/>
    <w:rsid w:val="00B64033"/>
    <w:rsid w:val="00B64E34"/>
    <w:rsid w:val="00B653EE"/>
    <w:rsid w:val="00B65C3B"/>
    <w:rsid w:val="00B66FA5"/>
    <w:rsid w:val="00B670BF"/>
    <w:rsid w:val="00B7323D"/>
    <w:rsid w:val="00B770FF"/>
    <w:rsid w:val="00B77C24"/>
    <w:rsid w:val="00B77EB7"/>
    <w:rsid w:val="00B803A4"/>
    <w:rsid w:val="00B82EF9"/>
    <w:rsid w:val="00B8342E"/>
    <w:rsid w:val="00B85F47"/>
    <w:rsid w:val="00B8627D"/>
    <w:rsid w:val="00B87922"/>
    <w:rsid w:val="00B87927"/>
    <w:rsid w:val="00B90551"/>
    <w:rsid w:val="00B9056B"/>
    <w:rsid w:val="00B916D2"/>
    <w:rsid w:val="00B92619"/>
    <w:rsid w:val="00B92F4A"/>
    <w:rsid w:val="00B95477"/>
    <w:rsid w:val="00B96462"/>
    <w:rsid w:val="00BA2A1A"/>
    <w:rsid w:val="00BA3AD7"/>
    <w:rsid w:val="00BB0A86"/>
    <w:rsid w:val="00BB178F"/>
    <w:rsid w:val="00BB75BE"/>
    <w:rsid w:val="00BC6A65"/>
    <w:rsid w:val="00BC79FC"/>
    <w:rsid w:val="00BD1CD5"/>
    <w:rsid w:val="00BD2D90"/>
    <w:rsid w:val="00BD3F87"/>
    <w:rsid w:val="00BD4070"/>
    <w:rsid w:val="00BD5650"/>
    <w:rsid w:val="00BD6A12"/>
    <w:rsid w:val="00BD703C"/>
    <w:rsid w:val="00BE356A"/>
    <w:rsid w:val="00BE590B"/>
    <w:rsid w:val="00BE642B"/>
    <w:rsid w:val="00BF2348"/>
    <w:rsid w:val="00BF3493"/>
    <w:rsid w:val="00BF6090"/>
    <w:rsid w:val="00BF634D"/>
    <w:rsid w:val="00BF706F"/>
    <w:rsid w:val="00C07952"/>
    <w:rsid w:val="00C11C1E"/>
    <w:rsid w:val="00C12482"/>
    <w:rsid w:val="00C12912"/>
    <w:rsid w:val="00C2205B"/>
    <w:rsid w:val="00C23EA8"/>
    <w:rsid w:val="00C2538F"/>
    <w:rsid w:val="00C273D3"/>
    <w:rsid w:val="00C30297"/>
    <w:rsid w:val="00C32CA8"/>
    <w:rsid w:val="00C32CAA"/>
    <w:rsid w:val="00C35B23"/>
    <w:rsid w:val="00C37026"/>
    <w:rsid w:val="00C43B88"/>
    <w:rsid w:val="00C47BCF"/>
    <w:rsid w:val="00C50F62"/>
    <w:rsid w:val="00C54723"/>
    <w:rsid w:val="00C547D4"/>
    <w:rsid w:val="00C54E4E"/>
    <w:rsid w:val="00C54E6E"/>
    <w:rsid w:val="00C55CF5"/>
    <w:rsid w:val="00C56E00"/>
    <w:rsid w:val="00C601FC"/>
    <w:rsid w:val="00C61A67"/>
    <w:rsid w:val="00C62A32"/>
    <w:rsid w:val="00C63E26"/>
    <w:rsid w:val="00C63F44"/>
    <w:rsid w:val="00C663AB"/>
    <w:rsid w:val="00C76AD4"/>
    <w:rsid w:val="00C7763B"/>
    <w:rsid w:val="00C80112"/>
    <w:rsid w:val="00C81CAE"/>
    <w:rsid w:val="00C82AEE"/>
    <w:rsid w:val="00C8399E"/>
    <w:rsid w:val="00C85314"/>
    <w:rsid w:val="00C85AD8"/>
    <w:rsid w:val="00C92905"/>
    <w:rsid w:val="00C94C8A"/>
    <w:rsid w:val="00CA46D6"/>
    <w:rsid w:val="00CA4BC0"/>
    <w:rsid w:val="00CB4C0E"/>
    <w:rsid w:val="00CB5BC2"/>
    <w:rsid w:val="00CB64D8"/>
    <w:rsid w:val="00CB79C1"/>
    <w:rsid w:val="00CC20D4"/>
    <w:rsid w:val="00CC4BFE"/>
    <w:rsid w:val="00CC559D"/>
    <w:rsid w:val="00CC6D50"/>
    <w:rsid w:val="00CD0183"/>
    <w:rsid w:val="00CD1307"/>
    <w:rsid w:val="00CD654B"/>
    <w:rsid w:val="00CD6BD4"/>
    <w:rsid w:val="00CD767D"/>
    <w:rsid w:val="00CE03E7"/>
    <w:rsid w:val="00CE1389"/>
    <w:rsid w:val="00CE21D0"/>
    <w:rsid w:val="00CE223E"/>
    <w:rsid w:val="00CE54FC"/>
    <w:rsid w:val="00CE5B0C"/>
    <w:rsid w:val="00CF2E12"/>
    <w:rsid w:val="00CF32C4"/>
    <w:rsid w:val="00CF4ED7"/>
    <w:rsid w:val="00CF7DAD"/>
    <w:rsid w:val="00D10DDD"/>
    <w:rsid w:val="00D11319"/>
    <w:rsid w:val="00D11C58"/>
    <w:rsid w:val="00D11F23"/>
    <w:rsid w:val="00D13A62"/>
    <w:rsid w:val="00D145F5"/>
    <w:rsid w:val="00D21B42"/>
    <w:rsid w:val="00D22A78"/>
    <w:rsid w:val="00D355F0"/>
    <w:rsid w:val="00D357A5"/>
    <w:rsid w:val="00D36B95"/>
    <w:rsid w:val="00D3746E"/>
    <w:rsid w:val="00D3766D"/>
    <w:rsid w:val="00D400DF"/>
    <w:rsid w:val="00D431E5"/>
    <w:rsid w:val="00D45AF8"/>
    <w:rsid w:val="00D45D79"/>
    <w:rsid w:val="00D47181"/>
    <w:rsid w:val="00D51C05"/>
    <w:rsid w:val="00D51F6B"/>
    <w:rsid w:val="00D52333"/>
    <w:rsid w:val="00D54316"/>
    <w:rsid w:val="00D546A7"/>
    <w:rsid w:val="00D600B4"/>
    <w:rsid w:val="00D60A36"/>
    <w:rsid w:val="00D60D67"/>
    <w:rsid w:val="00D629A1"/>
    <w:rsid w:val="00D63CB2"/>
    <w:rsid w:val="00D64627"/>
    <w:rsid w:val="00D71565"/>
    <w:rsid w:val="00D74165"/>
    <w:rsid w:val="00D75D38"/>
    <w:rsid w:val="00D77711"/>
    <w:rsid w:val="00D83BD9"/>
    <w:rsid w:val="00D90EA7"/>
    <w:rsid w:val="00D95FB9"/>
    <w:rsid w:val="00D978AB"/>
    <w:rsid w:val="00DA06BA"/>
    <w:rsid w:val="00DA0A65"/>
    <w:rsid w:val="00DA416D"/>
    <w:rsid w:val="00DA4555"/>
    <w:rsid w:val="00DA5C45"/>
    <w:rsid w:val="00DA686B"/>
    <w:rsid w:val="00DB03A1"/>
    <w:rsid w:val="00DB7F09"/>
    <w:rsid w:val="00DC00E8"/>
    <w:rsid w:val="00DC7C53"/>
    <w:rsid w:val="00DD1E71"/>
    <w:rsid w:val="00DD23BC"/>
    <w:rsid w:val="00DD3409"/>
    <w:rsid w:val="00DE0F89"/>
    <w:rsid w:val="00DE4546"/>
    <w:rsid w:val="00DE67A6"/>
    <w:rsid w:val="00DF0129"/>
    <w:rsid w:val="00DF20DA"/>
    <w:rsid w:val="00DF2734"/>
    <w:rsid w:val="00E0317D"/>
    <w:rsid w:val="00E0381C"/>
    <w:rsid w:val="00E042D0"/>
    <w:rsid w:val="00E0741A"/>
    <w:rsid w:val="00E10D39"/>
    <w:rsid w:val="00E1136B"/>
    <w:rsid w:val="00E16EE9"/>
    <w:rsid w:val="00E17063"/>
    <w:rsid w:val="00E20291"/>
    <w:rsid w:val="00E208C2"/>
    <w:rsid w:val="00E21F92"/>
    <w:rsid w:val="00E21F97"/>
    <w:rsid w:val="00E22D51"/>
    <w:rsid w:val="00E23414"/>
    <w:rsid w:val="00E24DF2"/>
    <w:rsid w:val="00E25CEE"/>
    <w:rsid w:val="00E275B5"/>
    <w:rsid w:val="00E32C12"/>
    <w:rsid w:val="00E32E63"/>
    <w:rsid w:val="00E348A3"/>
    <w:rsid w:val="00E34FE4"/>
    <w:rsid w:val="00E35FA1"/>
    <w:rsid w:val="00E42918"/>
    <w:rsid w:val="00E45C45"/>
    <w:rsid w:val="00E46F0D"/>
    <w:rsid w:val="00E50E7C"/>
    <w:rsid w:val="00E51545"/>
    <w:rsid w:val="00E53476"/>
    <w:rsid w:val="00E552DF"/>
    <w:rsid w:val="00E55326"/>
    <w:rsid w:val="00E60528"/>
    <w:rsid w:val="00E64482"/>
    <w:rsid w:val="00E65C53"/>
    <w:rsid w:val="00E663B3"/>
    <w:rsid w:val="00E70688"/>
    <w:rsid w:val="00E711D7"/>
    <w:rsid w:val="00E77A9B"/>
    <w:rsid w:val="00E81336"/>
    <w:rsid w:val="00E81700"/>
    <w:rsid w:val="00E879A5"/>
    <w:rsid w:val="00E902B0"/>
    <w:rsid w:val="00E902E8"/>
    <w:rsid w:val="00E92F9A"/>
    <w:rsid w:val="00E93C68"/>
    <w:rsid w:val="00EA2059"/>
    <w:rsid w:val="00EB030F"/>
    <w:rsid w:val="00EB1501"/>
    <w:rsid w:val="00EB223B"/>
    <w:rsid w:val="00EB4050"/>
    <w:rsid w:val="00EC23A5"/>
    <w:rsid w:val="00EC2549"/>
    <w:rsid w:val="00EC3C4A"/>
    <w:rsid w:val="00EC44A2"/>
    <w:rsid w:val="00EC6B16"/>
    <w:rsid w:val="00ED0284"/>
    <w:rsid w:val="00ED0E01"/>
    <w:rsid w:val="00ED0FEA"/>
    <w:rsid w:val="00ED68C5"/>
    <w:rsid w:val="00ED68DA"/>
    <w:rsid w:val="00EE44D5"/>
    <w:rsid w:val="00EE677F"/>
    <w:rsid w:val="00EE7476"/>
    <w:rsid w:val="00EE7AB7"/>
    <w:rsid w:val="00EE7F07"/>
    <w:rsid w:val="00EF2FBF"/>
    <w:rsid w:val="00EF4A00"/>
    <w:rsid w:val="00EF7C19"/>
    <w:rsid w:val="00F0082D"/>
    <w:rsid w:val="00F00FBE"/>
    <w:rsid w:val="00F021D1"/>
    <w:rsid w:val="00F058A9"/>
    <w:rsid w:val="00F058B1"/>
    <w:rsid w:val="00F06FD6"/>
    <w:rsid w:val="00F07C90"/>
    <w:rsid w:val="00F11D2C"/>
    <w:rsid w:val="00F123C2"/>
    <w:rsid w:val="00F12786"/>
    <w:rsid w:val="00F12A94"/>
    <w:rsid w:val="00F1481B"/>
    <w:rsid w:val="00F15AB9"/>
    <w:rsid w:val="00F15C8C"/>
    <w:rsid w:val="00F16B73"/>
    <w:rsid w:val="00F20469"/>
    <w:rsid w:val="00F26353"/>
    <w:rsid w:val="00F26AE1"/>
    <w:rsid w:val="00F27888"/>
    <w:rsid w:val="00F30135"/>
    <w:rsid w:val="00F31931"/>
    <w:rsid w:val="00F31ADB"/>
    <w:rsid w:val="00F34DAA"/>
    <w:rsid w:val="00F40043"/>
    <w:rsid w:val="00F421F9"/>
    <w:rsid w:val="00F46175"/>
    <w:rsid w:val="00F50C70"/>
    <w:rsid w:val="00F53B6F"/>
    <w:rsid w:val="00F550FA"/>
    <w:rsid w:val="00F567A0"/>
    <w:rsid w:val="00F56E9A"/>
    <w:rsid w:val="00F60EBE"/>
    <w:rsid w:val="00F6137E"/>
    <w:rsid w:val="00F63DF1"/>
    <w:rsid w:val="00F6444A"/>
    <w:rsid w:val="00F65A07"/>
    <w:rsid w:val="00F66B9F"/>
    <w:rsid w:val="00F70BFF"/>
    <w:rsid w:val="00F7153F"/>
    <w:rsid w:val="00F71A0E"/>
    <w:rsid w:val="00F81FDE"/>
    <w:rsid w:val="00F849F0"/>
    <w:rsid w:val="00F84BC6"/>
    <w:rsid w:val="00F86983"/>
    <w:rsid w:val="00F874FF"/>
    <w:rsid w:val="00F92279"/>
    <w:rsid w:val="00F92EF8"/>
    <w:rsid w:val="00F9339A"/>
    <w:rsid w:val="00F961AB"/>
    <w:rsid w:val="00F97BD2"/>
    <w:rsid w:val="00FA11BC"/>
    <w:rsid w:val="00FA2409"/>
    <w:rsid w:val="00FA31BB"/>
    <w:rsid w:val="00FA3CE7"/>
    <w:rsid w:val="00FA6DBD"/>
    <w:rsid w:val="00FB5A22"/>
    <w:rsid w:val="00FB64AA"/>
    <w:rsid w:val="00FB65D3"/>
    <w:rsid w:val="00FC15D6"/>
    <w:rsid w:val="00FC5A2F"/>
    <w:rsid w:val="00FC6ADA"/>
    <w:rsid w:val="00FC77F6"/>
    <w:rsid w:val="00FD179B"/>
    <w:rsid w:val="00FD3EDA"/>
    <w:rsid w:val="00FD604D"/>
    <w:rsid w:val="00FD6596"/>
    <w:rsid w:val="00FD75F1"/>
    <w:rsid w:val="00FD7C50"/>
    <w:rsid w:val="00FE41DF"/>
    <w:rsid w:val="00FE43BD"/>
    <w:rsid w:val="00FE440C"/>
    <w:rsid w:val="00FE4770"/>
    <w:rsid w:val="00FE662F"/>
    <w:rsid w:val="00FE706C"/>
    <w:rsid w:val="00FF20CC"/>
    <w:rsid w:val="00FF644E"/>
    <w:rsid w:val="00FF7AF7"/>
    <w:rsid w:val="00FF7EE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74358032"/>
  <w15:docId w15:val="{3206D991-C3E7-4C6A-967F-EF0CB6F31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b1,b + line,level 1,Body,Bullet + line"/>
    <w:basedOn w:val="Normal"/>
    <w:link w:val="BulletChar"/>
    <w:qFormat/>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qFormat/>
    <w:rsid w:val="000E0B74"/>
    <w:pPr>
      <w:numPr>
        <w:ilvl w:val="1"/>
        <w:numId w:val="1"/>
      </w:numPr>
      <w:spacing w:before="0"/>
      <w:ind w:left="568"/>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customStyle="1" w:styleId="SecurityClassificationHeader">
    <w:name w:val="Security Classification Header"/>
    <w:link w:val="SecurityClassificationHeaderChar"/>
    <w:rsid w:val="00CC4BFE"/>
    <w:pPr>
      <w:spacing w:before="240" w:after="60"/>
      <w:jc w:val="center"/>
    </w:pPr>
    <w:rPr>
      <w:rFonts w:ascii="Calibri" w:eastAsia="Times New Roman" w:hAnsi="Calibri" w:cs="Calibri"/>
      <w:b/>
      <w:caps/>
      <w:color w:val="002C47" w:themeColor="accent1"/>
      <w:sz w:val="24"/>
      <w:szCs w:val="20"/>
      <w:lang w:eastAsia="en-AU"/>
    </w:rPr>
  </w:style>
  <w:style w:type="character" w:customStyle="1" w:styleId="SecurityClassificationHeaderChar">
    <w:name w:val="Security Classification Header Char"/>
    <w:basedOn w:val="HeaderChar"/>
    <w:link w:val="SecurityClassificationHeader"/>
    <w:rsid w:val="00CC4BFE"/>
    <w:rPr>
      <w:rFonts w:ascii="Calibri" w:eastAsia="Times New Roman" w:hAnsi="Calibri" w:cs="Calibri"/>
      <w:b/>
      <w:caps/>
      <w:color w:val="002C47" w:themeColor="accent1"/>
      <w:sz w:val="24"/>
      <w:szCs w:val="20"/>
      <w:lang w:eastAsia="en-AU"/>
    </w:rPr>
  </w:style>
  <w:style w:type="paragraph" w:customStyle="1" w:styleId="SecurityClassificationFooter">
    <w:name w:val="Security Classification Footer"/>
    <w:link w:val="SecurityClassificationFooterChar"/>
    <w:rsid w:val="00CC4BFE"/>
    <w:pPr>
      <w:spacing w:before="60" w:after="240"/>
      <w:jc w:val="center"/>
    </w:pPr>
    <w:rPr>
      <w:rFonts w:ascii="Calibri" w:eastAsia="Times New Roman" w:hAnsi="Calibri" w:cs="Calibri"/>
      <w:b/>
      <w:caps/>
      <w:color w:val="002C47" w:themeColor="accent1"/>
      <w:sz w:val="24"/>
      <w:szCs w:val="20"/>
      <w:lang w:eastAsia="en-AU"/>
    </w:rPr>
  </w:style>
  <w:style w:type="character" w:customStyle="1" w:styleId="SecurityClassificationFooterChar">
    <w:name w:val="Security Classification Footer Char"/>
    <w:basedOn w:val="HeaderChar"/>
    <w:link w:val="SecurityClassificationFooter"/>
    <w:rsid w:val="00CC4BFE"/>
    <w:rPr>
      <w:rFonts w:ascii="Calibri" w:eastAsia="Times New Roman" w:hAnsi="Calibri" w:cs="Calibri"/>
      <w:b/>
      <w:caps/>
      <w:color w:val="002C47" w:themeColor="accent1"/>
      <w:sz w:val="24"/>
      <w:szCs w:val="20"/>
      <w:lang w:eastAsia="en-AU"/>
    </w:rPr>
  </w:style>
  <w:style w:type="paragraph" w:customStyle="1" w:styleId="DLMSecurityHeader">
    <w:name w:val="DLM Security Header"/>
    <w:link w:val="DLMSecurityHeaderChar"/>
    <w:rsid w:val="00CC4BFE"/>
    <w:pPr>
      <w:spacing w:before="60" w:after="240"/>
      <w:jc w:val="center"/>
    </w:pPr>
    <w:rPr>
      <w:rFonts w:ascii="Calibri" w:eastAsia="Times New Roman" w:hAnsi="Calibri" w:cs="Calibri"/>
      <w:b/>
      <w:caps/>
      <w:color w:val="002C47" w:themeColor="accent1"/>
      <w:sz w:val="24"/>
      <w:szCs w:val="20"/>
      <w:lang w:eastAsia="en-AU"/>
    </w:rPr>
  </w:style>
  <w:style w:type="character" w:customStyle="1" w:styleId="DLMSecurityHeaderChar">
    <w:name w:val="DLM Security Header Char"/>
    <w:basedOn w:val="HeaderChar"/>
    <w:link w:val="DLMSecurityHeader"/>
    <w:rsid w:val="00CC4BFE"/>
    <w:rPr>
      <w:rFonts w:ascii="Calibri" w:eastAsia="Times New Roman" w:hAnsi="Calibri" w:cs="Calibri"/>
      <w:b/>
      <w:caps/>
      <w:color w:val="002C47" w:themeColor="accent1"/>
      <w:sz w:val="24"/>
      <w:szCs w:val="20"/>
      <w:lang w:eastAsia="en-AU"/>
    </w:rPr>
  </w:style>
  <w:style w:type="paragraph" w:customStyle="1" w:styleId="DLMSecurityFooter">
    <w:name w:val="DLM Security Footer"/>
    <w:link w:val="DLMSecurityFooterChar"/>
    <w:rsid w:val="00CC4BFE"/>
    <w:pPr>
      <w:spacing w:before="240" w:after="60"/>
      <w:jc w:val="center"/>
    </w:pPr>
    <w:rPr>
      <w:rFonts w:ascii="Calibri" w:eastAsia="Times New Roman" w:hAnsi="Calibri" w:cs="Calibri"/>
      <w:b/>
      <w:caps/>
      <w:color w:val="002C47" w:themeColor="accent1"/>
      <w:sz w:val="24"/>
      <w:szCs w:val="20"/>
      <w:lang w:eastAsia="en-AU"/>
    </w:rPr>
  </w:style>
  <w:style w:type="character" w:customStyle="1" w:styleId="DLMSecurityFooterChar">
    <w:name w:val="DLM Security Footer Char"/>
    <w:basedOn w:val="HeaderChar"/>
    <w:link w:val="DLMSecurityFooter"/>
    <w:rsid w:val="00CC4BFE"/>
    <w:rPr>
      <w:rFonts w:ascii="Calibri" w:eastAsia="Times New Roman" w:hAnsi="Calibri" w:cs="Calibri"/>
      <w:b/>
      <w:caps/>
      <w:color w:val="002C47" w:themeColor="accent1"/>
      <w:sz w:val="24"/>
      <w:szCs w:val="20"/>
      <w:lang w:eastAsia="en-AU"/>
    </w:rPr>
  </w:style>
  <w:style w:type="character" w:styleId="CommentReference">
    <w:name w:val="annotation reference"/>
    <w:basedOn w:val="DefaultParagraphFont"/>
    <w:uiPriority w:val="99"/>
    <w:semiHidden/>
    <w:unhideWhenUsed/>
    <w:rsid w:val="00CC4BFE"/>
    <w:rPr>
      <w:sz w:val="16"/>
      <w:szCs w:val="16"/>
    </w:rPr>
  </w:style>
  <w:style w:type="paragraph" w:styleId="CommentText">
    <w:name w:val="annotation text"/>
    <w:basedOn w:val="Normal"/>
    <w:link w:val="CommentTextChar"/>
    <w:uiPriority w:val="99"/>
    <w:unhideWhenUsed/>
    <w:rsid w:val="00CC4BFE"/>
    <w:rPr>
      <w:sz w:val="20"/>
    </w:rPr>
  </w:style>
  <w:style w:type="character" w:customStyle="1" w:styleId="CommentTextChar">
    <w:name w:val="Comment Text Char"/>
    <w:basedOn w:val="DefaultParagraphFont"/>
    <w:link w:val="CommentText"/>
    <w:uiPriority w:val="99"/>
    <w:rsid w:val="00CC4BFE"/>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C4BFE"/>
    <w:rPr>
      <w:b/>
      <w:bCs/>
    </w:rPr>
  </w:style>
  <w:style w:type="character" w:customStyle="1" w:styleId="CommentSubjectChar">
    <w:name w:val="Comment Subject Char"/>
    <w:basedOn w:val="CommentTextChar"/>
    <w:link w:val="CommentSubject"/>
    <w:uiPriority w:val="99"/>
    <w:semiHidden/>
    <w:rsid w:val="00CC4BFE"/>
    <w:rPr>
      <w:rFonts w:ascii="Calibri" w:eastAsia="Times New Roman" w:hAnsi="Calibri" w:cs="Times New Roman"/>
      <w:b/>
      <w:bCs/>
      <w:sz w:val="20"/>
      <w:szCs w:val="20"/>
      <w:lang w:eastAsia="en-AU"/>
    </w:rPr>
  </w:style>
  <w:style w:type="character" w:customStyle="1" w:styleId="BulletChar">
    <w:name w:val="Bullet Char"/>
    <w:aliases w:val="b Char,b + line Char Char,b Char Char,b1 Char,b + line Char,Body Char,level 1 Char,Bullet + line Char,Bullets Char,L Char,List Paragraph Char,List Paragraph1 Char,List Paragraph11 Char,List Paragraph2 Char,Number Char,Recommendation Char"/>
    <w:basedOn w:val="DefaultParagraphFont"/>
    <w:link w:val="Bullet"/>
    <w:qFormat/>
    <w:rsid w:val="007575A6"/>
    <w:rPr>
      <w:rFonts w:ascii="Calibri" w:eastAsia="Times New Roman" w:hAnsi="Calibri" w:cs="Times New Roman"/>
      <w:szCs w:val="20"/>
      <w:lang w:eastAsia="en-AU"/>
    </w:rPr>
  </w:style>
  <w:style w:type="paragraph" w:styleId="Revision">
    <w:name w:val="Revision"/>
    <w:hidden/>
    <w:uiPriority w:val="99"/>
    <w:semiHidden/>
    <w:rsid w:val="00A855CA"/>
    <w:pPr>
      <w:spacing w:after="0" w:line="240" w:lineRule="auto"/>
    </w:pPr>
    <w:rPr>
      <w:rFonts w:ascii="Calibri" w:eastAsia="Times New Roman" w:hAnsi="Calibri" w:cs="Times New Roman"/>
      <w:szCs w:val="20"/>
      <w:lang w:eastAsia="en-AU"/>
    </w:rPr>
  </w:style>
  <w:style w:type="character" w:styleId="UnresolvedMention">
    <w:name w:val="Unresolved Mention"/>
    <w:basedOn w:val="DefaultParagraphFont"/>
    <w:uiPriority w:val="99"/>
    <w:semiHidden/>
    <w:unhideWhenUsed/>
    <w:rsid w:val="00F00FBE"/>
    <w:rPr>
      <w:color w:val="605E5C"/>
      <w:shd w:val="clear" w:color="auto" w:fill="E1DFDD"/>
    </w:rPr>
  </w:style>
  <w:style w:type="character" w:styleId="FollowedHyperlink">
    <w:name w:val="FollowedHyperlink"/>
    <w:basedOn w:val="DefaultParagraphFont"/>
    <w:uiPriority w:val="99"/>
    <w:semiHidden/>
    <w:unhideWhenUsed/>
    <w:rsid w:val="00965D31"/>
    <w:rPr>
      <w:color w:val="E61E26" w:themeColor="followedHyperlink"/>
      <w:u w:val="single"/>
    </w:rPr>
  </w:style>
  <w:style w:type="paragraph" w:styleId="ListParagraph">
    <w:name w:val="List Paragraph"/>
    <w:basedOn w:val="Normal"/>
    <w:uiPriority w:val="34"/>
    <w:qFormat/>
    <w:rsid w:val="002D62F0"/>
    <w:pPr>
      <w:ind w:left="720"/>
      <w:contextualSpacing/>
    </w:pPr>
  </w:style>
  <w:style w:type="character" w:styleId="Strong">
    <w:name w:val="Strong"/>
    <w:basedOn w:val="DefaultParagraphFont"/>
    <w:uiPriority w:val="22"/>
    <w:qFormat/>
    <w:rsid w:val="00C11C1E"/>
    <w:rPr>
      <w:b/>
      <w:bCs/>
    </w:rPr>
  </w:style>
  <w:style w:type="paragraph" w:styleId="BodyText">
    <w:name w:val="Body Text"/>
    <w:basedOn w:val="Normal"/>
    <w:link w:val="BodyTextChar"/>
    <w:semiHidden/>
    <w:unhideWhenUsed/>
    <w:qFormat/>
    <w:rsid w:val="00D11319"/>
    <w:pPr>
      <w:spacing w:before="0" w:line="240" w:lineRule="atLeast"/>
    </w:pPr>
    <w:rPr>
      <w:rFonts w:ascii="Arial" w:eastAsiaTheme="minorHAnsi" w:hAnsi="Arial" w:cstheme="minorBidi"/>
      <w:color w:val="000000"/>
      <w:sz w:val="21"/>
      <w:szCs w:val="21"/>
      <w:lang w:eastAsia="zh-CN"/>
    </w:rPr>
  </w:style>
  <w:style w:type="character" w:customStyle="1" w:styleId="BodyTextChar">
    <w:name w:val="Body Text Char"/>
    <w:basedOn w:val="DefaultParagraphFont"/>
    <w:link w:val="BodyText"/>
    <w:semiHidden/>
    <w:rsid w:val="00D11319"/>
    <w:rPr>
      <w:rFonts w:ascii="Arial" w:hAnsi="Arial"/>
      <w:color w:val="000000"/>
      <w:sz w:val="21"/>
      <w:szCs w:val="21"/>
      <w:lang w:eastAsia="zh-CN"/>
    </w:rPr>
  </w:style>
  <w:style w:type="table" w:styleId="GridTable2-Accent2">
    <w:name w:val="Grid Table 2 Accent 2"/>
    <w:basedOn w:val="TableNormal"/>
    <w:uiPriority w:val="47"/>
    <w:rsid w:val="00C56E00"/>
    <w:pPr>
      <w:spacing w:after="0" w:line="240" w:lineRule="auto"/>
    </w:pPr>
    <w:tblPr>
      <w:tblStyleRowBandSize w:val="1"/>
      <w:tblStyleColBandSize w:val="1"/>
      <w:tblBorders>
        <w:top w:val="single" w:sz="2" w:space="0" w:color="82A7D5" w:themeColor="accent2" w:themeTint="99"/>
        <w:bottom w:val="single" w:sz="2" w:space="0" w:color="82A7D5" w:themeColor="accent2" w:themeTint="99"/>
        <w:insideH w:val="single" w:sz="2" w:space="0" w:color="82A7D5" w:themeColor="accent2" w:themeTint="99"/>
        <w:insideV w:val="single" w:sz="2" w:space="0" w:color="82A7D5" w:themeColor="accent2" w:themeTint="99"/>
      </w:tblBorders>
    </w:tblPr>
    <w:tblStylePr w:type="firstRow">
      <w:rPr>
        <w:b/>
        <w:bCs/>
      </w:rPr>
      <w:tblPr/>
      <w:tcPr>
        <w:tcBorders>
          <w:top w:val="nil"/>
          <w:bottom w:val="single" w:sz="12" w:space="0" w:color="82A7D5" w:themeColor="accent2" w:themeTint="99"/>
          <w:insideH w:val="nil"/>
          <w:insideV w:val="nil"/>
        </w:tcBorders>
        <w:shd w:val="clear" w:color="auto" w:fill="FFFFFF" w:themeFill="background1"/>
      </w:tcPr>
    </w:tblStylePr>
    <w:tblStylePr w:type="lastRow">
      <w:rPr>
        <w:b/>
        <w:bCs/>
      </w:rPr>
      <w:tblPr/>
      <w:tcPr>
        <w:tcBorders>
          <w:top w:val="double" w:sz="2" w:space="0" w:color="82A7D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table" w:styleId="GridTable4-Accent1">
    <w:name w:val="Grid Table 4 Accent 1"/>
    <w:basedOn w:val="TableNormal"/>
    <w:uiPriority w:val="49"/>
    <w:rsid w:val="00C56E00"/>
    <w:pPr>
      <w:spacing w:after="0" w:line="240" w:lineRule="auto"/>
    </w:pPr>
    <w:tblPr>
      <w:tblStyleRowBandSize w:val="1"/>
      <w:tblStyleColBandSize w:val="1"/>
      <w:tblBorders>
        <w:top w:val="single" w:sz="4" w:space="0" w:color="0098F6" w:themeColor="accent1" w:themeTint="99"/>
        <w:left w:val="single" w:sz="4" w:space="0" w:color="0098F6" w:themeColor="accent1" w:themeTint="99"/>
        <w:bottom w:val="single" w:sz="4" w:space="0" w:color="0098F6" w:themeColor="accent1" w:themeTint="99"/>
        <w:right w:val="single" w:sz="4" w:space="0" w:color="0098F6" w:themeColor="accent1" w:themeTint="99"/>
        <w:insideH w:val="single" w:sz="4" w:space="0" w:color="0098F6" w:themeColor="accent1" w:themeTint="99"/>
        <w:insideV w:val="single" w:sz="4" w:space="0" w:color="0098F6" w:themeColor="accent1" w:themeTint="99"/>
      </w:tblBorders>
    </w:tblPr>
    <w:tblStylePr w:type="firstRow">
      <w:rPr>
        <w:b/>
        <w:bCs/>
        <w:color w:val="FFFFFF" w:themeColor="background1"/>
      </w:rPr>
      <w:tbl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cBorders>
        <w:shd w:val="clear" w:color="auto" w:fill="002C47" w:themeFill="accent1"/>
      </w:tcPr>
    </w:tblStylePr>
    <w:tblStylePr w:type="lastRow">
      <w:rPr>
        <w:b/>
        <w:bCs/>
      </w:rPr>
      <w:tblPr/>
      <w:tcPr>
        <w:tcBorders>
          <w:top w:val="double" w:sz="4" w:space="0" w:color="002C47" w:themeColor="accent1"/>
        </w:tcBorders>
      </w:tcPr>
    </w:tblStylePr>
    <w:tblStylePr w:type="firstCol">
      <w:rPr>
        <w:b/>
        <w:bCs/>
      </w:rPr>
    </w:tblStylePr>
    <w:tblStylePr w:type="lastCol">
      <w:rPr>
        <w:b/>
        <w:bCs/>
      </w:rPr>
    </w:tblStylePr>
    <w:tblStylePr w:type="band1Vert">
      <w:tblPr/>
      <w:tcPr>
        <w:shd w:val="clear" w:color="auto" w:fill="A7DDFF" w:themeFill="accent1" w:themeFillTint="33"/>
      </w:tcPr>
    </w:tblStylePr>
    <w:tblStylePr w:type="band1Horz">
      <w:tblPr/>
      <w:tcPr>
        <w:shd w:val="clear" w:color="auto" w:fill="A7DDFF" w:themeFill="accent1" w:themeFillTint="33"/>
      </w:tcPr>
    </w:tblStylePr>
  </w:style>
  <w:style w:type="table" w:styleId="ListTable4-Accent2">
    <w:name w:val="List Table 4 Accent 2"/>
    <w:basedOn w:val="TableNormal"/>
    <w:uiPriority w:val="49"/>
    <w:rsid w:val="00C56E00"/>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tcBorders>
        <w:shd w:val="clear" w:color="auto" w:fill="3A6FAF" w:themeFill="accent2"/>
      </w:tcPr>
    </w:tblStylePr>
    <w:tblStylePr w:type="lastRow">
      <w:rPr>
        <w:b/>
        <w:bCs/>
      </w:rPr>
      <w:tblPr/>
      <w:tcPr>
        <w:tcBorders>
          <w:top w:val="double" w:sz="4" w:space="0" w:color="82A7D5" w:themeColor="accent2" w:themeTint="99"/>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049823">
      <w:bodyDiv w:val="1"/>
      <w:marLeft w:val="0"/>
      <w:marRight w:val="0"/>
      <w:marTop w:val="0"/>
      <w:marBottom w:val="0"/>
      <w:divBdr>
        <w:top w:val="none" w:sz="0" w:space="0" w:color="auto"/>
        <w:left w:val="none" w:sz="0" w:space="0" w:color="auto"/>
        <w:bottom w:val="none" w:sz="0" w:space="0" w:color="auto"/>
        <w:right w:val="none" w:sz="0" w:space="0" w:color="auto"/>
      </w:divBdr>
    </w:div>
    <w:div w:id="407194930">
      <w:bodyDiv w:val="1"/>
      <w:marLeft w:val="0"/>
      <w:marRight w:val="0"/>
      <w:marTop w:val="0"/>
      <w:marBottom w:val="0"/>
      <w:divBdr>
        <w:top w:val="none" w:sz="0" w:space="0" w:color="auto"/>
        <w:left w:val="none" w:sz="0" w:space="0" w:color="auto"/>
        <w:bottom w:val="none" w:sz="0" w:space="0" w:color="auto"/>
        <w:right w:val="none" w:sz="0" w:space="0" w:color="auto"/>
      </w:divBdr>
    </w:div>
    <w:div w:id="617106273">
      <w:bodyDiv w:val="1"/>
      <w:marLeft w:val="0"/>
      <w:marRight w:val="0"/>
      <w:marTop w:val="0"/>
      <w:marBottom w:val="0"/>
      <w:divBdr>
        <w:top w:val="none" w:sz="0" w:space="0" w:color="auto"/>
        <w:left w:val="none" w:sz="0" w:space="0" w:color="auto"/>
        <w:bottom w:val="none" w:sz="0" w:space="0" w:color="auto"/>
        <w:right w:val="none" w:sz="0" w:space="0" w:color="auto"/>
      </w:divBdr>
    </w:div>
    <w:div w:id="757334772">
      <w:bodyDiv w:val="1"/>
      <w:marLeft w:val="0"/>
      <w:marRight w:val="0"/>
      <w:marTop w:val="0"/>
      <w:marBottom w:val="0"/>
      <w:divBdr>
        <w:top w:val="none" w:sz="0" w:space="0" w:color="auto"/>
        <w:left w:val="none" w:sz="0" w:space="0" w:color="auto"/>
        <w:bottom w:val="none" w:sz="0" w:space="0" w:color="auto"/>
        <w:right w:val="none" w:sz="0" w:space="0" w:color="auto"/>
      </w:divBdr>
    </w:div>
    <w:div w:id="1079015140">
      <w:bodyDiv w:val="1"/>
      <w:marLeft w:val="0"/>
      <w:marRight w:val="0"/>
      <w:marTop w:val="0"/>
      <w:marBottom w:val="0"/>
      <w:divBdr>
        <w:top w:val="none" w:sz="0" w:space="0" w:color="auto"/>
        <w:left w:val="none" w:sz="0" w:space="0" w:color="auto"/>
        <w:bottom w:val="none" w:sz="0" w:space="0" w:color="auto"/>
        <w:right w:val="none" w:sz="0" w:space="0" w:color="auto"/>
      </w:divBdr>
    </w:div>
    <w:div w:id="1217661252">
      <w:bodyDiv w:val="1"/>
      <w:marLeft w:val="0"/>
      <w:marRight w:val="0"/>
      <w:marTop w:val="0"/>
      <w:marBottom w:val="0"/>
      <w:divBdr>
        <w:top w:val="none" w:sz="0" w:space="0" w:color="auto"/>
        <w:left w:val="none" w:sz="0" w:space="0" w:color="auto"/>
        <w:bottom w:val="none" w:sz="0" w:space="0" w:color="auto"/>
        <w:right w:val="none" w:sz="0" w:space="0" w:color="auto"/>
      </w:divBdr>
    </w:div>
    <w:div w:id="1251355762">
      <w:bodyDiv w:val="1"/>
      <w:marLeft w:val="0"/>
      <w:marRight w:val="0"/>
      <w:marTop w:val="0"/>
      <w:marBottom w:val="0"/>
      <w:divBdr>
        <w:top w:val="none" w:sz="0" w:space="0" w:color="auto"/>
        <w:left w:val="none" w:sz="0" w:space="0" w:color="auto"/>
        <w:bottom w:val="none" w:sz="0" w:space="0" w:color="auto"/>
        <w:right w:val="none" w:sz="0" w:space="0" w:color="auto"/>
      </w:divBdr>
    </w:div>
    <w:div w:id="1321150673">
      <w:bodyDiv w:val="1"/>
      <w:marLeft w:val="0"/>
      <w:marRight w:val="0"/>
      <w:marTop w:val="0"/>
      <w:marBottom w:val="0"/>
      <w:divBdr>
        <w:top w:val="none" w:sz="0" w:space="0" w:color="auto"/>
        <w:left w:val="none" w:sz="0" w:space="0" w:color="auto"/>
        <w:bottom w:val="none" w:sz="0" w:space="0" w:color="auto"/>
        <w:right w:val="none" w:sz="0" w:space="0" w:color="auto"/>
      </w:divBdr>
    </w:div>
    <w:div w:id="1533881174">
      <w:bodyDiv w:val="1"/>
      <w:marLeft w:val="0"/>
      <w:marRight w:val="0"/>
      <w:marTop w:val="0"/>
      <w:marBottom w:val="0"/>
      <w:divBdr>
        <w:top w:val="none" w:sz="0" w:space="0" w:color="auto"/>
        <w:left w:val="none" w:sz="0" w:space="0" w:color="auto"/>
        <w:bottom w:val="none" w:sz="0" w:space="0" w:color="auto"/>
        <w:right w:val="none" w:sz="0" w:space="0" w:color="auto"/>
      </w:divBdr>
    </w:div>
    <w:div w:id="1937328037">
      <w:bodyDiv w:val="1"/>
      <w:marLeft w:val="0"/>
      <w:marRight w:val="0"/>
      <w:marTop w:val="0"/>
      <w:marBottom w:val="0"/>
      <w:divBdr>
        <w:top w:val="none" w:sz="0" w:space="0" w:color="auto"/>
        <w:left w:val="none" w:sz="0" w:space="0" w:color="auto"/>
        <w:bottom w:val="none" w:sz="0" w:space="0" w:color="auto"/>
        <w:right w:val="none" w:sz="0" w:space="0" w:color="auto"/>
      </w:divBdr>
    </w:div>
    <w:div w:id="2001351909">
      <w:bodyDiv w:val="1"/>
      <w:marLeft w:val="0"/>
      <w:marRight w:val="0"/>
      <w:marTop w:val="0"/>
      <w:marBottom w:val="0"/>
      <w:divBdr>
        <w:top w:val="none" w:sz="0" w:space="0" w:color="auto"/>
        <w:left w:val="none" w:sz="0" w:space="0" w:color="auto"/>
        <w:bottom w:val="none" w:sz="0" w:space="0" w:color="auto"/>
        <w:right w:val="none" w:sz="0" w:space="0" w:color="auto"/>
      </w:divBdr>
    </w:div>
    <w:div w:id="20792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hyperlink" Target="https://treasury.gov.au/publication/p1996-fsi-fr" TargetMode="External"/><Relationship Id="rId21" Type="http://schemas.openxmlformats.org/officeDocument/2006/relationships/image" Target="media/image2.wmf"/><Relationship Id="rId34" Type="http://schemas.openxmlformats.org/officeDocument/2006/relationships/hyperlink" Target="https://www.acma.gov.au/sites/default/files/2021-05/The%20digital%20lives%20of%20older%20Australians.pdf" TargetMode="External"/><Relationship Id="rId42" Type="http://schemas.openxmlformats.org/officeDocument/2006/relationships/hyperlink" Target="https://www.aph.gov.au/Parliamentary_Business/Committees/Joint/Corporations_and_Financial_Services/Completed_inquiries/2002-04/banking/report/index" TargetMode="External"/><Relationship Id="rId47" Type="http://schemas.openxmlformats.org/officeDocument/2006/relationships/hyperlink" Target="https://financialservices.royalcommission.gov.au/publications/Documents/fsrc-paper-18.pdf" TargetMode="External"/><Relationship Id="rId50" Type="http://schemas.openxmlformats.org/officeDocument/2006/relationships/footer" Target="footer5.xml"/><Relationship Id="rId55"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hyperlink" Target="https://www.acma.gov.au/publications/2021-05/report/communications-and-media-australia-how-we-use-internet" TargetMode="External"/><Relationship Id="rId38" Type="http://schemas.openxmlformats.org/officeDocument/2006/relationships/hyperlink" Target="https://www.rba.gov.au/publications/bulletin/2020/jun/cash-use-in-australia-results-from-the-2019-consumer-payments-survey.html" TargetMode="External"/><Relationship Id="rId46" Type="http://schemas.openxmlformats.org/officeDocument/2006/relationships/hyperlink" Target="https://treasury.gov.au/publication/p2019-fsrc-final-repor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reativecommons.org/licenses/by/3.0/au/legalcode" TargetMode="External"/><Relationship Id="rId29" Type="http://schemas.openxmlformats.org/officeDocument/2006/relationships/hyperlink" Target="https://www.ausbanking.org.au/wp-content/uploads/2021/03/2021-Code-A4-Booklet-with-COVID-19-Special-Note-Web.pdf" TargetMode="External"/><Relationship Id="rId41" Type="http://schemas.openxmlformats.org/officeDocument/2006/relationships/hyperlink" Target="https://www.aph.gov.au/Parliamentary_Business/Committees/House_of_Representatives_Committees?url=efpa/./rbs/rbsrep.ht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media@treasury.gov.au" TargetMode="External"/><Relationship Id="rId32" Type="http://schemas.openxmlformats.org/officeDocument/2006/relationships/hyperlink" Target="https://www.abs.gov.au/statistics/industry/retail-and-wholesale-trade/retail-trade-australia" TargetMode="External"/><Relationship Id="rId37" Type="http://schemas.openxmlformats.org/officeDocument/2006/relationships/hyperlink" Target="https://www.rba.gov.au/publications/bulletin/2021/jun/how-far-do-australians-need-to-travel-to-access-cash.html" TargetMode="External"/><Relationship Id="rId40" Type="http://schemas.openxmlformats.org/officeDocument/2006/relationships/hyperlink" Target="https://www.rba.gov.au/publications/bulletin/2021/mar/cash-demand-during-covid-19.html" TargetMode="External"/><Relationship Id="rId45" Type="http://schemas.openxmlformats.org/officeDocument/2006/relationships/hyperlink" Target="https://www.rbnz.govt.nz/notes-and-coins/future-of-money/news-and-resources" TargetMode="External"/><Relationship Id="rId53"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pmc.gov.au/government/commonwealth-coat-arm" TargetMode="External"/><Relationship Id="rId28" Type="http://schemas.openxmlformats.org/officeDocument/2006/relationships/image" Target="media/image3.emf"/><Relationship Id="rId36" Type="http://schemas.openxmlformats.org/officeDocument/2006/relationships/hyperlink" Target="https://www.rba.gov.au/publications/bulletin/2020/mar/consumer-payment-behaviour-in-australia.html" TargetMode="External"/><Relationship Id="rId49"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hyperlink" Target="http://creativecommons.org/licenses/by/3.0/au/deed.en" TargetMode="External"/><Relationship Id="rId31" Type="http://schemas.openxmlformats.org/officeDocument/2006/relationships/hyperlink" Target="https://www.ausbanking.org.au/wp-content/uploads/2015/10/ABA-Branch-Closure-Protocol.pdf" TargetMode="External"/><Relationship Id="rId44" Type="http://schemas.openxmlformats.org/officeDocument/2006/relationships/hyperlink" Target="https://www.rba.gov.au/statistics/tables/" TargetMode="Externa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creativecommons.org/licenses/by/3.0/au/deed.en" TargetMode="External"/><Relationship Id="rId27" Type="http://schemas.openxmlformats.org/officeDocument/2006/relationships/footer" Target="footer4.xml"/><Relationship Id="rId30" Type="http://schemas.openxmlformats.org/officeDocument/2006/relationships/hyperlink" Target="https://www.ausbanking.org.au/banking-customers-continue-shift-to-digital/" TargetMode="External"/><Relationship Id="rId35" Type="http://schemas.openxmlformats.org/officeDocument/2006/relationships/hyperlink" Target="https://www.apra.gov.au/authorised-deposit-taking-institutions-points-of-presence-statistics" TargetMode="External"/><Relationship Id="rId43" Type="http://schemas.openxmlformats.org/officeDocument/2006/relationships/hyperlink" Target="https://www.pc.gov.au/inquiries/completed/financial-system/report/financial-system.pdf" TargetMode="External"/><Relationship Id="rId48" Type="http://schemas.openxmlformats.org/officeDocument/2006/relationships/header" Target="header5.xm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footer" Target="footer6.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3714C487711457C8F1D36541ADF5F13"/>
        <w:category>
          <w:name w:val="General"/>
          <w:gallery w:val="placeholder"/>
        </w:category>
        <w:types>
          <w:type w:val="bbPlcHdr"/>
        </w:types>
        <w:behaviors>
          <w:behavior w:val="content"/>
        </w:behaviors>
        <w:guid w:val="{F6438C1C-A4EE-4328-96FF-7BE6AAE76518}"/>
      </w:docPartPr>
      <w:docPartBody>
        <w:p w:rsidR="00D00E96" w:rsidRDefault="00D00E96">
          <w:pPr>
            <w:pStyle w:val="B3714C487711457C8F1D36541ADF5F13"/>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96"/>
    <w:rsid w:val="0000168F"/>
    <w:rsid w:val="00065A35"/>
    <w:rsid w:val="000B4ADA"/>
    <w:rsid w:val="000B5A5F"/>
    <w:rsid w:val="001320F0"/>
    <w:rsid w:val="001B4ACD"/>
    <w:rsid w:val="00293628"/>
    <w:rsid w:val="00313C8E"/>
    <w:rsid w:val="003676B3"/>
    <w:rsid w:val="00417FE3"/>
    <w:rsid w:val="004D2876"/>
    <w:rsid w:val="005B0065"/>
    <w:rsid w:val="0063121D"/>
    <w:rsid w:val="006D061D"/>
    <w:rsid w:val="0077432A"/>
    <w:rsid w:val="008C4A52"/>
    <w:rsid w:val="008E34E1"/>
    <w:rsid w:val="00A16FC4"/>
    <w:rsid w:val="00AD6D34"/>
    <w:rsid w:val="00B367B4"/>
    <w:rsid w:val="00C05741"/>
    <w:rsid w:val="00C31B17"/>
    <w:rsid w:val="00C764BE"/>
    <w:rsid w:val="00D00E96"/>
    <w:rsid w:val="00DA5C46"/>
    <w:rsid w:val="00DF71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714C487711457C8F1D36541ADF5F13">
    <w:name w:val="B3714C487711457C8F1D36541ADF5F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7</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RA-9072 - Retain as national archives</TermName>
          <TermId xmlns="http://schemas.microsoft.com/office/infopath/2007/PartnerControls">d71911a4-1e32-4fc6-834f-26c4fc33e217</TermId>
        </TermInfo>
      </Terms>
    </lb508a4dc5e84436a0fe496b536466aa>
    <_dlc_DocId xmlns="0f563589-9cf9-4143-b1eb-fb0534803d38">2021MG-97-45178</_dlc_DocId>
    <_dlc_DocIdUrl xmlns="0f563589-9cf9-4143-b1eb-fb0534803d38">
      <Url>http://tweb/sites/mg/fsd/_layouts/15/DocIdRedir.aspx?ID=2021MG-97-45178</Url>
      <Description>2021MG-97-45178</Description>
    </_dlc_DocIdUrl>
  </documentManagement>
</p:properties>
</file>

<file path=customXml/item5.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6.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38BF9C984E708F4593163B93C0430418" ma:contentTypeVersion="42410" ma:contentTypeDescription=" " ma:contentTypeScope="" ma:versionID="2b688699be3e40901835492c80948e0d">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64d2b7a7f0f254174bd6f14f0aa298e3"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7;#TSY RA-9072 - Retain as national archives|d71911a4-1e32-4fc6-834f-26c4fc33e217"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8"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D94C8-BB9B-4EF7-81A1-B65B09E9FFBE}">
  <ds:schemaRefs>
    <ds:schemaRef ds:uri="http://schemas.microsoft.com/sharepoint/v3/contenttype/forms"/>
  </ds:schemaRefs>
</ds:datastoreItem>
</file>

<file path=customXml/itemProps2.xml><?xml version="1.0" encoding="utf-8"?>
<ds:datastoreItem xmlns:ds="http://schemas.openxmlformats.org/officeDocument/2006/customXml" ds:itemID="{1A42816D-44B9-4F23-ACC0-F57F7B142B61}">
  <ds:schemaRefs>
    <ds:schemaRef ds:uri="office.server.policy"/>
  </ds:schemaRefs>
</ds:datastoreItem>
</file>

<file path=customXml/itemProps3.xml><?xml version="1.0" encoding="utf-8"?>
<ds:datastoreItem xmlns:ds="http://schemas.openxmlformats.org/officeDocument/2006/customXml" ds:itemID="{1B252873-835A-4376-8C1F-EEFB3854A624}">
  <ds:schemaRefs>
    <ds:schemaRef ds:uri="http://schemas.microsoft.com/sharepoint/events"/>
  </ds:schemaRefs>
</ds:datastoreItem>
</file>

<file path=customXml/itemProps4.xml><?xml version="1.0" encoding="utf-8"?>
<ds:datastoreItem xmlns:ds="http://schemas.openxmlformats.org/officeDocument/2006/customXml" ds:itemID="{4B10EADB-1BF1-4A7E-8249-A114A59B678B}">
  <ds:schemaRefs>
    <ds:schemaRef ds:uri="http://purl.org/dc/terms/"/>
    <ds:schemaRef ds:uri="http://schemas.microsoft.com/sharepoint/v4"/>
    <ds:schemaRef ds:uri="http://schemas.microsoft.com/office/2006/documentManagement/types"/>
    <ds:schemaRef ds:uri="d4dd4adf-ddb3-46a3-8d7c-fab3fb2a6bc7"/>
    <ds:schemaRef ds:uri="http://schemas.microsoft.com/office/infopath/2007/PartnerControls"/>
    <ds:schemaRef ds:uri="http://purl.org/dc/elements/1.1/"/>
    <ds:schemaRef ds:uri="0f563589-9cf9-4143-b1eb-fb0534803d38"/>
    <ds:schemaRef ds:uri="http://schemas.microsoft.com/office/2006/metadata/propertie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F06C41A2-3ABB-47EA-A450-C7779BB0951D}">
  <ds:schemaRefs>
    <ds:schemaRef ds:uri="http://schemas.microsoft.com/sharepoint/events"/>
  </ds:schemaRefs>
</ds:datastoreItem>
</file>

<file path=customXml/itemProps6.xml><?xml version="1.0" encoding="utf-8"?>
<ds:datastoreItem xmlns:ds="http://schemas.openxmlformats.org/officeDocument/2006/customXml" ds:itemID="{62A28A07-524C-41A4-8271-03A94EBAB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21ED91B-ACDB-4927-A06A-D9E07BCEA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49</TotalTime>
  <Pages>17</Pages>
  <Words>5103</Words>
  <Characters>29725</Characters>
  <Application>Microsoft Office Word</Application>
  <DocSecurity>0</DocSecurity>
  <Lines>607</Lines>
  <Paragraphs>249</Paragraphs>
  <ScaleCrop>false</ScaleCrop>
  <HeadingPairs>
    <vt:vector size="2" baseType="variant">
      <vt:variant>
        <vt:lpstr>Title</vt:lpstr>
      </vt:variant>
      <vt:variant>
        <vt:i4>1</vt:i4>
      </vt:variant>
    </vt:vector>
  </HeadingPairs>
  <TitlesOfParts>
    <vt:vector size="1" baseType="lpstr">
      <vt:lpstr>Regional Banking Taskforce - Issues Paper</vt:lpstr>
    </vt:vector>
  </TitlesOfParts>
  <Company>Australian Government - The Treasury</Company>
  <LinksUpToDate>false</LinksUpToDate>
  <CharactersWithSpaces>34677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Banking Taskforce - Issues Paper</dc:title>
  <dc:subject/>
  <dc:creator>Treasury</dc:creator>
  <cp:keywords/>
  <dc:description/>
  <cp:lastModifiedBy>Hill, Christine</cp:lastModifiedBy>
  <cp:revision>12</cp:revision>
  <cp:lastPrinted>2021-11-17T22:06:00Z</cp:lastPrinted>
  <dcterms:created xsi:type="dcterms:W3CDTF">2021-11-17T22:05:00Z</dcterms:created>
  <dcterms:modified xsi:type="dcterms:W3CDTF">2021-11-17T23:49:00Z</dcterms:modified>
  <cp:category/>
</cp:coreProperties>
</file>