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8A132" w14:textId="1A9A60F3" w:rsidR="00F109D4" w:rsidRPr="00731FEA" w:rsidRDefault="00A52204" w:rsidP="00647BB7">
      <w:pPr>
        <w:pStyle w:val="Heading1"/>
        <w:spacing w:after="360"/>
        <w:rPr>
          <w:rFonts w:ascii="Times New Roman" w:hAnsi="Times New Roman"/>
          <w:sz w:val="24"/>
          <w:szCs w:val="24"/>
        </w:rPr>
      </w:pPr>
      <w:r>
        <w:rPr>
          <w:rFonts w:ascii="Times New Roman" w:hAnsi="Times New Roman"/>
          <w:sz w:val="24"/>
          <w:szCs w:val="24"/>
        </w:rPr>
        <w:t>DRAFT EXPLANATORY MATERIAL</w:t>
      </w:r>
    </w:p>
    <w:p w14:paraId="796B791B" w14:textId="4A4C842F" w:rsidR="00F109D4" w:rsidRDefault="00A40DB4" w:rsidP="003C7907">
      <w:pPr>
        <w:spacing w:before="240" w:after="240"/>
        <w:jc w:val="center"/>
        <w:rPr>
          <w:i/>
        </w:rPr>
      </w:pPr>
      <w:r>
        <w:rPr>
          <w:i/>
        </w:rPr>
        <w:t>Corporations Act 2001</w:t>
      </w:r>
    </w:p>
    <w:p w14:paraId="2B11F2C7" w14:textId="48AA4E88" w:rsidR="00F109D4" w:rsidRPr="00503E44" w:rsidRDefault="00A40DB4" w:rsidP="00AA1689">
      <w:pPr>
        <w:tabs>
          <w:tab w:val="left" w:pos="1418"/>
        </w:tabs>
        <w:spacing w:before="0" w:after="240"/>
        <w:jc w:val="center"/>
        <w:rPr>
          <w:i/>
        </w:rPr>
      </w:pPr>
      <w:r w:rsidRPr="00A40DB4">
        <w:rPr>
          <w:i/>
        </w:rPr>
        <w:t>Corporations (Relevant Providers—Education and Training Standards) Determination 2021</w:t>
      </w:r>
    </w:p>
    <w:p w14:paraId="7285B5BC" w14:textId="46EC5D89" w:rsidR="0028541B" w:rsidRDefault="00C55D29" w:rsidP="00647BB7">
      <w:pPr>
        <w:spacing w:before="240"/>
      </w:pPr>
      <w:r w:rsidRPr="00503E44">
        <w:t>S</w:t>
      </w:r>
      <w:r w:rsidR="00A40DB4">
        <w:t>ubs</w:t>
      </w:r>
      <w:r w:rsidRPr="00503E44">
        <w:t>ection</w:t>
      </w:r>
      <w:r w:rsidR="00A40DB4">
        <w:t xml:space="preserve">s 921B(6) and 921BB(1) of the </w:t>
      </w:r>
      <w:r w:rsidR="00A40DB4" w:rsidRPr="00A40DB4">
        <w:rPr>
          <w:i/>
          <w:iCs/>
        </w:rPr>
        <w:t>Corporations Act 2001</w:t>
      </w:r>
      <w:r w:rsidR="00A40DB4">
        <w:t xml:space="preserve"> </w:t>
      </w:r>
      <w:r w:rsidR="00F109D4" w:rsidRPr="00503E44">
        <w:t xml:space="preserve">(the Act) provide that the </w:t>
      </w:r>
      <w:r w:rsidR="00A40DB4">
        <w:t xml:space="preserve">Minister may, by legislative instrument, determine </w:t>
      </w:r>
      <w:r w:rsidR="004F18D9">
        <w:t xml:space="preserve">education and experience </w:t>
      </w:r>
      <w:r w:rsidR="00A40DB4">
        <w:t>requirements for</w:t>
      </w:r>
      <w:r w:rsidR="0028541B">
        <w:t>:</w:t>
      </w:r>
    </w:p>
    <w:p w14:paraId="32058342" w14:textId="77777777" w:rsidR="0028541B" w:rsidRDefault="0028541B" w:rsidP="0028541B">
      <w:pPr>
        <w:pStyle w:val="Dotpoint"/>
      </w:pPr>
      <w:r>
        <w:t>a person who is, or is to be a relevant provider; and</w:t>
      </w:r>
    </w:p>
    <w:p w14:paraId="107EE991" w14:textId="77777777" w:rsidR="0028541B" w:rsidRDefault="0028541B" w:rsidP="0028541B">
      <w:pPr>
        <w:pStyle w:val="Dotpoint"/>
      </w:pPr>
      <w:r>
        <w:t xml:space="preserve">a person who is, or is to provide, a tax (financial) advice service. </w:t>
      </w:r>
    </w:p>
    <w:p w14:paraId="645F434F" w14:textId="36624378" w:rsidR="001B3AA9" w:rsidRDefault="0028541B" w:rsidP="001B3AA9">
      <w:pPr>
        <w:spacing w:before="240"/>
      </w:pPr>
      <w:r>
        <w:t>The purpose of the</w:t>
      </w:r>
      <w:r w:rsidRPr="0028541B">
        <w:t xml:space="preserve"> </w:t>
      </w:r>
      <w:r w:rsidRPr="0028541B">
        <w:rPr>
          <w:i/>
          <w:iCs/>
        </w:rPr>
        <w:t>Corporations (Relevant Providers—Education and Training Standards) Determination 2021</w:t>
      </w:r>
      <w:r>
        <w:t xml:space="preserve"> (the Instrument) is to support the amendments in the </w:t>
      </w:r>
      <w:r w:rsidRPr="0028541B">
        <w:rPr>
          <w:i/>
          <w:iCs/>
        </w:rPr>
        <w:t>Financial Sector Reform (Hayne Royal Commission Response—Better Advice) Bill</w:t>
      </w:r>
      <w:r>
        <w:rPr>
          <w:i/>
          <w:iCs/>
        </w:rPr>
        <w:t> </w:t>
      </w:r>
      <w:r w:rsidRPr="0028541B">
        <w:rPr>
          <w:i/>
          <w:iCs/>
        </w:rPr>
        <w:t>2021</w:t>
      </w:r>
      <w:r>
        <w:t xml:space="preserve"> (the </w:t>
      </w:r>
      <w:r w:rsidR="00F61D0A">
        <w:t xml:space="preserve">Better Advice </w:t>
      </w:r>
      <w:r>
        <w:t xml:space="preserve">Bill). </w:t>
      </w:r>
    </w:p>
    <w:p w14:paraId="1A242049" w14:textId="3108407F" w:rsidR="00C703BA" w:rsidRDefault="0022284A" w:rsidP="001B3AA9">
      <w:pPr>
        <w:spacing w:before="240"/>
      </w:pPr>
      <w:r>
        <w:t xml:space="preserve">It does this by </w:t>
      </w:r>
      <w:r w:rsidR="001B3AA9">
        <w:t xml:space="preserve">putting in place </w:t>
      </w:r>
      <w:r>
        <w:t xml:space="preserve">principles </w:t>
      </w:r>
      <w:r w:rsidR="008578A0">
        <w:t xml:space="preserve">to </w:t>
      </w:r>
      <w:r>
        <w:t xml:space="preserve">guide </w:t>
      </w:r>
      <w:r w:rsidR="00193BD1">
        <w:t xml:space="preserve">the </w:t>
      </w:r>
      <w:r w:rsidR="008578A0">
        <w:t xml:space="preserve">administration of the financial adviser exam by the </w:t>
      </w:r>
      <w:r w:rsidR="00193BD1" w:rsidRPr="00193BD1">
        <w:t>Australian Securities and Investments Commission</w:t>
      </w:r>
      <w:r w:rsidR="00193BD1">
        <w:t xml:space="preserve"> (</w:t>
      </w:r>
      <w:r>
        <w:t>ASIC</w:t>
      </w:r>
      <w:r w:rsidR="00193BD1">
        <w:t>)</w:t>
      </w:r>
      <w:r>
        <w:t xml:space="preserve"> </w:t>
      </w:r>
      <w:r w:rsidR="00193BD1">
        <w:t xml:space="preserve">and </w:t>
      </w:r>
      <w:r w:rsidR="001B3AA9">
        <w:t>setting</w:t>
      </w:r>
      <w:r>
        <w:t xml:space="preserve"> </w:t>
      </w:r>
      <w:r w:rsidR="00A740FD">
        <w:t>e</w:t>
      </w:r>
      <w:r>
        <w:t xml:space="preserve">ducation and training standards </w:t>
      </w:r>
      <w:r w:rsidR="008578A0">
        <w:t>f</w:t>
      </w:r>
      <w:r>
        <w:t>or the provision of tax (financial) advice services</w:t>
      </w:r>
      <w:r w:rsidR="001B3AA9">
        <w:t xml:space="preserve"> by relevant providers</w:t>
      </w:r>
      <w:r w:rsidR="00193BD1">
        <w:t xml:space="preserve">. </w:t>
      </w:r>
    </w:p>
    <w:p w14:paraId="0809C3F2" w14:textId="77777777" w:rsidR="009E2300" w:rsidRDefault="009E2300" w:rsidP="009E2300">
      <w:pPr>
        <w:spacing w:before="240"/>
        <w:ind w:right="91"/>
      </w:pPr>
      <w:r>
        <w:t>Please note that for the purposes of this instrument the term ‘financial adviser’ is used instead of ‘relevant provider’.</w:t>
      </w:r>
    </w:p>
    <w:p w14:paraId="061549B0" w14:textId="3EF528FC" w:rsidR="00F41A28" w:rsidRDefault="00F41A28" w:rsidP="00F41A28">
      <w:pPr>
        <w:spacing w:before="240"/>
      </w:pPr>
      <w:r>
        <w:t xml:space="preserve">Details of the Instrument are set out in </w:t>
      </w:r>
      <w:r w:rsidRPr="00317816">
        <w:rPr>
          <w:u w:val="single"/>
        </w:rPr>
        <w:t>Attachment</w:t>
      </w:r>
      <w:r>
        <w:rPr>
          <w:u w:val="single"/>
        </w:rPr>
        <w:t xml:space="preserve"> A</w:t>
      </w:r>
      <w:r>
        <w:t>.</w:t>
      </w:r>
    </w:p>
    <w:p w14:paraId="79B8A107" w14:textId="4C35969C" w:rsidR="00F41A28" w:rsidRPr="00F41A28" w:rsidRDefault="00F41A28" w:rsidP="00F41A28">
      <w:pPr>
        <w:spacing w:before="240"/>
        <w:rPr>
          <w:i/>
          <w:iCs/>
        </w:rPr>
      </w:pPr>
      <w:r>
        <w:t>The</w:t>
      </w:r>
      <w:r w:rsidRPr="00D3322F">
        <w:t xml:space="preserve"> </w:t>
      </w:r>
      <w:r>
        <w:t>Instrument is</w:t>
      </w:r>
      <w:r w:rsidRPr="00D3322F">
        <w:t xml:space="preserve"> a legislative instrument for the purposes of the</w:t>
      </w:r>
      <w:r w:rsidR="00A52204">
        <w:t xml:space="preserve"> </w:t>
      </w:r>
      <w:r w:rsidR="00A52204" w:rsidRPr="00A52204">
        <w:rPr>
          <w:i/>
          <w:iCs/>
        </w:rPr>
        <w:t>L</w:t>
      </w:r>
      <w:r w:rsidRPr="00F41A28">
        <w:rPr>
          <w:i/>
          <w:iCs/>
        </w:rPr>
        <w:t>egislation</w:t>
      </w:r>
      <w:r w:rsidR="00A52204">
        <w:rPr>
          <w:i/>
          <w:iCs/>
        </w:rPr>
        <w:t xml:space="preserve"> </w:t>
      </w:r>
      <w:r w:rsidRPr="00F41A28">
        <w:rPr>
          <w:i/>
          <w:iCs/>
        </w:rPr>
        <w:t>Act 2003.</w:t>
      </w:r>
    </w:p>
    <w:p w14:paraId="3B067D4F" w14:textId="2264B173" w:rsidR="00F41A28" w:rsidRPr="00940B15" w:rsidRDefault="00F41A28" w:rsidP="00A52204">
      <w:pPr>
        <w:spacing w:before="240"/>
      </w:pPr>
      <w:r>
        <w:t xml:space="preserve">The Instrument </w:t>
      </w:r>
      <w:r w:rsidR="00940B15">
        <w:t>commences on the later of</w:t>
      </w:r>
      <w:r w:rsidR="00A52204">
        <w:t xml:space="preserve"> </w:t>
      </w:r>
      <w:r>
        <w:t xml:space="preserve">the day after the </w:t>
      </w:r>
      <w:r w:rsidR="00DF3141">
        <w:t xml:space="preserve">Instrument is </w:t>
      </w:r>
      <w:r>
        <w:t>registered</w:t>
      </w:r>
      <w:r w:rsidR="00DF3141">
        <w:t xml:space="preserve"> on </w:t>
      </w:r>
      <w:r w:rsidR="00A52204">
        <w:t>t</w:t>
      </w:r>
      <w:r w:rsidR="00DF3141">
        <w:t>he Federal Register of Legislation</w:t>
      </w:r>
      <w:r w:rsidR="00A52204">
        <w:t xml:space="preserve"> </w:t>
      </w:r>
      <w:r w:rsidR="00940B15">
        <w:t>and</w:t>
      </w:r>
      <w:r w:rsidR="00A52204">
        <w:t xml:space="preserve"> </w:t>
      </w:r>
      <w:r>
        <w:t xml:space="preserve">1 January 2022. </w:t>
      </w:r>
    </w:p>
    <w:p w14:paraId="07ECC0B7" w14:textId="5FC5E485" w:rsidR="00EA4DD8" w:rsidRDefault="00EA4DD8" w:rsidP="00EA4DD8">
      <w:pPr>
        <w:pageBreakBefore/>
        <w:spacing w:before="240"/>
        <w:jc w:val="right"/>
        <w:rPr>
          <w:b/>
          <w:u w:val="single"/>
        </w:rPr>
      </w:pPr>
      <w:r w:rsidRPr="007B335E">
        <w:rPr>
          <w:b/>
          <w:u w:val="single"/>
        </w:rPr>
        <w:lastRenderedPageBreak/>
        <w:t xml:space="preserve">ATTACHMENT </w:t>
      </w:r>
      <w:r w:rsidR="00597558">
        <w:rPr>
          <w:b/>
          <w:u w:val="single"/>
        </w:rPr>
        <w:t>A</w:t>
      </w:r>
    </w:p>
    <w:p w14:paraId="20A9D731" w14:textId="1F8DDCDA" w:rsidR="00EA4DD8" w:rsidRDefault="00EA4DD8" w:rsidP="00EA4DD8">
      <w:pPr>
        <w:spacing w:before="240"/>
        <w:ind w:right="91"/>
        <w:rPr>
          <w:b/>
          <w:bCs/>
          <w:szCs w:val="24"/>
          <w:u w:val="single"/>
        </w:rPr>
      </w:pPr>
      <w:r>
        <w:rPr>
          <w:b/>
          <w:bCs/>
          <w:u w:val="single"/>
        </w:rPr>
        <w:t xml:space="preserve">Details of the </w:t>
      </w:r>
      <w:r w:rsidR="00597558" w:rsidRPr="00597558">
        <w:rPr>
          <w:b/>
          <w:i/>
          <w:u w:val="single"/>
        </w:rPr>
        <w:t>Corporations (Relevant Providers—Education and Training Standards) Determination 2021</w:t>
      </w:r>
      <w:r>
        <w:rPr>
          <w:b/>
          <w:bCs/>
          <w:u w:val="single"/>
        </w:rPr>
        <w:t xml:space="preserve"> </w:t>
      </w:r>
    </w:p>
    <w:p w14:paraId="2EB13ACF" w14:textId="0E816426" w:rsidR="00EA4DD8" w:rsidRDefault="00EA4DD8" w:rsidP="00EA4DD8">
      <w:pPr>
        <w:spacing w:before="240"/>
        <w:rPr>
          <w:rFonts w:ascii="Calibri" w:hAnsi="Calibri"/>
          <w:sz w:val="22"/>
          <w:szCs w:val="22"/>
          <w:u w:val="single"/>
          <w:lang w:eastAsia="en-US"/>
        </w:rPr>
      </w:pPr>
      <w:r>
        <w:rPr>
          <w:u w:val="single"/>
        </w:rPr>
        <w:t>Section 1</w:t>
      </w:r>
      <w:r w:rsidR="00CE3BE2">
        <w:rPr>
          <w:u w:val="single"/>
        </w:rPr>
        <w:t>-1</w:t>
      </w:r>
      <w:r>
        <w:rPr>
          <w:u w:val="single"/>
        </w:rPr>
        <w:t xml:space="preserve"> – Name of the </w:t>
      </w:r>
      <w:r w:rsidR="001B3AA9">
        <w:rPr>
          <w:u w:val="single"/>
        </w:rPr>
        <w:t>Instrument</w:t>
      </w:r>
    </w:p>
    <w:p w14:paraId="6029E007" w14:textId="1A7DBB8D" w:rsidR="00EA4DD8" w:rsidRDefault="00EA4DD8" w:rsidP="00EA4DD8">
      <w:pPr>
        <w:spacing w:before="240"/>
      </w:pPr>
      <w:r>
        <w:t xml:space="preserve">This section provides that the name of the </w:t>
      </w:r>
      <w:r w:rsidR="00597558">
        <w:t xml:space="preserve">Instrument </w:t>
      </w:r>
      <w:r>
        <w:t xml:space="preserve">is the </w:t>
      </w:r>
      <w:r w:rsidR="00597558" w:rsidRPr="00597558">
        <w:rPr>
          <w:i/>
          <w:iCs/>
        </w:rPr>
        <w:t>Corporations (Relevant Providers—Education and Training Standards) Determination 2021</w:t>
      </w:r>
      <w:r w:rsidR="00597558">
        <w:t xml:space="preserve"> </w:t>
      </w:r>
      <w:r>
        <w:t>(the </w:t>
      </w:r>
      <w:r w:rsidR="00597558">
        <w:t>Instrument</w:t>
      </w:r>
      <w:r>
        <w:t>).</w:t>
      </w:r>
    </w:p>
    <w:p w14:paraId="41845BA9" w14:textId="63F25846" w:rsidR="00EA4DD8" w:rsidRDefault="00EA4DD8" w:rsidP="00EA4DD8">
      <w:pPr>
        <w:spacing w:before="240"/>
        <w:ind w:right="91"/>
        <w:rPr>
          <w:u w:val="single"/>
        </w:rPr>
      </w:pPr>
      <w:r>
        <w:rPr>
          <w:u w:val="single"/>
        </w:rPr>
        <w:t xml:space="preserve">Section </w:t>
      </w:r>
      <w:r w:rsidR="00CE3BE2">
        <w:rPr>
          <w:u w:val="single"/>
        </w:rPr>
        <w:t>1-</w:t>
      </w:r>
      <w:r>
        <w:rPr>
          <w:u w:val="single"/>
        </w:rPr>
        <w:t>2 – Commencement</w:t>
      </w:r>
    </w:p>
    <w:p w14:paraId="6C8EC5FA" w14:textId="77777777" w:rsidR="00DF3141" w:rsidRDefault="00DF3141" w:rsidP="00DF3141">
      <w:pPr>
        <w:spacing w:before="240"/>
      </w:pPr>
      <w:r>
        <w:t>The Instrument commences on the later of:</w:t>
      </w:r>
    </w:p>
    <w:p w14:paraId="3C4DFB96" w14:textId="5D081590" w:rsidR="00DF3141" w:rsidRDefault="00DF3141" w:rsidP="00DF3141">
      <w:pPr>
        <w:pStyle w:val="Dotpoint"/>
      </w:pPr>
      <w:r>
        <w:t>the day after the Instrument is registered on the Federal Register of Legislation; and</w:t>
      </w:r>
    </w:p>
    <w:p w14:paraId="16B97566" w14:textId="77777777" w:rsidR="00DF3141" w:rsidRPr="00940B15" w:rsidRDefault="00DF3141" w:rsidP="00DF3141">
      <w:pPr>
        <w:pStyle w:val="Dotpoint"/>
      </w:pPr>
      <w:r>
        <w:t xml:space="preserve">1 January 2022. </w:t>
      </w:r>
    </w:p>
    <w:p w14:paraId="31E1A2C5" w14:textId="0BC6A18A" w:rsidR="00EA4DD8" w:rsidRDefault="00EA4DD8" w:rsidP="00EA4DD8">
      <w:pPr>
        <w:spacing w:before="240"/>
        <w:ind w:right="91"/>
        <w:rPr>
          <w:u w:val="single"/>
        </w:rPr>
      </w:pPr>
      <w:r>
        <w:rPr>
          <w:u w:val="single"/>
        </w:rPr>
        <w:t xml:space="preserve">Section </w:t>
      </w:r>
      <w:r w:rsidR="00CE3BE2">
        <w:rPr>
          <w:u w:val="single"/>
        </w:rPr>
        <w:t>1-</w:t>
      </w:r>
      <w:r>
        <w:rPr>
          <w:u w:val="single"/>
        </w:rPr>
        <w:t>3 – Authority</w:t>
      </w:r>
    </w:p>
    <w:p w14:paraId="382E251A" w14:textId="410950B9" w:rsidR="00EA4DD8" w:rsidRDefault="00EA4DD8" w:rsidP="00A21FC4">
      <w:pPr>
        <w:spacing w:before="240"/>
        <w:ind w:right="91"/>
      </w:pPr>
      <w:r>
        <w:t>The</w:t>
      </w:r>
      <w:r w:rsidR="00A21FC4">
        <w:t xml:space="preserve"> Instrument is </w:t>
      </w:r>
      <w:r>
        <w:t xml:space="preserve">made under the </w:t>
      </w:r>
      <w:r w:rsidR="00A21FC4" w:rsidRPr="00A21FC4">
        <w:rPr>
          <w:i/>
          <w:iCs/>
        </w:rPr>
        <w:t>Corporations Act 2001</w:t>
      </w:r>
      <w:r w:rsidR="00A21FC4">
        <w:t xml:space="preserve"> (the Act).</w:t>
      </w:r>
    </w:p>
    <w:p w14:paraId="5D521F80" w14:textId="6CFA7E29" w:rsidR="00EA4DD8" w:rsidRDefault="00EA4DD8" w:rsidP="00EA4DD8">
      <w:pPr>
        <w:spacing w:before="240"/>
        <w:ind w:right="91"/>
        <w:rPr>
          <w:u w:val="single"/>
        </w:rPr>
      </w:pPr>
      <w:r>
        <w:rPr>
          <w:u w:val="single"/>
        </w:rPr>
        <w:t xml:space="preserve">Section </w:t>
      </w:r>
      <w:r w:rsidR="00CE3BE2">
        <w:rPr>
          <w:u w:val="single"/>
        </w:rPr>
        <w:t>1-</w:t>
      </w:r>
      <w:r>
        <w:rPr>
          <w:u w:val="single"/>
        </w:rPr>
        <w:t xml:space="preserve">4 – </w:t>
      </w:r>
      <w:r w:rsidR="00A21FC4">
        <w:rPr>
          <w:u w:val="single"/>
        </w:rPr>
        <w:t>Definitions</w:t>
      </w:r>
    </w:p>
    <w:p w14:paraId="087E90C6" w14:textId="0F6E0A22" w:rsidR="000C7306" w:rsidRDefault="000C7306" w:rsidP="00A56E34">
      <w:pPr>
        <w:spacing w:before="240"/>
        <w:ind w:right="91"/>
      </w:pPr>
      <w:r>
        <w:t xml:space="preserve">In accordance with paragraph 13(1)(b) of the </w:t>
      </w:r>
      <w:r w:rsidRPr="004B401D">
        <w:rPr>
          <w:i/>
          <w:iCs/>
        </w:rPr>
        <w:t>Legislation Act 2003</w:t>
      </w:r>
      <w:r>
        <w:t>, the following terms in the Instrument have the same meaning as in the Act, as in force from time to time:</w:t>
      </w:r>
    </w:p>
    <w:p w14:paraId="604D6A9A" w14:textId="77777777" w:rsidR="007457DA" w:rsidRDefault="007457DA" w:rsidP="007457DA">
      <w:pPr>
        <w:pStyle w:val="Dotpoint"/>
      </w:pPr>
      <w:bookmarkStart w:id="0" w:name="tempbookmark"/>
      <w:r w:rsidRPr="000C7306">
        <w:rPr>
          <w:i/>
          <w:iCs/>
        </w:rPr>
        <w:t>retail client</w:t>
      </w:r>
      <w:r>
        <w:t xml:space="preserve"> has the meaning given by sections 761G and 761GA of the Act; and</w:t>
      </w:r>
    </w:p>
    <w:p w14:paraId="6F433600" w14:textId="571678F6" w:rsidR="007457DA" w:rsidRDefault="007457DA" w:rsidP="007457DA">
      <w:pPr>
        <w:pStyle w:val="Dotpoint"/>
      </w:pPr>
      <w:r w:rsidRPr="000C7306">
        <w:rPr>
          <w:i/>
          <w:iCs/>
        </w:rPr>
        <w:t>financial product advice</w:t>
      </w:r>
      <w:r>
        <w:t xml:space="preserve"> has the meaning given by section 766B of the Act;</w:t>
      </w:r>
    </w:p>
    <w:p w14:paraId="3F398F08" w14:textId="4B78DB4A" w:rsidR="000C7306" w:rsidRDefault="000C7306" w:rsidP="000C7306">
      <w:pPr>
        <w:pStyle w:val="Dotpoint"/>
      </w:pPr>
      <w:r w:rsidRPr="000C7306">
        <w:rPr>
          <w:i/>
          <w:iCs/>
        </w:rPr>
        <w:t>Code of Ethics</w:t>
      </w:r>
      <w:r w:rsidR="007457DA" w:rsidRPr="001D5ED1">
        <w:t>,</w:t>
      </w:r>
      <w:r w:rsidR="007457DA">
        <w:rPr>
          <w:i/>
          <w:iCs/>
        </w:rPr>
        <w:t xml:space="preserve"> CPD year</w:t>
      </w:r>
      <w:r w:rsidR="007457DA" w:rsidRPr="001D5ED1">
        <w:t>,</w:t>
      </w:r>
      <w:r w:rsidR="007457DA">
        <w:rPr>
          <w:i/>
          <w:iCs/>
        </w:rPr>
        <w:t xml:space="preserve"> provision relevant provider</w:t>
      </w:r>
      <w:r w:rsidR="007457DA">
        <w:t xml:space="preserve">, </w:t>
      </w:r>
      <w:r w:rsidR="007457DA" w:rsidRPr="001D7344">
        <w:rPr>
          <w:i/>
          <w:iCs/>
        </w:rPr>
        <w:t>relevant provider</w:t>
      </w:r>
      <w:r w:rsidR="007457DA">
        <w:t xml:space="preserve"> and </w:t>
      </w:r>
      <w:r w:rsidR="007457DA" w:rsidRPr="007457DA">
        <w:rPr>
          <w:i/>
          <w:iCs/>
        </w:rPr>
        <w:t>tax (financial) adviser</w:t>
      </w:r>
      <w:r w:rsidR="007457DA">
        <w:t xml:space="preserve"> </w:t>
      </w:r>
      <w:r>
        <w:t>ha</w:t>
      </w:r>
      <w:r w:rsidR="007457DA">
        <w:t>ve</w:t>
      </w:r>
      <w:r>
        <w:t xml:space="preserve"> the meaning</w:t>
      </w:r>
      <w:r w:rsidR="007457DA">
        <w:t>s</w:t>
      </w:r>
      <w:r>
        <w:t xml:space="preserve"> given by section 910A of the Act;</w:t>
      </w:r>
    </w:p>
    <w:p w14:paraId="529213C3" w14:textId="4719482A" w:rsidR="000C7306" w:rsidRDefault="000C7306" w:rsidP="000C7306">
      <w:pPr>
        <w:pStyle w:val="Dotpoint"/>
      </w:pPr>
      <w:r w:rsidRPr="000C7306">
        <w:rPr>
          <w:i/>
          <w:iCs/>
        </w:rPr>
        <w:t>existing provider</w:t>
      </w:r>
      <w:r>
        <w:t xml:space="preserve"> has the meaning given by section 1546A of the Act;</w:t>
      </w:r>
    </w:p>
    <w:p w14:paraId="2FF250FF" w14:textId="422BDCCD" w:rsidR="007457DA" w:rsidRDefault="007457DA" w:rsidP="000C7306">
      <w:pPr>
        <w:pStyle w:val="Dotpoint"/>
      </w:pPr>
      <w:r>
        <w:rPr>
          <w:i/>
          <w:iCs/>
        </w:rPr>
        <w:t xml:space="preserve">taxation law </w:t>
      </w:r>
      <w:r w:rsidRPr="003B1C7A">
        <w:t>has the meaning given by the</w:t>
      </w:r>
      <w:r>
        <w:rPr>
          <w:i/>
          <w:iCs/>
        </w:rPr>
        <w:t xml:space="preserve"> Income Tax Assessment Act 1997;</w:t>
      </w:r>
    </w:p>
    <w:p w14:paraId="703DEF8E" w14:textId="77777777" w:rsidR="000C7306" w:rsidRPr="000C7306" w:rsidRDefault="000C7306" w:rsidP="000C7306">
      <w:pPr>
        <w:pStyle w:val="Dotpoint"/>
        <w:rPr>
          <w:b/>
          <w:kern w:val="28"/>
        </w:rPr>
      </w:pPr>
      <w:r w:rsidRPr="000C7306">
        <w:rPr>
          <w:i/>
          <w:iCs/>
        </w:rPr>
        <w:t>the Act</w:t>
      </w:r>
      <w:r>
        <w:t xml:space="preserve"> means the </w:t>
      </w:r>
      <w:r w:rsidRPr="000C7306">
        <w:rPr>
          <w:i/>
          <w:iCs/>
        </w:rPr>
        <w:t>Corporations Act 2001</w:t>
      </w:r>
      <w:r>
        <w:t>.</w:t>
      </w:r>
      <w:bookmarkEnd w:id="0"/>
    </w:p>
    <w:p w14:paraId="6EEF2E20" w14:textId="77777777" w:rsidR="000C7306" w:rsidRPr="00A62142" w:rsidRDefault="000C7306" w:rsidP="000C7306">
      <w:pPr>
        <w:spacing w:before="240"/>
        <w:ind w:right="91"/>
        <w:rPr>
          <w:b/>
          <w:bCs/>
        </w:rPr>
      </w:pPr>
      <w:r w:rsidRPr="00A62142">
        <w:rPr>
          <w:b/>
          <w:bCs/>
        </w:rPr>
        <w:t>Part 2 – Education and training standards for relevant providers</w:t>
      </w:r>
    </w:p>
    <w:p w14:paraId="0A7122EA" w14:textId="70183A39" w:rsidR="001B3AA9" w:rsidRDefault="001B3AA9" w:rsidP="001B3AA9">
      <w:pPr>
        <w:spacing w:before="240"/>
        <w:ind w:right="91"/>
      </w:pPr>
      <w:r>
        <w:t xml:space="preserve">The </w:t>
      </w:r>
      <w:r w:rsidRPr="0028541B">
        <w:rPr>
          <w:i/>
          <w:iCs/>
        </w:rPr>
        <w:t>Financial Sector Reform (Hayne Royal Commission Response—Better Advice) Bill</w:t>
      </w:r>
      <w:r>
        <w:rPr>
          <w:i/>
          <w:iCs/>
        </w:rPr>
        <w:t> </w:t>
      </w:r>
      <w:r w:rsidRPr="0028541B">
        <w:rPr>
          <w:i/>
          <w:iCs/>
        </w:rPr>
        <w:t>2021</w:t>
      </w:r>
      <w:r>
        <w:t xml:space="preserve"> (the </w:t>
      </w:r>
      <w:r w:rsidR="00F61D0A">
        <w:t xml:space="preserve">Better Advice </w:t>
      </w:r>
      <w:r>
        <w:t xml:space="preserve">Bill) transfers the functions of the Financial Adviser Standards and Ethics Authority (FASEA) to the Minister responsible for administering the Act, with ASIC responsible for administering the financial adviser exam. </w:t>
      </w:r>
    </w:p>
    <w:p w14:paraId="33820FE5" w14:textId="6906E255" w:rsidR="00E72C65" w:rsidRDefault="00E72C65" w:rsidP="00A56E34">
      <w:pPr>
        <w:spacing w:before="240"/>
        <w:ind w:right="91"/>
      </w:pPr>
      <w:r>
        <w:t>Division</w:t>
      </w:r>
      <w:r w:rsidR="007E093B">
        <w:t>s</w:t>
      </w:r>
      <w:r>
        <w:t xml:space="preserve"> 1</w:t>
      </w:r>
      <w:r w:rsidR="007E093B">
        <w:t>, 3 and 4</w:t>
      </w:r>
      <w:r>
        <w:t xml:space="preserve"> of Part 2 of the Instrument </w:t>
      </w:r>
      <w:r w:rsidR="00787321">
        <w:t xml:space="preserve">provide </w:t>
      </w:r>
      <w:r>
        <w:t>that</w:t>
      </w:r>
      <w:r w:rsidR="00F36F2E">
        <w:t xml:space="preserve"> </w:t>
      </w:r>
      <w:r>
        <w:t>the</w:t>
      </w:r>
      <w:r w:rsidR="007E093B">
        <w:t xml:space="preserve"> current instruments  made by FASEA about approved degrees, work and training and continuing professional development (CPD) </w:t>
      </w:r>
      <w:r>
        <w:t>continue in force until</w:t>
      </w:r>
      <w:r w:rsidRPr="00E72C65">
        <w:t xml:space="preserve"> </w:t>
      </w:r>
      <w:r w:rsidR="007E093B">
        <w:t xml:space="preserve">they are </w:t>
      </w:r>
      <w:r w:rsidRPr="00E72C65">
        <w:t>repealed and remade by the Minister</w:t>
      </w:r>
      <w:r w:rsidR="00F85076">
        <w:t xml:space="preserve"> under </w:t>
      </w:r>
      <w:r w:rsidR="007E093B">
        <w:t xml:space="preserve">subsection </w:t>
      </w:r>
      <w:r w:rsidR="00F85076">
        <w:t>921B(6) of the Act.</w:t>
      </w:r>
    </w:p>
    <w:p w14:paraId="00807348" w14:textId="33B0A388" w:rsidR="000E2A31" w:rsidRDefault="000E2A31" w:rsidP="00D662A8">
      <w:pPr>
        <w:spacing w:before="240"/>
        <w:ind w:right="91"/>
      </w:pPr>
      <w:r w:rsidRPr="000E2A31">
        <w:lastRenderedPageBreak/>
        <w:t xml:space="preserve">However, the Instrument made by FASEA </w:t>
      </w:r>
      <w:r>
        <w:t xml:space="preserve">(the </w:t>
      </w:r>
      <w:r w:rsidRPr="00A56E34">
        <w:rPr>
          <w:i/>
          <w:iCs/>
        </w:rPr>
        <w:t>Corporations</w:t>
      </w:r>
      <w:r>
        <w:rPr>
          <w:i/>
          <w:iCs/>
        </w:rPr>
        <w:t> </w:t>
      </w:r>
      <w:r w:rsidRPr="00A56E34">
        <w:rPr>
          <w:i/>
          <w:iCs/>
        </w:rPr>
        <w:t>(Relevant Providers Exams Standard) Determination 2019</w:t>
      </w:r>
      <w:r>
        <w:t xml:space="preserve"> (FASEA Determination)), </w:t>
      </w:r>
      <w:r w:rsidRPr="000E2A31">
        <w:t xml:space="preserve">which sets out the standard for the financial adviser exam cannot rely on this ‘savings’ provision. The FASEA Determination was made under a power that required FASEA to approve an exam. The </w:t>
      </w:r>
      <w:r w:rsidR="00F61D0A">
        <w:t xml:space="preserve">Better Advice </w:t>
      </w:r>
      <w:r w:rsidRPr="000E2A31">
        <w:t xml:space="preserve">Bill clarifies that the Minister’s power is intended to be used to approve the principles underpinning the exam, rather than to approve each exam and all </w:t>
      </w:r>
      <w:r>
        <w:t xml:space="preserve">of the </w:t>
      </w:r>
      <w:r w:rsidRPr="000E2A31">
        <w:t>exam questions.</w:t>
      </w:r>
    </w:p>
    <w:p w14:paraId="1B2F4599" w14:textId="0DE6DE1C" w:rsidR="003D002A" w:rsidRDefault="006440EB" w:rsidP="003D002A">
      <w:pPr>
        <w:spacing w:before="240"/>
        <w:ind w:right="91"/>
      </w:pPr>
      <w:r>
        <w:t>As a result of</w:t>
      </w:r>
      <w:r w:rsidR="00A740FD">
        <w:t xml:space="preserve"> th</w:t>
      </w:r>
      <w:r w:rsidR="009E2300">
        <w:t>e</w:t>
      </w:r>
      <w:r w:rsidR="00A740FD">
        <w:t xml:space="preserve"> </w:t>
      </w:r>
      <w:r w:rsidR="00CA1951">
        <w:t xml:space="preserve">change to the description of the Minister’s power, </w:t>
      </w:r>
      <w:r>
        <w:t xml:space="preserve">Division 2 of Part </w:t>
      </w:r>
      <w:r w:rsidR="001532BD">
        <w:t xml:space="preserve">2 </w:t>
      </w:r>
      <w:r>
        <w:t xml:space="preserve">of the Instrument </w:t>
      </w:r>
      <w:r w:rsidR="0001075C">
        <w:t xml:space="preserve">replaces </w:t>
      </w:r>
      <w:r>
        <w:t xml:space="preserve">the FASEA </w:t>
      </w:r>
      <w:r w:rsidR="00CA1951">
        <w:t>Determination</w:t>
      </w:r>
      <w:r w:rsidR="00D662A8">
        <w:t xml:space="preserve">. </w:t>
      </w:r>
      <w:r w:rsidR="003D002A">
        <w:t xml:space="preserve">The Instrument has the same effect as the FASEA Determination to ensure continuity in the delivery and standard of the exam for financial advisers. </w:t>
      </w:r>
      <w:r w:rsidR="00353F81">
        <w:t xml:space="preserve">The only differences are that the </w:t>
      </w:r>
      <w:r w:rsidR="003D002A">
        <w:t xml:space="preserve">Instrument provides greater flexibility for financial advisers </w:t>
      </w:r>
      <w:r w:rsidR="00353F81">
        <w:t xml:space="preserve">by </w:t>
      </w:r>
      <w:r w:rsidR="003D002A">
        <w:t xml:space="preserve">removing the three-month waiting period to register to take the exam again and allowing alternate methods for taking the exam, including in person, virtually or through alternate arrangements. </w:t>
      </w:r>
      <w:r w:rsidR="000E2A31">
        <w:t>It is not the Government’s policy intent to change the knowledge which the exam tests.</w:t>
      </w:r>
    </w:p>
    <w:p w14:paraId="7769C2CD" w14:textId="127C9BCD" w:rsidR="003005D0" w:rsidRDefault="000E2A31" w:rsidP="008554A2">
      <w:pPr>
        <w:spacing w:before="240"/>
        <w:ind w:right="91"/>
      </w:pPr>
      <w:r>
        <w:t xml:space="preserve">Feedback is not being sought on the policy underpinning the </w:t>
      </w:r>
      <w:r w:rsidRPr="008554A2">
        <w:t xml:space="preserve">principles </w:t>
      </w:r>
      <w:r w:rsidR="00FD4CD9">
        <w:t xml:space="preserve">setting out the </w:t>
      </w:r>
      <w:r w:rsidR="00353F81">
        <w:t>financial adv</w:t>
      </w:r>
      <w:r w:rsidR="003005D0">
        <w:t>iser exam</w:t>
      </w:r>
      <w:r w:rsidR="00FD4CD9">
        <w:t xml:space="preserve"> standard</w:t>
      </w:r>
      <w:r w:rsidR="003D002A">
        <w:t xml:space="preserve">. </w:t>
      </w:r>
    </w:p>
    <w:tbl>
      <w:tblPr>
        <w:tblStyle w:val="TableGrid"/>
        <w:tblW w:w="5345" w:type="pct"/>
        <w:tblInd w:w="-572" w:type="dxa"/>
        <w:tblLook w:val="04A0" w:firstRow="1" w:lastRow="0" w:firstColumn="1" w:lastColumn="0" w:noHBand="0" w:noVBand="1"/>
      </w:tblPr>
      <w:tblGrid>
        <w:gridCol w:w="2269"/>
        <w:gridCol w:w="3969"/>
        <w:gridCol w:w="2630"/>
      </w:tblGrid>
      <w:tr w:rsidR="0060012C" w:rsidRPr="008B7797" w14:paraId="3CF0F624" w14:textId="77777777" w:rsidTr="002622D2">
        <w:trPr>
          <w:trHeight w:val="170"/>
          <w:tblHeader/>
        </w:trPr>
        <w:tc>
          <w:tcPr>
            <w:tcW w:w="1279" w:type="pct"/>
          </w:tcPr>
          <w:p w14:paraId="58081BA3" w14:textId="5AFDC427" w:rsidR="0060012C" w:rsidRPr="00A23D7C" w:rsidRDefault="0060012C" w:rsidP="008B7797">
            <w:pPr>
              <w:pStyle w:val="NoSpacing"/>
              <w:rPr>
                <w:b/>
                <w:bCs/>
              </w:rPr>
            </w:pPr>
            <w:r>
              <w:rPr>
                <w:b/>
                <w:bCs/>
              </w:rPr>
              <w:t>Principle</w:t>
            </w:r>
          </w:p>
        </w:tc>
        <w:tc>
          <w:tcPr>
            <w:tcW w:w="2238" w:type="pct"/>
          </w:tcPr>
          <w:p w14:paraId="4A192650" w14:textId="77777777" w:rsidR="0060012C" w:rsidRPr="008B7797" w:rsidRDefault="0060012C" w:rsidP="008B7797">
            <w:pPr>
              <w:pStyle w:val="NoSpacing"/>
              <w:rPr>
                <w:b/>
                <w:bCs/>
              </w:rPr>
            </w:pPr>
            <w:r w:rsidRPr="00E3423E">
              <w:rPr>
                <w:b/>
                <w:bCs/>
              </w:rPr>
              <w:t>Current FASEA Instrument</w:t>
            </w:r>
          </w:p>
        </w:tc>
        <w:tc>
          <w:tcPr>
            <w:tcW w:w="1483" w:type="pct"/>
          </w:tcPr>
          <w:p w14:paraId="41DFACB2" w14:textId="77777777" w:rsidR="0060012C" w:rsidRPr="008B7797" w:rsidRDefault="0060012C" w:rsidP="008B7797">
            <w:pPr>
              <w:pStyle w:val="NoSpacing"/>
              <w:rPr>
                <w:b/>
                <w:bCs/>
              </w:rPr>
            </w:pPr>
            <w:r w:rsidRPr="008B7797">
              <w:rPr>
                <w:b/>
                <w:bCs/>
              </w:rPr>
              <w:t>Revised Instrument</w:t>
            </w:r>
          </w:p>
        </w:tc>
      </w:tr>
      <w:tr w:rsidR="0060012C" w14:paraId="3664EAED" w14:textId="77777777" w:rsidTr="000F03A7">
        <w:trPr>
          <w:trHeight w:val="170"/>
        </w:trPr>
        <w:tc>
          <w:tcPr>
            <w:tcW w:w="1279" w:type="pct"/>
          </w:tcPr>
          <w:p w14:paraId="031F95E1" w14:textId="782DF6A3" w:rsidR="0060012C" w:rsidRDefault="0060012C" w:rsidP="008B7797">
            <w:pPr>
              <w:pStyle w:val="NoSpacing"/>
            </w:pPr>
            <w:r>
              <w:t>Principle 1 - Relevant knowledge and skills</w:t>
            </w:r>
          </w:p>
        </w:tc>
        <w:tc>
          <w:tcPr>
            <w:tcW w:w="2238" w:type="pct"/>
          </w:tcPr>
          <w:p w14:paraId="6DC58132" w14:textId="77777777" w:rsidR="0060012C" w:rsidRDefault="0060012C" w:rsidP="008B7797">
            <w:pPr>
              <w:pStyle w:val="NoSpacing"/>
            </w:pPr>
            <w:r>
              <w:t>The exam must cover the following:</w:t>
            </w:r>
          </w:p>
          <w:p w14:paraId="4CFA5EAA" w14:textId="77777777" w:rsidR="0060012C" w:rsidRDefault="0060012C" w:rsidP="0060012C">
            <w:pPr>
              <w:pStyle w:val="NoSpacing"/>
              <w:numPr>
                <w:ilvl w:val="0"/>
                <w:numId w:val="37"/>
              </w:numPr>
            </w:pPr>
            <w:r>
              <w:t>regulatory and legal obligations;</w:t>
            </w:r>
          </w:p>
          <w:p w14:paraId="3C0E8822" w14:textId="77777777" w:rsidR="0060012C" w:rsidRDefault="0060012C" w:rsidP="0060012C">
            <w:pPr>
              <w:pStyle w:val="NoSpacing"/>
              <w:numPr>
                <w:ilvl w:val="0"/>
                <w:numId w:val="37"/>
              </w:numPr>
            </w:pPr>
            <w:r>
              <w:t>ethical and professional reasoning and communication; and</w:t>
            </w:r>
          </w:p>
          <w:p w14:paraId="14895B2B" w14:textId="77777777" w:rsidR="0060012C" w:rsidRDefault="0060012C" w:rsidP="0060012C">
            <w:pPr>
              <w:pStyle w:val="NoSpacing"/>
              <w:numPr>
                <w:ilvl w:val="0"/>
                <w:numId w:val="37"/>
              </w:numPr>
            </w:pPr>
            <w:r>
              <w:t>financial advice construction.</w:t>
            </w:r>
          </w:p>
        </w:tc>
        <w:tc>
          <w:tcPr>
            <w:tcW w:w="1483" w:type="pct"/>
          </w:tcPr>
          <w:p w14:paraId="747B39CA" w14:textId="77777777" w:rsidR="0060012C" w:rsidRDefault="0060012C" w:rsidP="008B7797">
            <w:pPr>
              <w:pStyle w:val="NoSpacing"/>
            </w:pPr>
            <w:r>
              <w:t>No change</w:t>
            </w:r>
          </w:p>
        </w:tc>
      </w:tr>
      <w:tr w:rsidR="0060012C" w14:paraId="74A00984" w14:textId="77777777" w:rsidTr="000F03A7">
        <w:trPr>
          <w:trHeight w:val="170"/>
        </w:trPr>
        <w:tc>
          <w:tcPr>
            <w:tcW w:w="1279" w:type="pct"/>
          </w:tcPr>
          <w:p w14:paraId="58955958" w14:textId="4CD81F85" w:rsidR="0060012C" w:rsidRDefault="0060012C" w:rsidP="008B7797">
            <w:pPr>
              <w:pStyle w:val="NoSpacing"/>
            </w:pPr>
            <w:r>
              <w:t>Principle 2 -</w:t>
            </w:r>
            <w:r w:rsidR="000F03A7">
              <w:t xml:space="preserve"> </w:t>
            </w:r>
            <w:r>
              <w:t>Exam questions</w:t>
            </w:r>
          </w:p>
        </w:tc>
        <w:tc>
          <w:tcPr>
            <w:tcW w:w="2238" w:type="pct"/>
          </w:tcPr>
          <w:p w14:paraId="7491573D" w14:textId="77777777" w:rsidR="0060012C" w:rsidRDefault="0060012C" w:rsidP="008B7797">
            <w:pPr>
              <w:pStyle w:val="NoSpacing"/>
            </w:pPr>
            <w:r>
              <w:t xml:space="preserve">The exam </w:t>
            </w:r>
            <w:r w:rsidRPr="000E362F">
              <w:t>must include a minimum of 70 questions, made up of at least 64</w:t>
            </w:r>
            <w:r>
              <w:t> </w:t>
            </w:r>
            <w:r w:rsidRPr="000E362F">
              <w:t>multiple choice questions and at least six written response questions</w:t>
            </w:r>
            <w:r>
              <w:t xml:space="preserve">. </w:t>
            </w:r>
          </w:p>
        </w:tc>
        <w:tc>
          <w:tcPr>
            <w:tcW w:w="1483" w:type="pct"/>
          </w:tcPr>
          <w:p w14:paraId="06CCA9F0" w14:textId="77777777" w:rsidR="0060012C" w:rsidRDefault="0060012C" w:rsidP="008B7797">
            <w:pPr>
              <w:pStyle w:val="NoSpacing"/>
            </w:pPr>
            <w:r>
              <w:t xml:space="preserve">No change </w:t>
            </w:r>
          </w:p>
        </w:tc>
      </w:tr>
      <w:tr w:rsidR="0060012C" w14:paraId="5809823A" w14:textId="77777777" w:rsidTr="000F03A7">
        <w:trPr>
          <w:trHeight w:val="170"/>
        </w:trPr>
        <w:tc>
          <w:tcPr>
            <w:tcW w:w="1279" w:type="pct"/>
          </w:tcPr>
          <w:p w14:paraId="3A9A0909" w14:textId="638FC591" w:rsidR="0060012C" w:rsidRDefault="0060012C" w:rsidP="008B7797">
            <w:pPr>
              <w:pStyle w:val="NoSpacing"/>
            </w:pPr>
            <w:r>
              <w:t>Principle 3 - Duration of exams</w:t>
            </w:r>
          </w:p>
        </w:tc>
        <w:tc>
          <w:tcPr>
            <w:tcW w:w="2238" w:type="pct"/>
          </w:tcPr>
          <w:p w14:paraId="42597051" w14:textId="77777777" w:rsidR="0060012C" w:rsidRDefault="0060012C" w:rsidP="008B7797">
            <w:pPr>
              <w:pStyle w:val="NoSpacing"/>
            </w:pPr>
            <w:r>
              <w:t>A</w:t>
            </w:r>
            <w:r w:rsidRPr="000E362F">
              <w:t xml:space="preserve"> person must have three and a half hours (210 minutes) to complete the exam</w:t>
            </w:r>
            <w:r>
              <w:t xml:space="preserve">, which includes at least </w:t>
            </w:r>
            <w:r w:rsidRPr="000E362F">
              <w:t>15 minutes reading time</w:t>
            </w:r>
            <w:r>
              <w:t xml:space="preserve">. </w:t>
            </w:r>
          </w:p>
        </w:tc>
        <w:tc>
          <w:tcPr>
            <w:tcW w:w="1483" w:type="pct"/>
          </w:tcPr>
          <w:p w14:paraId="7C36A94A" w14:textId="77777777" w:rsidR="0060012C" w:rsidRDefault="0060012C" w:rsidP="008B7797">
            <w:pPr>
              <w:pStyle w:val="NoSpacing"/>
            </w:pPr>
            <w:r>
              <w:t xml:space="preserve">No change </w:t>
            </w:r>
          </w:p>
        </w:tc>
      </w:tr>
      <w:tr w:rsidR="0060012C" w14:paraId="1190C31F" w14:textId="77777777" w:rsidTr="000F03A7">
        <w:trPr>
          <w:trHeight w:val="170"/>
        </w:trPr>
        <w:tc>
          <w:tcPr>
            <w:tcW w:w="1279" w:type="pct"/>
          </w:tcPr>
          <w:p w14:paraId="7FD5DF21" w14:textId="316590F0" w:rsidR="0060012C" w:rsidRDefault="0060012C" w:rsidP="008B7797">
            <w:pPr>
              <w:pStyle w:val="NoSpacing"/>
            </w:pPr>
            <w:r>
              <w:t>Principle 4 - Marking or scoring of exams</w:t>
            </w:r>
          </w:p>
        </w:tc>
        <w:tc>
          <w:tcPr>
            <w:tcW w:w="2238" w:type="pct"/>
          </w:tcPr>
          <w:p w14:paraId="4ADE030D" w14:textId="77777777" w:rsidR="0060012C" w:rsidRDefault="0060012C" w:rsidP="008B7797">
            <w:pPr>
              <w:pStyle w:val="NoSpacing"/>
            </w:pPr>
            <w:r w:rsidRPr="000E362F">
              <w:t>Persons with appropriate expertise</w:t>
            </w:r>
            <w:r>
              <w:t xml:space="preserve"> </w:t>
            </w:r>
            <w:r w:rsidRPr="000E362F">
              <w:t>are responsible for approving the exam questions and the maximum number of marks that may be awarded for each question</w:t>
            </w:r>
            <w:r>
              <w:t xml:space="preserve">, for inclusion in the exam. </w:t>
            </w:r>
          </w:p>
        </w:tc>
        <w:tc>
          <w:tcPr>
            <w:tcW w:w="1483" w:type="pct"/>
          </w:tcPr>
          <w:p w14:paraId="4227F28C" w14:textId="77777777" w:rsidR="0060012C" w:rsidRDefault="0060012C" w:rsidP="008B7797">
            <w:pPr>
              <w:pStyle w:val="NoSpacing"/>
            </w:pPr>
            <w:r>
              <w:t xml:space="preserve">No change </w:t>
            </w:r>
          </w:p>
        </w:tc>
      </w:tr>
      <w:tr w:rsidR="0060012C" w14:paraId="332BA69B" w14:textId="77777777" w:rsidTr="000F03A7">
        <w:trPr>
          <w:trHeight w:val="170"/>
        </w:trPr>
        <w:tc>
          <w:tcPr>
            <w:tcW w:w="1279" w:type="pct"/>
          </w:tcPr>
          <w:p w14:paraId="799A4311" w14:textId="43F757B1" w:rsidR="0060012C" w:rsidRDefault="0060012C" w:rsidP="008B7797">
            <w:pPr>
              <w:pStyle w:val="NoSpacing"/>
            </w:pPr>
            <w:r>
              <w:t>Principle 5 - Eligibility to take the exam</w:t>
            </w:r>
          </w:p>
        </w:tc>
        <w:tc>
          <w:tcPr>
            <w:tcW w:w="2238" w:type="pct"/>
          </w:tcPr>
          <w:p w14:paraId="2E0BD5F8" w14:textId="190DAE9B" w:rsidR="0060012C" w:rsidRPr="000E362F" w:rsidRDefault="0060012C" w:rsidP="005069A2">
            <w:pPr>
              <w:pStyle w:val="NoSpacing"/>
            </w:pPr>
            <w:r>
              <w:t>A person can sit the exam if they are an existing provider or a provisional relevant provider (subject to meeting certain conditions)</w:t>
            </w:r>
            <w:r w:rsidR="005069A2">
              <w:t xml:space="preserve">, </w:t>
            </w:r>
            <w:r>
              <w:t>are registered to take the exam</w:t>
            </w:r>
            <w:r w:rsidR="005069A2">
              <w:t>,</w:t>
            </w:r>
            <w:r>
              <w:t xml:space="preserve"> and have paid the exam fee. A person must wait three months before attempting the exam again after failing. </w:t>
            </w:r>
          </w:p>
        </w:tc>
        <w:tc>
          <w:tcPr>
            <w:tcW w:w="1483" w:type="pct"/>
          </w:tcPr>
          <w:p w14:paraId="171C4910" w14:textId="1A3E05FD" w:rsidR="0060012C" w:rsidRDefault="0060012C" w:rsidP="008B7797">
            <w:pPr>
              <w:pStyle w:val="NoSpacing"/>
            </w:pPr>
            <w:r>
              <w:t>Removes</w:t>
            </w:r>
            <w:r w:rsidR="000F03A7">
              <w:t xml:space="preserve"> </w:t>
            </w:r>
            <w:r w:rsidRPr="00EC4F82">
              <w:t>the three</w:t>
            </w:r>
            <w:r>
              <w:noBreakHyphen/>
            </w:r>
            <w:r w:rsidRPr="00EC4F82">
              <w:t>month waiting period</w:t>
            </w:r>
            <w:r>
              <w:t xml:space="preserve"> before being able</w:t>
            </w:r>
            <w:r w:rsidRPr="00EC4F82">
              <w:t xml:space="preserve"> to </w:t>
            </w:r>
            <w:r>
              <w:t xml:space="preserve">register to </w:t>
            </w:r>
            <w:r w:rsidRPr="00EC4F82">
              <w:t>take the exam again</w:t>
            </w:r>
            <w:r>
              <w:t xml:space="preserve"> after failing. </w:t>
            </w:r>
          </w:p>
        </w:tc>
      </w:tr>
      <w:tr w:rsidR="0060012C" w14:paraId="319DB112" w14:textId="77777777" w:rsidTr="000F03A7">
        <w:trPr>
          <w:trHeight w:val="170"/>
        </w:trPr>
        <w:tc>
          <w:tcPr>
            <w:tcW w:w="1279" w:type="pct"/>
          </w:tcPr>
          <w:p w14:paraId="2CA36033" w14:textId="716B81C6" w:rsidR="0060012C" w:rsidRDefault="0060012C" w:rsidP="008B7797">
            <w:pPr>
              <w:pStyle w:val="NoSpacing"/>
            </w:pPr>
            <w:r>
              <w:t>Principle 5 - Method of taking the exam</w:t>
            </w:r>
          </w:p>
        </w:tc>
        <w:tc>
          <w:tcPr>
            <w:tcW w:w="2238" w:type="pct"/>
          </w:tcPr>
          <w:p w14:paraId="12AE60D8" w14:textId="77777777" w:rsidR="0060012C" w:rsidRDefault="0060012C" w:rsidP="008B7797">
            <w:pPr>
              <w:pStyle w:val="NoSpacing"/>
            </w:pPr>
            <w:r>
              <w:t xml:space="preserve">Candidates may apply to seek alternative arrangements to sit the </w:t>
            </w:r>
            <w:r>
              <w:lastRenderedPageBreak/>
              <w:t>exam if they are unable to travel to an exam location or live in a remote area.</w:t>
            </w:r>
          </w:p>
        </w:tc>
        <w:tc>
          <w:tcPr>
            <w:tcW w:w="1483" w:type="pct"/>
          </w:tcPr>
          <w:p w14:paraId="46C5E98D" w14:textId="2422E01C" w:rsidR="0060012C" w:rsidRDefault="0060012C" w:rsidP="008B7797">
            <w:pPr>
              <w:pStyle w:val="NoSpacing"/>
            </w:pPr>
            <w:r>
              <w:lastRenderedPageBreak/>
              <w:t xml:space="preserve">Provides more flexibility by </w:t>
            </w:r>
            <w:r w:rsidRPr="00345716">
              <w:t xml:space="preserve">allowing </w:t>
            </w:r>
            <w:r>
              <w:t xml:space="preserve">exams to be </w:t>
            </w:r>
            <w:r w:rsidR="000F03A7">
              <w:lastRenderedPageBreak/>
              <w:t xml:space="preserve">taken </w:t>
            </w:r>
            <w:r>
              <w:t xml:space="preserve">in person, virtually or through alternative arrangements. </w:t>
            </w:r>
          </w:p>
        </w:tc>
      </w:tr>
      <w:tr w:rsidR="0060012C" w14:paraId="78096485" w14:textId="77777777" w:rsidTr="000F03A7">
        <w:trPr>
          <w:trHeight w:val="170"/>
        </w:trPr>
        <w:tc>
          <w:tcPr>
            <w:tcW w:w="1279" w:type="pct"/>
          </w:tcPr>
          <w:p w14:paraId="099EDA22" w14:textId="3D4F6F1D" w:rsidR="0060012C" w:rsidRDefault="0060012C" w:rsidP="008B7797">
            <w:pPr>
              <w:pStyle w:val="NoSpacing"/>
            </w:pPr>
            <w:r>
              <w:lastRenderedPageBreak/>
              <w:t>Principle 5 - Consequences of misconduct</w:t>
            </w:r>
          </w:p>
        </w:tc>
        <w:tc>
          <w:tcPr>
            <w:tcW w:w="2238" w:type="pct"/>
          </w:tcPr>
          <w:p w14:paraId="2E22EE9E" w14:textId="77777777" w:rsidR="0060012C" w:rsidRDefault="0060012C" w:rsidP="008B7797">
            <w:pPr>
              <w:pStyle w:val="NoSpacing"/>
            </w:pPr>
            <w:r>
              <w:t xml:space="preserve">A person may be excluded from or fail an exam if they use non-permitted equipment or materials, engage in plagiarism or cheating, or not comply with a direction. </w:t>
            </w:r>
          </w:p>
        </w:tc>
        <w:tc>
          <w:tcPr>
            <w:tcW w:w="1483" w:type="pct"/>
          </w:tcPr>
          <w:p w14:paraId="0D28F9F2" w14:textId="77777777" w:rsidR="0060012C" w:rsidRDefault="0060012C" w:rsidP="008B7797">
            <w:pPr>
              <w:pStyle w:val="NoSpacing"/>
            </w:pPr>
            <w:r>
              <w:t>No change</w:t>
            </w:r>
          </w:p>
        </w:tc>
      </w:tr>
      <w:tr w:rsidR="0060012C" w14:paraId="3F701C7C" w14:textId="77777777" w:rsidTr="000F03A7">
        <w:trPr>
          <w:trHeight w:val="170"/>
        </w:trPr>
        <w:tc>
          <w:tcPr>
            <w:tcW w:w="1279" w:type="pct"/>
          </w:tcPr>
          <w:p w14:paraId="1B623795" w14:textId="0463D217" w:rsidR="0060012C" w:rsidRDefault="0060012C" w:rsidP="008B7797">
            <w:pPr>
              <w:pStyle w:val="NoSpacing"/>
            </w:pPr>
            <w:r>
              <w:t>Principle 5 - Exam results</w:t>
            </w:r>
          </w:p>
        </w:tc>
        <w:tc>
          <w:tcPr>
            <w:tcW w:w="2238" w:type="pct"/>
          </w:tcPr>
          <w:p w14:paraId="21FB0CF2" w14:textId="77777777" w:rsidR="0060012C" w:rsidRDefault="0060012C" w:rsidP="008B7797">
            <w:pPr>
              <w:pStyle w:val="NoSpacing"/>
            </w:pPr>
            <w:r w:rsidRPr="00671C4A">
              <w:t>A person will only be notified whether they have passed or failed the exam. Exams will be marked to an overall credit grade</w:t>
            </w:r>
            <w:r>
              <w:t xml:space="preserve">. A person may apply and pay a fee to have their written responses reviewed. </w:t>
            </w:r>
          </w:p>
        </w:tc>
        <w:tc>
          <w:tcPr>
            <w:tcW w:w="1483" w:type="pct"/>
          </w:tcPr>
          <w:p w14:paraId="372C7422" w14:textId="77777777" w:rsidR="0060012C" w:rsidRDefault="0060012C" w:rsidP="008B7797">
            <w:pPr>
              <w:pStyle w:val="NoSpacing"/>
            </w:pPr>
            <w:r>
              <w:t>No change</w:t>
            </w:r>
          </w:p>
        </w:tc>
      </w:tr>
      <w:tr w:rsidR="0060012C" w14:paraId="272ACEB3" w14:textId="77777777" w:rsidTr="000F03A7">
        <w:trPr>
          <w:trHeight w:val="170"/>
        </w:trPr>
        <w:tc>
          <w:tcPr>
            <w:tcW w:w="1279" w:type="pct"/>
          </w:tcPr>
          <w:p w14:paraId="4B019C9C" w14:textId="43A32AC1" w:rsidR="0060012C" w:rsidRDefault="0060012C" w:rsidP="008B7797">
            <w:pPr>
              <w:pStyle w:val="NoSpacing"/>
            </w:pPr>
            <w:r>
              <w:t>Principle 5 - Deferral of exams</w:t>
            </w:r>
          </w:p>
        </w:tc>
        <w:tc>
          <w:tcPr>
            <w:tcW w:w="2238" w:type="pct"/>
          </w:tcPr>
          <w:p w14:paraId="17E1E52A" w14:textId="77777777" w:rsidR="0060012C" w:rsidRPr="00671C4A" w:rsidRDefault="0060012C" w:rsidP="008B7797">
            <w:pPr>
              <w:pStyle w:val="NoSpacing"/>
            </w:pPr>
            <w:r>
              <w:t>Once registered for an exam, a</w:t>
            </w:r>
            <w:r w:rsidRPr="00B71D67">
              <w:t xml:space="preserve"> person may apply</w:t>
            </w:r>
            <w:r>
              <w:t xml:space="preserve"> </w:t>
            </w:r>
            <w:r w:rsidRPr="00B71D67">
              <w:t>to defer taking the exam</w:t>
            </w:r>
            <w:r>
              <w:t xml:space="preserve"> in exceptional circumstances such as for medical reasons, recent loss or bereavement, hardship or trauma etc. If a deferral application is granted, the person may take </w:t>
            </w:r>
            <w:r w:rsidRPr="00B71D67">
              <w:t>the exam at another date and time without having to pay another fee</w:t>
            </w:r>
            <w:r>
              <w:t xml:space="preserve">. </w:t>
            </w:r>
          </w:p>
        </w:tc>
        <w:tc>
          <w:tcPr>
            <w:tcW w:w="1483" w:type="pct"/>
          </w:tcPr>
          <w:p w14:paraId="50214397" w14:textId="77777777" w:rsidR="0060012C" w:rsidRDefault="0060012C" w:rsidP="008B7797">
            <w:pPr>
              <w:pStyle w:val="NoSpacing"/>
            </w:pPr>
            <w:r>
              <w:t>No change</w:t>
            </w:r>
          </w:p>
        </w:tc>
      </w:tr>
    </w:tbl>
    <w:p w14:paraId="16A730B6" w14:textId="77777777" w:rsidR="002D6A39" w:rsidRDefault="002D6A39" w:rsidP="00391121">
      <w:pPr>
        <w:pStyle w:val="Dotpoint"/>
        <w:keepNext/>
        <w:keepLines/>
        <w:numPr>
          <w:ilvl w:val="0"/>
          <w:numId w:val="0"/>
        </w:numPr>
        <w:rPr>
          <w:b/>
          <w:bCs/>
        </w:rPr>
      </w:pPr>
    </w:p>
    <w:p w14:paraId="6E178C1D" w14:textId="77777777" w:rsidR="002D6A39" w:rsidRDefault="002D6A39">
      <w:pPr>
        <w:spacing w:before="0" w:after="0"/>
        <w:rPr>
          <w:b/>
          <w:bCs/>
        </w:rPr>
      </w:pPr>
      <w:r>
        <w:rPr>
          <w:b/>
          <w:bCs/>
        </w:rPr>
        <w:br w:type="page"/>
      </w:r>
    </w:p>
    <w:p w14:paraId="39D5A640" w14:textId="2704615A" w:rsidR="000A67F4" w:rsidRPr="00162F0A" w:rsidRDefault="00C1231A" w:rsidP="00391121">
      <w:pPr>
        <w:pStyle w:val="Dotpoint"/>
        <w:keepNext/>
        <w:keepLines/>
        <w:numPr>
          <w:ilvl w:val="0"/>
          <w:numId w:val="0"/>
        </w:numPr>
        <w:rPr>
          <w:b/>
          <w:bCs/>
        </w:rPr>
      </w:pPr>
      <w:r w:rsidRPr="00162F0A">
        <w:rPr>
          <w:b/>
          <w:bCs/>
        </w:rPr>
        <w:lastRenderedPageBreak/>
        <w:t xml:space="preserve">Part 3 – Additional requirements for </w:t>
      </w:r>
      <w:r w:rsidR="00757BDB">
        <w:rPr>
          <w:b/>
          <w:bCs/>
        </w:rPr>
        <w:t>financial adviser</w:t>
      </w:r>
      <w:r w:rsidRPr="00162F0A">
        <w:rPr>
          <w:b/>
          <w:bCs/>
        </w:rPr>
        <w:t>s who provide tax (financial) advice services</w:t>
      </w:r>
    </w:p>
    <w:p w14:paraId="3E76C442" w14:textId="67183C51" w:rsidR="003B5444" w:rsidRDefault="00C1231A" w:rsidP="00391121">
      <w:pPr>
        <w:keepNext/>
        <w:keepLines/>
        <w:spacing w:after="0"/>
        <w:ind w:right="91"/>
      </w:pPr>
      <w:r>
        <w:t>Part 3 of the Instrument support</w:t>
      </w:r>
      <w:r w:rsidR="004B401D">
        <w:t>s</w:t>
      </w:r>
      <w:r>
        <w:t xml:space="preserve"> the </w:t>
      </w:r>
      <w:r w:rsidR="00F61D0A">
        <w:t xml:space="preserve">Better Advice </w:t>
      </w:r>
      <w:r>
        <w:t>Bill</w:t>
      </w:r>
      <w:r w:rsidR="0011142D">
        <w:t xml:space="preserve"> </w:t>
      </w:r>
      <w:r w:rsidR="00CA2644">
        <w:t xml:space="preserve">to </w:t>
      </w:r>
      <w:r>
        <w:t>implement recommendation 7.1 of the Independent Review of the TPB</w:t>
      </w:r>
      <w:r w:rsidR="004B401D">
        <w:t xml:space="preserve"> by </w:t>
      </w:r>
      <w:r w:rsidR="00CA2644">
        <w:t xml:space="preserve">setting </w:t>
      </w:r>
      <w:r w:rsidR="004B401D">
        <w:t>education and training requirements for the provision of tax (financial) advice services</w:t>
      </w:r>
      <w:r w:rsidR="009B71D0">
        <w:t xml:space="preserve"> by financial advisers</w:t>
      </w:r>
      <w:r w:rsidR="004F1B62">
        <w:t xml:space="preserve">. </w:t>
      </w:r>
    </w:p>
    <w:p w14:paraId="178A4D1E" w14:textId="086FA76D" w:rsidR="008C30C0" w:rsidRDefault="008C30C0" w:rsidP="00391121">
      <w:pPr>
        <w:keepNext/>
        <w:keepLines/>
        <w:spacing w:after="0"/>
        <w:ind w:right="91"/>
      </w:pPr>
      <w:r>
        <w:t>These requirements provide that financial advisers who provide tax (financial) advice services must complete commercial law and tax law courses. However, these requirements will not apply to:</w:t>
      </w:r>
    </w:p>
    <w:p w14:paraId="0EDB0742" w14:textId="2CCC836A" w:rsidR="008C30C0" w:rsidRDefault="00A87945" w:rsidP="008C30C0">
      <w:pPr>
        <w:pStyle w:val="Dotpoint"/>
      </w:pPr>
      <w:r>
        <w:t xml:space="preserve">from 1 January 2022 - </w:t>
      </w:r>
      <w:r w:rsidR="008C30C0">
        <w:t>financial advisers who were registered as tax (financial) advisers immediately before 1 January 2022</w:t>
      </w:r>
      <w:r>
        <w:t xml:space="preserve"> will never be required to comply with this requirement</w:t>
      </w:r>
      <w:r w:rsidR="008C30C0">
        <w:t>;</w:t>
      </w:r>
      <w:r w:rsidR="003B5444">
        <w:t xml:space="preserve"> or</w:t>
      </w:r>
    </w:p>
    <w:p w14:paraId="2271C2E4" w14:textId="172A0D86" w:rsidR="008C30C0" w:rsidRDefault="00A87945" w:rsidP="008C30C0">
      <w:pPr>
        <w:pStyle w:val="Dotpoint"/>
      </w:pPr>
      <w:r>
        <w:t xml:space="preserve">from the date the person’s registration as a tax (financial) adviser comes into force - </w:t>
      </w:r>
      <w:r w:rsidR="008C30C0">
        <w:t>financial advisers who applied to be registered as tax (financial) advisers before 1 January 2022 (and whose application is subsequently approved by the TPB on or after 1 January 2022)</w:t>
      </w:r>
      <w:r>
        <w:t xml:space="preserve"> will never be required to comply with this requirement</w:t>
      </w:r>
      <w:r w:rsidR="008C30C0">
        <w:t xml:space="preserve">; </w:t>
      </w:r>
    </w:p>
    <w:p w14:paraId="3EAF543D" w14:textId="0F545094" w:rsidR="00A87945" w:rsidRDefault="00A87945" w:rsidP="00A87945">
      <w:pPr>
        <w:pStyle w:val="Dotpoint"/>
        <w:tabs>
          <w:tab w:val="clear" w:pos="360"/>
        </w:tabs>
      </w:pPr>
      <w:r>
        <w:t xml:space="preserve">between 1 January 2022 and 31 December 2025 - </w:t>
      </w:r>
      <w:r w:rsidR="008C30C0">
        <w:t xml:space="preserve">existing providers </w:t>
      </w:r>
      <w:r w:rsidR="003B5444">
        <w:t xml:space="preserve">who are also financial advisers </w:t>
      </w:r>
      <w:r w:rsidR="00CB4AC1">
        <w:t xml:space="preserve">and </w:t>
      </w:r>
      <w:r w:rsidR="003B5444">
        <w:t>who are not captured by the other exemptions</w:t>
      </w:r>
      <w:r w:rsidR="004A6C47">
        <w:t xml:space="preserve"> will be granted a temporary exemption from this requirement.</w:t>
      </w:r>
    </w:p>
    <w:p w14:paraId="18BB21CF" w14:textId="62034BAB" w:rsidR="003B5444" w:rsidRDefault="003B5444" w:rsidP="003B5444">
      <w:pPr>
        <w:pStyle w:val="Dotpoint"/>
        <w:numPr>
          <w:ilvl w:val="0"/>
          <w:numId w:val="0"/>
        </w:numPr>
      </w:pPr>
      <w:r>
        <w:t>More details on these operation o</w:t>
      </w:r>
      <w:r w:rsidR="00326B3B">
        <w:t>f</w:t>
      </w:r>
      <w:r>
        <w:t xml:space="preserve"> these transitional provisions and exemptions is provided in the description of sections 3-170, 3-171 and 3-172 of the Instrument below. </w:t>
      </w:r>
    </w:p>
    <w:p w14:paraId="5D9DFA5C" w14:textId="18E72F79" w:rsidR="004F1B62" w:rsidRDefault="004F1B62" w:rsidP="008554A2">
      <w:pPr>
        <w:spacing w:after="0"/>
        <w:ind w:right="91"/>
      </w:pPr>
      <w:r>
        <w:t>From 1</w:t>
      </w:r>
      <w:r w:rsidR="004B401D">
        <w:t> </w:t>
      </w:r>
      <w:r>
        <w:t>January</w:t>
      </w:r>
      <w:r w:rsidR="004B401D">
        <w:t> </w:t>
      </w:r>
      <w:r>
        <w:t xml:space="preserve">2022, the </w:t>
      </w:r>
      <w:r w:rsidR="00F61D0A">
        <w:t xml:space="preserve">Better Advice </w:t>
      </w:r>
      <w:r>
        <w:t>Bill removes the requirement for financial advisers who provide tax (financial) advice services to be registered under the TAS Act</w:t>
      </w:r>
      <w:r w:rsidR="003B5444">
        <w:t xml:space="preserve">, and instead </w:t>
      </w:r>
      <w:r w:rsidR="00CA2644">
        <w:t>a person can only provide tax (financ</w:t>
      </w:r>
      <w:r>
        <w:t>ial) advice services (as defined in section 90-15 of the TAS Act) for a fee or reward, in the following circumstances:</w:t>
      </w:r>
    </w:p>
    <w:p w14:paraId="109A7677" w14:textId="77777777" w:rsidR="004F1B62" w:rsidRDefault="004F1B62" w:rsidP="004F1B62">
      <w:pPr>
        <w:pStyle w:val="Dotpoint"/>
      </w:pPr>
      <w:r>
        <w:t>the person providing the advice is either a registered tax agent or a qualified tax relevant provider;</w:t>
      </w:r>
    </w:p>
    <w:p w14:paraId="10BF5AF2" w14:textId="7F03DFAA" w:rsidR="004F1B62" w:rsidRDefault="004F1B62" w:rsidP="004F1B62">
      <w:pPr>
        <w:pStyle w:val="Dotpoint"/>
      </w:pPr>
      <w:r>
        <w:t xml:space="preserve">where a tax (financial) advice service is being provided on a person or entity’s behalf by another person – the person providing the advice is a registered tax agent or a qualified tax relevant provider; </w:t>
      </w:r>
      <w:r w:rsidR="000F22EB">
        <w:t>or</w:t>
      </w:r>
    </w:p>
    <w:p w14:paraId="1810B3BC" w14:textId="77777777" w:rsidR="004F1B62" w:rsidRDefault="004F1B62" w:rsidP="004F1B62">
      <w:pPr>
        <w:pStyle w:val="Dotpoint"/>
      </w:pPr>
      <w:r>
        <w:t>where a tax (financial) advice service is provided as a legal service – the person is not prohibited from providing that tax (financial) advice service.</w:t>
      </w:r>
    </w:p>
    <w:p w14:paraId="06CAA416" w14:textId="75B99615" w:rsidR="00C1231A" w:rsidRDefault="004F1B62" w:rsidP="00B929F3">
      <w:pPr>
        <w:pStyle w:val="Dotpoint"/>
        <w:numPr>
          <w:ilvl w:val="0"/>
          <w:numId w:val="0"/>
        </w:numPr>
      </w:pPr>
      <w:r w:rsidRPr="004F1B62">
        <w:t>Section 910A of the Act provides that a ‘qualified tax relevant provider’ is a financial adviser who has met each of the requirements in a determination made by the Minister for the provision of tax (financial) advice services under subsection 921BB(1) of the Act (if any).</w:t>
      </w:r>
    </w:p>
    <w:p w14:paraId="5DCE2C84" w14:textId="6BBFA7F3" w:rsidR="004F1B62" w:rsidRDefault="004F1B62" w:rsidP="004F1B62">
      <w:pPr>
        <w:pStyle w:val="Dotpoint"/>
        <w:numPr>
          <w:ilvl w:val="0"/>
          <w:numId w:val="0"/>
        </w:numPr>
      </w:pPr>
      <w:r>
        <w:t xml:space="preserve">Subsection 921BB(1) </w:t>
      </w:r>
      <w:r w:rsidR="00133E16">
        <w:t xml:space="preserve">of the Act </w:t>
      </w:r>
      <w:r>
        <w:t>provides that the Minister may, by legislative instrument, determine any or all of the following requirements for a person who provides, or is to provide, a tax (financial) advice service:</w:t>
      </w:r>
    </w:p>
    <w:p w14:paraId="03645717" w14:textId="2B569433" w:rsidR="004F1B62" w:rsidRDefault="004F1B62" w:rsidP="00D6246B">
      <w:pPr>
        <w:pStyle w:val="Dotpoint"/>
      </w:pPr>
      <w:r>
        <w:t>to complete one or more specified bachelor or higher degrees, qualifications, or courses;</w:t>
      </w:r>
    </w:p>
    <w:p w14:paraId="095AE02D" w14:textId="0F1B28FE" w:rsidR="004F1B62" w:rsidRDefault="004F1B62" w:rsidP="004F1B62">
      <w:pPr>
        <w:pStyle w:val="Dotpoint"/>
      </w:pPr>
      <w:r>
        <w:t xml:space="preserve">to undertake specified work and training; </w:t>
      </w:r>
      <w:r w:rsidR="00133E16">
        <w:t>and</w:t>
      </w:r>
    </w:p>
    <w:p w14:paraId="35B41487" w14:textId="6D247BDE" w:rsidR="004F1B62" w:rsidRDefault="004F1B62" w:rsidP="004F1B62">
      <w:pPr>
        <w:pStyle w:val="Dotpoint"/>
      </w:pPr>
      <w:r>
        <w:lastRenderedPageBreak/>
        <w:t xml:space="preserve">to complete </w:t>
      </w:r>
      <w:r w:rsidR="00471187">
        <w:t>CPD</w:t>
      </w:r>
      <w:r>
        <w:t xml:space="preserve"> during the CPD year of a financial services licensee.</w:t>
      </w:r>
    </w:p>
    <w:p w14:paraId="78A4B5FA" w14:textId="263384E2" w:rsidR="008567F5" w:rsidRDefault="008567F5" w:rsidP="00B929F3">
      <w:pPr>
        <w:pStyle w:val="Dotpoint"/>
        <w:numPr>
          <w:ilvl w:val="0"/>
          <w:numId w:val="0"/>
        </w:numPr>
      </w:pPr>
      <w:r>
        <w:t xml:space="preserve">Division 3 of Part 3 </w:t>
      </w:r>
      <w:r w:rsidR="00E27C55">
        <w:t>of the Instrument</w:t>
      </w:r>
      <w:r w:rsidR="00EB3BF4">
        <w:t>, which</w:t>
      </w:r>
      <w:r w:rsidR="00E27C55">
        <w:t xml:space="preserve"> </w:t>
      </w:r>
      <w:r w:rsidR="004B401D">
        <w:t xml:space="preserve">is </w:t>
      </w:r>
      <w:r w:rsidR="00EB3BF4">
        <w:t xml:space="preserve">made under paragraph 921BB(1)(c) of the Act, </w:t>
      </w:r>
      <w:r>
        <w:t>set</w:t>
      </w:r>
      <w:r w:rsidR="004B401D">
        <w:t>s</w:t>
      </w:r>
      <w:r>
        <w:t xml:space="preserve"> out the requirements to complete specified courses</w:t>
      </w:r>
      <w:r w:rsidR="00EB3BF4">
        <w:t>.</w:t>
      </w:r>
    </w:p>
    <w:p w14:paraId="6C0825C3" w14:textId="51020B63" w:rsidR="006C1317" w:rsidRDefault="006C1317" w:rsidP="00B929F3">
      <w:pPr>
        <w:pStyle w:val="Dotpoint"/>
        <w:numPr>
          <w:ilvl w:val="0"/>
          <w:numId w:val="0"/>
        </w:numPr>
      </w:pPr>
      <w:r>
        <w:t>Division 5 of Part 3 of the Instrument</w:t>
      </w:r>
      <w:r w:rsidR="00EB3BF4">
        <w:t xml:space="preserve">, which </w:t>
      </w:r>
      <w:r w:rsidR="004B401D">
        <w:t>is</w:t>
      </w:r>
      <w:r w:rsidR="00EB3BF4">
        <w:t xml:space="preserve"> made under paragraph 921BB(1)(e) of the Act,</w:t>
      </w:r>
      <w:r>
        <w:t xml:space="preserve"> set</w:t>
      </w:r>
      <w:r w:rsidR="004B401D">
        <w:t>s</w:t>
      </w:r>
      <w:r>
        <w:t xml:space="preserve"> out the </w:t>
      </w:r>
      <w:r w:rsidR="00471187">
        <w:t>CPD</w:t>
      </w:r>
      <w:r>
        <w:t xml:space="preserve"> requirements for persons who provide, or are to provide, tax (financial) advice services</w:t>
      </w:r>
      <w:r w:rsidR="00EB3BF4">
        <w:t>.</w:t>
      </w:r>
    </w:p>
    <w:p w14:paraId="53E404AC" w14:textId="4D68B2F8" w:rsidR="00EB3BF4" w:rsidRDefault="00EB3BF4" w:rsidP="00B929F3">
      <w:pPr>
        <w:pStyle w:val="Dotpoint"/>
        <w:numPr>
          <w:ilvl w:val="0"/>
          <w:numId w:val="0"/>
        </w:numPr>
      </w:pPr>
      <w:r>
        <w:t>Division 6 of Part 3 of the Instrument specifies transitional provisions for the application of the</w:t>
      </w:r>
      <w:r w:rsidR="00723CEE">
        <w:t xml:space="preserve"> education and training</w:t>
      </w:r>
      <w:r>
        <w:t xml:space="preserve"> requirements </w:t>
      </w:r>
      <w:r w:rsidR="00723CEE">
        <w:t xml:space="preserve">for the provision of tax (financial) advisers </w:t>
      </w:r>
      <w:r>
        <w:t>in Divisions 3 and 5 of Part 3 of the Instrument.</w:t>
      </w:r>
      <w:r w:rsidR="00326B3B">
        <w:t xml:space="preserve"> </w:t>
      </w:r>
    </w:p>
    <w:p w14:paraId="1196B158" w14:textId="122798CB" w:rsidR="00502677" w:rsidRPr="00162F0A" w:rsidRDefault="00502677" w:rsidP="00B929F3">
      <w:pPr>
        <w:pStyle w:val="Dotpoint"/>
        <w:numPr>
          <w:ilvl w:val="0"/>
          <w:numId w:val="0"/>
        </w:numPr>
        <w:rPr>
          <w:u w:val="single"/>
        </w:rPr>
      </w:pPr>
      <w:r w:rsidRPr="00162F0A">
        <w:rPr>
          <w:u w:val="single"/>
        </w:rPr>
        <w:t xml:space="preserve">Section </w:t>
      </w:r>
      <w:r w:rsidR="00594AFF">
        <w:rPr>
          <w:u w:val="single"/>
        </w:rPr>
        <w:t>3-60</w:t>
      </w:r>
      <w:r w:rsidR="00327A9F">
        <w:rPr>
          <w:u w:val="single"/>
        </w:rPr>
        <w:t xml:space="preserve"> - </w:t>
      </w:r>
      <w:r w:rsidR="00327A9F" w:rsidRPr="00327A9F">
        <w:rPr>
          <w:u w:val="single"/>
        </w:rPr>
        <w:t>Requirement to complete specified courses</w:t>
      </w:r>
    </w:p>
    <w:p w14:paraId="7053F233" w14:textId="094DAE04" w:rsidR="00D0138B" w:rsidRDefault="00D0138B" w:rsidP="00B929F3">
      <w:pPr>
        <w:pStyle w:val="Dotpoint"/>
        <w:numPr>
          <w:ilvl w:val="0"/>
          <w:numId w:val="0"/>
        </w:numPr>
      </w:pPr>
      <w:r>
        <w:t>Paragraph 921BB(1)(c) of the Act provides that the Minister may, by legislative instrument, determine the requirement to complete one or more specified courses for a person who provides, or is to provide, a tax (financial) advice service.</w:t>
      </w:r>
    </w:p>
    <w:p w14:paraId="671540EF" w14:textId="4C5B1523" w:rsidR="00BE7A16" w:rsidRDefault="00B57B07" w:rsidP="00B929F3">
      <w:pPr>
        <w:pStyle w:val="Dotpoint"/>
        <w:numPr>
          <w:ilvl w:val="0"/>
          <w:numId w:val="0"/>
        </w:numPr>
      </w:pPr>
      <w:r>
        <w:t>This section</w:t>
      </w:r>
      <w:r w:rsidR="00502677">
        <w:t xml:space="preserve"> requires that</w:t>
      </w:r>
      <w:r w:rsidR="00BE7A16">
        <w:t>,</w:t>
      </w:r>
      <w:r w:rsidR="00502677">
        <w:t xml:space="preserve"> a person who provides, or is to provide, tax (financial) advice services</w:t>
      </w:r>
      <w:r w:rsidR="00BE7A16">
        <w:t xml:space="preserve"> must</w:t>
      </w:r>
      <w:r w:rsidR="00502677">
        <w:t xml:space="preserve"> complete each of the courses specified in Division 3 of Part 3 of the Instrument.</w:t>
      </w:r>
      <w:r w:rsidR="00BE7A16">
        <w:t xml:space="preserve"> </w:t>
      </w:r>
    </w:p>
    <w:p w14:paraId="550ECC0C" w14:textId="34CED75C" w:rsidR="00BE7A16" w:rsidRPr="00162F0A" w:rsidRDefault="00BE7A16" w:rsidP="00B929F3">
      <w:pPr>
        <w:pStyle w:val="Dotpoint"/>
        <w:numPr>
          <w:ilvl w:val="0"/>
          <w:numId w:val="0"/>
        </w:numPr>
        <w:rPr>
          <w:u w:val="single"/>
        </w:rPr>
      </w:pPr>
      <w:r w:rsidRPr="00162F0A">
        <w:rPr>
          <w:u w:val="single"/>
        </w:rPr>
        <w:t xml:space="preserve">Section </w:t>
      </w:r>
      <w:r w:rsidR="00594AFF">
        <w:rPr>
          <w:u w:val="single"/>
        </w:rPr>
        <w:t>3-65</w:t>
      </w:r>
      <w:r w:rsidR="00327A9F">
        <w:rPr>
          <w:u w:val="single"/>
        </w:rPr>
        <w:t xml:space="preserve"> - </w:t>
      </w:r>
      <w:r w:rsidR="00327A9F" w:rsidRPr="00327A9F">
        <w:rPr>
          <w:u w:val="single"/>
        </w:rPr>
        <w:t>Specified course: commercial law</w:t>
      </w:r>
    </w:p>
    <w:p w14:paraId="08B38D5D" w14:textId="77777777" w:rsidR="002E74B5" w:rsidRDefault="00135BE8" w:rsidP="002E74B5">
      <w:pPr>
        <w:pStyle w:val="Dotpoint"/>
        <w:numPr>
          <w:ilvl w:val="0"/>
          <w:numId w:val="0"/>
        </w:numPr>
      </w:pPr>
      <w:r>
        <w:t xml:space="preserve">This section </w:t>
      </w:r>
      <w:r w:rsidR="00DF5602">
        <w:t xml:space="preserve">requires a person who provides, or is to provide, tax (financial) advice services to complete a commercial law course. </w:t>
      </w:r>
    </w:p>
    <w:p w14:paraId="1A9EA9C2" w14:textId="79362689" w:rsidR="002E74B5" w:rsidRDefault="002E74B5" w:rsidP="002E74B5">
      <w:pPr>
        <w:pStyle w:val="Dotpoint"/>
        <w:numPr>
          <w:ilvl w:val="0"/>
          <w:numId w:val="0"/>
        </w:numPr>
      </w:pPr>
      <w:r>
        <w:t>The requirements for the commercial law course in this section are consistent with the requirements in the 2014 TPB guidelines for a</w:t>
      </w:r>
      <w:r w:rsidR="00445C45">
        <w:t xml:space="preserve"> course in</w:t>
      </w:r>
      <w:r>
        <w:t xml:space="preserve"> commercial law </w:t>
      </w:r>
      <w:r w:rsidR="00445C45">
        <w:t>approved by the TPB for</w:t>
      </w:r>
      <w:r>
        <w:t xml:space="preserve"> tax (financial) adviser</w:t>
      </w:r>
      <w:r w:rsidR="00445C45">
        <w:t>s</w:t>
      </w:r>
      <w:r>
        <w:t>.</w:t>
      </w:r>
    </w:p>
    <w:p w14:paraId="69CFDCA1" w14:textId="642B3F8D" w:rsidR="00BE7A16" w:rsidRDefault="00DF5602" w:rsidP="00B929F3">
      <w:pPr>
        <w:pStyle w:val="Dotpoint"/>
        <w:numPr>
          <w:ilvl w:val="0"/>
          <w:numId w:val="0"/>
        </w:numPr>
      </w:pPr>
      <w:r w:rsidRPr="001921BA">
        <w:t xml:space="preserve">To satisfy this requirement, the commercial law course must be </w:t>
      </w:r>
      <w:r w:rsidR="00DB2B53" w:rsidRPr="001921BA">
        <w:t>provided by a registered higher education provider or a registered training organisation</w:t>
      </w:r>
      <w:r w:rsidR="00DB2B53">
        <w:t xml:space="preserve"> and be </w:t>
      </w:r>
      <w:r>
        <w:t xml:space="preserve">designed to provide the person with knowledge and skills at </w:t>
      </w:r>
      <w:r w:rsidR="002615D2">
        <w:t xml:space="preserve">not less than </w:t>
      </w:r>
      <w:r>
        <w:t xml:space="preserve">an AQF level 5, as described in the </w:t>
      </w:r>
      <w:r w:rsidRPr="00DF5602">
        <w:rPr>
          <w:i/>
          <w:iCs/>
        </w:rPr>
        <w:t>Australian Qualifications Framework</w:t>
      </w:r>
      <w:r w:rsidRPr="00DF5602">
        <w:t>, 2</w:t>
      </w:r>
      <w:r w:rsidRPr="002615D2">
        <w:rPr>
          <w:vertAlign w:val="superscript"/>
        </w:rPr>
        <w:t>nd</w:t>
      </w:r>
      <w:r w:rsidR="002615D2">
        <w:t xml:space="preserve"> </w:t>
      </w:r>
      <w:r w:rsidRPr="00DF5602">
        <w:t>edition (January 2013)</w:t>
      </w:r>
      <w:r w:rsidR="00DB2B53">
        <w:t xml:space="preserve">. </w:t>
      </w:r>
      <w:r w:rsidR="00E13EA4">
        <w:t xml:space="preserve">The </w:t>
      </w:r>
      <w:r w:rsidR="00DB2B53">
        <w:t xml:space="preserve">AQF level 5 </w:t>
      </w:r>
      <w:r w:rsidR="00482E92">
        <w:t>requires a person to:</w:t>
      </w:r>
    </w:p>
    <w:p w14:paraId="398C8F6A" w14:textId="3994E5AB" w:rsidR="00482E92" w:rsidRDefault="00482E92" w:rsidP="00482E92">
      <w:pPr>
        <w:pStyle w:val="Dotpoint"/>
      </w:pPr>
      <w:r>
        <w:t xml:space="preserve">have a technical and theoretical knowledge in a specific area or a broad field of work and learning; </w:t>
      </w:r>
    </w:p>
    <w:p w14:paraId="3E61060C" w14:textId="26ECD05A" w:rsidR="00482E92" w:rsidRDefault="00482E92" w:rsidP="00D6246B">
      <w:pPr>
        <w:pStyle w:val="Dotpoint"/>
      </w:pPr>
      <w:r>
        <w:t>have a broad range of cognitive, technical and communication skills to select and apply methods and technologies to analyse information to complete a range of activities, provide and transmit solutions to sometimes complex problems and transmit information and skills to others; and</w:t>
      </w:r>
    </w:p>
    <w:p w14:paraId="41DA7EB3" w14:textId="548A8DD5" w:rsidR="006F5555" w:rsidRDefault="00482E92" w:rsidP="006F5555">
      <w:pPr>
        <w:pStyle w:val="Dotpoint"/>
      </w:pPr>
      <w:r>
        <w:t>be able to apply knowledge and skills to demonstrate autonomy, judgement and defined responsibility in known or changing contexts and within broad but established parameters.</w:t>
      </w:r>
    </w:p>
    <w:p w14:paraId="04294D60" w14:textId="31FDEED6" w:rsidR="00684A7E" w:rsidRDefault="00684A7E" w:rsidP="00684A7E">
      <w:pPr>
        <w:pStyle w:val="Dotpoint"/>
        <w:numPr>
          <w:ilvl w:val="0"/>
          <w:numId w:val="0"/>
        </w:numPr>
      </w:pPr>
      <w:r>
        <w:t xml:space="preserve">To achieve this level of knowledge and skills, the commercial law course must cover each of the following knowledge and skills areas, contract law, the law relating to organisational structures in which businesses are operated, tort law (particularly the torts of negligence and negligence misstatement) and the requirements of the </w:t>
      </w:r>
      <w:r w:rsidRPr="00DB2B53">
        <w:rPr>
          <w:i/>
          <w:iCs/>
        </w:rPr>
        <w:t>Competition and Consumer Act 2010</w:t>
      </w:r>
      <w:r>
        <w:t>.</w:t>
      </w:r>
    </w:p>
    <w:p w14:paraId="5BC6FCA5" w14:textId="5F3F90B3" w:rsidR="006F5555" w:rsidRDefault="006F5555" w:rsidP="006F5555">
      <w:pPr>
        <w:pStyle w:val="Dotpoint"/>
        <w:numPr>
          <w:ilvl w:val="0"/>
          <w:numId w:val="0"/>
        </w:numPr>
      </w:pPr>
      <w:r>
        <w:t xml:space="preserve">To satisfy the requirements, the course must also be designed to provide assurance that the person has attained the necessary level of knowledge and skills. This could be </w:t>
      </w:r>
      <w:r>
        <w:lastRenderedPageBreak/>
        <w:t xml:space="preserve">achieved through the inclusion of one or more assessment practices, including (but not limited to): </w:t>
      </w:r>
    </w:p>
    <w:p w14:paraId="07470932" w14:textId="72BFB083" w:rsidR="006F5555" w:rsidRDefault="006F5555" w:rsidP="00464546">
      <w:pPr>
        <w:pStyle w:val="Dotpoint"/>
      </w:pPr>
      <w:r>
        <w:t>tests</w:t>
      </w:r>
      <w:r w:rsidR="009B71D0">
        <w:t xml:space="preserve"> and </w:t>
      </w:r>
      <w:r>
        <w:t>examinations (oral and written);</w:t>
      </w:r>
    </w:p>
    <w:p w14:paraId="4B38658E" w14:textId="6E0A6FB5" w:rsidR="006F5555" w:rsidRDefault="006F5555" w:rsidP="006F5555">
      <w:pPr>
        <w:pStyle w:val="Dotpoint"/>
      </w:pPr>
      <w:r>
        <w:t>problem based assignments;</w:t>
      </w:r>
    </w:p>
    <w:p w14:paraId="11474BE4" w14:textId="3B7D8F7D" w:rsidR="006F5555" w:rsidRDefault="006F5555" w:rsidP="006F5555">
      <w:pPr>
        <w:pStyle w:val="Dotpoint"/>
      </w:pPr>
      <w:r>
        <w:t>essays and reports; and</w:t>
      </w:r>
    </w:p>
    <w:p w14:paraId="25A74BEC" w14:textId="64F3500D" w:rsidR="006F5555" w:rsidRDefault="006F5555" w:rsidP="006F5555">
      <w:pPr>
        <w:pStyle w:val="Dotpoint"/>
      </w:pPr>
      <w:r>
        <w:t>computer-based assessment tasks.</w:t>
      </w:r>
    </w:p>
    <w:p w14:paraId="6552E2DB" w14:textId="16D715F8" w:rsidR="00967485" w:rsidRDefault="00967485" w:rsidP="00967485">
      <w:pPr>
        <w:pStyle w:val="Dotpoint"/>
        <w:numPr>
          <w:ilvl w:val="0"/>
          <w:numId w:val="0"/>
        </w:numPr>
      </w:pPr>
      <w:r>
        <w:t>The requirement to complete a commercial law course apply subject to the transitional provisions in Division 6 of Part 3 of the Instrument</w:t>
      </w:r>
      <w:r w:rsidR="001E4FFD">
        <w:t>. The transitional p</w:t>
      </w:r>
      <w:r w:rsidR="0033643D">
        <w:t>rovisions p</w:t>
      </w:r>
      <w:r w:rsidR="001E4FFD">
        <w:t>rovide that in certain cases a person may be exempt from complying with this requirement</w:t>
      </w:r>
      <w:r w:rsidR="00326B3B">
        <w:t>, for example, where a person was registered as a tax (financial) adviser immediately before 1 January 2022</w:t>
      </w:r>
      <w:r w:rsidR="001E4FFD">
        <w:t>. Also, a</w:t>
      </w:r>
      <w:r>
        <w:t xml:space="preserve"> person who has previously completed a </w:t>
      </w:r>
      <w:r w:rsidR="001E4FFD">
        <w:t xml:space="preserve">TPB-approved </w:t>
      </w:r>
      <w:r>
        <w:t>commercial law course is taken to have already complied with this requirement</w:t>
      </w:r>
      <w:r w:rsidR="001E4FFD">
        <w:t>.</w:t>
      </w:r>
      <w:r w:rsidR="0033643D">
        <w:t xml:space="preserve"> For more information on the </w:t>
      </w:r>
      <w:r w:rsidR="00B051E6">
        <w:t>transitional provisions and exemptions</w:t>
      </w:r>
      <w:r w:rsidR="0033643D">
        <w:t xml:space="preserve">, see the description of sections 3-170, 3-171 and 3-172 of the </w:t>
      </w:r>
      <w:r w:rsidR="003B5444">
        <w:t>Instrument below.</w:t>
      </w:r>
    </w:p>
    <w:p w14:paraId="235157A2" w14:textId="7A7165D9" w:rsidR="00103445" w:rsidRPr="00162F0A" w:rsidRDefault="00103445" w:rsidP="00056B3C">
      <w:pPr>
        <w:pStyle w:val="Dotpoint"/>
        <w:numPr>
          <w:ilvl w:val="0"/>
          <w:numId w:val="0"/>
        </w:numPr>
        <w:rPr>
          <w:u w:val="single"/>
        </w:rPr>
      </w:pPr>
      <w:r w:rsidRPr="00162F0A">
        <w:rPr>
          <w:u w:val="single"/>
        </w:rPr>
        <w:t>Section 3</w:t>
      </w:r>
      <w:r w:rsidR="00594AFF">
        <w:rPr>
          <w:u w:val="single"/>
        </w:rPr>
        <w:t>-70</w:t>
      </w:r>
      <w:r w:rsidR="00327A9F">
        <w:rPr>
          <w:u w:val="single"/>
        </w:rPr>
        <w:t xml:space="preserve"> - </w:t>
      </w:r>
      <w:r w:rsidR="00327A9F" w:rsidRPr="00327A9F">
        <w:rPr>
          <w:u w:val="single"/>
        </w:rPr>
        <w:t>Specified course: taxation law</w:t>
      </w:r>
    </w:p>
    <w:p w14:paraId="23222E08" w14:textId="06524A7A" w:rsidR="002E74B5" w:rsidRDefault="00274963" w:rsidP="00056B3C">
      <w:pPr>
        <w:pStyle w:val="Dotpoint"/>
        <w:numPr>
          <w:ilvl w:val="0"/>
          <w:numId w:val="0"/>
        </w:numPr>
      </w:pPr>
      <w:r>
        <w:t xml:space="preserve">This section </w:t>
      </w:r>
      <w:r w:rsidR="00103445">
        <w:t>requires a person who provides, or is to provide, tax (financial) advice services to complete a course in Australian taxation law (tax law course</w:t>
      </w:r>
      <w:r w:rsidR="00DB7BAF">
        <w:t xml:space="preserve">). </w:t>
      </w:r>
    </w:p>
    <w:p w14:paraId="7C42E8E6" w14:textId="4D63EF7D" w:rsidR="002E74B5" w:rsidRDefault="002E74B5" w:rsidP="002E74B5">
      <w:pPr>
        <w:pStyle w:val="Dotpoint"/>
        <w:numPr>
          <w:ilvl w:val="0"/>
          <w:numId w:val="0"/>
        </w:numPr>
      </w:pPr>
      <w:r>
        <w:t>The requirements for the tax law course in this section are consistent with the requirements in the 2014 TPB Guidelines for</w:t>
      </w:r>
      <w:r w:rsidR="00445C45">
        <w:t xml:space="preserve"> a</w:t>
      </w:r>
      <w:r>
        <w:t xml:space="preserve"> </w:t>
      </w:r>
      <w:r w:rsidR="00445C45">
        <w:t xml:space="preserve">course in </w:t>
      </w:r>
      <w:r>
        <w:t xml:space="preserve">taxation law </w:t>
      </w:r>
      <w:r w:rsidR="00445C45">
        <w:t>approved by the TPB for tax (financial) advisers.</w:t>
      </w:r>
    </w:p>
    <w:p w14:paraId="3CC3CFDA" w14:textId="096BC4E9" w:rsidR="00103445" w:rsidRDefault="002E74B5" w:rsidP="00056B3C">
      <w:pPr>
        <w:pStyle w:val="Dotpoint"/>
        <w:numPr>
          <w:ilvl w:val="0"/>
          <w:numId w:val="0"/>
        </w:numPr>
      </w:pPr>
      <w:r>
        <w:t>T</w:t>
      </w:r>
      <w:r w:rsidR="00103445">
        <w:t xml:space="preserve">he </w:t>
      </w:r>
      <w:r w:rsidR="00DB7BAF">
        <w:t xml:space="preserve">tax law </w:t>
      </w:r>
      <w:r w:rsidR="00103445">
        <w:t xml:space="preserve">course must be provided by a registered higher education provider or a registered training organisation and be designed to provide the person with knowledge and skills at </w:t>
      </w:r>
      <w:r w:rsidR="00445C45">
        <w:t xml:space="preserve">not less than </w:t>
      </w:r>
      <w:r w:rsidR="00103445">
        <w:t>an AQF level 5.</w:t>
      </w:r>
    </w:p>
    <w:p w14:paraId="0DAEAC9C" w14:textId="5BD8A20A" w:rsidR="00103445" w:rsidRDefault="00103445" w:rsidP="00056B3C">
      <w:pPr>
        <w:pStyle w:val="Dotpoint"/>
        <w:numPr>
          <w:ilvl w:val="0"/>
          <w:numId w:val="0"/>
        </w:numPr>
      </w:pPr>
      <w:r>
        <w:t xml:space="preserve">To satisfy this requirement, the tax law course must cover each of the knowledge and skill areas specified in subsection </w:t>
      </w:r>
      <w:r w:rsidR="00243D4E">
        <w:t>3-70(2)</w:t>
      </w:r>
      <w:r>
        <w:t xml:space="preserve"> of the Instrument, which includes </w:t>
      </w:r>
      <w:r w:rsidR="00445239">
        <w:t xml:space="preserve">(but is not limited to) </w:t>
      </w:r>
      <w:r>
        <w:t>knowledge of income and deductions</w:t>
      </w:r>
      <w:r w:rsidR="00445239">
        <w:t>;</w:t>
      </w:r>
      <w:r>
        <w:t xml:space="preserve"> how income tax law applies to different types of entities</w:t>
      </w:r>
      <w:r w:rsidR="00445239">
        <w:t>;</w:t>
      </w:r>
      <w:r>
        <w:t xml:space="preserve"> capital gains and losses</w:t>
      </w:r>
      <w:r w:rsidR="00445239">
        <w:t>; superannuation; investments; taxation offences; the goods and services tax</w:t>
      </w:r>
      <w:r w:rsidR="00DB7BAF">
        <w:t xml:space="preserve"> (GST)</w:t>
      </w:r>
      <w:r w:rsidR="00445239">
        <w:t>; and the Commissioner of Taxation’s administration of tax laws.</w:t>
      </w:r>
      <w:r>
        <w:t xml:space="preserve"> </w:t>
      </w:r>
    </w:p>
    <w:p w14:paraId="6F873FDF" w14:textId="39A4E34B" w:rsidR="006F5555" w:rsidRDefault="006F5555" w:rsidP="002E19FD">
      <w:pPr>
        <w:pStyle w:val="Dotpoint"/>
        <w:numPr>
          <w:ilvl w:val="0"/>
          <w:numId w:val="0"/>
        </w:numPr>
      </w:pPr>
      <w:r>
        <w:t>As for the commercial law course, the tax law course must also be designed to provide assurance that the person has attained the necessary level of knowledge and skills, which could be achieved through the inclusion of one or more assessment practices</w:t>
      </w:r>
      <w:r w:rsidR="00180146">
        <w:t>, such as tests, exams or essays</w:t>
      </w:r>
      <w:r w:rsidR="002E19FD">
        <w:t>.</w:t>
      </w:r>
    </w:p>
    <w:p w14:paraId="11855A01" w14:textId="1118FDBB" w:rsidR="00506EC6" w:rsidRDefault="00506EC6" w:rsidP="00506EC6">
      <w:pPr>
        <w:pStyle w:val="Dotpoint"/>
        <w:numPr>
          <w:ilvl w:val="0"/>
          <w:numId w:val="0"/>
        </w:numPr>
      </w:pPr>
      <w:r>
        <w:t xml:space="preserve">The requirement to complete a tax law course apply subject to the transitional provisions in Division 6 of Part 3 of the Instrument. The transitional </w:t>
      </w:r>
      <w:r w:rsidR="00B051E6">
        <w:t xml:space="preserve">provisions </w:t>
      </w:r>
      <w:r>
        <w:t>provide that in certain cases a person may be exempt from complying with this requirement. Also, a person who has previously completed a TPB-approved tax law course is taken to have already complied with this requirement.</w:t>
      </w:r>
      <w:r w:rsidR="0033643D">
        <w:t xml:space="preserve"> For more information on the</w:t>
      </w:r>
      <w:r w:rsidR="00B051E6">
        <w:t xml:space="preserve"> transitional provisions and exemptions</w:t>
      </w:r>
      <w:r w:rsidR="0033643D">
        <w:t>, see the description of sections 3-170,</w:t>
      </w:r>
      <w:r w:rsidR="00B051E6">
        <w:t> </w:t>
      </w:r>
      <w:r w:rsidR="0033643D">
        <w:t xml:space="preserve">3-171 and 3-172 of the </w:t>
      </w:r>
      <w:r w:rsidR="003B5444">
        <w:t>Instrument</w:t>
      </w:r>
      <w:r w:rsidR="0033643D">
        <w:t xml:space="preserve"> below.</w:t>
      </w:r>
    </w:p>
    <w:p w14:paraId="60167E36" w14:textId="6B28B274" w:rsidR="00103445" w:rsidRPr="00162F0A" w:rsidRDefault="0002057F" w:rsidP="00056B3C">
      <w:pPr>
        <w:pStyle w:val="Dotpoint"/>
        <w:numPr>
          <w:ilvl w:val="0"/>
          <w:numId w:val="0"/>
        </w:numPr>
        <w:rPr>
          <w:u w:val="single"/>
        </w:rPr>
      </w:pPr>
      <w:r w:rsidRPr="00162F0A">
        <w:rPr>
          <w:u w:val="single"/>
        </w:rPr>
        <w:t xml:space="preserve">Section </w:t>
      </w:r>
      <w:r w:rsidR="00BE3384">
        <w:rPr>
          <w:u w:val="single"/>
        </w:rPr>
        <w:t>3-120</w:t>
      </w:r>
      <w:r w:rsidR="00327A9F">
        <w:rPr>
          <w:u w:val="single"/>
        </w:rPr>
        <w:t xml:space="preserve"> - </w:t>
      </w:r>
      <w:r w:rsidR="00327A9F" w:rsidRPr="00327A9F">
        <w:rPr>
          <w:u w:val="single"/>
        </w:rPr>
        <w:t xml:space="preserve">Requirement for </w:t>
      </w:r>
      <w:r w:rsidR="00471187">
        <w:rPr>
          <w:u w:val="single"/>
        </w:rPr>
        <w:t>CPD</w:t>
      </w:r>
      <w:r w:rsidR="00327A9F">
        <w:rPr>
          <w:u w:val="single"/>
        </w:rPr>
        <w:t xml:space="preserve"> </w:t>
      </w:r>
    </w:p>
    <w:p w14:paraId="57EAD698" w14:textId="56352EB9" w:rsidR="0025070C" w:rsidRDefault="0025070C" w:rsidP="00056B3C">
      <w:pPr>
        <w:pStyle w:val="Dotpoint"/>
        <w:numPr>
          <w:ilvl w:val="0"/>
          <w:numId w:val="0"/>
        </w:numPr>
      </w:pPr>
      <w:r>
        <w:t xml:space="preserve">Paragraph 921BB(1)(e) of the Act provides that the Minister may, by legislative instrument, determine the requirement to undertake CPD during the CPD year of a </w:t>
      </w:r>
      <w:r>
        <w:lastRenderedPageBreak/>
        <w:t>financial services licensee</w:t>
      </w:r>
      <w:r w:rsidR="00255C3D">
        <w:t>,</w:t>
      </w:r>
      <w:r>
        <w:t xml:space="preserve"> or any other period determined by the Minister</w:t>
      </w:r>
      <w:r w:rsidR="0039643C">
        <w:t>, for a person who provides tax (financial) advice services.</w:t>
      </w:r>
    </w:p>
    <w:p w14:paraId="1378F3B1" w14:textId="36C7C2AB" w:rsidR="00430A90" w:rsidRDefault="00430A90" w:rsidP="00430A90">
      <w:pPr>
        <w:pStyle w:val="Dotpoint"/>
        <w:numPr>
          <w:ilvl w:val="0"/>
          <w:numId w:val="0"/>
        </w:numPr>
      </w:pPr>
      <w:r>
        <w:t xml:space="preserve">The CPD requirements in the Instrument are separate to, and in addition to, the CPD requirements that all financial advisers are currently required to undertake. The existing CPD requirements for financial advisers set out in the </w:t>
      </w:r>
      <w:r w:rsidRPr="00EA2876">
        <w:rPr>
          <w:i/>
          <w:iCs/>
        </w:rPr>
        <w:t>Corporations (Relevant Providers Continuing Professional Development Standard) Determination 2018</w:t>
      </w:r>
      <w:r w:rsidRPr="004B401D">
        <w:t>, which was made by FASEA</w:t>
      </w:r>
      <w:r>
        <w:t xml:space="preserve"> and is to continue in force until it is repealed and remade by the Minister (see Division 4 of Part 2 of the Instrument)</w:t>
      </w:r>
      <w:r w:rsidRPr="004B401D">
        <w:t>.</w:t>
      </w:r>
      <w:r>
        <w:t xml:space="preserve"> </w:t>
      </w:r>
    </w:p>
    <w:p w14:paraId="0849D4E4" w14:textId="28B31164" w:rsidR="00430A90" w:rsidRDefault="00430A90" w:rsidP="00056B3C">
      <w:pPr>
        <w:pStyle w:val="Dotpoint"/>
        <w:numPr>
          <w:ilvl w:val="0"/>
          <w:numId w:val="0"/>
        </w:numPr>
      </w:pPr>
      <w:r>
        <w:t xml:space="preserve">The CPD requirements for the provision of tax (financial) advice services in this Instrument replace the CPD requirements set by the TPB under the TAS Act. </w:t>
      </w:r>
    </w:p>
    <w:p w14:paraId="1DDA3F03" w14:textId="77777777" w:rsidR="00CA0F7B" w:rsidRDefault="00CA0F7B" w:rsidP="00CA0F7B">
      <w:pPr>
        <w:pStyle w:val="Dotpoint"/>
        <w:numPr>
          <w:ilvl w:val="0"/>
          <w:numId w:val="0"/>
        </w:numPr>
      </w:pPr>
      <w:r>
        <w:t xml:space="preserve">Section 910A of Act provides that a financial services licensee’s </w:t>
      </w:r>
      <w:r w:rsidRPr="00B81884">
        <w:t>CPD year</w:t>
      </w:r>
      <w:r>
        <w:t xml:space="preserve"> </w:t>
      </w:r>
      <w:r w:rsidRPr="00B81884">
        <w:t xml:space="preserve">is the 12‑month period beginning on the day of the year included in the most recent notice given by the licensee </w:t>
      </w:r>
      <w:r>
        <w:t xml:space="preserve">to ASIC </w:t>
      </w:r>
      <w:r w:rsidRPr="00B81884">
        <w:t>under section 922HA</w:t>
      </w:r>
      <w:r>
        <w:t xml:space="preserve"> of the Act. In accordance with this definition, a </w:t>
      </w:r>
      <w:r w:rsidRPr="003D7882">
        <w:t>licensee’s CPD year can start at any time during the calendar year.</w:t>
      </w:r>
      <w:r>
        <w:t xml:space="preserve"> </w:t>
      </w:r>
    </w:p>
    <w:p w14:paraId="52280F24" w14:textId="77777777" w:rsidR="00CA0F7B" w:rsidRDefault="00CA0F7B" w:rsidP="00CA0F7B">
      <w:pPr>
        <w:pStyle w:val="Dotpoint"/>
        <w:numPr>
          <w:ilvl w:val="0"/>
          <w:numId w:val="0"/>
        </w:numPr>
      </w:pPr>
      <w:r>
        <w:t xml:space="preserve">This requirement to undertake CPD does not apply to provisional financial advisers in accordance with the exemption in subsection 921BC(2) of the Act. </w:t>
      </w:r>
    </w:p>
    <w:p w14:paraId="3263AAE5" w14:textId="447410D2" w:rsidR="000A5B97" w:rsidRPr="00162F0A" w:rsidRDefault="000A5B97" w:rsidP="008554A2">
      <w:pPr>
        <w:pStyle w:val="Dotpoint"/>
        <w:numPr>
          <w:ilvl w:val="0"/>
          <w:numId w:val="0"/>
        </w:numPr>
        <w:rPr>
          <w:u w:val="single"/>
        </w:rPr>
      </w:pPr>
      <w:r w:rsidRPr="00162F0A">
        <w:rPr>
          <w:u w:val="single"/>
        </w:rPr>
        <w:t xml:space="preserve">Section </w:t>
      </w:r>
      <w:r w:rsidR="00BE3384">
        <w:rPr>
          <w:u w:val="single"/>
        </w:rPr>
        <w:t>3-125</w:t>
      </w:r>
      <w:r w:rsidR="00327A9F">
        <w:rPr>
          <w:u w:val="single"/>
        </w:rPr>
        <w:t xml:space="preserve"> - </w:t>
      </w:r>
      <w:r w:rsidR="00327A9F" w:rsidRPr="00327A9F">
        <w:rPr>
          <w:u w:val="single"/>
        </w:rPr>
        <w:t>Additional requirements for tax-specific CPD</w:t>
      </w:r>
    </w:p>
    <w:p w14:paraId="459F7C54" w14:textId="77777777" w:rsidR="0088533B" w:rsidRDefault="00E329AC" w:rsidP="008554A2">
      <w:pPr>
        <w:pStyle w:val="Dotpoint"/>
        <w:numPr>
          <w:ilvl w:val="0"/>
          <w:numId w:val="0"/>
        </w:numPr>
      </w:pPr>
      <w:r>
        <w:t>This section</w:t>
      </w:r>
      <w:r w:rsidR="000A5B97">
        <w:t xml:space="preserve"> provides that a</w:t>
      </w:r>
      <w:r w:rsidR="000A5B97" w:rsidRPr="000A5B97">
        <w:t xml:space="preserve"> </w:t>
      </w:r>
      <w:r w:rsidR="00757BDB">
        <w:t>financial adviser</w:t>
      </w:r>
      <w:r w:rsidR="000A5B97" w:rsidRPr="000A5B97">
        <w:t xml:space="preserve"> who provides, or is to provide</w:t>
      </w:r>
      <w:r w:rsidR="000A5B97">
        <w:t>,</w:t>
      </w:r>
      <w:r w:rsidR="000A5B97" w:rsidRPr="000A5B97">
        <w:t xml:space="preserve"> a tax (financial) advice service, must complete </w:t>
      </w:r>
      <w:r w:rsidR="00471187">
        <w:t>CPD</w:t>
      </w:r>
      <w:r w:rsidR="000A5B97" w:rsidRPr="000A5B97">
        <w:t xml:space="preserve"> activities</w:t>
      </w:r>
      <w:r w:rsidR="000A5B97">
        <w:t xml:space="preserve"> in order </w:t>
      </w:r>
      <w:r w:rsidR="000A5B97" w:rsidRPr="000A5B97">
        <w:t xml:space="preserve">to </w:t>
      </w:r>
      <w:r w:rsidR="000A5B97">
        <w:t xml:space="preserve">maintain and extend their </w:t>
      </w:r>
      <w:r w:rsidR="000A5B97" w:rsidRPr="000A5B97">
        <w:t>knowledge and skills relating to Australia</w:t>
      </w:r>
      <w:r w:rsidR="00BE22F8">
        <w:t>n</w:t>
      </w:r>
      <w:r w:rsidR="000A5B97" w:rsidRPr="000A5B97">
        <w:t xml:space="preserve"> </w:t>
      </w:r>
      <w:r w:rsidR="00ED60E7">
        <w:t xml:space="preserve">commercial and taxation </w:t>
      </w:r>
      <w:r w:rsidR="000A5B97" w:rsidRPr="000A5B97">
        <w:t xml:space="preserve">law, as relevant </w:t>
      </w:r>
      <w:r w:rsidR="00BE22F8">
        <w:t>to</w:t>
      </w:r>
      <w:r w:rsidR="000A5B97" w:rsidRPr="000A5B97">
        <w:t xml:space="preserve"> providing a tax (financial) advice service.</w:t>
      </w:r>
      <w:r w:rsidR="000A5B97">
        <w:t xml:space="preserve"> </w:t>
      </w:r>
    </w:p>
    <w:p w14:paraId="01BB6548" w14:textId="0C30C26D" w:rsidR="00C33F3B" w:rsidRDefault="00C33F3B" w:rsidP="00326B3B">
      <w:pPr>
        <w:pStyle w:val="Dotpoint"/>
        <w:numPr>
          <w:ilvl w:val="0"/>
          <w:numId w:val="0"/>
        </w:numPr>
      </w:pPr>
      <w:r>
        <w:t xml:space="preserve">The </w:t>
      </w:r>
      <w:r w:rsidR="00471187">
        <w:t>CPD</w:t>
      </w:r>
      <w:r>
        <w:t xml:space="preserve"> requirements in</w:t>
      </w:r>
      <w:r w:rsidR="00EA2876">
        <w:t xml:space="preserve"> </w:t>
      </w:r>
      <w:r>
        <w:t xml:space="preserve">the Instrument are to apply as if the </w:t>
      </w:r>
      <w:r w:rsidR="00EA2876">
        <w:t xml:space="preserve">table in section 7 of the </w:t>
      </w:r>
      <w:r w:rsidR="00EA2876" w:rsidRPr="00EA2876">
        <w:rPr>
          <w:i/>
          <w:iCs/>
        </w:rPr>
        <w:t>Corporations (Relevant Providers Continuing Professional Development Standard) Determination 2018</w:t>
      </w:r>
      <w:r w:rsidR="00EA2876">
        <w:t xml:space="preserve"> were repealed and replaced with</w:t>
      </w:r>
      <w:r w:rsidR="00B06F84">
        <w:t xml:space="preserve"> the following table</w:t>
      </w:r>
      <w:r w:rsidR="00EA2876">
        <w:t>:</w:t>
      </w:r>
    </w:p>
    <w:tbl>
      <w:tblPr>
        <w:tblW w:w="0" w:type="auto"/>
        <w:tblInd w:w="113" w:type="dxa"/>
        <w:shd w:val="clear" w:color="auto" w:fill="FFFFFF"/>
        <w:tblCellMar>
          <w:left w:w="0" w:type="dxa"/>
          <w:right w:w="0" w:type="dxa"/>
        </w:tblCellMar>
        <w:tblLook w:val="04A0" w:firstRow="1" w:lastRow="0" w:firstColumn="1" w:lastColumn="0" w:noHBand="0" w:noVBand="1"/>
      </w:tblPr>
      <w:tblGrid>
        <w:gridCol w:w="711"/>
        <w:gridCol w:w="4863"/>
        <w:gridCol w:w="2619"/>
      </w:tblGrid>
      <w:tr w:rsidR="008554A2" w:rsidRPr="00C33F3B" w14:paraId="7B30AE4C" w14:textId="77777777" w:rsidTr="0088533B">
        <w:trPr>
          <w:tblHeader/>
        </w:trPr>
        <w:tc>
          <w:tcPr>
            <w:tcW w:w="711" w:type="dxa"/>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631C2EFA" w14:textId="77777777" w:rsidR="00C33F3B" w:rsidRPr="00C33F3B" w:rsidRDefault="00C33F3B" w:rsidP="008554A2">
            <w:pPr>
              <w:spacing w:before="60" w:after="0" w:line="240" w:lineRule="atLeast"/>
              <w:rPr>
                <w:b/>
                <w:bCs/>
                <w:color w:val="000000"/>
                <w:sz w:val="20"/>
              </w:rPr>
            </w:pPr>
            <w:r w:rsidRPr="00C33F3B">
              <w:rPr>
                <w:b/>
                <w:bCs/>
                <w:color w:val="000000"/>
                <w:sz w:val="20"/>
              </w:rPr>
              <w:lastRenderedPageBreak/>
              <w:t>Item</w:t>
            </w:r>
          </w:p>
        </w:tc>
        <w:tc>
          <w:tcPr>
            <w:tcW w:w="4863" w:type="dxa"/>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4B430995" w14:textId="77777777" w:rsidR="00C33F3B" w:rsidRPr="00C33F3B" w:rsidRDefault="00C33F3B" w:rsidP="008554A2">
            <w:pPr>
              <w:spacing w:before="60" w:after="0" w:line="240" w:lineRule="atLeast"/>
              <w:rPr>
                <w:b/>
                <w:bCs/>
                <w:color w:val="000000"/>
                <w:sz w:val="20"/>
              </w:rPr>
            </w:pPr>
            <w:r w:rsidRPr="00C33F3B">
              <w:rPr>
                <w:b/>
                <w:bCs/>
                <w:color w:val="000000"/>
                <w:sz w:val="20"/>
              </w:rPr>
              <w:t>Column 2</w:t>
            </w:r>
          </w:p>
        </w:tc>
        <w:tc>
          <w:tcPr>
            <w:tcW w:w="2619" w:type="dxa"/>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65D36E05" w14:textId="77777777" w:rsidR="00C33F3B" w:rsidRPr="00C33F3B" w:rsidRDefault="00C33F3B" w:rsidP="008554A2">
            <w:pPr>
              <w:spacing w:before="60" w:after="0" w:line="240" w:lineRule="atLeast"/>
              <w:rPr>
                <w:b/>
                <w:bCs/>
                <w:color w:val="000000"/>
                <w:sz w:val="20"/>
              </w:rPr>
            </w:pPr>
            <w:r w:rsidRPr="00C33F3B">
              <w:rPr>
                <w:b/>
                <w:bCs/>
                <w:color w:val="000000"/>
                <w:sz w:val="20"/>
              </w:rPr>
              <w:t>Column 3</w:t>
            </w:r>
          </w:p>
        </w:tc>
      </w:tr>
      <w:tr w:rsidR="008554A2" w:rsidRPr="00C33F3B" w14:paraId="4B04AEAA" w14:textId="77777777" w:rsidTr="0088533B">
        <w:trPr>
          <w:tblHeader/>
        </w:trPr>
        <w:tc>
          <w:tcPr>
            <w:tcW w:w="711"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159B9CD0" w14:textId="77777777" w:rsidR="00C33F3B" w:rsidRPr="00C33F3B" w:rsidRDefault="00C33F3B" w:rsidP="00326B3B">
            <w:pPr>
              <w:keepNext/>
              <w:keepLines/>
              <w:spacing w:before="60" w:after="0" w:line="240" w:lineRule="atLeast"/>
              <w:rPr>
                <w:b/>
                <w:bCs/>
                <w:color w:val="000000"/>
                <w:sz w:val="20"/>
              </w:rPr>
            </w:pPr>
            <w:r w:rsidRPr="00C33F3B">
              <w:rPr>
                <w:b/>
                <w:bCs/>
                <w:color w:val="000000"/>
                <w:sz w:val="20"/>
              </w:rPr>
              <w:t> </w:t>
            </w:r>
          </w:p>
        </w:tc>
        <w:tc>
          <w:tcPr>
            <w:tcW w:w="4863"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0DDB8D24" w14:textId="77777777" w:rsidR="00C33F3B" w:rsidRPr="00C33F3B" w:rsidRDefault="00C33F3B" w:rsidP="00326B3B">
            <w:pPr>
              <w:keepNext/>
              <w:keepLines/>
              <w:spacing w:before="60" w:after="0" w:line="240" w:lineRule="atLeast"/>
              <w:rPr>
                <w:b/>
                <w:bCs/>
                <w:color w:val="000000"/>
                <w:sz w:val="20"/>
              </w:rPr>
            </w:pPr>
            <w:r w:rsidRPr="00C33F3B">
              <w:rPr>
                <w:b/>
                <w:bCs/>
                <w:color w:val="000000"/>
                <w:sz w:val="20"/>
              </w:rPr>
              <w:t>Content of CPD activity</w:t>
            </w:r>
          </w:p>
        </w:tc>
        <w:tc>
          <w:tcPr>
            <w:tcW w:w="2619"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3AC24CAF" w14:textId="77777777" w:rsidR="00C33F3B" w:rsidRPr="00C33F3B" w:rsidRDefault="00C33F3B" w:rsidP="00326B3B">
            <w:pPr>
              <w:keepNext/>
              <w:keepLines/>
              <w:spacing w:before="60" w:after="0" w:line="240" w:lineRule="atLeast"/>
              <w:rPr>
                <w:b/>
                <w:bCs/>
                <w:color w:val="000000"/>
                <w:sz w:val="20"/>
              </w:rPr>
            </w:pPr>
            <w:r w:rsidRPr="00C33F3B">
              <w:rPr>
                <w:b/>
                <w:bCs/>
                <w:color w:val="000000"/>
                <w:sz w:val="20"/>
              </w:rPr>
              <w:t>CPD area</w:t>
            </w:r>
          </w:p>
        </w:tc>
      </w:tr>
      <w:tr w:rsidR="008554A2" w:rsidRPr="00C33F3B" w14:paraId="11B2C08D" w14:textId="77777777" w:rsidTr="0088533B">
        <w:tc>
          <w:tcPr>
            <w:tcW w:w="71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DAD887A" w14:textId="77777777" w:rsidR="00C33F3B" w:rsidRPr="00C33F3B" w:rsidRDefault="00C33F3B" w:rsidP="00326B3B">
            <w:pPr>
              <w:keepNext/>
              <w:keepLines/>
              <w:spacing w:before="60" w:after="0" w:line="240" w:lineRule="atLeast"/>
              <w:rPr>
                <w:color w:val="000000"/>
                <w:sz w:val="20"/>
              </w:rPr>
            </w:pPr>
            <w:r w:rsidRPr="00C33F3B">
              <w:rPr>
                <w:color w:val="000000"/>
                <w:sz w:val="20"/>
              </w:rPr>
              <w:t>1</w:t>
            </w:r>
          </w:p>
        </w:tc>
        <w:tc>
          <w:tcPr>
            <w:tcW w:w="486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5596631" w14:textId="0109550B" w:rsidR="00C33F3B" w:rsidRPr="00C33F3B" w:rsidRDefault="00EA2876" w:rsidP="00326B3B">
            <w:pPr>
              <w:keepNext/>
              <w:keepLines/>
              <w:spacing w:before="60" w:after="0" w:line="240" w:lineRule="atLeast"/>
              <w:rPr>
                <w:color w:val="000000"/>
                <w:sz w:val="20"/>
              </w:rPr>
            </w:pPr>
            <w:r w:rsidRPr="00EA2876">
              <w:rPr>
                <w:color w:val="000000"/>
                <w:sz w:val="20"/>
              </w:rPr>
              <w:t>The activity is designed to enhance participants’ technical proficiency (other than in relation to Australia</w:t>
            </w:r>
            <w:r w:rsidR="009709DC">
              <w:rPr>
                <w:color w:val="000000"/>
                <w:sz w:val="20"/>
              </w:rPr>
              <w:t xml:space="preserve">n commercial and </w:t>
            </w:r>
            <w:r w:rsidRPr="00EA2876">
              <w:rPr>
                <w:color w:val="000000"/>
                <w:sz w:val="20"/>
              </w:rPr>
              <w:t>taxation</w:t>
            </w:r>
            <w:r w:rsidR="00B06F84">
              <w:rPr>
                <w:color w:val="000000"/>
                <w:sz w:val="20"/>
              </w:rPr>
              <w:t xml:space="preserve"> </w:t>
            </w:r>
            <w:r w:rsidRPr="00EA2876">
              <w:rPr>
                <w:color w:val="000000"/>
                <w:sz w:val="20"/>
              </w:rPr>
              <w:t>laws) and ability to develop and provide advice strategies that are appropriate to the objectives, financial situations and needs of different classes of retail clients.</w:t>
            </w:r>
          </w:p>
        </w:tc>
        <w:tc>
          <w:tcPr>
            <w:tcW w:w="261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1B256A4" w14:textId="0EF25C6C" w:rsidR="00C33F3B" w:rsidRPr="00C33F3B" w:rsidRDefault="00C33F3B" w:rsidP="00326B3B">
            <w:pPr>
              <w:keepNext/>
              <w:keepLines/>
              <w:spacing w:before="60" w:after="0" w:line="240" w:lineRule="atLeast"/>
              <w:rPr>
                <w:color w:val="000000"/>
                <w:sz w:val="20"/>
              </w:rPr>
            </w:pPr>
            <w:r w:rsidRPr="00C33F3B">
              <w:rPr>
                <w:color w:val="000000"/>
                <w:sz w:val="20"/>
              </w:rPr>
              <w:t>Technical competence</w:t>
            </w:r>
            <w:r w:rsidR="00EA2876">
              <w:rPr>
                <w:color w:val="000000"/>
                <w:sz w:val="20"/>
              </w:rPr>
              <w:t xml:space="preserve"> (general)</w:t>
            </w:r>
          </w:p>
        </w:tc>
      </w:tr>
      <w:tr w:rsidR="008554A2" w:rsidRPr="00C33F3B" w14:paraId="4E31BA0D" w14:textId="77777777" w:rsidTr="0088533B">
        <w:tc>
          <w:tcPr>
            <w:tcW w:w="711" w:type="dxa"/>
            <w:tcBorders>
              <w:top w:val="nil"/>
              <w:left w:val="nil"/>
              <w:bottom w:val="single" w:sz="8" w:space="0" w:color="auto"/>
              <w:right w:val="nil"/>
            </w:tcBorders>
            <w:shd w:val="clear" w:color="auto" w:fill="FFFFFF"/>
            <w:tcMar>
              <w:top w:w="0" w:type="dxa"/>
              <w:left w:w="108" w:type="dxa"/>
              <w:bottom w:w="0" w:type="dxa"/>
              <w:right w:w="108" w:type="dxa"/>
            </w:tcMar>
          </w:tcPr>
          <w:p w14:paraId="31DAA85E" w14:textId="04389FB4" w:rsidR="00EA2876" w:rsidRPr="00C33F3B" w:rsidRDefault="00EA2876" w:rsidP="00326B3B">
            <w:pPr>
              <w:keepNext/>
              <w:keepLines/>
              <w:spacing w:before="60" w:after="0" w:line="240" w:lineRule="atLeast"/>
              <w:rPr>
                <w:color w:val="000000"/>
                <w:sz w:val="20"/>
              </w:rPr>
            </w:pPr>
            <w:r>
              <w:rPr>
                <w:color w:val="000000"/>
                <w:sz w:val="20"/>
              </w:rPr>
              <w:t>1A</w:t>
            </w:r>
          </w:p>
        </w:tc>
        <w:tc>
          <w:tcPr>
            <w:tcW w:w="4863" w:type="dxa"/>
            <w:tcBorders>
              <w:top w:val="nil"/>
              <w:left w:val="nil"/>
              <w:bottom w:val="single" w:sz="8" w:space="0" w:color="auto"/>
              <w:right w:val="nil"/>
            </w:tcBorders>
            <w:shd w:val="clear" w:color="auto" w:fill="FFFFFF"/>
            <w:tcMar>
              <w:top w:w="0" w:type="dxa"/>
              <w:left w:w="108" w:type="dxa"/>
              <w:bottom w:w="0" w:type="dxa"/>
              <w:right w:w="108" w:type="dxa"/>
            </w:tcMar>
          </w:tcPr>
          <w:p w14:paraId="2C79FBBC" w14:textId="5EEB5BB5" w:rsidR="00EA2876" w:rsidRPr="00C33F3B" w:rsidRDefault="00EA2876" w:rsidP="00326B3B">
            <w:pPr>
              <w:keepNext/>
              <w:keepLines/>
              <w:spacing w:before="60" w:after="0" w:line="240" w:lineRule="atLeast"/>
              <w:rPr>
                <w:color w:val="000000"/>
                <w:sz w:val="20"/>
              </w:rPr>
            </w:pPr>
            <w:r w:rsidRPr="00EA2876">
              <w:rPr>
                <w:color w:val="000000"/>
                <w:sz w:val="20"/>
              </w:rPr>
              <w:t>The activity is designed to enhance participants’ technical proficiency relating to Australia</w:t>
            </w:r>
            <w:r w:rsidR="009709DC">
              <w:rPr>
                <w:color w:val="000000"/>
                <w:sz w:val="20"/>
              </w:rPr>
              <w:t>’s commercial and taxation</w:t>
            </w:r>
            <w:r w:rsidR="00B06F84">
              <w:rPr>
                <w:color w:val="000000"/>
                <w:sz w:val="20"/>
              </w:rPr>
              <w:t xml:space="preserve"> laws </w:t>
            </w:r>
            <w:r w:rsidRPr="00EA2876">
              <w:rPr>
                <w:color w:val="000000"/>
                <w:sz w:val="20"/>
              </w:rPr>
              <w:t>and ability to develop and provide advice strategies that are appropriate to the objectives, financial situations and needs of different classes of retail clients.</w:t>
            </w:r>
          </w:p>
        </w:tc>
        <w:tc>
          <w:tcPr>
            <w:tcW w:w="2619" w:type="dxa"/>
            <w:tcBorders>
              <w:top w:val="nil"/>
              <w:left w:val="nil"/>
              <w:bottom w:val="single" w:sz="8" w:space="0" w:color="auto"/>
              <w:right w:val="nil"/>
            </w:tcBorders>
            <w:shd w:val="clear" w:color="auto" w:fill="FFFFFF"/>
            <w:tcMar>
              <w:top w:w="0" w:type="dxa"/>
              <w:left w:w="108" w:type="dxa"/>
              <w:bottom w:w="0" w:type="dxa"/>
              <w:right w:w="108" w:type="dxa"/>
            </w:tcMar>
          </w:tcPr>
          <w:p w14:paraId="5EBB301D" w14:textId="5C8F4888" w:rsidR="00EA2876" w:rsidRPr="00C33F3B" w:rsidRDefault="00EA2876" w:rsidP="00326B3B">
            <w:pPr>
              <w:keepNext/>
              <w:keepLines/>
              <w:spacing w:before="60" w:after="0" w:line="240" w:lineRule="atLeast"/>
              <w:rPr>
                <w:color w:val="000000"/>
                <w:sz w:val="20"/>
              </w:rPr>
            </w:pPr>
            <w:r w:rsidRPr="00EA2876">
              <w:rPr>
                <w:color w:val="000000"/>
                <w:sz w:val="20"/>
              </w:rPr>
              <w:t xml:space="preserve">Technical competence </w:t>
            </w:r>
            <w:r>
              <w:rPr>
                <w:color w:val="000000"/>
                <w:sz w:val="20"/>
              </w:rPr>
              <w:br/>
            </w:r>
            <w:r w:rsidRPr="00EA2876">
              <w:rPr>
                <w:color w:val="000000"/>
                <w:sz w:val="20"/>
              </w:rPr>
              <w:t>(tax-specific)</w:t>
            </w:r>
          </w:p>
        </w:tc>
      </w:tr>
      <w:tr w:rsidR="008554A2" w:rsidRPr="00C33F3B" w14:paraId="6E378C1C" w14:textId="77777777" w:rsidTr="0088533B">
        <w:tc>
          <w:tcPr>
            <w:tcW w:w="71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919514" w14:textId="77777777" w:rsidR="00C33F3B" w:rsidRPr="00C33F3B" w:rsidRDefault="00C33F3B" w:rsidP="00326B3B">
            <w:pPr>
              <w:keepNext/>
              <w:keepLines/>
              <w:spacing w:before="60" w:after="0" w:line="240" w:lineRule="atLeast"/>
              <w:rPr>
                <w:color w:val="000000"/>
                <w:sz w:val="20"/>
              </w:rPr>
            </w:pPr>
            <w:r w:rsidRPr="00C33F3B">
              <w:rPr>
                <w:color w:val="000000"/>
                <w:sz w:val="20"/>
              </w:rPr>
              <w:t>2</w:t>
            </w:r>
          </w:p>
        </w:tc>
        <w:tc>
          <w:tcPr>
            <w:tcW w:w="486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910C80E" w14:textId="77777777" w:rsidR="00C33F3B" w:rsidRPr="00C33F3B" w:rsidRDefault="00C33F3B" w:rsidP="00326B3B">
            <w:pPr>
              <w:keepNext/>
              <w:keepLines/>
              <w:spacing w:before="60" w:after="0" w:line="240" w:lineRule="atLeast"/>
              <w:rPr>
                <w:color w:val="000000"/>
                <w:sz w:val="20"/>
              </w:rPr>
            </w:pPr>
            <w:r w:rsidRPr="00C33F3B">
              <w:rPr>
                <w:color w:val="000000"/>
                <w:sz w:val="20"/>
              </w:rPr>
              <w:t>The activity is designed to enhance participants’ ability to act as a client-centric practitioner in advising retail clients.</w:t>
            </w:r>
          </w:p>
        </w:tc>
        <w:tc>
          <w:tcPr>
            <w:tcW w:w="261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3D785DF" w14:textId="77777777" w:rsidR="00C33F3B" w:rsidRPr="00C33F3B" w:rsidRDefault="00C33F3B" w:rsidP="00326B3B">
            <w:pPr>
              <w:keepNext/>
              <w:keepLines/>
              <w:spacing w:before="60" w:after="0" w:line="240" w:lineRule="atLeast"/>
              <w:rPr>
                <w:color w:val="000000"/>
                <w:sz w:val="20"/>
              </w:rPr>
            </w:pPr>
            <w:r w:rsidRPr="00C33F3B">
              <w:rPr>
                <w:color w:val="000000"/>
                <w:sz w:val="20"/>
              </w:rPr>
              <w:t>Client care and practice</w:t>
            </w:r>
          </w:p>
        </w:tc>
      </w:tr>
      <w:tr w:rsidR="008554A2" w:rsidRPr="00C33F3B" w14:paraId="3392FDDB" w14:textId="77777777" w:rsidTr="0088533B">
        <w:tc>
          <w:tcPr>
            <w:tcW w:w="71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406EEAD" w14:textId="77777777" w:rsidR="00C33F3B" w:rsidRPr="00C33F3B" w:rsidRDefault="00C33F3B" w:rsidP="00326B3B">
            <w:pPr>
              <w:keepNext/>
              <w:keepLines/>
              <w:spacing w:before="60" w:after="0" w:line="240" w:lineRule="atLeast"/>
              <w:rPr>
                <w:color w:val="000000"/>
                <w:sz w:val="20"/>
              </w:rPr>
            </w:pPr>
            <w:r w:rsidRPr="00C33F3B">
              <w:rPr>
                <w:color w:val="000000"/>
                <w:sz w:val="20"/>
              </w:rPr>
              <w:t>3</w:t>
            </w:r>
          </w:p>
        </w:tc>
        <w:tc>
          <w:tcPr>
            <w:tcW w:w="486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8FF6140" w14:textId="77777777" w:rsidR="00C33F3B" w:rsidRPr="00C33F3B" w:rsidRDefault="00C33F3B" w:rsidP="00326B3B">
            <w:pPr>
              <w:keepNext/>
              <w:keepLines/>
              <w:spacing w:before="60" w:after="0" w:line="240" w:lineRule="atLeast"/>
              <w:rPr>
                <w:color w:val="000000"/>
                <w:sz w:val="20"/>
              </w:rPr>
            </w:pPr>
            <w:r w:rsidRPr="00C33F3B">
              <w:rPr>
                <w:color w:val="000000"/>
                <w:sz w:val="20"/>
              </w:rPr>
              <w:t>The activity is designed to enhance participants’ understanding of applicable legal obligations and how to comply with them.</w:t>
            </w:r>
          </w:p>
        </w:tc>
        <w:tc>
          <w:tcPr>
            <w:tcW w:w="261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842BE7F" w14:textId="77777777" w:rsidR="00C33F3B" w:rsidRPr="00C33F3B" w:rsidRDefault="00C33F3B" w:rsidP="00326B3B">
            <w:pPr>
              <w:keepNext/>
              <w:keepLines/>
              <w:spacing w:before="60" w:after="0" w:line="240" w:lineRule="atLeast"/>
              <w:rPr>
                <w:color w:val="000000"/>
                <w:sz w:val="20"/>
              </w:rPr>
            </w:pPr>
            <w:r w:rsidRPr="00C33F3B">
              <w:rPr>
                <w:color w:val="000000"/>
                <w:sz w:val="20"/>
              </w:rPr>
              <w:t>Regulatory compliance and consumer protection</w:t>
            </w:r>
          </w:p>
        </w:tc>
      </w:tr>
      <w:tr w:rsidR="008554A2" w:rsidRPr="00C33F3B" w14:paraId="559B3FBF" w14:textId="77777777" w:rsidTr="0088533B">
        <w:tc>
          <w:tcPr>
            <w:tcW w:w="71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9218DCE" w14:textId="77777777" w:rsidR="00C33F3B" w:rsidRPr="00C33F3B" w:rsidRDefault="00C33F3B" w:rsidP="00326B3B">
            <w:pPr>
              <w:keepNext/>
              <w:keepLines/>
              <w:spacing w:before="60" w:after="0" w:line="240" w:lineRule="atLeast"/>
              <w:rPr>
                <w:color w:val="000000"/>
                <w:sz w:val="20"/>
              </w:rPr>
            </w:pPr>
            <w:r w:rsidRPr="00C33F3B">
              <w:rPr>
                <w:color w:val="000000"/>
                <w:sz w:val="20"/>
              </w:rPr>
              <w:t>4</w:t>
            </w:r>
          </w:p>
        </w:tc>
        <w:tc>
          <w:tcPr>
            <w:tcW w:w="486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749EA1C" w14:textId="77777777" w:rsidR="00C33F3B" w:rsidRPr="00C33F3B" w:rsidRDefault="00C33F3B" w:rsidP="00326B3B">
            <w:pPr>
              <w:keepNext/>
              <w:keepLines/>
              <w:spacing w:before="60" w:after="0" w:line="240" w:lineRule="atLeast"/>
              <w:rPr>
                <w:color w:val="000000"/>
                <w:sz w:val="20"/>
              </w:rPr>
            </w:pPr>
            <w:r w:rsidRPr="00C33F3B">
              <w:rPr>
                <w:color w:val="000000"/>
                <w:sz w:val="20"/>
              </w:rPr>
              <w:t>The activity is designed to enhance participants’ capacity to act as an ethical professional.</w:t>
            </w:r>
          </w:p>
        </w:tc>
        <w:tc>
          <w:tcPr>
            <w:tcW w:w="261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9A6F895" w14:textId="77777777" w:rsidR="00C33F3B" w:rsidRPr="00C33F3B" w:rsidRDefault="00C33F3B" w:rsidP="00326B3B">
            <w:pPr>
              <w:keepNext/>
              <w:keepLines/>
              <w:spacing w:before="60" w:after="0" w:line="240" w:lineRule="atLeast"/>
              <w:rPr>
                <w:color w:val="000000"/>
                <w:sz w:val="20"/>
              </w:rPr>
            </w:pPr>
            <w:r w:rsidRPr="00C33F3B">
              <w:rPr>
                <w:color w:val="000000"/>
                <w:sz w:val="20"/>
              </w:rPr>
              <w:t>Professionalism and ethics</w:t>
            </w:r>
          </w:p>
        </w:tc>
      </w:tr>
      <w:tr w:rsidR="008554A2" w:rsidRPr="00C33F3B" w14:paraId="5219629D" w14:textId="77777777" w:rsidTr="0088533B">
        <w:tc>
          <w:tcPr>
            <w:tcW w:w="711"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3FE97780" w14:textId="77777777" w:rsidR="00C33F3B" w:rsidRPr="00C33F3B" w:rsidRDefault="00C33F3B" w:rsidP="00326B3B">
            <w:pPr>
              <w:keepNext/>
              <w:keepLines/>
              <w:spacing w:before="60" w:after="0" w:line="240" w:lineRule="atLeast"/>
              <w:rPr>
                <w:color w:val="000000"/>
                <w:sz w:val="20"/>
              </w:rPr>
            </w:pPr>
            <w:r w:rsidRPr="00C33F3B">
              <w:rPr>
                <w:color w:val="000000"/>
                <w:sz w:val="20"/>
              </w:rPr>
              <w:t>5</w:t>
            </w:r>
          </w:p>
        </w:tc>
        <w:tc>
          <w:tcPr>
            <w:tcW w:w="4863"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7A9A3FAA" w14:textId="77777777" w:rsidR="00C33F3B" w:rsidRPr="00C33F3B" w:rsidRDefault="00C33F3B" w:rsidP="00326B3B">
            <w:pPr>
              <w:keepNext/>
              <w:keepLines/>
              <w:spacing w:before="60" w:after="0" w:line="240" w:lineRule="atLeast"/>
              <w:rPr>
                <w:color w:val="000000"/>
                <w:sz w:val="20"/>
              </w:rPr>
            </w:pPr>
            <w:r w:rsidRPr="00C33F3B">
              <w:rPr>
                <w:color w:val="000000"/>
                <w:sz w:val="20"/>
              </w:rPr>
              <w:t>The activity is designed to maintain and extend participants’ professional capabilities, knowledge and skills, including keeping up to date with regulatory, technical and other relevant developments, but is not in an area referred to in another item of this table.</w:t>
            </w:r>
          </w:p>
        </w:tc>
        <w:tc>
          <w:tcPr>
            <w:tcW w:w="2619"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0A89589E" w14:textId="77777777" w:rsidR="00C33F3B" w:rsidRPr="00C33F3B" w:rsidRDefault="00C33F3B" w:rsidP="00326B3B">
            <w:pPr>
              <w:keepNext/>
              <w:keepLines/>
              <w:spacing w:before="60" w:after="0" w:line="240" w:lineRule="atLeast"/>
              <w:rPr>
                <w:color w:val="000000"/>
                <w:sz w:val="20"/>
              </w:rPr>
            </w:pPr>
            <w:r w:rsidRPr="00C33F3B">
              <w:rPr>
                <w:color w:val="000000"/>
                <w:sz w:val="20"/>
              </w:rPr>
              <w:t>General</w:t>
            </w:r>
          </w:p>
        </w:tc>
      </w:tr>
    </w:tbl>
    <w:p w14:paraId="6457B0B7" w14:textId="42F1033B" w:rsidR="00E947C9" w:rsidRPr="00E947C9" w:rsidRDefault="00E947C9" w:rsidP="001075B8">
      <w:pPr>
        <w:pStyle w:val="Dotpoint"/>
        <w:numPr>
          <w:ilvl w:val="0"/>
          <w:numId w:val="0"/>
        </w:numPr>
      </w:pPr>
      <w:r>
        <w:t>This section amends item 1</w:t>
      </w:r>
      <w:r w:rsidR="00D304DC">
        <w:t>,</w:t>
      </w:r>
      <w:r>
        <w:t xml:space="preserve"> and inserts a new item 1A</w:t>
      </w:r>
      <w:r w:rsidR="00D304DC">
        <w:t>,</w:t>
      </w:r>
      <w:r>
        <w:t xml:space="preserve"> into the table in section 7 of the </w:t>
      </w:r>
      <w:r w:rsidRPr="00EA2876">
        <w:rPr>
          <w:i/>
          <w:iCs/>
        </w:rPr>
        <w:t>Corporations (Relevant Providers Continuing Professional Development Standard) Determination 2018</w:t>
      </w:r>
      <w:r>
        <w:t>.</w:t>
      </w:r>
    </w:p>
    <w:p w14:paraId="2D1DF3B7" w14:textId="60818853" w:rsidR="001075B8" w:rsidRDefault="001075B8" w:rsidP="001075B8">
      <w:pPr>
        <w:pStyle w:val="Dotpoint"/>
        <w:numPr>
          <w:ilvl w:val="0"/>
          <w:numId w:val="0"/>
        </w:numPr>
      </w:pPr>
      <w:r>
        <w:t xml:space="preserve">The </w:t>
      </w:r>
      <w:r w:rsidR="00471187">
        <w:t>CPD</w:t>
      </w:r>
      <w:r>
        <w:t xml:space="preserve"> requirements in the Instrument also apply as if </w:t>
      </w:r>
      <w:r w:rsidR="00E13918">
        <w:t xml:space="preserve">the qualifying CPD activities in </w:t>
      </w:r>
      <w:r>
        <w:t xml:space="preserve">subsection 9(2) of the </w:t>
      </w:r>
      <w:r w:rsidRPr="00EA2876">
        <w:rPr>
          <w:i/>
          <w:iCs/>
        </w:rPr>
        <w:t>Corporations (Relevant Providers Continuing Professional Development Standard) Determination 2018</w:t>
      </w:r>
      <w:r>
        <w:t xml:space="preserve"> were repealed and replaced with:</w:t>
      </w:r>
    </w:p>
    <w:p w14:paraId="6E6AE96E" w14:textId="0A507194" w:rsidR="001075B8" w:rsidRDefault="001075B8" w:rsidP="007B44CE">
      <w:pPr>
        <w:pStyle w:val="paragraph"/>
        <w:numPr>
          <w:ilvl w:val="0"/>
          <w:numId w:val="22"/>
        </w:numPr>
        <w:shd w:val="clear" w:color="auto" w:fill="FFFFFF"/>
        <w:spacing w:before="40" w:beforeAutospacing="0" w:after="0" w:afterAutospacing="0"/>
        <w:rPr>
          <w:color w:val="000000"/>
          <w:sz w:val="22"/>
          <w:szCs w:val="22"/>
        </w:rPr>
      </w:pPr>
      <w:r>
        <w:rPr>
          <w:color w:val="000000"/>
          <w:sz w:val="22"/>
          <w:szCs w:val="22"/>
        </w:rPr>
        <w:t>a minimum of 5 hours in the CPD area of technical competence</w:t>
      </w:r>
      <w:r w:rsidR="00E13918">
        <w:rPr>
          <w:color w:val="000000"/>
          <w:sz w:val="22"/>
          <w:szCs w:val="22"/>
        </w:rPr>
        <w:t xml:space="preserve"> (general)</w:t>
      </w:r>
      <w:r>
        <w:rPr>
          <w:color w:val="000000"/>
          <w:sz w:val="22"/>
          <w:szCs w:val="22"/>
        </w:rPr>
        <w:t>; and</w:t>
      </w:r>
    </w:p>
    <w:p w14:paraId="4A286250" w14:textId="29EB9C91" w:rsidR="00E13918" w:rsidRDefault="007B44CE" w:rsidP="007B44CE">
      <w:pPr>
        <w:pStyle w:val="paragraph"/>
        <w:shd w:val="clear" w:color="auto" w:fill="FFFFFF"/>
        <w:spacing w:before="40" w:beforeAutospacing="0" w:after="0" w:afterAutospacing="0"/>
        <w:ind w:left="360" w:hanging="360"/>
        <w:rPr>
          <w:color w:val="000000"/>
          <w:sz w:val="22"/>
          <w:szCs w:val="22"/>
        </w:rPr>
      </w:pPr>
      <w:r>
        <w:rPr>
          <w:color w:val="000000"/>
          <w:sz w:val="22"/>
          <w:szCs w:val="22"/>
        </w:rPr>
        <w:t>aa)</w:t>
      </w:r>
      <w:r>
        <w:rPr>
          <w:color w:val="000000"/>
          <w:sz w:val="22"/>
          <w:szCs w:val="22"/>
        </w:rPr>
        <w:tab/>
      </w:r>
      <w:r w:rsidR="00E13918" w:rsidRPr="00E13918">
        <w:rPr>
          <w:color w:val="000000"/>
          <w:sz w:val="22"/>
          <w:szCs w:val="22"/>
        </w:rPr>
        <w:t xml:space="preserve">a minimum of 5 hours in the CPD area of technical competence </w:t>
      </w:r>
      <w:r w:rsidR="00E13918">
        <w:rPr>
          <w:color w:val="000000"/>
          <w:sz w:val="22"/>
          <w:szCs w:val="22"/>
        </w:rPr>
        <w:br/>
      </w:r>
      <w:r w:rsidR="00E13918" w:rsidRPr="00E13918">
        <w:rPr>
          <w:color w:val="000000"/>
          <w:sz w:val="22"/>
          <w:szCs w:val="22"/>
        </w:rPr>
        <w:t>(tax-specific); and</w:t>
      </w:r>
    </w:p>
    <w:p w14:paraId="168A19F9" w14:textId="14A39D9B" w:rsidR="001075B8" w:rsidRDefault="001075B8" w:rsidP="007B44CE">
      <w:pPr>
        <w:pStyle w:val="paragraph"/>
        <w:numPr>
          <w:ilvl w:val="0"/>
          <w:numId w:val="22"/>
        </w:numPr>
        <w:shd w:val="clear" w:color="auto" w:fill="FFFFFF"/>
        <w:spacing w:before="40" w:beforeAutospacing="0" w:after="0" w:afterAutospacing="0"/>
        <w:rPr>
          <w:color w:val="000000"/>
          <w:sz w:val="22"/>
          <w:szCs w:val="22"/>
        </w:rPr>
      </w:pPr>
      <w:r>
        <w:rPr>
          <w:color w:val="000000"/>
          <w:sz w:val="22"/>
          <w:szCs w:val="22"/>
        </w:rPr>
        <w:t>a minimum of 5 hours in the CPD area of client care and practice; and</w:t>
      </w:r>
    </w:p>
    <w:p w14:paraId="4B13266B" w14:textId="095FC585" w:rsidR="001075B8" w:rsidRDefault="001075B8" w:rsidP="007B44CE">
      <w:pPr>
        <w:pStyle w:val="paragraph"/>
        <w:numPr>
          <w:ilvl w:val="0"/>
          <w:numId w:val="22"/>
        </w:numPr>
        <w:shd w:val="clear" w:color="auto" w:fill="FFFFFF"/>
        <w:spacing w:before="40" w:beforeAutospacing="0" w:after="0" w:afterAutospacing="0"/>
        <w:rPr>
          <w:color w:val="000000"/>
          <w:sz w:val="22"/>
          <w:szCs w:val="22"/>
        </w:rPr>
      </w:pPr>
      <w:r>
        <w:rPr>
          <w:color w:val="000000"/>
          <w:sz w:val="22"/>
          <w:szCs w:val="22"/>
        </w:rPr>
        <w:t>a minimum of 5 hours in the CPD area of regulatory compliance and consumer protection; and</w:t>
      </w:r>
    </w:p>
    <w:p w14:paraId="38B5C338" w14:textId="304ECD2A" w:rsidR="001075B8" w:rsidRDefault="001075B8" w:rsidP="007B44CE">
      <w:pPr>
        <w:pStyle w:val="paragraph"/>
        <w:numPr>
          <w:ilvl w:val="0"/>
          <w:numId w:val="22"/>
        </w:numPr>
        <w:shd w:val="clear" w:color="auto" w:fill="FFFFFF"/>
        <w:spacing w:before="40" w:beforeAutospacing="0" w:after="0" w:afterAutospacing="0"/>
        <w:rPr>
          <w:color w:val="000000"/>
          <w:sz w:val="22"/>
          <w:szCs w:val="22"/>
        </w:rPr>
      </w:pPr>
      <w:r>
        <w:rPr>
          <w:color w:val="000000"/>
          <w:sz w:val="22"/>
          <w:szCs w:val="22"/>
        </w:rPr>
        <w:t>a minimum of 9 hours in the CPD area of professionalism and ethics.</w:t>
      </w:r>
    </w:p>
    <w:p w14:paraId="4E788503" w14:textId="30DB873B" w:rsidR="001075B8" w:rsidRDefault="00D86B6F" w:rsidP="001075B8">
      <w:pPr>
        <w:pStyle w:val="Dotpoint"/>
        <w:numPr>
          <w:ilvl w:val="0"/>
          <w:numId w:val="0"/>
        </w:numPr>
      </w:pPr>
      <w:r>
        <w:t>A</w:t>
      </w:r>
      <w:r w:rsidR="00506EC6">
        <w:t xml:space="preserve"> financial adviser who provides tax (financial) advice </w:t>
      </w:r>
      <w:r>
        <w:t xml:space="preserve">services must </w:t>
      </w:r>
      <w:r w:rsidR="00B50D7C">
        <w:t>complete a t</w:t>
      </w:r>
      <w:r w:rsidR="0088533B">
        <w:t xml:space="preserve">otal of at least </w:t>
      </w:r>
      <w:r w:rsidR="008A36E2">
        <w:t xml:space="preserve">40 hours of CPD during </w:t>
      </w:r>
      <w:r>
        <w:t>his</w:t>
      </w:r>
      <w:r w:rsidR="008A36E2">
        <w:t xml:space="preserve"> financial services licensee’s CPD year, which must include</w:t>
      </w:r>
      <w:r w:rsidR="0088533B">
        <w:t xml:space="preserve"> </w:t>
      </w:r>
      <w:r w:rsidR="00B50D7C">
        <w:t>at least:</w:t>
      </w:r>
      <w:r w:rsidR="008A36E2">
        <w:t xml:space="preserve"> </w:t>
      </w:r>
    </w:p>
    <w:p w14:paraId="3DAF23C7" w14:textId="33659EA2" w:rsidR="008A36E2" w:rsidRDefault="008A36E2" w:rsidP="008A36E2">
      <w:pPr>
        <w:pStyle w:val="Dotpoint"/>
      </w:pPr>
      <w:r>
        <w:t>five hours of general technical competence;</w:t>
      </w:r>
    </w:p>
    <w:p w14:paraId="02FC6A1B" w14:textId="70DFAEB5" w:rsidR="008A36E2" w:rsidRDefault="008A36E2" w:rsidP="008A36E2">
      <w:pPr>
        <w:pStyle w:val="Dotpoint"/>
      </w:pPr>
      <w:r>
        <w:t>five hours of tax-specific technical competence</w:t>
      </w:r>
      <w:r w:rsidR="009557C6">
        <w:t xml:space="preserve"> </w:t>
      </w:r>
      <w:r w:rsidR="00B50D7C">
        <w:t>- this is the additional requirement for the provision of tax (financial) advice services)</w:t>
      </w:r>
      <w:r>
        <w:t>;</w:t>
      </w:r>
    </w:p>
    <w:p w14:paraId="3320F467" w14:textId="42C8D6B8" w:rsidR="008A36E2" w:rsidRDefault="008A36E2" w:rsidP="008A36E2">
      <w:pPr>
        <w:pStyle w:val="Dotpoint"/>
      </w:pPr>
      <w:r>
        <w:t xml:space="preserve">five hours of client care and practice; </w:t>
      </w:r>
    </w:p>
    <w:p w14:paraId="16E02187" w14:textId="77777777" w:rsidR="008A36E2" w:rsidRDefault="008A36E2" w:rsidP="008A36E2">
      <w:pPr>
        <w:pStyle w:val="Dotpoint"/>
      </w:pPr>
      <w:r>
        <w:t>five hours of regulatory compliance and consumer protection; and</w:t>
      </w:r>
    </w:p>
    <w:p w14:paraId="36A57AE9" w14:textId="22F4E0E6" w:rsidR="006348D0" w:rsidRDefault="008A36E2" w:rsidP="006348D0">
      <w:pPr>
        <w:pStyle w:val="Dotpoint"/>
      </w:pPr>
      <w:r>
        <w:lastRenderedPageBreak/>
        <w:t>nine hours of professionalism and ethics</w:t>
      </w:r>
      <w:r w:rsidR="00D86B6F">
        <w:t>.</w:t>
      </w:r>
    </w:p>
    <w:p w14:paraId="34CA980D" w14:textId="5F48EE35" w:rsidR="00A34B81" w:rsidRDefault="00A34B81" w:rsidP="00A34B81">
      <w:pPr>
        <w:pStyle w:val="Dotpoint"/>
        <w:numPr>
          <w:ilvl w:val="0"/>
          <w:numId w:val="0"/>
        </w:numPr>
      </w:pPr>
      <w:r>
        <w:t xml:space="preserve">The remaining hours of CPD (within the minimum of 40 hours) may be satisfied by completing any qualifying CPD activities. </w:t>
      </w:r>
    </w:p>
    <w:p w14:paraId="0BE74238" w14:textId="5B8EBC84" w:rsidR="00326B3B" w:rsidRPr="00A5173E" w:rsidRDefault="00326B3B" w:rsidP="00A5173E">
      <w:pPr>
        <w:pStyle w:val="Dotpoint"/>
        <w:numPr>
          <w:ilvl w:val="0"/>
          <w:numId w:val="0"/>
        </w:numPr>
        <w:ind w:left="720"/>
        <w:rPr>
          <w:b/>
          <w:bCs/>
          <w:sz w:val="20"/>
        </w:rPr>
      </w:pPr>
      <w:r w:rsidRPr="00A5173E">
        <w:rPr>
          <w:b/>
          <w:bCs/>
          <w:sz w:val="20"/>
        </w:rPr>
        <w:t>Example 1</w:t>
      </w:r>
    </w:p>
    <w:p w14:paraId="2BF9C972" w14:textId="2A9C0769" w:rsidR="008413C5" w:rsidRDefault="00A03911" w:rsidP="008413C5">
      <w:pPr>
        <w:pStyle w:val="Dotpoint"/>
        <w:numPr>
          <w:ilvl w:val="0"/>
          <w:numId w:val="0"/>
        </w:numPr>
        <w:ind w:left="720"/>
        <w:rPr>
          <w:sz w:val="20"/>
        </w:rPr>
      </w:pPr>
      <w:r w:rsidRPr="00A5173E">
        <w:rPr>
          <w:sz w:val="20"/>
        </w:rPr>
        <w:t>Pat, a financial adviser, completes</w:t>
      </w:r>
      <w:r w:rsidR="008413C5">
        <w:rPr>
          <w:sz w:val="20"/>
        </w:rPr>
        <w:t xml:space="preserve"> 40 hours of</w:t>
      </w:r>
      <w:r w:rsidRPr="00A5173E">
        <w:rPr>
          <w:sz w:val="20"/>
        </w:rPr>
        <w:t xml:space="preserve"> CPD during his licensee’s CPD year (which is between July 2022 and 30 June 2023</w:t>
      </w:r>
      <w:r w:rsidR="00A5173E" w:rsidRPr="00A5173E">
        <w:rPr>
          <w:sz w:val="20"/>
        </w:rPr>
        <w:t>)</w:t>
      </w:r>
      <w:r w:rsidR="008413C5">
        <w:rPr>
          <w:sz w:val="20"/>
        </w:rPr>
        <w:t xml:space="preserve">, including the minimum number of hours of each of the specified CPD areas (general technical competence; client care and practice; regulatory compliance and consumer protection; and professionalism and ethics). </w:t>
      </w:r>
    </w:p>
    <w:p w14:paraId="114802DA" w14:textId="75361B9C" w:rsidR="00A03911" w:rsidRPr="00A5173E" w:rsidRDefault="008413C5" w:rsidP="008413C5">
      <w:pPr>
        <w:pStyle w:val="Dotpoint"/>
        <w:numPr>
          <w:ilvl w:val="0"/>
          <w:numId w:val="0"/>
        </w:numPr>
        <w:ind w:left="720"/>
        <w:rPr>
          <w:sz w:val="20"/>
        </w:rPr>
      </w:pPr>
      <w:r>
        <w:rPr>
          <w:sz w:val="20"/>
        </w:rPr>
        <w:t>In addition to this, Pat has completed 16 hours of</w:t>
      </w:r>
      <w:r w:rsidR="00A5173E">
        <w:rPr>
          <w:sz w:val="20"/>
        </w:rPr>
        <w:t xml:space="preserve"> </w:t>
      </w:r>
      <w:r w:rsidR="00A03911" w:rsidRPr="00A5173E">
        <w:rPr>
          <w:sz w:val="20"/>
        </w:rPr>
        <w:t>tax-specific CPD this year</w:t>
      </w:r>
      <w:r w:rsidR="00562BF1">
        <w:rPr>
          <w:sz w:val="20"/>
        </w:rPr>
        <w:t>.</w:t>
      </w:r>
      <w:r w:rsidR="00562BF1" w:rsidRPr="00562BF1">
        <w:t xml:space="preserve"> </w:t>
      </w:r>
      <w:r w:rsidR="00562BF1" w:rsidRPr="00562BF1">
        <w:rPr>
          <w:sz w:val="20"/>
        </w:rPr>
        <w:t>While Pat is only required to complete a minimum of</w:t>
      </w:r>
      <w:r w:rsidR="00562BF1">
        <w:rPr>
          <w:sz w:val="20"/>
        </w:rPr>
        <w:t xml:space="preserve"> five</w:t>
      </w:r>
      <w:r w:rsidR="00562BF1" w:rsidRPr="00562BF1">
        <w:rPr>
          <w:sz w:val="20"/>
        </w:rPr>
        <w:t xml:space="preserve"> hours </w:t>
      </w:r>
      <w:r w:rsidR="00562BF1">
        <w:rPr>
          <w:sz w:val="20"/>
        </w:rPr>
        <w:t xml:space="preserve">of CPD in the area of </w:t>
      </w:r>
      <w:r w:rsidR="00562BF1" w:rsidRPr="00562BF1">
        <w:rPr>
          <w:sz w:val="20"/>
        </w:rPr>
        <w:t>tax</w:t>
      </w:r>
      <w:r w:rsidR="00562BF1">
        <w:rPr>
          <w:sz w:val="20"/>
        </w:rPr>
        <w:t>-specific</w:t>
      </w:r>
      <w:r w:rsidR="00562BF1" w:rsidRPr="00562BF1">
        <w:rPr>
          <w:sz w:val="20"/>
        </w:rPr>
        <w:t xml:space="preserve"> technical </w:t>
      </w:r>
      <w:r w:rsidR="00562BF1">
        <w:rPr>
          <w:sz w:val="20"/>
        </w:rPr>
        <w:t>competence,</w:t>
      </w:r>
      <w:r w:rsidR="00562BF1" w:rsidRPr="00562BF1">
        <w:rPr>
          <w:sz w:val="20"/>
        </w:rPr>
        <w:t xml:space="preserve"> Pat undertakes more tax-specific CPD </w:t>
      </w:r>
      <w:r w:rsidR="00562BF1">
        <w:rPr>
          <w:sz w:val="20"/>
        </w:rPr>
        <w:t xml:space="preserve">this year </w:t>
      </w:r>
      <w:r w:rsidR="00562BF1" w:rsidRPr="00562BF1">
        <w:rPr>
          <w:sz w:val="20"/>
        </w:rPr>
        <w:t>because he has only recently started providing tax (financial) advice services and wants to build up his technical knowledge in this area.</w:t>
      </w:r>
    </w:p>
    <w:p w14:paraId="68A6673E" w14:textId="14DD9B3E" w:rsidR="00A03911" w:rsidRDefault="008413C5" w:rsidP="00A5173E">
      <w:pPr>
        <w:pStyle w:val="Dotpoint"/>
        <w:numPr>
          <w:ilvl w:val="0"/>
          <w:numId w:val="0"/>
        </w:numPr>
        <w:ind w:left="720"/>
      </w:pPr>
      <w:r>
        <w:rPr>
          <w:sz w:val="20"/>
        </w:rPr>
        <w:t xml:space="preserve">Pat has </w:t>
      </w:r>
      <w:r w:rsidR="00A5173E" w:rsidRPr="00A5173E">
        <w:rPr>
          <w:sz w:val="20"/>
        </w:rPr>
        <w:t>complied with his CPD obligations</w:t>
      </w:r>
      <w:r w:rsidR="00BF3D63">
        <w:rPr>
          <w:sz w:val="20"/>
        </w:rPr>
        <w:t xml:space="preserve"> </w:t>
      </w:r>
      <w:r w:rsidR="00BF3D63" w:rsidRPr="00BF3D63">
        <w:rPr>
          <w:sz w:val="20"/>
        </w:rPr>
        <w:t xml:space="preserve">under this Instrument and the </w:t>
      </w:r>
      <w:r w:rsidR="00BF3D63" w:rsidRPr="00BF3D63">
        <w:rPr>
          <w:i/>
          <w:iCs/>
          <w:sz w:val="20"/>
        </w:rPr>
        <w:t>Corporations (Relevant Providers Continuing Professional Development Standard) Determination 2018</w:t>
      </w:r>
      <w:r w:rsidR="00BF3D63" w:rsidRPr="00BF3D63">
        <w:rPr>
          <w:sz w:val="20"/>
        </w:rPr>
        <w:t>.</w:t>
      </w:r>
    </w:p>
    <w:p w14:paraId="484FC547" w14:textId="154CD604" w:rsidR="00BE7A16" w:rsidRPr="00162F0A" w:rsidRDefault="00D6246B" w:rsidP="006A512F">
      <w:pPr>
        <w:pStyle w:val="Dotpoint"/>
        <w:keepNext/>
        <w:keepLines/>
        <w:numPr>
          <w:ilvl w:val="0"/>
          <w:numId w:val="0"/>
        </w:numPr>
        <w:rPr>
          <w:u w:val="single"/>
        </w:rPr>
      </w:pPr>
      <w:r w:rsidRPr="00162F0A">
        <w:rPr>
          <w:u w:val="single"/>
        </w:rPr>
        <w:t xml:space="preserve">Section </w:t>
      </w:r>
      <w:r w:rsidR="00BE3384">
        <w:rPr>
          <w:u w:val="single"/>
        </w:rPr>
        <w:t>3-170</w:t>
      </w:r>
      <w:r w:rsidR="00327A9F">
        <w:rPr>
          <w:u w:val="single"/>
        </w:rPr>
        <w:t xml:space="preserve"> – </w:t>
      </w:r>
      <w:r w:rsidR="00327A9F" w:rsidRPr="00327A9F">
        <w:rPr>
          <w:u w:val="single"/>
        </w:rPr>
        <w:t>Transitional</w:t>
      </w:r>
      <w:r w:rsidR="00327A9F">
        <w:rPr>
          <w:u w:val="single"/>
        </w:rPr>
        <w:t xml:space="preserve"> provision for </w:t>
      </w:r>
      <w:r w:rsidR="00327A9F" w:rsidRPr="00327A9F">
        <w:rPr>
          <w:u w:val="single"/>
        </w:rPr>
        <w:t xml:space="preserve">registered tax (financial) advisers who are </w:t>
      </w:r>
      <w:r w:rsidR="00757BDB">
        <w:rPr>
          <w:u w:val="single"/>
        </w:rPr>
        <w:t>financial adviser</w:t>
      </w:r>
      <w:r w:rsidR="00327A9F" w:rsidRPr="00327A9F">
        <w:rPr>
          <w:u w:val="single"/>
        </w:rPr>
        <w:t>s on 31 December 2021</w:t>
      </w:r>
    </w:p>
    <w:p w14:paraId="7235C7A0" w14:textId="62E2576E" w:rsidR="00D6246B" w:rsidRDefault="006348D0" w:rsidP="006A512F">
      <w:pPr>
        <w:pStyle w:val="Dotpoint"/>
        <w:keepNext/>
        <w:keepLines/>
        <w:numPr>
          <w:ilvl w:val="0"/>
          <w:numId w:val="0"/>
        </w:numPr>
      </w:pPr>
      <w:r>
        <w:t>This section</w:t>
      </w:r>
      <w:r w:rsidR="00D6246B">
        <w:t xml:space="preserve"> provides that a </w:t>
      </w:r>
      <w:r w:rsidR="00757BDB">
        <w:t>financial adviser</w:t>
      </w:r>
      <w:r>
        <w:t xml:space="preserve"> </w:t>
      </w:r>
      <w:r w:rsidR="00D6246B">
        <w:t xml:space="preserve">who was </w:t>
      </w:r>
      <w:r>
        <w:t xml:space="preserve">also a </w:t>
      </w:r>
      <w:r w:rsidR="00D6246B">
        <w:t xml:space="preserve">registered tax (financial) adviser </w:t>
      </w:r>
      <w:r w:rsidR="00817250">
        <w:t xml:space="preserve">immediately before </w:t>
      </w:r>
      <w:r w:rsidR="00D6246B">
        <w:t>1</w:t>
      </w:r>
      <w:r w:rsidR="00817250">
        <w:t> </w:t>
      </w:r>
      <w:r w:rsidR="00D6246B">
        <w:t xml:space="preserve">January 2022 is </w:t>
      </w:r>
      <w:r w:rsidR="00917054">
        <w:t xml:space="preserve">permanently exempt from the requirement to </w:t>
      </w:r>
      <w:r w:rsidR="00CA2644">
        <w:t xml:space="preserve">complete </w:t>
      </w:r>
      <w:r w:rsidR="0082663C">
        <w:t xml:space="preserve">commercial law and tax law courses, as required by </w:t>
      </w:r>
      <w:r w:rsidR="00D6246B">
        <w:t>Division</w:t>
      </w:r>
      <w:r w:rsidR="00D304DC">
        <w:t> </w:t>
      </w:r>
      <w:r w:rsidR="00D6246B">
        <w:t>3 of Part</w:t>
      </w:r>
      <w:r w:rsidR="008E5918">
        <w:t> </w:t>
      </w:r>
      <w:r w:rsidR="00D6246B">
        <w:t>3 of the Instrument.</w:t>
      </w:r>
    </w:p>
    <w:p w14:paraId="0CFB61A6" w14:textId="460B51F3" w:rsidR="00F36581" w:rsidRDefault="00F36581" w:rsidP="00F36581">
      <w:pPr>
        <w:pStyle w:val="Dotpoint"/>
        <w:numPr>
          <w:ilvl w:val="0"/>
          <w:numId w:val="0"/>
        </w:numPr>
      </w:pPr>
      <w:r>
        <w:t>This is because a person who is registered as a tax (financial) adviser before 1</w:t>
      </w:r>
      <w:r w:rsidR="009557C6">
        <w:t> </w:t>
      </w:r>
      <w:r>
        <w:t>January</w:t>
      </w:r>
      <w:r w:rsidR="009557C6">
        <w:t> </w:t>
      </w:r>
      <w:r>
        <w:t>2022 is taken to have satisfied the requirements for the provision of tax (financial) advi</w:t>
      </w:r>
      <w:r w:rsidR="009557C6">
        <w:t xml:space="preserve">ce services. </w:t>
      </w:r>
    </w:p>
    <w:p w14:paraId="09FDB12C" w14:textId="03D128D9" w:rsidR="00430A90" w:rsidRPr="00430A90" w:rsidRDefault="00430A90" w:rsidP="00430A90">
      <w:pPr>
        <w:pStyle w:val="Dotpoint"/>
        <w:numPr>
          <w:ilvl w:val="0"/>
          <w:numId w:val="0"/>
        </w:numPr>
        <w:ind w:left="720"/>
        <w:rPr>
          <w:b/>
          <w:bCs/>
          <w:sz w:val="20"/>
        </w:rPr>
      </w:pPr>
      <w:r w:rsidRPr="00430A90">
        <w:rPr>
          <w:b/>
          <w:bCs/>
          <w:sz w:val="20"/>
        </w:rPr>
        <w:t>Example</w:t>
      </w:r>
      <w:r>
        <w:rPr>
          <w:b/>
          <w:bCs/>
          <w:sz w:val="20"/>
        </w:rPr>
        <w:t xml:space="preserve"> </w:t>
      </w:r>
      <w:r w:rsidR="00A5173E">
        <w:rPr>
          <w:b/>
          <w:bCs/>
          <w:sz w:val="20"/>
        </w:rPr>
        <w:t>2</w:t>
      </w:r>
    </w:p>
    <w:p w14:paraId="109DDA30" w14:textId="3B53C2F3" w:rsidR="00B67EC5" w:rsidRPr="008554A2" w:rsidRDefault="00B67EC5" w:rsidP="008554A2">
      <w:pPr>
        <w:pStyle w:val="Dotpoint"/>
        <w:numPr>
          <w:ilvl w:val="0"/>
          <w:numId w:val="0"/>
        </w:numPr>
        <w:ind w:left="720"/>
        <w:rPr>
          <w:sz w:val="20"/>
        </w:rPr>
      </w:pPr>
      <w:r w:rsidRPr="00430A90">
        <w:rPr>
          <w:sz w:val="20"/>
        </w:rPr>
        <w:t>John is a financial adviser and was registered as a tax (financial) adviser immediately before 1</w:t>
      </w:r>
      <w:r w:rsidR="00430A90">
        <w:rPr>
          <w:sz w:val="20"/>
        </w:rPr>
        <w:t> </w:t>
      </w:r>
      <w:r w:rsidRPr="00430A90">
        <w:rPr>
          <w:sz w:val="20"/>
        </w:rPr>
        <w:t xml:space="preserve">January 2022. From 1 January 2022, John will be taken to have met the requirements to be a qualified tax relevant provider and </w:t>
      </w:r>
      <w:r w:rsidRPr="008554A2">
        <w:rPr>
          <w:sz w:val="20"/>
        </w:rPr>
        <w:t xml:space="preserve">may </w:t>
      </w:r>
      <w:r w:rsidRPr="00430A90">
        <w:rPr>
          <w:sz w:val="20"/>
        </w:rPr>
        <w:t xml:space="preserve">continue to </w:t>
      </w:r>
      <w:r w:rsidRPr="008554A2">
        <w:rPr>
          <w:sz w:val="20"/>
        </w:rPr>
        <w:t>provide tax (financial) advice services</w:t>
      </w:r>
      <w:r w:rsidRPr="00430A90">
        <w:rPr>
          <w:sz w:val="20"/>
        </w:rPr>
        <w:t>.</w:t>
      </w:r>
    </w:p>
    <w:p w14:paraId="5358A092" w14:textId="72CE8F30" w:rsidR="00D6246B" w:rsidRPr="00162F0A" w:rsidRDefault="0094637C" w:rsidP="008554A2">
      <w:pPr>
        <w:pStyle w:val="Dotpoint"/>
        <w:keepNext/>
        <w:keepLines/>
        <w:numPr>
          <w:ilvl w:val="0"/>
          <w:numId w:val="0"/>
        </w:numPr>
        <w:rPr>
          <w:u w:val="single"/>
        </w:rPr>
      </w:pPr>
      <w:r w:rsidRPr="00162F0A">
        <w:rPr>
          <w:u w:val="single"/>
        </w:rPr>
        <w:t xml:space="preserve">Section </w:t>
      </w:r>
      <w:r w:rsidR="00BE3384">
        <w:rPr>
          <w:u w:val="single"/>
        </w:rPr>
        <w:t>3-171</w:t>
      </w:r>
      <w:r w:rsidR="00327A9F">
        <w:rPr>
          <w:u w:val="single"/>
        </w:rPr>
        <w:t xml:space="preserve"> – </w:t>
      </w:r>
      <w:r w:rsidR="00327A9F" w:rsidRPr="00327A9F">
        <w:rPr>
          <w:u w:val="single"/>
        </w:rPr>
        <w:t>Transitional</w:t>
      </w:r>
      <w:r w:rsidR="00327A9F">
        <w:rPr>
          <w:u w:val="single"/>
        </w:rPr>
        <w:t xml:space="preserve"> provision for </w:t>
      </w:r>
      <w:r w:rsidR="00757BDB">
        <w:rPr>
          <w:u w:val="single"/>
        </w:rPr>
        <w:t>financial adviser</w:t>
      </w:r>
      <w:r w:rsidR="00327A9F" w:rsidRPr="00327A9F">
        <w:rPr>
          <w:u w:val="single"/>
        </w:rPr>
        <w:t>s awaiting registration as tax (financial) advisers on 31 December 2021</w:t>
      </w:r>
    </w:p>
    <w:p w14:paraId="30821F82" w14:textId="7E9CFCC7" w:rsidR="00AC1F20" w:rsidRDefault="00EB2F48" w:rsidP="008554A2">
      <w:pPr>
        <w:pStyle w:val="Dotpoint"/>
        <w:keepNext/>
        <w:keepLines/>
        <w:numPr>
          <w:ilvl w:val="0"/>
          <w:numId w:val="0"/>
        </w:numPr>
      </w:pPr>
      <w:r>
        <w:t>This section</w:t>
      </w:r>
      <w:r w:rsidR="0094637C">
        <w:t xml:space="preserve"> provides that a person </w:t>
      </w:r>
      <w:r w:rsidR="00AC1F20">
        <w:t>who meets all of the following requirements may provide tax (financial) advice services:</w:t>
      </w:r>
    </w:p>
    <w:p w14:paraId="41120560" w14:textId="77777777" w:rsidR="008E5918" w:rsidRDefault="00AC1F20" w:rsidP="0015401C">
      <w:pPr>
        <w:pStyle w:val="Dotpoint"/>
      </w:pPr>
      <w:r>
        <w:t>i</w:t>
      </w:r>
      <w:r w:rsidR="00EB2F48">
        <w:t>mmediately before 1 January 2022</w:t>
      </w:r>
      <w:r w:rsidR="008E5918">
        <w:t>:</w:t>
      </w:r>
    </w:p>
    <w:p w14:paraId="7B9FFA2B" w14:textId="106BBCA6" w:rsidR="008E5918" w:rsidRDefault="009D7B17" w:rsidP="008E5918">
      <w:pPr>
        <w:pStyle w:val="Dotpoint"/>
        <w:numPr>
          <w:ilvl w:val="0"/>
          <w:numId w:val="3"/>
        </w:numPr>
        <w:tabs>
          <w:tab w:val="clear" w:pos="851"/>
        </w:tabs>
        <w:ind w:left="851" w:hanging="425"/>
      </w:pPr>
      <w:r>
        <w:t xml:space="preserve">is a </w:t>
      </w:r>
      <w:r w:rsidR="00757BDB">
        <w:t>financial adviser</w:t>
      </w:r>
      <w:r w:rsidR="008E5918">
        <w:t>;</w:t>
      </w:r>
      <w:r w:rsidR="00BB25B2">
        <w:t xml:space="preserve"> and</w:t>
      </w:r>
    </w:p>
    <w:p w14:paraId="4A67ED79" w14:textId="5B5EA799" w:rsidR="008E5918" w:rsidRDefault="0094637C" w:rsidP="008E5918">
      <w:pPr>
        <w:pStyle w:val="Dotpoint"/>
        <w:numPr>
          <w:ilvl w:val="0"/>
          <w:numId w:val="3"/>
        </w:numPr>
        <w:tabs>
          <w:tab w:val="clear" w:pos="851"/>
        </w:tabs>
        <w:ind w:left="851" w:hanging="425"/>
      </w:pPr>
      <w:r>
        <w:t xml:space="preserve">has applied to be registered as a tax (financial) adviser under </w:t>
      </w:r>
      <w:r w:rsidR="00D304DC">
        <w:br/>
      </w:r>
      <w:r>
        <w:t>subsection 20-20(1) of the TAS Act</w:t>
      </w:r>
      <w:r w:rsidR="008E5918">
        <w:t>;</w:t>
      </w:r>
      <w:r w:rsidR="009D7B17">
        <w:t xml:space="preserve"> </w:t>
      </w:r>
      <w:r w:rsidR="00BB25B2">
        <w:t>and</w:t>
      </w:r>
    </w:p>
    <w:p w14:paraId="1A61561B" w14:textId="4939D331" w:rsidR="00AC1F20" w:rsidRDefault="00AC1F20" w:rsidP="008E5918">
      <w:pPr>
        <w:pStyle w:val="Dotpoint"/>
        <w:numPr>
          <w:ilvl w:val="0"/>
          <w:numId w:val="3"/>
        </w:numPr>
        <w:tabs>
          <w:tab w:val="clear" w:pos="851"/>
        </w:tabs>
        <w:ind w:left="851" w:hanging="425"/>
      </w:pPr>
      <w:r>
        <w:t>the application had not been decided; and</w:t>
      </w:r>
    </w:p>
    <w:p w14:paraId="4510BEAD" w14:textId="2A3F55D6" w:rsidR="00AC1F20" w:rsidRDefault="00AC1F20" w:rsidP="00AC1F20">
      <w:pPr>
        <w:pStyle w:val="Dotpoint"/>
      </w:pPr>
      <w:r>
        <w:t>after 1 January 2022</w:t>
      </w:r>
      <w:r w:rsidR="009D7B17">
        <w:t xml:space="preserve"> - </w:t>
      </w:r>
      <w:r>
        <w:t xml:space="preserve">that application </w:t>
      </w:r>
      <w:r w:rsidR="008E5918">
        <w:t xml:space="preserve">for registration as a tax (financial) adviser </w:t>
      </w:r>
      <w:r>
        <w:t xml:space="preserve">is </w:t>
      </w:r>
      <w:r w:rsidR="00CF3C4A">
        <w:t>granted</w:t>
      </w:r>
      <w:r>
        <w:t xml:space="preserve"> and that registration comes into force.</w:t>
      </w:r>
    </w:p>
    <w:p w14:paraId="03062CB2" w14:textId="1ABA1513" w:rsidR="00AC1F20" w:rsidRDefault="00D86B6F" w:rsidP="00AC1F20">
      <w:pPr>
        <w:pStyle w:val="Dotpoint"/>
        <w:numPr>
          <w:ilvl w:val="0"/>
          <w:numId w:val="0"/>
        </w:numPr>
      </w:pPr>
      <w:r>
        <w:t>A</w:t>
      </w:r>
      <w:r w:rsidR="00AC1F20">
        <w:t xml:space="preserve"> person </w:t>
      </w:r>
      <w:r>
        <w:t xml:space="preserve">who </w:t>
      </w:r>
      <w:r w:rsidR="00AC1F20">
        <w:t>satisfies all of these requirements</w:t>
      </w:r>
      <w:r>
        <w:t xml:space="preserve"> is </w:t>
      </w:r>
      <w:r w:rsidR="00AC1F20">
        <w:t>permitted to provide tax (financial) advice services without being required to complete the specified courses in Division 3 of Part 3 of the Instrument from the da</w:t>
      </w:r>
      <w:r w:rsidR="00E53B78">
        <w:t>y</w:t>
      </w:r>
      <w:r w:rsidR="00AC1F20">
        <w:t xml:space="preserve"> their registration under the TAS</w:t>
      </w:r>
      <w:r w:rsidR="0092183B">
        <w:t> </w:t>
      </w:r>
      <w:r w:rsidR="00AC1F20">
        <w:t xml:space="preserve">Act comes into force. </w:t>
      </w:r>
      <w:r w:rsidR="00E53B78">
        <w:t xml:space="preserve">Section 20-35 of the TAS Act provides that a person’s registration comes into force on the </w:t>
      </w:r>
      <w:r w:rsidR="00E53B78" w:rsidRPr="00E53B78">
        <w:t>day specified in the notice given</w:t>
      </w:r>
      <w:r w:rsidR="00E53B78">
        <w:t xml:space="preserve"> to the person</w:t>
      </w:r>
      <w:r w:rsidR="00E53B78" w:rsidRPr="00E53B78">
        <w:t xml:space="preserve"> under subsection 20‑30(1)</w:t>
      </w:r>
      <w:r w:rsidR="00E53B78">
        <w:t xml:space="preserve"> of the Act.</w:t>
      </w:r>
    </w:p>
    <w:p w14:paraId="7B45D429" w14:textId="2972DCBB" w:rsidR="00AC1F20" w:rsidRDefault="00AC1F20" w:rsidP="008554A2">
      <w:pPr>
        <w:pStyle w:val="Dotpoint"/>
        <w:numPr>
          <w:ilvl w:val="0"/>
          <w:numId w:val="0"/>
        </w:numPr>
      </w:pPr>
      <w:r>
        <w:lastRenderedPageBreak/>
        <w:t xml:space="preserve">This means that </w:t>
      </w:r>
      <w:r w:rsidR="00BB25B2">
        <w:t xml:space="preserve">between </w:t>
      </w:r>
      <w:r>
        <w:t xml:space="preserve">1 January 2022 </w:t>
      </w:r>
      <w:r w:rsidR="00D86B6F">
        <w:t xml:space="preserve">and the day </w:t>
      </w:r>
      <w:r>
        <w:t>the person’s registration</w:t>
      </w:r>
      <w:r w:rsidR="0089096B">
        <w:t xml:space="preserve"> </w:t>
      </w:r>
      <w:r w:rsidR="0092183B">
        <w:t xml:space="preserve">as a tax (financial) adviser </w:t>
      </w:r>
      <w:r>
        <w:t xml:space="preserve">comes into force, the person </w:t>
      </w:r>
      <w:r w:rsidR="00BB25B2">
        <w:t xml:space="preserve">may not </w:t>
      </w:r>
      <w:r>
        <w:t>provide tax (financial) advice services unless</w:t>
      </w:r>
      <w:r w:rsidR="00D86B6F">
        <w:t xml:space="preserve"> </w:t>
      </w:r>
      <w:r>
        <w:t>the person has completed the specified courses in Division 3 of Part 3 of the Instrument</w:t>
      </w:r>
      <w:r w:rsidR="00D86B6F">
        <w:t>.</w:t>
      </w:r>
    </w:p>
    <w:p w14:paraId="57ED59F8" w14:textId="4376B964" w:rsidR="003A3901" w:rsidRDefault="003A3901" w:rsidP="003A3901">
      <w:pPr>
        <w:pStyle w:val="Dotpoint"/>
        <w:numPr>
          <w:ilvl w:val="0"/>
          <w:numId w:val="0"/>
        </w:numPr>
      </w:pPr>
      <w:r>
        <w:t xml:space="preserve">This is because a person who is registered as a tax (financial) adviser </w:t>
      </w:r>
      <w:r w:rsidR="006A5486">
        <w:t xml:space="preserve">on or after 1 January 2022 </w:t>
      </w:r>
      <w:r>
        <w:t xml:space="preserve">is taken to have satisfied the requirements for the provision of tax (financial) advice services. </w:t>
      </w:r>
    </w:p>
    <w:p w14:paraId="7950B900" w14:textId="71E9F021" w:rsidR="00430A90" w:rsidRPr="00430A90" w:rsidRDefault="00430A90" w:rsidP="004266B2">
      <w:pPr>
        <w:keepNext/>
        <w:keepLines/>
        <w:ind w:left="720"/>
        <w:rPr>
          <w:b/>
          <w:bCs/>
          <w:sz w:val="20"/>
        </w:rPr>
      </w:pPr>
      <w:r w:rsidRPr="00430A90">
        <w:rPr>
          <w:b/>
          <w:bCs/>
          <w:sz w:val="20"/>
        </w:rPr>
        <w:t xml:space="preserve">Example </w:t>
      </w:r>
      <w:r w:rsidR="00A5173E">
        <w:rPr>
          <w:b/>
          <w:bCs/>
          <w:sz w:val="20"/>
        </w:rPr>
        <w:t>3</w:t>
      </w:r>
    </w:p>
    <w:p w14:paraId="2EAA9A14" w14:textId="134CE24A" w:rsidR="003A3901" w:rsidRPr="00430A90" w:rsidRDefault="00627058" w:rsidP="004266B2">
      <w:pPr>
        <w:keepNext/>
        <w:keepLines/>
        <w:ind w:left="720"/>
        <w:rPr>
          <w:sz w:val="20"/>
        </w:rPr>
      </w:pPr>
      <w:r w:rsidRPr="00430A90">
        <w:rPr>
          <w:sz w:val="20"/>
        </w:rPr>
        <w:t>Paula</w:t>
      </w:r>
      <w:r w:rsidR="003A3901" w:rsidRPr="00430A90">
        <w:rPr>
          <w:sz w:val="20"/>
        </w:rPr>
        <w:t xml:space="preserve"> is a financial adviser </w:t>
      </w:r>
      <w:r w:rsidR="00465E3A" w:rsidRPr="00430A90">
        <w:rPr>
          <w:sz w:val="20"/>
        </w:rPr>
        <w:t xml:space="preserve">who applied to be registered as a tax (financial) adviser </w:t>
      </w:r>
      <w:r w:rsidR="003A3901" w:rsidRPr="00430A90">
        <w:rPr>
          <w:sz w:val="20"/>
        </w:rPr>
        <w:t>on 11 December 2021</w:t>
      </w:r>
      <w:r w:rsidR="00465E3A" w:rsidRPr="00430A90">
        <w:rPr>
          <w:sz w:val="20"/>
        </w:rPr>
        <w:t>:</w:t>
      </w:r>
    </w:p>
    <w:p w14:paraId="595364D0" w14:textId="0262482F" w:rsidR="0088336A" w:rsidRPr="00430A90" w:rsidRDefault="0088336A" w:rsidP="004266B2">
      <w:pPr>
        <w:pStyle w:val="ListParagraph"/>
        <w:keepNext/>
        <w:keepLines/>
        <w:numPr>
          <w:ilvl w:val="0"/>
          <w:numId w:val="33"/>
        </w:numPr>
        <w:rPr>
          <w:sz w:val="20"/>
        </w:rPr>
      </w:pPr>
      <w:r w:rsidRPr="00430A90">
        <w:rPr>
          <w:sz w:val="20"/>
        </w:rPr>
        <w:t xml:space="preserve">Between 1 January 2022 and the date her tax (financial) adviser registration comes into force </w:t>
      </w:r>
      <w:r w:rsidR="00465E3A" w:rsidRPr="00430A90">
        <w:rPr>
          <w:sz w:val="20"/>
        </w:rPr>
        <w:t xml:space="preserve">(if it comes into force) </w:t>
      </w:r>
      <w:r w:rsidRPr="00430A90">
        <w:rPr>
          <w:sz w:val="20"/>
        </w:rPr>
        <w:t xml:space="preserve">- Paula </w:t>
      </w:r>
      <w:r w:rsidR="00CC3B5D" w:rsidRPr="00430A90">
        <w:rPr>
          <w:sz w:val="20"/>
        </w:rPr>
        <w:t>must not</w:t>
      </w:r>
      <w:r w:rsidRPr="00430A90">
        <w:rPr>
          <w:sz w:val="20"/>
        </w:rPr>
        <w:t xml:space="preserve"> provide tax (financial) services unless she has completed commercial law and tax law courses.</w:t>
      </w:r>
    </w:p>
    <w:p w14:paraId="55E8B6EF" w14:textId="61BAA8AF" w:rsidR="00627058" w:rsidRPr="00430A90" w:rsidRDefault="0088336A" w:rsidP="004266B2">
      <w:pPr>
        <w:pStyle w:val="ListParagraph"/>
        <w:keepNext/>
        <w:keepLines/>
        <w:numPr>
          <w:ilvl w:val="0"/>
          <w:numId w:val="33"/>
        </w:numPr>
        <w:rPr>
          <w:sz w:val="20"/>
        </w:rPr>
      </w:pPr>
      <w:r w:rsidRPr="00430A90">
        <w:rPr>
          <w:sz w:val="20"/>
        </w:rPr>
        <w:t xml:space="preserve">From the day </w:t>
      </w:r>
      <w:r w:rsidR="00627058" w:rsidRPr="00430A90">
        <w:rPr>
          <w:sz w:val="20"/>
        </w:rPr>
        <w:t>tax (financial) adviser registration comes into force</w:t>
      </w:r>
      <w:r w:rsidRPr="00430A90">
        <w:rPr>
          <w:sz w:val="20"/>
        </w:rPr>
        <w:t xml:space="preserve"> </w:t>
      </w:r>
      <w:r w:rsidR="00465E3A" w:rsidRPr="00430A90">
        <w:rPr>
          <w:sz w:val="20"/>
        </w:rPr>
        <w:t xml:space="preserve">(if it comes into force) </w:t>
      </w:r>
      <w:r w:rsidRPr="00430A90">
        <w:rPr>
          <w:sz w:val="20"/>
        </w:rPr>
        <w:t xml:space="preserve">- </w:t>
      </w:r>
      <w:r w:rsidR="00627058" w:rsidRPr="00430A90">
        <w:rPr>
          <w:sz w:val="20"/>
        </w:rPr>
        <w:t>Paula may provide tax (financial) advice services as a qualified tax relevant provider</w:t>
      </w:r>
      <w:r w:rsidRPr="00430A90">
        <w:rPr>
          <w:sz w:val="20"/>
        </w:rPr>
        <w:t xml:space="preserve"> without being required to complete commercial law and tax law courses.</w:t>
      </w:r>
    </w:p>
    <w:p w14:paraId="50E63497" w14:textId="4D71F280" w:rsidR="005B23A6" w:rsidRDefault="005B23A6" w:rsidP="008554A2">
      <w:pPr>
        <w:pStyle w:val="ListParagraph"/>
        <w:keepNext/>
        <w:keepLines/>
        <w:numPr>
          <w:ilvl w:val="0"/>
          <w:numId w:val="33"/>
        </w:numPr>
      </w:pPr>
      <w:r w:rsidRPr="00430A90">
        <w:rPr>
          <w:sz w:val="20"/>
        </w:rPr>
        <w:t>If Paula’s application to be registered as a tax (financial) adviser is refused</w:t>
      </w:r>
      <w:r w:rsidR="00BC1DE6" w:rsidRPr="00430A90">
        <w:rPr>
          <w:sz w:val="20"/>
        </w:rPr>
        <w:t xml:space="preserve"> (i.e. her registration as a tax (financial) adviser never comes into force) -</w:t>
      </w:r>
      <w:r w:rsidRPr="00430A90">
        <w:rPr>
          <w:sz w:val="20"/>
        </w:rPr>
        <w:t xml:space="preserve"> </w:t>
      </w:r>
      <w:r w:rsidR="00BC1DE6" w:rsidRPr="00430A90">
        <w:rPr>
          <w:sz w:val="20"/>
        </w:rPr>
        <w:t xml:space="preserve">from 1 January 2022 </w:t>
      </w:r>
      <w:r w:rsidRPr="00430A90">
        <w:rPr>
          <w:sz w:val="20"/>
        </w:rPr>
        <w:t xml:space="preserve">Paula must </w:t>
      </w:r>
      <w:r w:rsidR="00BC1DE6" w:rsidRPr="00430A90">
        <w:rPr>
          <w:sz w:val="20"/>
        </w:rPr>
        <w:t xml:space="preserve">have </w:t>
      </w:r>
      <w:r w:rsidRPr="00430A90">
        <w:rPr>
          <w:sz w:val="20"/>
        </w:rPr>
        <w:t>complete</w:t>
      </w:r>
      <w:r w:rsidR="00BC1DE6" w:rsidRPr="00430A90">
        <w:rPr>
          <w:sz w:val="20"/>
        </w:rPr>
        <w:t>d</w:t>
      </w:r>
      <w:r w:rsidRPr="00430A90">
        <w:rPr>
          <w:sz w:val="20"/>
        </w:rPr>
        <w:t xml:space="preserve"> commercial law and tax law courses </w:t>
      </w:r>
      <w:r w:rsidR="00BC1DE6" w:rsidRPr="00430A90">
        <w:rPr>
          <w:sz w:val="20"/>
        </w:rPr>
        <w:t xml:space="preserve">before she is able </w:t>
      </w:r>
      <w:r w:rsidRPr="00430A90">
        <w:rPr>
          <w:sz w:val="20"/>
        </w:rPr>
        <w:t>to provide tax (financial) advice services</w:t>
      </w:r>
      <w:r w:rsidRPr="008554A2">
        <w:rPr>
          <w:sz w:val="20"/>
        </w:rPr>
        <w:t>.</w:t>
      </w:r>
    </w:p>
    <w:p w14:paraId="08C992F2" w14:textId="1E8438E1" w:rsidR="00CD0885" w:rsidRPr="00162F0A" w:rsidRDefault="00862200" w:rsidP="00862200">
      <w:pPr>
        <w:pStyle w:val="Dotpoint"/>
        <w:numPr>
          <w:ilvl w:val="0"/>
          <w:numId w:val="0"/>
        </w:numPr>
        <w:rPr>
          <w:u w:val="single"/>
        </w:rPr>
      </w:pPr>
      <w:r w:rsidRPr="00162F0A">
        <w:rPr>
          <w:u w:val="single"/>
        </w:rPr>
        <w:t xml:space="preserve">Section </w:t>
      </w:r>
      <w:r w:rsidR="00BE3384">
        <w:rPr>
          <w:u w:val="single"/>
        </w:rPr>
        <w:t>3-172</w:t>
      </w:r>
      <w:r w:rsidR="00B03742">
        <w:rPr>
          <w:u w:val="single"/>
        </w:rPr>
        <w:t xml:space="preserve"> – </w:t>
      </w:r>
      <w:r w:rsidR="00B03742" w:rsidRPr="00B03742">
        <w:rPr>
          <w:u w:val="single"/>
        </w:rPr>
        <w:t>Transitional</w:t>
      </w:r>
      <w:r w:rsidR="00B03742">
        <w:rPr>
          <w:u w:val="single"/>
        </w:rPr>
        <w:t xml:space="preserve"> provision for </w:t>
      </w:r>
      <w:r w:rsidR="00B03742" w:rsidRPr="00B03742">
        <w:rPr>
          <w:u w:val="single"/>
        </w:rPr>
        <w:t xml:space="preserve">other </w:t>
      </w:r>
      <w:r w:rsidR="00757BDB">
        <w:rPr>
          <w:u w:val="single"/>
        </w:rPr>
        <w:t>financial adviser</w:t>
      </w:r>
      <w:r w:rsidR="00B03742" w:rsidRPr="00B03742">
        <w:rPr>
          <w:u w:val="single"/>
        </w:rPr>
        <w:t>s on 31</w:t>
      </w:r>
      <w:r w:rsidR="00B03742">
        <w:rPr>
          <w:u w:val="single"/>
        </w:rPr>
        <w:t> </w:t>
      </w:r>
      <w:r w:rsidR="00B03742" w:rsidRPr="00B03742">
        <w:rPr>
          <w:u w:val="single"/>
        </w:rPr>
        <w:t>December</w:t>
      </w:r>
      <w:r w:rsidR="00B03742">
        <w:rPr>
          <w:u w:val="single"/>
        </w:rPr>
        <w:t> </w:t>
      </w:r>
      <w:r w:rsidR="00B03742" w:rsidRPr="00B03742">
        <w:rPr>
          <w:u w:val="single"/>
        </w:rPr>
        <w:t>2021</w:t>
      </w:r>
    </w:p>
    <w:p w14:paraId="3BD33934" w14:textId="3CB2F9DD" w:rsidR="00862200" w:rsidRDefault="004740EA" w:rsidP="00862200">
      <w:pPr>
        <w:pStyle w:val="Dotpoint"/>
        <w:numPr>
          <w:ilvl w:val="0"/>
          <w:numId w:val="0"/>
        </w:numPr>
      </w:pPr>
      <w:r>
        <w:t>This section</w:t>
      </w:r>
      <w:r w:rsidR="00862200">
        <w:t xml:space="preserve"> provides that a person may provide tax (financial) advice services</w:t>
      </w:r>
      <w:r w:rsidR="00C25CE2">
        <w:t xml:space="preserve"> until 31 December 2025 without completing the specified courses in Division 3 of Part 3 of the Instrument</w:t>
      </w:r>
      <w:r w:rsidR="004548FB">
        <w:t xml:space="preserve"> – </w:t>
      </w:r>
      <w:r w:rsidR="00851C4E">
        <w:t>if the person is:</w:t>
      </w:r>
    </w:p>
    <w:p w14:paraId="497F1FE6" w14:textId="344091D1" w:rsidR="00862200" w:rsidRDefault="00862200" w:rsidP="00862200">
      <w:pPr>
        <w:pStyle w:val="Dotpoint"/>
      </w:pPr>
      <w:r>
        <w:t xml:space="preserve">a </w:t>
      </w:r>
      <w:r w:rsidR="00757BDB">
        <w:t>financial adviser</w:t>
      </w:r>
      <w:r w:rsidR="00851C4E">
        <w:t xml:space="preserve"> immediately before 1 January 2022;</w:t>
      </w:r>
    </w:p>
    <w:p w14:paraId="065D9D1C" w14:textId="3FA0542F" w:rsidR="00862200" w:rsidRDefault="00862200" w:rsidP="00862200">
      <w:pPr>
        <w:pStyle w:val="Dotpoint"/>
      </w:pPr>
      <w:r>
        <w:t>an existing provider, in accordance with the definition of ‘existing provider’ in section 1546A of the Act; and</w:t>
      </w:r>
    </w:p>
    <w:p w14:paraId="375981A5" w14:textId="724BD7CC" w:rsidR="00862200" w:rsidRDefault="00862200" w:rsidP="00862200">
      <w:pPr>
        <w:pStyle w:val="Dotpoint"/>
      </w:pPr>
      <w:r>
        <w:t xml:space="preserve">not </w:t>
      </w:r>
      <w:r w:rsidR="00A26301">
        <w:t xml:space="preserve">already </w:t>
      </w:r>
      <w:r w:rsidR="00A558AF">
        <w:t>subject to</w:t>
      </w:r>
      <w:r>
        <w:t xml:space="preserve"> the transitional provisions in sections </w:t>
      </w:r>
      <w:r w:rsidR="00BE3384">
        <w:t xml:space="preserve">3-170 or 3-171 </w:t>
      </w:r>
      <w:r w:rsidR="007E42A2">
        <w:t xml:space="preserve">in </w:t>
      </w:r>
      <w:r>
        <w:t>Division 6 of Part 3 of the Instrument</w:t>
      </w:r>
      <w:r w:rsidR="0006019E">
        <w:t xml:space="preserve">. </w:t>
      </w:r>
    </w:p>
    <w:p w14:paraId="17DAD218" w14:textId="4AFD1690" w:rsidR="0096386B" w:rsidRDefault="0041010A" w:rsidP="00B10439">
      <w:pPr>
        <w:pStyle w:val="Dotpoint"/>
        <w:numPr>
          <w:ilvl w:val="0"/>
          <w:numId w:val="0"/>
        </w:numPr>
      </w:pPr>
      <w:r>
        <w:t xml:space="preserve">A person who </w:t>
      </w:r>
      <w:r w:rsidR="00C25CE2">
        <w:t>satisfies the</w:t>
      </w:r>
      <w:r>
        <w:t xml:space="preserve">se </w:t>
      </w:r>
      <w:r w:rsidR="00C25CE2">
        <w:t>requirements</w:t>
      </w:r>
      <w:r>
        <w:t xml:space="preserve"> may </w:t>
      </w:r>
      <w:r w:rsidR="00C25CE2">
        <w:t>provide tax (financial) advice services between 1 January 2022 and 31</w:t>
      </w:r>
      <w:r w:rsidR="0096386B">
        <w:t> </w:t>
      </w:r>
      <w:r w:rsidR="00C25CE2">
        <w:t xml:space="preserve">December 2025 without being required to complete the </w:t>
      </w:r>
      <w:r w:rsidR="0096386B">
        <w:t xml:space="preserve">commercial law and tax law courses required by </w:t>
      </w:r>
      <w:r w:rsidR="00C25CE2">
        <w:t xml:space="preserve">Division 3 of Part 3 of the Instrument. </w:t>
      </w:r>
    </w:p>
    <w:p w14:paraId="58BD28CD" w14:textId="6A5762DC" w:rsidR="00C25CE2" w:rsidRDefault="00C25CE2" w:rsidP="00B10439">
      <w:pPr>
        <w:pStyle w:val="Dotpoint"/>
        <w:numPr>
          <w:ilvl w:val="0"/>
          <w:numId w:val="0"/>
        </w:numPr>
      </w:pPr>
      <w:r>
        <w:t>To continue providing tax (financial) advice services on and after 1</w:t>
      </w:r>
      <w:r w:rsidR="00BE3384">
        <w:t> </w:t>
      </w:r>
      <w:r>
        <w:t>January 2026, a person in this class must</w:t>
      </w:r>
      <w:r w:rsidR="0096386B">
        <w:t xml:space="preserve"> </w:t>
      </w:r>
      <w:r w:rsidR="00422E80">
        <w:t xml:space="preserve">have met </w:t>
      </w:r>
      <w:r w:rsidR="0096386B">
        <w:t xml:space="preserve">the requirements in Division 3 of Part 3 of the Instrument by completing </w:t>
      </w:r>
      <w:r w:rsidR="00B10439">
        <w:t>commercial law and tax law courses</w:t>
      </w:r>
      <w:r w:rsidR="0096386B">
        <w:t>.</w:t>
      </w:r>
      <w:r w:rsidR="00B10439">
        <w:t xml:space="preserve"> From 1</w:t>
      </w:r>
      <w:r w:rsidR="008D6865">
        <w:t> </w:t>
      </w:r>
      <w:r w:rsidR="00B10439">
        <w:t>January</w:t>
      </w:r>
      <w:r w:rsidR="008D6865">
        <w:t> </w:t>
      </w:r>
      <w:r w:rsidR="00B10439">
        <w:t xml:space="preserve">2026, the provision of tax (financial) advice services for a fee or reward without </w:t>
      </w:r>
      <w:r w:rsidR="00A26301">
        <w:t xml:space="preserve">having completed </w:t>
      </w:r>
      <w:r w:rsidR="00422E80">
        <w:t xml:space="preserve">both of </w:t>
      </w:r>
      <w:r w:rsidR="00A26301">
        <w:t xml:space="preserve">the specified courses </w:t>
      </w:r>
      <w:r w:rsidR="00B10439">
        <w:t xml:space="preserve">(or </w:t>
      </w:r>
      <w:r w:rsidR="00090AFC">
        <w:t xml:space="preserve">alternatively </w:t>
      </w:r>
      <w:r w:rsidR="00B10439">
        <w:t>being registered as a tax agent) is a contravention of the civil penalty provision in section 50-17 of the TAS</w:t>
      </w:r>
      <w:r w:rsidR="00A96ACE">
        <w:t> </w:t>
      </w:r>
      <w:r w:rsidR="00B10439">
        <w:t>Act.</w:t>
      </w:r>
    </w:p>
    <w:p w14:paraId="6CEFB018" w14:textId="5BB150B6" w:rsidR="00004FAB" w:rsidRDefault="007F2801" w:rsidP="008554A2">
      <w:pPr>
        <w:pStyle w:val="Dotpoint"/>
        <w:keepNext/>
        <w:keepLines/>
        <w:numPr>
          <w:ilvl w:val="0"/>
          <w:numId w:val="0"/>
        </w:numPr>
      </w:pPr>
      <w:r>
        <w:lastRenderedPageBreak/>
        <w:t xml:space="preserve">However, this transitional provision </w:t>
      </w:r>
      <w:r w:rsidR="00A43DD1">
        <w:t xml:space="preserve">will end </w:t>
      </w:r>
      <w:r w:rsidR="0041010A">
        <w:t>early if (before 31 Decem</w:t>
      </w:r>
      <w:r w:rsidR="00A43DD1">
        <w:t>ber</w:t>
      </w:r>
      <w:r w:rsidR="008D6865">
        <w:t> </w:t>
      </w:r>
      <w:r w:rsidR="00A43DD1">
        <w:t>2025</w:t>
      </w:r>
      <w:r w:rsidR="0041010A">
        <w:t xml:space="preserve">) if: </w:t>
      </w:r>
    </w:p>
    <w:p w14:paraId="07042502" w14:textId="3C7234E7" w:rsidR="00004FAB" w:rsidRDefault="00004FAB" w:rsidP="008554A2">
      <w:pPr>
        <w:pStyle w:val="Dotpoint"/>
        <w:keepNext/>
        <w:keepLines/>
      </w:pPr>
      <w:r>
        <w:t>the person is</w:t>
      </w:r>
      <w:r w:rsidR="007F2801">
        <w:t xml:space="preserve"> an existing provider</w:t>
      </w:r>
      <w:r>
        <w:t>; and</w:t>
      </w:r>
    </w:p>
    <w:p w14:paraId="68563A95" w14:textId="77777777" w:rsidR="00422D79" w:rsidRDefault="00004FAB" w:rsidP="008554A2">
      <w:pPr>
        <w:pStyle w:val="Dotpoint"/>
        <w:keepNext/>
        <w:keepLines/>
      </w:pPr>
      <w:r>
        <w:t xml:space="preserve">the person </w:t>
      </w:r>
      <w:r w:rsidR="00422D79">
        <w:t>is authorised as</w:t>
      </w:r>
      <w:r w:rsidR="007F2801">
        <w:t xml:space="preserve"> a </w:t>
      </w:r>
      <w:r w:rsidR="00757BDB">
        <w:t>financial adviser</w:t>
      </w:r>
      <w:r w:rsidR="007F2801">
        <w:t xml:space="preserve"> on the exam cut-off day</w:t>
      </w:r>
      <w:r w:rsidR="00422D79">
        <w:t>; and</w:t>
      </w:r>
    </w:p>
    <w:p w14:paraId="6ED2CBA9" w14:textId="4E5B5BBA" w:rsidR="007F3A75" w:rsidRDefault="00422D79" w:rsidP="008554A2">
      <w:pPr>
        <w:pStyle w:val="Dotpoint"/>
        <w:keepNext/>
        <w:keepLines/>
      </w:pPr>
      <w:r>
        <w:t xml:space="preserve">the person </w:t>
      </w:r>
      <w:r w:rsidR="0096386B">
        <w:t xml:space="preserve">does not </w:t>
      </w:r>
      <w:r w:rsidR="007F2801">
        <w:t xml:space="preserve">pass </w:t>
      </w:r>
      <w:r w:rsidR="00A43DD1">
        <w:t>the financial adviser exam by the relevant exam cut-off day for th</w:t>
      </w:r>
      <w:r>
        <w:t>at</w:t>
      </w:r>
      <w:r w:rsidR="00A43DD1">
        <w:t xml:space="preserve"> person</w:t>
      </w:r>
      <w:r w:rsidR="007F2801">
        <w:t xml:space="preserve">. </w:t>
      </w:r>
    </w:p>
    <w:p w14:paraId="03A1D668" w14:textId="0450B815" w:rsidR="00176742" w:rsidRDefault="00090AFC" w:rsidP="004B401D">
      <w:pPr>
        <w:pStyle w:val="Dotpoint"/>
        <w:numPr>
          <w:ilvl w:val="0"/>
          <w:numId w:val="0"/>
        </w:numPr>
      </w:pPr>
      <w:r>
        <w:t>S</w:t>
      </w:r>
      <w:r w:rsidR="00176742">
        <w:t>ection 1684 of the Act</w:t>
      </w:r>
      <w:r>
        <w:t xml:space="preserve"> provides that</w:t>
      </w:r>
      <w:r w:rsidR="00176742">
        <w:t xml:space="preserve"> the exam cut-off day for an existing provider is</w:t>
      </w:r>
      <w:r w:rsidR="0096386B">
        <w:t xml:space="preserve"> either 1 January 2022, or the day prescribed in regulations (if any). The regulation</w:t>
      </w:r>
      <w:r w:rsidR="00FA5C25">
        <w:t>s</w:t>
      </w:r>
      <w:r w:rsidR="0096386B">
        <w:t xml:space="preserve"> prescribe that the exam cut-off day </w:t>
      </w:r>
      <w:r>
        <w:t xml:space="preserve">is 1 October 2022 </w:t>
      </w:r>
      <w:r w:rsidR="0096386B">
        <w:t>for a person who has sat the exam at least twice before 1 January 2022</w:t>
      </w:r>
      <w:r>
        <w:t>.</w:t>
      </w:r>
    </w:p>
    <w:p w14:paraId="6F31F259" w14:textId="04645325" w:rsidR="00D33BA1" w:rsidRPr="00D33BA1" w:rsidRDefault="00D33BA1" w:rsidP="004266B2">
      <w:pPr>
        <w:keepNext/>
        <w:keepLines/>
        <w:ind w:left="720"/>
        <w:rPr>
          <w:b/>
          <w:bCs/>
          <w:sz w:val="20"/>
        </w:rPr>
      </w:pPr>
      <w:r w:rsidRPr="00D33BA1">
        <w:rPr>
          <w:b/>
          <w:bCs/>
          <w:sz w:val="20"/>
        </w:rPr>
        <w:t xml:space="preserve">Example </w:t>
      </w:r>
      <w:r w:rsidR="00A5173E">
        <w:rPr>
          <w:b/>
          <w:bCs/>
          <w:sz w:val="20"/>
        </w:rPr>
        <w:t>4</w:t>
      </w:r>
    </w:p>
    <w:p w14:paraId="33160701" w14:textId="30C271DD" w:rsidR="0041010A" w:rsidRPr="008554A2" w:rsidRDefault="0041010A" w:rsidP="008554A2">
      <w:pPr>
        <w:keepNext/>
        <w:keepLines/>
        <w:ind w:left="720"/>
        <w:rPr>
          <w:sz w:val="20"/>
        </w:rPr>
      </w:pPr>
      <w:r w:rsidRPr="00D33BA1">
        <w:rPr>
          <w:sz w:val="20"/>
        </w:rPr>
        <w:t>Steven is</w:t>
      </w:r>
      <w:r w:rsidRPr="008554A2">
        <w:rPr>
          <w:sz w:val="20"/>
        </w:rPr>
        <w:t xml:space="preserve"> </w:t>
      </w:r>
      <w:r w:rsidR="0096386B" w:rsidRPr="008554A2">
        <w:rPr>
          <w:sz w:val="20"/>
        </w:rPr>
        <w:t>a</w:t>
      </w:r>
      <w:r w:rsidR="00D2238A" w:rsidRPr="008554A2">
        <w:rPr>
          <w:sz w:val="20"/>
        </w:rPr>
        <w:t xml:space="preserve">n existing provider </w:t>
      </w:r>
      <w:r w:rsidRPr="00D33BA1">
        <w:rPr>
          <w:sz w:val="20"/>
        </w:rPr>
        <w:t>and has</w:t>
      </w:r>
      <w:r w:rsidR="00D5768B" w:rsidRPr="00D33BA1">
        <w:rPr>
          <w:sz w:val="20"/>
        </w:rPr>
        <w:t xml:space="preserve"> unsuccessfully</w:t>
      </w:r>
      <w:r w:rsidRPr="00D33BA1">
        <w:rPr>
          <w:sz w:val="20"/>
        </w:rPr>
        <w:t xml:space="preserve"> sat the exam twice before 1</w:t>
      </w:r>
      <w:r w:rsidR="00D5768B" w:rsidRPr="00D33BA1">
        <w:rPr>
          <w:sz w:val="20"/>
        </w:rPr>
        <w:t> </w:t>
      </w:r>
      <w:r w:rsidRPr="00D33BA1">
        <w:rPr>
          <w:sz w:val="20"/>
        </w:rPr>
        <w:t>January 2022. Steven</w:t>
      </w:r>
      <w:r w:rsidR="00D5768B" w:rsidRPr="00D33BA1">
        <w:rPr>
          <w:sz w:val="20"/>
        </w:rPr>
        <w:t>’s</w:t>
      </w:r>
      <w:r w:rsidR="00D5768B" w:rsidRPr="008554A2">
        <w:rPr>
          <w:sz w:val="20"/>
        </w:rPr>
        <w:t xml:space="preserve"> exam cut-off day is </w:t>
      </w:r>
      <w:r w:rsidRPr="00D33BA1">
        <w:rPr>
          <w:sz w:val="20"/>
        </w:rPr>
        <w:t xml:space="preserve">30 September </w:t>
      </w:r>
      <w:r w:rsidRPr="008554A2">
        <w:rPr>
          <w:sz w:val="20"/>
        </w:rPr>
        <w:t>2022</w:t>
      </w:r>
      <w:r w:rsidR="00D5768B" w:rsidRPr="008554A2">
        <w:rPr>
          <w:sz w:val="20"/>
        </w:rPr>
        <w:t>.</w:t>
      </w:r>
    </w:p>
    <w:p w14:paraId="4B95C0EE" w14:textId="315E98FE" w:rsidR="0041010A" w:rsidRPr="00D33BA1" w:rsidRDefault="00733DE7" w:rsidP="004266B2">
      <w:pPr>
        <w:pStyle w:val="ListParagraph"/>
        <w:keepNext/>
        <w:keepLines/>
        <w:numPr>
          <w:ilvl w:val="0"/>
          <w:numId w:val="34"/>
        </w:numPr>
        <w:rPr>
          <w:sz w:val="20"/>
        </w:rPr>
      </w:pPr>
      <w:r w:rsidRPr="00D33BA1">
        <w:rPr>
          <w:sz w:val="20"/>
        </w:rPr>
        <w:t xml:space="preserve">Scenario 1 - </w:t>
      </w:r>
      <w:r w:rsidR="0041010A" w:rsidRPr="00D33BA1">
        <w:rPr>
          <w:sz w:val="20"/>
        </w:rPr>
        <w:t xml:space="preserve">Steven </w:t>
      </w:r>
      <w:r w:rsidR="0041010A" w:rsidRPr="008554A2">
        <w:rPr>
          <w:sz w:val="20"/>
        </w:rPr>
        <w:t xml:space="preserve">passes the financial adviser exam before </w:t>
      </w:r>
      <w:r w:rsidR="0041010A" w:rsidRPr="00D33BA1">
        <w:rPr>
          <w:sz w:val="20"/>
        </w:rPr>
        <w:t>30 September</w:t>
      </w:r>
      <w:r w:rsidR="0041010A" w:rsidRPr="008554A2">
        <w:rPr>
          <w:sz w:val="20"/>
        </w:rPr>
        <w:t xml:space="preserve"> 2022 </w:t>
      </w:r>
      <w:r w:rsidR="0041010A" w:rsidRPr="00D33BA1">
        <w:rPr>
          <w:sz w:val="20"/>
        </w:rPr>
        <w:t xml:space="preserve">– Steven can continue to provide tax (financial) advise services </w:t>
      </w:r>
      <w:r w:rsidR="0041010A" w:rsidRPr="008554A2">
        <w:rPr>
          <w:sz w:val="20"/>
        </w:rPr>
        <w:t>until 31</w:t>
      </w:r>
      <w:r w:rsidRPr="008554A2">
        <w:rPr>
          <w:sz w:val="20"/>
        </w:rPr>
        <w:t> </w:t>
      </w:r>
      <w:r w:rsidR="0041010A" w:rsidRPr="008554A2">
        <w:rPr>
          <w:sz w:val="20"/>
        </w:rPr>
        <w:t>December</w:t>
      </w:r>
      <w:r w:rsidRPr="00D33BA1">
        <w:rPr>
          <w:sz w:val="20"/>
        </w:rPr>
        <w:t> </w:t>
      </w:r>
      <w:r w:rsidR="0041010A" w:rsidRPr="008554A2">
        <w:rPr>
          <w:sz w:val="20"/>
        </w:rPr>
        <w:t xml:space="preserve">2025 </w:t>
      </w:r>
      <w:r w:rsidR="0041010A" w:rsidRPr="00D33BA1">
        <w:rPr>
          <w:sz w:val="20"/>
        </w:rPr>
        <w:t xml:space="preserve">without completing </w:t>
      </w:r>
      <w:r w:rsidR="0041010A" w:rsidRPr="008554A2">
        <w:rPr>
          <w:sz w:val="20"/>
        </w:rPr>
        <w:t>commercial law and tax law courses</w:t>
      </w:r>
      <w:r w:rsidR="0041010A" w:rsidRPr="00D33BA1">
        <w:rPr>
          <w:sz w:val="20"/>
        </w:rPr>
        <w:t>.</w:t>
      </w:r>
    </w:p>
    <w:p w14:paraId="0DDA1AD0" w14:textId="6B51A51A" w:rsidR="0041010A" w:rsidRPr="008554A2" w:rsidRDefault="00733DE7" w:rsidP="008554A2">
      <w:pPr>
        <w:pStyle w:val="ListParagraph"/>
        <w:keepNext/>
        <w:keepLines/>
        <w:numPr>
          <w:ilvl w:val="0"/>
          <w:numId w:val="34"/>
        </w:numPr>
        <w:rPr>
          <w:sz w:val="20"/>
        </w:rPr>
      </w:pPr>
      <w:r w:rsidRPr="00D33BA1">
        <w:rPr>
          <w:sz w:val="20"/>
        </w:rPr>
        <w:t xml:space="preserve">Scenario 2 - </w:t>
      </w:r>
      <w:r w:rsidR="0041010A" w:rsidRPr="00D33BA1">
        <w:rPr>
          <w:sz w:val="20"/>
        </w:rPr>
        <w:t xml:space="preserve">Steven </w:t>
      </w:r>
      <w:r w:rsidRPr="00D33BA1">
        <w:rPr>
          <w:sz w:val="20"/>
        </w:rPr>
        <w:t xml:space="preserve">does not </w:t>
      </w:r>
      <w:r w:rsidR="0041010A" w:rsidRPr="00D33BA1">
        <w:rPr>
          <w:sz w:val="20"/>
        </w:rPr>
        <w:t>pass the exam by 30 September 2022</w:t>
      </w:r>
      <w:r w:rsidRPr="00D33BA1">
        <w:rPr>
          <w:sz w:val="20"/>
        </w:rPr>
        <w:t xml:space="preserve"> - Steven must not provide</w:t>
      </w:r>
      <w:r w:rsidRPr="008554A2">
        <w:rPr>
          <w:sz w:val="20"/>
        </w:rPr>
        <w:t xml:space="preserve"> tax (financial) advice services </w:t>
      </w:r>
      <w:r w:rsidRPr="00D33BA1">
        <w:rPr>
          <w:sz w:val="20"/>
        </w:rPr>
        <w:t xml:space="preserve">until he has met </w:t>
      </w:r>
      <w:r w:rsidR="007C6910" w:rsidRPr="00D33BA1">
        <w:rPr>
          <w:sz w:val="20"/>
        </w:rPr>
        <w:t>one</w:t>
      </w:r>
      <w:r w:rsidRPr="00D33BA1">
        <w:rPr>
          <w:sz w:val="20"/>
        </w:rPr>
        <w:t xml:space="preserve"> the following requirements (or contravene a civil penalty provision):</w:t>
      </w:r>
    </w:p>
    <w:p w14:paraId="04775A60" w14:textId="66915BE6" w:rsidR="007C6910" w:rsidRPr="008554A2" w:rsidRDefault="007C6910" w:rsidP="008554A2">
      <w:pPr>
        <w:pStyle w:val="ListParagraph"/>
        <w:keepNext/>
        <w:keepLines/>
        <w:numPr>
          <w:ilvl w:val="1"/>
          <w:numId w:val="34"/>
        </w:numPr>
        <w:rPr>
          <w:sz w:val="20"/>
        </w:rPr>
      </w:pPr>
      <w:r w:rsidRPr="008554A2">
        <w:rPr>
          <w:sz w:val="20"/>
        </w:rPr>
        <w:t>be registered as a tax agent under the TAS Act</w:t>
      </w:r>
      <w:r w:rsidRPr="00D33BA1">
        <w:rPr>
          <w:sz w:val="20"/>
        </w:rPr>
        <w:t>; or</w:t>
      </w:r>
    </w:p>
    <w:p w14:paraId="3F34684C" w14:textId="717F7FE6" w:rsidR="007C6910" w:rsidRPr="00D33BA1" w:rsidRDefault="007C6910" w:rsidP="004266B2">
      <w:pPr>
        <w:pStyle w:val="ListParagraph"/>
        <w:keepNext/>
        <w:keepLines/>
        <w:numPr>
          <w:ilvl w:val="1"/>
          <w:numId w:val="34"/>
        </w:numPr>
        <w:rPr>
          <w:sz w:val="20"/>
        </w:rPr>
      </w:pPr>
      <w:r w:rsidRPr="00D33BA1">
        <w:rPr>
          <w:sz w:val="20"/>
        </w:rPr>
        <w:t>meet the requirements to be a qualified tax relevant provider – which involves:</w:t>
      </w:r>
    </w:p>
    <w:p w14:paraId="15F0EEBB" w14:textId="435A8DF2" w:rsidR="00733DE7" w:rsidRPr="00D33BA1" w:rsidRDefault="00733DE7" w:rsidP="004266B2">
      <w:pPr>
        <w:pStyle w:val="ListParagraph"/>
        <w:keepNext/>
        <w:keepLines/>
        <w:numPr>
          <w:ilvl w:val="1"/>
          <w:numId w:val="34"/>
        </w:numPr>
        <w:rPr>
          <w:sz w:val="20"/>
        </w:rPr>
      </w:pPr>
      <w:r w:rsidRPr="00D33BA1">
        <w:rPr>
          <w:sz w:val="20"/>
        </w:rPr>
        <w:t>be</w:t>
      </w:r>
      <w:r w:rsidR="007C6910" w:rsidRPr="00D33BA1">
        <w:rPr>
          <w:sz w:val="20"/>
        </w:rPr>
        <w:t>ing</w:t>
      </w:r>
      <w:r w:rsidRPr="00D33BA1">
        <w:rPr>
          <w:sz w:val="20"/>
        </w:rPr>
        <w:t xml:space="preserve"> authorised again as a financial adviser by meeting all</w:t>
      </w:r>
      <w:r w:rsidRPr="008554A2">
        <w:rPr>
          <w:sz w:val="20"/>
        </w:rPr>
        <w:t xml:space="preserve"> of </w:t>
      </w:r>
      <w:r w:rsidRPr="00D33BA1">
        <w:rPr>
          <w:sz w:val="20"/>
        </w:rPr>
        <w:t>the applicable education and training standards in section 921B of the Corporations Act (including passing the exam); and</w:t>
      </w:r>
    </w:p>
    <w:p w14:paraId="45E07643" w14:textId="15B81B82" w:rsidR="00733DE7" w:rsidRPr="00D33BA1" w:rsidRDefault="00733DE7" w:rsidP="004266B2">
      <w:pPr>
        <w:pStyle w:val="ListParagraph"/>
        <w:keepNext/>
        <w:keepLines/>
        <w:numPr>
          <w:ilvl w:val="1"/>
          <w:numId w:val="34"/>
        </w:numPr>
        <w:rPr>
          <w:sz w:val="20"/>
        </w:rPr>
      </w:pPr>
      <w:r w:rsidRPr="00D33BA1">
        <w:rPr>
          <w:sz w:val="20"/>
        </w:rPr>
        <w:t>complet</w:t>
      </w:r>
      <w:r w:rsidR="007C6910" w:rsidRPr="00D33BA1">
        <w:rPr>
          <w:sz w:val="20"/>
        </w:rPr>
        <w:t>ing</w:t>
      </w:r>
      <w:r w:rsidRPr="00D33BA1">
        <w:rPr>
          <w:sz w:val="20"/>
        </w:rPr>
        <w:t xml:space="preserve"> commercial law and tax law courses that meet the requirements.</w:t>
      </w:r>
    </w:p>
    <w:p w14:paraId="43354CB6" w14:textId="5771019B" w:rsidR="009E46C2" w:rsidRPr="008554A2" w:rsidRDefault="009E46C2" w:rsidP="00B26277">
      <w:pPr>
        <w:pStyle w:val="Dotpoint"/>
        <w:numPr>
          <w:ilvl w:val="0"/>
          <w:numId w:val="0"/>
        </w:numPr>
        <w:rPr>
          <w:u w:val="single"/>
        </w:rPr>
      </w:pPr>
      <w:r>
        <w:t>On the other hand, an existing provider who is not authorised as a financial adviser on their exam cut-off day</w:t>
      </w:r>
      <w:r w:rsidR="00B26277">
        <w:t xml:space="preserve"> has until 31 December 2025 to complete the commercial law and tax law courses. However, the existing provider may not provide tax (financial) advice services until he or she has passed the exam and been authorised again to provide financial advice.  </w:t>
      </w:r>
    </w:p>
    <w:p w14:paraId="49DC61B8" w14:textId="607D5511" w:rsidR="00AF0A20" w:rsidRPr="00162F0A" w:rsidRDefault="003B59A7" w:rsidP="008554A2">
      <w:pPr>
        <w:pStyle w:val="Dotpoint"/>
        <w:numPr>
          <w:ilvl w:val="0"/>
          <w:numId w:val="0"/>
        </w:numPr>
        <w:ind w:left="360" w:hanging="360"/>
        <w:rPr>
          <w:u w:val="single"/>
        </w:rPr>
      </w:pPr>
      <w:r w:rsidRPr="00162F0A">
        <w:rPr>
          <w:u w:val="single"/>
        </w:rPr>
        <w:t xml:space="preserve">Section </w:t>
      </w:r>
      <w:r w:rsidR="00BE3384">
        <w:rPr>
          <w:u w:val="single"/>
        </w:rPr>
        <w:t>3-200</w:t>
      </w:r>
      <w:r w:rsidR="00B03742">
        <w:rPr>
          <w:u w:val="single"/>
        </w:rPr>
        <w:t xml:space="preserve"> - </w:t>
      </w:r>
      <w:r w:rsidR="00B03742" w:rsidRPr="00B03742">
        <w:rPr>
          <w:u w:val="single"/>
        </w:rPr>
        <w:t>Application—Additional requirements for tax-specific CPD</w:t>
      </w:r>
    </w:p>
    <w:p w14:paraId="7470780A" w14:textId="126EB9CD" w:rsidR="009A5156" w:rsidRDefault="009D0CBD" w:rsidP="008554A2">
      <w:pPr>
        <w:pStyle w:val="Dotpoint"/>
        <w:numPr>
          <w:ilvl w:val="0"/>
          <w:numId w:val="0"/>
        </w:numPr>
      </w:pPr>
      <w:r>
        <w:t xml:space="preserve">This section </w:t>
      </w:r>
      <w:r w:rsidR="003B59A7">
        <w:t xml:space="preserve">provides that the </w:t>
      </w:r>
      <w:r w:rsidR="00471187">
        <w:t>CPD</w:t>
      </w:r>
      <w:r w:rsidR="003B59A7">
        <w:t xml:space="preserve"> requirements for the provision of tax (financial) advice services in Division 5 of Part 3 of the Instrument </w:t>
      </w:r>
      <w:r w:rsidR="001F784A">
        <w:t xml:space="preserve">commence </w:t>
      </w:r>
      <w:r w:rsidR="003B59A7">
        <w:t>for the financial services licensee’s CPD year that begins on or after 1 January 2022.</w:t>
      </w:r>
      <w:r w:rsidR="00FA5C25">
        <w:t xml:space="preserve"> </w:t>
      </w:r>
    </w:p>
    <w:p w14:paraId="0BEEA2B9" w14:textId="46271242" w:rsidR="003B59A7" w:rsidRDefault="003B59A7" w:rsidP="009A5156">
      <w:pPr>
        <w:pStyle w:val="Dotpoint"/>
        <w:keepNext/>
        <w:keepLines/>
        <w:numPr>
          <w:ilvl w:val="0"/>
          <w:numId w:val="0"/>
        </w:numPr>
      </w:pPr>
      <w:r>
        <w:t xml:space="preserve">For example, if a </w:t>
      </w:r>
      <w:r w:rsidR="009A5156">
        <w:t xml:space="preserve">financial adviser’s </w:t>
      </w:r>
      <w:r>
        <w:t xml:space="preserve">financial services licensee’s CPD year begins on 1 July 2022, the </w:t>
      </w:r>
      <w:r w:rsidR="009A5156">
        <w:t xml:space="preserve">adviser must complete the </w:t>
      </w:r>
      <w:r>
        <w:t>new CPD requirements in Division 5 of Part 5 of the Instrument by 30</w:t>
      </w:r>
      <w:r w:rsidR="00FA5C25">
        <w:t> </w:t>
      </w:r>
      <w:r>
        <w:t>June</w:t>
      </w:r>
      <w:r w:rsidR="00FA5C25">
        <w:t> </w:t>
      </w:r>
      <w:r>
        <w:t xml:space="preserve">2023. </w:t>
      </w:r>
      <w:r w:rsidR="00A164ED">
        <w:t xml:space="preserve">This ensures that all </w:t>
      </w:r>
      <w:r w:rsidR="00757BDB">
        <w:t>financial adviser</w:t>
      </w:r>
      <w:r w:rsidR="00A164ED">
        <w:t>s have the full 12-months to complete the new CPD requirements, regardless of when their licensee’s CPD year</w:t>
      </w:r>
      <w:r w:rsidR="00FA5C25">
        <w:t xml:space="preserve"> </w:t>
      </w:r>
      <w:r w:rsidR="00A164ED">
        <w:t>begins.</w:t>
      </w:r>
    </w:p>
    <w:sectPr w:rsidR="003B59A7" w:rsidSect="00392BBA">
      <w:headerReference w:type="default" r:id="rId15"/>
      <w:footerReference w:type="defaul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1DD67" w14:textId="77777777" w:rsidR="004C5390" w:rsidRDefault="004C5390" w:rsidP="00954679">
      <w:pPr>
        <w:spacing w:before="0" w:after="0"/>
      </w:pPr>
      <w:r>
        <w:separator/>
      </w:r>
    </w:p>
  </w:endnote>
  <w:endnote w:type="continuationSeparator" w:id="0">
    <w:p w14:paraId="510C1BF4" w14:textId="77777777" w:rsidR="004C5390" w:rsidRDefault="004C5390" w:rsidP="00954679">
      <w:pPr>
        <w:spacing w:before="0" w:after="0"/>
      </w:pPr>
      <w:r>
        <w:continuationSeparator/>
      </w:r>
    </w:p>
  </w:endnote>
  <w:endnote w:type="continuationNotice" w:id="1">
    <w:p w14:paraId="0B38DE99" w14:textId="77777777" w:rsidR="004C5390" w:rsidRDefault="004C53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0C5B1DF" w14:textId="77777777" w:rsidR="00D6246B" w:rsidRDefault="00D6246B"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8A866" w14:textId="77777777" w:rsidR="004C5390" w:rsidRDefault="004C5390" w:rsidP="00954679">
      <w:pPr>
        <w:spacing w:before="0" w:after="0"/>
      </w:pPr>
      <w:r>
        <w:separator/>
      </w:r>
    </w:p>
  </w:footnote>
  <w:footnote w:type="continuationSeparator" w:id="0">
    <w:p w14:paraId="3504C10F" w14:textId="77777777" w:rsidR="004C5390" w:rsidRDefault="004C5390" w:rsidP="00954679">
      <w:pPr>
        <w:spacing w:before="0" w:after="0"/>
      </w:pPr>
      <w:r>
        <w:continuationSeparator/>
      </w:r>
    </w:p>
  </w:footnote>
  <w:footnote w:type="continuationNotice" w:id="1">
    <w:p w14:paraId="4C18ADDF" w14:textId="77777777" w:rsidR="004C5390" w:rsidRDefault="004C539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B8B92" w14:textId="77777777" w:rsidR="008554A2" w:rsidRDefault="00855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D5FF2"/>
    <w:multiLevelType w:val="hybridMultilevel"/>
    <w:tmpl w:val="247894D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B20DA6"/>
    <w:multiLevelType w:val="hybridMultilevel"/>
    <w:tmpl w:val="637E4940"/>
    <w:lvl w:ilvl="0" w:tplc="CD608F8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3C5752"/>
    <w:multiLevelType w:val="hybridMultilevel"/>
    <w:tmpl w:val="17209C1A"/>
    <w:lvl w:ilvl="0" w:tplc="D8B40EDA">
      <w:start w:val="27"/>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3" w15:restartNumberingAfterBreak="0">
    <w:nsid w:val="20FE5A5D"/>
    <w:multiLevelType w:val="hybridMultilevel"/>
    <w:tmpl w:val="ED4657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32F801BC"/>
    <w:multiLevelType w:val="hybridMultilevel"/>
    <w:tmpl w:val="953CA1F0"/>
    <w:lvl w:ilvl="0" w:tplc="796A7006">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B217229"/>
    <w:multiLevelType w:val="hybridMultilevel"/>
    <w:tmpl w:val="3D72CA34"/>
    <w:lvl w:ilvl="0" w:tplc="D8B40EDA">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7" w15:restartNumberingAfterBreak="0">
    <w:nsid w:val="4BFF2A5E"/>
    <w:multiLevelType w:val="singleLevel"/>
    <w:tmpl w:val="265E6732"/>
    <w:lvl w:ilvl="0">
      <w:start w:val="1"/>
      <w:numFmt w:val="bullet"/>
      <w:pStyle w:val="EStxtdotpoint"/>
      <w:lvlText w:val=""/>
      <w:lvlJc w:val="left"/>
      <w:pPr>
        <w:tabs>
          <w:tab w:val="num" w:pos="737"/>
        </w:tabs>
        <w:ind w:left="737" w:hanging="737"/>
      </w:pPr>
      <w:rPr>
        <w:rFonts w:ascii="Symbol" w:hAnsi="Symbol" w:hint="default"/>
      </w:rPr>
    </w:lvl>
  </w:abstractNum>
  <w:abstractNum w:abstractNumId="8" w15:restartNumberingAfterBreak="0">
    <w:nsid w:val="67A43C0B"/>
    <w:multiLevelType w:val="multilevel"/>
    <w:tmpl w:val="3C9E0A7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08852EB"/>
    <w:multiLevelType w:val="hybridMultilevel"/>
    <w:tmpl w:val="EEE0CB22"/>
    <w:lvl w:ilvl="0" w:tplc="796A7006">
      <w:numFmt w:val="bullet"/>
      <w:lvlText w:val="-"/>
      <w:lvlJc w:val="left"/>
      <w:pPr>
        <w:ind w:left="1069" w:hanging="360"/>
      </w:pPr>
      <w:rPr>
        <w:rFonts w:ascii="Times New Roman" w:eastAsia="Times New Roman" w:hAnsi="Times New Roman" w:cs="Times New Roman"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 w15:restartNumberingAfterBreak="0">
    <w:nsid w:val="737351A8"/>
    <w:multiLevelType w:val="hybridMultilevel"/>
    <w:tmpl w:val="A8926848"/>
    <w:lvl w:ilvl="0" w:tplc="796A7006">
      <w:numFmt w:val="bullet"/>
      <w:lvlText w:val="-"/>
      <w:lvlJc w:val="left"/>
      <w:pPr>
        <w:ind w:left="1440" w:hanging="360"/>
      </w:pPr>
      <w:rPr>
        <w:rFonts w:ascii="Times New Roman" w:eastAsia="Times New Roman" w:hAnsi="Times New Roman"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9"/>
  </w:num>
  <w:num w:numId="4">
    <w:abstractNumId w:val="7"/>
  </w:num>
  <w:num w:numId="5">
    <w:abstractNumId w:val="6"/>
  </w:num>
  <w:num w:numId="6">
    <w:abstractNumId w:val="2"/>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0"/>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5"/>
  </w:num>
  <w:num w:numId="34">
    <w:abstractNumId w:val="10"/>
  </w:num>
  <w:num w:numId="35">
    <w:abstractNumId w:val="4"/>
  </w:num>
  <w:num w:numId="36">
    <w:abstractNumId w:val="4"/>
  </w:num>
  <w:num w:numId="37">
    <w:abstractNumId w:val="3"/>
  </w:num>
  <w:num w:numId="3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B4"/>
    <w:rsid w:val="00004FAB"/>
    <w:rsid w:val="0001075C"/>
    <w:rsid w:val="00013390"/>
    <w:rsid w:val="000134A1"/>
    <w:rsid w:val="0001430C"/>
    <w:rsid w:val="00016EA2"/>
    <w:rsid w:val="0002057F"/>
    <w:rsid w:val="00031242"/>
    <w:rsid w:val="0004204A"/>
    <w:rsid w:val="00043FE2"/>
    <w:rsid w:val="00053602"/>
    <w:rsid w:val="00056B3C"/>
    <w:rsid w:val="0006019E"/>
    <w:rsid w:val="00065D48"/>
    <w:rsid w:val="0006699B"/>
    <w:rsid w:val="000731DE"/>
    <w:rsid w:val="00076178"/>
    <w:rsid w:val="00090AFC"/>
    <w:rsid w:val="00095211"/>
    <w:rsid w:val="000A5B97"/>
    <w:rsid w:val="000A67F4"/>
    <w:rsid w:val="000B39A1"/>
    <w:rsid w:val="000B476D"/>
    <w:rsid w:val="000C10DF"/>
    <w:rsid w:val="000C5433"/>
    <w:rsid w:val="000C6146"/>
    <w:rsid w:val="000C6935"/>
    <w:rsid w:val="000C7306"/>
    <w:rsid w:val="000E2A31"/>
    <w:rsid w:val="000E32E3"/>
    <w:rsid w:val="000F03A7"/>
    <w:rsid w:val="000F22EB"/>
    <w:rsid w:val="00103445"/>
    <w:rsid w:val="001075B8"/>
    <w:rsid w:val="0011142D"/>
    <w:rsid w:val="00113B45"/>
    <w:rsid w:val="001219EF"/>
    <w:rsid w:val="0012751E"/>
    <w:rsid w:val="00130B5D"/>
    <w:rsid w:val="00133E16"/>
    <w:rsid w:val="00134174"/>
    <w:rsid w:val="00135BE8"/>
    <w:rsid w:val="001532BD"/>
    <w:rsid w:val="00162F0A"/>
    <w:rsid w:val="0017188E"/>
    <w:rsid w:val="00171A84"/>
    <w:rsid w:val="00176742"/>
    <w:rsid w:val="00180146"/>
    <w:rsid w:val="001921BA"/>
    <w:rsid w:val="00193BD1"/>
    <w:rsid w:val="001B3AA9"/>
    <w:rsid w:val="001B4182"/>
    <w:rsid w:val="001B7535"/>
    <w:rsid w:val="001D5ED1"/>
    <w:rsid w:val="001D7344"/>
    <w:rsid w:val="001E4FFD"/>
    <w:rsid w:val="001E6A74"/>
    <w:rsid w:val="001F41D0"/>
    <w:rsid w:val="001F784A"/>
    <w:rsid w:val="00202E7A"/>
    <w:rsid w:val="0020763B"/>
    <w:rsid w:val="00220F16"/>
    <w:rsid w:val="00221CEB"/>
    <w:rsid w:val="0022284A"/>
    <w:rsid w:val="002260F3"/>
    <w:rsid w:val="00236A86"/>
    <w:rsid w:val="00243D4E"/>
    <w:rsid w:val="00245E94"/>
    <w:rsid w:val="00245F21"/>
    <w:rsid w:val="0025070C"/>
    <w:rsid w:val="00254C5B"/>
    <w:rsid w:val="00255C3D"/>
    <w:rsid w:val="00257559"/>
    <w:rsid w:val="002615D2"/>
    <w:rsid w:val="002622D2"/>
    <w:rsid w:val="00273217"/>
    <w:rsid w:val="00274963"/>
    <w:rsid w:val="0028541B"/>
    <w:rsid w:val="002A59DD"/>
    <w:rsid w:val="002A609F"/>
    <w:rsid w:val="002A7E1F"/>
    <w:rsid w:val="002B3FFA"/>
    <w:rsid w:val="002C226C"/>
    <w:rsid w:val="002C7E01"/>
    <w:rsid w:val="002D6A39"/>
    <w:rsid w:val="002E0C37"/>
    <w:rsid w:val="002E19FD"/>
    <w:rsid w:val="002E74B5"/>
    <w:rsid w:val="002F30CA"/>
    <w:rsid w:val="003005D0"/>
    <w:rsid w:val="003041FA"/>
    <w:rsid w:val="00314B93"/>
    <w:rsid w:val="00321DE4"/>
    <w:rsid w:val="00326B3B"/>
    <w:rsid w:val="00327A9F"/>
    <w:rsid w:val="003342CD"/>
    <w:rsid w:val="00335042"/>
    <w:rsid w:val="0033643D"/>
    <w:rsid w:val="00346D71"/>
    <w:rsid w:val="00353F81"/>
    <w:rsid w:val="00362B70"/>
    <w:rsid w:val="00371FA1"/>
    <w:rsid w:val="00391121"/>
    <w:rsid w:val="00392BBA"/>
    <w:rsid w:val="003954FD"/>
    <w:rsid w:val="0039643C"/>
    <w:rsid w:val="003A3901"/>
    <w:rsid w:val="003B1C7A"/>
    <w:rsid w:val="003B5444"/>
    <w:rsid w:val="003B59A7"/>
    <w:rsid w:val="003C3CF5"/>
    <w:rsid w:val="003C7907"/>
    <w:rsid w:val="003D002A"/>
    <w:rsid w:val="003D1939"/>
    <w:rsid w:val="003D60D7"/>
    <w:rsid w:val="003D7882"/>
    <w:rsid w:val="003E1556"/>
    <w:rsid w:val="003E1CE3"/>
    <w:rsid w:val="0040656C"/>
    <w:rsid w:val="0041010A"/>
    <w:rsid w:val="004132A0"/>
    <w:rsid w:val="00417E81"/>
    <w:rsid w:val="00422D79"/>
    <w:rsid w:val="00422E80"/>
    <w:rsid w:val="004264CF"/>
    <w:rsid w:val="004266B2"/>
    <w:rsid w:val="00430A90"/>
    <w:rsid w:val="00432E03"/>
    <w:rsid w:val="00444723"/>
    <w:rsid w:val="00445239"/>
    <w:rsid w:val="00445481"/>
    <w:rsid w:val="00445C45"/>
    <w:rsid w:val="0044667D"/>
    <w:rsid w:val="004548FB"/>
    <w:rsid w:val="00460DAB"/>
    <w:rsid w:val="00462095"/>
    <w:rsid w:val="0046299C"/>
    <w:rsid w:val="00465E3A"/>
    <w:rsid w:val="00471187"/>
    <w:rsid w:val="004740EA"/>
    <w:rsid w:val="00482B81"/>
    <w:rsid w:val="00482D4C"/>
    <w:rsid w:val="00482E92"/>
    <w:rsid w:val="00490E33"/>
    <w:rsid w:val="004978C4"/>
    <w:rsid w:val="004A178D"/>
    <w:rsid w:val="004A6C47"/>
    <w:rsid w:val="004B3C0F"/>
    <w:rsid w:val="004B401D"/>
    <w:rsid w:val="004B5DD1"/>
    <w:rsid w:val="004C05E4"/>
    <w:rsid w:val="004C5390"/>
    <w:rsid w:val="004E39E1"/>
    <w:rsid w:val="004F131D"/>
    <w:rsid w:val="004F18D9"/>
    <w:rsid w:val="004F1B62"/>
    <w:rsid w:val="004F56D0"/>
    <w:rsid w:val="00501D4B"/>
    <w:rsid w:val="00502677"/>
    <w:rsid w:val="00503E44"/>
    <w:rsid w:val="005069A2"/>
    <w:rsid w:val="00506EC6"/>
    <w:rsid w:val="00515283"/>
    <w:rsid w:val="00533926"/>
    <w:rsid w:val="00533AD8"/>
    <w:rsid w:val="00547096"/>
    <w:rsid w:val="0055675D"/>
    <w:rsid w:val="00562BF1"/>
    <w:rsid w:val="00566E8F"/>
    <w:rsid w:val="0057422E"/>
    <w:rsid w:val="00582AAC"/>
    <w:rsid w:val="005833BE"/>
    <w:rsid w:val="00584767"/>
    <w:rsid w:val="00585FCD"/>
    <w:rsid w:val="00594AFF"/>
    <w:rsid w:val="00597558"/>
    <w:rsid w:val="005A1929"/>
    <w:rsid w:val="005B0E27"/>
    <w:rsid w:val="005B15AE"/>
    <w:rsid w:val="005B18F5"/>
    <w:rsid w:val="005B1F84"/>
    <w:rsid w:val="005B23A6"/>
    <w:rsid w:val="005C0052"/>
    <w:rsid w:val="005C10FE"/>
    <w:rsid w:val="005D7D5A"/>
    <w:rsid w:val="005E4BAC"/>
    <w:rsid w:val="005E6D98"/>
    <w:rsid w:val="0060012C"/>
    <w:rsid w:val="0060130D"/>
    <w:rsid w:val="00617D9F"/>
    <w:rsid w:val="006217B0"/>
    <w:rsid w:val="00627058"/>
    <w:rsid w:val="006348D0"/>
    <w:rsid w:val="00637625"/>
    <w:rsid w:val="0064129F"/>
    <w:rsid w:val="006440EB"/>
    <w:rsid w:val="006478BB"/>
    <w:rsid w:val="00647BB7"/>
    <w:rsid w:val="006512BB"/>
    <w:rsid w:val="0066278E"/>
    <w:rsid w:val="00663842"/>
    <w:rsid w:val="006751F7"/>
    <w:rsid w:val="00680297"/>
    <w:rsid w:val="00684A7E"/>
    <w:rsid w:val="006873CE"/>
    <w:rsid w:val="006A0786"/>
    <w:rsid w:val="006A3C02"/>
    <w:rsid w:val="006A512F"/>
    <w:rsid w:val="006A5486"/>
    <w:rsid w:val="006C1317"/>
    <w:rsid w:val="006D6A97"/>
    <w:rsid w:val="006F5555"/>
    <w:rsid w:val="007049C3"/>
    <w:rsid w:val="00710E94"/>
    <w:rsid w:val="00723CEE"/>
    <w:rsid w:val="00727D8A"/>
    <w:rsid w:val="00731E47"/>
    <w:rsid w:val="00731FEA"/>
    <w:rsid w:val="00733DE7"/>
    <w:rsid w:val="00736F61"/>
    <w:rsid w:val="00742253"/>
    <w:rsid w:val="007457DA"/>
    <w:rsid w:val="00757BDB"/>
    <w:rsid w:val="00761265"/>
    <w:rsid w:val="00763335"/>
    <w:rsid w:val="007662C7"/>
    <w:rsid w:val="00776306"/>
    <w:rsid w:val="00782C23"/>
    <w:rsid w:val="00786187"/>
    <w:rsid w:val="00787321"/>
    <w:rsid w:val="0079535D"/>
    <w:rsid w:val="00795C8C"/>
    <w:rsid w:val="007A55A7"/>
    <w:rsid w:val="007B1F10"/>
    <w:rsid w:val="007B335E"/>
    <w:rsid w:val="007B44CE"/>
    <w:rsid w:val="007C07FA"/>
    <w:rsid w:val="007C6910"/>
    <w:rsid w:val="007D7D3F"/>
    <w:rsid w:val="007E018D"/>
    <w:rsid w:val="007E093B"/>
    <w:rsid w:val="007E42A2"/>
    <w:rsid w:val="007F1B71"/>
    <w:rsid w:val="007F2801"/>
    <w:rsid w:val="007F3A75"/>
    <w:rsid w:val="007F6CB8"/>
    <w:rsid w:val="007F7421"/>
    <w:rsid w:val="00807E7D"/>
    <w:rsid w:val="00817250"/>
    <w:rsid w:val="0082663C"/>
    <w:rsid w:val="00831675"/>
    <w:rsid w:val="008413C5"/>
    <w:rsid w:val="00841569"/>
    <w:rsid w:val="008434F5"/>
    <w:rsid w:val="00851C4E"/>
    <w:rsid w:val="00853882"/>
    <w:rsid w:val="00854341"/>
    <w:rsid w:val="008554A2"/>
    <w:rsid w:val="008567F5"/>
    <w:rsid w:val="008578A0"/>
    <w:rsid w:val="00862200"/>
    <w:rsid w:val="008659F1"/>
    <w:rsid w:val="0088336A"/>
    <w:rsid w:val="0088467C"/>
    <w:rsid w:val="0088533B"/>
    <w:rsid w:val="00885717"/>
    <w:rsid w:val="0089096B"/>
    <w:rsid w:val="00894579"/>
    <w:rsid w:val="008A36E2"/>
    <w:rsid w:val="008A5B67"/>
    <w:rsid w:val="008B53B9"/>
    <w:rsid w:val="008C0DCA"/>
    <w:rsid w:val="008C0EEB"/>
    <w:rsid w:val="008C30C0"/>
    <w:rsid w:val="008C33AF"/>
    <w:rsid w:val="008D16F7"/>
    <w:rsid w:val="008D6865"/>
    <w:rsid w:val="008E1427"/>
    <w:rsid w:val="008E5918"/>
    <w:rsid w:val="008F5C15"/>
    <w:rsid w:val="0090250D"/>
    <w:rsid w:val="00906B4E"/>
    <w:rsid w:val="009143A0"/>
    <w:rsid w:val="00917054"/>
    <w:rsid w:val="00917FBD"/>
    <w:rsid w:val="00921839"/>
    <w:rsid w:val="0092183B"/>
    <w:rsid w:val="00936902"/>
    <w:rsid w:val="00940B15"/>
    <w:rsid w:val="0094165D"/>
    <w:rsid w:val="0094637C"/>
    <w:rsid w:val="00946E16"/>
    <w:rsid w:val="00951B82"/>
    <w:rsid w:val="00954679"/>
    <w:rsid w:val="009557C6"/>
    <w:rsid w:val="00960FE9"/>
    <w:rsid w:val="0096386B"/>
    <w:rsid w:val="00967485"/>
    <w:rsid w:val="009709DC"/>
    <w:rsid w:val="00982B06"/>
    <w:rsid w:val="0098641D"/>
    <w:rsid w:val="00987F3D"/>
    <w:rsid w:val="00991765"/>
    <w:rsid w:val="009A5156"/>
    <w:rsid w:val="009B71D0"/>
    <w:rsid w:val="009C2D10"/>
    <w:rsid w:val="009C5110"/>
    <w:rsid w:val="009C6A1E"/>
    <w:rsid w:val="009D03D7"/>
    <w:rsid w:val="009D0CBD"/>
    <w:rsid w:val="009D7B17"/>
    <w:rsid w:val="009D7C5D"/>
    <w:rsid w:val="009E2300"/>
    <w:rsid w:val="009E2F86"/>
    <w:rsid w:val="009E46C2"/>
    <w:rsid w:val="00A03911"/>
    <w:rsid w:val="00A12209"/>
    <w:rsid w:val="00A164ED"/>
    <w:rsid w:val="00A21FC4"/>
    <w:rsid w:val="00A26301"/>
    <w:rsid w:val="00A3360A"/>
    <w:rsid w:val="00A34B81"/>
    <w:rsid w:val="00A34F23"/>
    <w:rsid w:val="00A36DF3"/>
    <w:rsid w:val="00A40DB4"/>
    <w:rsid w:val="00A423BB"/>
    <w:rsid w:val="00A43DD1"/>
    <w:rsid w:val="00A5173E"/>
    <w:rsid w:val="00A51ABD"/>
    <w:rsid w:val="00A51E3E"/>
    <w:rsid w:val="00A52204"/>
    <w:rsid w:val="00A532DD"/>
    <w:rsid w:val="00A53A41"/>
    <w:rsid w:val="00A558AF"/>
    <w:rsid w:val="00A56E34"/>
    <w:rsid w:val="00A62142"/>
    <w:rsid w:val="00A740FD"/>
    <w:rsid w:val="00A80BCF"/>
    <w:rsid w:val="00A8369C"/>
    <w:rsid w:val="00A87945"/>
    <w:rsid w:val="00A87A6C"/>
    <w:rsid w:val="00A906C1"/>
    <w:rsid w:val="00A96ACE"/>
    <w:rsid w:val="00AA1689"/>
    <w:rsid w:val="00AA5770"/>
    <w:rsid w:val="00AB0B65"/>
    <w:rsid w:val="00AC1D15"/>
    <w:rsid w:val="00AC1F20"/>
    <w:rsid w:val="00AE20E4"/>
    <w:rsid w:val="00AF0A20"/>
    <w:rsid w:val="00B03742"/>
    <w:rsid w:val="00B051E6"/>
    <w:rsid w:val="00B06F84"/>
    <w:rsid w:val="00B07B0C"/>
    <w:rsid w:val="00B10439"/>
    <w:rsid w:val="00B116C6"/>
    <w:rsid w:val="00B20AF6"/>
    <w:rsid w:val="00B21AC2"/>
    <w:rsid w:val="00B2297A"/>
    <w:rsid w:val="00B25563"/>
    <w:rsid w:val="00B26277"/>
    <w:rsid w:val="00B26D48"/>
    <w:rsid w:val="00B319C1"/>
    <w:rsid w:val="00B42600"/>
    <w:rsid w:val="00B42EE1"/>
    <w:rsid w:val="00B50D7C"/>
    <w:rsid w:val="00B536D5"/>
    <w:rsid w:val="00B57B07"/>
    <w:rsid w:val="00B64D10"/>
    <w:rsid w:val="00B67EC5"/>
    <w:rsid w:val="00B81884"/>
    <w:rsid w:val="00B8293D"/>
    <w:rsid w:val="00B92478"/>
    <w:rsid w:val="00B929F3"/>
    <w:rsid w:val="00BA6188"/>
    <w:rsid w:val="00BA75EC"/>
    <w:rsid w:val="00BB25B2"/>
    <w:rsid w:val="00BC1D72"/>
    <w:rsid w:val="00BC1DE6"/>
    <w:rsid w:val="00BD0091"/>
    <w:rsid w:val="00BD61A2"/>
    <w:rsid w:val="00BE22F8"/>
    <w:rsid w:val="00BE3384"/>
    <w:rsid w:val="00BE484D"/>
    <w:rsid w:val="00BE6DF6"/>
    <w:rsid w:val="00BE7A16"/>
    <w:rsid w:val="00BF3D63"/>
    <w:rsid w:val="00BF60D9"/>
    <w:rsid w:val="00C05FAD"/>
    <w:rsid w:val="00C1231A"/>
    <w:rsid w:val="00C132CA"/>
    <w:rsid w:val="00C21B27"/>
    <w:rsid w:val="00C25CE2"/>
    <w:rsid w:val="00C33F3B"/>
    <w:rsid w:val="00C36606"/>
    <w:rsid w:val="00C37E05"/>
    <w:rsid w:val="00C533CF"/>
    <w:rsid w:val="00C55D29"/>
    <w:rsid w:val="00C67970"/>
    <w:rsid w:val="00C703BA"/>
    <w:rsid w:val="00C9223D"/>
    <w:rsid w:val="00CA0BE9"/>
    <w:rsid w:val="00CA0F7B"/>
    <w:rsid w:val="00CA138D"/>
    <w:rsid w:val="00CA1951"/>
    <w:rsid w:val="00CA2644"/>
    <w:rsid w:val="00CB1B48"/>
    <w:rsid w:val="00CB4AC1"/>
    <w:rsid w:val="00CC3300"/>
    <w:rsid w:val="00CC3B5D"/>
    <w:rsid w:val="00CC635C"/>
    <w:rsid w:val="00CC7641"/>
    <w:rsid w:val="00CD0885"/>
    <w:rsid w:val="00CD6244"/>
    <w:rsid w:val="00CE3BE2"/>
    <w:rsid w:val="00CE42F1"/>
    <w:rsid w:val="00CF3C4A"/>
    <w:rsid w:val="00CF695D"/>
    <w:rsid w:val="00D0138B"/>
    <w:rsid w:val="00D0731F"/>
    <w:rsid w:val="00D128AE"/>
    <w:rsid w:val="00D13794"/>
    <w:rsid w:val="00D2238A"/>
    <w:rsid w:val="00D24052"/>
    <w:rsid w:val="00D24386"/>
    <w:rsid w:val="00D304DC"/>
    <w:rsid w:val="00D31575"/>
    <w:rsid w:val="00D33BA1"/>
    <w:rsid w:val="00D34626"/>
    <w:rsid w:val="00D34FB4"/>
    <w:rsid w:val="00D354D2"/>
    <w:rsid w:val="00D4257A"/>
    <w:rsid w:val="00D43AA9"/>
    <w:rsid w:val="00D5768B"/>
    <w:rsid w:val="00D6246B"/>
    <w:rsid w:val="00D62472"/>
    <w:rsid w:val="00D62665"/>
    <w:rsid w:val="00D662A8"/>
    <w:rsid w:val="00D75598"/>
    <w:rsid w:val="00D777F1"/>
    <w:rsid w:val="00D80312"/>
    <w:rsid w:val="00D82E47"/>
    <w:rsid w:val="00D86B6F"/>
    <w:rsid w:val="00DB1D31"/>
    <w:rsid w:val="00DB2B53"/>
    <w:rsid w:val="00DB5D9F"/>
    <w:rsid w:val="00DB7BAF"/>
    <w:rsid w:val="00DC0CDE"/>
    <w:rsid w:val="00DC165F"/>
    <w:rsid w:val="00DC4D72"/>
    <w:rsid w:val="00DE3B89"/>
    <w:rsid w:val="00DF3141"/>
    <w:rsid w:val="00DF5602"/>
    <w:rsid w:val="00DF750A"/>
    <w:rsid w:val="00E0624D"/>
    <w:rsid w:val="00E13918"/>
    <w:rsid w:val="00E13EA4"/>
    <w:rsid w:val="00E27C55"/>
    <w:rsid w:val="00E318B2"/>
    <w:rsid w:val="00E329AC"/>
    <w:rsid w:val="00E41440"/>
    <w:rsid w:val="00E4438C"/>
    <w:rsid w:val="00E457F3"/>
    <w:rsid w:val="00E506FC"/>
    <w:rsid w:val="00E53B78"/>
    <w:rsid w:val="00E57956"/>
    <w:rsid w:val="00E72C65"/>
    <w:rsid w:val="00E7624F"/>
    <w:rsid w:val="00E947C9"/>
    <w:rsid w:val="00E95E86"/>
    <w:rsid w:val="00EA2572"/>
    <w:rsid w:val="00EA2876"/>
    <w:rsid w:val="00EA4DD8"/>
    <w:rsid w:val="00EB072A"/>
    <w:rsid w:val="00EB2AEF"/>
    <w:rsid w:val="00EB2F48"/>
    <w:rsid w:val="00EB3BF4"/>
    <w:rsid w:val="00EB6498"/>
    <w:rsid w:val="00EB7E71"/>
    <w:rsid w:val="00ED60E7"/>
    <w:rsid w:val="00EF50FF"/>
    <w:rsid w:val="00EF6B04"/>
    <w:rsid w:val="00F04DFB"/>
    <w:rsid w:val="00F109D4"/>
    <w:rsid w:val="00F15EE9"/>
    <w:rsid w:val="00F1635F"/>
    <w:rsid w:val="00F36581"/>
    <w:rsid w:val="00F36F2E"/>
    <w:rsid w:val="00F41A28"/>
    <w:rsid w:val="00F47585"/>
    <w:rsid w:val="00F542DB"/>
    <w:rsid w:val="00F55980"/>
    <w:rsid w:val="00F61D0A"/>
    <w:rsid w:val="00F63F91"/>
    <w:rsid w:val="00F81587"/>
    <w:rsid w:val="00F85076"/>
    <w:rsid w:val="00F85B35"/>
    <w:rsid w:val="00F85E6F"/>
    <w:rsid w:val="00F8750D"/>
    <w:rsid w:val="00FA5C25"/>
    <w:rsid w:val="00FB2F44"/>
    <w:rsid w:val="00FB69FD"/>
    <w:rsid w:val="00FD4CD9"/>
    <w:rsid w:val="00FD7C8A"/>
    <w:rsid w:val="00FE04E4"/>
    <w:rsid w:val="00FE2776"/>
    <w:rsid w:val="00FE4995"/>
    <w:rsid w:val="00FE73F9"/>
    <w:rsid w:val="00FF1057"/>
    <w:rsid w:val="00FF3E25"/>
    <w:rsid w:val="00FF7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3BEC5"/>
  <w15:docId w15:val="{270E4A59-CFFB-4F16-8D95-32064A40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styleId="UnresolvedMention">
    <w:name w:val="Unresolved Mention"/>
    <w:basedOn w:val="DefaultParagraphFont"/>
    <w:uiPriority w:val="99"/>
    <w:semiHidden/>
    <w:unhideWhenUsed/>
    <w:rsid w:val="00C67970"/>
    <w:rPr>
      <w:color w:val="605E5C"/>
      <w:shd w:val="clear" w:color="auto" w:fill="E1DFDD"/>
    </w:rPr>
  </w:style>
  <w:style w:type="paragraph" w:customStyle="1" w:styleId="EStxtdotpoint">
    <w:name w:val="ES txt dot point"/>
    <w:basedOn w:val="Normal"/>
    <w:rsid w:val="00EB6498"/>
    <w:pPr>
      <w:numPr>
        <w:numId w:val="4"/>
      </w:numPr>
      <w:tabs>
        <w:tab w:val="clear" w:pos="737"/>
      </w:tabs>
      <w:spacing w:after="0"/>
      <w:ind w:left="1134" w:hanging="567"/>
      <w:outlineLvl w:val="3"/>
    </w:pPr>
    <w:rPr>
      <w:rFonts w:cs="Arial"/>
      <w:sz w:val="22"/>
      <w:lang w:eastAsia="en-US"/>
    </w:rPr>
  </w:style>
  <w:style w:type="paragraph" w:customStyle="1" w:styleId="tableheading">
    <w:name w:val="tableheading"/>
    <w:basedOn w:val="Normal"/>
    <w:rsid w:val="00C33F3B"/>
    <w:pPr>
      <w:spacing w:before="100" w:beforeAutospacing="1" w:after="100" w:afterAutospacing="1"/>
    </w:pPr>
    <w:rPr>
      <w:szCs w:val="24"/>
    </w:rPr>
  </w:style>
  <w:style w:type="paragraph" w:customStyle="1" w:styleId="tabletext">
    <w:name w:val="tabletext"/>
    <w:basedOn w:val="Normal"/>
    <w:rsid w:val="00C33F3B"/>
    <w:pPr>
      <w:spacing w:before="100" w:beforeAutospacing="1" w:after="100" w:afterAutospacing="1"/>
    </w:pPr>
    <w:rPr>
      <w:szCs w:val="24"/>
    </w:rPr>
  </w:style>
  <w:style w:type="paragraph" w:customStyle="1" w:styleId="subsection">
    <w:name w:val="subsection"/>
    <w:basedOn w:val="Normal"/>
    <w:rsid w:val="001075B8"/>
    <w:pPr>
      <w:spacing w:before="100" w:beforeAutospacing="1" w:after="100" w:afterAutospacing="1"/>
    </w:pPr>
    <w:rPr>
      <w:szCs w:val="24"/>
    </w:rPr>
  </w:style>
  <w:style w:type="paragraph" w:customStyle="1" w:styleId="paragraph">
    <w:name w:val="paragraph"/>
    <w:basedOn w:val="Normal"/>
    <w:rsid w:val="001075B8"/>
    <w:pPr>
      <w:spacing w:before="100" w:beforeAutospacing="1" w:after="100" w:afterAutospacing="1"/>
    </w:pPr>
    <w:rPr>
      <w:szCs w:val="24"/>
    </w:rPr>
  </w:style>
  <w:style w:type="paragraph" w:styleId="ListParagraph">
    <w:name w:val="List Paragraph"/>
    <w:basedOn w:val="Normal"/>
    <w:uiPriority w:val="34"/>
    <w:qFormat/>
    <w:rsid w:val="00430A90"/>
    <w:pPr>
      <w:ind w:left="720"/>
      <w:contextualSpacing/>
    </w:pPr>
  </w:style>
  <w:style w:type="table" w:styleId="TableGrid">
    <w:name w:val="Table Grid"/>
    <w:basedOn w:val="TableNormal"/>
    <w:uiPriority w:val="59"/>
    <w:rsid w:val="0060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012C"/>
    <w:rPr>
      <w:sz w:val="24"/>
    </w:rPr>
  </w:style>
  <w:style w:type="paragraph" w:styleId="Revision">
    <w:name w:val="Revision"/>
    <w:hidden/>
    <w:uiPriority w:val="99"/>
    <w:semiHidden/>
    <w:rsid w:val="008554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736622">
      <w:bodyDiv w:val="1"/>
      <w:marLeft w:val="0"/>
      <w:marRight w:val="0"/>
      <w:marTop w:val="0"/>
      <w:marBottom w:val="0"/>
      <w:divBdr>
        <w:top w:val="none" w:sz="0" w:space="0" w:color="auto"/>
        <w:left w:val="none" w:sz="0" w:space="0" w:color="auto"/>
        <w:bottom w:val="none" w:sz="0" w:space="0" w:color="auto"/>
        <w:right w:val="none" w:sz="0" w:space="0" w:color="auto"/>
      </w:divBdr>
    </w:div>
    <w:div w:id="168200376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7b7a547-5880-464f-83f8-cefe583c3af4" ContentTypeId="0x010100BCBF50F8A60B9C40BFC256C0F7AAB54B" PreviousValue="false"/>
</file>

<file path=customXml/item2.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DED5FB3DB48A8A42B480780A9E09AFDA" ma:contentTypeVersion="21629" ma:contentTypeDescription="" ma:contentTypeScope="" ma:versionID="97e584f9d0865daf965a9df1f8640b94">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16</Value>
      <Value>40</Value>
      <Value>17</Value>
      <Value>58</Value>
      <Value>15</Value>
    </TaxCatchAll>
    <_dlc_DocId xmlns="0f563589-9cf9-4143-b1eb-fb0534803d38">2021A6EXK24D-1237562699-670</_dlc_DocId>
    <_dlc_DocIdUrl xmlns="0f563589-9cf9-4143-b1eb-fb0534803d38">
      <Url>http://tweb/sites/fsr/finadv/_layouts/15/DocIdRedir.aspx?ID=2021A6EXK24D-1237562699-670</Url>
      <Description>2021A6EXK24D-1237562699-670</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2.7</TermName>
          <TermId xmlns="http://schemas.microsoft.com/office/infopath/2007/PartnerControls">21a8ecb0-0416-461b-b79f-1fb6b978894a</TermId>
        </TermInfo>
        <TermInfo xmlns="http://schemas.microsoft.com/office/infopath/2007/PartnerControls">
          <TermName xmlns="http://schemas.microsoft.com/office/infopath/2007/PartnerControls">RC 2.8</TermName>
          <TermId xmlns="http://schemas.microsoft.com/office/infopath/2007/PartnerControls">71c1ba02-65c3-4721-8810-060e376e3cf6</TermId>
        </TermInfo>
        <TermInfo xmlns="http://schemas.microsoft.com/office/infopath/2007/PartnerControls">
          <TermName xmlns="http://schemas.microsoft.com/office/infopath/2007/PartnerControls">RC 2.9</TermName>
          <TermId xmlns="http://schemas.microsoft.com/office/infopath/2007/PartnerControls">edfb2d9e-7088-401e-8f70-ac5bc81cb11d</TermId>
        </TermInfo>
        <TermInfo xmlns="http://schemas.microsoft.com/office/infopath/2007/PartnerControls">
          <TermName xmlns="http://schemas.microsoft.com/office/infopath/2007/PartnerControls">RC 2.10</TermName>
          <TermId xmlns="http://schemas.microsoft.com/office/infopath/2007/PartnerControls">f5a7db88-c6e0-43e7-84e9-d017939c161d</TermId>
        </TermInfo>
      </Terms>
    </mad6820d043c45bdbfaec06364038ba1>
    <TaxKeywordTaxHTField xmlns="0f563589-9cf9-4143-b1eb-fb0534803d38">
      <Terms xmlns="http://schemas.microsoft.com/office/infopath/2007/PartnerControls"/>
    </TaxKeywordTaxHTField>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CBDFF-65CF-42AC-A551-A684933BB200}">
  <ds:schemaRefs>
    <ds:schemaRef ds:uri="Microsoft.SharePoint.Taxonomy.ContentTypeSync"/>
  </ds:schemaRefs>
</ds:datastoreItem>
</file>

<file path=customXml/itemProps2.xml><?xml version="1.0" encoding="utf-8"?>
<ds:datastoreItem xmlns:ds="http://schemas.openxmlformats.org/officeDocument/2006/customXml" ds:itemID="{53DA7EEF-9CF4-48A0-A84A-4FBD7BAE8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F0A0F-F194-4788-9DFA-D981FEA4C5CC}">
  <ds:schemaRefs>
    <ds:schemaRef ds:uri="http://schemas.microsoft.com/sharepoint/events"/>
  </ds:schemaRefs>
</ds:datastoreItem>
</file>

<file path=customXml/itemProps4.xml><?xml version="1.0" encoding="utf-8"?>
<ds:datastoreItem xmlns:ds="http://schemas.openxmlformats.org/officeDocument/2006/customXml" ds:itemID="{20EB1DE3-DC6A-4F0E-91D1-6BC862EFE45C}">
  <ds:schemaRefs>
    <ds:schemaRef ds:uri="http://schemas.microsoft.com/office/2006/metadata/customXsn"/>
  </ds:schemaRefs>
</ds:datastoreItem>
</file>

<file path=customXml/itemProps5.xml><?xml version="1.0" encoding="utf-8"?>
<ds:datastoreItem xmlns:ds="http://schemas.openxmlformats.org/officeDocument/2006/customXml" ds:itemID="{E0F0278B-1ED6-4A14-B126-EE0CE8079A88}">
  <ds:schemaRefs>
    <ds:schemaRef ds:uri="office.server.policy"/>
  </ds:schemaRefs>
</ds:datastoreItem>
</file>

<file path=customXml/itemProps6.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0f563589-9cf9-4143-b1eb-fb0534803d38"/>
    <ds:schemaRef ds:uri="a3f3b895-a12d-40ed-bbf9-82c550ef3149"/>
  </ds:schemaRefs>
</ds:datastoreItem>
</file>

<file path=customXml/itemProps7.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8.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12</Pages>
  <Words>4313</Words>
  <Characters>24589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Draft Explanatory Material (Legislative Instrument): Better Advice Bill - Exposure Draft Regulations</vt:lpstr>
    </vt:vector>
  </TitlesOfParts>
  <Company/>
  <LinksUpToDate>false</LinksUpToDate>
  <CharactersWithSpaces>28845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Material (Legislative Instrument): Better Advice Bill - Exposure Draft Regulations</dc:title>
  <dc:creator>Treasury</dc:creator>
  <cp:keywords/>
  <cp:lastModifiedBy>Smith, Matthew</cp:lastModifiedBy>
  <cp:revision>5</cp:revision>
  <cp:lastPrinted>2019-02-17T23:23:00Z</cp:lastPrinted>
  <dcterms:created xsi:type="dcterms:W3CDTF">2021-09-27T07:15:00Z</dcterms:created>
  <dcterms:modified xsi:type="dcterms:W3CDTF">2021-09-28T23:34:00Z</dcterms:modified>
</cp:coreProperties>
</file>