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2F385" w14:textId="29E07B86" w:rsidR="00F109D4" w:rsidRPr="00731FEA" w:rsidRDefault="002A5EB2" w:rsidP="00647BB7">
      <w:pPr>
        <w:pStyle w:val="Heading1"/>
        <w:spacing w:after="360"/>
        <w:rPr>
          <w:rFonts w:ascii="Times New Roman" w:hAnsi="Times New Roman"/>
          <w:sz w:val="24"/>
          <w:szCs w:val="24"/>
        </w:rPr>
      </w:pPr>
      <w:r>
        <w:rPr>
          <w:rFonts w:ascii="Times New Roman" w:hAnsi="Times New Roman"/>
          <w:sz w:val="24"/>
          <w:szCs w:val="24"/>
        </w:rPr>
        <w:t xml:space="preserve">EXPOSURE DRAFT </w:t>
      </w:r>
      <w:r w:rsidR="00F109D4" w:rsidRPr="00731FEA">
        <w:rPr>
          <w:rFonts w:ascii="Times New Roman" w:hAnsi="Times New Roman"/>
          <w:sz w:val="24"/>
          <w:szCs w:val="24"/>
        </w:rPr>
        <w:t>EXPLANATORY STATEMENT</w:t>
      </w:r>
    </w:p>
    <w:p w14:paraId="5474DAB4" w14:textId="4204FF27"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663528472C634BBE8D7AE6BE7E9E2E44"/>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C87FBA">
            <w:rPr>
              <w:sz w:val="24"/>
              <w:szCs w:val="24"/>
            </w:rPr>
            <w:t>Assistant Treasurer, Minister for Housing and Minister for Homelessness, Social and Community Housing</w:t>
          </w:r>
        </w:sdtContent>
      </w:sdt>
    </w:p>
    <w:p w14:paraId="21F71DBC" w14:textId="408F36C7" w:rsidR="00F109D4" w:rsidRDefault="00AD4783" w:rsidP="003C7907">
      <w:pPr>
        <w:spacing w:before="240" w:after="240"/>
        <w:jc w:val="center"/>
        <w:rPr>
          <w:i/>
        </w:rPr>
      </w:pPr>
      <w:bookmarkStart w:id="0" w:name="_Hlk76549157"/>
      <w:r w:rsidRPr="00AD4783">
        <w:rPr>
          <w:i/>
        </w:rPr>
        <w:t>Australian Charities and Not-for-profits Commission Act 2012</w:t>
      </w:r>
    </w:p>
    <w:p w14:paraId="73B88652" w14:textId="10B3728D" w:rsidR="00013415" w:rsidRDefault="002A5EB2" w:rsidP="00C50AEA">
      <w:pPr>
        <w:spacing w:before="240"/>
        <w:jc w:val="center"/>
        <w:rPr>
          <w:i/>
        </w:rPr>
      </w:pPr>
      <w:bookmarkStart w:id="1" w:name="_Hlk77146210"/>
      <w:bookmarkStart w:id="2" w:name="_Hlk76559448"/>
      <w:bookmarkEnd w:id="0"/>
      <w:r>
        <w:rPr>
          <w:i/>
        </w:rPr>
        <w:t xml:space="preserve">Exposure Draft:  </w:t>
      </w:r>
      <w:r w:rsidR="00013415" w:rsidRPr="00013415">
        <w:rPr>
          <w:i/>
        </w:rPr>
        <w:t xml:space="preserve">Australian Charities and Not‑for‑profits Commission Amendment (2021 </w:t>
      </w:r>
      <w:r w:rsidR="00BB4DDC" w:rsidRPr="00013415">
        <w:rPr>
          <w:i/>
        </w:rPr>
        <w:t>Measures</w:t>
      </w:r>
      <w:r w:rsidR="00BB4DDC">
        <w:rPr>
          <w:i/>
        </w:rPr>
        <w:t> </w:t>
      </w:r>
      <w:r w:rsidR="00013415" w:rsidRPr="00013415">
        <w:rPr>
          <w:i/>
        </w:rPr>
        <w:t>No. 3) Regulations 2021</w:t>
      </w:r>
    </w:p>
    <w:bookmarkEnd w:id="1"/>
    <w:p w14:paraId="7C0FB76F" w14:textId="161653D3" w:rsidR="00D60EB1" w:rsidRDefault="00D60EB1" w:rsidP="00647BB7">
      <w:pPr>
        <w:spacing w:before="240"/>
      </w:pPr>
      <w:r>
        <w:t xml:space="preserve">The </w:t>
      </w:r>
      <w:r w:rsidRPr="00B950C3">
        <w:rPr>
          <w:i/>
        </w:rPr>
        <w:t>Australian Charities and Not-for-profits Commission Act 2012</w:t>
      </w:r>
      <w:r>
        <w:t xml:space="preserve"> (the Act) provides for the registration and regulation of charities by the Australian Charities and Not</w:t>
      </w:r>
      <w:r w:rsidR="00C5276E">
        <w:noBreakHyphen/>
      </w:r>
      <w:r>
        <w:t>for</w:t>
      </w:r>
      <w:r w:rsidR="00C5276E">
        <w:noBreakHyphen/>
      </w:r>
      <w:r>
        <w:t>profits Commission (ACNC).</w:t>
      </w:r>
    </w:p>
    <w:p w14:paraId="499A7972" w14:textId="135F6A08" w:rsidR="00F109D4" w:rsidRPr="007E1780" w:rsidRDefault="00013415" w:rsidP="00647BB7">
      <w:pPr>
        <w:spacing w:before="240"/>
        <w:rPr>
          <w:i/>
        </w:rPr>
      </w:pPr>
      <w:r>
        <w:t>Section</w:t>
      </w:r>
      <w:r w:rsidR="00AD4783">
        <w:t xml:space="preserve"> 20</w:t>
      </w:r>
      <w:r w:rsidR="007E1780">
        <w:t>0-5</w:t>
      </w:r>
      <w:r w:rsidR="005E4BAC">
        <w:t xml:space="preserve"> </w:t>
      </w:r>
      <w:r w:rsidR="00F109D4" w:rsidRPr="00503E44">
        <w:t xml:space="preserve">of the Act </w:t>
      </w:r>
      <w:bookmarkEnd w:id="2"/>
      <w:r w:rsidR="00F109D4" w:rsidRPr="00503E44">
        <w:t>provides that the Governor-General may make regulations prescribing matters required or permitted by the Act to be prescribed, or necessary or convenient to be prescribed for carrying out or giving effect to the Act.</w:t>
      </w:r>
    </w:p>
    <w:p w14:paraId="6E9F963D" w14:textId="08C0DC9F" w:rsidR="00AA3313" w:rsidRPr="00AA3313" w:rsidRDefault="007E1780" w:rsidP="00AA3313">
      <w:pPr>
        <w:spacing w:before="240"/>
        <w:rPr>
          <w:iCs/>
        </w:rPr>
      </w:pPr>
      <w:r>
        <w:t>The</w:t>
      </w:r>
      <w:r w:rsidR="006F7DE5">
        <w:t xml:space="preserve"> </w:t>
      </w:r>
      <w:r w:rsidR="00AA3313">
        <w:t xml:space="preserve">purpose of the </w:t>
      </w:r>
      <w:r w:rsidR="002A5EB2" w:rsidRPr="002A5EB2">
        <w:rPr>
          <w:i/>
          <w:iCs/>
        </w:rPr>
        <w:t>Exposure Draft:</w:t>
      </w:r>
      <w:r w:rsidR="002A5EB2">
        <w:t xml:space="preserve"> </w:t>
      </w:r>
      <w:r w:rsidR="006F7DE5" w:rsidRPr="006F7DE5">
        <w:rPr>
          <w:i/>
        </w:rPr>
        <w:t>Australian Charities and Not‑for‑profits Commission Amendment (2021 Measures No. 3) Regulations 2021</w:t>
      </w:r>
      <w:r w:rsidR="00AE061D">
        <w:rPr>
          <w:i/>
        </w:rPr>
        <w:t xml:space="preserve"> </w:t>
      </w:r>
      <w:r w:rsidR="00F84127">
        <w:rPr>
          <w:iCs/>
        </w:rPr>
        <w:t xml:space="preserve">(the </w:t>
      </w:r>
      <w:r w:rsidR="002A5EB2">
        <w:rPr>
          <w:iCs/>
        </w:rPr>
        <w:t xml:space="preserve">ED </w:t>
      </w:r>
      <w:r w:rsidR="00F84127">
        <w:rPr>
          <w:iCs/>
        </w:rPr>
        <w:t xml:space="preserve">Regulations) </w:t>
      </w:r>
      <w:r w:rsidR="00AA3313" w:rsidRPr="00AA3313">
        <w:rPr>
          <w:iCs/>
        </w:rPr>
        <w:t xml:space="preserve">is to reduce the regulatory burden for </w:t>
      </w:r>
      <w:r w:rsidR="00A36BFC">
        <w:rPr>
          <w:iCs/>
        </w:rPr>
        <w:t>registered entities</w:t>
      </w:r>
      <w:r w:rsidR="00AA3313" w:rsidRPr="00AA3313">
        <w:rPr>
          <w:iCs/>
        </w:rPr>
        <w:t xml:space="preserve"> imposed by the current reporting requirements</w:t>
      </w:r>
      <w:r w:rsidR="00BD0FAE">
        <w:rPr>
          <w:iCs/>
        </w:rPr>
        <w:t xml:space="preserve"> in the Act</w:t>
      </w:r>
      <w:r w:rsidR="00AA3313">
        <w:rPr>
          <w:iCs/>
        </w:rPr>
        <w:t xml:space="preserve"> and at the same time </w:t>
      </w:r>
      <w:r w:rsidR="00AA3313" w:rsidRPr="00AA3313">
        <w:rPr>
          <w:iCs/>
        </w:rPr>
        <w:t xml:space="preserve">to increase public confidence in the accountability of </w:t>
      </w:r>
      <w:r w:rsidR="006D7D70">
        <w:rPr>
          <w:iCs/>
        </w:rPr>
        <w:t>registered entities</w:t>
      </w:r>
      <w:r w:rsidR="00C5276E">
        <w:rPr>
          <w:iCs/>
        </w:rPr>
        <w:t>.</w:t>
      </w:r>
    </w:p>
    <w:p w14:paraId="733DE3ED" w14:textId="52F39A1B" w:rsidR="007E1780" w:rsidRPr="006C053D" w:rsidRDefault="00AA3313" w:rsidP="006C053D">
      <w:pPr>
        <w:spacing w:before="240"/>
        <w:rPr>
          <w:i/>
        </w:rPr>
      </w:pPr>
      <w:r>
        <w:rPr>
          <w:iCs/>
        </w:rPr>
        <w:t>The</w:t>
      </w:r>
      <w:r w:rsidR="002A5EB2">
        <w:rPr>
          <w:iCs/>
        </w:rPr>
        <w:t xml:space="preserve"> ED</w:t>
      </w:r>
      <w:r>
        <w:rPr>
          <w:iCs/>
        </w:rPr>
        <w:t xml:space="preserve"> Regulations </w:t>
      </w:r>
      <w:r w:rsidR="0085400F">
        <w:rPr>
          <w:iCs/>
        </w:rPr>
        <w:t xml:space="preserve">implement a number of Government responses to the </w:t>
      </w:r>
      <w:r w:rsidR="0085400F" w:rsidRPr="00C50AEA">
        <w:rPr>
          <w:i/>
        </w:rPr>
        <w:t>Strengthening for Purpose: Australian Ch</w:t>
      </w:r>
      <w:r w:rsidR="009275D9">
        <w:rPr>
          <w:i/>
        </w:rPr>
        <w:t>a</w:t>
      </w:r>
      <w:r w:rsidR="0085400F" w:rsidRPr="00C50AEA">
        <w:rPr>
          <w:i/>
        </w:rPr>
        <w:t>rities and Not-for-profits Commission Legislation Review</w:t>
      </w:r>
      <w:r w:rsidR="0085400F">
        <w:rPr>
          <w:iCs/>
        </w:rPr>
        <w:t xml:space="preserve"> </w:t>
      </w:r>
      <w:r w:rsidR="0085400F" w:rsidRPr="00C50AEA">
        <w:rPr>
          <w:i/>
        </w:rPr>
        <w:t>(2018)</w:t>
      </w:r>
      <w:r w:rsidR="0085400F" w:rsidRPr="0085400F">
        <w:rPr>
          <w:iCs/>
        </w:rPr>
        <w:t xml:space="preserve"> (the Review</w:t>
      </w:r>
      <w:r w:rsidR="00382E87" w:rsidRPr="0085400F">
        <w:rPr>
          <w:iCs/>
        </w:rPr>
        <w:t>)</w:t>
      </w:r>
      <w:r w:rsidR="00382E87">
        <w:rPr>
          <w:iCs/>
        </w:rPr>
        <w:t xml:space="preserve">. </w:t>
      </w:r>
      <w:r w:rsidR="004079CE">
        <w:rPr>
          <w:iCs/>
        </w:rPr>
        <w:t xml:space="preserve">Firstly, the </w:t>
      </w:r>
      <w:r w:rsidR="00202C55">
        <w:rPr>
          <w:iCs/>
        </w:rPr>
        <w:t xml:space="preserve">changes </w:t>
      </w:r>
      <w:r w:rsidR="007E1780">
        <w:t xml:space="preserve">increase the </w:t>
      </w:r>
      <w:r w:rsidR="0081766E">
        <w:t xml:space="preserve">annual </w:t>
      </w:r>
      <w:r w:rsidR="007E1780">
        <w:t xml:space="preserve">revenue thresholds </w:t>
      </w:r>
      <w:r w:rsidR="0081766E">
        <w:t xml:space="preserve">used </w:t>
      </w:r>
      <w:r w:rsidR="007E1780">
        <w:t xml:space="preserve">for </w:t>
      </w:r>
      <w:r w:rsidR="004079CE">
        <w:t xml:space="preserve">determining </w:t>
      </w:r>
      <w:r w:rsidR="0081766E">
        <w:t>whether a registered entity is a small registered entity, a medium registered entity or a large registered entity. The size of a registered entity</w:t>
      </w:r>
      <w:r w:rsidR="005747B3">
        <w:t xml:space="preserve"> can</w:t>
      </w:r>
      <w:r w:rsidR="0081766E">
        <w:t xml:space="preserve"> affect how various </w:t>
      </w:r>
      <w:r w:rsidR="005747B3">
        <w:t>obligation</w:t>
      </w:r>
      <w:r w:rsidR="00B2698E">
        <w:t>s</w:t>
      </w:r>
      <w:r w:rsidR="005747B3">
        <w:t xml:space="preserve"> under the</w:t>
      </w:r>
      <w:r w:rsidR="0081766E">
        <w:t xml:space="preserve"> Act </w:t>
      </w:r>
      <w:r w:rsidR="005747B3">
        <w:t xml:space="preserve">can apply to a registered entity, for example </w:t>
      </w:r>
      <w:r w:rsidR="007E1780">
        <w:t xml:space="preserve">reporting </w:t>
      </w:r>
      <w:r w:rsidR="005747B3">
        <w:t xml:space="preserve">obligations are scaled to the size of a </w:t>
      </w:r>
      <w:r w:rsidR="00683D6A">
        <w:t xml:space="preserve">registered </w:t>
      </w:r>
      <w:r w:rsidR="005747B3">
        <w:t>entity</w:t>
      </w:r>
      <w:r w:rsidR="007E1780">
        <w:t>. This gives effect to</w:t>
      </w:r>
      <w:r w:rsidR="00C007CD">
        <w:t xml:space="preserve"> </w:t>
      </w:r>
      <w:r w:rsidR="00F84127">
        <w:t xml:space="preserve">the </w:t>
      </w:r>
      <w:r w:rsidR="00C007CD">
        <w:t xml:space="preserve">Government’s Response to Recommendation 12 of </w:t>
      </w:r>
      <w:r w:rsidR="00A90EBA" w:rsidRPr="00A90EBA">
        <w:t>the</w:t>
      </w:r>
      <w:r w:rsidR="00C007CD" w:rsidRPr="00A90EBA">
        <w:rPr>
          <w:i/>
          <w:iCs/>
        </w:rPr>
        <w:t xml:space="preserve"> </w:t>
      </w:r>
      <w:r w:rsidR="0085400F">
        <w:t>Review</w:t>
      </w:r>
      <w:r w:rsidR="009F136F">
        <w:t xml:space="preserve"> and was agreed to by the Council on Federal Financial Relations </w:t>
      </w:r>
      <w:r w:rsidR="00191D3F">
        <w:t>in June 2021.</w:t>
      </w:r>
    </w:p>
    <w:p w14:paraId="1394DFE5" w14:textId="12CD8DE5" w:rsidR="002C1771" w:rsidRDefault="00C5276E" w:rsidP="00F65329">
      <w:pPr>
        <w:pStyle w:val="Bullet"/>
        <w:numPr>
          <w:ilvl w:val="0"/>
          <w:numId w:val="0"/>
        </w:numPr>
      </w:pPr>
      <w:r>
        <w:t>T</w:t>
      </w:r>
      <w:r w:rsidR="00840593">
        <w:t>he</w:t>
      </w:r>
      <w:r w:rsidR="00202C55">
        <w:t xml:space="preserve"> </w:t>
      </w:r>
      <w:r w:rsidR="002A5EB2">
        <w:t xml:space="preserve">ED </w:t>
      </w:r>
      <w:r w:rsidR="00BD0FAE" w:rsidRPr="00BD0FAE">
        <w:t>R</w:t>
      </w:r>
      <w:r w:rsidR="00202C55" w:rsidRPr="00BD0FAE">
        <w:t>egulations</w:t>
      </w:r>
      <w:r w:rsidR="00D37AD5" w:rsidRPr="00BD0FAE">
        <w:t xml:space="preserve"> </w:t>
      </w:r>
      <w:r w:rsidR="005747B3">
        <w:t xml:space="preserve">also </w:t>
      </w:r>
      <w:r w:rsidR="00D37AD5" w:rsidRPr="00BD0FAE">
        <w:t xml:space="preserve">require </w:t>
      </w:r>
      <w:r w:rsidR="004803BB">
        <w:t xml:space="preserve">medium and large </w:t>
      </w:r>
      <w:r w:rsidR="00A36BFC">
        <w:t>registered entities</w:t>
      </w:r>
      <w:r w:rsidR="00D37AD5">
        <w:t xml:space="preserve"> with the ACNC to include </w:t>
      </w:r>
      <w:r w:rsidR="005747B3">
        <w:t xml:space="preserve">certain </w:t>
      </w:r>
      <w:r w:rsidR="00D37AD5">
        <w:t xml:space="preserve">related party disclosures in their </w:t>
      </w:r>
      <w:r w:rsidR="004803BB">
        <w:t xml:space="preserve">special purpose </w:t>
      </w:r>
      <w:r w:rsidR="00D37AD5">
        <w:t>annual</w:t>
      </w:r>
      <w:r w:rsidR="002630EA">
        <w:t xml:space="preserve"> </w:t>
      </w:r>
      <w:r w:rsidR="005747B3">
        <w:t>financial</w:t>
      </w:r>
      <w:r w:rsidR="004803BB">
        <w:t xml:space="preserve"> reports</w:t>
      </w:r>
      <w:r w:rsidR="00D37AD5">
        <w:t xml:space="preserve">. </w:t>
      </w:r>
      <w:r w:rsidR="004803BB">
        <w:t xml:space="preserve">Medium and large entities preparing general purpose annual financial reports are already making the necessary disclosures of related party transactions. </w:t>
      </w:r>
      <w:r w:rsidR="00D37AD5">
        <w:t xml:space="preserve">This new requirement for </w:t>
      </w:r>
      <w:r w:rsidR="00840593">
        <w:t>related party disclosures</w:t>
      </w:r>
      <w:r w:rsidR="004803BB">
        <w:t xml:space="preserve"> in special purpose financial reports</w:t>
      </w:r>
      <w:r w:rsidR="00A90EBA">
        <w:t xml:space="preserve"> gives effect </w:t>
      </w:r>
      <w:r w:rsidR="00B2698E">
        <w:t>to Recommendations</w:t>
      </w:r>
      <w:r w:rsidR="00A90EBA">
        <w:t xml:space="preserve"> 14 </w:t>
      </w:r>
      <w:r w:rsidR="002630EA">
        <w:t xml:space="preserve">and 15 </w:t>
      </w:r>
      <w:r w:rsidR="00A90EBA">
        <w:t>of the Review.</w:t>
      </w:r>
      <w:r w:rsidR="005747B3">
        <w:t xml:space="preserve"> </w:t>
      </w:r>
      <w:r w:rsidR="004803BB">
        <w:t>The Commissioner of the Australian Charities and Not-for-profits Commission is separately proposing that small registered entities disclose a number of related party transactions as part of their annual information</w:t>
      </w:r>
      <w:r w:rsidR="00BB4DDC">
        <w:t xml:space="preserve"> </w:t>
      </w:r>
      <w:r w:rsidR="00B2698E">
        <w:t xml:space="preserve">statements. </w:t>
      </w:r>
      <w:r w:rsidR="004803BB">
        <w:t>The</w:t>
      </w:r>
      <w:r w:rsidR="00EA1375">
        <w:t xml:space="preserve"> </w:t>
      </w:r>
      <w:r w:rsidR="005747B3">
        <w:t xml:space="preserve">purpose </w:t>
      </w:r>
      <w:r w:rsidR="00EA1375">
        <w:t xml:space="preserve">of this change is to provide greater transparency and accountability </w:t>
      </w:r>
      <w:r w:rsidR="00902D4A">
        <w:t>for</w:t>
      </w:r>
      <w:r w:rsidR="00EA1375">
        <w:t xml:space="preserve"> transactions</w:t>
      </w:r>
      <w:r w:rsidR="00234BD1">
        <w:t xml:space="preserve"> of </w:t>
      </w:r>
      <w:r w:rsidR="00A36BFC">
        <w:t>registered entities</w:t>
      </w:r>
      <w:r w:rsidR="00EA1375">
        <w:t>, and specifically transactions that pose a higher risk to charitable assets being used for private benefit.</w:t>
      </w:r>
    </w:p>
    <w:p w14:paraId="76FE6167" w14:textId="037A3479" w:rsidR="006F0D8E" w:rsidRDefault="005747B3" w:rsidP="00C007CD">
      <w:pPr>
        <w:spacing w:before="240"/>
      </w:pPr>
      <w:r>
        <w:t>T</w:t>
      </w:r>
      <w:r w:rsidR="003762DB">
        <w:t>he increase</w:t>
      </w:r>
      <w:r w:rsidR="004803BB">
        <w:t xml:space="preserve"> in the</w:t>
      </w:r>
      <w:r w:rsidR="003762DB">
        <w:t xml:space="preserve"> </w:t>
      </w:r>
      <w:r w:rsidR="004803BB">
        <w:t>annual revenue thresholds</w:t>
      </w:r>
      <w:r w:rsidR="003762DB">
        <w:t xml:space="preserve"> </w:t>
      </w:r>
      <w:r>
        <w:t xml:space="preserve">will </w:t>
      </w:r>
      <w:r w:rsidR="003762DB">
        <w:t xml:space="preserve">result in </w:t>
      </w:r>
      <w:r w:rsidR="00902D4A" w:rsidRPr="00902D4A">
        <w:t xml:space="preserve">approximately </w:t>
      </w:r>
      <w:r w:rsidR="003762DB" w:rsidRPr="003762DB">
        <w:t xml:space="preserve">2,500 </w:t>
      </w:r>
      <w:r w:rsidR="006D7D70">
        <w:t>registered entities</w:t>
      </w:r>
      <w:r w:rsidR="003762DB" w:rsidRPr="003762DB">
        <w:t xml:space="preserve"> no longer </w:t>
      </w:r>
      <w:r w:rsidR="003762DB">
        <w:t xml:space="preserve">being </w:t>
      </w:r>
      <w:r w:rsidR="003762DB" w:rsidRPr="003762DB">
        <w:t>require</w:t>
      </w:r>
      <w:r w:rsidR="003762DB">
        <w:t>d</w:t>
      </w:r>
      <w:r w:rsidR="003762DB" w:rsidRPr="003762DB">
        <w:t xml:space="preserve"> to produce </w:t>
      </w:r>
      <w:r w:rsidR="004803BB">
        <w:t xml:space="preserve">annual </w:t>
      </w:r>
      <w:r w:rsidR="003762DB" w:rsidRPr="003762DB">
        <w:t xml:space="preserve">financial </w:t>
      </w:r>
      <w:r w:rsidR="004803BB">
        <w:t>reports</w:t>
      </w:r>
      <w:r w:rsidR="004803BB" w:rsidRPr="003762DB">
        <w:t xml:space="preserve"> </w:t>
      </w:r>
      <w:r w:rsidR="003762DB" w:rsidRPr="003762DB">
        <w:t xml:space="preserve">saving </w:t>
      </w:r>
      <w:r w:rsidR="00234BD1">
        <w:lastRenderedPageBreak/>
        <w:t>those</w:t>
      </w:r>
      <w:r w:rsidR="00902D4A">
        <w:t xml:space="preserve"> </w:t>
      </w:r>
      <w:r w:rsidR="00A36BFC">
        <w:t>registered entities</w:t>
      </w:r>
      <w:r w:rsidR="00902D4A" w:rsidRPr="003762DB">
        <w:t xml:space="preserve"> </w:t>
      </w:r>
      <w:r w:rsidR="003762DB" w:rsidRPr="003762DB">
        <w:t>approximately $2</w:t>
      </w:r>
      <w:r w:rsidR="0049529F">
        <w:t>,</w:t>
      </w:r>
      <w:r w:rsidR="003762DB" w:rsidRPr="003762DB">
        <w:t>400 each in annual accounting expenses</w:t>
      </w:r>
      <w:r w:rsidR="003762DB">
        <w:t>.</w:t>
      </w:r>
      <w:r w:rsidR="004F6978">
        <w:t xml:space="preserve"> Further, over 2,700 registered entities will be permitted to have their financial statements reviewed rather than audited, saving around $3,000 in accounting expenses annually.</w:t>
      </w:r>
    </w:p>
    <w:p w14:paraId="4EE5770F" w14:textId="4B72A4A2" w:rsidR="00E94A89" w:rsidRDefault="007D387C" w:rsidP="007D387C">
      <w:pPr>
        <w:spacing w:before="240"/>
      </w:pPr>
      <w:r>
        <w:t xml:space="preserve">At the same time, </w:t>
      </w:r>
      <w:r w:rsidR="00C57D9C">
        <w:t xml:space="preserve">the changes will </w:t>
      </w:r>
      <w:r w:rsidR="004803BB">
        <w:t xml:space="preserve">also </w:t>
      </w:r>
      <w:r w:rsidR="00C57D9C">
        <w:t>mean increased</w:t>
      </w:r>
      <w:r>
        <w:t xml:space="preserve"> public confidence in the accountability of </w:t>
      </w:r>
      <w:r w:rsidR="006D7D70">
        <w:t>registered entitie</w:t>
      </w:r>
      <w:r>
        <w:t xml:space="preserve">s </w:t>
      </w:r>
      <w:r w:rsidR="00C57D9C">
        <w:t xml:space="preserve">brought about by the </w:t>
      </w:r>
      <w:r w:rsidR="004803BB">
        <w:t xml:space="preserve">increased </w:t>
      </w:r>
      <w:r>
        <w:t>disclosure requirements for related party transaction</w:t>
      </w:r>
      <w:r w:rsidR="00C57D9C">
        <w:t xml:space="preserve">s. </w:t>
      </w:r>
    </w:p>
    <w:p w14:paraId="0719E212" w14:textId="59DA329A" w:rsidR="002C226C" w:rsidRDefault="002C226C" w:rsidP="002C226C">
      <w:pPr>
        <w:spacing w:before="240"/>
      </w:pPr>
      <w:r>
        <w:t xml:space="preserve">Details of the </w:t>
      </w:r>
      <w:r w:rsidR="002A5EB2">
        <w:t xml:space="preserve">ED </w:t>
      </w:r>
      <w:r w:rsidR="00EB2AEF">
        <w:t xml:space="preserve">Regulations are set out </w:t>
      </w:r>
      <w:r w:rsidR="004803BB">
        <w:t xml:space="preserve">at </w:t>
      </w:r>
      <w:r w:rsidRPr="00317816">
        <w:rPr>
          <w:u w:val="single"/>
        </w:rPr>
        <w:t>Attachment</w:t>
      </w:r>
      <w:r w:rsidR="00EB2AEF">
        <w:rPr>
          <w:u w:val="single"/>
        </w:rPr>
        <w:t xml:space="preserve"> </w:t>
      </w:r>
      <w:r w:rsidR="00C5276E">
        <w:rPr>
          <w:u w:val="single"/>
        </w:rPr>
        <w:t>A.</w:t>
      </w:r>
    </w:p>
    <w:p w14:paraId="2846E321" w14:textId="1E898705" w:rsidR="00B059F8" w:rsidRDefault="002C226C" w:rsidP="00647BB7">
      <w:pPr>
        <w:spacing w:before="240"/>
      </w:pPr>
      <w:r>
        <w:t>The</w:t>
      </w:r>
      <w:r w:rsidRPr="00D3322F">
        <w:t xml:space="preserve"> </w:t>
      </w:r>
      <w:r w:rsidR="002A5EB2">
        <w:t xml:space="preserve">ED </w:t>
      </w:r>
      <w:r w:rsidRPr="00D3322F">
        <w:t>Regulation</w:t>
      </w:r>
      <w:r>
        <w:t>s are</w:t>
      </w:r>
      <w:r w:rsidRPr="00D3322F">
        <w:t xml:space="preserve"> a legislative instrument for the purposes of the</w:t>
      </w:r>
      <w:r w:rsidRPr="00322524">
        <w:t xml:space="preserve"> </w:t>
      </w:r>
      <w:r w:rsidRPr="00D3322F">
        <w:rPr>
          <w:i/>
        </w:rPr>
        <w:t xml:space="preserve">Legislation Act </w:t>
      </w:r>
      <w:r w:rsidR="00F74A87" w:rsidRPr="00D3322F">
        <w:rPr>
          <w:i/>
        </w:rPr>
        <w:t>2003</w:t>
      </w:r>
      <w:r w:rsidR="00F74A87">
        <w:t xml:space="preserve"> and</w:t>
      </w:r>
      <w:r w:rsidR="00113DE2">
        <w:t xml:space="preserve"> </w:t>
      </w:r>
      <w:r w:rsidR="00B059F8">
        <w:t xml:space="preserve">commence on the day after </w:t>
      </w:r>
      <w:r w:rsidR="00F836E0">
        <w:t xml:space="preserve">the </w:t>
      </w:r>
      <w:r w:rsidR="002A5EB2">
        <w:t xml:space="preserve">ED </w:t>
      </w:r>
      <w:r w:rsidR="00F836E0">
        <w:t>Regulations are registered on the Federal Register of Legislation.</w:t>
      </w:r>
    </w:p>
    <w:p w14:paraId="1E245715" w14:textId="611D1B5F" w:rsidR="00EA4DD8" w:rsidRDefault="00EA4DD8" w:rsidP="00EA4DD8">
      <w:pPr>
        <w:pageBreakBefore/>
        <w:spacing w:before="240"/>
        <w:jc w:val="right"/>
        <w:rPr>
          <w:b/>
          <w:u w:val="single"/>
        </w:rPr>
      </w:pPr>
      <w:r w:rsidRPr="007B335E">
        <w:rPr>
          <w:b/>
          <w:u w:val="single"/>
        </w:rPr>
        <w:lastRenderedPageBreak/>
        <w:t xml:space="preserve">ATTACHMENT </w:t>
      </w:r>
      <w:r w:rsidR="00B059F8">
        <w:rPr>
          <w:b/>
          <w:u w:val="single"/>
        </w:rPr>
        <w:t>A</w:t>
      </w:r>
    </w:p>
    <w:p w14:paraId="67B1EA68" w14:textId="0EEB6333" w:rsidR="009715EF" w:rsidRDefault="00EA4DD8" w:rsidP="00EA4DD8">
      <w:pPr>
        <w:spacing w:before="240"/>
        <w:rPr>
          <w:b/>
          <w:bCs/>
          <w:u w:val="single"/>
        </w:rPr>
      </w:pPr>
      <w:r>
        <w:rPr>
          <w:b/>
          <w:bCs/>
          <w:u w:val="single"/>
        </w:rPr>
        <w:t xml:space="preserve">Details of the </w:t>
      </w:r>
      <w:r w:rsidR="002A5EB2">
        <w:rPr>
          <w:b/>
          <w:bCs/>
          <w:u w:val="single"/>
        </w:rPr>
        <w:t xml:space="preserve">Exposure Draft:  </w:t>
      </w:r>
      <w:r w:rsidR="00580566" w:rsidRPr="00580566">
        <w:rPr>
          <w:b/>
          <w:bCs/>
          <w:u w:val="single"/>
        </w:rPr>
        <w:t>Australian Charities and Not‑for‑profits Commission Amendment (2021 Measures No. 3) Regulations 2021</w:t>
      </w:r>
    </w:p>
    <w:p w14:paraId="32C3365C" w14:textId="5ECD1AFA" w:rsidR="00EA4DD8" w:rsidRDefault="00EA4DD8" w:rsidP="00EA4DD8">
      <w:pPr>
        <w:spacing w:before="240"/>
        <w:rPr>
          <w:rFonts w:ascii="Calibri" w:hAnsi="Calibri"/>
          <w:sz w:val="22"/>
          <w:szCs w:val="22"/>
          <w:u w:val="single"/>
          <w:lang w:eastAsia="en-US"/>
        </w:rPr>
      </w:pPr>
      <w:r>
        <w:rPr>
          <w:u w:val="single"/>
        </w:rPr>
        <w:t xml:space="preserve">Section 1 – Name of the </w:t>
      </w:r>
      <w:r w:rsidR="002A5EB2">
        <w:rPr>
          <w:u w:val="single"/>
        </w:rPr>
        <w:t xml:space="preserve">ED </w:t>
      </w:r>
      <w:r>
        <w:rPr>
          <w:u w:val="single"/>
        </w:rPr>
        <w:t>Regulations</w:t>
      </w:r>
    </w:p>
    <w:p w14:paraId="060937AD" w14:textId="7A47E199" w:rsidR="00EA4DD8" w:rsidRPr="00580566" w:rsidRDefault="00EA4DD8" w:rsidP="00EA4DD8">
      <w:pPr>
        <w:spacing w:before="240"/>
        <w:rPr>
          <w:b/>
          <w:bCs/>
          <w:i/>
          <w:u w:val="single"/>
        </w:rPr>
      </w:pPr>
      <w:r>
        <w:t xml:space="preserve">This section provides that the name of the Regulations is the </w:t>
      </w:r>
      <w:r w:rsidR="00580566" w:rsidRPr="00580566">
        <w:rPr>
          <w:i/>
          <w:iCs/>
        </w:rPr>
        <w:t>Australian Charities and Not‑for‑profits Commission Amendment (2021 Measures No. 3) Regulations 2021</w:t>
      </w:r>
      <w:r w:rsidR="00580566">
        <w:rPr>
          <w:b/>
          <w:bCs/>
          <w:i/>
          <w:u w:val="single"/>
        </w:rPr>
        <w:t xml:space="preserve"> </w:t>
      </w:r>
      <w:r w:rsidR="00B94C08">
        <w:t>(</w:t>
      </w:r>
      <w:r>
        <w:t>the </w:t>
      </w:r>
      <w:r w:rsidR="002A5EB2">
        <w:t xml:space="preserve">ED </w:t>
      </w:r>
      <w:r>
        <w:t>Regulations).</w:t>
      </w:r>
    </w:p>
    <w:p w14:paraId="2AA98991" w14:textId="77777777" w:rsidR="00EA4DD8" w:rsidRDefault="00EA4DD8" w:rsidP="00EA4DD8">
      <w:pPr>
        <w:spacing w:before="240"/>
        <w:ind w:right="91"/>
        <w:rPr>
          <w:u w:val="single"/>
        </w:rPr>
      </w:pPr>
      <w:r>
        <w:rPr>
          <w:u w:val="single"/>
        </w:rPr>
        <w:t>Section 2 – Commencement</w:t>
      </w:r>
    </w:p>
    <w:p w14:paraId="55EEDDD9" w14:textId="69FE30FA" w:rsidR="00580566" w:rsidRDefault="00EA4DD8" w:rsidP="00EA4DD8">
      <w:pPr>
        <w:spacing w:before="240"/>
        <w:ind w:right="91"/>
      </w:pPr>
      <w:r>
        <w:t xml:space="preserve">Schedule 1 to the </w:t>
      </w:r>
      <w:r w:rsidR="002A5EB2">
        <w:t xml:space="preserve">ED </w:t>
      </w:r>
      <w:r>
        <w:t>Regulations commence</w:t>
      </w:r>
      <w:r w:rsidR="009715EF">
        <w:t>s</w:t>
      </w:r>
      <w:r>
        <w:t xml:space="preserve"> on </w:t>
      </w:r>
      <w:r w:rsidRPr="00B94C08">
        <w:t xml:space="preserve">the day after the instrument is registered </w:t>
      </w:r>
      <w:r>
        <w:t>on the Federal Register of Legislation.</w:t>
      </w:r>
    </w:p>
    <w:p w14:paraId="7768BFF4" w14:textId="77777777" w:rsidR="00EA4DD8" w:rsidRDefault="00EA4DD8" w:rsidP="00EA4DD8">
      <w:pPr>
        <w:spacing w:before="240"/>
        <w:ind w:right="91"/>
        <w:rPr>
          <w:u w:val="single"/>
        </w:rPr>
      </w:pPr>
      <w:r>
        <w:rPr>
          <w:u w:val="single"/>
        </w:rPr>
        <w:t>Section 3 – Authority</w:t>
      </w:r>
    </w:p>
    <w:p w14:paraId="51606A18" w14:textId="0184C74F" w:rsidR="00B94C08" w:rsidRPr="00B94C08" w:rsidRDefault="00EA4DD8" w:rsidP="00EA4DD8">
      <w:pPr>
        <w:spacing w:before="240"/>
        <w:ind w:right="91"/>
        <w:rPr>
          <w:i/>
        </w:rPr>
      </w:pPr>
      <w:r>
        <w:t xml:space="preserve">The </w:t>
      </w:r>
      <w:r w:rsidR="002A5EB2">
        <w:t xml:space="preserve">ED </w:t>
      </w:r>
      <w:r>
        <w:t xml:space="preserve">Regulations are made under the </w:t>
      </w:r>
      <w:r w:rsidR="00B94C08" w:rsidRPr="007E1780">
        <w:rPr>
          <w:i/>
        </w:rPr>
        <w:t>Australian Charities and Not-for-profits Commission Act 2012</w:t>
      </w:r>
      <w:r w:rsidR="00B94C08" w:rsidRPr="00503E44">
        <w:t xml:space="preserve"> (the Act)</w:t>
      </w:r>
      <w:r w:rsidR="00C5276E">
        <w:t>.</w:t>
      </w:r>
    </w:p>
    <w:p w14:paraId="6B432015" w14:textId="1723D2F8" w:rsidR="00EA4DD8" w:rsidRDefault="00EA4DD8" w:rsidP="00EA4DD8">
      <w:pPr>
        <w:spacing w:before="240"/>
        <w:ind w:right="91"/>
        <w:rPr>
          <w:u w:val="single"/>
        </w:rPr>
      </w:pPr>
      <w:r>
        <w:rPr>
          <w:u w:val="single"/>
        </w:rPr>
        <w:t>Section 4 – Schedule</w:t>
      </w:r>
    </w:p>
    <w:p w14:paraId="0932A3E4" w14:textId="62D901E5" w:rsidR="00EA4DD8" w:rsidRDefault="00EA4DD8" w:rsidP="00EA4DD8">
      <w:pPr>
        <w:spacing w:before="240" w:after="200"/>
        <w:ind w:right="91"/>
        <w:rPr>
          <w:u w:val="single"/>
        </w:rPr>
      </w:pPr>
      <w:r>
        <w:t xml:space="preserve">This section provides that each instrument that is specified in </w:t>
      </w:r>
      <w:r w:rsidR="008234D1">
        <w:t xml:space="preserve">a </w:t>
      </w:r>
      <w:r>
        <w:t>Schedule to this instrument will be amended or repealed as set out in the applicable items in the Schedule, and any other item in the Schedule has effect according to its terms.</w:t>
      </w:r>
    </w:p>
    <w:p w14:paraId="4EFF56A2" w14:textId="18D03F22" w:rsidR="00B94C08" w:rsidRPr="006956C2" w:rsidRDefault="00EA4DD8" w:rsidP="00B94C08">
      <w:pPr>
        <w:spacing w:after="0"/>
        <w:ind w:right="91"/>
        <w:rPr>
          <w:u w:val="single"/>
        </w:rPr>
      </w:pPr>
      <w:r w:rsidRPr="006956C2">
        <w:rPr>
          <w:u w:val="single"/>
        </w:rPr>
        <w:t xml:space="preserve">Schedule 1 – </w:t>
      </w:r>
      <w:r w:rsidR="00B94C08" w:rsidRPr="006956C2">
        <w:rPr>
          <w:u w:val="single"/>
        </w:rPr>
        <w:t>Amendments</w:t>
      </w:r>
    </w:p>
    <w:p w14:paraId="193F3E59" w14:textId="2DCAF440" w:rsidR="00B057DD" w:rsidRDefault="00B057DD" w:rsidP="00B94C08">
      <w:pPr>
        <w:spacing w:after="0"/>
        <w:ind w:right="91"/>
      </w:pPr>
      <w:r>
        <w:t>Item</w:t>
      </w:r>
      <w:r w:rsidR="00682E43">
        <w:t>s, 1,</w:t>
      </w:r>
      <w:r w:rsidR="008234D1">
        <w:t xml:space="preserve"> </w:t>
      </w:r>
      <w:r w:rsidR="00682E43">
        <w:t xml:space="preserve">2 and 3 of </w:t>
      </w:r>
      <w:r w:rsidR="008234D1">
        <w:t xml:space="preserve">Schedule </w:t>
      </w:r>
      <w:r w:rsidR="00682E43">
        <w:t xml:space="preserve">1 </w:t>
      </w:r>
      <w:r w:rsidR="008234D1">
        <w:t xml:space="preserve">to the </w:t>
      </w:r>
      <w:r w:rsidR="002A5EB2">
        <w:t xml:space="preserve">ED </w:t>
      </w:r>
      <w:r w:rsidR="008234D1">
        <w:t xml:space="preserve">Regulations </w:t>
      </w:r>
      <w:r w:rsidR="002A5EB2">
        <w:t xml:space="preserve">propose to </w:t>
      </w:r>
      <w:r w:rsidR="007145CA">
        <w:t>amend section</w:t>
      </w:r>
      <w:r w:rsidR="002A5EB2">
        <w:t> </w:t>
      </w:r>
      <w:r w:rsidR="007145CA">
        <w:t xml:space="preserve">60.30 of the </w:t>
      </w:r>
      <w:r w:rsidR="00C70EDC" w:rsidRPr="00C70EDC">
        <w:rPr>
          <w:i/>
          <w:iCs/>
        </w:rPr>
        <w:t>Australian Charities and Not-for-profits Commission Regulation 2013</w:t>
      </w:r>
      <w:r w:rsidR="008234D1">
        <w:rPr>
          <w:i/>
          <w:iCs/>
        </w:rPr>
        <w:t xml:space="preserve"> </w:t>
      </w:r>
      <w:r w:rsidR="00C70EDC" w:rsidRPr="00C70EDC">
        <w:t>(</w:t>
      </w:r>
      <w:r w:rsidR="00BB4F52">
        <w:t xml:space="preserve">the </w:t>
      </w:r>
      <w:r w:rsidR="00C70EDC" w:rsidRPr="00C70EDC">
        <w:t>ACNC Regulations)</w:t>
      </w:r>
      <w:r w:rsidR="00C70EDC">
        <w:t xml:space="preserve"> </w:t>
      </w:r>
      <w:r w:rsidR="008234D1">
        <w:t xml:space="preserve">to </w:t>
      </w:r>
      <w:r w:rsidR="00C70EDC">
        <w:t xml:space="preserve">prescribe </w:t>
      </w:r>
      <w:r w:rsidR="00174003">
        <w:t xml:space="preserve">AASB 124 </w:t>
      </w:r>
      <w:r w:rsidR="008234D1" w:rsidRPr="005134C3">
        <w:rPr>
          <w:i/>
          <w:iCs/>
        </w:rPr>
        <w:t>Related Party Disclosures</w:t>
      </w:r>
      <w:r w:rsidR="008234D1">
        <w:t xml:space="preserve"> </w:t>
      </w:r>
      <w:r w:rsidR="00174003">
        <w:t xml:space="preserve">as an additional </w:t>
      </w:r>
      <w:r w:rsidR="008234D1">
        <w:t xml:space="preserve">Australian Accounting Standard </w:t>
      </w:r>
      <w:r w:rsidR="00174003">
        <w:t>that must be</w:t>
      </w:r>
      <w:r w:rsidR="002536FC">
        <w:t xml:space="preserve"> followed when preparing special purpose financial </w:t>
      </w:r>
      <w:r w:rsidR="008234D1">
        <w:t>reports under the Act</w:t>
      </w:r>
      <w:r w:rsidR="001A7A7B">
        <w:t>.</w:t>
      </w:r>
    </w:p>
    <w:p w14:paraId="7251CB72" w14:textId="62FD9763" w:rsidR="00ED5DF1" w:rsidRDefault="008234D1" w:rsidP="00813813">
      <w:r>
        <w:t xml:space="preserve">Australian Accounting Standards </w:t>
      </w:r>
      <w:r w:rsidR="002A5EB2">
        <w:t>can</w:t>
      </w:r>
      <w:r w:rsidR="00813813" w:rsidRPr="004F4E08">
        <w:t xml:space="preserve"> be obtained at no cost from the Australian Accounting Standards Board website </w:t>
      </w:r>
      <w:hyperlink r:id="rId13" w:history="1">
        <w:r w:rsidR="00ED5DF1" w:rsidRPr="006917CA">
          <w:rPr>
            <w:rStyle w:val="Hyperlink"/>
          </w:rPr>
          <w:t>www.aasb.gov.au</w:t>
        </w:r>
      </w:hyperlink>
      <w:r>
        <w:t xml:space="preserve"> or the Federal Register of Legislation.</w:t>
      </w:r>
    </w:p>
    <w:p w14:paraId="2E30DAFB" w14:textId="47EC8021" w:rsidR="00813813" w:rsidRPr="00993832" w:rsidRDefault="008234D1" w:rsidP="00813813">
      <w:pPr>
        <w:rPr>
          <w:i/>
          <w:iCs/>
        </w:rPr>
      </w:pPr>
      <w:r>
        <w:t>Australian a</w:t>
      </w:r>
      <w:r w:rsidRPr="004F4E08">
        <w:t xml:space="preserve">ccounting </w:t>
      </w:r>
      <w:r w:rsidR="00813813" w:rsidRPr="004F4E08">
        <w:t xml:space="preserve">standards are disallowable legislative instruments made by the Australian Accounting Standards Board under </w:t>
      </w:r>
      <w:r w:rsidR="00BB4F52">
        <w:t>s</w:t>
      </w:r>
      <w:r w:rsidR="00BB4F52" w:rsidRPr="004F4E08">
        <w:t xml:space="preserve">ection </w:t>
      </w:r>
      <w:r w:rsidR="00813813" w:rsidRPr="004F4E08">
        <w:t xml:space="preserve">334 of the </w:t>
      </w:r>
      <w:r w:rsidR="00813813" w:rsidRPr="00ED5DF1">
        <w:rPr>
          <w:i/>
          <w:iCs/>
        </w:rPr>
        <w:t>Corporations Act 2001</w:t>
      </w:r>
      <w:r w:rsidR="00813813" w:rsidRPr="004F4E08">
        <w:t>.</w:t>
      </w:r>
    </w:p>
    <w:p w14:paraId="4EEE0824" w14:textId="062C17DC" w:rsidR="007F5BF7" w:rsidRDefault="00813813" w:rsidP="00813813">
      <w:pPr>
        <w:pStyle w:val="Bullet"/>
        <w:numPr>
          <w:ilvl w:val="0"/>
          <w:numId w:val="0"/>
        </w:numPr>
      </w:pPr>
      <w:r>
        <w:t>Under section 60-10 of the Act</w:t>
      </w:r>
      <w:r w:rsidR="00BB4F52">
        <w:t>,</w:t>
      </w:r>
      <w:r>
        <w:t xml:space="preserve"> medium and large registered </w:t>
      </w:r>
      <w:r w:rsidR="006D735D">
        <w:t>entities,</w:t>
      </w:r>
      <w:r>
        <w:t xml:space="preserve"> other than basic religious charities, are required to prepare financial reports annually </w:t>
      </w:r>
      <w:r w:rsidR="00BB4F52">
        <w:t>in accordance with</w:t>
      </w:r>
      <w:r>
        <w:t xml:space="preserve"> the ACNC Regulations. If a basic religious charity </w:t>
      </w:r>
      <w:r w:rsidR="00BB4F52">
        <w:t xml:space="preserve">voluntarily </w:t>
      </w:r>
      <w:r>
        <w:t xml:space="preserve">chooses to prepare financial statements, it must </w:t>
      </w:r>
      <w:r w:rsidR="00BB4F52">
        <w:t xml:space="preserve">also </w:t>
      </w:r>
      <w:r>
        <w:t xml:space="preserve">follow the requirements of Division 60. The </w:t>
      </w:r>
      <w:r w:rsidR="002A5EB2">
        <w:t xml:space="preserve">ACNC </w:t>
      </w:r>
      <w:r>
        <w:t xml:space="preserve">Regulations </w:t>
      </w:r>
      <w:r w:rsidR="00BB4F52">
        <w:t xml:space="preserve">cover the </w:t>
      </w:r>
      <w:r>
        <w:t xml:space="preserve">two different types of reports </w:t>
      </w:r>
      <w:r w:rsidR="00BB4F52">
        <w:t xml:space="preserve">specified in the accounting standards </w:t>
      </w:r>
      <w:r>
        <w:t>– general purpose financial statements and special purpose financial statements.</w:t>
      </w:r>
      <w:r w:rsidR="00BB4F52">
        <w:t xml:space="preserve"> The accounting standards specify when a general purpose financial report must be prepared, otherwise reporting entities may choose to prepare either a general purpose financial statement or a special purpose financial statement.</w:t>
      </w:r>
    </w:p>
    <w:p w14:paraId="1518C903" w14:textId="5EAC92EF" w:rsidR="00813813" w:rsidRDefault="00813813" w:rsidP="00813813">
      <w:pPr>
        <w:pStyle w:val="Bullet"/>
        <w:numPr>
          <w:ilvl w:val="0"/>
          <w:numId w:val="0"/>
        </w:numPr>
      </w:pPr>
      <w:r>
        <w:lastRenderedPageBreak/>
        <w:t xml:space="preserve">A general-purpose financial statement is prepared having regard to the requirements that apply in all the </w:t>
      </w:r>
      <w:r w:rsidRPr="00F3469E">
        <w:t>accounting standards</w:t>
      </w:r>
      <w:r>
        <w:t>. A special purpose financial statement is prepared in accordance with only certain prescribed accounting standards</w:t>
      </w:r>
      <w:r w:rsidR="00BB4F52">
        <w:t xml:space="preserve"> set out in section 60.30</w:t>
      </w:r>
      <w:r>
        <w:t xml:space="preserve"> of the ACNC Regulations </w:t>
      </w:r>
    </w:p>
    <w:p w14:paraId="37879E6A" w14:textId="3F491552" w:rsidR="00813813" w:rsidRPr="008A1D7B" w:rsidRDefault="00813813" w:rsidP="00813813">
      <w:pPr>
        <w:rPr>
          <w:szCs w:val="22"/>
        </w:rPr>
      </w:pPr>
      <w:r w:rsidRPr="008A1D7B">
        <w:rPr>
          <w:szCs w:val="22"/>
        </w:rPr>
        <w:t xml:space="preserve">A special purpose statement requires compliance with </w:t>
      </w:r>
      <w:r w:rsidR="00313AC8">
        <w:rPr>
          <w:szCs w:val="22"/>
        </w:rPr>
        <w:t xml:space="preserve">only </w:t>
      </w:r>
      <w:r w:rsidRPr="008A1D7B">
        <w:rPr>
          <w:szCs w:val="22"/>
        </w:rPr>
        <w:t>specified accounting standards</w:t>
      </w:r>
      <w:r w:rsidR="00313AC8">
        <w:rPr>
          <w:szCs w:val="22"/>
        </w:rPr>
        <w:t xml:space="preserve">, potentially </w:t>
      </w:r>
      <w:r w:rsidR="00313AC8" w:rsidRPr="008A1D7B">
        <w:rPr>
          <w:szCs w:val="22"/>
        </w:rPr>
        <w:t>lesse</w:t>
      </w:r>
      <w:r w:rsidR="00313AC8">
        <w:rPr>
          <w:szCs w:val="22"/>
        </w:rPr>
        <w:t>n</w:t>
      </w:r>
      <w:r w:rsidR="00E311EA">
        <w:rPr>
          <w:szCs w:val="22"/>
        </w:rPr>
        <w:t>ing</w:t>
      </w:r>
      <w:r w:rsidR="00313AC8">
        <w:rPr>
          <w:szCs w:val="22"/>
        </w:rPr>
        <w:t xml:space="preserve"> the</w:t>
      </w:r>
      <w:r w:rsidR="00313AC8" w:rsidRPr="008A1D7B">
        <w:rPr>
          <w:szCs w:val="22"/>
        </w:rPr>
        <w:t xml:space="preserve"> </w:t>
      </w:r>
      <w:r w:rsidRPr="008A1D7B">
        <w:rPr>
          <w:szCs w:val="22"/>
        </w:rPr>
        <w:t xml:space="preserve">compliance </w:t>
      </w:r>
      <w:r>
        <w:rPr>
          <w:szCs w:val="22"/>
        </w:rPr>
        <w:t>burden</w:t>
      </w:r>
      <w:r w:rsidRPr="008A1D7B">
        <w:rPr>
          <w:szCs w:val="22"/>
        </w:rPr>
        <w:t xml:space="preserve">. </w:t>
      </w:r>
      <w:r w:rsidR="00313AC8" w:rsidRPr="008A1D7B">
        <w:rPr>
          <w:szCs w:val="22"/>
        </w:rPr>
        <w:t>The</w:t>
      </w:r>
      <w:r w:rsidR="00313AC8">
        <w:rPr>
          <w:szCs w:val="22"/>
        </w:rPr>
        <w:t xml:space="preserve"> prescribed</w:t>
      </w:r>
      <w:r w:rsidR="00313AC8" w:rsidRPr="008A1D7B">
        <w:rPr>
          <w:szCs w:val="22"/>
        </w:rPr>
        <w:t xml:space="preserve"> </w:t>
      </w:r>
      <w:r w:rsidRPr="008A1D7B">
        <w:rPr>
          <w:szCs w:val="22"/>
        </w:rPr>
        <w:t xml:space="preserve">standards </w:t>
      </w:r>
      <w:r w:rsidR="00313AC8">
        <w:rPr>
          <w:szCs w:val="22"/>
        </w:rPr>
        <w:t xml:space="preserve">prior to this </w:t>
      </w:r>
      <w:r w:rsidR="002A5EB2">
        <w:rPr>
          <w:szCs w:val="22"/>
        </w:rPr>
        <w:t xml:space="preserve">ED </w:t>
      </w:r>
      <w:r w:rsidR="00313AC8">
        <w:rPr>
          <w:szCs w:val="22"/>
        </w:rPr>
        <w:t>Regulation were</w:t>
      </w:r>
      <w:r>
        <w:rPr>
          <w:szCs w:val="22"/>
        </w:rPr>
        <w:t>:</w:t>
      </w:r>
    </w:p>
    <w:p w14:paraId="68D52BEF" w14:textId="4C54FD80" w:rsidR="00813813" w:rsidRPr="008A1D7B" w:rsidRDefault="00813813" w:rsidP="00813813">
      <w:pPr>
        <w:pStyle w:val="Bullet"/>
        <w:spacing w:before="0"/>
        <w:rPr>
          <w:szCs w:val="22"/>
        </w:rPr>
      </w:pPr>
      <w:r w:rsidRPr="008A1D7B">
        <w:rPr>
          <w:szCs w:val="22"/>
        </w:rPr>
        <w:t xml:space="preserve">AASB 101, </w:t>
      </w:r>
      <w:r w:rsidRPr="00F74A87">
        <w:rPr>
          <w:i/>
          <w:iCs/>
          <w:szCs w:val="22"/>
        </w:rPr>
        <w:t>Presentation of Financial Statements</w:t>
      </w:r>
      <w:r w:rsidR="00313AC8">
        <w:rPr>
          <w:szCs w:val="22"/>
        </w:rPr>
        <w:t>;</w:t>
      </w:r>
    </w:p>
    <w:p w14:paraId="55037173" w14:textId="77777777" w:rsidR="00813813" w:rsidRPr="008A1D7B" w:rsidRDefault="00813813" w:rsidP="00813813">
      <w:pPr>
        <w:pStyle w:val="Bullet"/>
        <w:spacing w:before="0"/>
        <w:rPr>
          <w:szCs w:val="22"/>
        </w:rPr>
      </w:pPr>
      <w:r w:rsidRPr="008A1D7B">
        <w:rPr>
          <w:szCs w:val="22"/>
        </w:rPr>
        <w:t xml:space="preserve">AASB 107, </w:t>
      </w:r>
      <w:r w:rsidRPr="00F74A87">
        <w:rPr>
          <w:i/>
          <w:iCs/>
          <w:szCs w:val="22"/>
        </w:rPr>
        <w:t>Statement of Cash Flows</w:t>
      </w:r>
      <w:r>
        <w:rPr>
          <w:szCs w:val="22"/>
        </w:rPr>
        <w:t>;</w:t>
      </w:r>
    </w:p>
    <w:p w14:paraId="00242BC3" w14:textId="738DE3D9" w:rsidR="00813813" w:rsidRPr="008A1D7B" w:rsidRDefault="00813813" w:rsidP="00813813">
      <w:pPr>
        <w:pStyle w:val="Bullet"/>
        <w:spacing w:before="0"/>
        <w:rPr>
          <w:szCs w:val="22"/>
        </w:rPr>
      </w:pPr>
      <w:r w:rsidRPr="008A1D7B">
        <w:rPr>
          <w:szCs w:val="22"/>
        </w:rPr>
        <w:t xml:space="preserve">AASB 108, </w:t>
      </w:r>
      <w:r w:rsidRPr="00F74A87">
        <w:rPr>
          <w:i/>
          <w:iCs/>
          <w:szCs w:val="22"/>
        </w:rPr>
        <w:t>Accounting Policies, Changes in Accounting Estimates and Errors</w:t>
      </w:r>
      <w:r w:rsidR="00313AC8">
        <w:rPr>
          <w:szCs w:val="22"/>
        </w:rPr>
        <w:t>;</w:t>
      </w:r>
    </w:p>
    <w:p w14:paraId="06AF894C" w14:textId="256AFF8F" w:rsidR="00813813" w:rsidRPr="008A1D7B" w:rsidRDefault="00813813" w:rsidP="00813813">
      <w:pPr>
        <w:pStyle w:val="Bullet"/>
        <w:spacing w:before="0"/>
        <w:rPr>
          <w:szCs w:val="22"/>
        </w:rPr>
      </w:pPr>
      <w:r w:rsidRPr="008A1D7B">
        <w:rPr>
          <w:szCs w:val="22"/>
        </w:rPr>
        <w:t xml:space="preserve">AASB 1048, </w:t>
      </w:r>
      <w:r w:rsidRPr="00F74A87">
        <w:rPr>
          <w:i/>
          <w:iCs/>
          <w:szCs w:val="22"/>
        </w:rPr>
        <w:t>Interpretation of Standards</w:t>
      </w:r>
      <w:r w:rsidR="00313AC8">
        <w:rPr>
          <w:szCs w:val="22"/>
        </w:rPr>
        <w:t>;</w:t>
      </w:r>
    </w:p>
    <w:p w14:paraId="1732D798" w14:textId="77777777" w:rsidR="00813813" w:rsidRPr="008A1D7B" w:rsidRDefault="00813813" w:rsidP="00813813">
      <w:pPr>
        <w:pStyle w:val="Bullet"/>
        <w:spacing w:before="0"/>
        <w:rPr>
          <w:szCs w:val="22"/>
        </w:rPr>
      </w:pPr>
      <w:r w:rsidRPr="008A1D7B">
        <w:rPr>
          <w:szCs w:val="22"/>
        </w:rPr>
        <w:t xml:space="preserve">AASB 1054, </w:t>
      </w:r>
      <w:r w:rsidRPr="00F74A87">
        <w:rPr>
          <w:i/>
          <w:iCs/>
          <w:szCs w:val="22"/>
        </w:rPr>
        <w:t>Australian Additional Disclosures</w:t>
      </w:r>
      <w:r>
        <w:rPr>
          <w:szCs w:val="22"/>
        </w:rPr>
        <w:t>; and</w:t>
      </w:r>
    </w:p>
    <w:p w14:paraId="14859FCE" w14:textId="2991458B" w:rsidR="00813813" w:rsidRPr="008A1D7B" w:rsidRDefault="00813813" w:rsidP="00813813">
      <w:pPr>
        <w:pStyle w:val="Bullet"/>
        <w:spacing w:before="0"/>
        <w:rPr>
          <w:szCs w:val="22"/>
        </w:rPr>
      </w:pPr>
      <w:r w:rsidRPr="00C50AEA">
        <w:rPr>
          <w:szCs w:val="22"/>
        </w:rPr>
        <w:t>AASB 2019-4</w:t>
      </w:r>
      <w:r>
        <w:rPr>
          <w:szCs w:val="22"/>
        </w:rPr>
        <w:t>,</w:t>
      </w:r>
      <w:r w:rsidRPr="009208CE">
        <w:rPr>
          <w:szCs w:val="22"/>
        </w:rPr>
        <w:t xml:space="preserve"> </w:t>
      </w:r>
      <w:r w:rsidRPr="00F74A87">
        <w:rPr>
          <w:i/>
          <w:iCs/>
          <w:szCs w:val="22"/>
        </w:rPr>
        <w:t>Disclosure in Special Purpose Financial Statements of Not</w:t>
      </w:r>
      <w:r w:rsidR="00313AC8">
        <w:rPr>
          <w:i/>
          <w:iCs/>
          <w:szCs w:val="22"/>
        </w:rPr>
        <w:noBreakHyphen/>
      </w:r>
      <w:r w:rsidRPr="00F74A87">
        <w:rPr>
          <w:i/>
          <w:iCs/>
          <w:szCs w:val="22"/>
        </w:rPr>
        <w:t>for</w:t>
      </w:r>
      <w:r w:rsidR="00313AC8">
        <w:rPr>
          <w:i/>
          <w:iCs/>
          <w:szCs w:val="22"/>
        </w:rPr>
        <w:noBreakHyphen/>
      </w:r>
      <w:r w:rsidRPr="00F74A87">
        <w:rPr>
          <w:i/>
          <w:iCs/>
          <w:szCs w:val="22"/>
        </w:rPr>
        <w:t>Profit Private Sector Entities on Compliance with Recognition and Measurement Requirements</w:t>
      </w:r>
      <w:r w:rsidRPr="009208CE">
        <w:rPr>
          <w:szCs w:val="22"/>
        </w:rPr>
        <w:t>.</w:t>
      </w:r>
    </w:p>
    <w:p w14:paraId="655051E7" w14:textId="2A83001B" w:rsidR="00813813" w:rsidRPr="008A1D7B" w:rsidRDefault="00813813" w:rsidP="00813813">
      <w:pPr>
        <w:rPr>
          <w:szCs w:val="22"/>
        </w:rPr>
      </w:pPr>
      <w:r w:rsidRPr="008A1D7B">
        <w:rPr>
          <w:szCs w:val="22"/>
        </w:rPr>
        <w:t xml:space="preserve">The </w:t>
      </w:r>
      <w:r w:rsidR="005D7465">
        <w:rPr>
          <w:szCs w:val="22"/>
        </w:rPr>
        <w:t xml:space="preserve">ACNC </w:t>
      </w:r>
      <w:r w:rsidRPr="008A1D7B">
        <w:rPr>
          <w:szCs w:val="22"/>
        </w:rPr>
        <w:t xml:space="preserve">Regulations </w:t>
      </w:r>
      <w:r w:rsidR="005D7465">
        <w:rPr>
          <w:szCs w:val="22"/>
        </w:rPr>
        <w:t xml:space="preserve">will </w:t>
      </w:r>
      <w:r w:rsidRPr="008A1D7B">
        <w:rPr>
          <w:szCs w:val="22"/>
        </w:rPr>
        <w:t xml:space="preserve">now </w:t>
      </w:r>
      <w:r w:rsidR="00C74EB1">
        <w:rPr>
          <w:szCs w:val="22"/>
        </w:rPr>
        <w:t>prescribe</w:t>
      </w:r>
      <w:r w:rsidRPr="008A1D7B">
        <w:rPr>
          <w:szCs w:val="22"/>
        </w:rPr>
        <w:t xml:space="preserve"> an additional standard, namely AASB 124</w:t>
      </w:r>
      <w:r w:rsidR="00C74EB1">
        <w:rPr>
          <w:szCs w:val="22"/>
        </w:rPr>
        <w:t xml:space="preserve">, </w:t>
      </w:r>
      <w:r w:rsidR="00C74EB1" w:rsidRPr="005134C3">
        <w:rPr>
          <w:i/>
          <w:iCs/>
        </w:rPr>
        <w:t>Related Party Disclosures</w:t>
      </w:r>
      <w:r w:rsidR="00E33DF2">
        <w:t xml:space="preserve"> as in force from time-to-time</w:t>
      </w:r>
      <w:r w:rsidRPr="008A1D7B">
        <w:rPr>
          <w:szCs w:val="22"/>
        </w:rPr>
        <w:t>.</w:t>
      </w:r>
    </w:p>
    <w:p w14:paraId="04CA12AC" w14:textId="7AD0D43A" w:rsidR="00813813" w:rsidRPr="001E03F4" w:rsidRDefault="00813813" w:rsidP="00813813">
      <w:r>
        <w:t xml:space="preserve">The </w:t>
      </w:r>
      <w:r w:rsidR="00C74EB1">
        <w:t xml:space="preserve">effect </w:t>
      </w:r>
      <w:r w:rsidR="00E311EA">
        <w:t>o</w:t>
      </w:r>
      <w:r w:rsidR="00C74EB1">
        <w:t xml:space="preserve">f the </w:t>
      </w:r>
      <w:r w:rsidR="005D7465">
        <w:t xml:space="preserve">ED </w:t>
      </w:r>
      <w:r>
        <w:t xml:space="preserve">Regulations </w:t>
      </w:r>
      <w:r w:rsidR="00C74EB1">
        <w:t xml:space="preserve">is to </w:t>
      </w:r>
      <w:r>
        <w:t xml:space="preserve">require all medium and large registered entities preparing </w:t>
      </w:r>
      <w:r w:rsidR="002630EA">
        <w:t>annual financial report</w:t>
      </w:r>
      <w:r>
        <w:t xml:space="preserve">s </w:t>
      </w:r>
      <w:r w:rsidR="00C74EB1">
        <w:t xml:space="preserve">(not only those preparing general purpose financial reports) </w:t>
      </w:r>
      <w:r>
        <w:t xml:space="preserve">to </w:t>
      </w:r>
      <w:r w:rsidR="00C74EB1">
        <w:t xml:space="preserve">now disclose </w:t>
      </w:r>
      <w:r>
        <w:t xml:space="preserve">related party transactions.  Small charities </w:t>
      </w:r>
      <w:r w:rsidR="00C74EB1">
        <w:t>are not required to prepare</w:t>
      </w:r>
      <w:r w:rsidR="00CB080F" w:rsidRPr="00CB080F">
        <w:t xml:space="preserve"> annual financial reports</w:t>
      </w:r>
      <w:r>
        <w:t>.</w:t>
      </w:r>
    </w:p>
    <w:p w14:paraId="0BACA1B8" w14:textId="1C618790" w:rsidR="00813813" w:rsidRDefault="00E33DF2" w:rsidP="00813813">
      <w:r>
        <w:t>One of the related party disclosures covered by</w:t>
      </w:r>
      <w:r w:rsidR="00813813" w:rsidRPr="004F18F9">
        <w:t xml:space="preserve"> AASB</w:t>
      </w:r>
      <w:r>
        <w:t> </w:t>
      </w:r>
      <w:r w:rsidR="00813813" w:rsidRPr="004F18F9">
        <w:t>124</w:t>
      </w:r>
      <w:r>
        <w:t xml:space="preserve">, </w:t>
      </w:r>
      <w:r w:rsidRPr="00F74A87">
        <w:rPr>
          <w:i/>
          <w:iCs/>
        </w:rPr>
        <w:t>Related Party Disclosures</w:t>
      </w:r>
      <w:r w:rsidR="00813813" w:rsidRPr="004F18F9">
        <w:t xml:space="preserve"> </w:t>
      </w:r>
      <w:r>
        <w:t>relates to</w:t>
      </w:r>
      <w:r w:rsidRPr="004F18F9">
        <w:t xml:space="preserve"> </w:t>
      </w:r>
      <w:r w:rsidR="00813813" w:rsidRPr="004F18F9">
        <w:t>remuneration paid to key management personnel.</w:t>
      </w:r>
    </w:p>
    <w:p w14:paraId="78C4C26B" w14:textId="742038AD" w:rsidR="00813813" w:rsidRDefault="0096576A" w:rsidP="00813813">
      <w:r>
        <w:t xml:space="preserve">Item 3 of </w:t>
      </w:r>
      <w:r w:rsidR="00E33DF2">
        <w:t xml:space="preserve">Schedule 1 to the Regulations further amends </w:t>
      </w:r>
      <w:r w:rsidR="00214904">
        <w:t>sec</w:t>
      </w:r>
      <w:r w:rsidR="004C5A96">
        <w:t>tion 60.30</w:t>
      </w:r>
      <w:r w:rsidR="00E33DF2">
        <w:t xml:space="preserve"> of the ACNC Regulations to disapply AASB 124 to the extent it relates to the </w:t>
      </w:r>
      <w:r w:rsidR="00E33DF2" w:rsidRPr="004F18F9">
        <w:t>remuneration paid to key management personnel</w:t>
      </w:r>
      <w:r w:rsidR="0018421F">
        <w:t xml:space="preserve"> in certain circumstances</w:t>
      </w:r>
      <w:r w:rsidR="004C5A96">
        <w:t>. I</w:t>
      </w:r>
      <w:r w:rsidR="00813813">
        <w:t xml:space="preserve">n its response to the ACNC </w:t>
      </w:r>
      <w:r w:rsidR="004C5A96">
        <w:t>R</w:t>
      </w:r>
      <w:r w:rsidR="00813813">
        <w:t>eview</w:t>
      </w:r>
      <w:r w:rsidR="00E33DF2">
        <w:t>,</w:t>
      </w:r>
      <w:r w:rsidR="00813813">
        <w:t xml:space="preserve"> the </w:t>
      </w:r>
      <w:r w:rsidR="004C5A96">
        <w:t>G</w:t>
      </w:r>
      <w:r w:rsidR="00813813">
        <w:t xml:space="preserve">overnment </w:t>
      </w:r>
      <w:r w:rsidR="00E33DF2">
        <w:t xml:space="preserve">agreed that </w:t>
      </w:r>
      <w:r w:rsidR="00813813">
        <w:t>only large registered entities with two or more key management personnel should be required to report remuneration.</w:t>
      </w:r>
      <w:r w:rsidR="00E33DF2">
        <w:t xml:space="preserve">  The </w:t>
      </w:r>
      <w:r w:rsidR="0018421F">
        <w:t>amendments give effect to the limitations on disclos</w:t>
      </w:r>
      <w:r w:rsidR="00E311EA">
        <w:t>ure</w:t>
      </w:r>
      <w:r w:rsidR="0018421F">
        <w:t xml:space="preserve"> of remuneration of key management personnel.</w:t>
      </w:r>
    </w:p>
    <w:p w14:paraId="0E8AD467" w14:textId="0F2FF2EC" w:rsidR="00AF5F44" w:rsidRPr="00AF5F44" w:rsidRDefault="00F74A87" w:rsidP="00091D25">
      <w:pPr>
        <w:rPr>
          <w:b/>
          <w:bCs/>
        </w:rPr>
      </w:pPr>
      <w:r>
        <w:t>Item 4 of Schedule</w:t>
      </w:r>
      <w:r w:rsidRPr="00B057DD">
        <w:t xml:space="preserve"> </w:t>
      </w:r>
      <w:r>
        <w:t>1</w:t>
      </w:r>
      <w:r w:rsidR="0018421F">
        <w:t xml:space="preserve"> </w:t>
      </w:r>
      <w:r w:rsidR="005D7465">
        <w:t xml:space="preserve">will </w:t>
      </w:r>
      <w:r w:rsidR="0018421F">
        <w:t xml:space="preserve">amends the ACNC Regulations to </w:t>
      </w:r>
      <w:r w:rsidR="00B057DD">
        <w:t>prescribe</w:t>
      </w:r>
      <w:r w:rsidR="00B057DD" w:rsidRPr="00B057DD">
        <w:t xml:space="preserve"> higher </w:t>
      </w:r>
      <w:r w:rsidR="0018421F">
        <w:t>annual revenue</w:t>
      </w:r>
      <w:r>
        <w:t xml:space="preserve"> </w:t>
      </w:r>
      <w:r w:rsidR="00B057DD" w:rsidRPr="00B057DD">
        <w:t xml:space="preserve">thresholds for </w:t>
      </w:r>
      <w:r w:rsidR="0018421F">
        <w:t xml:space="preserve">determining whether a </w:t>
      </w:r>
      <w:r w:rsidR="00B057DD" w:rsidRPr="00B057DD">
        <w:t>registered entit</w:t>
      </w:r>
      <w:r w:rsidR="0018421F">
        <w:t xml:space="preserve">y is </w:t>
      </w:r>
      <w:r w:rsidR="00E311EA">
        <w:t xml:space="preserve">a </w:t>
      </w:r>
      <w:r w:rsidR="0018421F">
        <w:t xml:space="preserve">small, </w:t>
      </w:r>
      <w:r>
        <w:t>medium,</w:t>
      </w:r>
      <w:r w:rsidR="0018421F">
        <w:t xml:space="preserve"> or large registered entity</w:t>
      </w:r>
      <w:r w:rsidR="00AF5F44" w:rsidRPr="00AF5F44">
        <w:t>.</w:t>
      </w:r>
    </w:p>
    <w:p w14:paraId="1E16A18C" w14:textId="77777777" w:rsidR="00AF5F44" w:rsidRPr="00AF5F44" w:rsidRDefault="00AF5F44" w:rsidP="00AF5F44">
      <w:pPr>
        <w:ind w:left="360"/>
        <w:contextualSpacing/>
        <w:rPr>
          <w:sz w:val="22"/>
        </w:rPr>
      </w:pPr>
    </w:p>
    <w:tbl>
      <w:tblPr>
        <w:tblStyle w:val="TableGrid"/>
        <w:tblW w:w="0" w:type="auto"/>
        <w:tblInd w:w="-147" w:type="dxa"/>
        <w:tblLook w:val="04A0" w:firstRow="1" w:lastRow="0" w:firstColumn="1" w:lastColumn="0" w:noHBand="0" w:noVBand="1"/>
      </w:tblPr>
      <w:tblGrid>
        <w:gridCol w:w="2429"/>
        <w:gridCol w:w="1915"/>
        <w:gridCol w:w="2106"/>
      </w:tblGrid>
      <w:tr w:rsidR="00FF10A8" w:rsidRPr="00AF5F44" w14:paraId="470AE9C6" w14:textId="77777777" w:rsidTr="00DD5735">
        <w:trPr>
          <w:tblHeader/>
        </w:trPr>
        <w:tc>
          <w:tcPr>
            <w:tcW w:w="2429" w:type="dxa"/>
            <w:shd w:val="clear" w:color="auto" w:fill="D9D9D9" w:themeFill="background1" w:themeFillShade="D9"/>
          </w:tcPr>
          <w:p w14:paraId="7F0322B2" w14:textId="228123A5" w:rsidR="00FF10A8" w:rsidRPr="00AF5F44" w:rsidRDefault="00B97414" w:rsidP="00AF5F44">
            <w:pPr>
              <w:rPr>
                <w:sz w:val="22"/>
              </w:rPr>
            </w:pPr>
            <w:r>
              <w:rPr>
                <w:sz w:val="22"/>
              </w:rPr>
              <w:t>Type</w:t>
            </w:r>
            <w:r w:rsidRPr="00AF5F44">
              <w:rPr>
                <w:sz w:val="22"/>
              </w:rPr>
              <w:t xml:space="preserve"> </w:t>
            </w:r>
            <w:r w:rsidR="00FF10A8" w:rsidRPr="00AF5F44">
              <w:rPr>
                <w:sz w:val="22"/>
              </w:rPr>
              <w:t xml:space="preserve">of registered entity </w:t>
            </w:r>
          </w:p>
        </w:tc>
        <w:tc>
          <w:tcPr>
            <w:tcW w:w="1915" w:type="dxa"/>
            <w:shd w:val="clear" w:color="auto" w:fill="D9D9D9" w:themeFill="background1" w:themeFillShade="D9"/>
          </w:tcPr>
          <w:p w14:paraId="3656F81B" w14:textId="4F4141DD" w:rsidR="00FF10A8" w:rsidRPr="00AF5F44" w:rsidRDefault="00FF10A8" w:rsidP="00AF5F44">
            <w:pPr>
              <w:rPr>
                <w:sz w:val="22"/>
              </w:rPr>
            </w:pPr>
            <w:r w:rsidRPr="00AF5F44">
              <w:rPr>
                <w:sz w:val="22"/>
              </w:rPr>
              <w:t>Old threshold limit in the Act</w:t>
            </w:r>
          </w:p>
        </w:tc>
        <w:tc>
          <w:tcPr>
            <w:tcW w:w="2106" w:type="dxa"/>
            <w:shd w:val="clear" w:color="auto" w:fill="D9D9D9" w:themeFill="background1" w:themeFillShade="D9"/>
          </w:tcPr>
          <w:p w14:paraId="4178FDF3" w14:textId="13BEC2D0" w:rsidR="00FF10A8" w:rsidRPr="00AF5F44" w:rsidRDefault="00FF10A8" w:rsidP="00AF5F44">
            <w:pPr>
              <w:rPr>
                <w:b/>
                <w:bCs/>
                <w:sz w:val="22"/>
              </w:rPr>
            </w:pPr>
            <w:r w:rsidRPr="00AF5F44">
              <w:rPr>
                <w:b/>
                <w:bCs/>
                <w:sz w:val="22"/>
              </w:rPr>
              <w:t xml:space="preserve">New threshold </w:t>
            </w:r>
            <w:r w:rsidR="00692B5F">
              <w:rPr>
                <w:b/>
                <w:bCs/>
                <w:sz w:val="22"/>
              </w:rPr>
              <w:t>in the Regulations</w:t>
            </w:r>
          </w:p>
        </w:tc>
      </w:tr>
      <w:tr w:rsidR="00FF10A8" w:rsidRPr="00AF5F44" w14:paraId="2467A976" w14:textId="77777777" w:rsidTr="00DD5735">
        <w:tc>
          <w:tcPr>
            <w:tcW w:w="2429" w:type="dxa"/>
          </w:tcPr>
          <w:p w14:paraId="08B720A8" w14:textId="6E11FEA9" w:rsidR="00FF10A8" w:rsidRPr="00AF5F44" w:rsidRDefault="00244927" w:rsidP="00AF5F44">
            <w:pPr>
              <w:rPr>
                <w:sz w:val="22"/>
              </w:rPr>
            </w:pPr>
            <w:r w:rsidRPr="00AF5F44">
              <w:rPr>
                <w:sz w:val="22"/>
              </w:rPr>
              <w:t>Small registered</w:t>
            </w:r>
            <w:r w:rsidR="00FF10A8" w:rsidRPr="00AF5F44">
              <w:rPr>
                <w:sz w:val="22"/>
              </w:rPr>
              <w:t xml:space="preserve"> entity</w:t>
            </w:r>
          </w:p>
        </w:tc>
        <w:tc>
          <w:tcPr>
            <w:tcW w:w="1915" w:type="dxa"/>
          </w:tcPr>
          <w:p w14:paraId="746C8AB2" w14:textId="77777777" w:rsidR="00FF10A8" w:rsidRPr="00AF5F44" w:rsidRDefault="00FF10A8" w:rsidP="00AF5F44">
            <w:pPr>
              <w:rPr>
                <w:sz w:val="22"/>
              </w:rPr>
            </w:pPr>
            <w:r w:rsidRPr="00AF5F44">
              <w:rPr>
                <w:sz w:val="22"/>
              </w:rPr>
              <w:t xml:space="preserve">less than $250,000 </w:t>
            </w:r>
          </w:p>
        </w:tc>
        <w:tc>
          <w:tcPr>
            <w:tcW w:w="2106" w:type="dxa"/>
          </w:tcPr>
          <w:p w14:paraId="0311BB50" w14:textId="77777777" w:rsidR="00FF10A8" w:rsidRPr="00AF5F44" w:rsidRDefault="00FF10A8" w:rsidP="00AF5F44">
            <w:pPr>
              <w:rPr>
                <w:b/>
                <w:bCs/>
                <w:sz w:val="22"/>
              </w:rPr>
            </w:pPr>
            <w:r w:rsidRPr="00AF5F44">
              <w:rPr>
                <w:b/>
                <w:bCs/>
                <w:sz w:val="22"/>
              </w:rPr>
              <w:t>Less than $500,000</w:t>
            </w:r>
          </w:p>
        </w:tc>
      </w:tr>
      <w:tr w:rsidR="00FF10A8" w:rsidRPr="00AF5F44" w14:paraId="784D2146" w14:textId="77777777" w:rsidTr="00DD5735">
        <w:tc>
          <w:tcPr>
            <w:tcW w:w="2429" w:type="dxa"/>
          </w:tcPr>
          <w:p w14:paraId="37DCDBCD" w14:textId="77777777" w:rsidR="00FF10A8" w:rsidRPr="00AF5F44" w:rsidRDefault="00FF10A8" w:rsidP="00AF5F44">
            <w:pPr>
              <w:rPr>
                <w:sz w:val="22"/>
              </w:rPr>
            </w:pPr>
            <w:r w:rsidRPr="00AF5F44">
              <w:rPr>
                <w:sz w:val="22"/>
              </w:rPr>
              <w:t>Medium registered entity</w:t>
            </w:r>
          </w:p>
        </w:tc>
        <w:tc>
          <w:tcPr>
            <w:tcW w:w="1915" w:type="dxa"/>
          </w:tcPr>
          <w:p w14:paraId="2EE90956" w14:textId="0C049397" w:rsidR="00FF10A8" w:rsidRPr="00AF5F44" w:rsidRDefault="00FF10A8" w:rsidP="00AF5F44">
            <w:pPr>
              <w:rPr>
                <w:sz w:val="22"/>
              </w:rPr>
            </w:pPr>
            <w:r w:rsidRPr="00AF5F44">
              <w:rPr>
                <w:sz w:val="22"/>
              </w:rPr>
              <w:t>$250,000 to less than $1m</w:t>
            </w:r>
          </w:p>
        </w:tc>
        <w:tc>
          <w:tcPr>
            <w:tcW w:w="2106" w:type="dxa"/>
          </w:tcPr>
          <w:p w14:paraId="3D17F51E" w14:textId="15889BB9" w:rsidR="00FF10A8" w:rsidRPr="00AF5F44" w:rsidRDefault="00FF10A8" w:rsidP="00AF5F44">
            <w:pPr>
              <w:rPr>
                <w:b/>
                <w:bCs/>
                <w:sz w:val="22"/>
              </w:rPr>
            </w:pPr>
            <w:r w:rsidRPr="00AF5F44">
              <w:rPr>
                <w:b/>
                <w:bCs/>
                <w:sz w:val="22"/>
              </w:rPr>
              <w:t>$500,000 to less than $3</w:t>
            </w:r>
            <w:r w:rsidR="00B97414">
              <w:rPr>
                <w:b/>
                <w:bCs/>
                <w:sz w:val="22"/>
              </w:rPr>
              <w:t>m</w:t>
            </w:r>
          </w:p>
        </w:tc>
      </w:tr>
      <w:tr w:rsidR="00FF10A8" w:rsidRPr="00AF5F44" w14:paraId="76C7085F" w14:textId="77777777" w:rsidTr="00DD5735">
        <w:tc>
          <w:tcPr>
            <w:tcW w:w="2429" w:type="dxa"/>
          </w:tcPr>
          <w:p w14:paraId="42027AEF" w14:textId="106782CF" w:rsidR="00FF10A8" w:rsidRPr="00AF5F44" w:rsidRDefault="00244927" w:rsidP="00AF5F44">
            <w:pPr>
              <w:rPr>
                <w:sz w:val="22"/>
              </w:rPr>
            </w:pPr>
            <w:r w:rsidRPr="00AF5F44">
              <w:rPr>
                <w:sz w:val="22"/>
              </w:rPr>
              <w:t>Large registered</w:t>
            </w:r>
            <w:r w:rsidR="00FF10A8" w:rsidRPr="00AF5F44">
              <w:rPr>
                <w:sz w:val="22"/>
              </w:rPr>
              <w:t xml:space="preserve"> entity</w:t>
            </w:r>
          </w:p>
        </w:tc>
        <w:tc>
          <w:tcPr>
            <w:tcW w:w="1915" w:type="dxa"/>
          </w:tcPr>
          <w:p w14:paraId="7432EA14" w14:textId="34CAB2EB" w:rsidR="00FF10A8" w:rsidRPr="00AF5F44" w:rsidRDefault="00FF10A8" w:rsidP="00AF5F44">
            <w:pPr>
              <w:rPr>
                <w:sz w:val="22"/>
              </w:rPr>
            </w:pPr>
            <w:r w:rsidRPr="00AF5F44">
              <w:rPr>
                <w:sz w:val="22"/>
              </w:rPr>
              <w:t>$1m</w:t>
            </w:r>
            <w:r w:rsidR="001418AC">
              <w:rPr>
                <w:sz w:val="22"/>
              </w:rPr>
              <w:t xml:space="preserve"> or more</w:t>
            </w:r>
          </w:p>
        </w:tc>
        <w:tc>
          <w:tcPr>
            <w:tcW w:w="2106" w:type="dxa"/>
          </w:tcPr>
          <w:p w14:paraId="604AF780" w14:textId="01F4B713" w:rsidR="00FF10A8" w:rsidRPr="00AF5F44" w:rsidRDefault="00FF10A8" w:rsidP="00AF5F44">
            <w:pPr>
              <w:rPr>
                <w:b/>
                <w:bCs/>
                <w:sz w:val="22"/>
              </w:rPr>
            </w:pPr>
            <w:r w:rsidRPr="00AF5F44">
              <w:rPr>
                <w:b/>
                <w:bCs/>
                <w:sz w:val="22"/>
              </w:rPr>
              <w:t>$3</w:t>
            </w:r>
            <w:r w:rsidR="00B97414">
              <w:rPr>
                <w:b/>
                <w:bCs/>
                <w:sz w:val="22"/>
              </w:rPr>
              <w:t>m</w:t>
            </w:r>
            <w:r w:rsidR="001418AC">
              <w:rPr>
                <w:b/>
                <w:bCs/>
                <w:sz w:val="22"/>
              </w:rPr>
              <w:t xml:space="preserve"> or more</w:t>
            </w:r>
          </w:p>
        </w:tc>
      </w:tr>
    </w:tbl>
    <w:p w14:paraId="0684950C" w14:textId="3227D999" w:rsidR="00AF5F44" w:rsidRPr="004C1628" w:rsidRDefault="00AF5F44" w:rsidP="00091D25">
      <w:r w:rsidRPr="00DD5735">
        <w:lastRenderedPageBreak/>
        <w:t xml:space="preserve">Section 205-25 of </w:t>
      </w:r>
      <w:r w:rsidR="00DD5735">
        <w:t xml:space="preserve">the Act </w:t>
      </w:r>
      <w:r w:rsidR="0018421F">
        <w:t>set</w:t>
      </w:r>
      <w:r w:rsidR="00E311EA">
        <w:t>s</w:t>
      </w:r>
      <w:r w:rsidR="0018421F">
        <w:t xml:space="preserve"> out the definition of small, </w:t>
      </w:r>
      <w:r w:rsidR="006956C2">
        <w:t>medium,</w:t>
      </w:r>
      <w:r w:rsidR="0018421F">
        <w:t xml:space="preserve"> and large registered entities, including the current applicable revenue thresholds for assessing a registered entity’s size. Section 205-25 </w:t>
      </w:r>
      <w:r w:rsidR="00BB4DDC">
        <w:t>allows for a different revenue threshold to be</w:t>
      </w:r>
      <w:r w:rsidRPr="004C1628">
        <w:t xml:space="preserve"> prescribe</w:t>
      </w:r>
      <w:r w:rsidR="00BB4DDC">
        <w:t>d.</w:t>
      </w:r>
    </w:p>
    <w:p w14:paraId="245A209C" w14:textId="42814C94" w:rsidR="00E91717" w:rsidRPr="00E91717" w:rsidRDefault="00F3469E" w:rsidP="00C50AEA">
      <w:pPr>
        <w:pStyle w:val="Heading3"/>
        <w:rPr>
          <w:bCs/>
          <w:u w:val="single"/>
        </w:rPr>
      </w:pPr>
      <w:r w:rsidRPr="00C50AEA">
        <w:rPr>
          <w:bCs/>
          <w:u w:val="single"/>
        </w:rPr>
        <w:t>Application provisions</w:t>
      </w:r>
    </w:p>
    <w:p w14:paraId="576E8792" w14:textId="70185211" w:rsidR="00E91717" w:rsidRPr="009F4ABE" w:rsidRDefault="00E91717" w:rsidP="00E91717">
      <w:pPr>
        <w:rPr>
          <w:color w:val="000000"/>
          <w:szCs w:val="24"/>
        </w:rPr>
      </w:pPr>
      <w:r w:rsidRPr="009F4ABE">
        <w:rPr>
          <w:color w:val="000000"/>
          <w:szCs w:val="24"/>
        </w:rPr>
        <w:t xml:space="preserve">The </w:t>
      </w:r>
      <w:r w:rsidR="005D7465">
        <w:rPr>
          <w:color w:val="000000"/>
          <w:szCs w:val="24"/>
        </w:rPr>
        <w:t xml:space="preserve">ED </w:t>
      </w:r>
      <w:r w:rsidRPr="009F4ABE">
        <w:rPr>
          <w:color w:val="000000"/>
          <w:szCs w:val="24"/>
        </w:rPr>
        <w:t xml:space="preserve">Regulations increasing the </w:t>
      </w:r>
      <w:r w:rsidR="00BB4DDC">
        <w:rPr>
          <w:color w:val="000000"/>
          <w:szCs w:val="24"/>
        </w:rPr>
        <w:t>annual revenue</w:t>
      </w:r>
      <w:r w:rsidRPr="009F4ABE">
        <w:rPr>
          <w:color w:val="000000"/>
          <w:szCs w:val="24"/>
        </w:rPr>
        <w:t xml:space="preserve"> thresholds apply to </w:t>
      </w:r>
      <w:r w:rsidR="00E311EA">
        <w:rPr>
          <w:color w:val="000000"/>
          <w:szCs w:val="24"/>
        </w:rPr>
        <w:t xml:space="preserve">the </w:t>
      </w:r>
      <w:r w:rsidRPr="009F4ABE">
        <w:rPr>
          <w:color w:val="000000"/>
          <w:szCs w:val="24"/>
        </w:rPr>
        <w:t>2021-22 financial year and later financial years (or the period substituted for the 2021-22 financial year for those entities with an approved substituted accounting period).</w:t>
      </w:r>
    </w:p>
    <w:p w14:paraId="62BB4E57" w14:textId="625946E2" w:rsidR="00482B81" w:rsidRPr="00EA4DD8" w:rsidRDefault="00E91717" w:rsidP="005D7465">
      <w:pPr>
        <w:pStyle w:val="Bullet"/>
        <w:numPr>
          <w:ilvl w:val="0"/>
          <w:numId w:val="0"/>
        </w:numPr>
      </w:pPr>
      <w:r w:rsidRPr="009F4ABE">
        <w:rPr>
          <w:color w:val="000000"/>
          <w:szCs w:val="24"/>
        </w:rPr>
        <w:t>The changes to related party disclosures apply to the 2022-23 financial year and later financial years (or the period substituted for the 2022-23 financial year for those entities with an approved substituted accounting period).</w:t>
      </w:r>
      <w:r w:rsidR="00BB4DDC">
        <w:rPr>
          <w:color w:val="000000"/>
          <w:szCs w:val="24"/>
        </w:rPr>
        <w:t xml:space="preserve"> However, to the extent that an entity is required to disclose the </w:t>
      </w:r>
      <w:r w:rsidR="00890445">
        <w:rPr>
          <w:color w:val="000000"/>
          <w:szCs w:val="24"/>
        </w:rPr>
        <w:t xml:space="preserve">remuneration of key management personnel </w:t>
      </w:r>
      <w:r w:rsidR="00BB4DDC">
        <w:rPr>
          <w:color w:val="000000"/>
          <w:szCs w:val="24"/>
        </w:rPr>
        <w:t xml:space="preserve">in the preparation of a special purpose financial report under the </w:t>
      </w:r>
      <w:r w:rsidR="005D7465">
        <w:rPr>
          <w:color w:val="000000"/>
          <w:szCs w:val="24"/>
        </w:rPr>
        <w:t xml:space="preserve">ACNC </w:t>
      </w:r>
      <w:r w:rsidR="00BB4DDC">
        <w:rPr>
          <w:color w:val="000000"/>
          <w:szCs w:val="24"/>
        </w:rPr>
        <w:t>Regulations</w:t>
      </w:r>
      <w:r w:rsidR="005D7465">
        <w:rPr>
          <w:color w:val="000000"/>
          <w:szCs w:val="24"/>
        </w:rPr>
        <w:t xml:space="preserve"> (as amended)</w:t>
      </w:r>
      <w:r w:rsidR="00BB4DDC">
        <w:rPr>
          <w:color w:val="000000"/>
          <w:szCs w:val="24"/>
        </w:rPr>
        <w:t xml:space="preserve">, the amendments </w:t>
      </w:r>
      <w:r w:rsidR="005D7465">
        <w:rPr>
          <w:color w:val="000000"/>
          <w:szCs w:val="24"/>
        </w:rPr>
        <w:t xml:space="preserve">contained in the ED Regulations </w:t>
      </w:r>
      <w:r w:rsidR="00BB4DDC">
        <w:rPr>
          <w:color w:val="000000"/>
          <w:szCs w:val="24"/>
        </w:rPr>
        <w:t>apply to the</w:t>
      </w:r>
      <w:r w:rsidR="00890445">
        <w:rPr>
          <w:color w:val="000000"/>
          <w:szCs w:val="24"/>
        </w:rPr>
        <w:t xml:space="preserve"> 2021-22 </w:t>
      </w:r>
      <w:r w:rsidR="00890445" w:rsidRPr="00890445">
        <w:rPr>
          <w:color w:val="000000"/>
          <w:szCs w:val="24"/>
        </w:rPr>
        <w:t xml:space="preserve">financial year and later financial years (or the period substituted for the 2022-23 financial year for those entities with an approved substituted accounting </w:t>
      </w:r>
      <w:r w:rsidR="004C5A96" w:rsidRPr="00890445">
        <w:rPr>
          <w:color w:val="000000"/>
          <w:szCs w:val="24"/>
        </w:rPr>
        <w:t>period)</w:t>
      </w:r>
      <w:r w:rsidR="00890445" w:rsidRPr="00890445">
        <w:rPr>
          <w:color w:val="000000"/>
          <w:szCs w:val="24"/>
        </w:rPr>
        <w:t>.</w:t>
      </w:r>
    </w:p>
    <w:sectPr w:rsidR="00482B81" w:rsidRPr="00EA4DD8" w:rsidSect="00392BBA">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70BEA4" w14:textId="77777777" w:rsidR="00C83310" w:rsidRDefault="00C83310" w:rsidP="00954679">
      <w:pPr>
        <w:spacing w:before="0" w:after="0"/>
      </w:pPr>
      <w:r>
        <w:separator/>
      </w:r>
    </w:p>
  </w:endnote>
  <w:endnote w:type="continuationSeparator" w:id="0">
    <w:p w14:paraId="3E1E90FD" w14:textId="77777777" w:rsidR="00C83310" w:rsidRDefault="00C83310"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295A9" w14:textId="31F8E421" w:rsidR="008D6909" w:rsidRDefault="00C83310" w:rsidP="008D6909">
    <w:pPr>
      <w:pStyle w:val="SecurityClassificationFooter"/>
    </w:pPr>
    <w:r>
      <w:fldChar w:fldCharType="begin"/>
    </w:r>
    <w:r>
      <w:instrText xml:space="preserve"> DOCPROPERTY SecurityClassification \* MERGEFORMAT </w:instrText>
    </w:r>
    <w:r>
      <w:fldChar w:fldCharType="separate"/>
    </w:r>
    <w:r w:rsidR="002D6307">
      <w:t>Sensitive:  Legal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6FEDF920" w14:textId="29D8B282"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p w14:paraId="7944FFF6" w14:textId="7E5827C7" w:rsidR="008D6909" w:rsidRDefault="00C83310" w:rsidP="008D6909">
    <w:pPr>
      <w:pStyle w:val="SecurityClassificationFooter"/>
    </w:pPr>
    <w:r>
      <w:fldChar w:fldCharType="begin"/>
    </w:r>
    <w:r>
      <w:instrText xml:space="preserve"> DOCPROPERTY SecurityClassification \* MERGEFORMAT </w:instrText>
    </w:r>
    <w:r>
      <w:fldChar w:fldCharType="separate"/>
    </w:r>
    <w:r w:rsidR="002D6307">
      <w:t>Sensitive:  Legal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10CA0" w14:textId="12EEFFE8" w:rsidR="008D6909" w:rsidRDefault="00C83310" w:rsidP="008D6909">
    <w:pPr>
      <w:pStyle w:val="SecurityClassificationFooter"/>
    </w:pPr>
    <w:r>
      <w:fldChar w:fldCharType="begin"/>
    </w:r>
    <w:r>
      <w:instrText xml:space="preserve"> DOCPROPERTY SecurityClassification \* MERGEFORMAT </w:instrText>
    </w:r>
    <w:r>
      <w:fldChar w:fldCharType="separate"/>
    </w:r>
    <w:r w:rsidR="002D6307">
      <w:t>Sensitive:  Legal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CE3544" w14:textId="77777777" w:rsidR="00C83310" w:rsidRDefault="00C83310" w:rsidP="00954679">
      <w:pPr>
        <w:spacing w:before="0" w:after="0"/>
      </w:pPr>
      <w:r>
        <w:separator/>
      </w:r>
    </w:p>
  </w:footnote>
  <w:footnote w:type="continuationSeparator" w:id="0">
    <w:p w14:paraId="61A99758" w14:textId="77777777" w:rsidR="00C83310" w:rsidRDefault="00C83310" w:rsidP="0095467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DD413" w14:textId="4828567B" w:rsidR="008D6909" w:rsidRDefault="00C83310" w:rsidP="008D6909">
    <w:pPr>
      <w:pStyle w:val="SecurityClassificationHeader"/>
    </w:pPr>
    <w:r>
      <w:fldChar w:fldCharType="begin"/>
    </w:r>
    <w:r>
      <w:instrText xml:space="preserve"> DOCPROPERTY SecurityClassification \* MERGEFORMAT </w:instrText>
    </w:r>
    <w:r>
      <w:fldChar w:fldCharType="separate"/>
    </w:r>
    <w:r w:rsidR="002D6307">
      <w:t>Sensitive:  Legal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7C2B7" w14:textId="77777777" w:rsidR="00E311EA" w:rsidRPr="00960061" w:rsidRDefault="00E311EA" w:rsidP="00E311EA">
    <w:pPr>
      <w:pStyle w:val="Header"/>
      <w:jc w:val="center"/>
      <w:rPr>
        <w:b/>
      </w:rPr>
    </w:pPr>
    <w:r w:rsidRPr="00960061">
      <w:rPr>
        <w:b/>
      </w:rPr>
      <w:t>EXPOSURE DRAFT</w:t>
    </w:r>
  </w:p>
  <w:p w14:paraId="68A46EF5" w14:textId="78DA4E26" w:rsidR="008D6909" w:rsidRDefault="008D69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3AD6E" w14:textId="3324222E" w:rsidR="008D6909" w:rsidRDefault="00C83310" w:rsidP="008D6909">
    <w:pPr>
      <w:pStyle w:val="SecurityClassificationHeader"/>
    </w:pPr>
    <w:r>
      <w:fldChar w:fldCharType="begin"/>
    </w:r>
    <w:r>
      <w:instrText xml:space="preserve"> DOCPROPERTY SecurityClassification \* MERGEFORMAT </w:instrText>
    </w:r>
    <w:r>
      <w:fldChar w:fldCharType="separate"/>
    </w:r>
    <w:r w:rsidR="002D6307">
      <w:t>Sensitive:  Legal</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0E05987"/>
    <w:multiLevelType w:val="hybridMultilevel"/>
    <w:tmpl w:val="BF64F5E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40AA058C"/>
    <w:multiLevelType w:val="multilevel"/>
    <w:tmpl w:val="D254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3C56B9"/>
    <w:multiLevelType w:val="multilevel"/>
    <w:tmpl w:val="3F6680C8"/>
    <w:name w:val="StandardNumberedList"/>
    <w:lvl w:ilvl="0">
      <w:start w:val="1"/>
      <w:numFmt w:val="decimal"/>
      <w:pStyle w:val="OutlineNumbered1"/>
      <w:lvlText w:val="%1."/>
      <w:lvlJc w:val="left"/>
      <w:pPr>
        <w:tabs>
          <w:tab w:val="num" w:pos="1134"/>
        </w:tabs>
        <w:ind w:left="1134" w:hanging="567"/>
      </w:pPr>
    </w:lvl>
    <w:lvl w:ilvl="1">
      <w:start w:val="1"/>
      <w:numFmt w:val="decimal"/>
      <w:pStyle w:val="OutlineNumbered2"/>
      <w:lvlText w:val="%1.%2."/>
      <w:lvlJc w:val="left"/>
      <w:pPr>
        <w:tabs>
          <w:tab w:val="num" w:pos="1701"/>
        </w:tabs>
        <w:ind w:left="1701" w:hanging="567"/>
      </w:pPr>
    </w:lvl>
    <w:lvl w:ilvl="2">
      <w:start w:val="1"/>
      <w:numFmt w:val="decimal"/>
      <w:pStyle w:val="OutlineNumbered3"/>
      <w:lvlText w:val="%1.%2.%3."/>
      <w:lvlJc w:val="left"/>
      <w:pPr>
        <w:tabs>
          <w:tab w:val="num" w:pos="2268"/>
        </w:tabs>
        <w:ind w:left="2268" w:hanging="567"/>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5" w15:restartNumberingAfterBreak="0">
    <w:nsid w:val="4BD03A91"/>
    <w:multiLevelType w:val="hybridMultilevel"/>
    <w:tmpl w:val="B9CEB79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67A43C0B"/>
    <w:multiLevelType w:val="multilevel"/>
    <w:tmpl w:val="32FE84E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6480" w:hanging="360"/>
      </w:pPr>
    </w:lvl>
    <w:lvl w:ilvl="4">
      <w:start w:val="1"/>
      <w:numFmt w:val="lowerLetter"/>
      <w:lvlText w:val="(%5)"/>
      <w:lvlJc w:val="left"/>
      <w:pPr>
        <w:ind w:left="6840" w:hanging="360"/>
      </w:pPr>
    </w:lvl>
    <w:lvl w:ilvl="5">
      <w:start w:val="1"/>
      <w:numFmt w:val="lowerRoman"/>
      <w:lvlText w:val="(%6)"/>
      <w:lvlJc w:val="left"/>
      <w:pPr>
        <w:ind w:left="7200" w:hanging="360"/>
      </w:pPr>
    </w:lvl>
    <w:lvl w:ilvl="6">
      <w:start w:val="1"/>
      <w:numFmt w:val="decimal"/>
      <w:lvlText w:val="%7."/>
      <w:lvlJc w:val="left"/>
      <w:pPr>
        <w:ind w:left="7560" w:hanging="360"/>
      </w:pPr>
    </w:lvl>
    <w:lvl w:ilvl="7">
      <w:start w:val="1"/>
      <w:numFmt w:val="lowerLetter"/>
      <w:lvlText w:val="%8."/>
      <w:lvlJc w:val="left"/>
      <w:pPr>
        <w:ind w:left="7920" w:hanging="360"/>
      </w:pPr>
    </w:lvl>
    <w:lvl w:ilvl="8">
      <w:start w:val="1"/>
      <w:numFmt w:val="lowerRoman"/>
      <w:lvlText w:val="%9."/>
      <w:lvlJc w:val="left"/>
      <w:pPr>
        <w:ind w:left="8280" w:hanging="360"/>
      </w:pPr>
    </w:lvl>
  </w:abstractNum>
  <w:abstractNum w:abstractNumId="7" w15:restartNumberingAfterBreak="0">
    <w:nsid w:val="73345F27"/>
    <w:multiLevelType w:val="hybridMultilevel"/>
    <w:tmpl w:val="3FDA1D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77F659B8"/>
    <w:multiLevelType w:val="hybridMultilevel"/>
    <w:tmpl w:val="64C8C35C"/>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num w:numId="1">
    <w:abstractNumId w:val="2"/>
  </w:num>
  <w:num w:numId="2">
    <w:abstractNumId w:val="6"/>
  </w:num>
  <w:num w:numId="3">
    <w:abstractNumId w:val="0"/>
  </w:num>
  <w:num w:numId="4">
    <w:abstractNumId w:val="8"/>
  </w:num>
  <w:num w:numId="5">
    <w:abstractNumId w:val="3"/>
  </w:num>
  <w:num w:numId="6">
    <w:abstractNumId w:val="5"/>
  </w:num>
  <w:num w:numId="7">
    <w:abstractNumId w:val="7"/>
  </w:num>
  <w:num w:numId="8">
    <w:abstractNumId w:val="4"/>
  </w:num>
  <w:num w:numId="9">
    <w:abstractNumId w:val="1"/>
  </w:num>
  <w:num w:numId="10">
    <w:abstractNumId w:val="6"/>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True"/>
  </w:docVars>
  <w:rsids>
    <w:rsidRoot w:val="00F74150"/>
    <w:rsid w:val="000011F7"/>
    <w:rsid w:val="000012A1"/>
    <w:rsid w:val="00013390"/>
    <w:rsid w:val="00013415"/>
    <w:rsid w:val="00016EA2"/>
    <w:rsid w:val="00023160"/>
    <w:rsid w:val="0004268D"/>
    <w:rsid w:val="00063B3F"/>
    <w:rsid w:val="00064649"/>
    <w:rsid w:val="00076178"/>
    <w:rsid w:val="00091A5A"/>
    <w:rsid w:val="00091D25"/>
    <w:rsid w:val="00095211"/>
    <w:rsid w:val="000A160A"/>
    <w:rsid w:val="000B39A1"/>
    <w:rsid w:val="000C10DF"/>
    <w:rsid w:val="000C6935"/>
    <w:rsid w:val="000E32E3"/>
    <w:rsid w:val="00100B04"/>
    <w:rsid w:val="00113B45"/>
    <w:rsid w:val="00113DE2"/>
    <w:rsid w:val="00131092"/>
    <w:rsid w:val="001418AC"/>
    <w:rsid w:val="00144281"/>
    <w:rsid w:val="00145B72"/>
    <w:rsid w:val="00165A9D"/>
    <w:rsid w:val="00174003"/>
    <w:rsid w:val="0018421F"/>
    <w:rsid w:val="00191D3F"/>
    <w:rsid w:val="00196617"/>
    <w:rsid w:val="001A7A7B"/>
    <w:rsid w:val="001B0FA4"/>
    <w:rsid w:val="001B7535"/>
    <w:rsid w:val="001B7B52"/>
    <w:rsid w:val="001C2A8C"/>
    <w:rsid w:val="001E03F4"/>
    <w:rsid w:val="001E6A74"/>
    <w:rsid w:val="001F41D0"/>
    <w:rsid w:val="00202C55"/>
    <w:rsid w:val="00214904"/>
    <w:rsid w:val="00220F16"/>
    <w:rsid w:val="00221222"/>
    <w:rsid w:val="00234BD1"/>
    <w:rsid w:val="00244916"/>
    <w:rsid w:val="00244927"/>
    <w:rsid w:val="002536FC"/>
    <w:rsid w:val="00254B43"/>
    <w:rsid w:val="00254C5B"/>
    <w:rsid w:val="002630EA"/>
    <w:rsid w:val="002768E1"/>
    <w:rsid w:val="002A5CAC"/>
    <w:rsid w:val="002A5EB2"/>
    <w:rsid w:val="002A7E1F"/>
    <w:rsid w:val="002C1771"/>
    <w:rsid w:val="002C226C"/>
    <w:rsid w:val="002D6307"/>
    <w:rsid w:val="003041FA"/>
    <w:rsid w:val="00313377"/>
    <w:rsid w:val="00313AC8"/>
    <w:rsid w:val="00315C97"/>
    <w:rsid w:val="00320733"/>
    <w:rsid w:val="003342CD"/>
    <w:rsid w:val="00335042"/>
    <w:rsid w:val="00347F1B"/>
    <w:rsid w:val="00362B70"/>
    <w:rsid w:val="003658CB"/>
    <w:rsid w:val="003762DB"/>
    <w:rsid w:val="00382E87"/>
    <w:rsid w:val="00392BBA"/>
    <w:rsid w:val="003954FD"/>
    <w:rsid w:val="003C325C"/>
    <w:rsid w:val="003C5796"/>
    <w:rsid w:val="003C7907"/>
    <w:rsid w:val="003D60D7"/>
    <w:rsid w:val="003E1967"/>
    <w:rsid w:val="003E1CE3"/>
    <w:rsid w:val="003F6CA1"/>
    <w:rsid w:val="0040104F"/>
    <w:rsid w:val="004079CE"/>
    <w:rsid w:val="00435FDC"/>
    <w:rsid w:val="00437C7D"/>
    <w:rsid w:val="00453D0A"/>
    <w:rsid w:val="00462095"/>
    <w:rsid w:val="0047278F"/>
    <w:rsid w:val="0047367E"/>
    <w:rsid w:val="00476F1E"/>
    <w:rsid w:val="004803BB"/>
    <w:rsid w:val="00482B81"/>
    <w:rsid w:val="00482D4C"/>
    <w:rsid w:val="004934A7"/>
    <w:rsid w:val="0049529F"/>
    <w:rsid w:val="004B2BFC"/>
    <w:rsid w:val="004B3C0F"/>
    <w:rsid w:val="004C05E4"/>
    <w:rsid w:val="004C1628"/>
    <w:rsid w:val="004C5A96"/>
    <w:rsid w:val="004D5805"/>
    <w:rsid w:val="004D6371"/>
    <w:rsid w:val="004E126E"/>
    <w:rsid w:val="004E39E1"/>
    <w:rsid w:val="004F18F9"/>
    <w:rsid w:val="004F4E08"/>
    <w:rsid w:val="004F56D0"/>
    <w:rsid w:val="004F6978"/>
    <w:rsid w:val="00503E44"/>
    <w:rsid w:val="005134C3"/>
    <w:rsid w:val="00515283"/>
    <w:rsid w:val="00522895"/>
    <w:rsid w:val="00533926"/>
    <w:rsid w:val="005433F5"/>
    <w:rsid w:val="00552341"/>
    <w:rsid w:val="0055675D"/>
    <w:rsid w:val="00566E8F"/>
    <w:rsid w:val="0057422E"/>
    <w:rsid w:val="005744AB"/>
    <w:rsid w:val="005747B3"/>
    <w:rsid w:val="00580566"/>
    <w:rsid w:val="005833BE"/>
    <w:rsid w:val="00597F93"/>
    <w:rsid w:val="005A1966"/>
    <w:rsid w:val="005C2B16"/>
    <w:rsid w:val="005C6ECD"/>
    <w:rsid w:val="005D5C65"/>
    <w:rsid w:val="005D7465"/>
    <w:rsid w:val="005D7D5A"/>
    <w:rsid w:val="005E4BAC"/>
    <w:rsid w:val="005F1B60"/>
    <w:rsid w:val="005F7F2D"/>
    <w:rsid w:val="0060130D"/>
    <w:rsid w:val="006030B2"/>
    <w:rsid w:val="00606189"/>
    <w:rsid w:val="00633013"/>
    <w:rsid w:val="0064129F"/>
    <w:rsid w:val="00647BB7"/>
    <w:rsid w:val="00657187"/>
    <w:rsid w:val="00677504"/>
    <w:rsid w:val="00680297"/>
    <w:rsid w:val="00682E43"/>
    <w:rsid w:val="00683D6A"/>
    <w:rsid w:val="006848E3"/>
    <w:rsid w:val="006873CE"/>
    <w:rsid w:val="00692B5F"/>
    <w:rsid w:val="006956C2"/>
    <w:rsid w:val="006A0786"/>
    <w:rsid w:val="006A2465"/>
    <w:rsid w:val="006A4BD5"/>
    <w:rsid w:val="006C053D"/>
    <w:rsid w:val="006C1A45"/>
    <w:rsid w:val="006D53EC"/>
    <w:rsid w:val="006D735D"/>
    <w:rsid w:val="006D7D70"/>
    <w:rsid w:val="006F0D8E"/>
    <w:rsid w:val="006F7DE5"/>
    <w:rsid w:val="007012D7"/>
    <w:rsid w:val="00710E94"/>
    <w:rsid w:val="007145CA"/>
    <w:rsid w:val="00727D8A"/>
    <w:rsid w:val="00731FEA"/>
    <w:rsid w:val="00736F61"/>
    <w:rsid w:val="00742253"/>
    <w:rsid w:val="00743662"/>
    <w:rsid w:val="00746C9D"/>
    <w:rsid w:val="00747A53"/>
    <w:rsid w:val="007662C7"/>
    <w:rsid w:val="0077455F"/>
    <w:rsid w:val="00776306"/>
    <w:rsid w:val="0079792C"/>
    <w:rsid w:val="007A55A7"/>
    <w:rsid w:val="007B1F10"/>
    <w:rsid w:val="007B335E"/>
    <w:rsid w:val="007D387C"/>
    <w:rsid w:val="007E018D"/>
    <w:rsid w:val="007E1780"/>
    <w:rsid w:val="007E3E16"/>
    <w:rsid w:val="007F1B71"/>
    <w:rsid w:val="007F5BF7"/>
    <w:rsid w:val="007F5E06"/>
    <w:rsid w:val="00807222"/>
    <w:rsid w:val="00807E7D"/>
    <w:rsid w:val="00813813"/>
    <w:rsid w:val="0081766E"/>
    <w:rsid w:val="00821761"/>
    <w:rsid w:val="008234D1"/>
    <w:rsid w:val="0083118B"/>
    <w:rsid w:val="00831675"/>
    <w:rsid w:val="008375EC"/>
    <w:rsid w:val="00840593"/>
    <w:rsid w:val="0085400F"/>
    <w:rsid w:val="008818AA"/>
    <w:rsid w:val="0088467C"/>
    <w:rsid w:val="00885F55"/>
    <w:rsid w:val="00890445"/>
    <w:rsid w:val="00894579"/>
    <w:rsid w:val="008974F5"/>
    <w:rsid w:val="008A1D7B"/>
    <w:rsid w:val="008A3DDB"/>
    <w:rsid w:val="008A4EEA"/>
    <w:rsid w:val="008A5B67"/>
    <w:rsid w:val="008C5A57"/>
    <w:rsid w:val="008D16F7"/>
    <w:rsid w:val="008D6909"/>
    <w:rsid w:val="008D7123"/>
    <w:rsid w:val="008E1427"/>
    <w:rsid w:val="008F2DE0"/>
    <w:rsid w:val="008F6F20"/>
    <w:rsid w:val="008F6F85"/>
    <w:rsid w:val="008F734B"/>
    <w:rsid w:val="00902490"/>
    <w:rsid w:val="00902D4A"/>
    <w:rsid w:val="009143A0"/>
    <w:rsid w:val="009208CE"/>
    <w:rsid w:val="009275D9"/>
    <w:rsid w:val="00927BEB"/>
    <w:rsid w:val="00936902"/>
    <w:rsid w:val="00937247"/>
    <w:rsid w:val="00954679"/>
    <w:rsid w:val="00954F04"/>
    <w:rsid w:val="00962FB6"/>
    <w:rsid w:val="0096576A"/>
    <w:rsid w:val="009715EF"/>
    <w:rsid w:val="00991B70"/>
    <w:rsid w:val="00993832"/>
    <w:rsid w:val="00995282"/>
    <w:rsid w:val="009A78EB"/>
    <w:rsid w:val="009C1B3F"/>
    <w:rsid w:val="009C6A1E"/>
    <w:rsid w:val="009D6883"/>
    <w:rsid w:val="009E2F86"/>
    <w:rsid w:val="009F136F"/>
    <w:rsid w:val="009F4ABE"/>
    <w:rsid w:val="009F4CC3"/>
    <w:rsid w:val="00A1116D"/>
    <w:rsid w:val="00A12209"/>
    <w:rsid w:val="00A21073"/>
    <w:rsid w:val="00A2357A"/>
    <w:rsid w:val="00A36BFC"/>
    <w:rsid w:val="00A36DF3"/>
    <w:rsid w:val="00A426AC"/>
    <w:rsid w:val="00A532DD"/>
    <w:rsid w:val="00A67628"/>
    <w:rsid w:val="00A800E2"/>
    <w:rsid w:val="00A80BCF"/>
    <w:rsid w:val="00A8369C"/>
    <w:rsid w:val="00A90EBA"/>
    <w:rsid w:val="00A92EE6"/>
    <w:rsid w:val="00AA1689"/>
    <w:rsid w:val="00AA3313"/>
    <w:rsid w:val="00AA5770"/>
    <w:rsid w:val="00AC1D15"/>
    <w:rsid w:val="00AC61A2"/>
    <w:rsid w:val="00AC6D55"/>
    <w:rsid w:val="00AD4783"/>
    <w:rsid w:val="00AE061D"/>
    <w:rsid w:val="00AF4BA3"/>
    <w:rsid w:val="00AF5F44"/>
    <w:rsid w:val="00B057DD"/>
    <w:rsid w:val="00B059F8"/>
    <w:rsid w:val="00B07B0C"/>
    <w:rsid w:val="00B11AC8"/>
    <w:rsid w:val="00B21974"/>
    <w:rsid w:val="00B25563"/>
    <w:rsid w:val="00B2698E"/>
    <w:rsid w:val="00B26D48"/>
    <w:rsid w:val="00B40032"/>
    <w:rsid w:val="00B41567"/>
    <w:rsid w:val="00B42EE1"/>
    <w:rsid w:val="00B537C5"/>
    <w:rsid w:val="00B54A27"/>
    <w:rsid w:val="00B6073D"/>
    <w:rsid w:val="00B8293D"/>
    <w:rsid w:val="00B92478"/>
    <w:rsid w:val="00B94C08"/>
    <w:rsid w:val="00B97414"/>
    <w:rsid w:val="00BA6188"/>
    <w:rsid w:val="00BB4DDC"/>
    <w:rsid w:val="00BB4F52"/>
    <w:rsid w:val="00BD0FAE"/>
    <w:rsid w:val="00BD22AE"/>
    <w:rsid w:val="00BD61A2"/>
    <w:rsid w:val="00BE484D"/>
    <w:rsid w:val="00BE5ACE"/>
    <w:rsid w:val="00BE715A"/>
    <w:rsid w:val="00BF36CB"/>
    <w:rsid w:val="00BF5F0B"/>
    <w:rsid w:val="00C007CD"/>
    <w:rsid w:val="00C3600C"/>
    <w:rsid w:val="00C37D27"/>
    <w:rsid w:val="00C37E05"/>
    <w:rsid w:val="00C400F9"/>
    <w:rsid w:val="00C41756"/>
    <w:rsid w:val="00C50AEA"/>
    <w:rsid w:val="00C5276E"/>
    <w:rsid w:val="00C55D29"/>
    <w:rsid w:val="00C57D9C"/>
    <w:rsid w:val="00C70EDC"/>
    <w:rsid w:val="00C7207E"/>
    <w:rsid w:val="00C74EB1"/>
    <w:rsid w:val="00C83310"/>
    <w:rsid w:val="00C87FBA"/>
    <w:rsid w:val="00C90882"/>
    <w:rsid w:val="00CA0202"/>
    <w:rsid w:val="00CA0BE9"/>
    <w:rsid w:val="00CA138D"/>
    <w:rsid w:val="00CA5785"/>
    <w:rsid w:val="00CB080F"/>
    <w:rsid w:val="00CC5645"/>
    <w:rsid w:val="00CC7641"/>
    <w:rsid w:val="00CD591C"/>
    <w:rsid w:val="00CD66FA"/>
    <w:rsid w:val="00CF0DE7"/>
    <w:rsid w:val="00CF60DD"/>
    <w:rsid w:val="00CF7886"/>
    <w:rsid w:val="00D13794"/>
    <w:rsid w:val="00D15D4E"/>
    <w:rsid w:val="00D24052"/>
    <w:rsid w:val="00D24386"/>
    <w:rsid w:val="00D31575"/>
    <w:rsid w:val="00D34626"/>
    <w:rsid w:val="00D34FB4"/>
    <w:rsid w:val="00D37AD5"/>
    <w:rsid w:val="00D4257A"/>
    <w:rsid w:val="00D44AD3"/>
    <w:rsid w:val="00D468AA"/>
    <w:rsid w:val="00D50BDE"/>
    <w:rsid w:val="00D60EB1"/>
    <w:rsid w:val="00D62665"/>
    <w:rsid w:val="00D75DFC"/>
    <w:rsid w:val="00D82E47"/>
    <w:rsid w:val="00D9366D"/>
    <w:rsid w:val="00D9493F"/>
    <w:rsid w:val="00DC0CDE"/>
    <w:rsid w:val="00DC18A5"/>
    <w:rsid w:val="00DC4D72"/>
    <w:rsid w:val="00DD5735"/>
    <w:rsid w:val="00DD6500"/>
    <w:rsid w:val="00DE12B4"/>
    <w:rsid w:val="00E060F1"/>
    <w:rsid w:val="00E0624D"/>
    <w:rsid w:val="00E07F93"/>
    <w:rsid w:val="00E311EA"/>
    <w:rsid w:val="00E33DF2"/>
    <w:rsid w:val="00E37290"/>
    <w:rsid w:val="00E40EE1"/>
    <w:rsid w:val="00E4438C"/>
    <w:rsid w:val="00E457F3"/>
    <w:rsid w:val="00E50AD8"/>
    <w:rsid w:val="00E609AD"/>
    <w:rsid w:val="00E61558"/>
    <w:rsid w:val="00E91717"/>
    <w:rsid w:val="00E94A89"/>
    <w:rsid w:val="00EA1375"/>
    <w:rsid w:val="00EA16C3"/>
    <w:rsid w:val="00EA4DD8"/>
    <w:rsid w:val="00EB08E3"/>
    <w:rsid w:val="00EB2AEF"/>
    <w:rsid w:val="00EB7E71"/>
    <w:rsid w:val="00EC3A1E"/>
    <w:rsid w:val="00EC502F"/>
    <w:rsid w:val="00EC5864"/>
    <w:rsid w:val="00ED5DF1"/>
    <w:rsid w:val="00EE01D2"/>
    <w:rsid w:val="00F109D4"/>
    <w:rsid w:val="00F15EE9"/>
    <w:rsid w:val="00F21621"/>
    <w:rsid w:val="00F3469E"/>
    <w:rsid w:val="00F41B98"/>
    <w:rsid w:val="00F42EF5"/>
    <w:rsid w:val="00F47585"/>
    <w:rsid w:val="00F65329"/>
    <w:rsid w:val="00F74150"/>
    <w:rsid w:val="00F74440"/>
    <w:rsid w:val="00F74A87"/>
    <w:rsid w:val="00F836E0"/>
    <w:rsid w:val="00F84127"/>
    <w:rsid w:val="00F85E6F"/>
    <w:rsid w:val="00F94CEF"/>
    <w:rsid w:val="00FA4947"/>
    <w:rsid w:val="00FA72C0"/>
    <w:rsid w:val="00FE04E4"/>
    <w:rsid w:val="00FE73F9"/>
    <w:rsid w:val="00FF1057"/>
    <w:rsid w:val="00FF10A8"/>
    <w:rsid w:val="00FF3270"/>
    <w:rsid w:val="00FF3414"/>
    <w:rsid w:val="00FF3E25"/>
    <w:rsid w:val="00FF70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144581"/>
  <w15:docId w15:val="{565DEB00-4759-4D5C-BB42-B200D449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2D7"/>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nhideWhenUsed/>
    <w:rsid w:val="005E4BAC"/>
    <w:rPr>
      <w:sz w:val="20"/>
    </w:rPr>
  </w:style>
  <w:style w:type="character" w:customStyle="1" w:styleId="CommentTextChar">
    <w:name w:val="Comment Text Char"/>
    <w:basedOn w:val="DefaultParagraphFont"/>
    <w:link w:val="CommentText"/>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styleId="UnresolvedMention">
    <w:name w:val="Unresolved Mention"/>
    <w:basedOn w:val="DefaultParagraphFont"/>
    <w:uiPriority w:val="99"/>
    <w:semiHidden/>
    <w:unhideWhenUsed/>
    <w:rsid w:val="00A426AC"/>
    <w:rPr>
      <w:color w:val="605E5C"/>
      <w:shd w:val="clear" w:color="auto" w:fill="E1DFDD"/>
    </w:rPr>
  </w:style>
  <w:style w:type="paragraph" w:styleId="FootnoteText">
    <w:name w:val="footnote text"/>
    <w:basedOn w:val="Normal"/>
    <w:link w:val="FootnoteTextChar"/>
    <w:uiPriority w:val="99"/>
    <w:semiHidden/>
    <w:unhideWhenUsed/>
    <w:rsid w:val="00A426AC"/>
    <w:pPr>
      <w:spacing w:before="0" w:after="0"/>
    </w:pPr>
    <w:rPr>
      <w:sz w:val="20"/>
    </w:rPr>
  </w:style>
  <w:style w:type="character" w:customStyle="1" w:styleId="FootnoteTextChar">
    <w:name w:val="Footnote Text Char"/>
    <w:basedOn w:val="DefaultParagraphFont"/>
    <w:link w:val="FootnoteText"/>
    <w:uiPriority w:val="99"/>
    <w:semiHidden/>
    <w:rsid w:val="00A426AC"/>
  </w:style>
  <w:style w:type="character" w:styleId="FootnoteReference">
    <w:name w:val="footnote reference"/>
    <w:basedOn w:val="DefaultParagraphFont"/>
    <w:uiPriority w:val="99"/>
    <w:semiHidden/>
    <w:unhideWhenUsed/>
    <w:rsid w:val="00A426AC"/>
    <w:rPr>
      <w:vertAlign w:val="superscript"/>
    </w:rPr>
  </w:style>
  <w:style w:type="paragraph" w:styleId="ListParagraph">
    <w:name w:val="List Paragraph"/>
    <w:basedOn w:val="Normal"/>
    <w:uiPriority w:val="34"/>
    <w:qFormat/>
    <w:rsid w:val="00E37290"/>
    <w:pPr>
      <w:ind w:left="720"/>
      <w:contextualSpacing/>
    </w:pPr>
  </w:style>
  <w:style w:type="table" w:styleId="TableGrid">
    <w:name w:val="Table Grid"/>
    <w:basedOn w:val="TableNormal"/>
    <w:rsid w:val="00AF5F4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Numbered1">
    <w:name w:val="Outline Numbered 1"/>
    <w:basedOn w:val="Normal"/>
    <w:link w:val="OutlineNumbered1Char"/>
    <w:rsid w:val="00597F93"/>
    <w:pPr>
      <w:numPr>
        <w:numId w:val="8"/>
      </w:numPr>
    </w:pPr>
    <w:rPr>
      <w:color w:val="000000"/>
      <w:szCs w:val="23"/>
    </w:rPr>
  </w:style>
  <w:style w:type="character" w:customStyle="1" w:styleId="OutlineNumbered1Char">
    <w:name w:val="Outline Numbered 1 Char"/>
    <w:basedOn w:val="DashChar"/>
    <w:link w:val="OutlineNumbered1"/>
    <w:rsid w:val="00597F93"/>
    <w:rPr>
      <w:color w:val="000000"/>
      <w:sz w:val="24"/>
      <w:szCs w:val="23"/>
    </w:rPr>
  </w:style>
  <w:style w:type="paragraph" w:customStyle="1" w:styleId="OutlineNumbered2">
    <w:name w:val="Outline Numbered 2"/>
    <w:basedOn w:val="Normal"/>
    <w:link w:val="OutlineNumbered2Char"/>
    <w:rsid w:val="00597F93"/>
    <w:pPr>
      <w:numPr>
        <w:ilvl w:val="1"/>
        <w:numId w:val="8"/>
      </w:numPr>
    </w:pPr>
    <w:rPr>
      <w:color w:val="000000"/>
      <w:szCs w:val="23"/>
    </w:rPr>
  </w:style>
  <w:style w:type="character" w:customStyle="1" w:styleId="OutlineNumbered2Char">
    <w:name w:val="Outline Numbered 2 Char"/>
    <w:basedOn w:val="DashChar"/>
    <w:link w:val="OutlineNumbered2"/>
    <w:rsid w:val="00597F93"/>
    <w:rPr>
      <w:color w:val="000000"/>
      <w:sz w:val="24"/>
      <w:szCs w:val="23"/>
    </w:rPr>
  </w:style>
  <w:style w:type="paragraph" w:customStyle="1" w:styleId="OutlineNumbered3">
    <w:name w:val="Outline Numbered 3"/>
    <w:basedOn w:val="Normal"/>
    <w:link w:val="OutlineNumbered3Char"/>
    <w:rsid w:val="00597F93"/>
    <w:pPr>
      <w:numPr>
        <w:ilvl w:val="2"/>
        <w:numId w:val="8"/>
      </w:numPr>
    </w:pPr>
    <w:rPr>
      <w:color w:val="000000"/>
      <w:szCs w:val="23"/>
    </w:rPr>
  </w:style>
  <w:style w:type="character" w:customStyle="1" w:styleId="OutlineNumbered3Char">
    <w:name w:val="Outline Numbered 3 Char"/>
    <w:basedOn w:val="DashChar"/>
    <w:link w:val="OutlineNumbered3"/>
    <w:rsid w:val="00597F93"/>
    <w:rPr>
      <w:color w:val="000000"/>
      <w:sz w:val="24"/>
      <w:szCs w:val="23"/>
    </w:rPr>
  </w:style>
  <w:style w:type="paragraph" w:customStyle="1" w:styleId="SecurityClassificationHeader">
    <w:name w:val="Security Classification Header"/>
    <w:link w:val="SecurityClassificationHeaderChar"/>
    <w:rsid w:val="008D6909"/>
    <w:pPr>
      <w:spacing w:before="240" w:after="60"/>
      <w:jc w:val="center"/>
    </w:pPr>
    <w:rPr>
      <w:rFonts w:ascii="Calibri" w:hAnsi="Calibri" w:cs="Calibri"/>
      <w:b/>
      <w:caps/>
      <w:sz w:val="24"/>
    </w:rPr>
  </w:style>
  <w:style w:type="character" w:customStyle="1" w:styleId="SecurityClassificationHeaderChar">
    <w:name w:val="Security Classification Header Char"/>
    <w:basedOn w:val="HeaderChar"/>
    <w:link w:val="SecurityClassificationHeader"/>
    <w:rsid w:val="008D6909"/>
    <w:rPr>
      <w:rFonts w:ascii="Calibri" w:hAnsi="Calibri" w:cs="Calibri"/>
      <w:b/>
      <w:caps/>
      <w:sz w:val="24"/>
    </w:rPr>
  </w:style>
  <w:style w:type="paragraph" w:customStyle="1" w:styleId="SecurityClassificationFooter">
    <w:name w:val="Security Classification Footer"/>
    <w:link w:val="SecurityClassificationFooterChar"/>
    <w:rsid w:val="008D6909"/>
    <w:pPr>
      <w:spacing w:before="60" w:after="240"/>
      <w:jc w:val="center"/>
    </w:pPr>
    <w:rPr>
      <w:rFonts w:ascii="Calibri" w:hAnsi="Calibri" w:cs="Calibri"/>
      <w:b/>
      <w:caps/>
      <w:sz w:val="24"/>
    </w:rPr>
  </w:style>
  <w:style w:type="character" w:customStyle="1" w:styleId="SecurityClassificationFooterChar">
    <w:name w:val="Security Classification Footer Char"/>
    <w:basedOn w:val="HeaderChar"/>
    <w:link w:val="SecurityClassificationFooter"/>
    <w:rsid w:val="008D6909"/>
    <w:rPr>
      <w:rFonts w:ascii="Calibri" w:hAnsi="Calibri" w:cs="Calibri"/>
      <w:b/>
      <w:caps/>
      <w:sz w:val="24"/>
    </w:rPr>
  </w:style>
  <w:style w:type="paragraph" w:customStyle="1" w:styleId="DLMSecurityHeader">
    <w:name w:val="DLM Security Header"/>
    <w:link w:val="DLMSecurityHeaderChar"/>
    <w:rsid w:val="008D6909"/>
    <w:pPr>
      <w:spacing w:before="60" w:after="240"/>
      <w:jc w:val="center"/>
    </w:pPr>
    <w:rPr>
      <w:rFonts w:ascii="Calibri" w:hAnsi="Calibri" w:cs="Calibri"/>
      <w:b/>
      <w:caps/>
      <w:sz w:val="24"/>
    </w:rPr>
  </w:style>
  <w:style w:type="character" w:customStyle="1" w:styleId="DLMSecurityHeaderChar">
    <w:name w:val="DLM Security Header Char"/>
    <w:basedOn w:val="HeaderChar"/>
    <w:link w:val="DLMSecurityHeader"/>
    <w:rsid w:val="008D6909"/>
    <w:rPr>
      <w:rFonts w:ascii="Calibri" w:hAnsi="Calibri" w:cs="Calibri"/>
      <w:b/>
      <w:caps/>
      <w:sz w:val="24"/>
    </w:rPr>
  </w:style>
  <w:style w:type="paragraph" w:customStyle="1" w:styleId="DLMSecurityFooter">
    <w:name w:val="DLM Security Footer"/>
    <w:link w:val="DLMSecurityFooterChar"/>
    <w:rsid w:val="008D6909"/>
    <w:pPr>
      <w:spacing w:before="240" w:after="60"/>
      <w:jc w:val="center"/>
    </w:pPr>
    <w:rPr>
      <w:rFonts w:ascii="Calibri" w:hAnsi="Calibri" w:cs="Calibri"/>
      <w:b/>
      <w:caps/>
      <w:sz w:val="24"/>
    </w:rPr>
  </w:style>
  <w:style w:type="character" w:customStyle="1" w:styleId="DLMSecurityFooterChar">
    <w:name w:val="DLM Security Footer Char"/>
    <w:basedOn w:val="HeaderChar"/>
    <w:link w:val="DLMSecurityFooter"/>
    <w:rsid w:val="008D6909"/>
    <w:rPr>
      <w:rFonts w:ascii="Calibri" w:hAnsi="Calibri" w:cs="Calibri"/>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948819">
      <w:bodyDiv w:val="1"/>
      <w:marLeft w:val="0"/>
      <w:marRight w:val="0"/>
      <w:marTop w:val="0"/>
      <w:marBottom w:val="0"/>
      <w:divBdr>
        <w:top w:val="none" w:sz="0" w:space="0" w:color="auto"/>
        <w:left w:val="none" w:sz="0" w:space="0" w:color="auto"/>
        <w:bottom w:val="none" w:sz="0" w:space="0" w:color="auto"/>
        <w:right w:val="none" w:sz="0" w:space="0" w:color="auto"/>
      </w:divBdr>
    </w:div>
    <w:div w:id="923033705">
      <w:bodyDiv w:val="1"/>
      <w:marLeft w:val="0"/>
      <w:marRight w:val="0"/>
      <w:marTop w:val="0"/>
      <w:marBottom w:val="0"/>
      <w:divBdr>
        <w:top w:val="none" w:sz="0" w:space="0" w:color="auto"/>
        <w:left w:val="none" w:sz="0" w:space="0" w:color="auto"/>
        <w:bottom w:val="none" w:sz="0" w:space="0" w:color="auto"/>
        <w:right w:val="none" w:sz="0" w:space="0" w:color="auto"/>
      </w:divBdr>
    </w:div>
    <w:div w:id="1038968918">
      <w:bodyDiv w:val="1"/>
      <w:marLeft w:val="0"/>
      <w:marRight w:val="0"/>
      <w:marTop w:val="0"/>
      <w:marBottom w:val="0"/>
      <w:divBdr>
        <w:top w:val="none" w:sz="0" w:space="0" w:color="auto"/>
        <w:left w:val="none" w:sz="0" w:space="0" w:color="auto"/>
        <w:bottom w:val="none" w:sz="0" w:space="0" w:color="auto"/>
        <w:right w:val="none" w:sz="0" w:space="0" w:color="auto"/>
      </w:divBdr>
    </w:div>
    <w:div w:id="1430274612">
      <w:bodyDiv w:val="1"/>
      <w:marLeft w:val="0"/>
      <w:marRight w:val="0"/>
      <w:marTop w:val="0"/>
      <w:marBottom w:val="0"/>
      <w:divBdr>
        <w:top w:val="none" w:sz="0" w:space="0" w:color="auto"/>
        <w:left w:val="none" w:sz="0" w:space="0" w:color="auto"/>
        <w:bottom w:val="none" w:sz="0" w:space="0" w:color="auto"/>
        <w:right w:val="none" w:sz="0" w:space="0" w:color="auto"/>
      </w:divBdr>
    </w:div>
    <w:div w:id="1824079774">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20526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aasb.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63528472C634BBE8D7AE6BE7E9E2E44"/>
        <w:category>
          <w:name w:val="General"/>
          <w:gallery w:val="placeholder"/>
        </w:category>
        <w:types>
          <w:type w:val="bbPlcHdr"/>
        </w:types>
        <w:behaviors>
          <w:behavior w:val="content"/>
        </w:behaviors>
        <w:guid w:val="{F48745C2-7C51-453F-A1BE-E816F3167E17}"/>
      </w:docPartPr>
      <w:docPartBody>
        <w:p w:rsidR="00E93FF0" w:rsidRDefault="00E93FF0">
          <w:pPr>
            <w:pStyle w:val="663528472C634BBE8D7AE6BE7E9E2E44"/>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FF0"/>
    <w:rsid w:val="004F6696"/>
    <w:rsid w:val="00AC4D39"/>
    <w:rsid w:val="00D0470A"/>
    <w:rsid w:val="00E93F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63528472C634BBE8D7AE6BE7E9E2E44">
    <w:name w:val="663528472C634BBE8D7AE6BE7E9E2E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IconOverlay xmlns="http://schemas.microsoft.com/sharepoint/v4" xsi:nil="true"/>
    <TaxCatchAll xmlns="0f563589-9cf9-4143-b1eb-fb0534803d38">
      <Value>1</Value>
    </TaxCatchAll>
    <_dlc_DocId xmlns="0f563589-9cf9-4143-b1eb-fb0534803d38">2021RG-386-4895</_dlc_DocId>
    <_dlc_DocIdUrl xmlns="0f563589-9cf9-4143-b1eb-fb0534803d38">
      <Url>http://tweb/sites/rg/iitd/nfp/_layouts/15/DocIdRedir.aspx?ID=2021RG-386-4895</Url>
      <Description>2021RG-386-4895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178ACB32DF169409130AAE1FDE802F9" ma:contentTypeVersion="40881" ma:contentTypeDescription="" ma:contentTypeScope="" ma:versionID="7bd6fb69b43e6f12f839da8b99bc8848">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77543dadd1837e386caab991a93928a1"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8C9C95AF-DC3D-454D-876B-A90DFB6AC3F1}">
  <ds:schemaRefs>
    <ds:schemaRef ds:uri="office.server.policy"/>
  </ds:schemaRefs>
</ds:datastoreItem>
</file>

<file path=customXml/itemProps2.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9f7bc583-7cbe-45b9-a2bd-8bbb6543b37e"/>
    <ds:schemaRef ds:uri="http://schemas.microsoft.com/sharepoint/v4"/>
    <ds:schemaRef ds:uri="0f563589-9cf9-4143-b1eb-fb0534803d38"/>
  </ds:schemaRefs>
</ds:datastoreItem>
</file>

<file path=customXml/itemProps5.xml><?xml version="1.0" encoding="utf-8"?>
<ds:datastoreItem xmlns:ds="http://schemas.openxmlformats.org/officeDocument/2006/customXml" ds:itemID="{E86FCD42-A19E-4134-AA84-5BD830171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BC1B306-7DD2-4CEF-9D4C-F76C53C4C9D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Sub-ES.dotx</Template>
  <TotalTime>22</TotalTime>
  <Pages>5</Pages>
  <Words>1466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Australian Charities and Not-for-profits Commission Amendment (2021 Measures No. 3) Regulations 2021 - Explanatory Statement</vt:lpstr>
    </vt:vector>
  </TitlesOfParts>
  <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Charities and Not-for-profits Commission Amendment (2021 Measures No. 3) Regulations 2021 - Explanatory Statement</dc:title>
  <dc:creator>The Treasury</dc:creator>
  <cp:lastModifiedBy>Moore, Ben</cp:lastModifiedBy>
  <cp:revision>7</cp:revision>
  <cp:lastPrinted>2021-09-12T23:16:00Z</cp:lastPrinted>
  <dcterms:created xsi:type="dcterms:W3CDTF">2021-09-08T01:44:00Z</dcterms:created>
  <dcterms:modified xsi:type="dcterms:W3CDTF">2021-09-17T06:02:00Z</dcterms:modified>
</cp:coreProperties>
</file>