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85645642"/>
        <w:docPartObj>
          <w:docPartGallery w:val="Cover Pages"/>
          <w:docPartUnique/>
        </w:docPartObj>
      </w:sdtPr>
      <w:sdtEndPr>
        <w:rPr>
          <w:noProof/>
        </w:rPr>
      </w:sdtEndPr>
      <w:sdtContent>
        <w:p w14:paraId="5597D574" w14:textId="77777777" w:rsidR="00604EEF" w:rsidRPr="006D0240" w:rsidRDefault="00604EEF" w:rsidP="008E6292">
          <w:r>
            <w:rPr>
              <w:noProof/>
              <w:lang w:eastAsia="zh-CN"/>
            </w:rPr>
            <w:drawing>
              <wp:anchor distT="0" distB="0" distL="114300" distR="114300" simplePos="0" relativeHeight="251658240" behindDoc="1" locked="0" layoutInCell="1" allowOverlap="1" wp14:anchorId="768AFD4D" wp14:editId="6367FFBF">
                <wp:simplePos x="0" y="0"/>
                <wp:positionH relativeFrom="page">
                  <wp:align>center</wp:align>
                </wp:positionH>
                <wp:positionV relativeFrom="page">
                  <wp:align>center</wp:align>
                </wp:positionV>
                <wp:extent cx="7297200" cy="10321200"/>
                <wp:effectExtent l="0" t="0" r="0" b="444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297200" cy="1032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4A9F1" w14:textId="77777777" w:rsidR="00604EEF" w:rsidRPr="006D0240" w:rsidRDefault="00604EEF" w:rsidP="00A17C9C">
          <w:pPr>
            <w:pStyle w:val="Crest"/>
            <w:spacing w:after="960"/>
            <w:ind w:left="1077"/>
            <w:jc w:val="right"/>
          </w:pPr>
        </w:p>
        <w:p w14:paraId="2B58647C" w14:textId="234871AD" w:rsidR="00604EEF" w:rsidRPr="00171955" w:rsidRDefault="009A3279" w:rsidP="00A17C9C">
          <w:pPr>
            <w:pStyle w:val="Title"/>
            <w:ind w:left="1077"/>
            <w:rPr>
              <w:color w:val="FFFFFF" w:themeColor="background1"/>
            </w:rPr>
          </w:pPr>
          <w:r w:rsidRPr="00171955">
            <w:rPr>
              <w:color w:val="FFFFFF" w:themeColor="background1"/>
            </w:rPr>
            <w:t>National Plan to Transition to</w:t>
          </w:r>
          <w:r w:rsidR="00296DFD" w:rsidRPr="00171955">
            <w:rPr>
              <w:color w:val="FFFFFF" w:themeColor="background1"/>
            </w:rPr>
            <w:t> </w:t>
          </w:r>
          <w:r w:rsidRPr="00171955">
            <w:rPr>
              <w:color w:val="FFFFFF" w:themeColor="background1"/>
            </w:rPr>
            <w:t>Australia</w:t>
          </w:r>
          <w:r w:rsidR="00F54789">
            <w:rPr>
              <w:color w:val="FFFFFF" w:themeColor="background1"/>
            </w:rPr>
            <w:t>’</w:t>
          </w:r>
          <w:r w:rsidRPr="00171955">
            <w:rPr>
              <w:color w:val="FFFFFF" w:themeColor="background1"/>
            </w:rPr>
            <w:t>s National COVID</w:t>
          </w:r>
          <w:r w:rsidR="00F54789">
            <w:rPr>
              <w:color w:val="FFFFFF" w:themeColor="background1"/>
            </w:rPr>
            <w:noBreakHyphen/>
          </w:r>
          <w:r w:rsidRPr="00171955">
            <w:rPr>
              <w:color w:val="FFFFFF" w:themeColor="background1"/>
            </w:rPr>
            <w:t>19</w:t>
          </w:r>
          <w:r w:rsidR="00296DFD" w:rsidRPr="00171955">
            <w:rPr>
              <w:color w:val="FFFFFF" w:themeColor="background1"/>
            </w:rPr>
            <w:t> </w:t>
          </w:r>
          <w:r w:rsidRPr="00171955">
            <w:rPr>
              <w:color w:val="FFFFFF" w:themeColor="background1"/>
            </w:rPr>
            <w:t>Response</w:t>
          </w:r>
        </w:p>
        <w:p w14:paraId="02BB9796" w14:textId="7C7CB919" w:rsidR="00604EEF" w:rsidRPr="00171955" w:rsidRDefault="009A3279" w:rsidP="00A17C9C">
          <w:pPr>
            <w:pStyle w:val="Subtitle"/>
            <w:ind w:left="1077"/>
            <w:rPr>
              <w:color w:val="FFFFFF" w:themeColor="background1"/>
            </w:rPr>
          </w:pPr>
          <w:r w:rsidRPr="00171955">
            <w:rPr>
              <w:color w:val="FFFFFF" w:themeColor="background1"/>
            </w:rPr>
            <w:t>Economic Impact Analysis</w:t>
          </w:r>
        </w:p>
        <w:p w14:paraId="71B2FF86" w14:textId="77777777" w:rsidR="00604EEF" w:rsidRDefault="00604EEF">
          <w:pPr>
            <w:spacing w:before="0" w:after="160" w:line="259" w:lineRule="auto"/>
            <w:rPr>
              <w:noProof/>
            </w:rPr>
          </w:pPr>
          <w:r>
            <w:rPr>
              <w:noProof/>
            </w:rPr>
            <w:br w:type="page"/>
          </w:r>
        </w:p>
      </w:sdtContent>
    </w:sdt>
    <w:p w14:paraId="7B01B40F" w14:textId="7A7E6BBF" w:rsidR="000E0B74" w:rsidRDefault="000E0B74" w:rsidP="005877AC">
      <w:pPr>
        <w:spacing w:before="0" w:after="160" w:line="259" w:lineRule="auto"/>
      </w:pPr>
      <w:r w:rsidRPr="00661BF0">
        <w:lastRenderedPageBreak/>
        <w:t>© Commonwealth of Austr</w:t>
      </w:r>
      <w:r w:rsidRPr="007F40C8">
        <w:t>alia 20</w:t>
      </w:r>
      <w:r w:rsidR="006564D3" w:rsidRPr="007F40C8">
        <w:t>2</w:t>
      </w:r>
      <w:r w:rsidR="007F40C8" w:rsidRPr="007F40C8">
        <w:t>1</w:t>
      </w:r>
    </w:p>
    <w:p w14:paraId="5EF879A4" w14:textId="643A14B1" w:rsidR="0004487E" w:rsidRDefault="0004487E" w:rsidP="0004487E">
      <w:pPr>
        <w:rPr>
          <w:noProof/>
        </w:rPr>
      </w:pPr>
      <w:r>
        <w:t xml:space="preserve">ISBN: </w:t>
      </w:r>
      <w:r>
        <w:rPr>
          <w:shd w:val="clear" w:color="auto" w:fill="FFFFFF"/>
        </w:rPr>
        <w:t>978</w:t>
      </w:r>
      <w:r w:rsidR="00F54789">
        <w:rPr>
          <w:shd w:val="clear" w:color="auto" w:fill="FFFFFF"/>
        </w:rPr>
        <w:noBreakHyphen/>
      </w:r>
      <w:r>
        <w:rPr>
          <w:shd w:val="clear" w:color="auto" w:fill="FFFFFF"/>
        </w:rPr>
        <w:t>1</w:t>
      </w:r>
      <w:r w:rsidR="00F54789">
        <w:rPr>
          <w:shd w:val="clear" w:color="auto" w:fill="FFFFFF"/>
        </w:rPr>
        <w:noBreakHyphen/>
      </w:r>
      <w:r>
        <w:rPr>
          <w:shd w:val="clear" w:color="auto" w:fill="FFFFFF"/>
        </w:rPr>
        <w:t>925832</w:t>
      </w:r>
      <w:r w:rsidR="00F54789">
        <w:rPr>
          <w:shd w:val="clear" w:color="auto" w:fill="FFFFFF"/>
        </w:rPr>
        <w:noBreakHyphen/>
      </w:r>
      <w:r>
        <w:rPr>
          <w:shd w:val="clear" w:color="auto" w:fill="FFFFFF"/>
        </w:rPr>
        <w:t>39</w:t>
      </w:r>
      <w:r w:rsidR="00F54789">
        <w:rPr>
          <w:shd w:val="clear" w:color="auto" w:fill="FFFFFF"/>
        </w:rPr>
        <w:noBreakHyphen/>
      </w:r>
      <w:r>
        <w:rPr>
          <w:shd w:val="clear" w:color="auto" w:fill="FFFFFF"/>
        </w:rPr>
        <w:t>6</w:t>
      </w:r>
    </w:p>
    <w:p w14:paraId="0B65A873" w14:textId="2D6A2FA4"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9"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0"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55FC0723" w14:textId="77777777" w:rsidR="000E0B74" w:rsidRDefault="000E0B74" w:rsidP="000E0B74">
      <w:pPr>
        <w:pStyle w:val="ChartGraphic"/>
        <w:jc w:val="left"/>
      </w:pPr>
      <w:r w:rsidRPr="00E56DFB">
        <w:rPr>
          <w:noProof/>
          <w:lang w:eastAsia="zh-CN"/>
        </w:rPr>
        <w:drawing>
          <wp:inline distT="0" distB="0" distL="0" distR="0" wp14:anchorId="08389022" wp14:editId="7CFE1F0C">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0AAAEDE"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2"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6F035CBA" w14:textId="25606795" w:rsidR="000E0B74" w:rsidRPr="002F1BC2" w:rsidRDefault="000E0B74" w:rsidP="000E0B74">
      <w:pPr>
        <w:ind w:left="709"/>
        <w:rPr>
          <w:i/>
        </w:rPr>
      </w:pPr>
      <w:r w:rsidRPr="002F1BC2">
        <w:rPr>
          <w:i/>
        </w:rPr>
        <w:t xml:space="preserve">Treasury material used </w:t>
      </w:r>
      <w:r w:rsidR="00F54789">
        <w:rPr>
          <w:i/>
        </w:rPr>
        <w:t>‘</w:t>
      </w:r>
      <w:r w:rsidRPr="002F1BC2">
        <w:rPr>
          <w:i/>
        </w:rPr>
        <w:t>as supplied</w:t>
      </w:r>
      <w:r w:rsidR="00F54789">
        <w:rPr>
          <w:i/>
        </w:rPr>
        <w:t>’</w:t>
      </w:r>
      <w:r>
        <w:rPr>
          <w:i/>
        </w:rPr>
        <w:t>.</w:t>
      </w:r>
    </w:p>
    <w:p w14:paraId="6F0942DB" w14:textId="75656FFF"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rsidR="00F54789">
        <w:t xml:space="preserve"> – </w:t>
      </w:r>
      <w:r>
        <w:t>then Treasury prefers t</w:t>
      </w:r>
      <w:r w:rsidRPr="00476F09">
        <w:t xml:space="preserve">he following attribution: </w:t>
      </w:r>
    </w:p>
    <w:p w14:paraId="5156ABFE" w14:textId="5DFCB888" w:rsidR="000E0B74" w:rsidRPr="00A13A11" w:rsidRDefault="000E0B74" w:rsidP="000E0B74">
      <w:pPr>
        <w:ind w:firstLine="720"/>
      </w:pPr>
      <w:r w:rsidRPr="002F1BC2">
        <w:rPr>
          <w:i/>
        </w:rPr>
        <w:t xml:space="preserve">Source: The </w:t>
      </w:r>
      <w:r w:rsidRPr="002F1BC2">
        <w:rPr>
          <w:i/>
          <w:iCs/>
        </w:rPr>
        <w:t>Australian Government the Treasury</w:t>
      </w:r>
      <w:r>
        <w:t>.</w:t>
      </w:r>
    </w:p>
    <w:p w14:paraId="0511006D" w14:textId="77777777" w:rsidR="000E0B74" w:rsidRPr="006627B4" w:rsidRDefault="000E0B74" w:rsidP="000E0B74">
      <w:pPr>
        <w:spacing w:before="240"/>
      </w:pPr>
      <w:r w:rsidRPr="00CC63CC">
        <w:rPr>
          <w:b/>
        </w:rPr>
        <w:t>Derivative</w:t>
      </w:r>
      <w:r w:rsidRPr="006627B4">
        <w:t xml:space="preserve"> </w:t>
      </w:r>
      <w:r w:rsidRPr="00CC63CC">
        <w:rPr>
          <w:b/>
        </w:rPr>
        <w:t>material</w:t>
      </w:r>
    </w:p>
    <w:p w14:paraId="7849FE35"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49AA2254" w14:textId="4EB606C2" w:rsidR="000E0B74" w:rsidRPr="006627B4" w:rsidRDefault="000E0B74" w:rsidP="000E0B74">
      <w:pPr>
        <w:ind w:firstLine="720"/>
      </w:pPr>
      <w:r w:rsidRPr="002F1BC2">
        <w:rPr>
          <w:i/>
        </w:rPr>
        <w:t>Based on The Australian Government the Treasury data</w:t>
      </w:r>
      <w:r>
        <w:t>.</w:t>
      </w:r>
    </w:p>
    <w:p w14:paraId="1EF3B9B9" w14:textId="77777777" w:rsidR="000E0B74" w:rsidRPr="006627B4" w:rsidRDefault="000E0B74" w:rsidP="000E0B74">
      <w:pPr>
        <w:spacing w:before="240"/>
        <w:rPr>
          <w:b/>
        </w:rPr>
      </w:pPr>
      <w:r w:rsidRPr="006627B4">
        <w:rPr>
          <w:b/>
        </w:rPr>
        <w:t>Use of the Coat of Arms</w:t>
      </w:r>
    </w:p>
    <w:p w14:paraId="0728B372" w14:textId="5A3CA099"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3" w:history="1">
        <w:r w:rsidRPr="005C503A">
          <w:rPr>
            <w:rStyle w:val="Hyperlink"/>
          </w:rPr>
          <w:t>www.pmc.gov.au/government/commonwealth</w:t>
        </w:r>
        <w:r w:rsidR="00F54789">
          <w:rPr>
            <w:rStyle w:val="Hyperlink"/>
          </w:rPr>
          <w:noBreakHyphen/>
        </w:r>
        <w:r w:rsidRPr="005C503A">
          <w:rPr>
            <w:rStyle w:val="Hyperlink"/>
          </w:rPr>
          <w:t>coat</w:t>
        </w:r>
        <w:r w:rsidR="00F54789">
          <w:rPr>
            <w:rStyle w:val="Hyperlink"/>
          </w:rPr>
          <w:noBreakHyphen/>
        </w:r>
        <w:r w:rsidRPr="005C503A">
          <w:rPr>
            <w:rStyle w:val="Hyperlink"/>
          </w:rPr>
          <w:t>arm</w:t>
        </w:r>
      </w:hyperlink>
      <w:r w:rsidRPr="005C503A">
        <w:t>s).</w:t>
      </w:r>
    </w:p>
    <w:p w14:paraId="3F78C999" w14:textId="77777777" w:rsidR="000E0B74" w:rsidRPr="006627B4" w:rsidRDefault="000E0B74" w:rsidP="000E0B74">
      <w:pPr>
        <w:spacing w:before="240"/>
        <w:rPr>
          <w:b/>
        </w:rPr>
      </w:pPr>
      <w:r>
        <w:rPr>
          <w:b/>
        </w:rPr>
        <w:t>Other u</w:t>
      </w:r>
      <w:r w:rsidRPr="006627B4">
        <w:rPr>
          <w:b/>
        </w:rPr>
        <w:t>ses</w:t>
      </w:r>
    </w:p>
    <w:p w14:paraId="17DABA5E" w14:textId="77777777" w:rsidR="000E0B74" w:rsidRPr="006627B4" w:rsidRDefault="000E0B74" w:rsidP="000E0B74">
      <w:r>
        <w:t>E</w:t>
      </w:r>
      <w:r w:rsidRPr="006627B4">
        <w:t>nquiries regarding this licence and any other use of this document are welcome at:</w:t>
      </w:r>
    </w:p>
    <w:p w14:paraId="3D2C5C13" w14:textId="77777777" w:rsidR="000E0B74" w:rsidRPr="002F1BC2" w:rsidRDefault="000E0B74" w:rsidP="000E0B74">
      <w:pPr>
        <w:ind w:left="720"/>
        <w:rPr>
          <w:rStyle w:val="Hyperlink"/>
        </w:rPr>
      </w:pPr>
      <w:r w:rsidRPr="006627B4">
        <w:t>Manager</w:t>
      </w:r>
      <w:r w:rsidR="00A72960">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4" w:history="1">
        <w:r w:rsidR="00FF447A" w:rsidRPr="000951A5">
          <w:rPr>
            <w:rStyle w:val="Hyperlink"/>
          </w:rPr>
          <w:t>media@treasury.gov.au</w:t>
        </w:r>
      </w:hyperlink>
      <w:r w:rsidR="00FF447A">
        <w:rPr>
          <w:rStyle w:val="Hyperlink"/>
        </w:rPr>
        <w:t xml:space="preserve"> </w:t>
      </w:r>
    </w:p>
    <w:p w14:paraId="69D51A05" w14:textId="77777777" w:rsidR="00F836F9" w:rsidRDefault="00F836F9" w:rsidP="000E0B74">
      <w:pPr>
        <w:pStyle w:val="Heading1"/>
        <w:sectPr w:rsidR="00F836F9" w:rsidSect="00917E28">
          <w:headerReference w:type="default" r:id="rId15"/>
          <w:footerReference w:type="default" r:id="rId16"/>
          <w:pgSz w:w="11906" w:h="16838" w:code="9"/>
          <w:pgMar w:top="1418" w:right="1418" w:bottom="1418" w:left="1418" w:header="709" w:footer="709" w:gutter="0"/>
          <w:pgNumType w:fmt="lowerRoman" w:start="0"/>
          <w:cols w:space="708"/>
          <w:titlePg/>
          <w:docGrid w:linePitch="360"/>
        </w:sectPr>
      </w:pPr>
    </w:p>
    <w:p w14:paraId="2F5418D8" w14:textId="77777777" w:rsidR="000E0B74" w:rsidRDefault="000E0B74" w:rsidP="001F1B27">
      <w:pPr>
        <w:pStyle w:val="Heading1"/>
      </w:pPr>
      <w:bookmarkStart w:id="0" w:name="_Toc78902068"/>
      <w:r w:rsidRPr="001F1B27">
        <w:t>Contents</w:t>
      </w:r>
      <w:bookmarkEnd w:id="0"/>
    </w:p>
    <w:bookmarkStart w:id="1" w:name="_Toc432067103"/>
    <w:bookmarkStart w:id="2" w:name="_Toc452635030"/>
    <w:p w14:paraId="2E0D647B" w14:textId="60AF6E60" w:rsidR="002E2B91" w:rsidRDefault="00296DFD">
      <w:pPr>
        <w:pStyle w:val="TOC1"/>
        <w:rPr>
          <w:rFonts w:asciiTheme="minorHAnsi" w:eastAsiaTheme="minorEastAsia" w:hAnsiTheme="minorHAnsi" w:cstheme="minorBidi"/>
          <w:b w:val="0"/>
          <w:color w:val="auto"/>
        </w:rPr>
      </w:pPr>
      <w:r>
        <w:rPr>
          <w:b w:val="0"/>
          <w:color w:val="004A7F"/>
        </w:rPr>
        <w:fldChar w:fldCharType="begin"/>
      </w:r>
      <w:r>
        <w:rPr>
          <w:b w:val="0"/>
          <w:color w:val="004A7F"/>
        </w:rPr>
        <w:instrText xml:space="preserve"> TOC \o "1-2" \h \z \t "Heading 3,3,Heading 3 Numbered,3" </w:instrText>
      </w:r>
      <w:r>
        <w:rPr>
          <w:b w:val="0"/>
          <w:color w:val="004A7F"/>
        </w:rPr>
        <w:fldChar w:fldCharType="separate"/>
      </w:r>
      <w:hyperlink w:anchor="_Toc78902068" w:history="1">
        <w:r w:rsidR="002E2B91" w:rsidRPr="00E331D1">
          <w:rPr>
            <w:rStyle w:val="Hyperlink"/>
          </w:rPr>
          <w:t>Contents</w:t>
        </w:r>
        <w:r w:rsidR="002E2B91">
          <w:rPr>
            <w:webHidden/>
          </w:rPr>
          <w:tab/>
        </w:r>
        <w:r w:rsidR="002E2B91">
          <w:rPr>
            <w:webHidden/>
          </w:rPr>
          <w:fldChar w:fldCharType="begin"/>
        </w:r>
        <w:r w:rsidR="002E2B91">
          <w:rPr>
            <w:webHidden/>
          </w:rPr>
          <w:instrText xml:space="preserve"> PAGEREF _Toc78902068 \h </w:instrText>
        </w:r>
        <w:r w:rsidR="002E2B91">
          <w:rPr>
            <w:webHidden/>
          </w:rPr>
        </w:r>
        <w:r w:rsidR="002E2B91">
          <w:rPr>
            <w:webHidden/>
          </w:rPr>
          <w:fldChar w:fldCharType="separate"/>
        </w:r>
        <w:r w:rsidR="00386059">
          <w:rPr>
            <w:webHidden/>
          </w:rPr>
          <w:t>ii</w:t>
        </w:r>
        <w:r w:rsidR="002E2B91">
          <w:rPr>
            <w:webHidden/>
          </w:rPr>
          <w:fldChar w:fldCharType="end"/>
        </w:r>
      </w:hyperlink>
    </w:p>
    <w:p w14:paraId="52D48046" w14:textId="4E98A843" w:rsidR="002E2B91" w:rsidRDefault="00AB76A0">
      <w:pPr>
        <w:pStyle w:val="TOC1"/>
        <w:rPr>
          <w:rFonts w:asciiTheme="minorHAnsi" w:eastAsiaTheme="minorEastAsia" w:hAnsiTheme="minorHAnsi" w:cstheme="minorBidi"/>
          <w:b w:val="0"/>
          <w:color w:val="auto"/>
        </w:rPr>
      </w:pPr>
      <w:hyperlink w:anchor="_Toc78902069" w:history="1">
        <w:r w:rsidR="002E2B91" w:rsidRPr="00E331D1">
          <w:rPr>
            <w:rStyle w:val="Hyperlink"/>
          </w:rPr>
          <w:t>Executive Summary</w:t>
        </w:r>
        <w:r w:rsidR="002E2B91">
          <w:rPr>
            <w:webHidden/>
          </w:rPr>
          <w:tab/>
        </w:r>
        <w:r w:rsidR="002E2B91">
          <w:rPr>
            <w:webHidden/>
          </w:rPr>
          <w:fldChar w:fldCharType="begin"/>
        </w:r>
        <w:r w:rsidR="002E2B91">
          <w:rPr>
            <w:webHidden/>
          </w:rPr>
          <w:instrText xml:space="preserve"> PAGEREF _Toc78902069 \h </w:instrText>
        </w:r>
        <w:r w:rsidR="002E2B91">
          <w:rPr>
            <w:webHidden/>
          </w:rPr>
        </w:r>
        <w:r w:rsidR="002E2B91">
          <w:rPr>
            <w:webHidden/>
          </w:rPr>
          <w:fldChar w:fldCharType="separate"/>
        </w:r>
        <w:r w:rsidR="00386059">
          <w:rPr>
            <w:webHidden/>
          </w:rPr>
          <w:t>1</w:t>
        </w:r>
        <w:r w:rsidR="002E2B91">
          <w:rPr>
            <w:webHidden/>
          </w:rPr>
          <w:fldChar w:fldCharType="end"/>
        </w:r>
      </w:hyperlink>
    </w:p>
    <w:p w14:paraId="3D49E31C" w14:textId="1B73A320" w:rsidR="002E2B91" w:rsidRDefault="00AB76A0">
      <w:pPr>
        <w:pStyle w:val="TOC1"/>
        <w:rPr>
          <w:rFonts w:asciiTheme="minorHAnsi" w:eastAsiaTheme="minorEastAsia" w:hAnsiTheme="minorHAnsi" w:cstheme="minorBidi"/>
          <w:b w:val="0"/>
          <w:color w:val="auto"/>
        </w:rPr>
      </w:pPr>
      <w:hyperlink w:anchor="_Toc78902070" w:history="1">
        <w:r w:rsidR="002E2B91" w:rsidRPr="00E331D1">
          <w:rPr>
            <w:rStyle w:val="Hyperlink"/>
          </w:rPr>
          <w:t>Context</w:t>
        </w:r>
        <w:r w:rsidR="002E2B91">
          <w:rPr>
            <w:webHidden/>
          </w:rPr>
          <w:tab/>
        </w:r>
        <w:r w:rsidR="002E2B91">
          <w:rPr>
            <w:webHidden/>
          </w:rPr>
          <w:fldChar w:fldCharType="begin"/>
        </w:r>
        <w:r w:rsidR="002E2B91">
          <w:rPr>
            <w:webHidden/>
          </w:rPr>
          <w:instrText xml:space="preserve"> PAGEREF _Toc78902070 \h </w:instrText>
        </w:r>
        <w:r w:rsidR="002E2B91">
          <w:rPr>
            <w:webHidden/>
          </w:rPr>
        </w:r>
        <w:r w:rsidR="002E2B91">
          <w:rPr>
            <w:webHidden/>
          </w:rPr>
          <w:fldChar w:fldCharType="separate"/>
        </w:r>
        <w:r w:rsidR="00386059">
          <w:rPr>
            <w:webHidden/>
          </w:rPr>
          <w:t>2</w:t>
        </w:r>
        <w:r w:rsidR="002E2B91">
          <w:rPr>
            <w:webHidden/>
          </w:rPr>
          <w:fldChar w:fldCharType="end"/>
        </w:r>
      </w:hyperlink>
    </w:p>
    <w:p w14:paraId="569A6F4E" w14:textId="1533C06E" w:rsidR="002E2B91" w:rsidRDefault="00AB76A0">
      <w:pPr>
        <w:pStyle w:val="TOC1"/>
        <w:rPr>
          <w:rFonts w:asciiTheme="minorHAnsi" w:eastAsiaTheme="minorEastAsia" w:hAnsiTheme="minorHAnsi" w:cstheme="minorBidi"/>
          <w:b w:val="0"/>
          <w:color w:val="auto"/>
        </w:rPr>
      </w:pPr>
      <w:hyperlink w:anchor="_Toc78902071" w:history="1">
        <w:r w:rsidR="002E2B91" w:rsidRPr="00E331D1">
          <w:rPr>
            <w:rStyle w:val="Hyperlink"/>
          </w:rPr>
          <w:t>Vaccination and PHSM Scenarios</w:t>
        </w:r>
        <w:r w:rsidR="002E2B91">
          <w:rPr>
            <w:webHidden/>
          </w:rPr>
          <w:tab/>
        </w:r>
        <w:r w:rsidR="002E2B91">
          <w:rPr>
            <w:webHidden/>
          </w:rPr>
          <w:fldChar w:fldCharType="begin"/>
        </w:r>
        <w:r w:rsidR="002E2B91">
          <w:rPr>
            <w:webHidden/>
          </w:rPr>
          <w:instrText xml:space="preserve"> PAGEREF _Toc78902071 \h </w:instrText>
        </w:r>
        <w:r w:rsidR="002E2B91">
          <w:rPr>
            <w:webHidden/>
          </w:rPr>
        </w:r>
        <w:r w:rsidR="002E2B91">
          <w:rPr>
            <w:webHidden/>
          </w:rPr>
          <w:fldChar w:fldCharType="separate"/>
        </w:r>
        <w:r w:rsidR="00386059">
          <w:rPr>
            <w:webHidden/>
          </w:rPr>
          <w:t>3</w:t>
        </w:r>
        <w:r w:rsidR="002E2B91">
          <w:rPr>
            <w:webHidden/>
          </w:rPr>
          <w:fldChar w:fldCharType="end"/>
        </w:r>
      </w:hyperlink>
    </w:p>
    <w:p w14:paraId="7DACDDC5" w14:textId="62EE3A8C" w:rsidR="002E2B91" w:rsidRDefault="00AB76A0">
      <w:pPr>
        <w:pStyle w:val="TOC2"/>
        <w:rPr>
          <w:rFonts w:asciiTheme="minorHAnsi" w:eastAsiaTheme="minorEastAsia" w:hAnsiTheme="minorHAnsi" w:cstheme="minorBidi"/>
          <w:color w:val="auto"/>
          <w:szCs w:val="22"/>
        </w:rPr>
      </w:pPr>
      <w:hyperlink w:anchor="_Toc78902072" w:history="1">
        <w:r w:rsidR="002E2B91" w:rsidRPr="00E331D1">
          <w:rPr>
            <w:rStyle w:val="Hyperlink"/>
          </w:rPr>
          <w:t>Direct Economic Costs of Public Health and Social Measures</w:t>
        </w:r>
        <w:r w:rsidR="002E2B91">
          <w:rPr>
            <w:webHidden/>
          </w:rPr>
          <w:tab/>
        </w:r>
        <w:r w:rsidR="002E2B91">
          <w:rPr>
            <w:webHidden/>
          </w:rPr>
          <w:fldChar w:fldCharType="begin"/>
        </w:r>
        <w:r w:rsidR="002E2B91">
          <w:rPr>
            <w:webHidden/>
          </w:rPr>
          <w:instrText xml:space="preserve"> PAGEREF _Toc78902072 \h </w:instrText>
        </w:r>
        <w:r w:rsidR="002E2B91">
          <w:rPr>
            <w:webHidden/>
          </w:rPr>
        </w:r>
        <w:r w:rsidR="002E2B91">
          <w:rPr>
            <w:webHidden/>
          </w:rPr>
          <w:fldChar w:fldCharType="separate"/>
        </w:r>
        <w:r w:rsidR="00386059">
          <w:rPr>
            <w:webHidden/>
          </w:rPr>
          <w:t>3</w:t>
        </w:r>
        <w:r w:rsidR="002E2B91">
          <w:rPr>
            <w:webHidden/>
          </w:rPr>
          <w:fldChar w:fldCharType="end"/>
        </w:r>
      </w:hyperlink>
    </w:p>
    <w:p w14:paraId="6BC4D7FC" w14:textId="5536741B" w:rsidR="002E2B91" w:rsidRDefault="00AB76A0">
      <w:pPr>
        <w:pStyle w:val="TOC2"/>
        <w:rPr>
          <w:rFonts w:asciiTheme="minorHAnsi" w:eastAsiaTheme="minorEastAsia" w:hAnsiTheme="minorHAnsi" w:cstheme="minorBidi"/>
          <w:color w:val="auto"/>
          <w:szCs w:val="22"/>
        </w:rPr>
      </w:pPr>
      <w:hyperlink w:anchor="_Toc78902073" w:history="1">
        <w:r w:rsidR="002E2B91" w:rsidRPr="00E331D1">
          <w:rPr>
            <w:rStyle w:val="Hyperlink"/>
          </w:rPr>
          <w:t>Economic Costs Under a Strategy to Minimise Cases</w:t>
        </w:r>
        <w:r w:rsidR="002E2B91">
          <w:rPr>
            <w:webHidden/>
          </w:rPr>
          <w:tab/>
        </w:r>
        <w:r w:rsidR="002E2B91">
          <w:rPr>
            <w:webHidden/>
          </w:rPr>
          <w:fldChar w:fldCharType="begin"/>
        </w:r>
        <w:r w:rsidR="002E2B91">
          <w:rPr>
            <w:webHidden/>
          </w:rPr>
          <w:instrText xml:space="preserve"> PAGEREF _Toc78902073 \h </w:instrText>
        </w:r>
        <w:r w:rsidR="002E2B91">
          <w:rPr>
            <w:webHidden/>
          </w:rPr>
        </w:r>
        <w:r w:rsidR="002E2B91">
          <w:rPr>
            <w:webHidden/>
          </w:rPr>
          <w:fldChar w:fldCharType="separate"/>
        </w:r>
        <w:r w:rsidR="00386059">
          <w:rPr>
            <w:webHidden/>
          </w:rPr>
          <w:t>5</w:t>
        </w:r>
        <w:r w:rsidR="002E2B91">
          <w:rPr>
            <w:webHidden/>
          </w:rPr>
          <w:fldChar w:fldCharType="end"/>
        </w:r>
      </w:hyperlink>
    </w:p>
    <w:p w14:paraId="4D286A1D" w14:textId="19A6373D" w:rsidR="002E2B91" w:rsidRDefault="00AB76A0">
      <w:pPr>
        <w:pStyle w:val="TOC2"/>
        <w:rPr>
          <w:rFonts w:asciiTheme="minorHAnsi" w:eastAsiaTheme="minorEastAsia" w:hAnsiTheme="minorHAnsi" w:cstheme="minorBidi"/>
          <w:color w:val="auto"/>
          <w:szCs w:val="22"/>
        </w:rPr>
      </w:pPr>
      <w:hyperlink w:anchor="_Toc78902076" w:history="1">
        <w:r w:rsidR="002E2B91" w:rsidRPr="00E331D1">
          <w:rPr>
            <w:rStyle w:val="Hyperlink"/>
          </w:rPr>
          <w:t>Economic Costs Under a Managed Transmission Strategy</w:t>
        </w:r>
        <w:r w:rsidR="002E2B91">
          <w:rPr>
            <w:webHidden/>
          </w:rPr>
          <w:tab/>
        </w:r>
        <w:r w:rsidR="002E2B91">
          <w:rPr>
            <w:webHidden/>
          </w:rPr>
          <w:fldChar w:fldCharType="begin"/>
        </w:r>
        <w:r w:rsidR="002E2B91">
          <w:rPr>
            <w:webHidden/>
          </w:rPr>
          <w:instrText xml:space="preserve"> PAGEREF _Toc78902076 \h </w:instrText>
        </w:r>
        <w:r w:rsidR="002E2B91">
          <w:rPr>
            <w:webHidden/>
          </w:rPr>
        </w:r>
        <w:r w:rsidR="002E2B91">
          <w:rPr>
            <w:webHidden/>
          </w:rPr>
          <w:fldChar w:fldCharType="separate"/>
        </w:r>
        <w:r w:rsidR="00386059">
          <w:rPr>
            <w:webHidden/>
          </w:rPr>
          <w:t>9</w:t>
        </w:r>
        <w:r w:rsidR="002E2B91">
          <w:rPr>
            <w:webHidden/>
          </w:rPr>
          <w:fldChar w:fldCharType="end"/>
        </w:r>
      </w:hyperlink>
    </w:p>
    <w:p w14:paraId="227BC516" w14:textId="14457B71" w:rsidR="002E2B91" w:rsidRDefault="00AB76A0">
      <w:pPr>
        <w:pStyle w:val="TOC1"/>
        <w:rPr>
          <w:rFonts w:asciiTheme="minorHAnsi" w:eastAsiaTheme="minorEastAsia" w:hAnsiTheme="minorHAnsi" w:cstheme="minorBidi"/>
          <w:b w:val="0"/>
          <w:color w:val="auto"/>
        </w:rPr>
      </w:pPr>
      <w:hyperlink w:anchor="_Toc78902077" w:history="1">
        <w:r w:rsidR="002E2B91" w:rsidRPr="00E331D1">
          <w:rPr>
            <w:rStyle w:val="Hyperlink"/>
          </w:rPr>
          <w:t>Conclusion</w:t>
        </w:r>
        <w:r w:rsidR="002E2B91">
          <w:rPr>
            <w:webHidden/>
          </w:rPr>
          <w:tab/>
        </w:r>
        <w:r w:rsidR="002E2B91">
          <w:rPr>
            <w:webHidden/>
          </w:rPr>
          <w:fldChar w:fldCharType="begin"/>
        </w:r>
        <w:r w:rsidR="002E2B91">
          <w:rPr>
            <w:webHidden/>
          </w:rPr>
          <w:instrText xml:space="preserve"> PAGEREF _Toc78902077 \h </w:instrText>
        </w:r>
        <w:r w:rsidR="002E2B91">
          <w:rPr>
            <w:webHidden/>
          </w:rPr>
        </w:r>
        <w:r w:rsidR="002E2B91">
          <w:rPr>
            <w:webHidden/>
          </w:rPr>
          <w:fldChar w:fldCharType="separate"/>
        </w:r>
        <w:r w:rsidR="00386059">
          <w:rPr>
            <w:webHidden/>
          </w:rPr>
          <w:t>11</w:t>
        </w:r>
        <w:r w:rsidR="002E2B91">
          <w:rPr>
            <w:webHidden/>
          </w:rPr>
          <w:fldChar w:fldCharType="end"/>
        </w:r>
      </w:hyperlink>
    </w:p>
    <w:p w14:paraId="0234DCA8" w14:textId="078BFDAE" w:rsidR="00F836F9" w:rsidRDefault="00296DFD" w:rsidP="0056582C">
      <w:pPr>
        <w:pStyle w:val="SingleParagraph"/>
        <w:ind w:right="-2"/>
        <w:sectPr w:rsidR="00F836F9" w:rsidSect="003C24B4">
          <w:headerReference w:type="even" r:id="rId17"/>
          <w:headerReference w:type="default" r:id="rId18"/>
          <w:footerReference w:type="even" r:id="rId19"/>
          <w:headerReference w:type="first" r:id="rId20"/>
          <w:footerReference w:type="first" r:id="rId21"/>
          <w:pgSz w:w="11906" w:h="16838" w:code="9"/>
          <w:pgMar w:top="1418" w:right="1418" w:bottom="1418" w:left="1418" w:header="709" w:footer="709" w:gutter="0"/>
          <w:pgNumType w:fmt="lowerRoman"/>
          <w:cols w:space="708"/>
          <w:docGrid w:linePitch="360"/>
        </w:sectPr>
      </w:pPr>
      <w:r>
        <w:rPr>
          <w:b/>
          <w:noProof/>
          <w:color w:val="004A7F"/>
          <w:szCs w:val="22"/>
        </w:rPr>
        <w:fldChar w:fldCharType="end"/>
      </w:r>
    </w:p>
    <w:p w14:paraId="522D5D1E" w14:textId="00F07105" w:rsidR="006C5B73" w:rsidRDefault="007F40C8" w:rsidP="006C5B73">
      <w:pPr>
        <w:pStyle w:val="Heading1"/>
      </w:pPr>
      <w:bookmarkStart w:id="3" w:name="_Toc432067104"/>
      <w:bookmarkStart w:id="4" w:name="_Toc452635031"/>
      <w:bookmarkStart w:id="5" w:name="_Toc78902069"/>
      <w:bookmarkEnd w:id="1"/>
      <w:bookmarkEnd w:id="2"/>
      <w:r>
        <w:t xml:space="preserve">Executive </w:t>
      </w:r>
      <w:r w:rsidR="006C5B73" w:rsidRPr="00A524B9">
        <w:t>Summary</w:t>
      </w:r>
      <w:bookmarkEnd w:id="3"/>
      <w:bookmarkEnd w:id="4"/>
      <w:bookmarkEnd w:id="5"/>
    </w:p>
    <w:p w14:paraId="2631A065" w14:textId="20F52A9F" w:rsidR="007F40C8" w:rsidRDefault="007F40C8" w:rsidP="00630C6F">
      <w:r>
        <w:t xml:space="preserve">The Doherty Institute prepared a report for the 30 July </w:t>
      </w:r>
      <w:r w:rsidR="008A67D1">
        <w:t xml:space="preserve">2021 </w:t>
      </w:r>
      <w:r>
        <w:t>National Cabinet meeting assessing the impact of different levels of community vaccination on the transmission potential of the Delta variant of COVID</w:t>
      </w:r>
      <w:r w:rsidR="00F54789">
        <w:noBreakHyphen/>
      </w:r>
      <w:r>
        <w:t>19</w:t>
      </w:r>
      <w:r w:rsidR="00106C35">
        <w:t xml:space="preserve">. </w:t>
      </w:r>
      <w:r>
        <w:t xml:space="preserve">It also considered the impact of applying different </w:t>
      </w:r>
      <w:r w:rsidR="00F54789">
        <w:t>‘</w:t>
      </w:r>
      <w:r>
        <w:t>bundles</w:t>
      </w:r>
      <w:r w:rsidR="00F54789">
        <w:t>’</w:t>
      </w:r>
      <w:r>
        <w:t xml:space="preserve"> of Public Health and Social Measures (PHSM), including lockdowns.</w:t>
      </w:r>
    </w:p>
    <w:p w14:paraId="58E2FD82" w14:textId="1C12A1BF" w:rsidR="007F40C8" w:rsidRDefault="007F40C8" w:rsidP="00630C6F">
      <w:r>
        <w:t>In this paper, Treasury estimates the direct economic costs of the COVID</w:t>
      </w:r>
      <w:r w:rsidR="00F54789">
        <w:noBreakHyphen/>
      </w:r>
      <w:r>
        <w:t xml:space="preserve">19 management strategies modelled by </w:t>
      </w:r>
      <w:r w:rsidR="001B204A">
        <w:t xml:space="preserve">the </w:t>
      </w:r>
      <w:r>
        <w:t>Doherty</w:t>
      </w:r>
      <w:r w:rsidR="001B204A">
        <w:t xml:space="preserve"> Institute</w:t>
      </w:r>
      <w:r>
        <w:t>. The Doherty Institute</w:t>
      </w:r>
      <w:r w:rsidR="00F54789">
        <w:t>’</w:t>
      </w:r>
      <w:r>
        <w:t>s estimates of the length of time PHSM</w:t>
      </w:r>
      <w:r w:rsidR="0061742C">
        <w:t xml:space="preserve">s </w:t>
      </w:r>
      <w:r>
        <w:t xml:space="preserve">are required under different virus management strategies have been combined with estimates of the direct economic costs of </w:t>
      </w:r>
      <w:r w:rsidR="006573E9">
        <w:t xml:space="preserve">the </w:t>
      </w:r>
      <w:r>
        <w:t xml:space="preserve">four </w:t>
      </w:r>
      <w:r w:rsidR="0061742C">
        <w:t xml:space="preserve">levels of </w:t>
      </w:r>
      <w:r>
        <w:t xml:space="preserve">PHSM, and an assumed frequency and pattern of outbreaks under the Delta variant. </w:t>
      </w:r>
    </w:p>
    <w:p w14:paraId="1724549F" w14:textId="77777777" w:rsidR="007F40C8" w:rsidRDefault="007F40C8" w:rsidP="00630C6F">
      <w:r>
        <w:t xml:space="preserve">The key findings of this analysis are as follows: </w:t>
      </w:r>
    </w:p>
    <w:p w14:paraId="67CF1CEB" w14:textId="4FCF9C71" w:rsidR="007F40C8" w:rsidRDefault="007F40C8" w:rsidP="007F40C8">
      <w:pPr>
        <w:pStyle w:val="Bullet"/>
        <w:numPr>
          <w:ilvl w:val="0"/>
          <w:numId w:val="19"/>
        </w:numPr>
        <w:spacing w:after="160" w:line="259" w:lineRule="auto"/>
      </w:pPr>
      <w:r>
        <w:t xml:space="preserve">Continuing to </w:t>
      </w:r>
      <w:r w:rsidR="000930F6">
        <w:t xml:space="preserve">minimise </w:t>
      </w:r>
      <w:r>
        <w:t>the number of COVID</w:t>
      </w:r>
      <w:r w:rsidR="00F54789">
        <w:noBreakHyphen/>
      </w:r>
      <w:r>
        <w:t>19 cases, by taking early and strong action in response to outbreaks</w:t>
      </w:r>
      <w:r w:rsidR="00BF359A">
        <w:t xml:space="preserve"> of the Delta variant</w:t>
      </w:r>
      <w:r>
        <w:t xml:space="preserve">, is consistently more cost effective than allowing higher levels of community transmission, which ultimately requires longer and more costly lockdowns. </w:t>
      </w:r>
    </w:p>
    <w:p w14:paraId="0F955650" w14:textId="606181EF" w:rsidR="007F40C8" w:rsidRPr="002F6DF8" w:rsidRDefault="007F40C8" w:rsidP="007F40C8">
      <w:pPr>
        <w:pStyle w:val="Bullet"/>
        <w:numPr>
          <w:ilvl w:val="0"/>
          <w:numId w:val="19"/>
        </w:numPr>
        <w:spacing w:after="160" w:line="259" w:lineRule="auto"/>
      </w:pPr>
      <w:r>
        <w:t xml:space="preserve">As vaccination rates rise, significantly less lockdowns and other restrictions will be required to continue </w:t>
      </w:r>
      <w:r w:rsidR="000930F6">
        <w:t xml:space="preserve">to minimise cases of </w:t>
      </w:r>
      <w:r>
        <w:t>COVID</w:t>
      </w:r>
      <w:r w:rsidR="00F54789">
        <w:noBreakHyphen/>
      </w:r>
      <w:r>
        <w:t>19, reducing the economic cost of managing the virus</w:t>
      </w:r>
      <w:r w:rsidR="00106C35">
        <w:t xml:space="preserve">. </w:t>
      </w:r>
    </w:p>
    <w:p w14:paraId="6F1D06F6" w14:textId="1C9C1947" w:rsidR="007F40C8" w:rsidRPr="00FD5A8F" w:rsidRDefault="007F40C8" w:rsidP="007F40C8">
      <w:pPr>
        <w:pStyle w:val="Dash"/>
        <w:numPr>
          <w:ilvl w:val="1"/>
          <w:numId w:val="19"/>
        </w:numPr>
        <w:spacing w:after="160" w:line="259" w:lineRule="auto"/>
      </w:pPr>
      <w:r w:rsidRPr="00F235F7">
        <w:rPr>
          <w:rFonts w:cstheme="minorHAnsi"/>
        </w:rPr>
        <w:t xml:space="preserve">Moderate or strict lockdowns are </w:t>
      </w:r>
      <w:r>
        <w:rPr>
          <w:rFonts w:cstheme="minorHAnsi"/>
        </w:rPr>
        <w:t xml:space="preserve">still expected to be </w:t>
      </w:r>
      <w:r w:rsidRPr="00F235F7">
        <w:rPr>
          <w:rFonts w:cstheme="minorHAnsi"/>
        </w:rPr>
        <w:t xml:space="preserve">necessary </w:t>
      </w:r>
      <w:r>
        <w:rPr>
          <w:rFonts w:cstheme="minorHAnsi"/>
        </w:rPr>
        <w:t xml:space="preserve">to continue </w:t>
      </w:r>
      <w:r w:rsidR="009965F3">
        <w:rPr>
          <w:rFonts w:cstheme="minorHAnsi"/>
        </w:rPr>
        <w:t xml:space="preserve">minimising </w:t>
      </w:r>
      <w:r>
        <w:rPr>
          <w:rFonts w:cstheme="minorHAnsi"/>
        </w:rPr>
        <w:t xml:space="preserve">outbreaks </w:t>
      </w:r>
      <w:r w:rsidRPr="00F235F7">
        <w:rPr>
          <w:rFonts w:cstheme="minorHAnsi"/>
        </w:rPr>
        <w:t>until Australia reaches 70 per cent vaccination rates</w:t>
      </w:r>
      <w:r w:rsidR="0061742C">
        <w:rPr>
          <w:rFonts w:cstheme="minorHAnsi"/>
        </w:rPr>
        <w:t xml:space="preserve"> for Australian adults (16+)</w:t>
      </w:r>
      <w:r>
        <w:rPr>
          <w:rFonts w:cstheme="minorHAnsi"/>
        </w:rPr>
        <w:t>. As a result, the costs of managing COVID</w:t>
      </w:r>
      <w:r w:rsidR="00F54789">
        <w:rPr>
          <w:rFonts w:cstheme="minorHAnsi"/>
        </w:rPr>
        <w:noBreakHyphen/>
      </w:r>
      <w:r>
        <w:rPr>
          <w:rFonts w:cstheme="minorHAnsi"/>
        </w:rPr>
        <w:t>19 will remain high</w:t>
      </w:r>
      <w:r w:rsidR="00B44691">
        <w:rPr>
          <w:rFonts w:cstheme="minorHAnsi"/>
        </w:rPr>
        <w:t>.</w:t>
      </w:r>
    </w:p>
    <w:p w14:paraId="47A10BA5" w14:textId="0C61B8E6" w:rsidR="007F40C8" w:rsidRDefault="007F40C8" w:rsidP="007F40C8">
      <w:pPr>
        <w:pStyle w:val="DoubleDot"/>
        <w:numPr>
          <w:ilvl w:val="2"/>
          <w:numId w:val="19"/>
        </w:numPr>
        <w:spacing w:after="160" w:line="259" w:lineRule="auto"/>
      </w:pPr>
      <w:r>
        <w:t xml:space="preserve">At 50 per cent vaccination rates, </w:t>
      </w:r>
      <w:r w:rsidR="0040598A" w:rsidRPr="0040598A">
        <w:t xml:space="preserve">and based on the assumptions outlined in this </w:t>
      </w:r>
      <w:r w:rsidR="000138B1">
        <w:t>paper</w:t>
      </w:r>
      <w:r w:rsidR="0040598A" w:rsidRPr="0040598A">
        <w:t xml:space="preserve">, </w:t>
      </w:r>
      <w:r>
        <w:t xml:space="preserve">the direct economic cost of </w:t>
      </w:r>
      <w:r w:rsidR="00E944E0">
        <w:t xml:space="preserve">minimising cases </w:t>
      </w:r>
      <w:r>
        <w:t xml:space="preserve">is estimated to be around $570m per week. At 60 per cent, the estimated cost remains high, but falls to around $430m per week. </w:t>
      </w:r>
    </w:p>
    <w:p w14:paraId="08489196" w14:textId="1BFF0787" w:rsidR="007F40C8" w:rsidRDefault="007F40C8" w:rsidP="007F40C8">
      <w:pPr>
        <w:pStyle w:val="Dash"/>
        <w:numPr>
          <w:ilvl w:val="1"/>
          <w:numId w:val="19"/>
        </w:numPr>
        <w:spacing w:after="160" w:line="259" w:lineRule="auto"/>
      </w:pPr>
      <w:r>
        <w:t xml:space="preserve">Once 70 per cent of Australian adults (16+) are vaccinated, </w:t>
      </w:r>
      <w:r w:rsidR="0040598A" w:rsidRPr="0040598A">
        <w:t>and assuming the spread of COVID</w:t>
      </w:r>
      <w:r w:rsidR="00F54789">
        <w:noBreakHyphen/>
      </w:r>
      <w:r w:rsidR="0040598A" w:rsidRPr="0040598A">
        <w:t xml:space="preserve">19 </w:t>
      </w:r>
      <w:r w:rsidR="0095554E">
        <w:t>is minimised</w:t>
      </w:r>
      <w:r w:rsidR="0040598A" w:rsidRPr="0040598A">
        <w:t>,</w:t>
      </w:r>
      <w:r w:rsidR="0040598A">
        <w:t xml:space="preserve"> </w:t>
      </w:r>
      <w:r>
        <w:t xml:space="preserve">it is expected that outbreaks </w:t>
      </w:r>
      <w:r w:rsidR="004E49CB">
        <w:t>can</w:t>
      </w:r>
      <w:r>
        <w:t xml:space="preserve"> be </w:t>
      </w:r>
      <w:r w:rsidR="0040598A">
        <w:t xml:space="preserve">contained </w:t>
      </w:r>
      <w:r>
        <w:t xml:space="preserve">using only </w:t>
      </w:r>
      <w:r w:rsidR="00E95732">
        <w:t xml:space="preserve">low level </w:t>
      </w:r>
      <w:r>
        <w:t>restrictions, with lockdowns unlikely to be necessary. This will significantly reduce the expected economic cost of COVID</w:t>
      </w:r>
      <w:r w:rsidR="00F54789">
        <w:noBreakHyphen/>
      </w:r>
      <w:r>
        <w:t xml:space="preserve">19 management to around $200m per week. </w:t>
      </w:r>
    </w:p>
    <w:p w14:paraId="6305D665" w14:textId="2783123B" w:rsidR="007F40C8" w:rsidRDefault="007F40C8" w:rsidP="007F40C8">
      <w:pPr>
        <w:pStyle w:val="Dash"/>
        <w:numPr>
          <w:ilvl w:val="1"/>
          <w:numId w:val="19"/>
        </w:numPr>
        <w:spacing w:after="160" w:line="259" w:lineRule="auto"/>
      </w:pPr>
      <w:r>
        <w:t>At 80 per cent vaccination rates, these direct economic costs are expected to fall further still, to around $140m per week</w:t>
      </w:r>
      <w:r w:rsidR="00786100">
        <w:t>, and costs are lower under all scenarios</w:t>
      </w:r>
      <w:r>
        <w:t xml:space="preserve">. </w:t>
      </w:r>
    </w:p>
    <w:p w14:paraId="71FED5A7" w14:textId="06B49922" w:rsidR="007F40C8" w:rsidRPr="00532B5B" w:rsidRDefault="007F40C8" w:rsidP="007F40C8">
      <w:pPr>
        <w:pStyle w:val="Bullet"/>
        <w:numPr>
          <w:ilvl w:val="0"/>
          <w:numId w:val="19"/>
        </w:numPr>
        <w:spacing w:after="160" w:line="259" w:lineRule="auto"/>
        <w:rPr>
          <w:b/>
          <w:bCs/>
          <w:u w:val="single"/>
        </w:rPr>
      </w:pPr>
      <w:r>
        <w:t xml:space="preserve">Treasury has not modelled the economic costs of a severe and widespread outbreak that breaches </w:t>
      </w:r>
      <w:r w:rsidR="002738D3">
        <w:t>Australia</w:t>
      </w:r>
      <w:r w:rsidR="00F54789">
        <w:t>’</w:t>
      </w:r>
      <w:r w:rsidR="002738D3">
        <w:t xml:space="preserve">s </w:t>
      </w:r>
      <w:r>
        <w:t xml:space="preserve">health system capacity. </w:t>
      </w:r>
      <w:r w:rsidR="00786100">
        <w:t>I</w:t>
      </w:r>
      <w:r>
        <w:t xml:space="preserve">t is expected that </w:t>
      </w:r>
      <w:r w:rsidR="00786100" w:rsidRPr="00786100">
        <w:t>such a situation</w:t>
      </w:r>
      <w:r>
        <w:t xml:space="preserve"> would carry very significant economic costs. International experience indicates that it would lead to significant behavioural changes regardless of the level of official restrictions, and longer outbreaks.</w:t>
      </w:r>
    </w:p>
    <w:p w14:paraId="29952614" w14:textId="77777777" w:rsidR="007F40C8" w:rsidRPr="008352FC" w:rsidRDefault="007F40C8" w:rsidP="007F40C8">
      <w:pPr>
        <w:pStyle w:val="Heading1"/>
      </w:pPr>
      <w:r>
        <w:br w:type="page"/>
      </w:r>
      <w:bookmarkStart w:id="6" w:name="_Toc78902070"/>
      <w:bookmarkStart w:id="7" w:name="_Hlk78379811"/>
      <w:r w:rsidRPr="008352FC">
        <w:t>Context</w:t>
      </w:r>
      <w:bookmarkEnd w:id="6"/>
    </w:p>
    <w:bookmarkEnd w:id="7"/>
    <w:p w14:paraId="59E289A8" w14:textId="68FC04F6" w:rsidR="007F40C8" w:rsidRDefault="007F40C8" w:rsidP="00630C6F">
      <w:r>
        <w:t xml:space="preserve">The Doherty Institute </w:t>
      </w:r>
      <w:r w:rsidR="00786100">
        <w:t xml:space="preserve">paper </w:t>
      </w:r>
      <w:r>
        <w:t xml:space="preserve">presents a range of scenarios around the likely transmission of the Delta variant through the Australian community at different national vaccination rates under both a </w:t>
      </w:r>
      <w:r w:rsidR="00794381">
        <w:t xml:space="preserve">suppression </w:t>
      </w:r>
      <w:r>
        <w:t xml:space="preserve">strategy </w:t>
      </w:r>
      <w:r w:rsidR="00794381">
        <w:t xml:space="preserve">(referred to </w:t>
      </w:r>
      <w:r w:rsidR="004C6DA1">
        <w:t>throughout</w:t>
      </w:r>
      <w:r w:rsidR="00794381">
        <w:t xml:space="preserve"> this</w:t>
      </w:r>
      <w:r w:rsidR="003C4A78">
        <w:t xml:space="preserve"> </w:t>
      </w:r>
      <w:r w:rsidR="00BA0705">
        <w:t xml:space="preserve">paper </w:t>
      </w:r>
      <w:r w:rsidR="00794381">
        <w:t xml:space="preserve">as </w:t>
      </w:r>
      <w:r w:rsidR="00E311E0">
        <w:t>a</w:t>
      </w:r>
      <w:r w:rsidR="00E27647">
        <w:t xml:space="preserve"> case minimisation strategy</w:t>
      </w:r>
      <w:r w:rsidR="00794381">
        <w:t>)</w:t>
      </w:r>
      <w:r w:rsidR="00273CEE">
        <w:t xml:space="preserve"> </w:t>
      </w:r>
      <w:r>
        <w:t xml:space="preserve">and a managed transmission strategy. </w:t>
      </w:r>
    </w:p>
    <w:p w14:paraId="62C7DB4E" w14:textId="420156EC" w:rsidR="007F40C8" w:rsidRDefault="007F40C8" w:rsidP="00630C6F">
      <w:r>
        <w:t xml:space="preserve">Under the </w:t>
      </w:r>
      <w:r w:rsidR="000E3515">
        <w:t>case</w:t>
      </w:r>
      <w:r w:rsidR="007550C3">
        <w:t xml:space="preserve"> minimisation strategy</w:t>
      </w:r>
      <w:r>
        <w:t xml:space="preserve">, </w:t>
      </w:r>
      <w:r w:rsidR="00786100">
        <w:t xml:space="preserve">the </w:t>
      </w:r>
      <w:r>
        <w:t xml:space="preserve">Doherty </w:t>
      </w:r>
      <w:r w:rsidR="00786100">
        <w:t xml:space="preserve">Institute </w:t>
      </w:r>
      <w:r>
        <w:t xml:space="preserve">assume community transmission is limited and case numbers remain low, allowing for optimal performance of Track, Trace, Isolate and Quarantine (TTIQ) capacity. Under the managed transmission strategy, </w:t>
      </w:r>
      <w:r w:rsidR="00786100">
        <w:t xml:space="preserve">the </w:t>
      </w:r>
      <w:r>
        <w:t xml:space="preserve">Doherty </w:t>
      </w:r>
      <w:r w:rsidR="00786100">
        <w:t xml:space="preserve">Institute </w:t>
      </w:r>
      <w:r>
        <w:t xml:space="preserve">assumes </w:t>
      </w:r>
      <w:r w:rsidR="00786100">
        <w:t>ongoing</w:t>
      </w:r>
      <w:r>
        <w:t xml:space="preserve"> community transmission, resulting in only partially effective TTIQ capacity. </w:t>
      </w:r>
    </w:p>
    <w:p w14:paraId="2835210B" w14:textId="1E1351CD" w:rsidR="007F40C8" w:rsidRDefault="00575E10" w:rsidP="00630C6F">
      <w:r>
        <w:t xml:space="preserve">The </w:t>
      </w:r>
      <w:r w:rsidR="007F40C8">
        <w:t>Doherty</w:t>
      </w:r>
      <w:r>
        <w:t xml:space="preserve"> Institute</w:t>
      </w:r>
      <w:r w:rsidR="007F40C8">
        <w:t xml:space="preserve"> identifies a range of additional health interventions, presented as low, medium and high PHSM </w:t>
      </w:r>
      <w:r w:rsidR="00F54789">
        <w:t>‘</w:t>
      </w:r>
      <w:r w:rsidR="007F40C8">
        <w:t>bundles</w:t>
      </w:r>
      <w:r w:rsidR="00F54789">
        <w:t>’</w:t>
      </w:r>
      <w:r w:rsidR="00154D5E">
        <w:t>,</w:t>
      </w:r>
      <w:r w:rsidR="007F40C8">
        <w:t xml:space="preserve"> necessary to further restrict the spread of the virus under different scenarios in order to either </w:t>
      </w:r>
      <w:r w:rsidR="00D61BC8">
        <w:t xml:space="preserve">minimise cases of </w:t>
      </w:r>
      <w:r w:rsidR="007F40C8">
        <w:t xml:space="preserve">the virus or keep cases </w:t>
      </w:r>
      <w:r w:rsidR="00132293">
        <w:t xml:space="preserve">within </w:t>
      </w:r>
      <w:r w:rsidR="007F40C8">
        <w:t>health sector capacity.</w:t>
      </w:r>
    </w:p>
    <w:p w14:paraId="7F8FF8B9" w14:textId="2C1950DD" w:rsidR="007F40C8" w:rsidRDefault="007F40C8" w:rsidP="00630C6F">
      <w:r>
        <w:t>Treasury has estimated the direct economic costs of the different approaches identified by</w:t>
      </w:r>
      <w:r w:rsidR="00575E10">
        <w:t xml:space="preserve"> the</w:t>
      </w:r>
      <w:r>
        <w:t xml:space="preserve"> Doherty</w:t>
      </w:r>
      <w:r w:rsidR="00575E10">
        <w:t xml:space="preserve"> Institute</w:t>
      </w:r>
      <w:r>
        <w:t>. Es</w:t>
      </w:r>
      <w:r w:rsidRPr="0087784C">
        <w:t>timated costs include</w:t>
      </w:r>
      <w:r>
        <w:t xml:space="preserve"> </w:t>
      </w:r>
      <w:r w:rsidRPr="0087784C">
        <w:t xml:space="preserve">the direct impacts of activity restrictions and lockdowns used to </w:t>
      </w:r>
      <w:r>
        <w:t xml:space="preserve">manage the virus and </w:t>
      </w:r>
      <w:r w:rsidRPr="0087784C">
        <w:t>contain outbreaks.</w:t>
      </w:r>
      <w:r>
        <w:t xml:space="preserve"> The expected costs of activity restrictions and lockdowns </w:t>
      </w:r>
      <w:r w:rsidR="00C33846">
        <w:t xml:space="preserve">are </w:t>
      </w:r>
      <w:r>
        <w:t>calculated as the expected average weekly cost of applying the relevant bundle of PHSM</w:t>
      </w:r>
      <w:r w:rsidR="00F54789">
        <w:t>’</w:t>
      </w:r>
      <w:r>
        <w:t xml:space="preserve">s multiplied by the expected time and coverage of the measures as estimated by </w:t>
      </w:r>
      <w:r w:rsidR="00C33846">
        <w:t xml:space="preserve">the </w:t>
      </w:r>
      <w:r>
        <w:t>Doherty</w:t>
      </w:r>
      <w:r w:rsidR="00C33846">
        <w:t xml:space="preserve"> Institute</w:t>
      </w:r>
      <w:r>
        <w:t>.</w:t>
      </w:r>
      <w:r w:rsidR="00CC2473">
        <w:t xml:space="preserve"> </w:t>
      </w:r>
      <w:r>
        <w:t xml:space="preserve">This analysis is all based on the </w:t>
      </w:r>
      <w:r w:rsidR="00F54789">
        <w:t>‘</w:t>
      </w:r>
      <w:r>
        <w:t>All adults</w:t>
      </w:r>
      <w:r w:rsidR="00C33846">
        <w:t xml:space="preserve"> (16+)</w:t>
      </w:r>
      <w:r w:rsidR="00F54789">
        <w:t>’</w:t>
      </w:r>
      <w:r>
        <w:t xml:space="preserve"> vaccination strategy as outlined by </w:t>
      </w:r>
      <w:r w:rsidR="00C33846">
        <w:t xml:space="preserve">the </w:t>
      </w:r>
      <w:r>
        <w:t>Doherty</w:t>
      </w:r>
      <w:r w:rsidR="00C33846">
        <w:t xml:space="preserve"> Institute</w:t>
      </w:r>
      <w:r>
        <w:t xml:space="preserve">. </w:t>
      </w:r>
    </w:p>
    <w:p w14:paraId="5145C6C5" w14:textId="1760F0D7" w:rsidR="007F40C8" w:rsidRPr="0031595B" w:rsidRDefault="007F40C8" w:rsidP="00630C6F">
      <w:r>
        <w:t xml:space="preserve">The impact figures reported do </w:t>
      </w:r>
      <w:r w:rsidRPr="0031595B">
        <w:t xml:space="preserve">not include a range of impacts including indirect confidence effects </w:t>
      </w:r>
      <w:r>
        <w:t>of improving certainty and reopening</w:t>
      </w:r>
      <w:r w:rsidRPr="0031595B">
        <w:t xml:space="preserve">; dynamic effects (such as labour market scarring); </w:t>
      </w:r>
      <w:r w:rsidR="00B7233F">
        <w:t xml:space="preserve">social costs; </w:t>
      </w:r>
      <w:r w:rsidRPr="0031595B">
        <w:t>the economic costs of illness and death; and fiscal costs.</w:t>
      </w:r>
    </w:p>
    <w:p w14:paraId="7CE74D41" w14:textId="2197B00B" w:rsidR="007F40C8" w:rsidRDefault="007F40C8" w:rsidP="00630C6F">
      <w:r>
        <w:t>The analysis does not cover a case where COVID</w:t>
      </w:r>
      <w:r w:rsidR="00F54789">
        <w:noBreakHyphen/>
      </w:r>
      <w:r>
        <w:t xml:space="preserve">19 is allowed to move through the community to the point where national health system capacity is breached. However, a severe and widespread outbreak of this kind, with large numbers of death and hospitalisations such as has been seen in other countries, could be expected to lead to significant behavioural changes that significantly constrain economic activity, regardless of the level of official restrictions. </w:t>
      </w:r>
    </w:p>
    <w:p w14:paraId="508BA0B6" w14:textId="79C259C1" w:rsidR="007F40C8" w:rsidRDefault="007F40C8" w:rsidP="00630C6F">
      <w:r>
        <w:t>Analysis of differential policies across US states found that 90 per cent of the reduction in foot traffic was due to behavioural change rather than restrictions. Similarly, comparison of consumer spending trends in Denmark, which imposed heavy restrictions, and Sweden, which did not, indicates that 87</w:t>
      </w:r>
      <w:r w:rsidR="005113BA">
        <w:t> </w:t>
      </w:r>
      <w:r>
        <w:t>per cent of the reduction in consumer spending was behavioural.</w:t>
      </w:r>
      <w:r>
        <w:rPr>
          <w:rStyle w:val="FootnoteReference"/>
        </w:rPr>
        <w:footnoteReference w:id="2"/>
      </w:r>
      <w:r>
        <w:t xml:space="preserve"> </w:t>
      </w:r>
    </w:p>
    <w:p w14:paraId="17A147C0" w14:textId="518AE011" w:rsidR="007F40C8" w:rsidRDefault="007F40C8" w:rsidP="00630C6F">
      <w:r>
        <w:t xml:space="preserve">An unmitigated health crisis would also harm the economy more broadly by severely </w:t>
      </w:r>
      <w:r w:rsidR="003B4E94">
        <w:t>affecting</w:t>
      </w:r>
      <w:r>
        <w:t xml:space="preserve"> consumer and business confidence</w:t>
      </w:r>
      <w:r w:rsidR="00106C35">
        <w:t xml:space="preserve">. </w:t>
      </w:r>
      <w:r>
        <w:t xml:space="preserve">It is expected that the economic and health related costs of such a scenario would exceed the costs of the most severe lockdown scenarios modelled. </w:t>
      </w:r>
    </w:p>
    <w:p w14:paraId="503A7879" w14:textId="77777777" w:rsidR="007F40C8" w:rsidRPr="00BF3109" w:rsidRDefault="007F40C8" w:rsidP="005F4BFA">
      <w:pPr>
        <w:pStyle w:val="Heading1"/>
        <w:pageBreakBefore/>
      </w:pPr>
      <w:bookmarkStart w:id="8" w:name="_Toc78902071"/>
      <w:r w:rsidRPr="00BF3109">
        <w:t>Vaccination and PHSM Scenarios</w:t>
      </w:r>
      <w:bookmarkEnd w:id="8"/>
    </w:p>
    <w:p w14:paraId="6E2C9717" w14:textId="79CAD29C" w:rsidR="007F40C8" w:rsidRPr="002F6DF8" w:rsidRDefault="00506E2C" w:rsidP="00630C6F">
      <w:r>
        <w:t xml:space="preserve">The </w:t>
      </w:r>
      <w:r w:rsidR="007F40C8">
        <w:t xml:space="preserve">Doherty </w:t>
      </w:r>
      <w:r>
        <w:t xml:space="preserve">Institute </w:t>
      </w:r>
      <w:r w:rsidR="007F40C8">
        <w:t>presents results on the combined effects of vaccination and PHSM scenarios on COVID</w:t>
      </w:r>
      <w:r w:rsidR="00F54789">
        <w:noBreakHyphen/>
      </w:r>
      <w:r w:rsidR="007F40C8">
        <w:t xml:space="preserve">19 transmission potential under a strategy </w:t>
      </w:r>
      <w:r w:rsidR="00FD373A">
        <w:t xml:space="preserve">to minimise cases </w:t>
      </w:r>
      <w:r w:rsidR="007F40C8">
        <w:t>and under</w:t>
      </w:r>
      <w:r w:rsidR="00864E4F">
        <w:t xml:space="preserve"> a strategy of</w:t>
      </w:r>
      <w:r w:rsidR="007F40C8">
        <w:t xml:space="preserve"> managed transmission. These results show that as vaccination rates rise, less stringent lockdowns and other restrictions are required to manage COVID</w:t>
      </w:r>
      <w:r w:rsidR="00F54789">
        <w:noBreakHyphen/>
      </w:r>
      <w:r w:rsidR="007F40C8">
        <w:t>19</w:t>
      </w:r>
      <w:r w:rsidR="00106C35">
        <w:t xml:space="preserve">. </w:t>
      </w:r>
    </w:p>
    <w:p w14:paraId="3FAD4517" w14:textId="32ADF6C5" w:rsidR="007F40C8" w:rsidRPr="00A561C5" w:rsidRDefault="007F40C8" w:rsidP="00BF0C37">
      <w:pPr>
        <w:pStyle w:val="TableMainHeading"/>
      </w:pPr>
      <w:r w:rsidRPr="00A561C5">
        <w:t>Table</w:t>
      </w:r>
      <w:r>
        <w:t xml:space="preserve"> 1</w:t>
      </w:r>
      <w:r w:rsidRPr="00A561C5">
        <w:t xml:space="preserve">: </w:t>
      </w:r>
      <w:r>
        <w:t xml:space="preserve"> </w:t>
      </w:r>
      <w:r w:rsidR="00695D0D">
        <w:t xml:space="preserve">The </w:t>
      </w:r>
      <w:r>
        <w:t>Doherty Institute scenarios that Treasury has analysed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74"/>
        <w:gridCol w:w="3392"/>
        <w:gridCol w:w="3394"/>
      </w:tblGrid>
      <w:tr w:rsidR="007F40C8" w:rsidRPr="00A561C5" w14:paraId="520478E5" w14:textId="77777777" w:rsidTr="007F40C8">
        <w:trPr>
          <w:trHeight w:val="20"/>
        </w:trPr>
        <w:tc>
          <w:tcPr>
            <w:tcW w:w="1255" w:type="pct"/>
            <w:shd w:val="clear" w:color="auto" w:fill="auto"/>
            <w:tcMar>
              <w:top w:w="72" w:type="dxa"/>
              <w:left w:w="144" w:type="dxa"/>
              <w:bottom w:w="72" w:type="dxa"/>
              <w:right w:w="144" w:type="dxa"/>
            </w:tcMar>
            <w:hideMark/>
          </w:tcPr>
          <w:p w14:paraId="75406762" w14:textId="77777777" w:rsidR="007F40C8" w:rsidRPr="00C40E8F" w:rsidRDefault="007F40C8" w:rsidP="005113BA">
            <w:pPr>
              <w:pStyle w:val="TableColumnHeadingLeft"/>
            </w:pPr>
            <w:r w:rsidRPr="00C40E8F">
              <w:t>Vaccination rate</w:t>
            </w:r>
          </w:p>
        </w:tc>
        <w:tc>
          <w:tcPr>
            <w:tcW w:w="1872" w:type="pct"/>
            <w:shd w:val="clear" w:color="auto" w:fill="auto"/>
            <w:tcMar>
              <w:top w:w="72" w:type="dxa"/>
              <w:left w:w="144" w:type="dxa"/>
              <w:bottom w:w="72" w:type="dxa"/>
              <w:right w:w="144" w:type="dxa"/>
            </w:tcMar>
            <w:hideMark/>
          </w:tcPr>
          <w:p w14:paraId="42CB073F" w14:textId="41B6AB27" w:rsidR="007F40C8" w:rsidRPr="00C40E8F" w:rsidRDefault="006C3E58" w:rsidP="005113BA">
            <w:pPr>
              <w:pStyle w:val="TableColumnHeadingLeft"/>
            </w:pPr>
            <w:r>
              <w:rPr>
                <w:bCs/>
              </w:rPr>
              <w:t>Minimised cases</w:t>
            </w:r>
          </w:p>
        </w:tc>
        <w:tc>
          <w:tcPr>
            <w:tcW w:w="1873" w:type="pct"/>
            <w:shd w:val="clear" w:color="auto" w:fill="auto"/>
            <w:tcMar>
              <w:top w:w="72" w:type="dxa"/>
              <w:left w:w="144" w:type="dxa"/>
              <w:bottom w:w="72" w:type="dxa"/>
              <w:right w:w="144" w:type="dxa"/>
            </w:tcMar>
            <w:hideMark/>
          </w:tcPr>
          <w:p w14:paraId="01E1E46A" w14:textId="77777777" w:rsidR="007F40C8" w:rsidRPr="00C40E8F" w:rsidRDefault="007F40C8" w:rsidP="005113BA">
            <w:pPr>
              <w:pStyle w:val="TableColumnHeadingLeft"/>
            </w:pPr>
            <w:r w:rsidRPr="00A561C5">
              <w:rPr>
                <w:bCs/>
              </w:rPr>
              <w:t>Managed transmission</w:t>
            </w:r>
            <w:r>
              <w:rPr>
                <w:bCs/>
              </w:rPr>
              <w:t xml:space="preserve"> </w:t>
            </w:r>
          </w:p>
        </w:tc>
      </w:tr>
      <w:tr w:rsidR="007F40C8" w:rsidRPr="00A561C5" w14:paraId="1F8BA04C" w14:textId="77777777" w:rsidTr="007F40C8">
        <w:trPr>
          <w:trHeight w:val="20"/>
        </w:trPr>
        <w:tc>
          <w:tcPr>
            <w:tcW w:w="1255" w:type="pct"/>
            <w:shd w:val="clear" w:color="auto" w:fill="auto"/>
            <w:tcMar>
              <w:top w:w="72" w:type="dxa"/>
              <w:left w:w="144" w:type="dxa"/>
              <w:bottom w:w="72" w:type="dxa"/>
              <w:right w:w="144" w:type="dxa"/>
            </w:tcMar>
            <w:vAlign w:val="center"/>
            <w:hideMark/>
          </w:tcPr>
          <w:p w14:paraId="109EC07D" w14:textId="77777777" w:rsidR="007F40C8" w:rsidRPr="00A561C5" w:rsidRDefault="007F40C8" w:rsidP="005113BA">
            <w:pPr>
              <w:pStyle w:val="TableColumnHeadingLeft"/>
            </w:pPr>
            <w:r>
              <w:t>50</w:t>
            </w:r>
            <w:r w:rsidRPr="00A561C5">
              <w:t>%</w:t>
            </w:r>
          </w:p>
        </w:tc>
        <w:tc>
          <w:tcPr>
            <w:tcW w:w="1872" w:type="pct"/>
            <w:shd w:val="clear" w:color="auto" w:fill="auto"/>
            <w:tcMar>
              <w:top w:w="72" w:type="dxa"/>
              <w:left w:w="144" w:type="dxa"/>
              <w:bottom w:w="72" w:type="dxa"/>
              <w:right w:w="144" w:type="dxa"/>
            </w:tcMar>
            <w:vAlign w:val="center"/>
            <w:hideMark/>
          </w:tcPr>
          <w:p w14:paraId="354B36FB" w14:textId="17D0DA00" w:rsidR="007F40C8" w:rsidRPr="00A561C5" w:rsidRDefault="007F40C8" w:rsidP="005113BA">
            <w:pPr>
              <w:pStyle w:val="TableTextLeft"/>
            </w:pPr>
            <w:r w:rsidRPr="00A561C5">
              <w:t xml:space="preserve">Can only be </w:t>
            </w:r>
            <w:r w:rsidR="006C3E58">
              <w:t>minimised</w:t>
            </w:r>
            <w:r w:rsidR="006C3E58" w:rsidRPr="00A561C5">
              <w:t xml:space="preserve"> </w:t>
            </w:r>
            <w:r w:rsidRPr="00A561C5">
              <w:t xml:space="preserve">using </w:t>
            </w:r>
            <w:r w:rsidRPr="00A561C5">
              <w:rPr>
                <w:b/>
                <w:bCs/>
              </w:rPr>
              <w:t>strict lockdowns</w:t>
            </w:r>
          </w:p>
        </w:tc>
        <w:tc>
          <w:tcPr>
            <w:tcW w:w="1873" w:type="pct"/>
            <w:shd w:val="clear" w:color="auto" w:fill="auto"/>
            <w:tcMar>
              <w:top w:w="72" w:type="dxa"/>
              <w:left w:w="144" w:type="dxa"/>
              <w:bottom w:w="72" w:type="dxa"/>
              <w:right w:w="144" w:type="dxa"/>
            </w:tcMar>
            <w:vAlign w:val="center"/>
            <w:hideMark/>
          </w:tcPr>
          <w:p w14:paraId="2188FE2C" w14:textId="77777777" w:rsidR="007F40C8" w:rsidRPr="00A561C5" w:rsidRDefault="007F40C8" w:rsidP="005113BA">
            <w:pPr>
              <w:pStyle w:val="TableTextLeft"/>
            </w:pPr>
            <w:r w:rsidRPr="00A561C5">
              <w:t xml:space="preserve">Can only be managed within health system capacity using </w:t>
            </w:r>
            <w:r w:rsidRPr="00A561C5">
              <w:rPr>
                <w:b/>
                <w:bCs/>
              </w:rPr>
              <w:t>strict lockdowns</w:t>
            </w:r>
          </w:p>
        </w:tc>
      </w:tr>
      <w:tr w:rsidR="007F40C8" w:rsidRPr="00A561C5" w14:paraId="22F31D19" w14:textId="77777777" w:rsidTr="007F40C8">
        <w:trPr>
          <w:trHeight w:val="20"/>
        </w:trPr>
        <w:tc>
          <w:tcPr>
            <w:tcW w:w="1255" w:type="pct"/>
            <w:shd w:val="clear" w:color="auto" w:fill="auto"/>
            <w:tcMar>
              <w:top w:w="72" w:type="dxa"/>
              <w:left w:w="144" w:type="dxa"/>
              <w:bottom w:w="72" w:type="dxa"/>
              <w:right w:w="144" w:type="dxa"/>
            </w:tcMar>
            <w:vAlign w:val="center"/>
            <w:hideMark/>
          </w:tcPr>
          <w:p w14:paraId="4A9153EF" w14:textId="77777777" w:rsidR="007F40C8" w:rsidRPr="00A561C5" w:rsidRDefault="007F40C8" w:rsidP="005113BA">
            <w:pPr>
              <w:pStyle w:val="TableColumnHeadingLeft"/>
            </w:pPr>
            <w:r w:rsidRPr="00A561C5">
              <w:t>60%</w:t>
            </w:r>
          </w:p>
        </w:tc>
        <w:tc>
          <w:tcPr>
            <w:tcW w:w="1872" w:type="pct"/>
            <w:shd w:val="clear" w:color="auto" w:fill="auto"/>
            <w:tcMar>
              <w:top w:w="72" w:type="dxa"/>
              <w:left w:w="144" w:type="dxa"/>
              <w:bottom w:w="72" w:type="dxa"/>
              <w:right w:w="144" w:type="dxa"/>
            </w:tcMar>
            <w:vAlign w:val="center"/>
            <w:hideMark/>
          </w:tcPr>
          <w:p w14:paraId="444DC6E0" w14:textId="4247FBE1" w:rsidR="007F40C8" w:rsidRPr="00A561C5" w:rsidRDefault="007F40C8" w:rsidP="005113BA">
            <w:pPr>
              <w:pStyle w:val="TableTextLeft"/>
            </w:pPr>
            <w:r w:rsidRPr="00A561C5">
              <w:t xml:space="preserve">Can only be </w:t>
            </w:r>
            <w:r w:rsidR="006C3E58">
              <w:t>minimised</w:t>
            </w:r>
            <w:r w:rsidRPr="00A561C5">
              <w:t xml:space="preserve"> using </w:t>
            </w:r>
            <w:r w:rsidRPr="00A561C5">
              <w:rPr>
                <w:b/>
                <w:bCs/>
              </w:rPr>
              <w:t>strict or moderate lockdowns</w:t>
            </w:r>
          </w:p>
        </w:tc>
        <w:tc>
          <w:tcPr>
            <w:tcW w:w="1873" w:type="pct"/>
            <w:shd w:val="clear" w:color="auto" w:fill="auto"/>
            <w:tcMar>
              <w:top w:w="72" w:type="dxa"/>
              <w:left w:w="144" w:type="dxa"/>
              <w:bottom w:w="72" w:type="dxa"/>
              <w:right w:w="144" w:type="dxa"/>
            </w:tcMar>
            <w:vAlign w:val="center"/>
            <w:hideMark/>
          </w:tcPr>
          <w:p w14:paraId="76D34B0D" w14:textId="77777777" w:rsidR="007F40C8" w:rsidRPr="00A561C5" w:rsidRDefault="007F40C8" w:rsidP="005113BA">
            <w:pPr>
              <w:pStyle w:val="TableTextLeft"/>
            </w:pPr>
            <w:r w:rsidRPr="00A561C5">
              <w:t xml:space="preserve">Can only be managed within health system capacity using </w:t>
            </w:r>
            <w:r w:rsidRPr="00A561C5">
              <w:rPr>
                <w:b/>
                <w:bCs/>
              </w:rPr>
              <w:t>strict lockdowns</w:t>
            </w:r>
          </w:p>
        </w:tc>
      </w:tr>
      <w:tr w:rsidR="007F40C8" w:rsidRPr="00A561C5" w14:paraId="3EB8DBE2" w14:textId="77777777" w:rsidTr="007F40C8">
        <w:trPr>
          <w:trHeight w:val="20"/>
        </w:trPr>
        <w:tc>
          <w:tcPr>
            <w:tcW w:w="1255" w:type="pct"/>
            <w:shd w:val="clear" w:color="auto" w:fill="auto"/>
            <w:tcMar>
              <w:top w:w="72" w:type="dxa"/>
              <w:left w:w="144" w:type="dxa"/>
              <w:bottom w:w="72" w:type="dxa"/>
              <w:right w:w="144" w:type="dxa"/>
            </w:tcMar>
            <w:vAlign w:val="center"/>
            <w:hideMark/>
          </w:tcPr>
          <w:p w14:paraId="63B006CC" w14:textId="77777777" w:rsidR="007F40C8" w:rsidRPr="00A561C5" w:rsidRDefault="007F40C8" w:rsidP="005113BA">
            <w:pPr>
              <w:pStyle w:val="TableColumnHeadingLeft"/>
            </w:pPr>
            <w:r w:rsidRPr="00A561C5">
              <w:t>70%</w:t>
            </w:r>
          </w:p>
        </w:tc>
        <w:tc>
          <w:tcPr>
            <w:tcW w:w="1872" w:type="pct"/>
            <w:shd w:val="clear" w:color="auto" w:fill="auto"/>
            <w:tcMar>
              <w:top w:w="72" w:type="dxa"/>
              <w:left w:w="144" w:type="dxa"/>
              <w:bottom w:w="72" w:type="dxa"/>
              <w:right w:w="144" w:type="dxa"/>
            </w:tcMar>
            <w:vAlign w:val="center"/>
            <w:hideMark/>
          </w:tcPr>
          <w:p w14:paraId="73019B38" w14:textId="58F678F8" w:rsidR="007F40C8" w:rsidRPr="00A561C5" w:rsidRDefault="007F40C8" w:rsidP="005113BA">
            <w:pPr>
              <w:pStyle w:val="TableTextLeft"/>
            </w:pPr>
            <w:r w:rsidRPr="00A561C5">
              <w:t xml:space="preserve">Can be </w:t>
            </w:r>
            <w:r w:rsidR="006C3E58">
              <w:t>minimised</w:t>
            </w:r>
            <w:r w:rsidRPr="00A561C5">
              <w:t xml:space="preserve"> using </w:t>
            </w:r>
            <w:r w:rsidR="002208AA" w:rsidRPr="00A561C5">
              <w:rPr>
                <w:b/>
                <w:bCs/>
              </w:rPr>
              <w:t>l</w:t>
            </w:r>
            <w:r w:rsidR="002208AA">
              <w:rPr>
                <w:b/>
                <w:bCs/>
              </w:rPr>
              <w:t>ow level</w:t>
            </w:r>
            <w:r w:rsidR="002208AA" w:rsidRPr="00A561C5">
              <w:rPr>
                <w:b/>
                <w:bCs/>
              </w:rPr>
              <w:t xml:space="preserve"> </w:t>
            </w:r>
            <w:r w:rsidRPr="00A561C5">
              <w:rPr>
                <w:b/>
                <w:bCs/>
              </w:rPr>
              <w:t>restrictions</w:t>
            </w:r>
          </w:p>
        </w:tc>
        <w:tc>
          <w:tcPr>
            <w:tcW w:w="1873" w:type="pct"/>
            <w:shd w:val="clear" w:color="auto" w:fill="auto"/>
            <w:tcMar>
              <w:top w:w="72" w:type="dxa"/>
              <w:left w:w="144" w:type="dxa"/>
              <w:bottom w:w="72" w:type="dxa"/>
              <w:right w:w="144" w:type="dxa"/>
            </w:tcMar>
            <w:vAlign w:val="center"/>
            <w:hideMark/>
          </w:tcPr>
          <w:p w14:paraId="1FACAEC1" w14:textId="77777777" w:rsidR="007F40C8" w:rsidRPr="00A561C5" w:rsidRDefault="007F40C8" w:rsidP="005113BA">
            <w:pPr>
              <w:pStyle w:val="TableTextLeft"/>
            </w:pPr>
            <w:r w:rsidRPr="00A561C5">
              <w:t xml:space="preserve">Can only be managed within health system capacity using </w:t>
            </w:r>
            <w:r w:rsidRPr="00A561C5">
              <w:rPr>
                <w:b/>
                <w:bCs/>
              </w:rPr>
              <w:t>strict or moderate lockdowns</w:t>
            </w:r>
          </w:p>
        </w:tc>
      </w:tr>
      <w:tr w:rsidR="007F40C8" w:rsidRPr="00A561C5" w14:paraId="06511AFA" w14:textId="77777777" w:rsidTr="007F40C8">
        <w:trPr>
          <w:trHeight w:val="20"/>
        </w:trPr>
        <w:tc>
          <w:tcPr>
            <w:tcW w:w="1255" w:type="pct"/>
            <w:shd w:val="clear" w:color="auto" w:fill="auto"/>
            <w:tcMar>
              <w:top w:w="72" w:type="dxa"/>
              <w:left w:w="144" w:type="dxa"/>
              <w:bottom w:w="72" w:type="dxa"/>
              <w:right w:w="144" w:type="dxa"/>
            </w:tcMar>
            <w:vAlign w:val="center"/>
            <w:hideMark/>
          </w:tcPr>
          <w:p w14:paraId="54D848AA" w14:textId="77777777" w:rsidR="007F40C8" w:rsidRPr="00A561C5" w:rsidRDefault="007F40C8" w:rsidP="005113BA">
            <w:pPr>
              <w:pStyle w:val="TableColumnHeadingLeft"/>
            </w:pPr>
            <w:r w:rsidRPr="00A561C5">
              <w:t>80%</w:t>
            </w:r>
          </w:p>
        </w:tc>
        <w:tc>
          <w:tcPr>
            <w:tcW w:w="1872" w:type="pct"/>
            <w:shd w:val="clear" w:color="auto" w:fill="auto"/>
            <w:tcMar>
              <w:top w:w="72" w:type="dxa"/>
              <w:left w:w="144" w:type="dxa"/>
              <w:bottom w:w="72" w:type="dxa"/>
              <w:right w:w="144" w:type="dxa"/>
            </w:tcMar>
            <w:vAlign w:val="center"/>
            <w:hideMark/>
          </w:tcPr>
          <w:p w14:paraId="08687A40" w14:textId="447648A1" w:rsidR="007F40C8" w:rsidRPr="00A561C5" w:rsidRDefault="007F40C8" w:rsidP="005113BA">
            <w:pPr>
              <w:pStyle w:val="TableTextLeft"/>
            </w:pPr>
            <w:r w:rsidRPr="00A561C5">
              <w:t xml:space="preserve">Can be </w:t>
            </w:r>
            <w:r w:rsidR="006C3E58">
              <w:t>minimised</w:t>
            </w:r>
            <w:r w:rsidRPr="00A561C5">
              <w:t xml:space="preserve"> using</w:t>
            </w:r>
            <w:r w:rsidR="002C31E3">
              <w:t xml:space="preserve"> occasional</w:t>
            </w:r>
            <w:r w:rsidRPr="00A561C5">
              <w:t xml:space="preserve"> </w:t>
            </w:r>
            <w:r w:rsidR="002208AA" w:rsidRPr="00A561C5">
              <w:rPr>
                <w:b/>
                <w:bCs/>
              </w:rPr>
              <w:t>l</w:t>
            </w:r>
            <w:r w:rsidR="002208AA">
              <w:rPr>
                <w:b/>
                <w:bCs/>
              </w:rPr>
              <w:t>ow level</w:t>
            </w:r>
            <w:r w:rsidR="002208AA" w:rsidRPr="00A561C5">
              <w:rPr>
                <w:b/>
                <w:bCs/>
              </w:rPr>
              <w:t xml:space="preserve"> </w:t>
            </w:r>
            <w:r w:rsidRPr="00A561C5">
              <w:rPr>
                <w:b/>
                <w:bCs/>
              </w:rPr>
              <w:t>restrictions</w:t>
            </w:r>
          </w:p>
        </w:tc>
        <w:tc>
          <w:tcPr>
            <w:tcW w:w="1873" w:type="pct"/>
            <w:shd w:val="clear" w:color="auto" w:fill="auto"/>
            <w:tcMar>
              <w:top w:w="72" w:type="dxa"/>
              <w:left w:w="144" w:type="dxa"/>
              <w:bottom w:w="72" w:type="dxa"/>
              <w:right w:w="144" w:type="dxa"/>
            </w:tcMar>
            <w:vAlign w:val="center"/>
            <w:hideMark/>
          </w:tcPr>
          <w:p w14:paraId="2B26B095" w14:textId="08CD23FB" w:rsidR="007F40C8" w:rsidRPr="00A561C5" w:rsidRDefault="007F40C8" w:rsidP="005113BA">
            <w:pPr>
              <w:pStyle w:val="TableTextLeft"/>
            </w:pPr>
            <w:r w:rsidRPr="00A561C5">
              <w:t>Can be managed within health system capacity using</w:t>
            </w:r>
            <w:r w:rsidR="002C31E3">
              <w:t xml:space="preserve"> occasional</w:t>
            </w:r>
            <w:r w:rsidRPr="00A561C5">
              <w:t xml:space="preserve"> </w:t>
            </w:r>
            <w:r w:rsidR="002E1569" w:rsidRPr="00A561C5">
              <w:rPr>
                <w:b/>
                <w:bCs/>
              </w:rPr>
              <w:t>l</w:t>
            </w:r>
            <w:r w:rsidR="002E1569">
              <w:rPr>
                <w:b/>
                <w:bCs/>
              </w:rPr>
              <w:t xml:space="preserve">ow level </w:t>
            </w:r>
            <w:r w:rsidRPr="00A561C5">
              <w:rPr>
                <w:b/>
                <w:bCs/>
              </w:rPr>
              <w:t>restrictions</w:t>
            </w:r>
          </w:p>
        </w:tc>
      </w:tr>
    </w:tbl>
    <w:p w14:paraId="27ACA0F8" w14:textId="40EA1658" w:rsidR="007F40C8" w:rsidRPr="007F40C8" w:rsidRDefault="007F40C8" w:rsidP="00BF0C37">
      <w:pPr>
        <w:pStyle w:val="ChartorTableNote"/>
      </w:pPr>
      <w:r>
        <w:t xml:space="preserve">Notes: </w:t>
      </w:r>
      <w:r w:rsidRPr="00C40E8F">
        <w:t xml:space="preserve">Ongoing baseline restrictions are required at all vaccination rates for both approaches. </w:t>
      </w:r>
      <w:r>
        <w:br/>
      </w:r>
      <w:r w:rsidRPr="009D0173">
        <w:t xml:space="preserve">The </w:t>
      </w:r>
      <w:r w:rsidR="00450078">
        <w:t>minimised cases</w:t>
      </w:r>
      <w:r w:rsidR="00450078" w:rsidRPr="009D0173">
        <w:t xml:space="preserve"> </w:t>
      </w:r>
      <w:r w:rsidRPr="009D0173">
        <w:t>scenario assumes TTIQ is optimally effective, whereas</w:t>
      </w:r>
      <w:r w:rsidRPr="009D0173" w:rsidDel="008141D7">
        <w:t xml:space="preserve"> the managed transmission scenario </w:t>
      </w:r>
      <w:r>
        <w:t xml:space="preserve">assumed case numbers increase to a level where TTIQ can only be </w:t>
      </w:r>
      <w:r w:rsidRPr="009D0173">
        <w:t>partial</w:t>
      </w:r>
      <w:r>
        <w:t>ly</w:t>
      </w:r>
      <w:r w:rsidRPr="009D0173">
        <w:t xml:space="preserve"> effective. </w:t>
      </w:r>
      <w:r>
        <w:t>The v</w:t>
      </w:r>
      <w:r w:rsidRPr="00C40E8F">
        <w:t xml:space="preserve">accination rate </w:t>
      </w:r>
      <w:r>
        <w:t xml:space="preserve">is </w:t>
      </w:r>
      <w:r w:rsidRPr="00C40E8F">
        <w:t>for population aged 16</w:t>
      </w:r>
      <w:r w:rsidRPr="009D0173">
        <w:t>+.</w:t>
      </w:r>
    </w:p>
    <w:p w14:paraId="24A80969" w14:textId="77777777" w:rsidR="007F40C8" w:rsidRDefault="007F40C8" w:rsidP="0063330F">
      <w:pPr>
        <w:pStyle w:val="Heading2"/>
      </w:pPr>
      <w:bookmarkStart w:id="9" w:name="_Toc78902072"/>
      <w:bookmarkStart w:id="10" w:name="_Hlk78379819"/>
      <w:r>
        <w:t xml:space="preserve">Direct </w:t>
      </w:r>
      <w:r w:rsidRPr="000C66AD">
        <w:t xml:space="preserve">Economic </w:t>
      </w:r>
      <w:r>
        <w:t xml:space="preserve">Costs </w:t>
      </w:r>
      <w:r w:rsidRPr="000C66AD">
        <w:t>of Public Health and Social Measures</w:t>
      </w:r>
      <w:bookmarkEnd w:id="9"/>
    </w:p>
    <w:bookmarkEnd w:id="10"/>
    <w:p w14:paraId="5D7DC747" w14:textId="50DD32BB" w:rsidR="007F40C8" w:rsidRDefault="007F40C8" w:rsidP="007F40C8">
      <w:r>
        <w:t>The Doherty Institute identified four bundles of PHSM</w:t>
      </w:r>
      <w:r w:rsidR="00F54789">
        <w:t>’</w:t>
      </w:r>
      <w:r>
        <w:t>s that could be used in managing the virus: baseline, low, medium and high. Each bundle relates to a set of health measures applied at a specific time and place in Australia</w:t>
      </w:r>
      <w:r w:rsidR="00F54789">
        <w:t>’</w:t>
      </w:r>
      <w:r>
        <w:t xml:space="preserve">s pandemic experience. </w:t>
      </w:r>
    </w:p>
    <w:p w14:paraId="3D52C93B" w14:textId="77777777" w:rsidR="007F40C8" w:rsidRPr="00280CCF" w:rsidRDefault="007F40C8" w:rsidP="00C268C5">
      <w:pPr>
        <w:pStyle w:val="Bullet"/>
        <w:numPr>
          <w:ilvl w:val="0"/>
          <w:numId w:val="20"/>
        </w:numPr>
        <w:spacing w:after="160" w:line="259" w:lineRule="auto"/>
      </w:pPr>
      <w:r>
        <w:rPr>
          <w:b/>
          <w:bCs/>
        </w:rPr>
        <w:t xml:space="preserve">High:  </w:t>
      </w:r>
      <w:r w:rsidRPr="00280CCF">
        <w:t xml:space="preserve">Equivalent to Stage Four lockdowns in place in Victoria in August 2020. </w:t>
      </w:r>
    </w:p>
    <w:p w14:paraId="2BFEBF7E" w14:textId="77777777" w:rsidR="007F40C8" w:rsidRPr="00280CCF" w:rsidRDefault="007F40C8" w:rsidP="00C268C5">
      <w:pPr>
        <w:pStyle w:val="Bullet"/>
        <w:numPr>
          <w:ilvl w:val="0"/>
          <w:numId w:val="20"/>
        </w:numPr>
        <w:spacing w:after="160" w:line="259" w:lineRule="auto"/>
      </w:pPr>
      <w:r>
        <w:rPr>
          <w:b/>
          <w:bCs/>
        </w:rPr>
        <w:t xml:space="preserve">Medium: </w:t>
      </w:r>
      <w:r w:rsidRPr="00280CCF">
        <w:t xml:space="preserve">Equivalent to </w:t>
      </w:r>
      <w:r>
        <w:t xml:space="preserve">the </w:t>
      </w:r>
      <w:r w:rsidRPr="00280CCF">
        <w:t>Stage Three lockdown in place nationally in May 2020</w:t>
      </w:r>
      <w:r>
        <w:t>.</w:t>
      </w:r>
      <w:r>
        <w:rPr>
          <w:rStyle w:val="FootnoteReference"/>
        </w:rPr>
        <w:footnoteReference w:id="3"/>
      </w:r>
    </w:p>
    <w:p w14:paraId="6704FD31" w14:textId="77777777" w:rsidR="007F40C8" w:rsidRPr="008913EF" w:rsidRDefault="007F40C8" w:rsidP="00C268C5">
      <w:pPr>
        <w:pStyle w:val="Bullet"/>
        <w:numPr>
          <w:ilvl w:val="0"/>
          <w:numId w:val="20"/>
        </w:numPr>
        <w:spacing w:after="160" w:line="259" w:lineRule="auto"/>
        <w:rPr>
          <w:b/>
          <w:bCs/>
        </w:rPr>
      </w:pPr>
      <w:r>
        <w:rPr>
          <w:b/>
          <w:bCs/>
        </w:rPr>
        <w:t xml:space="preserve">Low: </w:t>
      </w:r>
      <w:r w:rsidRPr="00280CCF">
        <w:rPr>
          <w:b/>
          <w:bCs/>
        </w:rPr>
        <w:t xml:space="preserve"> </w:t>
      </w:r>
      <w:r w:rsidRPr="008913EF">
        <w:t>Equivalent to restrictions in place in New South Wales in August 2020</w:t>
      </w:r>
      <w:r>
        <w:t>.</w:t>
      </w:r>
      <w:r w:rsidRPr="008913EF">
        <w:rPr>
          <w:b/>
          <w:bCs/>
        </w:rPr>
        <w:t xml:space="preserve"> </w:t>
      </w:r>
    </w:p>
    <w:p w14:paraId="45723863" w14:textId="77777777" w:rsidR="007F40C8" w:rsidRPr="00280CCF" w:rsidRDefault="007F40C8" w:rsidP="00C268C5">
      <w:pPr>
        <w:pStyle w:val="Bullet"/>
        <w:numPr>
          <w:ilvl w:val="0"/>
          <w:numId w:val="20"/>
        </w:numPr>
        <w:spacing w:after="160" w:line="259" w:lineRule="auto"/>
      </w:pPr>
      <w:r w:rsidRPr="00280CCF">
        <w:rPr>
          <w:b/>
          <w:bCs/>
        </w:rPr>
        <w:t>Baseline</w:t>
      </w:r>
      <w:r>
        <w:rPr>
          <w:b/>
          <w:bCs/>
        </w:rPr>
        <w:t xml:space="preserve">: </w:t>
      </w:r>
      <w:r>
        <w:t>Similar to the</w:t>
      </w:r>
      <w:r w:rsidRPr="00280CCF">
        <w:t xml:space="preserve"> eased restrictions in </w:t>
      </w:r>
      <w:r>
        <w:t xml:space="preserve">place in New South Wales in </w:t>
      </w:r>
      <w:r w:rsidRPr="00280CCF">
        <w:t>March 2021.</w:t>
      </w:r>
    </w:p>
    <w:p w14:paraId="49EA03E8" w14:textId="77777777" w:rsidR="007F40C8" w:rsidRPr="00666283" w:rsidRDefault="007F40C8" w:rsidP="007F40C8">
      <w:r>
        <w:t xml:space="preserve">A description of the specific measures included in each bundle is outlined in Table 2 below. </w:t>
      </w:r>
    </w:p>
    <w:p w14:paraId="31A4C23C" w14:textId="77777777" w:rsidR="007F40C8" w:rsidRPr="004C68BE" w:rsidRDefault="007F40C8" w:rsidP="00BF0C37">
      <w:pPr>
        <w:pStyle w:val="TableMainHeading"/>
      </w:pPr>
      <w:r w:rsidRPr="004C68BE">
        <w:t xml:space="preserve">Table </w:t>
      </w:r>
      <w:r>
        <w:t>2:</w:t>
      </w:r>
      <w:r w:rsidRPr="004C68BE">
        <w:t xml:space="preserve"> </w:t>
      </w:r>
      <w:r w:rsidRPr="002510C4">
        <w:t>Public Health and Social Measures (PHSM)</w:t>
      </w:r>
      <w:r>
        <w:t xml:space="preserve"> </w:t>
      </w:r>
      <w:r w:rsidRPr="004C68BE">
        <w:t>bundles</w:t>
      </w:r>
      <w:r>
        <w:t xml:space="preserve">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318"/>
        <w:gridCol w:w="1933"/>
        <w:gridCol w:w="1933"/>
        <w:gridCol w:w="1933"/>
        <w:gridCol w:w="1933"/>
      </w:tblGrid>
      <w:tr w:rsidR="007F40C8" w14:paraId="06538BF3" w14:textId="77777777" w:rsidTr="00902871">
        <w:trPr>
          <w:cantSplit/>
          <w:tblHeader/>
        </w:trPr>
        <w:tc>
          <w:tcPr>
            <w:tcW w:w="7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8BC414E" w14:textId="77777777" w:rsidR="007F40C8" w:rsidRPr="004523EB" w:rsidRDefault="007F40C8" w:rsidP="007F40C8">
            <w:pPr>
              <w:spacing w:before="240"/>
              <w:jc w:val="center"/>
            </w:pP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A5A2EFE" w14:textId="77777777" w:rsidR="005113BA" w:rsidRDefault="007F40C8" w:rsidP="005113BA">
            <w:pPr>
              <w:pStyle w:val="TableColumnHeadingCentred"/>
            </w:pPr>
            <w:r>
              <w:t>Strict lockdowns</w:t>
            </w:r>
          </w:p>
          <w:p w14:paraId="09220815" w14:textId="6E5FD7E1" w:rsidR="007F40C8" w:rsidRPr="005113BA" w:rsidRDefault="005113BA" w:rsidP="005113BA">
            <w:pPr>
              <w:pStyle w:val="TableColumnHeadingCentred"/>
              <w:rPr>
                <w:b w:val="0"/>
                <w:bCs/>
              </w:rPr>
            </w:pPr>
            <w:r w:rsidRPr="005113BA">
              <w:rPr>
                <w:b w:val="0"/>
                <w:bCs/>
                <w:i/>
                <w:iCs/>
              </w:rPr>
              <w:t>(</w:t>
            </w:r>
            <w:r w:rsidR="007F40C8" w:rsidRPr="005113BA">
              <w:rPr>
                <w:b w:val="0"/>
                <w:bCs/>
                <w:i/>
                <w:iCs/>
              </w:rPr>
              <w:t>High PHSM)</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05C5DA7" w14:textId="77777777" w:rsidR="005113BA" w:rsidRDefault="007F40C8" w:rsidP="005113BA">
            <w:pPr>
              <w:pStyle w:val="TableColumnHeadingCentred"/>
            </w:pPr>
            <w:r w:rsidRPr="005113BA">
              <w:t xml:space="preserve">Moderate lockdowns </w:t>
            </w:r>
          </w:p>
          <w:p w14:paraId="0FFEDF95" w14:textId="5BBEC36F" w:rsidR="007F40C8" w:rsidRPr="005113BA" w:rsidRDefault="007F40C8" w:rsidP="005113BA">
            <w:pPr>
              <w:pStyle w:val="TableColumnHeadingCentred"/>
              <w:rPr>
                <w:b w:val="0"/>
                <w:bCs/>
                <w:i/>
                <w:iCs/>
              </w:rPr>
            </w:pPr>
            <w:r w:rsidRPr="005113BA">
              <w:rPr>
                <w:b w:val="0"/>
                <w:bCs/>
                <w:i/>
                <w:iCs/>
              </w:rPr>
              <w:t>(Medium PHSM)</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FD4237B" w14:textId="6F6816B7" w:rsidR="007F40C8" w:rsidRDefault="002D4551" w:rsidP="005113BA">
            <w:pPr>
              <w:pStyle w:val="TableColumnHeadingCentred"/>
            </w:pPr>
            <w:r>
              <w:t xml:space="preserve">Low level </w:t>
            </w:r>
            <w:r w:rsidR="007F40C8">
              <w:t xml:space="preserve">restrictions </w:t>
            </w:r>
          </w:p>
          <w:p w14:paraId="4862030B" w14:textId="77777777" w:rsidR="007F40C8" w:rsidRPr="005113BA" w:rsidRDefault="007F40C8" w:rsidP="005113BA">
            <w:pPr>
              <w:pStyle w:val="TableColumnHeadingCentred"/>
              <w:rPr>
                <w:b w:val="0"/>
                <w:bCs/>
                <w:i/>
                <w:iCs/>
              </w:rPr>
            </w:pPr>
            <w:r w:rsidRPr="005113BA">
              <w:rPr>
                <w:b w:val="0"/>
                <w:bCs/>
                <w:i/>
                <w:iCs/>
              </w:rPr>
              <w:t>(Low PHSM)</w:t>
            </w:r>
          </w:p>
        </w:tc>
        <w:tc>
          <w:tcPr>
            <w:tcW w:w="1069" w:type="pct"/>
            <w:tcBorders>
              <w:top w:val="single" w:sz="8" w:space="0" w:color="auto"/>
              <w:left w:val="single" w:sz="8" w:space="0" w:color="auto"/>
              <w:bottom w:val="single" w:sz="8" w:space="0" w:color="auto"/>
              <w:right w:val="single" w:sz="8" w:space="0" w:color="auto"/>
            </w:tcBorders>
            <w:vAlign w:val="center"/>
          </w:tcPr>
          <w:p w14:paraId="0803277A" w14:textId="77777777" w:rsidR="005113BA" w:rsidRDefault="007F40C8" w:rsidP="005113BA">
            <w:pPr>
              <w:pStyle w:val="TableColumnHeadingCentred"/>
            </w:pPr>
            <w:r>
              <w:t xml:space="preserve">Baseline restrictions </w:t>
            </w:r>
          </w:p>
          <w:p w14:paraId="731BA345" w14:textId="0582DA73" w:rsidR="007F40C8" w:rsidRPr="005113BA" w:rsidRDefault="007F40C8" w:rsidP="005113BA">
            <w:pPr>
              <w:pStyle w:val="TableColumnHeadingCentred"/>
              <w:rPr>
                <w:b w:val="0"/>
                <w:bCs/>
                <w:color w:val="000000"/>
              </w:rPr>
            </w:pPr>
            <w:r w:rsidRPr="005113BA">
              <w:rPr>
                <w:b w:val="0"/>
                <w:bCs/>
                <w:i/>
                <w:iCs/>
              </w:rPr>
              <w:t>(Baseline PHSM)</w:t>
            </w:r>
          </w:p>
        </w:tc>
      </w:tr>
      <w:tr w:rsidR="007F40C8" w14:paraId="2BE9B846" w14:textId="77777777" w:rsidTr="00902871">
        <w:trPr>
          <w:cantSplit/>
        </w:trPr>
        <w:tc>
          <w:tcPr>
            <w:tcW w:w="7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2CA2BF" w14:textId="77777777" w:rsidR="007F40C8" w:rsidRDefault="007F40C8" w:rsidP="005113BA">
            <w:pPr>
              <w:pStyle w:val="TableColumnHeadingLeft"/>
            </w:pPr>
            <w:bookmarkStart w:id="11" w:name="_Hlk78361568"/>
            <w:r>
              <w:t>Stay at home orders</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6C5F71" w14:textId="2E12FBEA" w:rsidR="007F40C8" w:rsidRDefault="007F40C8" w:rsidP="00B71793">
            <w:pPr>
              <w:pStyle w:val="TableBullet"/>
            </w:pPr>
            <w:r>
              <w:t>Stay</w:t>
            </w:r>
            <w:r w:rsidR="00F54789">
              <w:noBreakHyphen/>
            </w:r>
            <w:r>
              <w:t>at</w:t>
            </w:r>
            <w:r w:rsidR="00F54789">
              <w:noBreakHyphen/>
            </w:r>
            <w:r>
              <w:t>home except essential purposes</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9634A9" w14:textId="359DA605" w:rsidR="007F40C8" w:rsidRDefault="007F40C8" w:rsidP="00B71793">
            <w:pPr>
              <w:pStyle w:val="TableBullet"/>
            </w:pPr>
            <w:r>
              <w:t>Stay</w:t>
            </w:r>
            <w:r w:rsidR="00F54789">
              <w:noBreakHyphen/>
            </w:r>
            <w:r>
              <w:t>at</w:t>
            </w:r>
            <w:r w:rsidR="00F54789">
              <w:noBreakHyphen/>
            </w:r>
            <w:r>
              <w:t>home except for work, study and essential purposes</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6F2396" w14:textId="3B4656A3" w:rsidR="007F40C8" w:rsidRDefault="007F40C8" w:rsidP="00B71793">
            <w:pPr>
              <w:pStyle w:val="TableBullet"/>
            </w:pPr>
            <w:r>
              <w:t>No stay</w:t>
            </w:r>
            <w:r w:rsidR="00F54789">
              <w:noBreakHyphen/>
            </w:r>
            <w:r>
              <w:t>at</w:t>
            </w:r>
            <w:r w:rsidR="00F54789">
              <w:noBreakHyphen/>
            </w:r>
            <w:r>
              <w:t>home orders</w:t>
            </w:r>
          </w:p>
        </w:tc>
        <w:tc>
          <w:tcPr>
            <w:tcW w:w="1069" w:type="pct"/>
            <w:tcBorders>
              <w:top w:val="single" w:sz="8" w:space="0" w:color="auto"/>
              <w:left w:val="single" w:sz="8" w:space="0" w:color="auto"/>
              <w:bottom w:val="single" w:sz="8" w:space="0" w:color="auto"/>
              <w:right w:val="single" w:sz="8" w:space="0" w:color="auto"/>
            </w:tcBorders>
            <w:hideMark/>
          </w:tcPr>
          <w:p w14:paraId="08B53CCA" w14:textId="5A7F584D" w:rsidR="007F40C8" w:rsidRDefault="007F40C8" w:rsidP="005F4BFA">
            <w:pPr>
              <w:pStyle w:val="TableBullet"/>
              <w:ind w:left="247"/>
            </w:pPr>
            <w:r>
              <w:t>No stay</w:t>
            </w:r>
            <w:r w:rsidR="00F54789">
              <w:noBreakHyphen/>
            </w:r>
            <w:r>
              <w:t>at</w:t>
            </w:r>
            <w:r w:rsidR="00F54789">
              <w:noBreakHyphen/>
            </w:r>
            <w:r>
              <w:t>home orders</w:t>
            </w:r>
          </w:p>
        </w:tc>
      </w:tr>
      <w:tr w:rsidR="007F40C8" w14:paraId="3647E7C8" w14:textId="77777777" w:rsidTr="00902871">
        <w:trPr>
          <w:cantSplit/>
        </w:trPr>
        <w:tc>
          <w:tcPr>
            <w:tcW w:w="7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4F1352" w14:textId="77777777" w:rsidR="007F40C8" w:rsidRDefault="007F40C8" w:rsidP="005113BA">
            <w:pPr>
              <w:pStyle w:val="TableColumnHeadingLeft"/>
            </w:pPr>
            <w:r>
              <w:t>Density restrictions</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A50BFA" w14:textId="77777777" w:rsidR="007F40C8" w:rsidRDefault="007F40C8" w:rsidP="00B71793">
            <w:pPr>
              <w:pStyle w:val="TableBullet"/>
            </w:pPr>
            <w:r>
              <w:t xml:space="preserve">4 sqm rule </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C951D5" w14:textId="77777777" w:rsidR="007F40C8" w:rsidRDefault="007F40C8" w:rsidP="00B71793">
            <w:pPr>
              <w:pStyle w:val="TableBullet"/>
            </w:pPr>
            <w:r>
              <w:t>2 sqm rule</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553451" w14:textId="77777777" w:rsidR="007F40C8" w:rsidRDefault="007F40C8" w:rsidP="00B71793">
            <w:pPr>
              <w:pStyle w:val="TableBullet"/>
            </w:pPr>
            <w:r>
              <w:t>2 sqm rule</w:t>
            </w:r>
          </w:p>
        </w:tc>
        <w:tc>
          <w:tcPr>
            <w:tcW w:w="1069" w:type="pct"/>
            <w:tcBorders>
              <w:top w:val="single" w:sz="8" w:space="0" w:color="auto"/>
              <w:left w:val="single" w:sz="8" w:space="0" w:color="auto"/>
              <w:bottom w:val="single" w:sz="8" w:space="0" w:color="auto"/>
              <w:right w:val="single" w:sz="8" w:space="0" w:color="auto"/>
            </w:tcBorders>
            <w:hideMark/>
          </w:tcPr>
          <w:p w14:paraId="57C4DC65" w14:textId="77777777" w:rsidR="007F40C8" w:rsidRDefault="007F40C8" w:rsidP="005F4BFA">
            <w:pPr>
              <w:pStyle w:val="TableBullet"/>
              <w:ind w:left="247"/>
            </w:pPr>
            <w:r>
              <w:t>2 sqm rule</w:t>
            </w:r>
          </w:p>
        </w:tc>
      </w:tr>
      <w:tr w:rsidR="007F40C8" w14:paraId="681CAB49" w14:textId="77777777" w:rsidTr="00902871">
        <w:trPr>
          <w:cantSplit/>
        </w:trPr>
        <w:tc>
          <w:tcPr>
            <w:tcW w:w="7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93BC5E" w14:textId="77777777" w:rsidR="007F40C8" w:rsidRDefault="007F40C8" w:rsidP="005113BA">
            <w:pPr>
              <w:pStyle w:val="TableColumnHeadingLeft"/>
            </w:pPr>
            <w:r>
              <w:t>Retail trade</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A58FBA" w14:textId="4D8B36C4" w:rsidR="00707987" w:rsidRDefault="007F40C8" w:rsidP="00B71793">
            <w:pPr>
              <w:pStyle w:val="TableBullet"/>
            </w:pPr>
            <w:r>
              <w:t>Non</w:t>
            </w:r>
            <w:r w:rsidR="00F54789">
              <w:noBreakHyphen/>
            </w:r>
            <w:r>
              <w:t>essential retailers and venues closed to public</w:t>
            </w:r>
          </w:p>
          <w:p w14:paraId="61AE64BF" w14:textId="3373D1B8" w:rsidR="007F40C8" w:rsidRDefault="007F40C8" w:rsidP="00B71793">
            <w:pPr>
              <w:pStyle w:val="TableBullet"/>
            </w:pPr>
            <w:r>
              <w:t>Take away and home delivery only</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5BE44D" w14:textId="77777777" w:rsidR="007F40C8" w:rsidRDefault="007F40C8" w:rsidP="00B71793">
            <w:pPr>
              <w:pStyle w:val="TableBullet"/>
            </w:pPr>
            <w:r>
              <w:t>Increased retail activity, subject to density restrictions</w:t>
            </w:r>
          </w:p>
          <w:p w14:paraId="325253E9" w14:textId="77777777" w:rsidR="007F40C8" w:rsidRDefault="007F40C8" w:rsidP="00B71793">
            <w:pPr>
              <w:pStyle w:val="TableBullet"/>
            </w:pPr>
            <w:r>
              <w:t>Seated dining for small groups at cafes/restaurants</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69E7E4" w14:textId="77777777" w:rsidR="007F40C8" w:rsidRDefault="007F40C8" w:rsidP="00B71793">
            <w:pPr>
              <w:pStyle w:val="TableBullet"/>
            </w:pPr>
            <w:r>
              <w:t>Social distancing rules apply</w:t>
            </w:r>
          </w:p>
          <w:p w14:paraId="48F1CBED" w14:textId="77777777" w:rsidR="007F40C8" w:rsidRDefault="007F40C8" w:rsidP="00B71793">
            <w:pPr>
              <w:pStyle w:val="TableBullet"/>
            </w:pPr>
            <w:r>
              <w:t xml:space="preserve">Larger groups allowed </w:t>
            </w:r>
          </w:p>
        </w:tc>
        <w:tc>
          <w:tcPr>
            <w:tcW w:w="1069" w:type="pct"/>
            <w:tcBorders>
              <w:top w:val="single" w:sz="8" w:space="0" w:color="auto"/>
              <w:left w:val="single" w:sz="8" w:space="0" w:color="auto"/>
              <w:bottom w:val="single" w:sz="8" w:space="0" w:color="auto"/>
              <w:right w:val="single" w:sz="8" w:space="0" w:color="auto"/>
            </w:tcBorders>
            <w:hideMark/>
          </w:tcPr>
          <w:p w14:paraId="7F29227A" w14:textId="77777777" w:rsidR="007F40C8" w:rsidRPr="00F54789" w:rsidRDefault="007F40C8" w:rsidP="005F4BFA">
            <w:pPr>
              <w:pStyle w:val="TableBullet"/>
              <w:ind w:left="247" w:hanging="141"/>
            </w:pPr>
            <w:r w:rsidRPr="00F54789">
              <w:t>Social distancing rules apply</w:t>
            </w:r>
          </w:p>
        </w:tc>
      </w:tr>
      <w:tr w:rsidR="007F40C8" w14:paraId="010EE32B" w14:textId="77777777" w:rsidTr="00902871">
        <w:trPr>
          <w:cantSplit/>
        </w:trPr>
        <w:tc>
          <w:tcPr>
            <w:tcW w:w="7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EE41139" w14:textId="77777777" w:rsidR="007F40C8" w:rsidRDefault="007F40C8" w:rsidP="005113BA">
            <w:pPr>
              <w:pStyle w:val="TableColumnHeadingLeft"/>
            </w:pPr>
            <w:r>
              <w:t>Work</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757B4A" w14:textId="31EC8853" w:rsidR="007F40C8" w:rsidRPr="00F54789" w:rsidRDefault="007F40C8" w:rsidP="00F54789">
            <w:pPr>
              <w:pStyle w:val="TableBullet"/>
            </w:pPr>
            <w:r w:rsidRPr="00F54789">
              <w:t>Only workplaces categorised as permitted work allowed to operate on</w:t>
            </w:r>
            <w:r w:rsidR="00F54789" w:rsidRPr="00F54789">
              <w:noBreakHyphen/>
            </w:r>
            <w:r w:rsidRPr="00F54789">
              <w:t xml:space="preserve">site and subject to restrictions </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07BFF0" w14:textId="77777777" w:rsidR="007F40C8" w:rsidRDefault="007F40C8" w:rsidP="00B71793">
            <w:pPr>
              <w:pStyle w:val="TableBullet"/>
            </w:pPr>
            <w:r>
              <w:t>Work from home if possible, capacity limits and restrictions on office space apply</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5B5658" w14:textId="7D4152DC" w:rsidR="007F40C8" w:rsidRDefault="007F40C8" w:rsidP="00B71793">
            <w:pPr>
              <w:pStyle w:val="TableBullet"/>
            </w:pPr>
            <w:r>
              <w:t>Return to work, but social distancing and capacity restrictions on office space apply</w:t>
            </w:r>
          </w:p>
        </w:tc>
        <w:tc>
          <w:tcPr>
            <w:tcW w:w="1069" w:type="pct"/>
            <w:tcBorders>
              <w:top w:val="single" w:sz="8" w:space="0" w:color="auto"/>
              <w:left w:val="single" w:sz="8" w:space="0" w:color="auto"/>
              <w:bottom w:val="single" w:sz="8" w:space="0" w:color="auto"/>
              <w:right w:val="single" w:sz="8" w:space="0" w:color="auto"/>
            </w:tcBorders>
            <w:hideMark/>
          </w:tcPr>
          <w:p w14:paraId="5B0C470F" w14:textId="77777777" w:rsidR="007F40C8" w:rsidRPr="00F54789" w:rsidRDefault="007F40C8" w:rsidP="005F4BFA">
            <w:pPr>
              <w:pStyle w:val="TableBullet"/>
              <w:ind w:left="247" w:hanging="141"/>
            </w:pPr>
            <w:r w:rsidRPr="00F54789">
              <w:t>1.5 sqm rule</w:t>
            </w:r>
          </w:p>
        </w:tc>
      </w:tr>
      <w:tr w:rsidR="007F40C8" w14:paraId="1BACC6FD" w14:textId="77777777" w:rsidTr="00902871">
        <w:trPr>
          <w:cantSplit/>
        </w:trPr>
        <w:tc>
          <w:tcPr>
            <w:tcW w:w="7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2D9E7F" w14:textId="77777777" w:rsidR="007F40C8" w:rsidRDefault="007F40C8" w:rsidP="005113BA">
            <w:pPr>
              <w:pStyle w:val="TableColumnHeadingLeft"/>
            </w:pPr>
            <w:r>
              <w:t>Schools and childcare</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826389D" w14:textId="10AD8857" w:rsidR="007F40C8" w:rsidRDefault="007F40C8" w:rsidP="00B71793">
            <w:pPr>
              <w:pStyle w:val="TableBullet"/>
            </w:pPr>
            <w:r>
              <w:t>Closed</w:t>
            </w:r>
            <w:r w:rsidR="00F54789">
              <w:t xml:space="preserve"> – </w:t>
            </w:r>
            <w:r>
              <w:t>remote learning only</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56D981" w14:textId="77777777" w:rsidR="007F40C8" w:rsidRDefault="007F40C8" w:rsidP="00B71793">
            <w:pPr>
              <w:pStyle w:val="TableBullet"/>
            </w:pPr>
            <w:r>
              <w:t>Closed or graduated return</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E312D7" w14:textId="77777777" w:rsidR="007F40C8" w:rsidRDefault="007F40C8" w:rsidP="00B71793">
            <w:pPr>
              <w:pStyle w:val="TableBullet"/>
            </w:pPr>
            <w:r>
              <w:t>Open</w:t>
            </w:r>
          </w:p>
        </w:tc>
        <w:tc>
          <w:tcPr>
            <w:tcW w:w="1069" w:type="pct"/>
            <w:tcBorders>
              <w:top w:val="single" w:sz="8" w:space="0" w:color="auto"/>
              <w:left w:val="single" w:sz="8" w:space="0" w:color="auto"/>
              <w:bottom w:val="single" w:sz="8" w:space="0" w:color="auto"/>
              <w:right w:val="single" w:sz="8" w:space="0" w:color="auto"/>
            </w:tcBorders>
            <w:hideMark/>
          </w:tcPr>
          <w:p w14:paraId="1D568804" w14:textId="77777777" w:rsidR="007F40C8" w:rsidRPr="00F54789" w:rsidRDefault="007F40C8" w:rsidP="005F4BFA">
            <w:pPr>
              <w:pStyle w:val="TableBullet"/>
              <w:ind w:left="247" w:hanging="141"/>
            </w:pPr>
            <w:r w:rsidRPr="00F54789">
              <w:t>Open</w:t>
            </w:r>
          </w:p>
        </w:tc>
      </w:tr>
      <w:tr w:rsidR="007F40C8" w14:paraId="1CDE34F0" w14:textId="77777777" w:rsidTr="00902871">
        <w:trPr>
          <w:cantSplit/>
        </w:trPr>
        <w:tc>
          <w:tcPr>
            <w:tcW w:w="7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5AA0F7" w14:textId="77777777" w:rsidR="007F40C8" w:rsidRDefault="007F40C8" w:rsidP="005113BA">
            <w:pPr>
              <w:pStyle w:val="TableColumnHeadingLeft"/>
            </w:pPr>
            <w:r>
              <w:t>Capacity restrictions</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DE0165" w14:textId="25D13AA4" w:rsidR="007F40C8" w:rsidRPr="00F54789" w:rsidRDefault="007F40C8" w:rsidP="00F54789">
            <w:pPr>
              <w:pStyle w:val="TableBullet"/>
            </w:pPr>
            <w:r w:rsidRPr="00F54789">
              <w:t>No gatherings</w:t>
            </w:r>
            <w:r w:rsidR="00F54789" w:rsidRPr="00F54789">
              <w:t xml:space="preserve"> – </w:t>
            </w:r>
            <w:r w:rsidRPr="00F54789">
              <w:t>Non</w:t>
            </w:r>
            <w:r w:rsidR="00F54789" w:rsidRPr="00F54789">
              <w:noBreakHyphen/>
            </w:r>
            <w:r w:rsidRPr="00F54789">
              <w:t>essential venues etc closed</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E8351E" w14:textId="0EE3864E" w:rsidR="007F40C8" w:rsidRDefault="007F40C8" w:rsidP="00B71793">
            <w:pPr>
              <w:pStyle w:val="TableBullet"/>
            </w:pPr>
            <w:r>
              <w:t>Indoor venues closed</w:t>
            </w:r>
          </w:p>
          <w:p w14:paraId="574A86EE" w14:textId="77777777" w:rsidR="007F40C8" w:rsidRDefault="007F40C8" w:rsidP="00B71793">
            <w:pPr>
              <w:pStyle w:val="TableBullet"/>
            </w:pPr>
            <w:r>
              <w:t>Capacity limits restricted to small groups outdoors</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83B362" w14:textId="12D9CBC5" w:rsidR="007F40C8" w:rsidRDefault="007F40C8" w:rsidP="00BB3724">
            <w:pPr>
              <w:pStyle w:val="TableBullet"/>
            </w:pPr>
            <w:r>
              <w:t xml:space="preserve">Recreational activities allowed and </w:t>
            </w:r>
            <w:r w:rsidR="00453200">
              <w:t>venues open but social distancing and capacity limits apply</w:t>
            </w:r>
          </w:p>
        </w:tc>
        <w:tc>
          <w:tcPr>
            <w:tcW w:w="1069" w:type="pct"/>
            <w:tcBorders>
              <w:top w:val="single" w:sz="8" w:space="0" w:color="auto"/>
              <w:left w:val="single" w:sz="8" w:space="0" w:color="auto"/>
              <w:bottom w:val="single" w:sz="8" w:space="0" w:color="auto"/>
              <w:right w:val="single" w:sz="8" w:space="0" w:color="auto"/>
            </w:tcBorders>
            <w:hideMark/>
          </w:tcPr>
          <w:p w14:paraId="75857B75" w14:textId="4AA2C18F" w:rsidR="007F40C8" w:rsidRPr="00F54789" w:rsidRDefault="007F40C8" w:rsidP="005F4BFA">
            <w:pPr>
              <w:pStyle w:val="TableBullet"/>
              <w:ind w:left="247" w:hanging="141"/>
            </w:pPr>
            <w:r w:rsidRPr="00F54789">
              <w:t>Large sporting venues to operate at 70%</w:t>
            </w:r>
            <w:r w:rsidR="00106C35" w:rsidRPr="00F54789">
              <w:t> </w:t>
            </w:r>
            <w:r w:rsidRPr="00F54789">
              <w:t>capacity</w:t>
            </w:r>
          </w:p>
        </w:tc>
      </w:tr>
      <w:tr w:rsidR="007F40C8" w14:paraId="5CB2129F" w14:textId="77777777" w:rsidTr="00902871">
        <w:trPr>
          <w:cantSplit/>
        </w:trPr>
        <w:tc>
          <w:tcPr>
            <w:tcW w:w="7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A1915D" w14:textId="77777777" w:rsidR="007F40C8" w:rsidRDefault="007F40C8" w:rsidP="005113BA">
            <w:pPr>
              <w:pStyle w:val="TableColumnHeadingLeft"/>
            </w:pPr>
            <w:r>
              <w:t>Travel restrictions</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525CC6" w14:textId="368A376D" w:rsidR="007F40C8" w:rsidRDefault="007F40C8" w:rsidP="00B71793">
            <w:pPr>
              <w:pStyle w:val="TableBullet"/>
            </w:pPr>
            <w:r>
              <w:t>Essential movements only within 5 or 10</w:t>
            </w:r>
            <w:r w:rsidR="00106C35">
              <w:t> </w:t>
            </w:r>
            <w:r>
              <w:t>km radius</w:t>
            </w:r>
          </w:p>
          <w:p w14:paraId="4ABDF66A" w14:textId="58972FDC" w:rsidR="007F40C8" w:rsidRDefault="007F40C8" w:rsidP="00B71793">
            <w:pPr>
              <w:pStyle w:val="TableBullet"/>
            </w:pPr>
            <w:r>
              <w:t>No intra</w:t>
            </w:r>
            <w:r w:rsidR="00F54789">
              <w:noBreakHyphen/>
            </w:r>
            <w:r>
              <w:t xml:space="preserve"> or inter</w:t>
            </w:r>
            <w:r w:rsidR="00F54789">
              <w:noBreakHyphen/>
            </w:r>
            <w:r>
              <w:t>state travel</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A31C38" w14:textId="523E87F3" w:rsidR="007F40C8" w:rsidRDefault="007F40C8" w:rsidP="00B71793">
            <w:pPr>
              <w:pStyle w:val="TableBullet"/>
            </w:pPr>
            <w:r>
              <w:t>Non</w:t>
            </w:r>
            <w:r w:rsidR="00F54789">
              <w:noBreakHyphen/>
            </w:r>
            <w:r>
              <w:t>essential travel limited</w:t>
            </w:r>
            <w:r w:rsidR="00F54789">
              <w:t xml:space="preserve"> – </w:t>
            </w:r>
            <w:r>
              <w:t>no intra or inter</w:t>
            </w:r>
            <w:r w:rsidR="00F54789">
              <w:noBreakHyphen/>
            </w:r>
            <w:r>
              <w:t>state travel</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7E76C6" w14:textId="486B0C46" w:rsidR="007F40C8" w:rsidRDefault="007F40C8" w:rsidP="00B71793">
            <w:pPr>
              <w:pStyle w:val="TableBullet"/>
            </w:pPr>
            <w:r>
              <w:t>No travel restrictions</w:t>
            </w:r>
          </w:p>
          <w:p w14:paraId="7E9F4917" w14:textId="77777777" w:rsidR="007F40C8" w:rsidRDefault="007F40C8" w:rsidP="00B71793">
            <w:pPr>
              <w:pStyle w:val="TableBullet"/>
            </w:pPr>
            <w:r>
              <w:t>Interstate travel allowed</w:t>
            </w:r>
          </w:p>
        </w:tc>
        <w:tc>
          <w:tcPr>
            <w:tcW w:w="1069" w:type="pct"/>
            <w:tcBorders>
              <w:top w:val="single" w:sz="8" w:space="0" w:color="auto"/>
              <w:left w:val="single" w:sz="8" w:space="0" w:color="auto"/>
              <w:bottom w:val="single" w:sz="8" w:space="0" w:color="auto"/>
              <w:right w:val="single" w:sz="8" w:space="0" w:color="auto"/>
            </w:tcBorders>
            <w:hideMark/>
          </w:tcPr>
          <w:p w14:paraId="2D12F5BC" w14:textId="4DC2ACC0" w:rsidR="007F40C8" w:rsidRPr="00F54789" w:rsidRDefault="007F40C8" w:rsidP="005F4BFA">
            <w:pPr>
              <w:pStyle w:val="TableBullet"/>
              <w:ind w:left="247" w:hanging="141"/>
            </w:pPr>
            <w:r w:rsidRPr="00F54789">
              <w:t>No travel restrictions</w:t>
            </w:r>
          </w:p>
          <w:p w14:paraId="3FC3FC47" w14:textId="2DF6751C" w:rsidR="007F40C8" w:rsidRPr="00F54789" w:rsidRDefault="007F1168" w:rsidP="005F4BFA">
            <w:pPr>
              <w:pStyle w:val="TableBullet"/>
              <w:ind w:left="247" w:hanging="141"/>
            </w:pPr>
            <w:r w:rsidRPr="00F54789">
              <w:t>Interstate travel allowed</w:t>
            </w:r>
          </w:p>
        </w:tc>
      </w:tr>
      <w:tr w:rsidR="007F40C8" w14:paraId="41D33BD6" w14:textId="77777777" w:rsidTr="00902871">
        <w:trPr>
          <w:cantSplit/>
        </w:trPr>
        <w:tc>
          <w:tcPr>
            <w:tcW w:w="7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814E01" w14:textId="77777777" w:rsidR="007F40C8" w:rsidRDefault="007F40C8" w:rsidP="00106C35">
            <w:pPr>
              <w:pStyle w:val="TableColumnHeadingLeft"/>
            </w:pPr>
            <w:r>
              <w:t>Other</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9A59F4" w14:textId="77777777" w:rsidR="007F40C8" w:rsidRDefault="007F40C8" w:rsidP="00B71793">
            <w:pPr>
              <w:pStyle w:val="TableBullet"/>
            </w:pPr>
            <w:r>
              <w:t>Curfew</w:t>
            </w:r>
          </w:p>
          <w:p w14:paraId="40334E3C" w14:textId="01E17704" w:rsidR="007F40C8" w:rsidRDefault="007F40C8" w:rsidP="00BB3724">
            <w:pPr>
              <w:pStyle w:val="TableBullet"/>
            </w:pPr>
            <w:r>
              <w:t>No household visitors and 2</w:t>
            </w:r>
            <w:r w:rsidR="00F54789">
              <w:noBreakHyphen/>
            </w:r>
            <w:r>
              <w:t>person limit on exercise</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EDAB9A" w14:textId="3AD309C2" w:rsidR="007F40C8" w:rsidRDefault="007F40C8" w:rsidP="00BB3724">
            <w:pPr>
              <w:pStyle w:val="TableBullet"/>
            </w:pPr>
            <w:r>
              <w:t>5 visitors to household and limited outdoor gatherings e.g., 10</w:t>
            </w:r>
            <w:r w:rsidR="005F4BFA">
              <w:t> </w:t>
            </w:r>
            <w:r>
              <w:t>people</w:t>
            </w:r>
          </w:p>
        </w:tc>
        <w:tc>
          <w:tcPr>
            <w:tcW w:w="10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4311D4" w14:textId="04F6A4A8" w:rsidR="007F40C8" w:rsidRDefault="007F40C8" w:rsidP="00BB3724">
            <w:pPr>
              <w:pStyle w:val="TableBullet"/>
            </w:pPr>
            <w:r>
              <w:t xml:space="preserve">Requirements for </w:t>
            </w:r>
            <w:r w:rsidR="00DE2D41">
              <w:t>record</w:t>
            </w:r>
            <w:r w:rsidR="00F54789">
              <w:noBreakHyphen/>
            </w:r>
            <w:r>
              <w:t>keeping, COVID</w:t>
            </w:r>
            <w:r w:rsidR="00F54789">
              <w:noBreakHyphen/>
            </w:r>
            <w:r>
              <w:t>safe plans</w:t>
            </w:r>
          </w:p>
        </w:tc>
        <w:tc>
          <w:tcPr>
            <w:tcW w:w="1069" w:type="pct"/>
            <w:tcBorders>
              <w:top w:val="single" w:sz="8" w:space="0" w:color="auto"/>
              <w:left w:val="single" w:sz="8" w:space="0" w:color="auto"/>
              <w:bottom w:val="single" w:sz="8" w:space="0" w:color="auto"/>
              <w:right w:val="single" w:sz="8" w:space="0" w:color="auto"/>
            </w:tcBorders>
          </w:tcPr>
          <w:p w14:paraId="470FBD05" w14:textId="15A55802" w:rsidR="007F40C8" w:rsidRDefault="007F40C8" w:rsidP="00902871">
            <w:pPr>
              <w:pStyle w:val="TableBullet"/>
              <w:numPr>
                <w:ilvl w:val="0"/>
                <w:numId w:val="0"/>
              </w:numPr>
            </w:pPr>
          </w:p>
        </w:tc>
      </w:tr>
      <w:bookmarkEnd w:id="11"/>
    </w:tbl>
    <w:p w14:paraId="5FAB6478" w14:textId="77777777" w:rsidR="007F40C8" w:rsidRDefault="007F40C8" w:rsidP="005113BA">
      <w:pPr>
        <w:pStyle w:val="SingleParagraph"/>
      </w:pPr>
    </w:p>
    <w:p w14:paraId="4D3A46BB" w14:textId="77777777" w:rsidR="007F40C8" w:rsidRDefault="007F40C8" w:rsidP="00327F4F">
      <w:r>
        <w:t xml:space="preserve">Applying each bundle of measures generates a direct economic cost, by disrupting or limiting regular economic activity. These costs rise as the severity of the measures increase. </w:t>
      </w:r>
    </w:p>
    <w:p w14:paraId="4FB8466E" w14:textId="7FCFEF08" w:rsidR="007F40C8" w:rsidRDefault="007F40C8" w:rsidP="00327F4F">
      <w:bookmarkStart w:id="12" w:name="_Hlk78115773"/>
      <w:r>
        <w:t xml:space="preserve">Treasury has estimated the </w:t>
      </w:r>
      <w:r w:rsidR="00855E1C">
        <w:t>direct economic</w:t>
      </w:r>
      <w:r>
        <w:t xml:space="preserve"> cost by </w:t>
      </w:r>
      <w:r w:rsidRPr="00485CF5">
        <w:t xml:space="preserve">analysing the </w:t>
      </w:r>
      <w:r>
        <w:t xml:space="preserve">impact </w:t>
      </w:r>
      <w:r w:rsidRPr="00485CF5">
        <w:t xml:space="preserve">on hours worked </w:t>
      </w:r>
      <w:r>
        <w:t>across the economy</w:t>
      </w:r>
      <w:r w:rsidR="00C945CD">
        <w:t xml:space="preserve"> </w:t>
      </w:r>
      <w:r w:rsidRPr="00485CF5">
        <w:t>during comparable lockdown periods in 2020, relative to pre</w:t>
      </w:r>
      <w:r w:rsidR="00F54789">
        <w:noBreakHyphen/>
      </w:r>
      <w:r w:rsidRPr="00485CF5">
        <w:t>COVID levels in February 2020</w:t>
      </w:r>
      <w:r w:rsidR="00F54789">
        <w:t xml:space="preserve"> – </w:t>
      </w:r>
      <w:r>
        <w:t>that is, a reference period of no restrictions</w:t>
      </w:r>
      <w:r w:rsidRPr="00485CF5">
        <w:t>.</w:t>
      </w:r>
      <w:r>
        <w:t xml:space="preserve"> The associated </w:t>
      </w:r>
      <w:r w:rsidRPr="005309F0">
        <w:t xml:space="preserve">fall in </w:t>
      </w:r>
      <w:r>
        <w:t>economic activity is estimated by industry, as measured by Gross Value Added</w:t>
      </w:r>
      <w:r w:rsidR="00B24AB8">
        <w:t xml:space="preserve"> (GVA)</w:t>
      </w:r>
      <w:r w:rsidR="00106C35">
        <w:t xml:space="preserve">. </w:t>
      </w:r>
    </w:p>
    <w:p w14:paraId="6B72C346" w14:textId="474039AF" w:rsidR="007F40C8" w:rsidRDefault="007F40C8" w:rsidP="00327F4F">
      <w:r>
        <w:t xml:space="preserve">These </w:t>
      </w:r>
      <w:r w:rsidR="00C834E0">
        <w:t>industry</w:t>
      </w:r>
      <w:r w:rsidR="00F54789">
        <w:noBreakHyphen/>
      </w:r>
      <w:r>
        <w:t xml:space="preserve">based estimates are then combined to </w:t>
      </w:r>
      <w:r w:rsidRPr="005309F0">
        <w:t>estimate the effect o</w:t>
      </w:r>
      <w:r>
        <w:t>f different bundles of measures o</w:t>
      </w:r>
      <w:r w:rsidRPr="005309F0">
        <w:t xml:space="preserve">n </w:t>
      </w:r>
      <w:r>
        <w:t xml:space="preserve">economic activity at the state and </w:t>
      </w:r>
      <w:r w:rsidRPr="005309F0">
        <w:t>national level.</w:t>
      </w:r>
      <w:r>
        <w:t xml:space="preserve"> </w:t>
      </w:r>
    </w:p>
    <w:p w14:paraId="2CBA420D" w14:textId="615FCC78" w:rsidR="007F40C8" w:rsidRDefault="007F40C8" w:rsidP="00E062A0">
      <w:pPr>
        <w:pStyle w:val="TableMainHeading"/>
      </w:pPr>
      <w:bookmarkStart w:id="13" w:name="_Hlk78117142"/>
      <w:r w:rsidRPr="00B4418A">
        <w:t xml:space="preserve">Table </w:t>
      </w:r>
      <w:r>
        <w:t>3</w:t>
      </w:r>
      <w:r w:rsidRPr="00B4418A">
        <w:t xml:space="preserve">: Direct </w:t>
      </w:r>
      <w:r>
        <w:t xml:space="preserve">National </w:t>
      </w:r>
      <w:r w:rsidRPr="00B4418A">
        <w:t xml:space="preserve">Economic Costs for </w:t>
      </w:r>
      <w:r>
        <w:t>PHSM</w:t>
      </w:r>
      <w:r w:rsidRPr="00B4418A">
        <w:t xml:space="preserve"> Bundles, </w:t>
      </w:r>
      <w:r>
        <w:t>$ billion</w:t>
      </w:r>
      <w:r w:rsidRPr="00B4418A">
        <w:t xml:space="preserve"> per week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98"/>
        <w:gridCol w:w="1341"/>
        <w:gridCol w:w="1341"/>
        <w:gridCol w:w="1341"/>
        <w:gridCol w:w="1339"/>
      </w:tblGrid>
      <w:tr w:rsidR="007F40C8" w:rsidRPr="00E4677D" w14:paraId="5143B22D" w14:textId="77777777" w:rsidTr="005F4BFA">
        <w:trPr>
          <w:cantSplit/>
        </w:trPr>
        <w:tc>
          <w:tcPr>
            <w:tcW w:w="2041" w:type="pct"/>
            <w:shd w:val="clear" w:color="auto" w:fill="auto"/>
            <w:tcMar>
              <w:top w:w="0" w:type="dxa"/>
              <w:left w:w="108" w:type="dxa"/>
              <w:bottom w:w="0" w:type="dxa"/>
              <w:right w:w="108" w:type="dxa"/>
            </w:tcMar>
          </w:tcPr>
          <w:p w14:paraId="0084BCAD" w14:textId="77777777" w:rsidR="007F40C8" w:rsidRPr="00E4677D" w:rsidRDefault="007F40C8" w:rsidP="007F40C8">
            <w:pPr>
              <w:tabs>
                <w:tab w:val="left" w:pos="720"/>
              </w:tabs>
              <w:spacing w:after="0"/>
              <w:ind w:firstLine="22"/>
              <w:jc w:val="both"/>
              <w:rPr>
                <w:rFonts w:cstheme="minorHAnsi"/>
                <w:u w:val="single"/>
              </w:rPr>
            </w:pPr>
          </w:p>
        </w:tc>
        <w:tc>
          <w:tcPr>
            <w:tcW w:w="740" w:type="pct"/>
            <w:shd w:val="clear" w:color="auto" w:fill="auto"/>
            <w:tcMar>
              <w:top w:w="0" w:type="dxa"/>
              <w:left w:w="108" w:type="dxa"/>
              <w:bottom w:w="0" w:type="dxa"/>
              <w:right w:w="108" w:type="dxa"/>
            </w:tcMar>
            <w:vAlign w:val="center"/>
            <w:hideMark/>
          </w:tcPr>
          <w:p w14:paraId="7F46E50D" w14:textId="77777777" w:rsidR="007F40C8" w:rsidRPr="00E4677D" w:rsidRDefault="007F40C8" w:rsidP="005113BA">
            <w:pPr>
              <w:pStyle w:val="TableColumnHeadingCentred"/>
            </w:pPr>
            <w:r w:rsidRPr="00E4677D">
              <w:t>Strict</w:t>
            </w:r>
          </w:p>
          <w:p w14:paraId="5DCE2A5E" w14:textId="3333FB66" w:rsidR="007F40C8" w:rsidRPr="005113BA" w:rsidRDefault="007F40C8" w:rsidP="005113BA">
            <w:pPr>
              <w:pStyle w:val="TableColumnHeadingCentred"/>
              <w:rPr>
                <w:b w:val="0"/>
                <w:bCs/>
              </w:rPr>
            </w:pPr>
            <w:r w:rsidRPr="005113BA">
              <w:rPr>
                <w:b w:val="0"/>
                <w:bCs/>
              </w:rPr>
              <w:t>($</w:t>
            </w:r>
            <w:r w:rsidR="00835B5C">
              <w:rPr>
                <w:b w:val="0"/>
                <w:bCs/>
              </w:rPr>
              <w:t>b per week</w:t>
            </w:r>
            <w:r w:rsidRPr="005113BA">
              <w:rPr>
                <w:b w:val="0"/>
                <w:bCs/>
              </w:rPr>
              <w:t>)</w:t>
            </w:r>
          </w:p>
        </w:tc>
        <w:tc>
          <w:tcPr>
            <w:tcW w:w="740" w:type="pct"/>
            <w:shd w:val="clear" w:color="auto" w:fill="auto"/>
            <w:tcMar>
              <w:top w:w="0" w:type="dxa"/>
              <w:left w:w="108" w:type="dxa"/>
              <w:bottom w:w="0" w:type="dxa"/>
              <w:right w:w="108" w:type="dxa"/>
            </w:tcMar>
            <w:vAlign w:val="center"/>
          </w:tcPr>
          <w:p w14:paraId="493C4D43" w14:textId="77777777" w:rsidR="007F40C8" w:rsidRPr="00E4677D" w:rsidRDefault="007F40C8" w:rsidP="005113BA">
            <w:pPr>
              <w:pStyle w:val="TableColumnHeadingCentred"/>
            </w:pPr>
            <w:r w:rsidRPr="00E4677D">
              <w:t>Moderate</w:t>
            </w:r>
          </w:p>
          <w:p w14:paraId="296CD982" w14:textId="6C404FCB" w:rsidR="007F40C8" w:rsidRPr="005113BA" w:rsidRDefault="00835B5C" w:rsidP="005113BA">
            <w:pPr>
              <w:pStyle w:val="TableColumnHeadingCentred"/>
              <w:rPr>
                <w:b w:val="0"/>
                <w:bCs/>
              </w:rPr>
            </w:pPr>
            <w:r w:rsidRPr="005113BA">
              <w:rPr>
                <w:b w:val="0"/>
                <w:bCs/>
              </w:rPr>
              <w:t>($</w:t>
            </w:r>
            <w:r>
              <w:rPr>
                <w:b w:val="0"/>
                <w:bCs/>
              </w:rPr>
              <w:t>b per week</w:t>
            </w:r>
            <w:r w:rsidRPr="005113BA">
              <w:rPr>
                <w:b w:val="0"/>
                <w:bCs/>
              </w:rPr>
              <w:t>)</w:t>
            </w:r>
          </w:p>
        </w:tc>
        <w:tc>
          <w:tcPr>
            <w:tcW w:w="740" w:type="pct"/>
            <w:shd w:val="clear" w:color="auto" w:fill="auto"/>
            <w:tcMar>
              <w:top w:w="0" w:type="dxa"/>
              <w:left w:w="108" w:type="dxa"/>
              <w:bottom w:w="0" w:type="dxa"/>
              <w:right w:w="108" w:type="dxa"/>
            </w:tcMar>
            <w:vAlign w:val="center"/>
            <w:hideMark/>
          </w:tcPr>
          <w:p w14:paraId="4FE125B8" w14:textId="7A42137B" w:rsidR="007F40C8" w:rsidRPr="00E4677D" w:rsidRDefault="009C5C44" w:rsidP="005113BA">
            <w:pPr>
              <w:pStyle w:val="TableColumnHeadingCentred"/>
            </w:pPr>
            <w:r w:rsidRPr="00E4677D">
              <w:t>L</w:t>
            </w:r>
            <w:r>
              <w:t>ow</w:t>
            </w:r>
          </w:p>
          <w:p w14:paraId="0B70E75A" w14:textId="53F255E3" w:rsidR="007F40C8" w:rsidRPr="005113BA" w:rsidRDefault="00835B5C" w:rsidP="005113BA">
            <w:pPr>
              <w:pStyle w:val="TableColumnHeadingCentred"/>
              <w:rPr>
                <w:b w:val="0"/>
                <w:bCs/>
              </w:rPr>
            </w:pPr>
            <w:r w:rsidRPr="005113BA">
              <w:rPr>
                <w:b w:val="0"/>
                <w:bCs/>
              </w:rPr>
              <w:t>($</w:t>
            </w:r>
            <w:r>
              <w:rPr>
                <w:b w:val="0"/>
                <w:bCs/>
              </w:rPr>
              <w:t>b per week</w:t>
            </w:r>
            <w:r w:rsidRPr="005113BA">
              <w:rPr>
                <w:b w:val="0"/>
                <w:bCs/>
              </w:rPr>
              <w:t>)</w:t>
            </w:r>
          </w:p>
        </w:tc>
        <w:tc>
          <w:tcPr>
            <w:tcW w:w="740" w:type="pct"/>
            <w:vAlign w:val="center"/>
          </w:tcPr>
          <w:p w14:paraId="05682391" w14:textId="77777777" w:rsidR="007F40C8" w:rsidRPr="00E4677D" w:rsidRDefault="007F40C8" w:rsidP="005113BA">
            <w:pPr>
              <w:pStyle w:val="TableColumnHeadingCentred"/>
            </w:pPr>
            <w:r w:rsidRPr="00E4677D">
              <w:t>Baseline</w:t>
            </w:r>
          </w:p>
          <w:p w14:paraId="6A6051BE" w14:textId="77777777" w:rsidR="005523CF" w:rsidRDefault="00835B5C" w:rsidP="005113BA">
            <w:pPr>
              <w:pStyle w:val="TableColumnHeadingCentred"/>
              <w:rPr>
                <w:b w:val="0"/>
                <w:bCs/>
              </w:rPr>
            </w:pPr>
            <w:r w:rsidRPr="005113BA">
              <w:rPr>
                <w:b w:val="0"/>
                <w:bCs/>
              </w:rPr>
              <w:t>($</w:t>
            </w:r>
            <w:r>
              <w:rPr>
                <w:b w:val="0"/>
                <w:bCs/>
              </w:rPr>
              <w:t xml:space="preserve">b per </w:t>
            </w:r>
          </w:p>
          <w:p w14:paraId="07292A2D" w14:textId="12D5B737" w:rsidR="007F40C8" w:rsidRPr="005113BA" w:rsidRDefault="00835B5C" w:rsidP="005113BA">
            <w:pPr>
              <w:pStyle w:val="TableColumnHeadingCentred"/>
              <w:rPr>
                <w:b w:val="0"/>
                <w:bCs/>
              </w:rPr>
            </w:pPr>
            <w:r>
              <w:rPr>
                <w:b w:val="0"/>
                <w:bCs/>
              </w:rPr>
              <w:t>week</w:t>
            </w:r>
            <w:r w:rsidRPr="005113BA">
              <w:rPr>
                <w:b w:val="0"/>
                <w:bCs/>
              </w:rPr>
              <w:t>)</w:t>
            </w:r>
          </w:p>
        </w:tc>
      </w:tr>
      <w:tr w:rsidR="007F40C8" w:rsidRPr="00E4677D" w14:paraId="76EE583B" w14:textId="77777777" w:rsidTr="005F4BFA">
        <w:trPr>
          <w:cantSplit/>
        </w:trPr>
        <w:tc>
          <w:tcPr>
            <w:tcW w:w="2041" w:type="pct"/>
            <w:shd w:val="clear" w:color="auto" w:fill="auto"/>
            <w:tcMar>
              <w:top w:w="0" w:type="dxa"/>
              <w:left w:w="108" w:type="dxa"/>
              <w:bottom w:w="0" w:type="dxa"/>
              <w:right w:w="108" w:type="dxa"/>
            </w:tcMar>
          </w:tcPr>
          <w:p w14:paraId="2D173A2C" w14:textId="71270531" w:rsidR="007F40C8" w:rsidRPr="00E4677D" w:rsidRDefault="007F40C8" w:rsidP="005113BA">
            <w:pPr>
              <w:pStyle w:val="TableColumnHeadingLeft"/>
            </w:pPr>
            <w:r w:rsidRPr="00E4677D">
              <w:t>Cost of restrictions applied nation</w:t>
            </w:r>
            <w:r w:rsidR="00F54789">
              <w:noBreakHyphen/>
            </w:r>
            <w:r w:rsidRPr="00E4677D">
              <w:t>wide</w:t>
            </w:r>
          </w:p>
        </w:tc>
        <w:tc>
          <w:tcPr>
            <w:tcW w:w="740" w:type="pct"/>
            <w:shd w:val="clear" w:color="auto" w:fill="auto"/>
            <w:tcMar>
              <w:top w:w="0" w:type="dxa"/>
              <w:left w:w="108" w:type="dxa"/>
              <w:bottom w:w="0" w:type="dxa"/>
              <w:right w:w="108" w:type="dxa"/>
            </w:tcMar>
            <w:vAlign w:val="center"/>
          </w:tcPr>
          <w:p w14:paraId="6F1F6AF2" w14:textId="77777777" w:rsidR="007F40C8" w:rsidRPr="00E4677D" w:rsidRDefault="007F40C8" w:rsidP="005113BA">
            <w:pPr>
              <w:pStyle w:val="TableTextCentered"/>
              <w:rPr>
                <w:b/>
                <w:highlight w:val="yellow"/>
              </w:rPr>
            </w:pPr>
            <w:r w:rsidRPr="00E4677D">
              <w:t>3.2</w:t>
            </w:r>
          </w:p>
        </w:tc>
        <w:tc>
          <w:tcPr>
            <w:tcW w:w="740" w:type="pct"/>
            <w:shd w:val="clear" w:color="auto" w:fill="auto"/>
            <w:tcMar>
              <w:top w:w="0" w:type="dxa"/>
              <w:left w:w="108" w:type="dxa"/>
              <w:bottom w:w="0" w:type="dxa"/>
              <w:right w:w="108" w:type="dxa"/>
            </w:tcMar>
            <w:vAlign w:val="center"/>
          </w:tcPr>
          <w:p w14:paraId="2356B243" w14:textId="77777777" w:rsidR="007F40C8" w:rsidRPr="00E4677D" w:rsidRDefault="007F40C8" w:rsidP="005113BA">
            <w:pPr>
              <w:pStyle w:val="TableTextCentered"/>
              <w:rPr>
                <w:b/>
                <w:highlight w:val="yellow"/>
              </w:rPr>
            </w:pPr>
            <w:r w:rsidRPr="00E4677D">
              <w:t>2.35</w:t>
            </w:r>
          </w:p>
        </w:tc>
        <w:tc>
          <w:tcPr>
            <w:tcW w:w="740" w:type="pct"/>
            <w:shd w:val="clear" w:color="auto" w:fill="auto"/>
            <w:tcMar>
              <w:top w:w="0" w:type="dxa"/>
              <w:left w:w="108" w:type="dxa"/>
              <w:bottom w:w="0" w:type="dxa"/>
              <w:right w:w="108" w:type="dxa"/>
            </w:tcMar>
            <w:vAlign w:val="center"/>
          </w:tcPr>
          <w:p w14:paraId="500180FE" w14:textId="77777777" w:rsidR="007F40C8" w:rsidRPr="00E4677D" w:rsidRDefault="007F40C8" w:rsidP="005113BA">
            <w:pPr>
              <w:pStyle w:val="TableTextCentered"/>
              <w:rPr>
                <w:b/>
                <w:highlight w:val="yellow"/>
              </w:rPr>
            </w:pPr>
            <w:r w:rsidRPr="00E4677D">
              <w:t>0.65</w:t>
            </w:r>
          </w:p>
        </w:tc>
        <w:tc>
          <w:tcPr>
            <w:tcW w:w="740" w:type="pct"/>
            <w:vAlign w:val="center"/>
          </w:tcPr>
          <w:p w14:paraId="64BE6324" w14:textId="77777777" w:rsidR="007F40C8" w:rsidRPr="00E4677D" w:rsidRDefault="007F40C8" w:rsidP="005113BA">
            <w:pPr>
              <w:pStyle w:val="TableTextCentered"/>
              <w:rPr>
                <w:b/>
                <w:highlight w:val="yellow"/>
              </w:rPr>
            </w:pPr>
            <w:r w:rsidRPr="00E4677D">
              <w:t>0.1</w:t>
            </w:r>
          </w:p>
        </w:tc>
      </w:tr>
    </w:tbl>
    <w:bookmarkEnd w:id="13"/>
    <w:p w14:paraId="30BBCED0" w14:textId="5577C9B6" w:rsidR="007F40C8" w:rsidRPr="00902871" w:rsidRDefault="00C13D74" w:rsidP="00902871">
      <w:pPr>
        <w:pStyle w:val="Bullet"/>
        <w:numPr>
          <w:ilvl w:val="0"/>
          <w:numId w:val="0"/>
        </w:numPr>
        <w:rPr>
          <w:sz w:val="18"/>
          <w:szCs w:val="18"/>
        </w:rPr>
      </w:pPr>
      <w:r w:rsidRPr="00B713D7">
        <w:rPr>
          <w:sz w:val="18"/>
          <w:szCs w:val="18"/>
        </w:rPr>
        <w:t>Note: Treasury analysis of cost of restrictions on a national basis.</w:t>
      </w:r>
    </w:p>
    <w:p w14:paraId="2FF9D350" w14:textId="57F75B8F" w:rsidR="007F40C8" w:rsidRDefault="007F40C8" w:rsidP="00327F4F">
      <w:r>
        <w:t>These direct measures of economic costs do not explicitly attempt to capture flow</w:t>
      </w:r>
      <w:r w:rsidR="00F54789">
        <w:noBreakHyphen/>
      </w:r>
      <w:r>
        <w:t>on indirect economic effects, such as on consumer or business confidence or supply chain disruptions of specific measures</w:t>
      </w:r>
      <w:r w:rsidR="00106C35">
        <w:t xml:space="preserve">. </w:t>
      </w:r>
      <w:r>
        <w:t>The analysis also does not capture distributional impacts that may vary depending on the region in lockdown or the econ</w:t>
      </w:r>
      <w:r w:rsidRPr="003B3B6D">
        <w:t xml:space="preserve">omic costs associated with health and social outcomes, such as the </w:t>
      </w:r>
      <w:r>
        <w:t xml:space="preserve">direct </w:t>
      </w:r>
      <w:r w:rsidRPr="003B3B6D">
        <w:t>cost of hospitalisations</w:t>
      </w:r>
      <w:r>
        <w:t xml:space="preserve"> and </w:t>
      </w:r>
      <w:r w:rsidRPr="003B3B6D">
        <w:t>death</w:t>
      </w:r>
      <w:r w:rsidR="006727E2">
        <w:t>s</w:t>
      </w:r>
      <w:r>
        <w:t xml:space="preserve">. </w:t>
      </w:r>
    </w:p>
    <w:p w14:paraId="1E2C5E0F" w14:textId="26EB89DF" w:rsidR="007F40C8" w:rsidRPr="003B3B6D" w:rsidRDefault="007F40C8" w:rsidP="00327F4F">
      <w:r>
        <w:t xml:space="preserve">The estimated costs per week also do not make allowance for possible </w:t>
      </w:r>
      <w:r w:rsidRPr="008A1ADD">
        <w:t xml:space="preserve">compounding </w:t>
      </w:r>
      <w:r>
        <w:t xml:space="preserve">or </w:t>
      </w:r>
      <w:r w:rsidR="00F54789">
        <w:t>‘</w:t>
      </w:r>
      <w:r w:rsidRPr="008A1ADD">
        <w:t>scarring</w:t>
      </w:r>
      <w:r w:rsidR="00F54789">
        <w:t>’</w:t>
      </w:r>
      <w:r w:rsidRPr="008A1ADD">
        <w:t xml:space="preserve"> impacts if restrictions such as lockdowns </w:t>
      </w:r>
      <w:r>
        <w:t xml:space="preserve">are repeated or sustained </w:t>
      </w:r>
      <w:r w:rsidRPr="008A1ADD">
        <w:t>over longer durations</w:t>
      </w:r>
      <w:r w:rsidR="00106C35">
        <w:t xml:space="preserve">. </w:t>
      </w:r>
      <w:r>
        <w:t>However, to date, evidence of this form of scarring has been limited, with economic activity generally rebounding quickly once restrictions are removed.</w:t>
      </w:r>
      <w:r>
        <w:rPr>
          <w:rStyle w:val="FootnoteReference"/>
        </w:rPr>
        <w:footnoteReference w:id="4"/>
      </w:r>
      <w:r>
        <w:t xml:space="preserve"> Many businesses have also made changes to adapt their operations to better manage the impacts of restrictions.</w:t>
      </w:r>
      <w:r w:rsidRPr="003B3B6D">
        <w:t xml:space="preserve"> </w:t>
      </w:r>
      <w:r w:rsidR="0034039D" w:rsidRPr="0034039D">
        <w:t>Likewise, consumers have also made changes to their behaviour and spending patter</w:t>
      </w:r>
      <w:r w:rsidR="0034039D">
        <w:t>n</w:t>
      </w:r>
      <w:r w:rsidR="0034039D" w:rsidRPr="0034039D">
        <w:t>s to manage the impact of restrictions such as shifting to online shopping.</w:t>
      </w:r>
    </w:p>
    <w:p w14:paraId="27212F8E" w14:textId="6FA0AF85" w:rsidR="007F40C8" w:rsidRDefault="007F40C8" w:rsidP="00327F4F">
      <w:r>
        <w:t>Significant f</w:t>
      </w:r>
      <w:r w:rsidRPr="00E04CBD">
        <w:t>iscal support</w:t>
      </w:r>
      <w:r>
        <w:t xml:space="preserve"> has been provided by State and Commonwealth Governments to businesses and individuals during this pandemic to help to offset the cost of public health measures such as lockdowns and reduce the risk of compounding or scarring effects</w:t>
      </w:r>
      <w:r w:rsidR="00106C35">
        <w:t xml:space="preserve">. </w:t>
      </w:r>
      <w:r>
        <w:t>For the purposes of this analysis, it is assumed that fiscal support continues to be provided as restrictions are applied</w:t>
      </w:r>
      <w:r w:rsidR="00F54789">
        <w:t xml:space="preserve">. </w:t>
      </w:r>
    </w:p>
    <w:p w14:paraId="3F2A26B7" w14:textId="22E7123A" w:rsidR="007F40C8" w:rsidRDefault="007F40C8" w:rsidP="00327F4F">
      <w:r>
        <w:t>The direct costs to Government of providing this support are not included in the economic impact estimates presented in Table 3 and are difficult to estimate</w:t>
      </w:r>
      <w:r w:rsidR="00106C35">
        <w:t xml:space="preserve">. </w:t>
      </w:r>
      <w:r w:rsidRPr="00F72960">
        <w:t xml:space="preserve">There are a </w:t>
      </w:r>
      <w:r>
        <w:t xml:space="preserve">range </w:t>
      </w:r>
      <w:r w:rsidRPr="00F72960">
        <w:t>of factors to consider, including: the industry composition and labour market conditions present in the region under lockdown</w:t>
      </w:r>
      <w:r>
        <w:t xml:space="preserve">; the </w:t>
      </w:r>
      <w:r w:rsidRPr="00F72960">
        <w:t>duration and severity of restrictions</w:t>
      </w:r>
      <w:r>
        <w:t>;</w:t>
      </w:r>
      <w:r w:rsidRPr="00F72960">
        <w:t xml:space="preserve"> the application of restrictions across sectors</w:t>
      </w:r>
      <w:r>
        <w:t>;</w:t>
      </w:r>
      <w:r w:rsidRPr="00F72960">
        <w:t xml:space="preserve"> and </w:t>
      </w:r>
      <w:r w:rsidRPr="00327F4F">
        <w:t xml:space="preserve">eligibility requirements for payments (such as length of time restrictions must be in place). However, were fiscal costs </w:t>
      </w:r>
      <w:r w:rsidR="0034039D">
        <w:t>included</w:t>
      </w:r>
      <w:r w:rsidRPr="00327F4F">
        <w:t>, it would increase the estimated costs associated with strict and moderate lockdowns, further reinforcing the key conclusions of this analysis</w:t>
      </w:r>
      <w:r w:rsidR="00106C35">
        <w:t xml:space="preserve">. </w:t>
      </w:r>
    </w:p>
    <w:p w14:paraId="4F1C02EF" w14:textId="15B30387" w:rsidR="007F40C8" w:rsidRPr="002078AC" w:rsidRDefault="007F40C8" w:rsidP="007F40C8">
      <w:pPr>
        <w:pStyle w:val="Heading2"/>
      </w:pPr>
      <w:bookmarkStart w:id="14" w:name="_Hlk78379844"/>
      <w:bookmarkStart w:id="15" w:name="_Toc78902073"/>
      <w:bookmarkEnd w:id="12"/>
      <w:r w:rsidRPr="002078AC">
        <w:t xml:space="preserve">Economic </w:t>
      </w:r>
      <w:r>
        <w:t xml:space="preserve">Costs Under a </w:t>
      </w:r>
      <w:r w:rsidRPr="002078AC">
        <w:t>Strategy</w:t>
      </w:r>
      <w:bookmarkEnd w:id="14"/>
      <w:r w:rsidR="00B755B9">
        <w:t xml:space="preserve"> to Minimise Cases</w:t>
      </w:r>
      <w:bookmarkEnd w:id="15"/>
    </w:p>
    <w:p w14:paraId="00A97D78" w14:textId="466A4B50" w:rsidR="007F40C8" w:rsidRDefault="007F40C8" w:rsidP="00327F4F">
      <w:r>
        <w:t>Australia currently manages COVID</w:t>
      </w:r>
      <w:r w:rsidR="00F54789">
        <w:noBreakHyphen/>
      </w:r>
      <w:r>
        <w:t>19 by seeking to suppress the virus and minimise case numbers</w:t>
      </w:r>
      <w:r w:rsidR="00804E5D">
        <w:t>. I</w:t>
      </w:r>
      <w:r>
        <w:t xml:space="preserve">ntermittent local outbreaks are responded to with strict lockdowns that eliminate community transmission, and case numbers are consistently kept low enough for TTIQ protocols to be optimally effective. </w:t>
      </w:r>
    </w:p>
    <w:p w14:paraId="013F14A0" w14:textId="0E0BB4F9" w:rsidR="007F40C8" w:rsidRDefault="007F40C8" w:rsidP="00327F4F">
      <w:r>
        <w:t xml:space="preserve">The Doherty Institute provides guidance on how long restrictions need to be applied to bring these outbreaks under control, using each bundle of PHSMs and for each level of vaccination. However, to assess the direct costs of maintaining this </w:t>
      </w:r>
      <w:r w:rsidR="002464A4">
        <w:t xml:space="preserve">minimisation </w:t>
      </w:r>
      <w:r>
        <w:t>strategy, it is also necessary to make an assumption about the frequency of outbreaks in the community</w:t>
      </w:r>
      <w:r w:rsidR="00106C35">
        <w:t xml:space="preserve">. </w:t>
      </w:r>
    </w:p>
    <w:p w14:paraId="6C070229" w14:textId="609A0538" w:rsidR="007F40C8" w:rsidRDefault="007F40C8" w:rsidP="00327F4F">
      <w:r>
        <w:t xml:space="preserve">In consultation with the </w:t>
      </w:r>
      <w:r w:rsidR="007B54CF" w:rsidRPr="007B54CF">
        <w:t xml:space="preserve">Australian Government Department of Health </w:t>
      </w:r>
      <w:r>
        <w:t>and the Doherty Institute and drawing on recent experience with the Delta variant, Treasury assumes that there will be, on average, five separate outbreaks in the community every quarter, each affecting one large metropolitan area, or around 20</w:t>
      </w:r>
      <w:r w:rsidR="00467D22">
        <w:t> </w:t>
      </w:r>
      <w:r>
        <w:t xml:space="preserve">per cent of the national economy. </w:t>
      </w:r>
    </w:p>
    <w:p w14:paraId="63EAC189" w14:textId="0FC713AF" w:rsidR="007F40C8" w:rsidRDefault="007F40C8" w:rsidP="00327F4F">
      <w:pPr>
        <w:rPr>
          <w:color w:val="000000" w:themeColor="text1"/>
        </w:rPr>
      </w:pPr>
      <w:r>
        <w:t xml:space="preserve">It is further assumed that below vaccination rates of 60 per cent, these five outbreaks will each require strict lockdowns (High PHSM) to be applied for, on average, two weeks to bring community transmission back to zero (a cumulative total of </w:t>
      </w:r>
      <w:r w:rsidR="000C6D8D">
        <w:t xml:space="preserve">10 </w:t>
      </w:r>
      <w:r>
        <w:t xml:space="preserve">weeks per quarter). In practice, </w:t>
      </w:r>
      <w:r>
        <w:rPr>
          <w:color w:val="000000" w:themeColor="text1"/>
        </w:rPr>
        <w:t>s</w:t>
      </w:r>
      <w:r w:rsidRPr="002448A0">
        <w:rPr>
          <w:color w:val="000000" w:themeColor="text1"/>
        </w:rPr>
        <w:t xml:space="preserve">ome outbreaks may </w:t>
      </w:r>
      <w:r>
        <w:rPr>
          <w:color w:val="000000" w:themeColor="text1"/>
        </w:rPr>
        <w:t xml:space="preserve">only require </w:t>
      </w:r>
      <w:r w:rsidRPr="002448A0">
        <w:rPr>
          <w:color w:val="000000" w:themeColor="text1"/>
        </w:rPr>
        <w:t>short, sharp lockdown</w:t>
      </w:r>
      <w:r>
        <w:rPr>
          <w:color w:val="000000" w:themeColor="text1"/>
        </w:rPr>
        <w:t>s</w:t>
      </w:r>
      <w:r w:rsidRPr="002448A0">
        <w:rPr>
          <w:color w:val="000000" w:themeColor="text1"/>
        </w:rPr>
        <w:t>, while in other cases, a longer lockdown may be necessary</w:t>
      </w:r>
      <w:r>
        <w:rPr>
          <w:rStyle w:val="FootnoteReference"/>
        </w:rPr>
        <w:footnoteReference w:id="5"/>
      </w:r>
      <w:r w:rsidRPr="002448A0">
        <w:rPr>
          <w:color w:val="000000" w:themeColor="text1"/>
        </w:rPr>
        <w:t>.</w:t>
      </w:r>
      <w:r>
        <w:rPr>
          <w:color w:val="000000" w:themeColor="text1"/>
        </w:rPr>
        <w:t xml:space="preserve"> </w:t>
      </w:r>
    </w:p>
    <w:p w14:paraId="400F7FCF" w14:textId="268D0BB0" w:rsidR="007F40C8" w:rsidRDefault="007F40C8" w:rsidP="00327F4F">
      <w:pPr>
        <w:rPr>
          <w:color w:val="000000" w:themeColor="text1"/>
        </w:rPr>
      </w:pPr>
      <w:r>
        <w:rPr>
          <w:color w:val="000000" w:themeColor="text1"/>
        </w:rPr>
        <w:t xml:space="preserve">The costs of restrictions will also vary depending on the metropolitan areas affected. For modelling purposes, we construct a representative metropolitan region, </w:t>
      </w:r>
      <w:r w:rsidR="000C6D8D">
        <w:rPr>
          <w:color w:val="000000" w:themeColor="text1"/>
        </w:rPr>
        <w:t>equal to around 20</w:t>
      </w:r>
      <w:r w:rsidR="00FA6420">
        <w:rPr>
          <w:color w:val="000000" w:themeColor="text1"/>
        </w:rPr>
        <w:t xml:space="preserve"> per cent</w:t>
      </w:r>
      <w:r w:rsidR="000C6D8D">
        <w:rPr>
          <w:color w:val="000000" w:themeColor="text1"/>
        </w:rPr>
        <w:t xml:space="preserve"> of the national economy</w:t>
      </w:r>
      <w:r w:rsidR="00A60D0B">
        <w:rPr>
          <w:color w:val="000000" w:themeColor="text1"/>
        </w:rPr>
        <w:t>.</w:t>
      </w:r>
      <w:r w:rsidR="000C6D8D">
        <w:rPr>
          <w:color w:val="000000" w:themeColor="text1"/>
        </w:rPr>
        <w:t xml:space="preserve"> </w:t>
      </w:r>
      <w:r w:rsidR="000C6D8D" w:rsidRPr="000C6D8D">
        <w:rPr>
          <w:color w:val="000000" w:themeColor="text1"/>
        </w:rPr>
        <w:t xml:space="preserve">The relevant restrictions are applied to this representative region to estimate the cost of an outbreak under the </w:t>
      </w:r>
      <w:r w:rsidR="00AC02CE">
        <w:rPr>
          <w:color w:val="000000" w:themeColor="text1"/>
        </w:rPr>
        <w:t>minimisation</w:t>
      </w:r>
      <w:r w:rsidR="000C6D8D" w:rsidRPr="000C6D8D">
        <w:rPr>
          <w:color w:val="000000" w:themeColor="text1"/>
        </w:rPr>
        <w:t xml:space="preserve"> scenario.</w:t>
      </w:r>
    </w:p>
    <w:p w14:paraId="2DA6F647" w14:textId="60B535E7" w:rsidR="007F40C8" w:rsidRDefault="007F40C8" w:rsidP="00327F4F">
      <w:r>
        <w:t xml:space="preserve">Importantly, this does not represent a forecast of what will occur over coming months across the Australian community. There are extremely high levels of uncertainty around this assumption and the actual number and form of outbreaks could </w:t>
      </w:r>
      <w:r w:rsidR="0043257D">
        <w:t xml:space="preserve">differ </w:t>
      </w:r>
      <w:r>
        <w:t>substantially.</w:t>
      </w:r>
    </w:p>
    <w:p w14:paraId="7942BF9B" w14:textId="77777777" w:rsidR="007F40C8" w:rsidRPr="00F235F7" w:rsidRDefault="007F40C8" w:rsidP="0004487E">
      <w:pPr>
        <w:pStyle w:val="Heading2"/>
      </w:pPr>
      <w:bookmarkStart w:id="16" w:name="_Toc78889978"/>
      <w:bookmarkStart w:id="17" w:name="_Toc78902074"/>
      <w:r>
        <w:t>Economic Costs Assuming Ongoing Baseline Restrictions</w:t>
      </w:r>
      <w:bookmarkEnd w:id="16"/>
      <w:bookmarkEnd w:id="17"/>
    </w:p>
    <w:p w14:paraId="10BD97E5" w14:textId="45A3F3D5" w:rsidR="007F40C8" w:rsidRDefault="007F40C8" w:rsidP="007F40C8">
      <w:r>
        <w:t xml:space="preserve">Using the outbreak assumptions outlined above and </w:t>
      </w:r>
      <w:r w:rsidR="009C5B3D">
        <w:t xml:space="preserve">the </w:t>
      </w:r>
      <w:r>
        <w:t xml:space="preserve">Doherty </w:t>
      </w:r>
      <w:r w:rsidR="009C5B3D">
        <w:t>Institute</w:t>
      </w:r>
      <w:r w:rsidR="00F54789">
        <w:t>’</w:t>
      </w:r>
      <w:r w:rsidR="009C5B3D">
        <w:t xml:space="preserve">s </w:t>
      </w:r>
      <w:r>
        <w:t xml:space="preserve">estimates of how </w:t>
      </w:r>
      <w:r w:rsidRPr="003D53C4">
        <w:t xml:space="preserve">the total </w:t>
      </w:r>
      <w:r>
        <w:t xml:space="preserve">amount of time required in </w:t>
      </w:r>
      <w:r w:rsidRPr="003D53C4">
        <w:t xml:space="preserve">lockdown to </w:t>
      </w:r>
      <w:r w:rsidR="00476550">
        <w:t xml:space="preserve">minimise cases in </w:t>
      </w:r>
      <w:r w:rsidRPr="003D53C4">
        <w:t>an outbreak is expected to decrease</w:t>
      </w:r>
      <w:r>
        <w:t xml:space="preserve"> as vaccination rates increase, Treasury </w:t>
      </w:r>
      <w:r w:rsidR="008E369A">
        <w:t>(in consultation with the Department of Health and the Doherty Institute)</w:t>
      </w:r>
      <w:r w:rsidR="00602CD7">
        <w:t xml:space="preserve"> </w:t>
      </w:r>
      <w:r>
        <w:t xml:space="preserve">has estimated the number of days restrictions are expected to be required per quarter to </w:t>
      </w:r>
      <w:r w:rsidR="00A34D3E">
        <w:t>minimise cases</w:t>
      </w:r>
      <w:r>
        <w:t>, if baseline restrictions are constantly applied</w:t>
      </w:r>
      <w:r w:rsidR="00106C35">
        <w:t xml:space="preserve">. </w:t>
      </w:r>
    </w:p>
    <w:p w14:paraId="5478E5F6" w14:textId="64583BD3" w:rsidR="007F40C8" w:rsidRDefault="009C5B3D" w:rsidP="007F40C8">
      <w:r>
        <w:t>At 50</w:t>
      </w:r>
      <w:r w:rsidR="00A95331">
        <w:t xml:space="preserve"> per cent</w:t>
      </w:r>
      <w:r>
        <w:t xml:space="preserve"> vaccination rates, </w:t>
      </w:r>
      <w:r w:rsidR="00BA4E20">
        <w:t>minimisation of cases</w:t>
      </w:r>
      <w:r>
        <w:t xml:space="preserve"> can only be achieved by applying strict lockdowns. </w:t>
      </w:r>
      <w:r w:rsidR="007F40C8">
        <w:t>At vaccination rates of 60</w:t>
      </w:r>
      <w:r w:rsidR="00A95331">
        <w:t xml:space="preserve"> per cent </w:t>
      </w:r>
      <w:r w:rsidR="007F40C8">
        <w:t>or above, different approaches can be applied</w:t>
      </w:r>
      <w:r w:rsidR="00106C35">
        <w:t xml:space="preserve">. </w:t>
      </w:r>
      <w:r w:rsidR="007F40C8">
        <w:t>For example, at 60</w:t>
      </w:r>
      <w:r w:rsidR="00A95331">
        <w:t xml:space="preserve"> per cent</w:t>
      </w:r>
      <w:r w:rsidR="009574D8">
        <w:t> </w:t>
      </w:r>
      <w:r w:rsidR="007F40C8">
        <w:t xml:space="preserve">vaccination rates, </w:t>
      </w:r>
      <w:r w:rsidR="00BA4E20">
        <w:t>cases can be minimised</w:t>
      </w:r>
      <w:r w:rsidR="007F40C8">
        <w:t xml:space="preserve"> by either applying moderate lockdowns for 78</w:t>
      </w:r>
      <w:r w:rsidR="009574D8">
        <w:t> </w:t>
      </w:r>
      <w:r w:rsidR="007F40C8">
        <w:t xml:space="preserve">days per quarter </w:t>
      </w:r>
      <w:r w:rsidR="007F40C8" w:rsidRPr="003E44AC">
        <w:rPr>
          <w:u w:val="single"/>
        </w:rPr>
        <w:t>or</w:t>
      </w:r>
      <w:r w:rsidR="007F40C8">
        <w:t xml:space="preserve"> by applying strict lockdowns for 48 days per quarter</w:t>
      </w:r>
      <w:r w:rsidR="00106C35">
        <w:t xml:space="preserve">. </w:t>
      </w:r>
      <w:r w:rsidR="003972F0">
        <w:t>At 70</w:t>
      </w:r>
      <w:r w:rsidR="005F4BFA">
        <w:t> </w:t>
      </w:r>
      <w:r w:rsidR="003972F0">
        <w:t>per</w:t>
      </w:r>
      <w:r w:rsidR="005F4BFA">
        <w:t> </w:t>
      </w:r>
      <w:r w:rsidR="003972F0">
        <w:t xml:space="preserve">cent vaccination rates, cases can be minimised by either applying strict or moderate lockdowns, </w:t>
      </w:r>
      <w:r w:rsidR="003972F0" w:rsidRPr="002A4989">
        <w:rPr>
          <w:u w:val="single"/>
        </w:rPr>
        <w:t>or</w:t>
      </w:r>
      <w:r w:rsidR="003972F0">
        <w:t xml:space="preserve"> without lockdowns but with low level restrictions</w:t>
      </w:r>
      <w:r w:rsidR="003362EA">
        <w:t>,</w:t>
      </w:r>
      <w:r w:rsidR="003972F0">
        <w:t xml:space="preserve"> for 82 days per quarter.</w:t>
      </w:r>
    </w:p>
    <w:p w14:paraId="3D1AE9EE" w14:textId="68B6F36C" w:rsidR="007F40C8" w:rsidRPr="005F4BFA" w:rsidRDefault="007F40C8" w:rsidP="005F4BFA">
      <w:pPr>
        <w:pStyle w:val="TableMainHeading"/>
      </w:pPr>
      <w:r w:rsidRPr="005F4BFA">
        <w:t xml:space="preserve">Table 4: Days per quarter </w:t>
      </w:r>
      <w:r w:rsidR="00356BDC" w:rsidRPr="005F4BFA">
        <w:t xml:space="preserve">for </w:t>
      </w:r>
      <w:r w:rsidR="00DD6F8E" w:rsidRPr="005F4BFA">
        <w:t>alternative</w:t>
      </w:r>
      <w:r w:rsidR="00BA0FDA" w:rsidRPr="005F4BFA">
        <w:t xml:space="preserve"> restriction options under </w:t>
      </w:r>
      <w:r w:rsidRPr="005F4BFA">
        <w:t xml:space="preserve">a strategy </w:t>
      </w:r>
      <w:r w:rsidR="00BA4E20" w:rsidRPr="005F4BFA">
        <w:t>to minimise cases</w:t>
      </w:r>
      <w:r w:rsidR="00864E4F" w:rsidRPr="005F4BFA">
        <w:t>,</w:t>
      </w:r>
      <w:r w:rsidR="00BA4E20" w:rsidRPr="005F4BFA">
        <w:t xml:space="preserve"> </w:t>
      </w:r>
      <w:r w:rsidRPr="005F4BFA">
        <w:t>with ongoing baseline restrictions</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71"/>
        <w:gridCol w:w="2171"/>
        <w:gridCol w:w="2171"/>
      </w:tblGrid>
      <w:tr w:rsidR="007F40C8" w:rsidRPr="006F6D01" w14:paraId="65A92B2E" w14:textId="77777777" w:rsidTr="00B71793">
        <w:trPr>
          <w:trHeight w:val="113"/>
        </w:trPr>
        <w:tc>
          <w:tcPr>
            <w:tcW w:w="1405" w:type="pct"/>
            <w:shd w:val="clear" w:color="auto" w:fill="auto"/>
            <w:hideMark/>
          </w:tcPr>
          <w:p w14:paraId="4C8D27F3" w14:textId="77777777" w:rsidR="007F40C8" w:rsidRPr="006F6D01" w:rsidRDefault="007F40C8" w:rsidP="005113BA">
            <w:pPr>
              <w:pStyle w:val="TableColumnHeadingLeft"/>
            </w:pPr>
            <w:r w:rsidRPr="006F6D01">
              <w:t>Vaccination rate</w:t>
            </w:r>
          </w:p>
        </w:tc>
        <w:tc>
          <w:tcPr>
            <w:tcW w:w="1198" w:type="pct"/>
            <w:shd w:val="clear" w:color="auto" w:fill="auto"/>
            <w:hideMark/>
          </w:tcPr>
          <w:p w14:paraId="5E4282F9" w14:textId="43B2ACD8" w:rsidR="007F40C8" w:rsidRPr="006F6D01" w:rsidRDefault="007F40C8" w:rsidP="005113BA">
            <w:pPr>
              <w:pStyle w:val="TableColumnHeadingCentred"/>
            </w:pPr>
            <w:r>
              <w:t xml:space="preserve">Periodic </w:t>
            </w:r>
            <w:r w:rsidR="0040765E">
              <w:t xml:space="preserve">low level </w:t>
            </w:r>
            <w:r>
              <w:t>restrictions</w:t>
            </w:r>
            <w:r w:rsidR="00E104AA">
              <w:t xml:space="preserve"> only</w:t>
            </w:r>
            <w:r>
              <w:t>*</w:t>
            </w:r>
            <w:r w:rsidRPr="006F6D01">
              <w:t xml:space="preserve"> </w:t>
            </w:r>
          </w:p>
          <w:p w14:paraId="38A7614D" w14:textId="77777777" w:rsidR="007F40C8" w:rsidRPr="005113BA" w:rsidRDefault="007F40C8" w:rsidP="005113BA">
            <w:pPr>
              <w:pStyle w:val="TableColumnHeadingCentred"/>
              <w:rPr>
                <w:b w:val="0"/>
                <w:bCs/>
              </w:rPr>
            </w:pPr>
            <w:r w:rsidRPr="005113BA">
              <w:rPr>
                <w:b w:val="0"/>
                <w:bCs/>
              </w:rPr>
              <w:t>Days per quarter</w:t>
            </w:r>
          </w:p>
        </w:tc>
        <w:tc>
          <w:tcPr>
            <w:tcW w:w="1198" w:type="pct"/>
            <w:shd w:val="clear" w:color="auto" w:fill="auto"/>
            <w:hideMark/>
          </w:tcPr>
          <w:p w14:paraId="084C8E75" w14:textId="310E2313" w:rsidR="007F40C8" w:rsidRPr="006F6D01" w:rsidRDefault="007F40C8" w:rsidP="005113BA">
            <w:pPr>
              <w:pStyle w:val="TableColumnHeadingCentred"/>
            </w:pPr>
            <w:r>
              <w:t>Periodic m</w:t>
            </w:r>
            <w:r w:rsidRPr="006F6D01">
              <w:t xml:space="preserve">oderate </w:t>
            </w:r>
            <w:r>
              <w:t>lockdowns</w:t>
            </w:r>
            <w:r w:rsidR="00E104AA">
              <w:t xml:space="preserve"> only</w:t>
            </w:r>
          </w:p>
          <w:p w14:paraId="7C01DCEA" w14:textId="77777777" w:rsidR="007F40C8" w:rsidRPr="005113BA" w:rsidRDefault="007F40C8" w:rsidP="005113BA">
            <w:pPr>
              <w:pStyle w:val="TableColumnHeadingCentred"/>
              <w:rPr>
                <w:b w:val="0"/>
                <w:bCs/>
              </w:rPr>
            </w:pPr>
            <w:r w:rsidRPr="005113BA">
              <w:rPr>
                <w:b w:val="0"/>
                <w:bCs/>
              </w:rPr>
              <w:t>Days per quarter</w:t>
            </w:r>
          </w:p>
        </w:tc>
        <w:tc>
          <w:tcPr>
            <w:tcW w:w="1198" w:type="pct"/>
            <w:shd w:val="clear" w:color="auto" w:fill="auto"/>
            <w:hideMark/>
          </w:tcPr>
          <w:p w14:paraId="6E8508F9" w14:textId="507B66C4" w:rsidR="007F40C8" w:rsidRPr="006F6D01" w:rsidRDefault="007F40C8" w:rsidP="005113BA">
            <w:pPr>
              <w:pStyle w:val="TableColumnHeadingCentred"/>
            </w:pPr>
            <w:r>
              <w:t>Periodic s</w:t>
            </w:r>
            <w:r w:rsidRPr="006F6D01">
              <w:t>trict</w:t>
            </w:r>
            <w:r>
              <w:t xml:space="preserve"> lockdowns</w:t>
            </w:r>
            <w:r w:rsidRPr="006F6D01">
              <w:t xml:space="preserve"> </w:t>
            </w:r>
            <w:r w:rsidR="00E104AA">
              <w:t>only</w:t>
            </w:r>
          </w:p>
          <w:p w14:paraId="00B61DFD" w14:textId="77777777" w:rsidR="007F40C8" w:rsidRPr="005113BA" w:rsidRDefault="007F40C8" w:rsidP="005113BA">
            <w:pPr>
              <w:pStyle w:val="TableColumnHeadingCentred"/>
              <w:rPr>
                <w:b w:val="0"/>
                <w:bCs/>
              </w:rPr>
            </w:pPr>
            <w:r w:rsidRPr="005113BA">
              <w:rPr>
                <w:b w:val="0"/>
                <w:bCs/>
              </w:rPr>
              <w:t>Days per quarter</w:t>
            </w:r>
          </w:p>
        </w:tc>
      </w:tr>
      <w:tr w:rsidR="007F40C8" w:rsidRPr="006F6D01" w14:paraId="7F9BDBB0" w14:textId="77777777" w:rsidTr="00902871">
        <w:trPr>
          <w:trHeight w:val="113"/>
        </w:trPr>
        <w:tc>
          <w:tcPr>
            <w:tcW w:w="1405" w:type="pct"/>
            <w:shd w:val="clear" w:color="auto" w:fill="auto"/>
            <w:hideMark/>
          </w:tcPr>
          <w:p w14:paraId="25EA6D5D" w14:textId="77777777" w:rsidR="007F40C8" w:rsidRPr="006F6D01" w:rsidRDefault="007F40C8" w:rsidP="005113BA">
            <w:pPr>
              <w:pStyle w:val="TableColumnHeadingLeft"/>
              <w:rPr>
                <w:i/>
              </w:rPr>
            </w:pPr>
            <w:r>
              <w:rPr>
                <w:i/>
              </w:rPr>
              <w:t>50%</w:t>
            </w:r>
          </w:p>
        </w:tc>
        <w:tc>
          <w:tcPr>
            <w:tcW w:w="1198" w:type="pct"/>
            <w:shd w:val="clear" w:color="auto" w:fill="auto"/>
            <w:vAlign w:val="bottom"/>
          </w:tcPr>
          <w:p w14:paraId="2D724C12" w14:textId="77777777" w:rsidR="007F40C8" w:rsidRPr="006F6D01" w:rsidRDefault="007F40C8" w:rsidP="005113BA">
            <w:pPr>
              <w:pStyle w:val="TableTextCentered"/>
            </w:pPr>
            <w:r>
              <w:t>N/A</w:t>
            </w:r>
          </w:p>
        </w:tc>
        <w:tc>
          <w:tcPr>
            <w:tcW w:w="1198" w:type="pct"/>
            <w:shd w:val="clear" w:color="auto" w:fill="auto"/>
            <w:vAlign w:val="bottom"/>
          </w:tcPr>
          <w:p w14:paraId="14DD2CBA" w14:textId="77777777" w:rsidR="007F40C8" w:rsidRPr="006F6D01" w:rsidRDefault="007F40C8" w:rsidP="005113BA">
            <w:pPr>
              <w:pStyle w:val="TableTextCentered"/>
            </w:pPr>
            <w:r>
              <w:t>N/A</w:t>
            </w:r>
          </w:p>
        </w:tc>
        <w:tc>
          <w:tcPr>
            <w:tcW w:w="1198" w:type="pct"/>
            <w:shd w:val="clear" w:color="auto" w:fill="D2EDFF" w:themeFill="accent1" w:themeFillTint="1A"/>
            <w:vAlign w:val="center"/>
            <w:hideMark/>
          </w:tcPr>
          <w:p w14:paraId="04099B6A" w14:textId="77777777" w:rsidR="007F40C8" w:rsidRPr="006F6D01" w:rsidRDefault="007F40C8" w:rsidP="005113BA">
            <w:pPr>
              <w:pStyle w:val="TableTextCentered"/>
            </w:pPr>
            <w:r w:rsidRPr="005536E7">
              <w:t>70</w:t>
            </w:r>
          </w:p>
        </w:tc>
      </w:tr>
      <w:tr w:rsidR="007F40C8" w:rsidRPr="006F6D01" w14:paraId="1135FA0E" w14:textId="77777777" w:rsidTr="00902871">
        <w:trPr>
          <w:trHeight w:val="113"/>
        </w:trPr>
        <w:tc>
          <w:tcPr>
            <w:tcW w:w="1405" w:type="pct"/>
            <w:shd w:val="clear" w:color="auto" w:fill="auto"/>
            <w:hideMark/>
          </w:tcPr>
          <w:p w14:paraId="1947F942" w14:textId="389DAF70" w:rsidR="007F40C8" w:rsidRPr="006F6D01" w:rsidRDefault="007F40C8" w:rsidP="005113BA">
            <w:pPr>
              <w:pStyle w:val="TableColumnHeadingLeft"/>
              <w:rPr>
                <w:i/>
              </w:rPr>
            </w:pPr>
            <w:r w:rsidRPr="006F6D01">
              <w:rPr>
                <w:i/>
              </w:rPr>
              <w:t>60%</w:t>
            </w:r>
          </w:p>
        </w:tc>
        <w:tc>
          <w:tcPr>
            <w:tcW w:w="1198" w:type="pct"/>
            <w:shd w:val="clear" w:color="auto" w:fill="auto"/>
            <w:vAlign w:val="bottom"/>
          </w:tcPr>
          <w:p w14:paraId="79321870" w14:textId="77777777" w:rsidR="007F40C8" w:rsidRPr="007D4020" w:rsidRDefault="007F40C8" w:rsidP="005113BA">
            <w:pPr>
              <w:pStyle w:val="TableTextCentered"/>
            </w:pPr>
            <w:r>
              <w:rPr>
                <w:bCs/>
              </w:rPr>
              <w:t>N/A</w:t>
            </w:r>
          </w:p>
        </w:tc>
        <w:tc>
          <w:tcPr>
            <w:tcW w:w="1198" w:type="pct"/>
            <w:shd w:val="clear" w:color="auto" w:fill="auto"/>
            <w:vAlign w:val="center"/>
          </w:tcPr>
          <w:p w14:paraId="11E07B20" w14:textId="77777777" w:rsidR="007F40C8" w:rsidRPr="006F6D01" w:rsidRDefault="007F40C8" w:rsidP="005113BA">
            <w:pPr>
              <w:pStyle w:val="TableTextCentered"/>
            </w:pPr>
            <w:r>
              <w:rPr>
                <w:rFonts w:cs="Calibri"/>
              </w:rPr>
              <w:t>78</w:t>
            </w:r>
          </w:p>
        </w:tc>
        <w:tc>
          <w:tcPr>
            <w:tcW w:w="1198" w:type="pct"/>
            <w:shd w:val="clear" w:color="auto" w:fill="D2EDFF" w:themeFill="accent1" w:themeFillTint="1A"/>
            <w:vAlign w:val="center"/>
          </w:tcPr>
          <w:p w14:paraId="6BE0269B" w14:textId="77777777" w:rsidR="007F40C8" w:rsidRPr="006F6D01" w:rsidRDefault="007F40C8" w:rsidP="005113BA">
            <w:pPr>
              <w:pStyle w:val="TableTextCentered"/>
            </w:pPr>
            <w:r w:rsidRPr="005536E7">
              <w:t>48</w:t>
            </w:r>
          </w:p>
        </w:tc>
      </w:tr>
      <w:tr w:rsidR="007F40C8" w:rsidRPr="006F6D01" w14:paraId="7ED55F27" w14:textId="77777777" w:rsidTr="00902871">
        <w:trPr>
          <w:trHeight w:val="113"/>
        </w:trPr>
        <w:tc>
          <w:tcPr>
            <w:tcW w:w="1405" w:type="pct"/>
            <w:shd w:val="clear" w:color="auto" w:fill="auto"/>
            <w:hideMark/>
          </w:tcPr>
          <w:p w14:paraId="5EC6945F" w14:textId="77777777" w:rsidR="007F40C8" w:rsidRPr="006F6D01" w:rsidRDefault="007F40C8" w:rsidP="005113BA">
            <w:pPr>
              <w:pStyle w:val="TableColumnHeadingLeft"/>
              <w:rPr>
                <w:i/>
              </w:rPr>
            </w:pPr>
            <w:r w:rsidRPr="006F6D01">
              <w:rPr>
                <w:i/>
              </w:rPr>
              <w:t>70%</w:t>
            </w:r>
          </w:p>
        </w:tc>
        <w:tc>
          <w:tcPr>
            <w:tcW w:w="1198" w:type="pct"/>
            <w:shd w:val="clear" w:color="auto" w:fill="D2EDFF" w:themeFill="accent1" w:themeFillTint="1A"/>
          </w:tcPr>
          <w:p w14:paraId="0336DD94" w14:textId="77777777" w:rsidR="007F40C8" w:rsidRPr="00AD72A8" w:rsidRDefault="007F40C8" w:rsidP="005113BA">
            <w:pPr>
              <w:pStyle w:val="TableTextCentered"/>
              <w:rPr>
                <w:i/>
                <w:iCs/>
              </w:rPr>
            </w:pPr>
            <w:r w:rsidRPr="00462D87">
              <w:t>82</w:t>
            </w:r>
            <w:r>
              <w:t xml:space="preserve"> </w:t>
            </w:r>
          </w:p>
        </w:tc>
        <w:tc>
          <w:tcPr>
            <w:tcW w:w="1198" w:type="pct"/>
            <w:shd w:val="clear" w:color="auto" w:fill="auto"/>
            <w:vAlign w:val="center"/>
          </w:tcPr>
          <w:p w14:paraId="6ADF1ACE" w14:textId="77777777" w:rsidR="007F40C8" w:rsidRPr="006F6D01" w:rsidRDefault="007F40C8" w:rsidP="005113BA">
            <w:pPr>
              <w:pStyle w:val="TableTextCentered"/>
            </w:pPr>
            <w:r>
              <w:rPr>
                <w:rFonts w:cs="Calibri"/>
              </w:rPr>
              <w:t>47</w:t>
            </w:r>
          </w:p>
        </w:tc>
        <w:tc>
          <w:tcPr>
            <w:tcW w:w="1198" w:type="pct"/>
            <w:shd w:val="clear" w:color="auto" w:fill="auto"/>
            <w:vAlign w:val="center"/>
          </w:tcPr>
          <w:p w14:paraId="0C1438D8" w14:textId="77777777" w:rsidR="007F40C8" w:rsidRPr="006F6D01" w:rsidRDefault="007F40C8" w:rsidP="005113BA">
            <w:pPr>
              <w:pStyle w:val="TableTextCentered"/>
            </w:pPr>
            <w:r>
              <w:rPr>
                <w:rFonts w:cs="Calibri"/>
              </w:rPr>
              <w:t>29</w:t>
            </w:r>
          </w:p>
        </w:tc>
      </w:tr>
      <w:tr w:rsidR="007F40C8" w14:paraId="444BBFEC" w14:textId="77777777" w:rsidTr="00902871">
        <w:trPr>
          <w:trHeight w:val="113"/>
        </w:trPr>
        <w:tc>
          <w:tcPr>
            <w:tcW w:w="1405" w:type="pct"/>
            <w:shd w:val="clear" w:color="auto" w:fill="auto"/>
            <w:hideMark/>
          </w:tcPr>
          <w:p w14:paraId="5AB04D35" w14:textId="77777777" w:rsidR="007F40C8" w:rsidRPr="006F6D01" w:rsidRDefault="007F40C8" w:rsidP="005113BA">
            <w:pPr>
              <w:pStyle w:val="TableColumnHeadingLeft"/>
              <w:rPr>
                <w:i/>
              </w:rPr>
            </w:pPr>
            <w:r w:rsidRPr="006F6D01">
              <w:rPr>
                <w:i/>
              </w:rPr>
              <w:t>80% +</w:t>
            </w:r>
          </w:p>
        </w:tc>
        <w:tc>
          <w:tcPr>
            <w:tcW w:w="1198" w:type="pct"/>
            <w:shd w:val="clear" w:color="auto" w:fill="D2EDFF" w:themeFill="accent1" w:themeFillTint="1A"/>
          </w:tcPr>
          <w:p w14:paraId="388ED5C7" w14:textId="77777777" w:rsidR="007F40C8" w:rsidRPr="00AD72A8" w:rsidRDefault="007F40C8" w:rsidP="005113BA">
            <w:pPr>
              <w:pStyle w:val="TableTextCentered"/>
              <w:rPr>
                <w:i/>
                <w:iCs/>
              </w:rPr>
            </w:pPr>
            <w:r w:rsidRPr="00462D87">
              <w:t>18</w:t>
            </w:r>
            <w:r>
              <w:t xml:space="preserve"> </w:t>
            </w:r>
          </w:p>
        </w:tc>
        <w:tc>
          <w:tcPr>
            <w:tcW w:w="1198" w:type="pct"/>
            <w:shd w:val="clear" w:color="auto" w:fill="auto"/>
            <w:vAlign w:val="center"/>
          </w:tcPr>
          <w:p w14:paraId="5AABFFDE" w14:textId="77777777" w:rsidR="007F40C8" w:rsidRPr="006F6D01" w:rsidRDefault="007F40C8" w:rsidP="005113BA">
            <w:pPr>
              <w:pStyle w:val="TableTextCentered"/>
            </w:pPr>
            <w:r>
              <w:rPr>
                <w:rFonts w:cs="Calibri"/>
              </w:rPr>
              <w:t>11</w:t>
            </w:r>
          </w:p>
        </w:tc>
        <w:tc>
          <w:tcPr>
            <w:tcW w:w="1198" w:type="pct"/>
            <w:shd w:val="clear" w:color="auto" w:fill="auto"/>
            <w:vAlign w:val="center"/>
          </w:tcPr>
          <w:p w14:paraId="1383D9EB" w14:textId="77777777" w:rsidR="007F40C8" w:rsidRPr="006F6D01" w:rsidRDefault="007F40C8" w:rsidP="005113BA">
            <w:pPr>
              <w:pStyle w:val="TableTextCentered"/>
            </w:pPr>
            <w:r>
              <w:rPr>
                <w:rFonts w:cs="Calibri"/>
              </w:rPr>
              <w:t>7</w:t>
            </w:r>
          </w:p>
        </w:tc>
      </w:tr>
    </w:tbl>
    <w:p w14:paraId="290E9960" w14:textId="49D58F02" w:rsidR="007F40C8" w:rsidRPr="005F4BFA" w:rsidRDefault="007F40C8" w:rsidP="005F4BFA">
      <w:pPr>
        <w:pStyle w:val="ChartorTableNote"/>
      </w:pPr>
      <w:r w:rsidRPr="005F4BFA">
        <w:t>*</w:t>
      </w:r>
      <w:r w:rsidR="00E104AA" w:rsidRPr="005F4BFA">
        <w:t xml:space="preserve">Under </w:t>
      </w:r>
      <w:r w:rsidR="0040765E" w:rsidRPr="005F4BFA">
        <w:t>low level</w:t>
      </w:r>
      <w:r w:rsidR="00E104AA" w:rsidRPr="005F4BFA">
        <w:t xml:space="preserve"> restrictions, t</w:t>
      </w:r>
      <w:r w:rsidRPr="005F4BFA">
        <w:t xml:space="preserve">here are only restrictions on activity </w:t>
      </w:r>
      <w:r w:rsidR="00E104AA" w:rsidRPr="005F4BFA">
        <w:t>(i.e.</w:t>
      </w:r>
      <w:r w:rsidRPr="005F4BFA">
        <w:t>no lockdowns</w:t>
      </w:r>
      <w:r w:rsidR="00E104AA" w:rsidRPr="005F4BFA">
        <w:t>)</w:t>
      </w:r>
      <w:r w:rsidRPr="005F4BFA">
        <w:t>.</w:t>
      </w:r>
    </w:p>
    <w:p w14:paraId="301ECD25" w14:textId="26ABBB84" w:rsidR="007F40C8" w:rsidRPr="00351492" w:rsidRDefault="007F40C8" w:rsidP="00B71793">
      <w:pPr>
        <w:pStyle w:val="ChartorTableNote"/>
      </w:pPr>
      <w:r>
        <w:t>N/</w:t>
      </w:r>
      <w:r w:rsidRPr="00351492">
        <w:t>A indicates that it is not possible to manage COVID</w:t>
      </w:r>
      <w:r w:rsidR="00F54789">
        <w:noBreakHyphen/>
      </w:r>
      <w:r w:rsidRPr="00351492">
        <w:t>19 within Australia</w:t>
      </w:r>
      <w:r w:rsidR="00F54789">
        <w:t>’</w:t>
      </w:r>
      <w:r w:rsidRPr="00351492">
        <w:t xml:space="preserve">s health system capacity using a given level of restrictions at a certain vaccination rate, </w:t>
      </w:r>
      <w:r>
        <w:t>given</w:t>
      </w:r>
      <w:r w:rsidRPr="00351492">
        <w:t xml:space="preserve"> assumptions regarding the frequency of outbreaks that is likely.</w:t>
      </w:r>
    </w:p>
    <w:p w14:paraId="28B0D30B" w14:textId="77777777" w:rsidR="007F40C8" w:rsidRDefault="007F40C8" w:rsidP="009574D8">
      <w:pPr>
        <w:pStyle w:val="SingleParagraph"/>
      </w:pPr>
    </w:p>
    <w:p w14:paraId="229D153B" w14:textId="20DC1BF7" w:rsidR="007F40C8" w:rsidRDefault="007F40C8" w:rsidP="007F40C8">
      <w:pPr>
        <w:pStyle w:val="Bullet"/>
        <w:numPr>
          <w:ilvl w:val="0"/>
          <w:numId w:val="0"/>
        </w:numPr>
      </w:pPr>
      <w:r>
        <w:t xml:space="preserve">Table 5 shows the estimated direct costs of </w:t>
      </w:r>
      <w:r w:rsidR="00BA4E20">
        <w:t>minimising cases</w:t>
      </w:r>
      <w:r>
        <w:t xml:space="preserve"> via each level of restrictions. These costs are estimated by applying the weekly costs of these restrictions to the estimated number of days they will be required and the representative metropolitan region. </w:t>
      </w:r>
    </w:p>
    <w:p w14:paraId="7F442FCD" w14:textId="62FAC932" w:rsidR="007F40C8" w:rsidRDefault="007F40C8" w:rsidP="007F40C8">
      <w:pPr>
        <w:pStyle w:val="Bullet"/>
        <w:numPr>
          <w:ilvl w:val="0"/>
          <w:numId w:val="0"/>
        </w:numPr>
      </w:pPr>
      <w:r>
        <w:t xml:space="preserve">At vaccination rates of 50 per cent and 60 per cent, the lowest cost strategy is to utilise strict lockdowns in addition to ongoing baseline restrictions. </w:t>
      </w:r>
      <w:r w:rsidRPr="0087308A">
        <w:t xml:space="preserve">At </w:t>
      </w:r>
      <w:r w:rsidRPr="00F235F7">
        <w:t xml:space="preserve">vaccination rates </w:t>
      </w:r>
      <w:r>
        <w:t>of 5</w:t>
      </w:r>
      <w:r w:rsidRPr="00F235F7">
        <w:t xml:space="preserve">0 per cent, </w:t>
      </w:r>
      <w:r>
        <w:t xml:space="preserve">this strategy is </w:t>
      </w:r>
      <w:r w:rsidRPr="00F235F7">
        <w:t xml:space="preserve">estimated to have an economic impact of </w:t>
      </w:r>
      <w:r>
        <w:t xml:space="preserve">around </w:t>
      </w:r>
      <w:r w:rsidRPr="00F235F7">
        <w:t>$5</w:t>
      </w:r>
      <w:r>
        <w:t>7</w:t>
      </w:r>
      <w:r w:rsidRPr="00F235F7">
        <w:t>0m per week</w:t>
      </w:r>
      <w:r>
        <w:t>, decreasing to $430m at vaccination rates of 60 per cent</w:t>
      </w:r>
      <w:r w:rsidRPr="00F235F7">
        <w:t xml:space="preserve">. </w:t>
      </w:r>
    </w:p>
    <w:p w14:paraId="75EAD497" w14:textId="5280E939" w:rsidR="007F40C8" w:rsidRDefault="007F40C8" w:rsidP="007F40C8">
      <w:pPr>
        <w:pStyle w:val="Bullet"/>
        <w:numPr>
          <w:ilvl w:val="0"/>
          <w:numId w:val="0"/>
        </w:numPr>
      </w:pPr>
      <w:r w:rsidRPr="006C583D">
        <w:t xml:space="preserve">At vaccination rates </w:t>
      </w:r>
      <w:r>
        <w:t xml:space="preserve">of </w:t>
      </w:r>
      <w:r w:rsidRPr="006C583D">
        <w:t xml:space="preserve">70 per cent, </w:t>
      </w:r>
      <w:r>
        <w:t xml:space="preserve">the lowest cost strategy is to use </w:t>
      </w:r>
      <w:r w:rsidR="007D0275">
        <w:t xml:space="preserve">low level </w:t>
      </w:r>
      <w:r>
        <w:t xml:space="preserve">restrictions to </w:t>
      </w:r>
      <w:r w:rsidR="000D47D8">
        <w:t>minimise cases</w:t>
      </w:r>
      <w:r>
        <w:t xml:space="preserve">, without more costly lockdowns. This results in the estimated costs of managing the virus </w:t>
      </w:r>
      <w:r w:rsidRPr="006C583D">
        <w:t>fall</w:t>
      </w:r>
      <w:r>
        <w:t xml:space="preserve">ing significantly </w:t>
      </w:r>
      <w:r w:rsidRPr="006C583D">
        <w:t xml:space="preserve">to around </w:t>
      </w:r>
      <w:r w:rsidRPr="00B1496A">
        <w:t>$</w:t>
      </w:r>
      <w:r>
        <w:t>200</w:t>
      </w:r>
      <w:r w:rsidRPr="00B1496A">
        <w:t xml:space="preserve"> million </w:t>
      </w:r>
      <w:r w:rsidRPr="0091022A">
        <w:t>per week.</w:t>
      </w:r>
      <w:r>
        <w:t xml:space="preserve"> </w:t>
      </w:r>
    </w:p>
    <w:p w14:paraId="4CEA8E47" w14:textId="368009EC" w:rsidR="007F40C8" w:rsidRPr="00F235F7" w:rsidRDefault="007F40C8" w:rsidP="007F40C8">
      <w:pPr>
        <w:pStyle w:val="Bullet"/>
        <w:numPr>
          <w:ilvl w:val="0"/>
          <w:numId w:val="0"/>
        </w:numPr>
        <w:rPr>
          <w:b/>
          <w:bCs/>
        </w:rPr>
      </w:pPr>
      <w:r>
        <w:t xml:space="preserve">If this </w:t>
      </w:r>
      <w:r w:rsidRPr="00856DED">
        <w:t>strateg</w:t>
      </w:r>
      <w:r>
        <w:t>y</w:t>
      </w:r>
      <w:r w:rsidRPr="00856DED">
        <w:t xml:space="preserve"> </w:t>
      </w:r>
      <w:r>
        <w:t xml:space="preserve">is </w:t>
      </w:r>
      <w:r w:rsidRPr="00856DED">
        <w:t>continue</w:t>
      </w:r>
      <w:r>
        <w:t>d</w:t>
      </w:r>
      <w:r w:rsidRPr="00856DED">
        <w:t xml:space="preserve"> at vaccination rates of </w:t>
      </w:r>
      <w:r w:rsidR="00E104AA">
        <w:t xml:space="preserve">above </w:t>
      </w:r>
      <w:r w:rsidRPr="00856DED">
        <w:t xml:space="preserve">80 per cent, it </w:t>
      </w:r>
      <w:r w:rsidRPr="000D5F2A">
        <w:t xml:space="preserve">is estimated to have an </w:t>
      </w:r>
      <w:r>
        <w:t xml:space="preserve">even lower </w:t>
      </w:r>
      <w:r w:rsidRPr="000D5F2A">
        <w:t>economic impact of $1</w:t>
      </w:r>
      <w:r>
        <w:t>4</w:t>
      </w:r>
      <w:r w:rsidRPr="000D5F2A">
        <w:t>0m per week</w:t>
      </w:r>
      <w:r>
        <w:t>.</w:t>
      </w:r>
    </w:p>
    <w:p w14:paraId="5D612982" w14:textId="6D045C59" w:rsidR="007F40C8" w:rsidRDefault="007F40C8" w:rsidP="00E062A0">
      <w:pPr>
        <w:pStyle w:val="TableMainHeading"/>
      </w:pPr>
      <w:r>
        <w:t xml:space="preserve">Table 5. Direct economic costs of required restrictions and lockdowns under a strategy </w:t>
      </w:r>
      <w:r w:rsidR="00864E4F">
        <w:t xml:space="preserve">to minimise </w:t>
      </w:r>
      <w:r>
        <w:t>cases</w:t>
      </w:r>
      <w:r w:rsidR="00864E4F">
        <w:t>,</w:t>
      </w:r>
      <w:r>
        <w:t xml:space="preserve"> with ongoing baseline restrictions </w:t>
      </w:r>
    </w:p>
    <w:tbl>
      <w:tblPr>
        <w:tblStyle w:val="TableGrid"/>
        <w:tblW w:w="5000" w:type="pct"/>
        <w:tblLook w:val="04A0" w:firstRow="1" w:lastRow="0" w:firstColumn="1" w:lastColumn="0" w:noHBand="0" w:noVBand="1"/>
      </w:tblPr>
      <w:tblGrid>
        <w:gridCol w:w="2547"/>
        <w:gridCol w:w="2171"/>
        <w:gridCol w:w="2171"/>
        <w:gridCol w:w="2171"/>
      </w:tblGrid>
      <w:tr w:rsidR="007F40C8" w14:paraId="029D9713" w14:textId="77777777" w:rsidTr="00B71793">
        <w:tc>
          <w:tcPr>
            <w:tcW w:w="1405" w:type="pct"/>
            <w:tcBorders>
              <w:top w:val="single" w:sz="4" w:space="0" w:color="auto"/>
              <w:left w:val="single" w:sz="4" w:space="0" w:color="auto"/>
              <w:bottom w:val="single" w:sz="4" w:space="0" w:color="auto"/>
              <w:right w:val="single" w:sz="4" w:space="0" w:color="auto"/>
            </w:tcBorders>
            <w:shd w:val="clear" w:color="auto" w:fill="auto"/>
            <w:hideMark/>
          </w:tcPr>
          <w:p w14:paraId="738259C2" w14:textId="77777777" w:rsidR="007F40C8" w:rsidRDefault="007F40C8" w:rsidP="00106C35">
            <w:pPr>
              <w:pStyle w:val="TableColumnHeadingLeft"/>
            </w:pPr>
            <w:r>
              <w:t>Vaccination rate</w:t>
            </w:r>
          </w:p>
        </w:tc>
        <w:tc>
          <w:tcPr>
            <w:tcW w:w="1198" w:type="pct"/>
            <w:tcBorders>
              <w:top w:val="single" w:sz="4" w:space="0" w:color="auto"/>
              <w:left w:val="single" w:sz="4" w:space="0" w:color="auto"/>
              <w:bottom w:val="single" w:sz="4" w:space="0" w:color="auto"/>
              <w:right w:val="single" w:sz="4" w:space="0" w:color="auto"/>
            </w:tcBorders>
            <w:shd w:val="clear" w:color="auto" w:fill="auto"/>
            <w:hideMark/>
          </w:tcPr>
          <w:p w14:paraId="6ABA5924" w14:textId="4C0EEA25" w:rsidR="007F40C8" w:rsidRDefault="007F40C8" w:rsidP="005113BA">
            <w:pPr>
              <w:pStyle w:val="TableColumnHeadingCentred"/>
              <w:rPr>
                <w:bCs/>
              </w:rPr>
            </w:pPr>
            <w:r>
              <w:t xml:space="preserve">Periodic </w:t>
            </w:r>
            <w:r w:rsidR="00E46419">
              <w:t xml:space="preserve">low level </w:t>
            </w:r>
            <w:r>
              <w:t>restrictions</w:t>
            </w:r>
            <w:r w:rsidR="00E104AA">
              <w:t xml:space="preserve"> only</w:t>
            </w:r>
          </w:p>
          <w:p w14:paraId="09FAA90D" w14:textId="7D1E5BBB" w:rsidR="007F40C8" w:rsidRPr="005113BA" w:rsidRDefault="007F40C8" w:rsidP="005113BA">
            <w:pPr>
              <w:pStyle w:val="TableColumnHeadingCentred"/>
              <w:rPr>
                <w:b w:val="0"/>
                <w:bCs/>
              </w:rPr>
            </w:pPr>
            <w:r w:rsidRPr="005113BA">
              <w:rPr>
                <w:b w:val="0"/>
                <w:bCs/>
              </w:rPr>
              <w:t>($m</w:t>
            </w:r>
            <w:r w:rsidR="003B1E82">
              <w:rPr>
                <w:b w:val="0"/>
                <w:bCs/>
              </w:rPr>
              <w:t xml:space="preserve"> per week</w:t>
            </w:r>
            <w:r w:rsidRPr="005113BA">
              <w:rPr>
                <w:b w:val="0"/>
                <w:bCs/>
              </w:rPr>
              <w:t>)</w:t>
            </w:r>
          </w:p>
        </w:tc>
        <w:tc>
          <w:tcPr>
            <w:tcW w:w="1198" w:type="pct"/>
            <w:tcBorders>
              <w:top w:val="single" w:sz="4" w:space="0" w:color="auto"/>
              <w:left w:val="single" w:sz="4" w:space="0" w:color="auto"/>
              <w:bottom w:val="single" w:sz="4" w:space="0" w:color="auto"/>
              <w:right w:val="single" w:sz="4" w:space="0" w:color="auto"/>
            </w:tcBorders>
            <w:shd w:val="clear" w:color="auto" w:fill="auto"/>
            <w:hideMark/>
          </w:tcPr>
          <w:p w14:paraId="70340B92" w14:textId="5C31D5BB" w:rsidR="007F40C8" w:rsidRDefault="007F40C8" w:rsidP="005113BA">
            <w:pPr>
              <w:pStyle w:val="TableColumnHeadingCentred"/>
              <w:rPr>
                <w:bCs/>
              </w:rPr>
            </w:pPr>
            <w:r>
              <w:t>Periodic moderate</w:t>
            </w:r>
            <w:r>
              <w:rPr>
                <w:bCs/>
              </w:rPr>
              <w:t xml:space="preserve"> lockdowns</w:t>
            </w:r>
            <w:r w:rsidR="00E104AA">
              <w:rPr>
                <w:bCs/>
              </w:rPr>
              <w:t xml:space="preserve"> only</w:t>
            </w:r>
          </w:p>
          <w:p w14:paraId="17ACD48E" w14:textId="4409C572" w:rsidR="007F40C8" w:rsidRPr="005113BA" w:rsidRDefault="007F40C8" w:rsidP="005113BA">
            <w:pPr>
              <w:pStyle w:val="TableColumnHeadingCentred"/>
              <w:rPr>
                <w:b w:val="0"/>
                <w:bCs/>
              </w:rPr>
            </w:pPr>
            <w:r w:rsidRPr="005113BA">
              <w:rPr>
                <w:b w:val="0"/>
                <w:bCs/>
              </w:rPr>
              <w:t>($m</w:t>
            </w:r>
            <w:r w:rsidR="003B1E82">
              <w:rPr>
                <w:b w:val="0"/>
                <w:bCs/>
              </w:rPr>
              <w:t xml:space="preserve"> per week</w:t>
            </w:r>
            <w:r w:rsidRPr="005113BA">
              <w:rPr>
                <w:b w:val="0"/>
                <w:bCs/>
              </w:rPr>
              <w:t>)</w:t>
            </w:r>
          </w:p>
        </w:tc>
        <w:tc>
          <w:tcPr>
            <w:tcW w:w="1198" w:type="pct"/>
            <w:tcBorders>
              <w:top w:val="single" w:sz="4" w:space="0" w:color="auto"/>
              <w:left w:val="single" w:sz="4" w:space="0" w:color="auto"/>
              <w:bottom w:val="single" w:sz="4" w:space="0" w:color="auto"/>
              <w:right w:val="single" w:sz="4" w:space="0" w:color="auto"/>
            </w:tcBorders>
            <w:shd w:val="clear" w:color="auto" w:fill="auto"/>
            <w:hideMark/>
          </w:tcPr>
          <w:p w14:paraId="5C631072" w14:textId="23CA15C2" w:rsidR="007F40C8" w:rsidRDefault="007F40C8" w:rsidP="005113BA">
            <w:pPr>
              <w:pStyle w:val="TableColumnHeadingCentred"/>
              <w:rPr>
                <w:bCs/>
              </w:rPr>
            </w:pPr>
            <w:r>
              <w:t>Periodic strict</w:t>
            </w:r>
            <w:r>
              <w:rPr>
                <w:bCs/>
              </w:rPr>
              <w:t xml:space="preserve"> lockdowns</w:t>
            </w:r>
            <w:r w:rsidR="00E104AA">
              <w:rPr>
                <w:bCs/>
              </w:rPr>
              <w:t xml:space="preserve"> only</w:t>
            </w:r>
          </w:p>
          <w:p w14:paraId="5F7ABC7B" w14:textId="78C79E8A" w:rsidR="007F40C8" w:rsidRPr="005113BA" w:rsidRDefault="007F40C8" w:rsidP="005113BA">
            <w:pPr>
              <w:pStyle w:val="TableColumnHeadingCentred"/>
              <w:rPr>
                <w:b w:val="0"/>
                <w:bCs/>
              </w:rPr>
            </w:pPr>
            <w:r w:rsidRPr="005113BA">
              <w:rPr>
                <w:b w:val="0"/>
                <w:bCs/>
              </w:rPr>
              <w:t>($m</w:t>
            </w:r>
            <w:r w:rsidR="003B1E82">
              <w:rPr>
                <w:b w:val="0"/>
                <w:bCs/>
              </w:rPr>
              <w:t xml:space="preserve"> per week</w:t>
            </w:r>
            <w:r w:rsidRPr="005113BA">
              <w:rPr>
                <w:b w:val="0"/>
                <w:bCs/>
              </w:rPr>
              <w:t>)</w:t>
            </w:r>
          </w:p>
        </w:tc>
      </w:tr>
      <w:tr w:rsidR="007F40C8" w14:paraId="55ACD3EF" w14:textId="77777777" w:rsidTr="00902871">
        <w:tc>
          <w:tcPr>
            <w:tcW w:w="1405" w:type="pct"/>
            <w:tcBorders>
              <w:top w:val="single" w:sz="4" w:space="0" w:color="auto"/>
              <w:left w:val="single" w:sz="4" w:space="0" w:color="auto"/>
              <w:bottom w:val="single" w:sz="4" w:space="0" w:color="auto"/>
              <w:right w:val="single" w:sz="4" w:space="0" w:color="auto"/>
            </w:tcBorders>
            <w:shd w:val="clear" w:color="auto" w:fill="auto"/>
            <w:hideMark/>
          </w:tcPr>
          <w:p w14:paraId="4D89285F" w14:textId="419FFC5C" w:rsidR="007F40C8" w:rsidRDefault="007F40C8" w:rsidP="00106C35">
            <w:pPr>
              <w:pStyle w:val="TableColumnHeadingLeft"/>
            </w:pPr>
            <w:r>
              <w:rPr>
                <w:i/>
              </w:rPr>
              <w:t>50%</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14:paraId="21DE901E" w14:textId="42DFA1E0" w:rsidR="007F40C8" w:rsidRDefault="007F40C8" w:rsidP="00726795">
            <w:pPr>
              <w:pStyle w:val="TableTextCentered"/>
            </w:pPr>
            <w:r>
              <w:t>N/A</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4B8CF0" w14:textId="544FD531" w:rsidR="007F40C8" w:rsidRDefault="007F40C8" w:rsidP="00DA20DC">
            <w:pPr>
              <w:pStyle w:val="TableTextCentered"/>
              <w:rPr>
                <w:highlight w:val="yellow"/>
              </w:rPr>
            </w:pPr>
            <w:r>
              <w:t>N/A</w:t>
            </w:r>
          </w:p>
        </w:tc>
        <w:tc>
          <w:tcPr>
            <w:tcW w:w="1198" w:type="pct"/>
            <w:tcBorders>
              <w:top w:val="single" w:sz="4" w:space="0" w:color="auto"/>
              <w:left w:val="single" w:sz="4" w:space="0" w:color="auto"/>
              <w:bottom w:val="single" w:sz="4" w:space="0" w:color="auto"/>
              <w:right w:val="single" w:sz="4" w:space="0" w:color="auto"/>
            </w:tcBorders>
            <w:shd w:val="clear" w:color="auto" w:fill="D2EDFF" w:themeFill="accent1" w:themeFillTint="1A"/>
            <w:vAlign w:val="center"/>
            <w:hideMark/>
          </w:tcPr>
          <w:p w14:paraId="34C71CE9" w14:textId="77777777" w:rsidR="007F40C8" w:rsidRDefault="007F40C8" w:rsidP="00106C35">
            <w:pPr>
              <w:pStyle w:val="TableTextCentered"/>
            </w:pPr>
            <w:r>
              <w:t>570</w:t>
            </w:r>
          </w:p>
        </w:tc>
      </w:tr>
      <w:tr w:rsidR="007F40C8" w14:paraId="15705660" w14:textId="77777777" w:rsidTr="00902871">
        <w:tc>
          <w:tcPr>
            <w:tcW w:w="1405" w:type="pct"/>
            <w:tcBorders>
              <w:top w:val="single" w:sz="4" w:space="0" w:color="auto"/>
              <w:left w:val="single" w:sz="4" w:space="0" w:color="auto"/>
              <w:bottom w:val="single" w:sz="4" w:space="0" w:color="auto"/>
              <w:right w:val="single" w:sz="4" w:space="0" w:color="auto"/>
            </w:tcBorders>
            <w:shd w:val="clear" w:color="auto" w:fill="auto"/>
            <w:hideMark/>
          </w:tcPr>
          <w:p w14:paraId="3C0F70C5" w14:textId="15E5E8DD" w:rsidR="007F40C8" w:rsidRDefault="007F40C8" w:rsidP="00106C35">
            <w:pPr>
              <w:pStyle w:val="TableColumnHeadingLeft"/>
              <w:rPr>
                <w:i/>
              </w:rPr>
            </w:pPr>
            <w:r>
              <w:rPr>
                <w:i/>
              </w:rPr>
              <w:t>60%</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14:paraId="37660059" w14:textId="13C9E291" w:rsidR="007F40C8" w:rsidRDefault="007F40C8" w:rsidP="00726795">
            <w:pPr>
              <w:pStyle w:val="TableTextCentered"/>
            </w:pPr>
            <w:r>
              <w:t>N/A</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7C1CE" w14:textId="77777777" w:rsidR="007F40C8" w:rsidRDefault="007F40C8" w:rsidP="00106C35">
            <w:pPr>
              <w:pStyle w:val="TableTextCentered"/>
            </w:pPr>
            <w:r>
              <w:t>490</w:t>
            </w:r>
          </w:p>
        </w:tc>
        <w:tc>
          <w:tcPr>
            <w:tcW w:w="1198" w:type="pct"/>
            <w:tcBorders>
              <w:top w:val="single" w:sz="4" w:space="0" w:color="auto"/>
              <w:left w:val="single" w:sz="4" w:space="0" w:color="auto"/>
              <w:bottom w:val="single" w:sz="4" w:space="0" w:color="auto"/>
              <w:right w:val="single" w:sz="4" w:space="0" w:color="auto"/>
            </w:tcBorders>
            <w:shd w:val="clear" w:color="auto" w:fill="D2EDFF" w:themeFill="accent1" w:themeFillTint="1A"/>
            <w:vAlign w:val="center"/>
            <w:hideMark/>
          </w:tcPr>
          <w:p w14:paraId="0C14CFB0" w14:textId="77777777" w:rsidR="007F40C8" w:rsidRDefault="007F40C8" w:rsidP="00106C35">
            <w:pPr>
              <w:pStyle w:val="TableTextCentered"/>
            </w:pPr>
            <w:r>
              <w:t>430</w:t>
            </w:r>
          </w:p>
        </w:tc>
      </w:tr>
      <w:tr w:rsidR="007F40C8" w14:paraId="5B764283" w14:textId="77777777" w:rsidTr="00902871">
        <w:tc>
          <w:tcPr>
            <w:tcW w:w="1405" w:type="pct"/>
            <w:tcBorders>
              <w:top w:val="single" w:sz="4" w:space="0" w:color="auto"/>
              <w:left w:val="single" w:sz="4" w:space="0" w:color="auto"/>
              <w:bottom w:val="single" w:sz="4" w:space="0" w:color="auto"/>
              <w:right w:val="single" w:sz="4" w:space="0" w:color="auto"/>
            </w:tcBorders>
            <w:shd w:val="clear" w:color="auto" w:fill="auto"/>
            <w:hideMark/>
          </w:tcPr>
          <w:p w14:paraId="383E26DC" w14:textId="5715C6F2" w:rsidR="007F40C8" w:rsidRDefault="007F40C8" w:rsidP="00106C35">
            <w:pPr>
              <w:pStyle w:val="TableColumnHeadingLeft"/>
              <w:rPr>
                <w:i/>
              </w:rPr>
            </w:pPr>
            <w:r>
              <w:rPr>
                <w:i/>
              </w:rPr>
              <w:t>70%</w:t>
            </w:r>
          </w:p>
        </w:tc>
        <w:tc>
          <w:tcPr>
            <w:tcW w:w="1198" w:type="pct"/>
            <w:tcBorders>
              <w:top w:val="single" w:sz="4" w:space="0" w:color="auto"/>
              <w:left w:val="nil"/>
              <w:bottom w:val="single" w:sz="4" w:space="0" w:color="auto"/>
              <w:right w:val="single" w:sz="4" w:space="0" w:color="auto"/>
            </w:tcBorders>
            <w:shd w:val="clear" w:color="auto" w:fill="D2EDFF" w:themeFill="accent1" w:themeFillTint="1A"/>
            <w:vAlign w:val="center"/>
            <w:hideMark/>
          </w:tcPr>
          <w:p w14:paraId="2D24A836" w14:textId="77777777" w:rsidR="007F40C8" w:rsidRDefault="007F40C8" w:rsidP="00DA20DC">
            <w:pPr>
              <w:pStyle w:val="TableTextCentered"/>
              <w:rPr>
                <w:highlight w:val="yellow"/>
              </w:rPr>
            </w:pPr>
            <w:r>
              <w:t>200</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EB8AB8" w14:textId="77777777" w:rsidR="007F40C8" w:rsidRDefault="007F40C8" w:rsidP="00106C35">
            <w:pPr>
              <w:pStyle w:val="TableTextCentered"/>
            </w:pPr>
            <w:r>
              <w:t>350</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1A792" w14:textId="77777777" w:rsidR="007F40C8" w:rsidRDefault="007F40C8" w:rsidP="00106C35">
            <w:pPr>
              <w:pStyle w:val="TableTextCentered"/>
            </w:pPr>
            <w:r>
              <w:t>310</w:t>
            </w:r>
          </w:p>
        </w:tc>
      </w:tr>
      <w:tr w:rsidR="007F40C8" w14:paraId="5E181AE8" w14:textId="77777777" w:rsidTr="00902871">
        <w:tc>
          <w:tcPr>
            <w:tcW w:w="1405" w:type="pct"/>
            <w:tcBorders>
              <w:top w:val="single" w:sz="4" w:space="0" w:color="auto"/>
              <w:left w:val="single" w:sz="4" w:space="0" w:color="auto"/>
              <w:bottom w:val="single" w:sz="4" w:space="0" w:color="auto"/>
              <w:right w:val="single" w:sz="4" w:space="0" w:color="auto"/>
            </w:tcBorders>
            <w:shd w:val="clear" w:color="auto" w:fill="auto"/>
            <w:hideMark/>
          </w:tcPr>
          <w:p w14:paraId="0ED4214B" w14:textId="7B31DD6E" w:rsidR="007F40C8" w:rsidRDefault="007F40C8" w:rsidP="00106C35">
            <w:pPr>
              <w:pStyle w:val="TableColumnHeadingLeft"/>
              <w:rPr>
                <w:i/>
              </w:rPr>
            </w:pPr>
            <w:r>
              <w:rPr>
                <w:i/>
              </w:rPr>
              <w:t>80% +</w:t>
            </w:r>
          </w:p>
        </w:tc>
        <w:tc>
          <w:tcPr>
            <w:tcW w:w="1198" w:type="pct"/>
            <w:tcBorders>
              <w:top w:val="single" w:sz="4" w:space="0" w:color="auto"/>
              <w:left w:val="nil"/>
              <w:bottom w:val="single" w:sz="4" w:space="0" w:color="auto"/>
              <w:right w:val="single" w:sz="4" w:space="0" w:color="auto"/>
            </w:tcBorders>
            <w:shd w:val="clear" w:color="auto" w:fill="D2EDFF" w:themeFill="accent1" w:themeFillTint="1A"/>
            <w:vAlign w:val="center"/>
            <w:hideMark/>
          </w:tcPr>
          <w:p w14:paraId="602C2677" w14:textId="77777777" w:rsidR="007F40C8" w:rsidRDefault="007F40C8" w:rsidP="00DA20DC">
            <w:pPr>
              <w:pStyle w:val="TableTextCentered"/>
              <w:rPr>
                <w:highlight w:val="yellow"/>
              </w:rPr>
            </w:pPr>
            <w:r>
              <w:t>140</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5E3E5" w14:textId="77777777" w:rsidR="007F40C8" w:rsidRDefault="007F40C8" w:rsidP="00106C35">
            <w:pPr>
              <w:pStyle w:val="TableTextCentered"/>
            </w:pPr>
            <w:r>
              <w:t>180</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E4BA0" w14:textId="77777777" w:rsidR="007F40C8" w:rsidRDefault="007F40C8" w:rsidP="00106C35">
            <w:pPr>
              <w:pStyle w:val="TableTextCentered"/>
            </w:pPr>
            <w:r>
              <w:t>170</w:t>
            </w:r>
          </w:p>
        </w:tc>
      </w:tr>
    </w:tbl>
    <w:p w14:paraId="1F2F8417" w14:textId="74C5BBF9" w:rsidR="007F40C8" w:rsidRDefault="007F40C8" w:rsidP="00E062A0">
      <w:pPr>
        <w:pStyle w:val="ChartorTableNote"/>
      </w:pPr>
      <w:r>
        <w:t>Notes:</w:t>
      </w:r>
      <w:r w:rsidRPr="004C68BE">
        <w:rPr>
          <w:i/>
          <w:iCs/>
        </w:rPr>
        <w:t xml:space="preserve"> </w:t>
      </w:r>
      <w:r w:rsidRPr="004C68BE">
        <w:t>(1)</w:t>
      </w:r>
      <w:r w:rsidRPr="004C68BE">
        <w:rPr>
          <w:i/>
          <w:iCs/>
        </w:rPr>
        <w:t xml:space="preserve"> </w:t>
      </w:r>
      <w:r w:rsidRPr="004C68BE">
        <w:rPr>
          <w:i/>
        </w:rPr>
        <w:t xml:space="preserve"> </w:t>
      </w:r>
      <w:r w:rsidRPr="00D62752">
        <w:t>N</w:t>
      </w:r>
      <w:r>
        <w:t>/</w:t>
      </w:r>
      <w:r w:rsidRPr="00D62752">
        <w:t>A indicates that it is not possible to manage COVID</w:t>
      </w:r>
      <w:r w:rsidR="00F54789">
        <w:noBreakHyphen/>
      </w:r>
      <w:r w:rsidRPr="00D62752">
        <w:t>19 within Australia</w:t>
      </w:r>
      <w:r w:rsidR="00F54789">
        <w:t>’</w:t>
      </w:r>
      <w:r w:rsidRPr="00D62752">
        <w:t xml:space="preserve">s health system capacity using a given level of restrictions at a certain vaccination rate, </w:t>
      </w:r>
      <w:r>
        <w:t>given</w:t>
      </w:r>
      <w:r w:rsidRPr="00D62752">
        <w:t xml:space="preserve"> assumptions regarding the frequency of outbreaks that </w:t>
      </w:r>
      <w:r>
        <w:t>are</w:t>
      </w:r>
      <w:r w:rsidRPr="00D62752">
        <w:t xml:space="preserve"> likely under </w:t>
      </w:r>
      <w:r>
        <w:t xml:space="preserve">this strategy. </w:t>
      </w:r>
      <w:r w:rsidRPr="0072731A">
        <w:t xml:space="preserve">(2) </w:t>
      </w:r>
      <w:r>
        <w:t>Total costs include the estimated direct economic costs of lockdowns, baseline activity restrictions and international border restrictions. (3) C</w:t>
      </w:r>
      <w:r w:rsidRPr="0072731A">
        <w:t>osts</w:t>
      </w:r>
      <w:r>
        <w:t xml:space="preserve"> assume five outbreaks per quarter, lasting a total of 10 weeks at vaccination rates &lt;60%, and contained to a metropolitan area (that is, around 20 per cent of Australia). (4) Highlighted cells represent most cost</w:t>
      </w:r>
      <w:r w:rsidR="00F54789">
        <w:noBreakHyphen/>
      </w:r>
      <w:r>
        <w:t>effective bundle, while maintaining health restrictions.</w:t>
      </w:r>
    </w:p>
    <w:p w14:paraId="7CEB31CE" w14:textId="7479C57B" w:rsidR="007F40C8" w:rsidRDefault="007F40C8" w:rsidP="0063330F">
      <w:pPr>
        <w:pStyle w:val="Heading2"/>
      </w:pPr>
      <w:bookmarkStart w:id="18" w:name="_Toc78889979"/>
      <w:bookmarkStart w:id="19" w:name="_Toc78902075"/>
      <w:r>
        <w:t>Economic Costs Assuming Ongoing L</w:t>
      </w:r>
      <w:r w:rsidR="007C75EE">
        <w:t xml:space="preserve">ow </w:t>
      </w:r>
      <w:r w:rsidR="004B2679">
        <w:t>L</w:t>
      </w:r>
      <w:r w:rsidR="007C75EE">
        <w:t>evel</w:t>
      </w:r>
      <w:r>
        <w:t xml:space="preserve"> Restrictions</w:t>
      </w:r>
      <w:bookmarkEnd w:id="18"/>
      <w:bookmarkEnd w:id="19"/>
    </w:p>
    <w:p w14:paraId="65E2A8AA" w14:textId="59C3AE4A" w:rsidR="007F40C8" w:rsidRPr="00F80E00" w:rsidRDefault="00835310" w:rsidP="007F40C8">
      <w:r>
        <w:t xml:space="preserve">The </w:t>
      </w:r>
      <w:r w:rsidR="007F40C8">
        <w:t>Doherty</w:t>
      </w:r>
      <w:r>
        <w:t xml:space="preserve"> Institute</w:t>
      </w:r>
      <w:r w:rsidR="007F40C8">
        <w:t xml:space="preserve"> also presents a range of scenarios that involve applying l</w:t>
      </w:r>
      <w:r w:rsidR="00E30BE9">
        <w:t>ow level</w:t>
      </w:r>
      <w:r w:rsidR="007F40C8">
        <w:t xml:space="preserve"> restrictions (low PHSM) at all times, rather than just baseline restrictions</w:t>
      </w:r>
      <w:r w:rsidR="00106C35">
        <w:t xml:space="preserve">. </w:t>
      </w:r>
      <w:r w:rsidR="007F40C8">
        <w:t xml:space="preserve">By applying a higher level of ongoing restrictions across the whole country, the need for strict and moderate lockdowns is reduced at each vaccination rate, but there are higher ongoing economic costs. </w:t>
      </w:r>
    </w:p>
    <w:p w14:paraId="436D7346" w14:textId="76D821E3" w:rsidR="007F40C8" w:rsidRDefault="007F40C8" w:rsidP="007F40C8">
      <w:r>
        <w:t xml:space="preserve">Table 6 presents the number of days per quarter that different restrictions are expected to be required under this approach. </w:t>
      </w:r>
      <w:r w:rsidR="00506BC5">
        <w:t xml:space="preserve">At 50 per cent vaccination rates, minimisation of cases can only be achieved by applying strict lockdowns. At vaccination rates of 60 per cent or above, different approaches can be applied. For example, at 60 per cent vaccination rates, cases can be minimised by either applying moderate lockdowns for 31 days per quarter </w:t>
      </w:r>
      <w:r w:rsidR="00506BC5" w:rsidRPr="003E44AC">
        <w:rPr>
          <w:u w:val="single"/>
        </w:rPr>
        <w:t>or</w:t>
      </w:r>
      <w:r w:rsidR="00506BC5">
        <w:t xml:space="preserve"> by applying strict lockdowns for 13 days per quarter. </w:t>
      </w:r>
    </w:p>
    <w:p w14:paraId="0E692972" w14:textId="08C798B4" w:rsidR="005F4BFA" w:rsidRDefault="005F4BFA">
      <w:pPr>
        <w:spacing w:before="0" w:after="160" w:line="259" w:lineRule="auto"/>
      </w:pPr>
      <w:r>
        <w:br w:type="page"/>
      </w:r>
    </w:p>
    <w:p w14:paraId="76632273" w14:textId="3D27368D" w:rsidR="007F40C8" w:rsidRDefault="007F40C8" w:rsidP="00E062A0">
      <w:pPr>
        <w:pStyle w:val="TableMainHeading"/>
      </w:pPr>
      <w:r>
        <w:t xml:space="preserve">Table 6: </w:t>
      </w:r>
      <w:r w:rsidR="00BA0FDA">
        <w:t>D</w:t>
      </w:r>
      <w:r w:rsidR="00BA0FDA" w:rsidRPr="00D1504C">
        <w:t xml:space="preserve">ays </w:t>
      </w:r>
      <w:r w:rsidR="00BA0FDA">
        <w:t xml:space="preserve">per quarter </w:t>
      </w:r>
      <w:r w:rsidR="00356BDC">
        <w:t>for</w:t>
      </w:r>
      <w:r w:rsidR="00BA0FDA">
        <w:t xml:space="preserve"> alternat</w:t>
      </w:r>
      <w:r w:rsidR="005D12FF">
        <w:t>ive</w:t>
      </w:r>
      <w:r w:rsidR="00BA0FDA">
        <w:t xml:space="preserve"> restriction options under </w:t>
      </w:r>
      <w:r>
        <w:t xml:space="preserve">a strategy </w:t>
      </w:r>
      <w:r w:rsidR="00725718">
        <w:t>to minimise cases</w:t>
      </w:r>
      <w:r w:rsidR="00864E4F">
        <w:t>,</w:t>
      </w:r>
      <w:r w:rsidR="00725718">
        <w:t xml:space="preserve"> </w:t>
      </w:r>
      <w:r>
        <w:t>with ongoing l</w:t>
      </w:r>
      <w:r w:rsidR="00CE0B5D">
        <w:t xml:space="preserve">ow level </w:t>
      </w:r>
      <w:r>
        <w:t>restrictions</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301"/>
        <w:gridCol w:w="2301"/>
        <w:gridCol w:w="2408"/>
      </w:tblGrid>
      <w:tr w:rsidR="00B166E8" w:rsidRPr="006F6D01" w14:paraId="6983F38A" w14:textId="77777777" w:rsidTr="00902871">
        <w:trPr>
          <w:trHeight w:val="113"/>
        </w:trPr>
        <w:tc>
          <w:tcPr>
            <w:tcW w:w="1131" w:type="pct"/>
            <w:shd w:val="clear" w:color="auto" w:fill="auto"/>
            <w:hideMark/>
          </w:tcPr>
          <w:p w14:paraId="542D8DA9" w14:textId="77777777" w:rsidR="00B166E8" w:rsidRPr="006F6D01" w:rsidRDefault="00B166E8" w:rsidP="00B166E8">
            <w:pPr>
              <w:pStyle w:val="TableColumnHeadingLeft"/>
            </w:pPr>
            <w:r w:rsidRPr="006F6D01">
              <w:t>Vaccination rate</w:t>
            </w:r>
          </w:p>
        </w:tc>
        <w:tc>
          <w:tcPr>
            <w:tcW w:w="1270" w:type="pct"/>
            <w:shd w:val="clear" w:color="auto" w:fill="FFFFFF" w:themeFill="background1"/>
          </w:tcPr>
          <w:p w14:paraId="731E0852" w14:textId="3D66FC7E" w:rsidR="00B166E8" w:rsidRDefault="00B166E8" w:rsidP="00B166E8">
            <w:pPr>
              <w:pStyle w:val="TableColumnHeadingCentred"/>
            </w:pPr>
            <w:r w:rsidRPr="00364CC6">
              <w:t>Ongoing l</w:t>
            </w:r>
            <w:r w:rsidR="00FD6C8F">
              <w:t>ow level</w:t>
            </w:r>
            <w:r w:rsidRPr="00364CC6">
              <w:t xml:space="preserve"> restrictions only</w:t>
            </w:r>
          </w:p>
          <w:p w14:paraId="7FB726E7" w14:textId="1EDB868A" w:rsidR="00A83400" w:rsidRDefault="00A83400" w:rsidP="00B166E8">
            <w:pPr>
              <w:pStyle w:val="TableColumnHeadingCentred"/>
            </w:pPr>
            <w:r w:rsidRPr="00902871">
              <w:rPr>
                <w:b w:val="0"/>
                <w:bCs/>
              </w:rPr>
              <w:t>Days per quarter</w:t>
            </w:r>
          </w:p>
        </w:tc>
        <w:tc>
          <w:tcPr>
            <w:tcW w:w="1270" w:type="pct"/>
            <w:shd w:val="clear" w:color="auto" w:fill="auto"/>
            <w:hideMark/>
          </w:tcPr>
          <w:p w14:paraId="72A07E35" w14:textId="6C799812" w:rsidR="00B166E8" w:rsidRPr="006F6D01" w:rsidRDefault="00B166E8" w:rsidP="00B166E8">
            <w:pPr>
              <w:pStyle w:val="TableColumnHeadingCentred"/>
              <w:rPr>
                <w:bCs/>
              </w:rPr>
            </w:pPr>
            <w:r>
              <w:t>Periodic m</w:t>
            </w:r>
            <w:r w:rsidRPr="006F6D01">
              <w:t>oderate</w:t>
            </w:r>
            <w:r w:rsidRPr="006F6D01">
              <w:rPr>
                <w:bCs/>
              </w:rPr>
              <w:t xml:space="preserve"> </w:t>
            </w:r>
            <w:r>
              <w:rPr>
                <w:bCs/>
              </w:rPr>
              <w:t>lockdowns only</w:t>
            </w:r>
          </w:p>
          <w:p w14:paraId="1216B416" w14:textId="77777777" w:rsidR="00B166E8" w:rsidRPr="00106C35" w:rsidRDefault="00B166E8" w:rsidP="00B166E8">
            <w:pPr>
              <w:pStyle w:val="TableColumnHeadingCentred"/>
              <w:rPr>
                <w:b w:val="0"/>
                <w:bCs/>
              </w:rPr>
            </w:pPr>
            <w:r w:rsidRPr="00106C35">
              <w:rPr>
                <w:b w:val="0"/>
                <w:bCs/>
              </w:rPr>
              <w:t>Days per quarter</w:t>
            </w:r>
          </w:p>
        </w:tc>
        <w:tc>
          <w:tcPr>
            <w:tcW w:w="1328" w:type="pct"/>
            <w:shd w:val="clear" w:color="auto" w:fill="auto"/>
            <w:hideMark/>
          </w:tcPr>
          <w:p w14:paraId="0C077B26" w14:textId="458CBE74" w:rsidR="00B166E8" w:rsidRPr="00B637FE" w:rsidRDefault="00B166E8" w:rsidP="00B166E8">
            <w:pPr>
              <w:pStyle w:val="TableColumnHeadingCentred"/>
              <w:rPr>
                <w:bCs/>
              </w:rPr>
            </w:pPr>
            <w:r>
              <w:t>Periodic s</w:t>
            </w:r>
            <w:r w:rsidRPr="00B637FE">
              <w:t>trict lockdowns</w:t>
            </w:r>
            <w:r>
              <w:t xml:space="preserve"> only</w:t>
            </w:r>
            <w:r w:rsidRPr="00B637FE">
              <w:rPr>
                <w:bCs/>
              </w:rPr>
              <w:t xml:space="preserve"> </w:t>
            </w:r>
          </w:p>
          <w:p w14:paraId="160C1B67" w14:textId="77777777" w:rsidR="00B166E8" w:rsidRPr="00106C35" w:rsidRDefault="00B166E8" w:rsidP="00B166E8">
            <w:pPr>
              <w:pStyle w:val="TableColumnHeadingCentred"/>
              <w:rPr>
                <w:b w:val="0"/>
                <w:bCs/>
              </w:rPr>
            </w:pPr>
            <w:r w:rsidRPr="00106C35">
              <w:rPr>
                <w:b w:val="0"/>
                <w:bCs/>
              </w:rPr>
              <w:t>Days per quarter</w:t>
            </w:r>
          </w:p>
        </w:tc>
      </w:tr>
      <w:tr w:rsidR="00A83400" w:rsidRPr="006F6D01" w14:paraId="14526FC7" w14:textId="77777777" w:rsidTr="00902871">
        <w:trPr>
          <w:trHeight w:val="113"/>
        </w:trPr>
        <w:tc>
          <w:tcPr>
            <w:tcW w:w="1131" w:type="pct"/>
            <w:shd w:val="clear" w:color="auto" w:fill="auto"/>
            <w:hideMark/>
          </w:tcPr>
          <w:p w14:paraId="0622ED06" w14:textId="77777777" w:rsidR="00A83400" w:rsidRPr="006F6D01" w:rsidRDefault="00A83400" w:rsidP="00A83400">
            <w:pPr>
              <w:pStyle w:val="TableColumnHeadingLeft"/>
              <w:rPr>
                <w:i/>
              </w:rPr>
            </w:pPr>
            <w:r>
              <w:rPr>
                <w:i/>
              </w:rPr>
              <w:t>50%</w:t>
            </w:r>
          </w:p>
        </w:tc>
        <w:tc>
          <w:tcPr>
            <w:tcW w:w="1270" w:type="pct"/>
            <w:shd w:val="clear" w:color="auto" w:fill="FFFFFF" w:themeFill="background1"/>
            <w:vAlign w:val="bottom"/>
          </w:tcPr>
          <w:p w14:paraId="6322E4CD" w14:textId="376BFA33" w:rsidR="00A83400" w:rsidRPr="00D8500B" w:rsidRDefault="00A83400" w:rsidP="00A83400">
            <w:pPr>
              <w:pStyle w:val="TableTextCentered"/>
            </w:pPr>
            <w:r w:rsidRPr="00D8500B">
              <w:t>N/A</w:t>
            </w:r>
          </w:p>
        </w:tc>
        <w:tc>
          <w:tcPr>
            <w:tcW w:w="1270" w:type="pct"/>
            <w:shd w:val="clear" w:color="auto" w:fill="auto"/>
          </w:tcPr>
          <w:p w14:paraId="04EBA446" w14:textId="305C61DB" w:rsidR="00A83400" w:rsidRPr="00D8500B" w:rsidRDefault="00A83400" w:rsidP="00A83400">
            <w:pPr>
              <w:pStyle w:val="TableTextCentered"/>
            </w:pPr>
            <w:r w:rsidRPr="00D8500B">
              <w:t>N/A</w:t>
            </w:r>
          </w:p>
        </w:tc>
        <w:tc>
          <w:tcPr>
            <w:tcW w:w="1328" w:type="pct"/>
            <w:shd w:val="clear" w:color="auto" w:fill="D2EDFF" w:themeFill="accent1" w:themeFillTint="1A"/>
          </w:tcPr>
          <w:p w14:paraId="5F09C188" w14:textId="77777777" w:rsidR="00A83400" w:rsidRPr="00D8500B" w:rsidRDefault="00A83400" w:rsidP="00A83400">
            <w:pPr>
              <w:pStyle w:val="TableTextCentered"/>
            </w:pPr>
            <w:r w:rsidRPr="00D8500B">
              <w:t>70</w:t>
            </w:r>
          </w:p>
        </w:tc>
      </w:tr>
      <w:tr w:rsidR="00A83400" w:rsidRPr="006F6D01" w14:paraId="09B7DD00" w14:textId="77777777" w:rsidTr="00902871">
        <w:trPr>
          <w:trHeight w:val="113"/>
        </w:trPr>
        <w:tc>
          <w:tcPr>
            <w:tcW w:w="1131" w:type="pct"/>
            <w:shd w:val="clear" w:color="auto" w:fill="auto"/>
            <w:hideMark/>
          </w:tcPr>
          <w:p w14:paraId="3996D1F3" w14:textId="7E1B663D" w:rsidR="00A83400" w:rsidRPr="006F6D01" w:rsidRDefault="00A83400" w:rsidP="00A83400">
            <w:pPr>
              <w:pStyle w:val="TableColumnHeadingLeft"/>
              <w:rPr>
                <w:i/>
              </w:rPr>
            </w:pPr>
            <w:r w:rsidRPr="006F6D01">
              <w:rPr>
                <w:i/>
              </w:rPr>
              <w:t>60%</w:t>
            </w:r>
          </w:p>
        </w:tc>
        <w:tc>
          <w:tcPr>
            <w:tcW w:w="1270" w:type="pct"/>
            <w:shd w:val="clear" w:color="auto" w:fill="FFFFFF" w:themeFill="background1"/>
            <w:vAlign w:val="bottom"/>
          </w:tcPr>
          <w:p w14:paraId="26B67836" w14:textId="397DE727" w:rsidR="00A83400" w:rsidRPr="00D8500B" w:rsidRDefault="00A83400" w:rsidP="00A83400">
            <w:pPr>
              <w:pStyle w:val="TableTextCentered"/>
            </w:pPr>
            <w:r w:rsidRPr="00D8500B">
              <w:t>N/A</w:t>
            </w:r>
          </w:p>
        </w:tc>
        <w:tc>
          <w:tcPr>
            <w:tcW w:w="1270" w:type="pct"/>
            <w:shd w:val="clear" w:color="auto" w:fill="auto"/>
          </w:tcPr>
          <w:p w14:paraId="6A013B01" w14:textId="4CB068EF" w:rsidR="00A83400" w:rsidRPr="00D8500B" w:rsidRDefault="00A83400" w:rsidP="00A83400">
            <w:pPr>
              <w:pStyle w:val="TableTextCentered"/>
            </w:pPr>
            <w:r w:rsidRPr="00D8500B">
              <w:t>31</w:t>
            </w:r>
          </w:p>
        </w:tc>
        <w:tc>
          <w:tcPr>
            <w:tcW w:w="1328" w:type="pct"/>
            <w:shd w:val="clear" w:color="auto" w:fill="D2EDFF" w:themeFill="accent1" w:themeFillTint="1A"/>
          </w:tcPr>
          <w:p w14:paraId="4C418C80" w14:textId="77777777" w:rsidR="00A83400" w:rsidRPr="00D8500B" w:rsidRDefault="00A83400" w:rsidP="00A83400">
            <w:pPr>
              <w:pStyle w:val="TableTextCentered"/>
            </w:pPr>
            <w:r w:rsidRPr="00D8500B">
              <w:t>13</w:t>
            </w:r>
          </w:p>
        </w:tc>
      </w:tr>
      <w:tr w:rsidR="00F73BA6" w:rsidRPr="006F6D01" w14:paraId="6125286F" w14:textId="77777777" w:rsidTr="00F73BA6">
        <w:trPr>
          <w:trHeight w:val="113"/>
        </w:trPr>
        <w:tc>
          <w:tcPr>
            <w:tcW w:w="1131" w:type="pct"/>
            <w:shd w:val="clear" w:color="auto" w:fill="auto"/>
            <w:hideMark/>
          </w:tcPr>
          <w:p w14:paraId="6DA5FBF3" w14:textId="77777777" w:rsidR="00F73BA6" w:rsidRPr="006F6D01" w:rsidRDefault="00F73BA6" w:rsidP="00A83400">
            <w:pPr>
              <w:pStyle w:val="TableColumnHeadingLeft"/>
              <w:rPr>
                <w:i/>
              </w:rPr>
            </w:pPr>
            <w:r w:rsidRPr="006F6D01">
              <w:rPr>
                <w:i/>
              </w:rPr>
              <w:t>70%</w:t>
            </w:r>
          </w:p>
        </w:tc>
        <w:tc>
          <w:tcPr>
            <w:tcW w:w="3869" w:type="pct"/>
            <w:gridSpan w:val="3"/>
            <w:vMerge w:val="restart"/>
            <w:shd w:val="clear" w:color="auto" w:fill="D2EDFF" w:themeFill="accent1" w:themeFillTint="1A"/>
            <w:vAlign w:val="center"/>
          </w:tcPr>
          <w:p w14:paraId="6E881E12" w14:textId="2464A068" w:rsidR="00F73BA6" w:rsidRPr="00D8500B" w:rsidRDefault="00F73BA6">
            <w:pPr>
              <w:pStyle w:val="TableTextCentered"/>
            </w:pPr>
            <w:r w:rsidRPr="008E076E">
              <w:t>No lockdowns required, ongoing l</w:t>
            </w:r>
            <w:r>
              <w:t>ow level</w:t>
            </w:r>
            <w:r w:rsidRPr="008E076E">
              <w:t xml:space="preserve"> restrictions only</w:t>
            </w:r>
          </w:p>
          <w:p w14:paraId="35A6F581" w14:textId="594489F2" w:rsidR="00F73BA6" w:rsidRPr="00D8500B" w:rsidRDefault="00F73BA6" w:rsidP="00A83400">
            <w:pPr>
              <w:pStyle w:val="TableTextCentered"/>
            </w:pPr>
            <w:r w:rsidRPr="00D8500B">
              <w:t>91*</w:t>
            </w:r>
          </w:p>
        </w:tc>
      </w:tr>
      <w:tr w:rsidR="00F73BA6" w14:paraId="137011DD" w14:textId="77777777" w:rsidTr="00F73BA6">
        <w:trPr>
          <w:trHeight w:val="70"/>
        </w:trPr>
        <w:tc>
          <w:tcPr>
            <w:tcW w:w="1131" w:type="pct"/>
            <w:shd w:val="clear" w:color="auto" w:fill="auto"/>
            <w:hideMark/>
          </w:tcPr>
          <w:p w14:paraId="698D0A9B" w14:textId="77777777" w:rsidR="00F73BA6" w:rsidRPr="006F6D01" w:rsidRDefault="00F73BA6" w:rsidP="00A83400">
            <w:pPr>
              <w:pStyle w:val="TableColumnHeadingLeft"/>
              <w:rPr>
                <w:i/>
              </w:rPr>
            </w:pPr>
            <w:r w:rsidRPr="006F6D01">
              <w:rPr>
                <w:i/>
              </w:rPr>
              <w:t>80% +</w:t>
            </w:r>
          </w:p>
        </w:tc>
        <w:tc>
          <w:tcPr>
            <w:tcW w:w="3869" w:type="pct"/>
            <w:gridSpan w:val="3"/>
            <w:vMerge/>
            <w:shd w:val="clear" w:color="auto" w:fill="D2EDFF" w:themeFill="accent1" w:themeFillTint="1A"/>
          </w:tcPr>
          <w:p w14:paraId="4A9D6672" w14:textId="748B09EF" w:rsidR="00F73BA6" w:rsidRPr="00D8500B" w:rsidRDefault="00F73BA6" w:rsidP="00A83400">
            <w:pPr>
              <w:pStyle w:val="TableTextCentered"/>
            </w:pPr>
          </w:p>
        </w:tc>
      </w:tr>
    </w:tbl>
    <w:p w14:paraId="4D69F4B8" w14:textId="2C947FAD" w:rsidR="007F40C8" w:rsidRDefault="00106C35" w:rsidP="00E062A0">
      <w:pPr>
        <w:pStyle w:val="ChartorTableNote"/>
      </w:pPr>
      <w:r>
        <w:t>*</w:t>
      </w:r>
      <w:r w:rsidR="00D144A1" w:rsidRPr="00D144A1">
        <w:rPr>
          <w:sz w:val="16"/>
          <w:szCs w:val="16"/>
        </w:rPr>
        <w:t xml:space="preserve"> </w:t>
      </w:r>
      <w:r w:rsidR="00D144A1">
        <w:rPr>
          <w:sz w:val="16"/>
          <w:szCs w:val="16"/>
        </w:rPr>
        <w:t>Under light restrictions, there are only restrictions on activity (i</w:t>
      </w:r>
      <w:r w:rsidR="001C0D6D">
        <w:rPr>
          <w:sz w:val="16"/>
          <w:szCs w:val="16"/>
        </w:rPr>
        <w:t>.</w:t>
      </w:r>
      <w:r w:rsidR="00D144A1">
        <w:rPr>
          <w:sz w:val="16"/>
          <w:szCs w:val="16"/>
        </w:rPr>
        <w:t xml:space="preserve">e. </w:t>
      </w:r>
      <w:r w:rsidR="00D144A1" w:rsidDel="00042BEA">
        <w:rPr>
          <w:sz w:val="16"/>
          <w:szCs w:val="16"/>
        </w:rPr>
        <w:t>no lockdowns</w:t>
      </w:r>
      <w:r w:rsidR="00D144A1">
        <w:rPr>
          <w:sz w:val="16"/>
          <w:szCs w:val="16"/>
        </w:rPr>
        <w:t>)</w:t>
      </w:r>
      <w:r w:rsidR="00D144A1" w:rsidDel="00042BEA">
        <w:rPr>
          <w:sz w:val="16"/>
          <w:szCs w:val="16"/>
        </w:rPr>
        <w:t>.</w:t>
      </w:r>
    </w:p>
    <w:p w14:paraId="74DE21D7" w14:textId="4FAE3DE0" w:rsidR="007F40C8" w:rsidRDefault="007F40C8" w:rsidP="00E062A0">
      <w:pPr>
        <w:pStyle w:val="ChartorTableNote"/>
      </w:pPr>
      <w:r>
        <w:t>Notes: (1) N/A indicates that it is not possible to manage COVID</w:t>
      </w:r>
      <w:r w:rsidR="00F54789">
        <w:noBreakHyphen/>
      </w:r>
      <w:r>
        <w:t>19 within Australia</w:t>
      </w:r>
      <w:r w:rsidR="00F54789">
        <w:t>’</w:t>
      </w:r>
      <w:r>
        <w:t>s health system capacity using a given level of restrictions at a certain vaccination rate, given assumptions regarding the frequency of outbreaks. (2) Assumes five outbreaks per quarter</w:t>
      </w:r>
      <w:r w:rsidDel="00C201B8">
        <w:t xml:space="preserve">, </w:t>
      </w:r>
      <w:r>
        <w:t>lasting a total of 10 weeks at vaccination rates &lt;60%, and contained to a metropolitan area (that is, around 20 per cent of Australia).</w:t>
      </w:r>
    </w:p>
    <w:p w14:paraId="6A889EED" w14:textId="77777777" w:rsidR="005F4BFA" w:rsidRPr="005F4BFA" w:rsidRDefault="005F4BFA" w:rsidP="005F4BFA">
      <w:pPr>
        <w:pStyle w:val="SingleParagraph"/>
      </w:pPr>
    </w:p>
    <w:p w14:paraId="08C51DA2" w14:textId="1A585501" w:rsidR="007F40C8" w:rsidRDefault="00AC704F" w:rsidP="007F40C8">
      <w:r>
        <w:t>Continuous application of l</w:t>
      </w:r>
      <w:r w:rsidR="009D5ABD">
        <w:t>ow level</w:t>
      </w:r>
      <w:r>
        <w:t xml:space="preserve"> restrictions is expected to reduce reliance on lockdowns. However, i</w:t>
      </w:r>
      <w:r w:rsidR="007F40C8">
        <w:t xml:space="preserve">t is estimated that this approach carries a higher overall direct economic cost than approaches that involve only ongoing baseline restrictions. This is because ongoing </w:t>
      </w:r>
      <w:r w:rsidR="00706921">
        <w:t xml:space="preserve">low level </w:t>
      </w:r>
      <w:r w:rsidR="007F40C8">
        <w:t>restrictions (primarily density and capacity constraints on workplaces and large events) still impose significant constraints, particularly on hospitality, arts and recreation and workplace environments.</w:t>
      </w:r>
    </w:p>
    <w:p w14:paraId="0D0E9251" w14:textId="4CCE7623" w:rsidR="007F40C8" w:rsidRDefault="007F40C8" w:rsidP="007F40C8">
      <w:pPr>
        <w:pStyle w:val="Bullet"/>
        <w:numPr>
          <w:ilvl w:val="0"/>
          <w:numId w:val="0"/>
        </w:numPr>
      </w:pPr>
      <w:r w:rsidRPr="00075858">
        <w:t>At vaccination rates</w:t>
      </w:r>
      <w:r>
        <w:t xml:space="preserve"> of 50 per cent and </w:t>
      </w:r>
      <w:r w:rsidRPr="00075858">
        <w:t xml:space="preserve">60 per cent, </w:t>
      </w:r>
      <w:r>
        <w:t xml:space="preserve">periodic lockdowns are still required to </w:t>
      </w:r>
      <w:r w:rsidR="00576855">
        <w:t>minimise cases</w:t>
      </w:r>
      <w:r>
        <w:t xml:space="preserve">, in addition to </w:t>
      </w:r>
      <w:r w:rsidRPr="00075858">
        <w:t xml:space="preserve">ongoing </w:t>
      </w:r>
      <w:r w:rsidR="00BC44EF">
        <w:t>low level</w:t>
      </w:r>
      <w:r w:rsidR="00BC44EF" w:rsidRPr="00075858">
        <w:t xml:space="preserve"> </w:t>
      </w:r>
      <w:r w:rsidRPr="00075858">
        <w:t>restrictions</w:t>
      </w:r>
      <w:r>
        <w:t xml:space="preserve">. At 50 per cent, the estimated direct economic cost of </w:t>
      </w:r>
      <w:r w:rsidR="00576855">
        <w:t>minimising cases</w:t>
      </w:r>
      <w:r>
        <w:t xml:space="preserve"> is around $1 billion</w:t>
      </w:r>
      <w:r w:rsidRPr="00075858">
        <w:t xml:space="preserve"> per week</w:t>
      </w:r>
      <w:r>
        <w:t xml:space="preserve">, almost double the cost of managing the virus through a combination of baseline and strict measures. </w:t>
      </w:r>
    </w:p>
    <w:p w14:paraId="030FE554" w14:textId="2796EBEA" w:rsidR="007F40C8" w:rsidRDefault="007F40C8" w:rsidP="007F40C8">
      <w:pPr>
        <w:pStyle w:val="Bullet"/>
        <w:numPr>
          <w:ilvl w:val="0"/>
          <w:numId w:val="0"/>
        </w:numPr>
      </w:pPr>
      <w:r>
        <w:t>At 60 per cent, the expected economic cost falls to around $730 million per week, but remains substantially higher than the cost under baseline and strict measures of around $</w:t>
      </w:r>
      <w:r w:rsidR="000731BF">
        <w:t xml:space="preserve">430 </w:t>
      </w:r>
      <w:r>
        <w:t xml:space="preserve">million. </w:t>
      </w:r>
    </w:p>
    <w:p w14:paraId="13DD67F6" w14:textId="17747F95" w:rsidR="007F40C8" w:rsidRDefault="007F40C8" w:rsidP="007F40C8">
      <w:pPr>
        <w:pStyle w:val="Bullet"/>
        <w:numPr>
          <w:ilvl w:val="0"/>
          <w:numId w:val="0"/>
        </w:numPr>
      </w:pPr>
      <w:r>
        <w:t xml:space="preserve">Once vaccination rates reach 70 per cent, Doherty </w:t>
      </w:r>
      <w:r w:rsidR="007253B5">
        <w:t xml:space="preserve">Institute modelling </w:t>
      </w:r>
      <w:r>
        <w:t xml:space="preserve">indicates </w:t>
      </w:r>
      <w:r w:rsidR="00BD47FE">
        <w:t>cases can be minimised</w:t>
      </w:r>
      <w:r>
        <w:t xml:space="preserve"> by applying l</w:t>
      </w:r>
      <w:r w:rsidR="006F59C5">
        <w:t>ow level</w:t>
      </w:r>
      <w:r>
        <w:t xml:space="preserve"> restrictions at all times, at a cost of around $660 million per week. </w:t>
      </w:r>
    </w:p>
    <w:p w14:paraId="422CAB14" w14:textId="1854AE20" w:rsidR="007F40C8" w:rsidRPr="001B5295" w:rsidRDefault="007F40C8" w:rsidP="00E062A0">
      <w:pPr>
        <w:pStyle w:val="TableMainHeading"/>
      </w:pPr>
      <w:r w:rsidRPr="001B5295">
        <w:t xml:space="preserve">Table </w:t>
      </w:r>
      <w:r>
        <w:t>7</w:t>
      </w:r>
      <w:r w:rsidRPr="001B5295">
        <w:t xml:space="preserve">. Direct economic costs </w:t>
      </w:r>
      <w:r>
        <w:t>of required restrictions and lockdowns,</w:t>
      </w:r>
      <w:r w:rsidRPr="001B5295">
        <w:t xml:space="preserve"> </w:t>
      </w:r>
      <w:r>
        <w:t xml:space="preserve">under a strategy </w:t>
      </w:r>
      <w:r w:rsidR="00864E4F">
        <w:t xml:space="preserve">to minimise </w:t>
      </w:r>
      <w:r>
        <w:t>cases</w:t>
      </w:r>
      <w:r w:rsidR="00864E4F">
        <w:t>,</w:t>
      </w:r>
      <w:r>
        <w:t xml:space="preserve"> with ongoing </w:t>
      </w:r>
      <w:r w:rsidR="00B80A56">
        <w:t xml:space="preserve">low level </w:t>
      </w:r>
      <w:r>
        <w:t>restrictions</w:t>
      </w:r>
    </w:p>
    <w:tbl>
      <w:tblPr>
        <w:tblStyle w:val="TableGrid"/>
        <w:tblW w:w="5000" w:type="pct"/>
        <w:tblLook w:val="04A0" w:firstRow="1" w:lastRow="0" w:firstColumn="1" w:lastColumn="0" w:noHBand="0" w:noVBand="1"/>
      </w:tblPr>
      <w:tblGrid>
        <w:gridCol w:w="2547"/>
        <w:gridCol w:w="2171"/>
        <w:gridCol w:w="2171"/>
        <w:gridCol w:w="2171"/>
      </w:tblGrid>
      <w:tr w:rsidR="008E076E" w14:paraId="3E1FDCF0" w14:textId="77777777" w:rsidTr="00902871">
        <w:tc>
          <w:tcPr>
            <w:tcW w:w="1406" w:type="pct"/>
            <w:tcBorders>
              <w:top w:val="single" w:sz="4" w:space="0" w:color="auto"/>
              <w:left w:val="single" w:sz="4" w:space="0" w:color="auto"/>
              <w:bottom w:val="single" w:sz="4" w:space="0" w:color="auto"/>
              <w:right w:val="single" w:sz="4" w:space="0" w:color="auto"/>
            </w:tcBorders>
            <w:shd w:val="clear" w:color="auto" w:fill="auto"/>
            <w:hideMark/>
          </w:tcPr>
          <w:p w14:paraId="46ABF75B" w14:textId="77777777" w:rsidR="008E076E" w:rsidRDefault="008E076E" w:rsidP="00106C35">
            <w:pPr>
              <w:pStyle w:val="TableColumnHeadingLeft"/>
            </w:pPr>
            <w:r>
              <w:t>Vaccination rate</w:t>
            </w:r>
          </w:p>
        </w:tc>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tcPr>
          <w:p w14:paraId="034530C5" w14:textId="24CD4974" w:rsidR="008E076E" w:rsidRPr="00C015E8" w:rsidRDefault="008E076E" w:rsidP="00902871">
            <w:pPr>
              <w:pStyle w:val="TableColumnHeadingCentred"/>
            </w:pPr>
            <w:r w:rsidRPr="008E076E">
              <w:t>Ongoing l</w:t>
            </w:r>
            <w:r w:rsidR="00B80A56">
              <w:t xml:space="preserve">ow level </w:t>
            </w:r>
            <w:r w:rsidRPr="008E076E">
              <w:t>restrictions</w:t>
            </w:r>
            <w:r w:rsidRPr="002E3562">
              <w:t xml:space="preserve"> only</w:t>
            </w:r>
          </w:p>
          <w:p w14:paraId="630293B0" w14:textId="5196988C" w:rsidR="008E076E" w:rsidRPr="00902871" w:rsidRDefault="008E076E" w:rsidP="008E076E">
            <w:pPr>
              <w:pStyle w:val="TableColumnHeadingCentred"/>
              <w:rPr>
                <w:b w:val="0"/>
                <w:bCs/>
              </w:rPr>
            </w:pPr>
            <w:r w:rsidRPr="00902871">
              <w:rPr>
                <w:b w:val="0"/>
                <w:bCs/>
              </w:rPr>
              <w:t>($m</w:t>
            </w:r>
            <w:r w:rsidR="00A712FC">
              <w:rPr>
                <w:b w:val="0"/>
                <w:bCs/>
              </w:rPr>
              <w:t xml:space="preserve"> per week</w:t>
            </w:r>
            <w:r w:rsidRPr="00902871">
              <w:rPr>
                <w:b w:val="0"/>
                <w:bCs/>
              </w:rPr>
              <w:t>)</w:t>
            </w:r>
          </w:p>
        </w:tc>
        <w:tc>
          <w:tcPr>
            <w:tcW w:w="1198" w:type="pct"/>
            <w:tcBorders>
              <w:top w:val="single" w:sz="4" w:space="0" w:color="auto"/>
              <w:left w:val="single" w:sz="4" w:space="0" w:color="auto"/>
              <w:bottom w:val="single" w:sz="4" w:space="0" w:color="auto"/>
              <w:right w:val="single" w:sz="4" w:space="0" w:color="auto"/>
            </w:tcBorders>
            <w:shd w:val="clear" w:color="auto" w:fill="auto"/>
            <w:hideMark/>
          </w:tcPr>
          <w:p w14:paraId="4E3D36C6" w14:textId="21BD1937" w:rsidR="008E076E" w:rsidRDefault="008E076E" w:rsidP="00106C35">
            <w:pPr>
              <w:pStyle w:val="TableColumnHeadingCentred"/>
              <w:rPr>
                <w:bCs/>
              </w:rPr>
            </w:pPr>
            <w:r>
              <w:t>Periodic moderate</w:t>
            </w:r>
            <w:r>
              <w:rPr>
                <w:bCs/>
              </w:rPr>
              <w:t xml:space="preserve"> lockdowns</w:t>
            </w:r>
            <w:r w:rsidR="0096240E">
              <w:rPr>
                <w:bCs/>
              </w:rPr>
              <w:t xml:space="preserve"> only</w:t>
            </w:r>
          </w:p>
          <w:p w14:paraId="1D6B262B" w14:textId="334BC835" w:rsidR="008E076E" w:rsidRPr="00106C35" w:rsidRDefault="008E076E" w:rsidP="00106C35">
            <w:pPr>
              <w:pStyle w:val="TableColumnHeadingCentred"/>
              <w:rPr>
                <w:b w:val="0"/>
                <w:bCs/>
              </w:rPr>
            </w:pPr>
            <w:r w:rsidRPr="00106C35">
              <w:rPr>
                <w:b w:val="0"/>
                <w:bCs/>
              </w:rPr>
              <w:t>($m</w:t>
            </w:r>
            <w:r w:rsidR="00A712FC">
              <w:rPr>
                <w:b w:val="0"/>
                <w:bCs/>
              </w:rPr>
              <w:t xml:space="preserve"> per week</w:t>
            </w:r>
            <w:r w:rsidRPr="00106C35">
              <w:rPr>
                <w:b w:val="0"/>
                <w:bCs/>
              </w:rPr>
              <w:t>)</w:t>
            </w:r>
          </w:p>
        </w:tc>
        <w:tc>
          <w:tcPr>
            <w:tcW w:w="1198" w:type="pct"/>
            <w:tcBorders>
              <w:top w:val="single" w:sz="4" w:space="0" w:color="auto"/>
              <w:left w:val="single" w:sz="4" w:space="0" w:color="auto"/>
              <w:bottom w:val="single" w:sz="4" w:space="0" w:color="auto"/>
              <w:right w:val="single" w:sz="4" w:space="0" w:color="auto"/>
            </w:tcBorders>
            <w:shd w:val="clear" w:color="auto" w:fill="auto"/>
            <w:hideMark/>
          </w:tcPr>
          <w:p w14:paraId="32A40A1A" w14:textId="3BB10DDD" w:rsidR="008E076E" w:rsidRDefault="008E076E" w:rsidP="00106C35">
            <w:pPr>
              <w:pStyle w:val="TableColumnHeadingCentred"/>
              <w:rPr>
                <w:bCs/>
              </w:rPr>
            </w:pPr>
            <w:r>
              <w:t>Periodic strict</w:t>
            </w:r>
            <w:r>
              <w:rPr>
                <w:bCs/>
              </w:rPr>
              <w:t xml:space="preserve"> lockdowns</w:t>
            </w:r>
            <w:r w:rsidR="0096240E">
              <w:rPr>
                <w:bCs/>
              </w:rPr>
              <w:t xml:space="preserve"> only</w:t>
            </w:r>
          </w:p>
          <w:p w14:paraId="5A24500D" w14:textId="4B1E4925" w:rsidR="008E076E" w:rsidRPr="00106C35" w:rsidRDefault="008E076E" w:rsidP="00106C35">
            <w:pPr>
              <w:pStyle w:val="TableColumnHeadingCentred"/>
              <w:rPr>
                <w:b w:val="0"/>
                <w:bCs/>
              </w:rPr>
            </w:pPr>
            <w:r w:rsidRPr="00106C35">
              <w:rPr>
                <w:b w:val="0"/>
                <w:bCs/>
              </w:rPr>
              <w:t>($m</w:t>
            </w:r>
            <w:r w:rsidR="00A712FC">
              <w:rPr>
                <w:b w:val="0"/>
                <w:bCs/>
              </w:rPr>
              <w:t xml:space="preserve"> per week</w:t>
            </w:r>
            <w:r w:rsidRPr="00106C35">
              <w:rPr>
                <w:b w:val="0"/>
                <w:bCs/>
              </w:rPr>
              <w:t>)</w:t>
            </w:r>
          </w:p>
        </w:tc>
      </w:tr>
      <w:tr w:rsidR="008E076E" w14:paraId="5E5C5314" w14:textId="77777777" w:rsidTr="00902871">
        <w:tc>
          <w:tcPr>
            <w:tcW w:w="1406" w:type="pct"/>
            <w:tcBorders>
              <w:top w:val="single" w:sz="4" w:space="0" w:color="auto"/>
              <w:left w:val="single" w:sz="4" w:space="0" w:color="auto"/>
              <w:bottom w:val="single" w:sz="4" w:space="0" w:color="auto"/>
              <w:right w:val="single" w:sz="4" w:space="0" w:color="auto"/>
            </w:tcBorders>
            <w:shd w:val="clear" w:color="auto" w:fill="auto"/>
            <w:hideMark/>
          </w:tcPr>
          <w:p w14:paraId="297F1B64" w14:textId="3995D388" w:rsidR="008E076E" w:rsidRPr="00433194" w:rsidRDefault="008E076E" w:rsidP="00DA20DC">
            <w:pPr>
              <w:pStyle w:val="TableColumnHeadingLeft"/>
            </w:pPr>
            <w:r>
              <w:rPr>
                <w:i/>
              </w:rPr>
              <w:t>50%</w:t>
            </w:r>
          </w:p>
        </w:tc>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F07B7D" w14:textId="6411C174" w:rsidR="008E076E" w:rsidRPr="00E57C3B" w:rsidRDefault="008E076E" w:rsidP="008E076E">
            <w:pPr>
              <w:pStyle w:val="TableTextCentered"/>
            </w:pPr>
            <w:r w:rsidRPr="00E57C3B">
              <w:t>N/A</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A9B6E" w14:textId="74E8B83A" w:rsidR="008E076E" w:rsidRPr="00E57C3B" w:rsidRDefault="008E076E" w:rsidP="00106C35">
            <w:pPr>
              <w:pStyle w:val="TableTextCentered"/>
            </w:pPr>
            <w:r w:rsidRPr="00E57C3B">
              <w:t>N/A</w:t>
            </w:r>
          </w:p>
        </w:tc>
        <w:tc>
          <w:tcPr>
            <w:tcW w:w="1198" w:type="pct"/>
            <w:tcBorders>
              <w:top w:val="single" w:sz="4" w:space="0" w:color="auto"/>
              <w:left w:val="single" w:sz="4" w:space="0" w:color="auto"/>
              <w:bottom w:val="single" w:sz="4" w:space="0" w:color="auto"/>
              <w:right w:val="single" w:sz="4" w:space="0" w:color="auto"/>
            </w:tcBorders>
            <w:shd w:val="clear" w:color="auto" w:fill="D2EDFF" w:themeFill="accent1" w:themeFillTint="1A"/>
            <w:vAlign w:val="bottom"/>
          </w:tcPr>
          <w:p w14:paraId="2AB434DA" w14:textId="77777777" w:rsidR="008E076E" w:rsidRPr="00934139" w:rsidRDefault="008E076E" w:rsidP="00106C35">
            <w:pPr>
              <w:pStyle w:val="TableTextCentered"/>
            </w:pPr>
            <w:r w:rsidRPr="00934139">
              <w:t>1,060</w:t>
            </w:r>
          </w:p>
        </w:tc>
      </w:tr>
      <w:tr w:rsidR="008E076E" w14:paraId="7E373FB0" w14:textId="77777777" w:rsidTr="00902871">
        <w:tc>
          <w:tcPr>
            <w:tcW w:w="1406" w:type="pct"/>
            <w:tcBorders>
              <w:top w:val="single" w:sz="4" w:space="0" w:color="auto"/>
              <w:left w:val="single" w:sz="4" w:space="0" w:color="auto"/>
              <w:bottom w:val="single" w:sz="4" w:space="0" w:color="auto"/>
              <w:right w:val="single" w:sz="4" w:space="0" w:color="auto"/>
            </w:tcBorders>
            <w:shd w:val="clear" w:color="auto" w:fill="auto"/>
            <w:hideMark/>
          </w:tcPr>
          <w:p w14:paraId="181D855E" w14:textId="186AEE1D" w:rsidR="008E076E" w:rsidRDefault="008E076E" w:rsidP="00C41813">
            <w:pPr>
              <w:pStyle w:val="TableColumnHeadingLeft"/>
              <w:rPr>
                <w:i/>
              </w:rPr>
            </w:pPr>
            <w:r>
              <w:rPr>
                <w:i/>
              </w:rPr>
              <w:t>60%</w:t>
            </w:r>
          </w:p>
        </w:tc>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9C6D3" w14:textId="5389B3EF" w:rsidR="008E076E" w:rsidRPr="00DA38C2" w:rsidRDefault="008E076E" w:rsidP="008E076E">
            <w:pPr>
              <w:pStyle w:val="TableTextCentered"/>
            </w:pPr>
            <w:r w:rsidRPr="00E57C3B">
              <w:t>N/A</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bottom"/>
          </w:tcPr>
          <w:p w14:paraId="66221A9E" w14:textId="77777777" w:rsidR="008E076E" w:rsidRPr="008E71E0" w:rsidRDefault="008E076E" w:rsidP="00106C35">
            <w:pPr>
              <w:pStyle w:val="TableTextCentered"/>
              <w:rPr>
                <w:highlight w:val="yellow"/>
              </w:rPr>
            </w:pPr>
            <w:r w:rsidRPr="00DA38C2">
              <w:t>780</w:t>
            </w:r>
          </w:p>
        </w:tc>
        <w:tc>
          <w:tcPr>
            <w:tcW w:w="1198" w:type="pct"/>
            <w:tcBorders>
              <w:top w:val="single" w:sz="4" w:space="0" w:color="auto"/>
              <w:left w:val="single" w:sz="4" w:space="0" w:color="auto"/>
              <w:bottom w:val="single" w:sz="4" w:space="0" w:color="auto"/>
              <w:right w:val="single" w:sz="4" w:space="0" w:color="auto"/>
            </w:tcBorders>
            <w:shd w:val="clear" w:color="auto" w:fill="D2EDFF" w:themeFill="accent1" w:themeFillTint="1A"/>
            <w:vAlign w:val="bottom"/>
          </w:tcPr>
          <w:p w14:paraId="2BC9F7E1" w14:textId="77777777" w:rsidR="008E076E" w:rsidRPr="00934139" w:rsidRDefault="008E076E" w:rsidP="00106C35">
            <w:pPr>
              <w:pStyle w:val="TableTextCentered"/>
            </w:pPr>
            <w:r w:rsidRPr="00934139">
              <w:t>730</w:t>
            </w:r>
          </w:p>
        </w:tc>
      </w:tr>
      <w:tr w:rsidR="008E076E" w14:paraId="1AA1E897" w14:textId="77777777" w:rsidTr="00902871">
        <w:tc>
          <w:tcPr>
            <w:tcW w:w="1406" w:type="pct"/>
            <w:tcBorders>
              <w:top w:val="single" w:sz="4" w:space="0" w:color="auto"/>
              <w:left w:val="single" w:sz="4" w:space="0" w:color="auto"/>
              <w:bottom w:val="single" w:sz="4" w:space="0" w:color="auto"/>
              <w:right w:val="single" w:sz="4" w:space="0" w:color="auto"/>
            </w:tcBorders>
            <w:shd w:val="clear" w:color="auto" w:fill="auto"/>
            <w:hideMark/>
          </w:tcPr>
          <w:p w14:paraId="57D1375B" w14:textId="518C4F10" w:rsidR="008E076E" w:rsidRDefault="008E076E" w:rsidP="00C41813">
            <w:pPr>
              <w:pStyle w:val="TableColumnHeadingLeft"/>
              <w:rPr>
                <w:i/>
              </w:rPr>
            </w:pPr>
            <w:r>
              <w:rPr>
                <w:i/>
              </w:rPr>
              <w:t>70%</w:t>
            </w:r>
          </w:p>
        </w:tc>
        <w:tc>
          <w:tcPr>
            <w:tcW w:w="3594" w:type="pct"/>
            <w:gridSpan w:val="3"/>
            <w:vMerge w:val="restart"/>
            <w:tcBorders>
              <w:top w:val="single" w:sz="4" w:space="0" w:color="auto"/>
              <w:left w:val="single" w:sz="4" w:space="0" w:color="auto"/>
              <w:right w:val="single" w:sz="4" w:space="0" w:color="auto"/>
            </w:tcBorders>
            <w:shd w:val="clear" w:color="auto" w:fill="D2EDFF" w:themeFill="accent1" w:themeFillTint="1A"/>
            <w:vAlign w:val="center"/>
          </w:tcPr>
          <w:p w14:paraId="42C20F17" w14:textId="6B56085E" w:rsidR="008E076E" w:rsidRPr="00934139" w:rsidRDefault="008E076E" w:rsidP="00902871">
            <w:pPr>
              <w:pStyle w:val="TableTextCentered"/>
              <w:spacing w:after="120"/>
            </w:pPr>
            <w:r w:rsidRPr="008E076E">
              <w:t>No lockdowns required, ongoing l</w:t>
            </w:r>
            <w:r w:rsidR="00D84467">
              <w:t>ow level</w:t>
            </w:r>
            <w:r w:rsidRPr="008E076E">
              <w:t xml:space="preserve"> restrictions only</w:t>
            </w:r>
          </w:p>
          <w:p w14:paraId="655F7895" w14:textId="652888D0" w:rsidR="008E076E" w:rsidRPr="00934139" w:rsidRDefault="008E076E" w:rsidP="00DA1615">
            <w:pPr>
              <w:pStyle w:val="TableTextCentered"/>
            </w:pPr>
            <w:r w:rsidRPr="00934139">
              <w:t>660</w:t>
            </w:r>
            <w:r w:rsidR="006173A7">
              <w:t>*</w:t>
            </w:r>
          </w:p>
        </w:tc>
      </w:tr>
      <w:tr w:rsidR="008E076E" w14:paraId="5C0E9539" w14:textId="77777777" w:rsidTr="00902871">
        <w:tc>
          <w:tcPr>
            <w:tcW w:w="1406" w:type="pct"/>
            <w:tcBorders>
              <w:top w:val="single" w:sz="4" w:space="0" w:color="auto"/>
              <w:left w:val="single" w:sz="4" w:space="0" w:color="auto"/>
              <w:bottom w:val="single" w:sz="4" w:space="0" w:color="auto"/>
              <w:right w:val="single" w:sz="4" w:space="0" w:color="auto"/>
            </w:tcBorders>
            <w:shd w:val="clear" w:color="auto" w:fill="auto"/>
            <w:hideMark/>
          </w:tcPr>
          <w:p w14:paraId="6535E064" w14:textId="75C9CF4F" w:rsidR="008E076E" w:rsidRDefault="008E076E" w:rsidP="00C41813">
            <w:pPr>
              <w:pStyle w:val="TableColumnHeadingLeft"/>
              <w:rPr>
                <w:i/>
              </w:rPr>
            </w:pPr>
            <w:r>
              <w:rPr>
                <w:i/>
              </w:rPr>
              <w:t>80% +</w:t>
            </w:r>
          </w:p>
        </w:tc>
        <w:tc>
          <w:tcPr>
            <w:tcW w:w="3594" w:type="pct"/>
            <w:gridSpan w:val="3"/>
            <w:vMerge/>
            <w:tcBorders>
              <w:left w:val="single" w:sz="4" w:space="0" w:color="auto"/>
              <w:bottom w:val="single" w:sz="4" w:space="0" w:color="auto"/>
              <w:right w:val="single" w:sz="4" w:space="0" w:color="auto"/>
            </w:tcBorders>
            <w:shd w:val="clear" w:color="auto" w:fill="D2EDFF" w:themeFill="accent1" w:themeFillTint="1A"/>
          </w:tcPr>
          <w:p w14:paraId="2EFDDCDB" w14:textId="15BE55C6" w:rsidR="008E076E" w:rsidRPr="00934139" w:rsidRDefault="008E076E" w:rsidP="00106C35">
            <w:pPr>
              <w:pStyle w:val="TableTextCentered"/>
            </w:pPr>
          </w:p>
        </w:tc>
      </w:tr>
    </w:tbl>
    <w:p w14:paraId="0D1F8B75" w14:textId="53332DFE" w:rsidR="001A4265" w:rsidRDefault="007F40C8" w:rsidP="00E062A0">
      <w:pPr>
        <w:pStyle w:val="ChartorTableNote"/>
        <w:rPr>
          <w:i/>
          <w:iCs/>
        </w:rPr>
      </w:pPr>
      <w:r>
        <w:t xml:space="preserve">*Cost of ongoing </w:t>
      </w:r>
      <w:r w:rsidR="0055109C">
        <w:t xml:space="preserve">low level </w:t>
      </w:r>
      <w:r>
        <w:t>restrictions nation</w:t>
      </w:r>
      <w:r w:rsidR="00F54789">
        <w:noBreakHyphen/>
      </w:r>
      <w:r>
        <w:t>wide, with no additional restrictions or lockdowns in place</w:t>
      </w:r>
      <w:r w:rsidRPr="004C68BE">
        <w:rPr>
          <w:i/>
          <w:iCs/>
        </w:rPr>
        <w:t xml:space="preserve"> </w:t>
      </w:r>
    </w:p>
    <w:p w14:paraId="41BE32D0" w14:textId="088A6884" w:rsidR="00106C35" w:rsidRDefault="001A4265" w:rsidP="00902871">
      <w:pPr>
        <w:pStyle w:val="ChartorTableNote"/>
      </w:pPr>
      <w:r w:rsidRPr="009574D8">
        <w:t>Notes</w:t>
      </w:r>
      <w:r w:rsidRPr="004C68BE">
        <w:rPr>
          <w:i/>
          <w:iCs/>
        </w:rPr>
        <w:t>:</w:t>
      </w:r>
      <w:r>
        <w:rPr>
          <w:i/>
          <w:iCs/>
        </w:rPr>
        <w:t xml:space="preserve"> </w:t>
      </w:r>
      <w:r w:rsidR="007F40C8" w:rsidRPr="004C68BE">
        <w:t>(1)</w:t>
      </w:r>
      <w:r w:rsidR="007F40C8" w:rsidRPr="004C68BE">
        <w:rPr>
          <w:i/>
          <w:iCs/>
        </w:rPr>
        <w:t xml:space="preserve"> </w:t>
      </w:r>
      <w:r w:rsidR="007F40C8" w:rsidRPr="00D62752">
        <w:t>N</w:t>
      </w:r>
      <w:r w:rsidR="007F40C8">
        <w:t>/</w:t>
      </w:r>
      <w:r w:rsidR="007F40C8" w:rsidRPr="00D62752">
        <w:t>A indicates that it is not possible to manage COVID</w:t>
      </w:r>
      <w:r w:rsidR="00F54789">
        <w:noBreakHyphen/>
      </w:r>
      <w:r w:rsidR="007F40C8" w:rsidRPr="00D62752">
        <w:t>19 within Australia</w:t>
      </w:r>
      <w:r w:rsidR="00F54789">
        <w:t>’</w:t>
      </w:r>
      <w:r w:rsidR="007F40C8" w:rsidRPr="00D62752">
        <w:t xml:space="preserve">s health system capacity using a given level of restrictions at a certain vaccination rate, </w:t>
      </w:r>
      <w:r w:rsidR="007F40C8">
        <w:t>given</w:t>
      </w:r>
      <w:r w:rsidR="007F40C8" w:rsidRPr="00D62752">
        <w:t xml:space="preserve"> assumptions regarding the frequency of outbreaks that </w:t>
      </w:r>
      <w:r w:rsidR="007F40C8">
        <w:t>are</w:t>
      </w:r>
      <w:r w:rsidR="007F40C8" w:rsidRPr="00D62752">
        <w:t xml:space="preserve"> likely under </w:t>
      </w:r>
      <w:r w:rsidR="007F40C8">
        <w:t xml:space="preserve">this strategy. </w:t>
      </w:r>
      <w:r w:rsidR="007F40C8" w:rsidRPr="0072731A">
        <w:t xml:space="preserve">(2) </w:t>
      </w:r>
      <w:r w:rsidR="007F40C8">
        <w:t xml:space="preserve">Total costs include the estimated direct economic costs of lockdowns, baseline activity restrictions </w:t>
      </w:r>
      <w:r w:rsidR="007F40C8" w:rsidRPr="009B086A">
        <w:t>and international border restrictions</w:t>
      </w:r>
      <w:r w:rsidR="007F40C8">
        <w:t>. (3) C</w:t>
      </w:r>
      <w:r w:rsidR="007F40C8" w:rsidRPr="0072731A">
        <w:t>osts</w:t>
      </w:r>
      <w:r w:rsidR="007F40C8">
        <w:t xml:space="preserve"> assume five outbreaks per quarter, lasting a total of 10 weeks at vaccination rates &lt;60%, and contained to a metropolitan area (that is, around 20 per cent of Australia). (4) Highlighted cells represent most cost</w:t>
      </w:r>
      <w:r w:rsidR="00F54789">
        <w:noBreakHyphen/>
      </w:r>
      <w:r w:rsidR="007F40C8">
        <w:t>effective bundle, while maintaining health restrictions.</w:t>
      </w:r>
    </w:p>
    <w:p w14:paraId="3A2ACAB6" w14:textId="77777777" w:rsidR="007F40C8" w:rsidRPr="002078AC" w:rsidRDefault="007F40C8" w:rsidP="0063330F">
      <w:pPr>
        <w:pStyle w:val="Heading2"/>
      </w:pPr>
      <w:bookmarkStart w:id="20" w:name="_Toc78902076"/>
      <w:r w:rsidRPr="002078AC">
        <w:t xml:space="preserve">Economic </w:t>
      </w:r>
      <w:r>
        <w:t xml:space="preserve">Costs Under a Managed Transmission </w:t>
      </w:r>
      <w:r w:rsidRPr="002078AC">
        <w:t>Strategy</w:t>
      </w:r>
      <w:bookmarkEnd w:id="20"/>
    </w:p>
    <w:p w14:paraId="16AF8D46" w14:textId="23158A75" w:rsidR="007F40C8" w:rsidRDefault="007F40C8" w:rsidP="007F40C8">
      <w:pPr>
        <w:pStyle w:val="Bullet"/>
        <w:numPr>
          <w:ilvl w:val="0"/>
          <w:numId w:val="0"/>
        </w:numPr>
      </w:pPr>
      <w:r>
        <w:t>As noted, the Doherty Institute has also modelled a scenario where ongoing case numbers are higher, and restrictions are used to manage widespread community transmission within the capacity of the health system. TTIQ protocols are only expected to be partially effective in this scenario, as widespread community transmission will rapidly exhaust manual tracing efforts.</w:t>
      </w:r>
    </w:p>
    <w:p w14:paraId="67CB7225" w14:textId="60D439D0" w:rsidR="007F40C8" w:rsidRDefault="007F40C8" w:rsidP="007F40C8">
      <w:r>
        <w:t>Estimating the costs of restrictions is simpler under this scenario than under a strategy</w:t>
      </w:r>
      <w:r w:rsidR="00D11D35">
        <w:t xml:space="preserve"> to minimise cases</w:t>
      </w:r>
      <w:r>
        <w:t>, because COVID</w:t>
      </w:r>
      <w:r w:rsidR="00F54789">
        <w:noBreakHyphen/>
      </w:r>
      <w:r>
        <w:t xml:space="preserve">19 is assumed to be circulating in the community at all times. Therefore, it is not necessary to make assumptions about the number of outbreaks per quarter. Instead the focus is on the percentage of time different restrictions are required, on average across the country, in order to keep transmission at a rate that keeps cases below health </w:t>
      </w:r>
      <w:r w:rsidR="0065236C">
        <w:t xml:space="preserve">system </w:t>
      </w:r>
      <w:r>
        <w:t xml:space="preserve">capacity limits. </w:t>
      </w:r>
    </w:p>
    <w:p w14:paraId="02E6ECBB" w14:textId="271B4F9B" w:rsidR="007F40C8" w:rsidRDefault="007F40C8" w:rsidP="007F40C8">
      <w:r>
        <w:t>The Doherty Institute has estimated the percentage of time restrictions would need to be in place to</w:t>
      </w:r>
      <w:r w:rsidRPr="00DB090F">
        <w:t xml:space="preserve"> </w:t>
      </w:r>
      <w:r>
        <w:t>hold transmission potential around one, on average, in this context.</w:t>
      </w:r>
      <w:r>
        <w:rPr>
          <w:rStyle w:val="FootnoteReference"/>
        </w:rPr>
        <w:footnoteReference w:id="6"/>
      </w:r>
      <w:r>
        <w:t xml:space="preserve"> For example, when 80 per cent of adults are vaccinated, the Doherty Institute estimates that it will be possible to manage outbreaks with </w:t>
      </w:r>
      <w:r w:rsidR="00F63315">
        <w:t xml:space="preserve">low level </w:t>
      </w:r>
      <w:r>
        <w:t>restrictions in place 89</w:t>
      </w:r>
      <w:r w:rsidR="00150D99">
        <w:t xml:space="preserve"> </w:t>
      </w:r>
      <w:r>
        <w:t>per cent of the time. Alternatively, strict lockdowns could be imposed 31 per cent of the time</w:t>
      </w:r>
      <w:r w:rsidR="00106C35">
        <w:t xml:space="preserve">. </w:t>
      </w:r>
    </w:p>
    <w:p w14:paraId="6EDB3E68" w14:textId="0AB0AF34" w:rsidR="007D2FB5" w:rsidRDefault="007F40C8" w:rsidP="007D2FB5">
      <w:r>
        <w:t>As vaccination rates increase the total number of days required in lockdown to keep transmission potential around one decreases. However, unlike under a strategy</w:t>
      </w:r>
      <w:r w:rsidR="00CB54F5">
        <w:t xml:space="preserve"> to </w:t>
      </w:r>
      <w:r w:rsidR="00BB3724">
        <w:t>minimise cases</w:t>
      </w:r>
      <w:r>
        <w:t xml:space="preserve">, </w:t>
      </w:r>
      <w:r w:rsidR="002033D1">
        <w:t xml:space="preserve">the </w:t>
      </w:r>
      <w:r>
        <w:t xml:space="preserve">Doherty </w:t>
      </w:r>
      <w:r w:rsidR="002033D1">
        <w:t xml:space="preserve">Institute </w:t>
      </w:r>
      <w:r>
        <w:t>indicates that while vaccination rates remain below 80 per cent, it is not possible to manage higher levels of virus transmission in the community without some use of moderate or strict lockdowns</w:t>
      </w:r>
      <w:r w:rsidR="00F54789">
        <w:t xml:space="preserve">. </w:t>
      </w:r>
      <w:r w:rsidR="007D2FB5">
        <w:t xml:space="preserve">For example, at 80 per cent vaccination rates, cases can be managed by either applying moderate lockdowns for 47 days per quarter </w:t>
      </w:r>
      <w:r w:rsidR="007D2FB5" w:rsidRPr="003E44AC">
        <w:rPr>
          <w:u w:val="single"/>
        </w:rPr>
        <w:t>or</w:t>
      </w:r>
      <w:r w:rsidR="007D2FB5">
        <w:t xml:space="preserve"> by applying strict lockdowns for 29 days per quarter </w:t>
      </w:r>
      <w:r w:rsidR="007D2FB5">
        <w:rPr>
          <w:u w:val="single"/>
        </w:rPr>
        <w:t>or</w:t>
      </w:r>
      <w:r w:rsidR="007D2FB5">
        <w:t xml:space="preserve"> no lockdowns but with low levels restrictions for 81 days per quarter. </w:t>
      </w:r>
    </w:p>
    <w:p w14:paraId="5CE60370" w14:textId="5CF42FEC" w:rsidR="007F40C8" w:rsidRDefault="007F40C8" w:rsidP="00E062A0">
      <w:pPr>
        <w:pStyle w:val="ChartMainHeading"/>
      </w:pPr>
      <w:r>
        <w:t xml:space="preserve">Table 8: </w:t>
      </w:r>
      <w:r w:rsidR="00356BDC">
        <w:t>D</w:t>
      </w:r>
      <w:r w:rsidR="00356BDC" w:rsidRPr="00D1504C">
        <w:t xml:space="preserve">ays </w:t>
      </w:r>
      <w:r w:rsidR="00356BDC">
        <w:t xml:space="preserve">per quarter for </w:t>
      </w:r>
      <w:r w:rsidR="00DD0697">
        <w:t>alternative</w:t>
      </w:r>
      <w:r w:rsidR="00356BDC">
        <w:t xml:space="preserve"> restriction options </w:t>
      </w:r>
      <w:r w:rsidRPr="00292C78">
        <w:t xml:space="preserve">under a </w:t>
      </w:r>
      <w:r w:rsidR="00864E4F">
        <w:t xml:space="preserve">strategy of managing </w:t>
      </w:r>
      <w:r>
        <w:t>transmission</w:t>
      </w:r>
      <w:r w:rsidR="00864E4F">
        <w:t>,</w:t>
      </w:r>
      <w:r w:rsidRPr="00292C78">
        <w:t xml:space="preserve"> </w:t>
      </w:r>
      <w:r>
        <w:t>with</w:t>
      </w:r>
      <w:r w:rsidRPr="00292C78">
        <w:t xml:space="preserve"> </w:t>
      </w:r>
      <w:r>
        <w:t xml:space="preserve">ongoing baseline </w:t>
      </w:r>
      <w:r w:rsidRPr="00292C78">
        <w:t>restrictions</w:t>
      </w:r>
      <w:r w:rsidRPr="00292C78" w:rsidDel="00292C78">
        <w:t xml:space="preserve"> </w:t>
      </w:r>
    </w:p>
    <w:tbl>
      <w:tblPr>
        <w:tblStyle w:val="TableGrid"/>
        <w:tblW w:w="5000" w:type="pct"/>
        <w:tblLook w:val="04A0" w:firstRow="1" w:lastRow="0" w:firstColumn="1" w:lastColumn="0" w:noHBand="0" w:noVBand="1"/>
      </w:tblPr>
      <w:tblGrid>
        <w:gridCol w:w="2547"/>
        <w:gridCol w:w="2171"/>
        <w:gridCol w:w="2171"/>
        <w:gridCol w:w="2171"/>
      </w:tblGrid>
      <w:tr w:rsidR="007F40C8" w14:paraId="19C5C0FE" w14:textId="77777777" w:rsidTr="00B71793">
        <w:trPr>
          <w:trHeight w:val="113"/>
        </w:trPr>
        <w:tc>
          <w:tcPr>
            <w:tcW w:w="1405" w:type="pct"/>
            <w:tcBorders>
              <w:top w:val="single" w:sz="4" w:space="0" w:color="auto"/>
              <w:left w:val="single" w:sz="4" w:space="0" w:color="auto"/>
              <w:bottom w:val="single" w:sz="4" w:space="0" w:color="auto"/>
              <w:right w:val="single" w:sz="4" w:space="0" w:color="auto"/>
            </w:tcBorders>
            <w:shd w:val="clear" w:color="auto" w:fill="auto"/>
            <w:hideMark/>
          </w:tcPr>
          <w:p w14:paraId="7F1EBEC5" w14:textId="77777777" w:rsidR="007F40C8" w:rsidRDefault="007F40C8" w:rsidP="00106C35">
            <w:pPr>
              <w:pStyle w:val="TableColumnHeadingLeft"/>
            </w:pPr>
            <w:r>
              <w:t>Vaccination rate</w:t>
            </w:r>
          </w:p>
        </w:tc>
        <w:tc>
          <w:tcPr>
            <w:tcW w:w="1198" w:type="pct"/>
            <w:tcBorders>
              <w:top w:val="single" w:sz="4" w:space="0" w:color="auto"/>
              <w:left w:val="single" w:sz="4" w:space="0" w:color="auto"/>
              <w:bottom w:val="single" w:sz="4" w:space="0" w:color="auto"/>
              <w:right w:val="single" w:sz="4" w:space="0" w:color="auto"/>
            </w:tcBorders>
            <w:shd w:val="clear" w:color="auto" w:fill="auto"/>
            <w:hideMark/>
          </w:tcPr>
          <w:p w14:paraId="598978A9" w14:textId="1EDF6759" w:rsidR="007F40C8" w:rsidRDefault="007F40C8" w:rsidP="00106C35">
            <w:pPr>
              <w:pStyle w:val="TableColumnHeadingCentred"/>
              <w:rPr>
                <w:bCs/>
              </w:rPr>
            </w:pPr>
            <w:r>
              <w:t xml:space="preserve">Periodic </w:t>
            </w:r>
            <w:r w:rsidR="00A317C3">
              <w:t xml:space="preserve">low level </w:t>
            </w:r>
            <w:r>
              <w:t>restrictions</w:t>
            </w:r>
            <w:r w:rsidR="00964465">
              <w:t xml:space="preserve"> only</w:t>
            </w:r>
            <w:r>
              <w:t>*</w:t>
            </w:r>
            <w:r>
              <w:rPr>
                <w:bCs/>
              </w:rPr>
              <w:t xml:space="preserve"> </w:t>
            </w:r>
          </w:p>
          <w:p w14:paraId="09E6D738" w14:textId="77777777" w:rsidR="007F40C8" w:rsidRPr="00106C35" w:rsidRDefault="007F40C8" w:rsidP="00106C35">
            <w:pPr>
              <w:pStyle w:val="TableColumnHeadingCentred"/>
              <w:rPr>
                <w:b w:val="0"/>
                <w:bCs/>
              </w:rPr>
            </w:pPr>
            <w:r w:rsidRPr="00106C35">
              <w:rPr>
                <w:b w:val="0"/>
                <w:bCs/>
              </w:rPr>
              <w:t>Days per quarter</w:t>
            </w:r>
          </w:p>
        </w:tc>
        <w:tc>
          <w:tcPr>
            <w:tcW w:w="1198" w:type="pct"/>
            <w:tcBorders>
              <w:top w:val="single" w:sz="4" w:space="0" w:color="auto"/>
              <w:left w:val="single" w:sz="4" w:space="0" w:color="auto"/>
              <w:bottom w:val="single" w:sz="4" w:space="0" w:color="auto"/>
              <w:right w:val="single" w:sz="4" w:space="0" w:color="auto"/>
            </w:tcBorders>
            <w:shd w:val="clear" w:color="auto" w:fill="auto"/>
            <w:hideMark/>
          </w:tcPr>
          <w:p w14:paraId="77DB416D" w14:textId="07505CF7" w:rsidR="007F40C8" w:rsidRDefault="007F40C8" w:rsidP="00106C35">
            <w:pPr>
              <w:pStyle w:val="TableColumnHeadingCentred"/>
              <w:rPr>
                <w:bCs/>
              </w:rPr>
            </w:pPr>
            <w:r>
              <w:t>Periodic moderate</w:t>
            </w:r>
            <w:r>
              <w:rPr>
                <w:bCs/>
              </w:rPr>
              <w:t xml:space="preserve"> lockdowns</w:t>
            </w:r>
            <w:r w:rsidR="00964465">
              <w:rPr>
                <w:bCs/>
              </w:rPr>
              <w:t xml:space="preserve"> only</w:t>
            </w:r>
          </w:p>
          <w:p w14:paraId="3169FABE" w14:textId="77777777" w:rsidR="007F40C8" w:rsidRPr="00106C35" w:rsidRDefault="007F40C8" w:rsidP="00106C35">
            <w:pPr>
              <w:pStyle w:val="TableColumnHeadingCentred"/>
              <w:rPr>
                <w:b w:val="0"/>
                <w:bCs/>
              </w:rPr>
            </w:pPr>
            <w:r w:rsidRPr="00106C35">
              <w:rPr>
                <w:b w:val="0"/>
                <w:bCs/>
              </w:rPr>
              <w:t>Days per quarter</w:t>
            </w:r>
          </w:p>
        </w:tc>
        <w:tc>
          <w:tcPr>
            <w:tcW w:w="1198" w:type="pct"/>
            <w:tcBorders>
              <w:top w:val="single" w:sz="4" w:space="0" w:color="auto"/>
              <w:left w:val="single" w:sz="4" w:space="0" w:color="auto"/>
              <w:bottom w:val="single" w:sz="4" w:space="0" w:color="auto"/>
              <w:right w:val="single" w:sz="4" w:space="0" w:color="auto"/>
            </w:tcBorders>
            <w:shd w:val="clear" w:color="auto" w:fill="auto"/>
            <w:hideMark/>
          </w:tcPr>
          <w:p w14:paraId="49C52683" w14:textId="1157D3E6" w:rsidR="007F40C8" w:rsidRDefault="007F40C8" w:rsidP="00106C35">
            <w:pPr>
              <w:pStyle w:val="TableColumnHeadingCentred"/>
              <w:rPr>
                <w:bCs/>
              </w:rPr>
            </w:pPr>
            <w:r>
              <w:t>Periodic strict lockdowns</w:t>
            </w:r>
            <w:r>
              <w:rPr>
                <w:bCs/>
              </w:rPr>
              <w:t xml:space="preserve"> </w:t>
            </w:r>
            <w:r w:rsidR="00964465">
              <w:rPr>
                <w:bCs/>
              </w:rPr>
              <w:t>only</w:t>
            </w:r>
          </w:p>
          <w:p w14:paraId="2B63411D" w14:textId="77777777" w:rsidR="007F40C8" w:rsidRPr="00106C35" w:rsidRDefault="007F40C8" w:rsidP="00106C35">
            <w:pPr>
              <w:pStyle w:val="TableColumnHeadingCentred"/>
              <w:rPr>
                <w:b w:val="0"/>
                <w:bCs/>
              </w:rPr>
            </w:pPr>
            <w:r w:rsidRPr="00106C35">
              <w:rPr>
                <w:b w:val="0"/>
                <w:bCs/>
              </w:rPr>
              <w:t>Days per quarter</w:t>
            </w:r>
          </w:p>
        </w:tc>
      </w:tr>
      <w:tr w:rsidR="007F40C8" w14:paraId="0455507C" w14:textId="77777777" w:rsidTr="00902871">
        <w:trPr>
          <w:trHeight w:val="113"/>
        </w:trPr>
        <w:tc>
          <w:tcPr>
            <w:tcW w:w="1405" w:type="pct"/>
            <w:tcBorders>
              <w:top w:val="single" w:sz="4" w:space="0" w:color="auto"/>
              <w:left w:val="single" w:sz="4" w:space="0" w:color="auto"/>
              <w:bottom w:val="single" w:sz="4" w:space="0" w:color="auto"/>
              <w:right w:val="single" w:sz="4" w:space="0" w:color="auto"/>
            </w:tcBorders>
            <w:shd w:val="clear" w:color="auto" w:fill="auto"/>
            <w:hideMark/>
          </w:tcPr>
          <w:p w14:paraId="52898060" w14:textId="77777777" w:rsidR="007F40C8" w:rsidRDefault="007F40C8" w:rsidP="00106C35">
            <w:pPr>
              <w:pStyle w:val="TableColumnHeadingLeft"/>
              <w:rPr>
                <w:i/>
              </w:rPr>
            </w:pPr>
            <w:r>
              <w:rPr>
                <w:i/>
              </w:rPr>
              <w:t>50%</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0ED43F" w14:textId="77777777" w:rsidR="007F40C8" w:rsidRDefault="007F40C8" w:rsidP="00106C35">
            <w:pPr>
              <w:pStyle w:val="TableTextCentered"/>
            </w:pPr>
            <w:r>
              <w:t>N/A</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F1218B" w14:textId="77777777" w:rsidR="007F40C8" w:rsidRDefault="007F40C8" w:rsidP="00106C35">
            <w:pPr>
              <w:pStyle w:val="TableTextCentered"/>
            </w:pPr>
            <w:r>
              <w:t>N/A</w:t>
            </w:r>
          </w:p>
        </w:tc>
        <w:tc>
          <w:tcPr>
            <w:tcW w:w="1198" w:type="pct"/>
            <w:tcBorders>
              <w:top w:val="single" w:sz="4" w:space="0" w:color="auto"/>
              <w:left w:val="single" w:sz="4" w:space="0" w:color="auto"/>
              <w:bottom w:val="single" w:sz="4" w:space="0" w:color="auto"/>
              <w:right w:val="single" w:sz="4" w:space="0" w:color="auto"/>
            </w:tcBorders>
            <w:shd w:val="clear" w:color="auto" w:fill="D2EDFF" w:themeFill="accent1" w:themeFillTint="1A"/>
            <w:vAlign w:val="center"/>
            <w:hideMark/>
          </w:tcPr>
          <w:p w14:paraId="64A0B53A" w14:textId="77777777" w:rsidR="007F40C8" w:rsidRDefault="007F40C8" w:rsidP="00106C35">
            <w:pPr>
              <w:pStyle w:val="TableTextCentered"/>
            </w:pPr>
            <w:r>
              <w:t>77</w:t>
            </w:r>
          </w:p>
        </w:tc>
      </w:tr>
      <w:tr w:rsidR="007F40C8" w14:paraId="05CE4902" w14:textId="77777777" w:rsidTr="00902871">
        <w:trPr>
          <w:trHeight w:val="113"/>
        </w:trPr>
        <w:tc>
          <w:tcPr>
            <w:tcW w:w="1405" w:type="pct"/>
            <w:tcBorders>
              <w:top w:val="single" w:sz="4" w:space="0" w:color="auto"/>
              <w:left w:val="single" w:sz="4" w:space="0" w:color="auto"/>
              <w:bottom w:val="single" w:sz="4" w:space="0" w:color="auto"/>
              <w:right w:val="single" w:sz="4" w:space="0" w:color="auto"/>
            </w:tcBorders>
            <w:shd w:val="clear" w:color="auto" w:fill="auto"/>
            <w:hideMark/>
          </w:tcPr>
          <w:p w14:paraId="57FD536D" w14:textId="21FF3032" w:rsidR="007F40C8" w:rsidRDefault="007F40C8" w:rsidP="00106C35">
            <w:pPr>
              <w:pStyle w:val="TableColumnHeadingLeft"/>
              <w:rPr>
                <w:i/>
              </w:rPr>
            </w:pPr>
            <w:r>
              <w:rPr>
                <w:i/>
              </w:rPr>
              <w:t>60%</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766726" w14:textId="77777777" w:rsidR="007F40C8" w:rsidRDefault="007F40C8" w:rsidP="00106C35">
            <w:pPr>
              <w:pStyle w:val="TableTextCentered"/>
            </w:pPr>
            <w:r>
              <w:t>N/A</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FDB85" w14:textId="77777777" w:rsidR="007F40C8" w:rsidRDefault="007F40C8" w:rsidP="00106C35">
            <w:pPr>
              <w:pStyle w:val="TableTextCentered"/>
            </w:pPr>
            <w:r>
              <w:t>N/A</w:t>
            </w:r>
          </w:p>
        </w:tc>
        <w:tc>
          <w:tcPr>
            <w:tcW w:w="1198" w:type="pct"/>
            <w:tcBorders>
              <w:top w:val="single" w:sz="4" w:space="0" w:color="auto"/>
              <w:left w:val="single" w:sz="4" w:space="0" w:color="auto"/>
              <w:bottom w:val="single" w:sz="4" w:space="0" w:color="auto"/>
              <w:right w:val="single" w:sz="4" w:space="0" w:color="auto"/>
            </w:tcBorders>
            <w:shd w:val="clear" w:color="auto" w:fill="D2EDFF" w:themeFill="accent1" w:themeFillTint="1A"/>
            <w:vAlign w:val="center"/>
            <w:hideMark/>
          </w:tcPr>
          <w:p w14:paraId="5975586E" w14:textId="77777777" w:rsidR="007F40C8" w:rsidRDefault="007F40C8" w:rsidP="00106C35">
            <w:pPr>
              <w:pStyle w:val="TableTextCentered"/>
            </w:pPr>
            <w:r>
              <w:t>60</w:t>
            </w:r>
          </w:p>
        </w:tc>
      </w:tr>
      <w:tr w:rsidR="007F40C8" w14:paraId="1341CDC8" w14:textId="77777777" w:rsidTr="00902871">
        <w:trPr>
          <w:trHeight w:val="70"/>
        </w:trPr>
        <w:tc>
          <w:tcPr>
            <w:tcW w:w="1405" w:type="pct"/>
            <w:tcBorders>
              <w:top w:val="single" w:sz="4" w:space="0" w:color="auto"/>
              <w:left w:val="single" w:sz="4" w:space="0" w:color="auto"/>
              <w:bottom w:val="single" w:sz="4" w:space="0" w:color="auto"/>
              <w:right w:val="single" w:sz="4" w:space="0" w:color="auto"/>
            </w:tcBorders>
            <w:shd w:val="clear" w:color="auto" w:fill="auto"/>
            <w:hideMark/>
          </w:tcPr>
          <w:p w14:paraId="55D38B6C" w14:textId="77777777" w:rsidR="007F40C8" w:rsidRDefault="007F40C8" w:rsidP="00106C35">
            <w:pPr>
              <w:pStyle w:val="TableColumnHeadingLeft"/>
              <w:rPr>
                <w:i/>
              </w:rPr>
            </w:pPr>
            <w:r>
              <w:rPr>
                <w:i/>
              </w:rPr>
              <w:t>70%</w:t>
            </w:r>
          </w:p>
        </w:tc>
        <w:tc>
          <w:tcPr>
            <w:tcW w:w="1198" w:type="pct"/>
            <w:tcBorders>
              <w:top w:val="single" w:sz="4" w:space="0" w:color="auto"/>
              <w:left w:val="single" w:sz="4" w:space="0" w:color="auto"/>
              <w:bottom w:val="single" w:sz="4" w:space="0" w:color="auto"/>
              <w:right w:val="single" w:sz="4" w:space="0" w:color="auto"/>
            </w:tcBorders>
            <w:shd w:val="clear" w:color="auto" w:fill="auto"/>
            <w:hideMark/>
          </w:tcPr>
          <w:p w14:paraId="2F9882D4" w14:textId="77777777" w:rsidR="007F40C8" w:rsidRDefault="007F40C8" w:rsidP="00106C35">
            <w:pPr>
              <w:pStyle w:val="TableTextCentered"/>
            </w:pPr>
            <w:r>
              <w:t>N/A</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FDBA1" w14:textId="77777777" w:rsidR="007F40C8" w:rsidRDefault="007F40C8" w:rsidP="00106C35">
            <w:pPr>
              <w:pStyle w:val="TableTextCentered"/>
            </w:pPr>
            <w:r>
              <w:t>74</w:t>
            </w:r>
          </w:p>
        </w:tc>
        <w:tc>
          <w:tcPr>
            <w:tcW w:w="1198" w:type="pct"/>
            <w:tcBorders>
              <w:top w:val="single" w:sz="4" w:space="0" w:color="auto"/>
              <w:left w:val="single" w:sz="4" w:space="0" w:color="auto"/>
              <w:bottom w:val="single" w:sz="4" w:space="0" w:color="auto"/>
              <w:right w:val="single" w:sz="4" w:space="0" w:color="auto"/>
            </w:tcBorders>
            <w:shd w:val="clear" w:color="auto" w:fill="D2EDFF" w:themeFill="accent1" w:themeFillTint="1A"/>
            <w:vAlign w:val="center"/>
            <w:hideMark/>
          </w:tcPr>
          <w:p w14:paraId="0EF97673" w14:textId="77777777" w:rsidR="007F40C8" w:rsidRDefault="007F40C8" w:rsidP="00106C35">
            <w:pPr>
              <w:pStyle w:val="TableTextCentered"/>
            </w:pPr>
            <w:r>
              <w:t>45</w:t>
            </w:r>
          </w:p>
        </w:tc>
      </w:tr>
      <w:tr w:rsidR="007F40C8" w14:paraId="01FF6A7A" w14:textId="77777777" w:rsidTr="00902871">
        <w:trPr>
          <w:trHeight w:val="113"/>
        </w:trPr>
        <w:tc>
          <w:tcPr>
            <w:tcW w:w="1405" w:type="pct"/>
            <w:tcBorders>
              <w:top w:val="single" w:sz="4" w:space="0" w:color="auto"/>
              <w:left w:val="single" w:sz="4" w:space="0" w:color="auto"/>
              <w:bottom w:val="single" w:sz="4" w:space="0" w:color="auto"/>
              <w:right w:val="single" w:sz="4" w:space="0" w:color="auto"/>
            </w:tcBorders>
            <w:shd w:val="clear" w:color="auto" w:fill="auto"/>
            <w:hideMark/>
          </w:tcPr>
          <w:p w14:paraId="5E802761" w14:textId="77777777" w:rsidR="007F40C8" w:rsidRDefault="007F40C8" w:rsidP="00106C35">
            <w:pPr>
              <w:pStyle w:val="TableColumnHeadingLeft"/>
              <w:rPr>
                <w:i/>
              </w:rPr>
            </w:pPr>
            <w:r>
              <w:rPr>
                <w:i/>
              </w:rPr>
              <w:t>80% +</w:t>
            </w:r>
          </w:p>
        </w:tc>
        <w:tc>
          <w:tcPr>
            <w:tcW w:w="1198" w:type="pct"/>
            <w:tcBorders>
              <w:top w:val="single" w:sz="4" w:space="0" w:color="auto"/>
              <w:left w:val="single" w:sz="4" w:space="0" w:color="auto"/>
              <w:bottom w:val="single" w:sz="4" w:space="0" w:color="auto"/>
              <w:right w:val="single" w:sz="4" w:space="0" w:color="auto"/>
            </w:tcBorders>
            <w:shd w:val="clear" w:color="auto" w:fill="D2EDFF" w:themeFill="accent1" w:themeFillTint="1A"/>
            <w:hideMark/>
          </w:tcPr>
          <w:p w14:paraId="75739724" w14:textId="77777777" w:rsidR="007F40C8" w:rsidRDefault="007F40C8" w:rsidP="00106C35">
            <w:pPr>
              <w:pStyle w:val="TableTextCentered"/>
            </w:pPr>
            <w:r>
              <w:t>81</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A3749" w14:textId="77777777" w:rsidR="007F40C8" w:rsidRDefault="007F40C8" w:rsidP="00106C35">
            <w:pPr>
              <w:pStyle w:val="TableTextCentered"/>
            </w:pPr>
            <w:r>
              <w:t>47</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7EB6C" w14:textId="77777777" w:rsidR="007F40C8" w:rsidRDefault="007F40C8" w:rsidP="00106C35">
            <w:pPr>
              <w:pStyle w:val="TableTextCentered"/>
            </w:pPr>
            <w:r>
              <w:t>29</w:t>
            </w:r>
          </w:p>
        </w:tc>
      </w:tr>
    </w:tbl>
    <w:p w14:paraId="3EA46E70" w14:textId="7B8C8969" w:rsidR="007F40C8" w:rsidRDefault="007F40C8" w:rsidP="00E062A0">
      <w:pPr>
        <w:pStyle w:val="ChartorTableNote"/>
      </w:pPr>
      <w:r>
        <w:t>*</w:t>
      </w:r>
      <w:r w:rsidR="00DE7A35" w:rsidRPr="00DE7A35">
        <w:t xml:space="preserve"> Under l</w:t>
      </w:r>
      <w:r w:rsidR="00E36224">
        <w:t>ow level</w:t>
      </w:r>
      <w:r w:rsidR="00DE7A35" w:rsidRPr="00DE7A35">
        <w:t xml:space="preserve"> restrictions, there are only restrictions on activity (i</w:t>
      </w:r>
      <w:r w:rsidR="006A033A">
        <w:t>.</w:t>
      </w:r>
      <w:r w:rsidR="00DE7A35" w:rsidRPr="00DE7A35">
        <w:t>e. no lockdowns).</w:t>
      </w:r>
    </w:p>
    <w:p w14:paraId="452D874C" w14:textId="41695E1C" w:rsidR="007F40C8" w:rsidRDefault="007F40C8" w:rsidP="00E062A0">
      <w:pPr>
        <w:pStyle w:val="ChartorTableNote"/>
      </w:pPr>
      <w:r>
        <w:t>Notes: (1) N/A indicates that it is not possible to manage COVID</w:t>
      </w:r>
      <w:r w:rsidR="00F54789">
        <w:noBreakHyphen/>
      </w:r>
      <w:r>
        <w:t>19 within Australia</w:t>
      </w:r>
      <w:r w:rsidR="00F54789">
        <w:t>’</w:t>
      </w:r>
      <w:r>
        <w:t xml:space="preserve">s health system capacity using a given level of restrictions at a certain vaccination rate. </w:t>
      </w:r>
    </w:p>
    <w:p w14:paraId="7EAC3976" w14:textId="77777777" w:rsidR="007F40C8" w:rsidRDefault="007F40C8" w:rsidP="00106C35">
      <w:pPr>
        <w:pStyle w:val="SingleParagraph"/>
      </w:pPr>
    </w:p>
    <w:p w14:paraId="30254F51" w14:textId="3DFF91EF" w:rsidR="007F40C8" w:rsidRPr="00A9495B" w:rsidRDefault="007F40C8" w:rsidP="00D00023">
      <w:r w:rsidRPr="00F235F7">
        <w:t xml:space="preserve">Applying the </w:t>
      </w:r>
      <w:r>
        <w:t xml:space="preserve">estimated </w:t>
      </w:r>
      <w:r w:rsidRPr="00F235F7">
        <w:t xml:space="preserve">weekly costs of each level of restrictions to </w:t>
      </w:r>
      <w:r>
        <w:t xml:space="preserve">these </w:t>
      </w:r>
      <w:r w:rsidRPr="00F235F7">
        <w:t xml:space="preserve">estimates of the duration of time restrictions need to be in place to manage transmission, this strategy is estimated to have direct costs </w:t>
      </w:r>
      <w:r w:rsidRPr="008C74F7">
        <w:t>of $2.7 billion per</w:t>
      </w:r>
      <w:r w:rsidRPr="00F235F7">
        <w:t xml:space="preserve"> week while vaccination remains</w:t>
      </w:r>
      <w:r w:rsidR="004C0B74">
        <w:t xml:space="preserve"> at</w:t>
      </w:r>
      <w:r w:rsidRPr="00F235F7">
        <w:t xml:space="preserve"> </w:t>
      </w:r>
      <w:r w:rsidR="004C0B74">
        <w:t>5</w:t>
      </w:r>
      <w:r w:rsidR="004C0B74" w:rsidRPr="00F235F7">
        <w:t>0</w:t>
      </w:r>
      <w:r w:rsidR="00150D99">
        <w:t xml:space="preserve"> </w:t>
      </w:r>
      <w:r w:rsidRPr="00F235F7">
        <w:t xml:space="preserve">percent and baseline restrictions are in place. </w:t>
      </w:r>
      <w:r>
        <w:t xml:space="preserve">This is almost </w:t>
      </w:r>
      <w:r w:rsidRPr="00902871">
        <w:t>five</w:t>
      </w:r>
      <w:r>
        <w:t xml:space="preserve"> times the cost of managing COVID</w:t>
      </w:r>
      <w:r w:rsidR="00F54789">
        <w:noBreakHyphen/>
      </w:r>
      <w:r>
        <w:t xml:space="preserve">19 under a strategy </w:t>
      </w:r>
      <w:r w:rsidR="00E76D54">
        <w:t xml:space="preserve">to minimise cases </w:t>
      </w:r>
      <w:r>
        <w:t xml:space="preserve">at the same vaccination rates. By acting later and allowing the virus to spread more widely through the community, longer, broader and more severe lockdowns are ultimately required to remain within health system capacity limits, carrying a larger economic cost. </w:t>
      </w:r>
    </w:p>
    <w:p w14:paraId="22609C30" w14:textId="40F0D8FB" w:rsidR="007F40C8" w:rsidRPr="004B5821" w:rsidRDefault="007F40C8" w:rsidP="007F40C8">
      <w:r>
        <w:t>At vaccination rate</w:t>
      </w:r>
      <w:r w:rsidR="002E3562">
        <w:t>s</w:t>
      </w:r>
      <w:r>
        <w:t xml:space="preserve"> of 60 per cent, the strategy of managing community transmission continues to require more extensive high</w:t>
      </w:r>
      <w:r w:rsidR="00F54789">
        <w:noBreakHyphen/>
      </w:r>
      <w:r>
        <w:t xml:space="preserve">level lockdowns, with estimated economic costs of around </w:t>
      </w:r>
      <w:r w:rsidRPr="00C10B8B">
        <w:t>$2.1 billion per week</w:t>
      </w:r>
      <w:r>
        <w:t xml:space="preserve">. At vaccination rates of 70 per cent, these costs are around </w:t>
      </w:r>
      <w:r w:rsidRPr="004B5821">
        <w:t>$1.6 billion per week</w:t>
      </w:r>
      <w:r>
        <w:t xml:space="preserve">. </w:t>
      </w:r>
    </w:p>
    <w:p w14:paraId="6F549508" w14:textId="21044C1E" w:rsidR="007F40C8" w:rsidRDefault="007F40C8" w:rsidP="007F40C8">
      <w:r>
        <w:t xml:space="preserve">At vaccination rates of 80 per cent, it is expected that outbreaks could be managed using only </w:t>
      </w:r>
      <w:r w:rsidR="00235E3A">
        <w:t xml:space="preserve">low level </w:t>
      </w:r>
      <w:r>
        <w:t xml:space="preserve">restrictions under a managed transmission strategy, </w:t>
      </w:r>
      <w:r w:rsidR="00453288">
        <w:t xml:space="preserve">however they would need to be applied across the whole country </w:t>
      </w:r>
      <w:r>
        <w:t>at a</w:t>
      </w:r>
      <w:r w:rsidRPr="006C583D">
        <w:t xml:space="preserve"> cost of </w:t>
      </w:r>
      <w:r w:rsidRPr="00CE75F4">
        <w:t xml:space="preserve">around </w:t>
      </w:r>
      <w:r w:rsidRPr="00006FCE">
        <w:t>$590 million</w:t>
      </w:r>
      <w:r w:rsidRPr="00CE75F4">
        <w:t xml:space="preserve"> per week.</w:t>
      </w:r>
    </w:p>
    <w:p w14:paraId="1AE64B92" w14:textId="6D905701" w:rsidR="007F40C8" w:rsidRPr="00FD0886" w:rsidRDefault="007F40C8" w:rsidP="007F40C8">
      <w:r w:rsidRPr="00FD0886">
        <w:t>Cons</w:t>
      </w:r>
      <w:r>
        <w:t>istent with the outcomes under a strategy</w:t>
      </w:r>
      <w:r w:rsidR="005A714D">
        <w:t xml:space="preserve"> to minimise cases</w:t>
      </w:r>
      <w:r>
        <w:t>, the most cost</w:t>
      </w:r>
      <w:r w:rsidR="00F54789">
        <w:noBreakHyphen/>
      </w:r>
      <w:r>
        <w:t xml:space="preserve">effective approach to managing community transmission is to maintain ongoing baseline restrictions and respond to outbreaks rapidly with strict lockdowns until </w:t>
      </w:r>
      <w:r w:rsidR="003E1BDC">
        <w:t xml:space="preserve">low level </w:t>
      </w:r>
      <w:r>
        <w:t xml:space="preserve">restrictions alone are sufficient to manage the virus (in this case </w:t>
      </w:r>
      <w:r w:rsidR="00453288">
        <w:t xml:space="preserve">above </w:t>
      </w:r>
      <w:r>
        <w:t>80</w:t>
      </w:r>
      <w:r w:rsidR="00EF7828">
        <w:t xml:space="preserve"> per cent). </w:t>
      </w:r>
    </w:p>
    <w:p w14:paraId="0FEDD6AA" w14:textId="47E547A4" w:rsidR="007F40C8" w:rsidRDefault="007F40C8" w:rsidP="00E062A0">
      <w:pPr>
        <w:pStyle w:val="TableMainHeading"/>
      </w:pPr>
      <w:r>
        <w:t>Table 9. Direct economic costs of required restrictions and lockdowns to stay within health system capacity, under a strategy of managing transmission</w:t>
      </w:r>
      <w:r w:rsidR="00864E4F">
        <w:t>,</w:t>
      </w:r>
      <w:r>
        <w:t xml:space="preserve"> with ongoing baseline restrictions</w:t>
      </w:r>
    </w:p>
    <w:tbl>
      <w:tblPr>
        <w:tblStyle w:val="TableGrid"/>
        <w:tblW w:w="5000" w:type="pct"/>
        <w:tblLook w:val="04A0" w:firstRow="1" w:lastRow="0" w:firstColumn="1" w:lastColumn="0" w:noHBand="0" w:noVBand="1"/>
      </w:tblPr>
      <w:tblGrid>
        <w:gridCol w:w="2547"/>
        <w:gridCol w:w="2171"/>
        <w:gridCol w:w="2171"/>
        <w:gridCol w:w="2171"/>
      </w:tblGrid>
      <w:tr w:rsidR="007F40C8" w14:paraId="2138BDD2" w14:textId="77777777" w:rsidTr="00B71793">
        <w:tc>
          <w:tcPr>
            <w:tcW w:w="1405" w:type="pct"/>
            <w:tcBorders>
              <w:top w:val="single" w:sz="4" w:space="0" w:color="auto"/>
              <w:left w:val="single" w:sz="4" w:space="0" w:color="auto"/>
              <w:bottom w:val="single" w:sz="4" w:space="0" w:color="auto"/>
              <w:right w:val="single" w:sz="4" w:space="0" w:color="auto"/>
            </w:tcBorders>
            <w:shd w:val="clear" w:color="auto" w:fill="auto"/>
            <w:hideMark/>
          </w:tcPr>
          <w:p w14:paraId="3250FB32" w14:textId="77777777" w:rsidR="007F40C8" w:rsidRDefault="007F40C8" w:rsidP="00106C35">
            <w:pPr>
              <w:pStyle w:val="TableColumnHeadingLeft"/>
            </w:pPr>
            <w:r>
              <w:t>Vaccination rate</w:t>
            </w:r>
          </w:p>
        </w:tc>
        <w:tc>
          <w:tcPr>
            <w:tcW w:w="1198" w:type="pct"/>
            <w:tcBorders>
              <w:top w:val="single" w:sz="4" w:space="0" w:color="auto"/>
              <w:left w:val="single" w:sz="4" w:space="0" w:color="auto"/>
              <w:bottom w:val="single" w:sz="4" w:space="0" w:color="auto"/>
              <w:right w:val="single" w:sz="4" w:space="0" w:color="auto"/>
            </w:tcBorders>
            <w:shd w:val="clear" w:color="auto" w:fill="auto"/>
            <w:hideMark/>
          </w:tcPr>
          <w:p w14:paraId="67C172EC" w14:textId="25774896" w:rsidR="007F40C8" w:rsidRDefault="003936DB" w:rsidP="00106C35">
            <w:pPr>
              <w:pStyle w:val="TableColumnHeadingCentred"/>
              <w:rPr>
                <w:bCs/>
              </w:rPr>
            </w:pPr>
            <w:r>
              <w:t>Periodic l</w:t>
            </w:r>
            <w:r w:rsidR="005439EB">
              <w:t>ow level</w:t>
            </w:r>
            <w:r>
              <w:rPr>
                <w:bCs/>
              </w:rPr>
              <w:t xml:space="preserve"> </w:t>
            </w:r>
            <w:r w:rsidR="007F40C8">
              <w:t>restrictions</w:t>
            </w:r>
            <w:r>
              <w:t xml:space="preserve"> only</w:t>
            </w:r>
          </w:p>
          <w:p w14:paraId="0362A5B3" w14:textId="0B400A94" w:rsidR="007F40C8" w:rsidRPr="00106C35" w:rsidRDefault="007F40C8" w:rsidP="00106C35">
            <w:pPr>
              <w:pStyle w:val="TableColumnHeadingCentred"/>
              <w:rPr>
                <w:b w:val="0"/>
                <w:bCs/>
              </w:rPr>
            </w:pPr>
            <w:r w:rsidRPr="00106C35">
              <w:rPr>
                <w:b w:val="0"/>
                <w:bCs/>
              </w:rPr>
              <w:t>($m</w:t>
            </w:r>
            <w:r w:rsidR="00C01013">
              <w:rPr>
                <w:b w:val="0"/>
                <w:bCs/>
              </w:rPr>
              <w:t xml:space="preserve"> per week</w:t>
            </w:r>
            <w:r w:rsidRPr="00106C35">
              <w:rPr>
                <w:b w:val="0"/>
                <w:bCs/>
              </w:rPr>
              <w:t>)</w:t>
            </w:r>
          </w:p>
        </w:tc>
        <w:tc>
          <w:tcPr>
            <w:tcW w:w="1198" w:type="pct"/>
            <w:tcBorders>
              <w:top w:val="single" w:sz="4" w:space="0" w:color="auto"/>
              <w:left w:val="single" w:sz="4" w:space="0" w:color="auto"/>
              <w:bottom w:val="single" w:sz="4" w:space="0" w:color="auto"/>
              <w:right w:val="single" w:sz="4" w:space="0" w:color="auto"/>
            </w:tcBorders>
            <w:shd w:val="clear" w:color="auto" w:fill="auto"/>
            <w:hideMark/>
          </w:tcPr>
          <w:p w14:paraId="7A7B6EF5" w14:textId="025E91E4" w:rsidR="007F40C8" w:rsidRDefault="003936DB" w:rsidP="00106C35">
            <w:pPr>
              <w:pStyle w:val="TableColumnHeadingCentred"/>
              <w:rPr>
                <w:bCs/>
              </w:rPr>
            </w:pPr>
            <w:r>
              <w:t>Periodic moderate</w:t>
            </w:r>
            <w:r>
              <w:rPr>
                <w:bCs/>
              </w:rPr>
              <w:t xml:space="preserve"> </w:t>
            </w:r>
            <w:r w:rsidR="007F40C8">
              <w:rPr>
                <w:bCs/>
              </w:rPr>
              <w:t>lockdowns</w:t>
            </w:r>
            <w:r>
              <w:rPr>
                <w:bCs/>
              </w:rPr>
              <w:t xml:space="preserve"> only</w:t>
            </w:r>
          </w:p>
          <w:p w14:paraId="6C5CB047" w14:textId="29D7E574" w:rsidR="007F40C8" w:rsidRPr="00106C35" w:rsidRDefault="007F40C8" w:rsidP="00106C35">
            <w:pPr>
              <w:pStyle w:val="TableColumnHeadingCentred"/>
              <w:rPr>
                <w:b w:val="0"/>
                <w:bCs/>
              </w:rPr>
            </w:pPr>
            <w:r w:rsidRPr="00106C35">
              <w:rPr>
                <w:b w:val="0"/>
                <w:bCs/>
              </w:rPr>
              <w:t>($m</w:t>
            </w:r>
            <w:r w:rsidR="00C01013">
              <w:rPr>
                <w:b w:val="0"/>
                <w:bCs/>
              </w:rPr>
              <w:t xml:space="preserve"> per week</w:t>
            </w:r>
            <w:r w:rsidRPr="00106C35">
              <w:rPr>
                <w:b w:val="0"/>
                <w:bCs/>
              </w:rPr>
              <w:t>)</w:t>
            </w:r>
          </w:p>
        </w:tc>
        <w:tc>
          <w:tcPr>
            <w:tcW w:w="1198" w:type="pct"/>
            <w:tcBorders>
              <w:top w:val="single" w:sz="4" w:space="0" w:color="auto"/>
              <w:left w:val="single" w:sz="4" w:space="0" w:color="auto"/>
              <w:bottom w:val="single" w:sz="4" w:space="0" w:color="auto"/>
              <w:right w:val="single" w:sz="4" w:space="0" w:color="auto"/>
            </w:tcBorders>
            <w:shd w:val="clear" w:color="auto" w:fill="auto"/>
            <w:hideMark/>
          </w:tcPr>
          <w:p w14:paraId="3AE376A0" w14:textId="4D4316CB" w:rsidR="007F40C8" w:rsidRDefault="003936DB" w:rsidP="00106C35">
            <w:pPr>
              <w:pStyle w:val="TableColumnHeadingCentred"/>
              <w:rPr>
                <w:bCs/>
              </w:rPr>
            </w:pPr>
            <w:r>
              <w:t>Periodic strict</w:t>
            </w:r>
            <w:r>
              <w:rPr>
                <w:bCs/>
              </w:rPr>
              <w:t xml:space="preserve"> </w:t>
            </w:r>
            <w:r w:rsidR="007F40C8">
              <w:rPr>
                <w:bCs/>
              </w:rPr>
              <w:t>lockdowns</w:t>
            </w:r>
            <w:r w:rsidR="00403200">
              <w:rPr>
                <w:bCs/>
              </w:rPr>
              <w:t xml:space="preserve"> only</w:t>
            </w:r>
          </w:p>
          <w:p w14:paraId="434AA214" w14:textId="546ED688" w:rsidR="007F40C8" w:rsidRPr="00106C35" w:rsidRDefault="007F40C8" w:rsidP="00106C35">
            <w:pPr>
              <w:pStyle w:val="TableColumnHeadingCentred"/>
              <w:rPr>
                <w:b w:val="0"/>
                <w:bCs/>
              </w:rPr>
            </w:pPr>
            <w:r w:rsidRPr="00106C35">
              <w:rPr>
                <w:b w:val="0"/>
                <w:bCs/>
              </w:rPr>
              <w:t>($m</w:t>
            </w:r>
            <w:r w:rsidR="00C01013">
              <w:rPr>
                <w:b w:val="0"/>
                <w:bCs/>
              </w:rPr>
              <w:t xml:space="preserve"> per week</w:t>
            </w:r>
            <w:r w:rsidRPr="00106C35">
              <w:rPr>
                <w:b w:val="0"/>
                <w:bCs/>
              </w:rPr>
              <w:t>)</w:t>
            </w:r>
          </w:p>
        </w:tc>
      </w:tr>
      <w:tr w:rsidR="007F40C8" w14:paraId="649043EB" w14:textId="77777777" w:rsidTr="00B71793">
        <w:tc>
          <w:tcPr>
            <w:tcW w:w="1405" w:type="pct"/>
            <w:tcBorders>
              <w:top w:val="single" w:sz="4" w:space="0" w:color="auto"/>
              <w:left w:val="single" w:sz="4" w:space="0" w:color="auto"/>
              <w:bottom w:val="single" w:sz="4" w:space="0" w:color="auto"/>
              <w:right w:val="single" w:sz="4" w:space="0" w:color="auto"/>
            </w:tcBorders>
            <w:shd w:val="clear" w:color="auto" w:fill="auto"/>
            <w:hideMark/>
          </w:tcPr>
          <w:p w14:paraId="090E4271" w14:textId="61482127" w:rsidR="007F40C8" w:rsidRDefault="007F40C8" w:rsidP="00DA20DC">
            <w:pPr>
              <w:pStyle w:val="TableColumnHeadingLeft"/>
            </w:pPr>
            <w:r>
              <w:rPr>
                <w:i/>
              </w:rPr>
              <w:t>50%</w:t>
            </w:r>
            <w:r>
              <w:rPr>
                <w:i/>
              </w:rPr>
              <w:br/>
            </w:r>
          </w:p>
        </w:tc>
        <w:tc>
          <w:tcPr>
            <w:tcW w:w="1198" w:type="pct"/>
            <w:tcBorders>
              <w:top w:val="single" w:sz="4" w:space="0" w:color="auto"/>
              <w:left w:val="nil"/>
              <w:bottom w:val="single" w:sz="4" w:space="0" w:color="auto"/>
              <w:right w:val="single" w:sz="4" w:space="0" w:color="auto"/>
            </w:tcBorders>
            <w:shd w:val="clear" w:color="auto" w:fill="auto"/>
            <w:vAlign w:val="center"/>
            <w:hideMark/>
          </w:tcPr>
          <w:p w14:paraId="0317A021" w14:textId="77777777" w:rsidR="007F40C8" w:rsidRDefault="007F40C8" w:rsidP="00106C35">
            <w:pPr>
              <w:pStyle w:val="TableTextCentered"/>
            </w:pPr>
            <w:r>
              <w:t>N/A</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6B282" w14:textId="77777777" w:rsidR="007F40C8" w:rsidRDefault="007F40C8" w:rsidP="00106C35">
            <w:pPr>
              <w:pStyle w:val="TableTextCentered"/>
            </w:pPr>
            <w:r>
              <w:t>N/A</w:t>
            </w:r>
          </w:p>
        </w:tc>
        <w:tc>
          <w:tcPr>
            <w:tcW w:w="1198" w:type="pct"/>
            <w:tcBorders>
              <w:top w:val="single" w:sz="4" w:space="0" w:color="auto"/>
              <w:left w:val="single" w:sz="4" w:space="0" w:color="auto"/>
              <w:bottom w:val="single" w:sz="4" w:space="0" w:color="auto"/>
              <w:right w:val="single" w:sz="4" w:space="0" w:color="auto"/>
            </w:tcBorders>
            <w:shd w:val="clear" w:color="auto" w:fill="D2EDFF" w:themeFill="accent1" w:themeFillTint="1A"/>
            <w:vAlign w:val="bottom"/>
            <w:hideMark/>
          </w:tcPr>
          <w:p w14:paraId="4D80E2F9" w14:textId="77777777" w:rsidR="007F40C8" w:rsidRDefault="007F40C8" w:rsidP="00106C35">
            <w:pPr>
              <w:pStyle w:val="TableTextCentered"/>
            </w:pPr>
            <w:r>
              <w:t>2,690</w:t>
            </w:r>
          </w:p>
        </w:tc>
      </w:tr>
      <w:tr w:rsidR="007F40C8" w14:paraId="55621FAF" w14:textId="77777777" w:rsidTr="00B71793">
        <w:tc>
          <w:tcPr>
            <w:tcW w:w="1405" w:type="pct"/>
            <w:tcBorders>
              <w:top w:val="single" w:sz="4" w:space="0" w:color="auto"/>
              <w:left w:val="single" w:sz="4" w:space="0" w:color="auto"/>
              <w:bottom w:val="single" w:sz="4" w:space="0" w:color="auto"/>
              <w:right w:val="single" w:sz="4" w:space="0" w:color="auto"/>
            </w:tcBorders>
            <w:shd w:val="clear" w:color="auto" w:fill="auto"/>
            <w:hideMark/>
          </w:tcPr>
          <w:p w14:paraId="0D8A89EE" w14:textId="77777777" w:rsidR="007F40C8" w:rsidRDefault="007F40C8" w:rsidP="00106C35">
            <w:pPr>
              <w:pStyle w:val="TableColumnHeadingLeft"/>
              <w:rPr>
                <w:i/>
              </w:rPr>
            </w:pPr>
            <w:r>
              <w:rPr>
                <w:i/>
              </w:rPr>
              <w:t>60%</w:t>
            </w:r>
          </w:p>
          <w:p w14:paraId="4C806012" w14:textId="037ECE34" w:rsidR="007F40C8" w:rsidRDefault="007F40C8" w:rsidP="00106C35">
            <w:pPr>
              <w:pStyle w:val="TableColumnHeadingLeft"/>
              <w:rPr>
                <w:i/>
              </w:rPr>
            </w:pPr>
          </w:p>
        </w:tc>
        <w:tc>
          <w:tcPr>
            <w:tcW w:w="1198" w:type="pct"/>
            <w:tcBorders>
              <w:top w:val="single" w:sz="4" w:space="0" w:color="auto"/>
              <w:left w:val="nil"/>
              <w:bottom w:val="single" w:sz="4" w:space="0" w:color="auto"/>
              <w:right w:val="single" w:sz="4" w:space="0" w:color="auto"/>
            </w:tcBorders>
            <w:shd w:val="clear" w:color="auto" w:fill="auto"/>
            <w:vAlign w:val="center"/>
            <w:hideMark/>
          </w:tcPr>
          <w:p w14:paraId="73F26FE6" w14:textId="77777777" w:rsidR="007F40C8" w:rsidRDefault="007F40C8" w:rsidP="00106C35">
            <w:pPr>
              <w:pStyle w:val="TableTextCentered"/>
            </w:pPr>
            <w:r>
              <w:t>N/A</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tcPr>
          <w:p w14:paraId="597BB2F8" w14:textId="3994F37E" w:rsidR="007F40C8" w:rsidRDefault="007F40C8" w:rsidP="00106C35">
            <w:pPr>
              <w:pStyle w:val="TableTextCentered"/>
            </w:pPr>
            <w:r>
              <w:t>N/A</w:t>
            </w:r>
          </w:p>
        </w:tc>
        <w:tc>
          <w:tcPr>
            <w:tcW w:w="1198" w:type="pct"/>
            <w:tcBorders>
              <w:top w:val="single" w:sz="4" w:space="0" w:color="auto"/>
              <w:left w:val="single" w:sz="4" w:space="0" w:color="auto"/>
              <w:bottom w:val="single" w:sz="4" w:space="0" w:color="auto"/>
              <w:right w:val="single" w:sz="4" w:space="0" w:color="auto"/>
            </w:tcBorders>
            <w:shd w:val="clear" w:color="auto" w:fill="D2EDFF" w:themeFill="accent1" w:themeFillTint="1A"/>
            <w:vAlign w:val="bottom"/>
            <w:hideMark/>
          </w:tcPr>
          <w:p w14:paraId="4D47C51F" w14:textId="77777777" w:rsidR="007F40C8" w:rsidRDefault="007F40C8" w:rsidP="00106C35">
            <w:pPr>
              <w:pStyle w:val="TableTextCentered"/>
            </w:pPr>
            <w:r>
              <w:t>2,120</w:t>
            </w:r>
          </w:p>
        </w:tc>
      </w:tr>
      <w:tr w:rsidR="007F40C8" w14:paraId="764CE4C6" w14:textId="77777777" w:rsidTr="00B71793">
        <w:tc>
          <w:tcPr>
            <w:tcW w:w="1405" w:type="pct"/>
            <w:tcBorders>
              <w:top w:val="single" w:sz="4" w:space="0" w:color="auto"/>
              <w:left w:val="single" w:sz="4" w:space="0" w:color="auto"/>
              <w:bottom w:val="single" w:sz="4" w:space="0" w:color="auto"/>
              <w:right w:val="single" w:sz="4" w:space="0" w:color="auto"/>
            </w:tcBorders>
            <w:shd w:val="clear" w:color="auto" w:fill="auto"/>
            <w:hideMark/>
          </w:tcPr>
          <w:p w14:paraId="30666C38" w14:textId="77777777" w:rsidR="007F40C8" w:rsidRDefault="007F40C8" w:rsidP="00106C35">
            <w:pPr>
              <w:pStyle w:val="TableColumnHeadingLeft"/>
              <w:rPr>
                <w:i/>
              </w:rPr>
            </w:pPr>
            <w:r>
              <w:rPr>
                <w:i/>
              </w:rPr>
              <w:t>70%</w:t>
            </w:r>
          </w:p>
          <w:p w14:paraId="491B0648" w14:textId="35576B64" w:rsidR="007F40C8" w:rsidRDefault="007F40C8" w:rsidP="00106C35">
            <w:pPr>
              <w:pStyle w:val="TableColumnHeadingLeft"/>
              <w:rPr>
                <w:i/>
              </w:rPr>
            </w:pPr>
          </w:p>
        </w:tc>
        <w:tc>
          <w:tcPr>
            <w:tcW w:w="1198" w:type="pct"/>
            <w:tcBorders>
              <w:top w:val="single" w:sz="4" w:space="0" w:color="auto"/>
              <w:left w:val="nil"/>
              <w:bottom w:val="single" w:sz="4" w:space="0" w:color="auto"/>
              <w:right w:val="single" w:sz="4" w:space="0" w:color="auto"/>
            </w:tcBorders>
            <w:shd w:val="clear" w:color="auto" w:fill="auto"/>
            <w:vAlign w:val="center"/>
          </w:tcPr>
          <w:p w14:paraId="4BBA519D" w14:textId="270B651F" w:rsidR="007F40C8" w:rsidRDefault="007F40C8" w:rsidP="00B71793">
            <w:pPr>
              <w:pStyle w:val="TableTextCentered"/>
            </w:pPr>
            <w:r>
              <w:t>N/A</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1B0058B" w14:textId="77777777" w:rsidR="007F40C8" w:rsidRDefault="007F40C8" w:rsidP="00106C35">
            <w:pPr>
              <w:pStyle w:val="TableTextCentered"/>
            </w:pPr>
            <w:r>
              <w:t>1,930</w:t>
            </w:r>
          </w:p>
        </w:tc>
        <w:tc>
          <w:tcPr>
            <w:tcW w:w="1198" w:type="pct"/>
            <w:tcBorders>
              <w:top w:val="single" w:sz="4" w:space="0" w:color="auto"/>
              <w:left w:val="single" w:sz="4" w:space="0" w:color="auto"/>
              <w:bottom w:val="single" w:sz="4" w:space="0" w:color="auto"/>
              <w:right w:val="single" w:sz="4" w:space="0" w:color="auto"/>
            </w:tcBorders>
            <w:shd w:val="clear" w:color="auto" w:fill="D2EDFF" w:themeFill="accent1" w:themeFillTint="1A"/>
            <w:vAlign w:val="bottom"/>
            <w:hideMark/>
          </w:tcPr>
          <w:p w14:paraId="49C3C442" w14:textId="77777777" w:rsidR="007F40C8" w:rsidRDefault="007F40C8" w:rsidP="00106C35">
            <w:pPr>
              <w:pStyle w:val="TableTextCentered"/>
            </w:pPr>
            <w:r>
              <w:t>1,640</w:t>
            </w:r>
          </w:p>
        </w:tc>
      </w:tr>
      <w:tr w:rsidR="007F40C8" w14:paraId="0CFD0A6B" w14:textId="77777777" w:rsidTr="00B71793">
        <w:tc>
          <w:tcPr>
            <w:tcW w:w="1405" w:type="pct"/>
            <w:tcBorders>
              <w:top w:val="single" w:sz="4" w:space="0" w:color="auto"/>
              <w:left w:val="single" w:sz="4" w:space="0" w:color="auto"/>
              <w:bottom w:val="single" w:sz="4" w:space="0" w:color="auto"/>
              <w:right w:val="single" w:sz="4" w:space="0" w:color="auto"/>
            </w:tcBorders>
            <w:shd w:val="clear" w:color="auto" w:fill="auto"/>
            <w:hideMark/>
          </w:tcPr>
          <w:p w14:paraId="7EF18719" w14:textId="77777777" w:rsidR="007F40C8" w:rsidRDefault="007F40C8" w:rsidP="00106C35">
            <w:pPr>
              <w:pStyle w:val="TableColumnHeadingLeft"/>
              <w:rPr>
                <w:i/>
              </w:rPr>
            </w:pPr>
            <w:r>
              <w:rPr>
                <w:i/>
              </w:rPr>
              <w:t>80% +</w:t>
            </w:r>
          </w:p>
          <w:p w14:paraId="1FFDB97A" w14:textId="79095103" w:rsidR="007F40C8" w:rsidRDefault="007F40C8" w:rsidP="00106C35">
            <w:pPr>
              <w:pStyle w:val="TableColumnHeadingLeft"/>
              <w:rPr>
                <w:i/>
              </w:rPr>
            </w:pPr>
          </w:p>
        </w:tc>
        <w:tc>
          <w:tcPr>
            <w:tcW w:w="1198" w:type="pct"/>
            <w:tcBorders>
              <w:top w:val="single" w:sz="4" w:space="0" w:color="auto"/>
              <w:left w:val="nil"/>
              <w:bottom w:val="single" w:sz="4" w:space="0" w:color="auto"/>
              <w:right w:val="single" w:sz="4" w:space="0" w:color="auto"/>
            </w:tcBorders>
            <w:shd w:val="clear" w:color="auto" w:fill="D2EDFF" w:themeFill="accent1" w:themeFillTint="1A"/>
            <w:vAlign w:val="bottom"/>
            <w:hideMark/>
          </w:tcPr>
          <w:p w14:paraId="0A003FAB" w14:textId="77777777" w:rsidR="007F40C8" w:rsidRDefault="007F40C8" w:rsidP="00106C35">
            <w:pPr>
              <w:pStyle w:val="TableTextCentered"/>
            </w:pPr>
            <w:r>
              <w:t>590</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058D14D" w14:textId="77777777" w:rsidR="007F40C8" w:rsidRDefault="007F40C8" w:rsidP="00106C35">
            <w:pPr>
              <w:pStyle w:val="TableTextCentered"/>
            </w:pPr>
            <w:r>
              <w:t>1,260</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AF452A" w14:textId="77777777" w:rsidR="007F40C8" w:rsidRDefault="007F40C8" w:rsidP="00106C35">
            <w:pPr>
              <w:pStyle w:val="TableTextCentered"/>
            </w:pPr>
            <w:r>
              <w:t>1,070</w:t>
            </w:r>
          </w:p>
        </w:tc>
      </w:tr>
    </w:tbl>
    <w:p w14:paraId="62855A26" w14:textId="4104C4CE" w:rsidR="007F40C8" w:rsidRPr="009574D8" w:rsidRDefault="007F40C8" w:rsidP="00E062A0">
      <w:pPr>
        <w:pStyle w:val="ChartorTableNote"/>
      </w:pPr>
      <w:r w:rsidRPr="009574D8">
        <w:t>Notes:</w:t>
      </w:r>
      <w:r w:rsidR="00CE1863">
        <w:t xml:space="preserve"> (1)</w:t>
      </w:r>
      <w:r w:rsidRPr="009574D8">
        <w:t xml:space="preserve"> N/A indicates that it is not possible to manage COVID</w:t>
      </w:r>
      <w:r w:rsidR="00F54789">
        <w:noBreakHyphen/>
      </w:r>
      <w:r w:rsidRPr="009574D8">
        <w:t>19 within Australia</w:t>
      </w:r>
      <w:r w:rsidR="00F54789">
        <w:t>’</w:t>
      </w:r>
      <w:r w:rsidRPr="009574D8">
        <w:t xml:space="preserve">s health system capacity using a given level of restrictions at a certain vaccination rate. </w:t>
      </w:r>
      <w:r w:rsidR="00CE1863">
        <w:t xml:space="preserve">(2) </w:t>
      </w:r>
      <w:r w:rsidRPr="009574D8">
        <w:t xml:space="preserve">Total costs include the estimated direct economic costs of lockdowns and </w:t>
      </w:r>
      <w:r w:rsidR="00CE1863" w:rsidRPr="009574D8">
        <w:t xml:space="preserve"> </w:t>
      </w:r>
      <w:r w:rsidRPr="009574D8">
        <w:t xml:space="preserve">activity restrictions. </w:t>
      </w:r>
    </w:p>
    <w:p w14:paraId="30E0553F" w14:textId="4354DC0E" w:rsidR="00106C35" w:rsidRDefault="00106C35">
      <w:pPr>
        <w:spacing w:before="0" w:after="160" w:line="259" w:lineRule="auto"/>
      </w:pPr>
      <w:r>
        <w:br w:type="page"/>
      </w:r>
    </w:p>
    <w:p w14:paraId="29332BE1" w14:textId="77777777" w:rsidR="007F40C8" w:rsidRPr="00B827BC" w:rsidRDefault="007F40C8" w:rsidP="0063330F">
      <w:pPr>
        <w:pStyle w:val="Heading1"/>
      </w:pPr>
      <w:bookmarkStart w:id="21" w:name="_Toc78902077"/>
      <w:bookmarkStart w:id="22" w:name="_Hlk78379945"/>
      <w:r w:rsidRPr="00B827BC">
        <w:t>Conclusion</w:t>
      </w:r>
      <w:bookmarkEnd w:id="21"/>
      <w:r w:rsidRPr="00B827BC">
        <w:t xml:space="preserve"> </w:t>
      </w:r>
    </w:p>
    <w:p w14:paraId="2B270FFC" w14:textId="1E4F7E3F" w:rsidR="007F40C8" w:rsidRDefault="007F40C8" w:rsidP="007F40C8">
      <w:r>
        <w:t xml:space="preserve">Figure 1 (below) shows the comparative </w:t>
      </w:r>
      <w:r w:rsidR="00C52419">
        <w:t xml:space="preserve">direct </w:t>
      </w:r>
      <w:r>
        <w:t>economic costs of managing COVID</w:t>
      </w:r>
      <w:r w:rsidR="00F54789">
        <w:noBreakHyphen/>
      </w:r>
      <w:r>
        <w:t>19 under the different scenarios outlined above at different vaccination levels</w:t>
      </w:r>
      <w:r w:rsidR="00106C35">
        <w:t xml:space="preserve">. </w:t>
      </w:r>
    </w:p>
    <w:p w14:paraId="149D07B2" w14:textId="05B96D62" w:rsidR="007F40C8" w:rsidRDefault="0050027A" w:rsidP="007F40C8">
      <w:r>
        <w:t xml:space="preserve">Figure 1 </w:t>
      </w:r>
      <w:r w:rsidR="007F40C8">
        <w:t xml:space="preserve">demonstrates the following key conclusions: </w:t>
      </w:r>
    </w:p>
    <w:p w14:paraId="673D06A3" w14:textId="5C98FBE5" w:rsidR="007F40C8" w:rsidRDefault="007F40C8" w:rsidP="007F40C8">
      <w:pPr>
        <w:pStyle w:val="Bullet"/>
        <w:numPr>
          <w:ilvl w:val="0"/>
          <w:numId w:val="19"/>
        </w:numPr>
        <w:spacing w:after="160" w:line="259" w:lineRule="auto"/>
      </w:pPr>
      <w:bookmarkStart w:id="23" w:name="_Hlk78379900"/>
      <w:bookmarkEnd w:id="22"/>
      <w:r w:rsidRPr="00CD7D31">
        <w:t>It is significantly more cost effective to manage COVID</w:t>
      </w:r>
      <w:r w:rsidR="00F54789">
        <w:noBreakHyphen/>
      </w:r>
      <w:r w:rsidRPr="00CD7D31">
        <w:t xml:space="preserve">19 </w:t>
      </w:r>
      <w:r w:rsidR="00315400">
        <w:t xml:space="preserve">Delta variant </w:t>
      </w:r>
      <w:r>
        <w:t xml:space="preserve">by maintaining a strategy </w:t>
      </w:r>
      <w:r w:rsidR="00E22075">
        <w:t xml:space="preserve">to minimise cases </w:t>
      </w:r>
      <w:r>
        <w:t xml:space="preserve">and optimal TTIQ, rather than allowing higher levels of community transmission to take hold. </w:t>
      </w:r>
    </w:p>
    <w:p w14:paraId="2B34864A" w14:textId="77777777" w:rsidR="007F40C8" w:rsidRDefault="007F40C8" w:rsidP="007F40C8">
      <w:pPr>
        <w:pStyle w:val="Bullet"/>
        <w:numPr>
          <w:ilvl w:val="0"/>
          <w:numId w:val="19"/>
        </w:numPr>
        <w:spacing w:after="160" w:line="259" w:lineRule="auto"/>
      </w:pPr>
      <w:r>
        <w:t xml:space="preserve">Applying strict localised lockdowns, for shorter durations, is more cost effective than applying more moderate lockdowns for longer periods. </w:t>
      </w:r>
    </w:p>
    <w:p w14:paraId="19108E04" w14:textId="05945B13" w:rsidR="007F40C8" w:rsidRDefault="007F40C8" w:rsidP="007F40C8">
      <w:pPr>
        <w:pStyle w:val="Bullet"/>
        <w:numPr>
          <w:ilvl w:val="0"/>
          <w:numId w:val="19"/>
        </w:numPr>
        <w:spacing w:after="160" w:line="259" w:lineRule="auto"/>
      </w:pPr>
      <w:r>
        <w:t xml:space="preserve">The direct economic costs of </w:t>
      </w:r>
      <w:r>
        <w:rPr>
          <w:bCs/>
        </w:rPr>
        <w:t>managing the virus decline</w:t>
      </w:r>
      <w:r>
        <w:t xml:space="preserve"> sharply as the vaccine is rolled out, regardless of the strategy adopted</w:t>
      </w:r>
      <w:r w:rsidR="00106C35">
        <w:t xml:space="preserve">. </w:t>
      </w:r>
    </w:p>
    <w:p w14:paraId="2B24EDB8" w14:textId="77AC9645" w:rsidR="007F40C8" w:rsidRPr="000C3377" w:rsidRDefault="007F40C8" w:rsidP="007F40C8">
      <w:pPr>
        <w:pStyle w:val="Bullet"/>
        <w:numPr>
          <w:ilvl w:val="0"/>
          <w:numId w:val="19"/>
        </w:numPr>
        <w:spacing w:after="160" w:line="259" w:lineRule="auto"/>
      </w:pPr>
      <w:r>
        <w:t>Under a strategy</w:t>
      </w:r>
      <w:r w:rsidR="00E22075">
        <w:t xml:space="preserve"> to </w:t>
      </w:r>
      <w:r w:rsidR="00FD3F51">
        <w:t>minimise</w:t>
      </w:r>
      <w:r w:rsidR="00E22075">
        <w:t xml:space="preserve"> cases</w:t>
      </w:r>
      <w:r>
        <w:t>, once vaccination rates reach 70 per cent, lockdowns are unlikely to be required, significantly reducing the economic cost of managing COVID</w:t>
      </w:r>
      <w:r w:rsidR="00F54789">
        <w:noBreakHyphen/>
      </w:r>
      <w:r>
        <w:t xml:space="preserve">19. </w:t>
      </w:r>
    </w:p>
    <w:p w14:paraId="42C08383" w14:textId="35C3FDEB" w:rsidR="007F40C8" w:rsidRDefault="007F40C8" w:rsidP="00296DFD">
      <w:pPr>
        <w:pStyle w:val="ChartMainHeading"/>
      </w:pPr>
      <w:r w:rsidRPr="009F5D65">
        <w:t xml:space="preserve">Figure </w:t>
      </w:r>
      <w:r w:rsidR="00281FC8">
        <w:t>1</w:t>
      </w:r>
      <w:r w:rsidRPr="009F5D65">
        <w:t>: Cost of managing COVID</w:t>
      </w:r>
      <w:r w:rsidR="00F54789">
        <w:noBreakHyphen/>
      </w:r>
      <w:r w:rsidRPr="009F5D65">
        <w:t xml:space="preserve">19 within health system capacity per </w:t>
      </w:r>
      <w:r w:rsidR="00843CAB">
        <w:t>week</w:t>
      </w:r>
      <w:r w:rsidRPr="009F5D65">
        <w:t>, $</w:t>
      </w:r>
      <w:r>
        <w:t xml:space="preserve"> millions</w:t>
      </w:r>
      <w:r>
        <w:br/>
      </w:r>
      <w:r w:rsidRPr="00E43287">
        <w:t>Least costly combination of PHSM measures</w:t>
      </w:r>
      <w:r>
        <w:t xml:space="preserve"> within each strategy</w:t>
      </w:r>
      <w:r w:rsidRPr="00E43287">
        <w:t xml:space="preserve"> </w:t>
      </w:r>
    </w:p>
    <w:p w14:paraId="522B9446" w14:textId="3D3B57BD" w:rsidR="00C015E8" w:rsidRPr="00C015E8" w:rsidRDefault="00C015E8" w:rsidP="00902871">
      <w:pPr>
        <w:pStyle w:val="ChartGraphic"/>
      </w:pPr>
      <w:r>
        <w:rPr>
          <w:noProof/>
        </w:rPr>
        <w:drawing>
          <wp:inline distT="0" distB="0" distL="0" distR="0" wp14:anchorId="60CACE18" wp14:editId="76B0CEA9">
            <wp:extent cx="5767070" cy="3200400"/>
            <wp:effectExtent l="0" t="0" r="5080" b="0"/>
            <wp:docPr id="5" name="Picture 5" descr="The expected weekly costs of restrictions decreases significantly as vaccination levels increase. At all levels of vaccination examined, the cost of minimising cases is expected to be significantly less than the cost of managing transmission within health system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expected weekly costs of restrictions decreases significantly as vaccination levels increase. At all levels of vaccination examined, the cost of minimising cases is expected to be significantly less than the cost of managing transmission within health system capac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7070" cy="3200400"/>
                    </a:xfrm>
                    <a:prstGeom prst="rect">
                      <a:avLst/>
                    </a:prstGeom>
                    <a:noFill/>
                  </pic:spPr>
                </pic:pic>
              </a:graphicData>
            </a:graphic>
          </wp:inline>
        </w:drawing>
      </w:r>
      <w:bookmarkEnd w:id="23"/>
    </w:p>
    <w:sectPr w:rsidR="00C015E8" w:rsidRPr="00C015E8" w:rsidSect="00296DFD">
      <w:headerReference w:type="even" r:id="rId23"/>
      <w:headerReference w:type="default" r:id="rId24"/>
      <w:footerReference w:type="even" r:id="rId25"/>
      <w:footerReference w:type="default" r:id="rId26"/>
      <w:headerReference w:type="first" r:id="rId27"/>
      <w:footerReference w:type="first" r:id="rId28"/>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D2A831" w14:textId="77777777" w:rsidR="003F739D" w:rsidRDefault="003F739D">
      <w:pPr>
        <w:spacing w:before="0" w:after="0"/>
      </w:pPr>
      <w:r>
        <w:separator/>
      </w:r>
    </w:p>
  </w:endnote>
  <w:endnote w:type="continuationSeparator" w:id="0">
    <w:p w14:paraId="0A5F759A" w14:textId="77777777" w:rsidR="003F739D" w:rsidRDefault="003F739D">
      <w:pPr>
        <w:spacing w:before="0" w:after="0"/>
      </w:pPr>
      <w:r>
        <w:continuationSeparator/>
      </w:r>
    </w:p>
  </w:endnote>
  <w:endnote w:type="continuationNotice" w:id="1">
    <w:p w14:paraId="2E08DF48" w14:textId="77777777" w:rsidR="003F739D" w:rsidRDefault="003F739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267E3" w14:textId="22AF7114" w:rsidR="003362EA" w:rsidRDefault="003362EA" w:rsidP="00F60198">
    <w:pPr>
      <w:pStyle w:val="FooterOdd"/>
    </w:pPr>
    <w:r w:rsidRPr="00F60198">
      <w:fldChar w:fldCharType="begin"/>
    </w:r>
    <w:r w:rsidRPr="00F60198">
      <w:instrText xml:space="preserve"> PAGE   \* MERGEFORMAT </w:instrText>
    </w:r>
    <w:r w:rsidRPr="00F60198">
      <w:fldChar w:fldCharType="separate"/>
    </w:r>
    <w:r>
      <w:rPr>
        <w:noProof/>
      </w:rPr>
      <w:t>i</w:t>
    </w:r>
    <w:r w:rsidRPr="00F6019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25547" w14:textId="18B6F8C3" w:rsidR="003362EA" w:rsidRDefault="003362EA" w:rsidP="00296DFD">
    <w:pPr>
      <w:pStyle w:val="FooterEven"/>
    </w:pPr>
    <w:r w:rsidRPr="00F60198">
      <w:fldChar w:fldCharType="begin"/>
    </w:r>
    <w:r w:rsidRPr="00F60198">
      <w:instrText xml:space="preserve"> PAGE   \* MERGEFORMAT </w:instrText>
    </w:r>
    <w:r w:rsidRPr="00F60198">
      <w:fldChar w:fldCharType="separate"/>
    </w:r>
    <w:r>
      <w:t>i</w:t>
    </w:r>
    <w:r w:rsidRPr="00F6019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95FB9" w14:textId="4E0EA8C2" w:rsidR="003362EA" w:rsidRPr="00F54789" w:rsidRDefault="003362EA" w:rsidP="00F547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AD34C" w14:textId="77E57ED0" w:rsidR="003362EA" w:rsidRDefault="003362EA" w:rsidP="00EE1447">
    <w:pPr>
      <w:pStyle w:val="FooterEven"/>
    </w:pPr>
    <w:r>
      <w:fldChar w:fldCharType="begin"/>
    </w:r>
    <w:r>
      <w:instrText xml:space="preserve"> PAGE  \* Arabic  \* MERGEFORMAT </w:instrText>
    </w:r>
    <w:r>
      <w:fldChar w:fldCharType="separate"/>
    </w:r>
    <w:r>
      <w:t>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1D895" w14:textId="77777777" w:rsidR="003362EA" w:rsidRDefault="003362EA" w:rsidP="00F60198">
    <w:pPr>
      <w:pStyle w:val="FooterOdd"/>
    </w:pPr>
    <w:r w:rsidRPr="00F60198">
      <w:fldChar w:fldCharType="begin"/>
    </w:r>
    <w:r w:rsidRPr="00F60198">
      <w:instrText xml:space="preserve"> PAGE   \* MERGEFORMAT </w:instrText>
    </w:r>
    <w:r w:rsidRPr="00F60198">
      <w:fldChar w:fldCharType="separate"/>
    </w:r>
    <w:r>
      <w:rPr>
        <w:noProof/>
      </w:rPr>
      <w:t>i</w:t>
    </w:r>
    <w:r w:rsidRPr="00F60198">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4644F" w14:textId="7486E7D7" w:rsidR="003362EA" w:rsidRPr="00F54789" w:rsidRDefault="003362EA" w:rsidP="00F54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8E1205" w14:textId="77777777" w:rsidR="003F739D" w:rsidRDefault="003F739D">
      <w:pPr>
        <w:spacing w:before="0" w:after="0"/>
      </w:pPr>
      <w:r>
        <w:separator/>
      </w:r>
    </w:p>
  </w:footnote>
  <w:footnote w:type="continuationSeparator" w:id="0">
    <w:p w14:paraId="4F6788FD" w14:textId="77777777" w:rsidR="003F739D" w:rsidRDefault="003F739D">
      <w:pPr>
        <w:spacing w:before="0" w:after="0"/>
      </w:pPr>
      <w:r>
        <w:continuationSeparator/>
      </w:r>
    </w:p>
  </w:footnote>
  <w:footnote w:type="continuationNotice" w:id="1">
    <w:p w14:paraId="463B2B0B" w14:textId="77777777" w:rsidR="003F739D" w:rsidRDefault="003F739D">
      <w:pPr>
        <w:spacing w:before="0" w:after="0"/>
      </w:pPr>
    </w:p>
  </w:footnote>
  <w:footnote w:id="2">
    <w:p w14:paraId="66112333" w14:textId="2C39814E" w:rsidR="003362EA" w:rsidRDefault="003362EA" w:rsidP="007F40C8">
      <w:pPr>
        <w:pStyle w:val="FootnoteText"/>
      </w:pPr>
      <w:r w:rsidRPr="00A9495B">
        <w:rPr>
          <w:rStyle w:val="FootnoteReference"/>
          <w:sz w:val="18"/>
          <w:szCs w:val="18"/>
          <w:vertAlign w:val="baseline"/>
        </w:rPr>
        <w:footnoteRef/>
      </w:r>
      <w:r w:rsidRPr="00A9495B">
        <w:rPr>
          <w:sz w:val="16"/>
          <w:szCs w:val="18"/>
        </w:rPr>
        <w:t xml:space="preserve"> </w:t>
      </w:r>
      <w:r>
        <w:tab/>
      </w:r>
      <w:r w:rsidRPr="00C607B4">
        <w:t xml:space="preserve">Goolsbee and Syverson (2020), </w:t>
      </w:r>
      <w:r>
        <w:t>“</w:t>
      </w:r>
      <w:r w:rsidRPr="00C607B4">
        <w:t>Fear, Lockdown, and Diversion: Comparing Drivers of Pandemic Economic Decline 2020</w:t>
      </w:r>
      <w:r>
        <w:t>”</w:t>
      </w:r>
      <w:r w:rsidRPr="00C607B4">
        <w:t xml:space="preserve">; Sheridan, Lau Andersen, Toft Hansen, and Johannesen (2020), </w:t>
      </w:r>
      <w:r>
        <w:t>“</w:t>
      </w:r>
      <w:r w:rsidRPr="00C607B4">
        <w:t>Social distancing laws cause only small losses of economic activity during the COVID</w:t>
      </w:r>
      <w:r>
        <w:noBreakHyphen/>
      </w:r>
      <w:r w:rsidRPr="00C607B4">
        <w:t>19 pandemic in Scandinavia</w:t>
      </w:r>
      <w:r>
        <w:t>”</w:t>
      </w:r>
      <w:r w:rsidRPr="00C607B4">
        <w:t>.</w:t>
      </w:r>
    </w:p>
  </w:footnote>
  <w:footnote w:id="3">
    <w:p w14:paraId="3A8047CD" w14:textId="7C9674D0" w:rsidR="003362EA" w:rsidRDefault="003362EA" w:rsidP="007F40C8">
      <w:pPr>
        <w:pStyle w:val="FootnoteText"/>
      </w:pPr>
      <w:r w:rsidRPr="00A9495B">
        <w:rPr>
          <w:rStyle w:val="FootnoteReference"/>
          <w:sz w:val="18"/>
          <w:szCs w:val="18"/>
          <w:vertAlign w:val="baseline"/>
        </w:rPr>
        <w:footnoteRef/>
      </w:r>
      <w:r w:rsidRPr="00A9495B">
        <w:rPr>
          <w:sz w:val="16"/>
          <w:szCs w:val="18"/>
        </w:rPr>
        <w:t xml:space="preserve"> </w:t>
      </w:r>
      <w:r w:rsidRPr="00A9495B">
        <w:rPr>
          <w:sz w:val="16"/>
          <w:szCs w:val="18"/>
        </w:rPr>
        <w:tab/>
      </w:r>
      <w:r>
        <w:t>Doherty Institute use NSW in early July 2021 as their reference period for Medium PHSM. The restrictions across these two time periods are broadly comparable.</w:t>
      </w:r>
    </w:p>
  </w:footnote>
  <w:footnote w:id="4">
    <w:p w14:paraId="664F4901" w14:textId="32BD0D78" w:rsidR="003362EA" w:rsidRDefault="003362EA" w:rsidP="007F40C8">
      <w:pPr>
        <w:pStyle w:val="FootnoteText"/>
      </w:pPr>
      <w:r w:rsidRPr="00A9495B">
        <w:rPr>
          <w:rStyle w:val="FootnoteReference"/>
          <w:sz w:val="18"/>
          <w:szCs w:val="18"/>
          <w:vertAlign w:val="baseline"/>
        </w:rPr>
        <w:footnoteRef/>
      </w:r>
      <w:r w:rsidRPr="00A9495B">
        <w:rPr>
          <w:sz w:val="16"/>
          <w:szCs w:val="18"/>
        </w:rPr>
        <w:t xml:space="preserve"> </w:t>
      </w:r>
      <w:r>
        <w:tab/>
        <w:t>Andrews, Hambur and Bahar (2021), “The COVID</w:t>
      </w:r>
      <w:r>
        <w:noBreakHyphen/>
        <w:t>19 Shock and Productivity</w:t>
      </w:r>
      <w:r>
        <w:noBreakHyphen/>
        <w:t>Enhancing Reallocation in Australia: Real</w:t>
      </w:r>
      <w:r>
        <w:noBreakHyphen/>
        <w:t>time evidence from Single Touch Payroll”</w:t>
      </w:r>
    </w:p>
  </w:footnote>
  <w:footnote w:id="5">
    <w:p w14:paraId="0AB09AC9" w14:textId="56BFDF83" w:rsidR="003362EA" w:rsidRDefault="003362EA" w:rsidP="007F40C8">
      <w:pPr>
        <w:pStyle w:val="FootnoteText"/>
      </w:pPr>
      <w:r w:rsidRPr="00A9495B">
        <w:rPr>
          <w:rStyle w:val="FootnoteReference"/>
          <w:sz w:val="18"/>
          <w:szCs w:val="18"/>
          <w:vertAlign w:val="baseline"/>
        </w:rPr>
        <w:footnoteRef/>
      </w:r>
      <w:r w:rsidRPr="00A9495B">
        <w:rPr>
          <w:sz w:val="16"/>
          <w:szCs w:val="18"/>
        </w:rPr>
        <w:t xml:space="preserve"> </w:t>
      </w:r>
      <w:r>
        <w:tab/>
        <w:t xml:space="preserve">These assumptions are defined over a quarterly period. Based on the current vaccine rollout schedule, progress through these phases would be significantly more rapid. For example, on the current schedule, vaccination rates would move from 60 per cent to 70 per cent in </w:t>
      </w:r>
      <w:r w:rsidRPr="00FF3A2A">
        <w:t>2</w:t>
      </w:r>
      <w:r>
        <w:t xml:space="preserve"> weeks.</w:t>
      </w:r>
    </w:p>
  </w:footnote>
  <w:footnote w:id="6">
    <w:p w14:paraId="342EC851" w14:textId="330C4F05" w:rsidR="003362EA" w:rsidRDefault="003362EA" w:rsidP="007F40C8">
      <w:pPr>
        <w:pStyle w:val="FootnoteText"/>
      </w:pPr>
      <w:r w:rsidRPr="00106C35">
        <w:rPr>
          <w:rStyle w:val="FootnoteReference"/>
          <w:vertAlign w:val="baseline"/>
        </w:rPr>
        <w:footnoteRef/>
      </w:r>
      <w:r>
        <w:t xml:space="preserve"> </w:t>
      </w:r>
      <w:r>
        <w:tab/>
      </w:r>
      <w:r w:rsidRPr="00596482">
        <w:rPr>
          <w:szCs w:val="18"/>
        </w:rPr>
        <w:t xml:space="preserve">See </w:t>
      </w:r>
      <w:r w:rsidRPr="00FC5D8A">
        <w:rPr>
          <w:szCs w:val="18"/>
        </w:rPr>
        <w:t>Table S4.</w:t>
      </w:r>
      <w:r>
        <w:rPr>
          <w:szCs w:val="18"/>
        </w:rPr>
        <w:t>2</w:t>
      </w:r>
      <w:r w:rsidRPr="00FC5D8A">
        <w:rPr>
          <w:szCs w:val="18"/>
        </w:rPr>
        <w:t xml:space="preserve"> in the </w:t>
      </w:r>
      <w:r>
        <w:rPr>
          <w:szCs w:val="18"/>
        </w:rPr>
        <w:t xml:space="preserve">Doherty Institute report.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BD09D" w14:textId="12673925" w:rsidR="003362EA" w:rsidRPr="00F54789" w:rsidRDefault="003362EA" w:rsidP="00F5478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6B1F2" w14:textId="38BD5169" w:rsidR="003362EA" w:rsidRPr="001F3912" w:rsidRDefault="003F739D" w:rsidP="00A12F62">
    <w:pPr>
      <w:pStyle w:val="HeaderEven"/>
    </w:pPr>
    <w:fldSimple w:instr=" STYLEREF  &quot;Title&quot;  \* MERGEFORMAT ">
      <w:r w:rsidR="00AB76A0">
        <w:rPr>
          <w:noProof/>
        </w:rPr>
        <w:t>National Plan to Transition to Australia’s National COVID-19 Response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4030B" w14:textId="097F6E6B" w:rsidR="003362EA" w:rsidRPr="00F54789" w:rsidRDefault="003362EA" w:rsidP="00F547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E54CB" w14:textId="48399AA2" w:rsidR="003362EA" w:rsidRPr="00F54789" w:rsidRDefault="003362EA" w:rsidP="00F547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F5D66" w14:textId="143757C3" w:rsidR="003362EA" w:rsidRPr="001F3912" w:rsidRDefault="003F739D" w:rsidP="00A12F62">
    <w:pPr>
      <w:pStyle w:val="HeaderEven"/>
    </w:pPr>
    <w:fldSimple w:instr=" STYLEREF  Title  \* MERGEFORMAT ">
      <w:r w:rsidR="00AB76A0">
        <w:rPr>
          <w:noProof/>
        </w:rPr>
        <w:t>National Plan to Transition to Australia’s National COVID-19 Response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2B394" w14:textId="55018BFF" w:rsidR="003362EA" w:rsidRPr="001F3912" w:rsidRDefault="003F739D" w:rsidP="00A12F62">
    <w:pPr>
      <w:pStyle w:val="HeaderOdd"/>
    </w:pPr>
    <w:fldSimple w:instr=" STYLEREF  &quot;Heading 1&quot;  \* MERGEFORMAT ">
      <w:r w:rsidR="00AB76A0">
        <w:rPr>
          <w:noProof/>
        </w:rPr>
        <w:t>Conclusion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CCFA5" w14:textId="3E70CAD2" w:rsidR="003362EA" w:rsidRPr="00F54789" w:rsidRDefault="003362EA" w:rsidP="00F547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B6621C9"/>
    <w:multiLevelType w:val="multilevel"/>
    <w:tmpl w:val="4D682530"/>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9"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4D44886"/>
    <w:multiLevelType w:val="multilevel"/>
    <w:tmpl w:val="675A8244"/>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3" w15:restartNumberingAfterBreak="0">
    <w:nsid w:val="510D2021"/>
    <w:multiLevelType w:val="multilevel"/>
    <w:tmpl w:val="72F8140E"/>
    <w:numStyleLink w:val="OutlineList"/>
  </w:abstractNum>
  <w:abstractNum w:abstractNumId="14" w15:restartNumberingAfterBreak="0">
    <w:nsid w:val="5BAB052A"/>
    <w:multiLevelType w:val="multilevel"/>
    <w:tmpl w:val="DAB27976"/>
    <w:lvl w:ilvl="0">
      <w:numFmt w:val="decimal"/>
      <w:pStyle w:val="TableBullet"/>
      <w:lvlText w:val="•"/>
      <w:lvlJc w:val="left"/>
      <w:pPr>
        <w:tabs>
          <w:tab w:val="num" w:pos="520"/>
        </w:tabs>
        <w:ind w:left="520" w:hanging="520"/>
      </w:pPr>
      <w:rPr>
        <w:rFonts w:ascii="Times New Roman" w:hAnsi="Times New Roman" w:cs="Times New Roman"/>
        <w:sz w:val="20"/>
        <w:szCs w:val="20"/>
      </w:rPr>
    </w:lvl>
    <w:lvl w:ilvl="1">
      <w:numFmt w:val="decimal"/>
      <w:lvlText w:val="–"/>
      <w:lvlJc w:val="left"/>
      <w:pPr>
        <w:tabs>
          <w:tab w:val="num" w:pos="1040"/>
        </w:tabs>
        <w:ind w:left="1040" w:hanging="520"/>
      </w:pPr>
      <w:rPr>
        <w:rFonts w:ascii="Times New Roman" w:hAnsi="Times New Roman" w:cs="Times New Roman"/>
      </w:rPr>
    </w:lvl>
    <w:lvl w:ilvl="2">
      <w:numFmt w:val="decimal"/>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F6A1EB8"/>
    <w:multiLevelType w:val="multilevel"/>
    <w:tmpl w:val="975655AC"/>
    <w:lvl w:ilvl="0">
      <w:numFmt w:val="decimal"/>
      <w:lvlText w:val="•"/>
      <w:lvlJc w:val="left"/>
      <w:pPr>
        <w:tabs>
          <w:tab w:val="num" w:pos="520"/>
        </w:tabs>
        <w:ind w:left="520" w:hanging="520"/>
      </w:pPr>
      <w:rPr>
        <w:rFonts w:ascii="Times New Roman" w:hAnsi="Times New Roman" w:cs="Times New Roman"/>
        <w:sz w:val="20"/>
        <w:szCs w:val="20"/>
      </w:rPr>
    </w:lvl>
    <w:lvl w:ilvl="1">
      <w:numFmt w:val="decimal"/>
      <w:lvlText w:val="–"/>
      <w:lvlJc w:val="left"/>
      <w:pPr>
        <w:tabs>
          <w:tab w:val="num" w:pos="1040"/>
        </w:tabs>
        <w:ind w:left="1040" w:hanging="520"/>
      </w:pPr>
      <w:rPr>
        <w:rFonts w:ascii="Times New Roman" w:hAnsi="Times New Roman" w:cs="Times New Roman"/>
      </w:rPr>
    </w:lvl>
    <w:lvl w:ilvl="2">
      <w:numFmt w:val="decimal"/>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C11E2A"/>
    <w:multiLevelType w:val="multilevel"/>
    <w:tmpl w:val="BB683AA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0"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21" w15:restartNumberingAfterBreak="0">
    <w:nsid w:val="7F884985"/>
    <w:multiLevelType w:val="hybridMultilevel"/>
    <w:tmpl w:val="42EA91C8"/>
    <w:lvl w:ilvl="0" w:tplc="4C26AD1A">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0"/>
  </w:num>
  <w:num w:numId="4">
    <w:abstractNumId w:val="2"/>
  </w:num>
  <w:num w:numId="5">
    <w:abstractNumId w:val="3"/>
  </w:num>
  <w:num w:numId="6">
    <w:abstractNumId w:val="13"/>
  </w:num>
  <w:num w:numId="7">
    <w:abstractNumId w:val="9"/>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4"/>
  </w:num>
  <w:num w:numId="9">
    <w:abstractNumId w:val="1"/>
  </w:num>
  <w:num w:numId="10">
    <w:abstractNumId w:val="6"/>
  </w:num>
  <w:num w:numId="11">
    <w:abstractNumId w:val="19"/>
  </w:num>
  <w:num w:numId="12">
    <w:abstractNumId w:val="13"/>
  </w:num>
  <w:num w:numId="13">
    <w:abstractNumId w:val="20"/>
  </w:num>
  <w:num w:numId="14">
    <w:abstractNumId w:val="12"/>
  </w:num>
  <w:num w:numId="15">
    <w:abstractNumId w:val="5"/>
  </w:num>
  <w:num w:numId="16">
    <w:abstractNumId w:val="15"/>
  </w:num>
  <w:num w:numId="17">
    <w:abstractNumId w:val="9"/>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7"/>
  </w:num>
  <w:num w:numId="21">
    <w:abstractNumId w:val="11"/>
  </w:num>
  <w:num w:numId="22">
    <w:abstractNumId w:val="21"/>
  </w:num>
  <w:num w:numId="23">
    <w:abstractNumId w:val="14"/>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1"/>
  <w:removePersonalInformation/>
  <w:removeDateAndTime/>
  <w:mirrorMargins/>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9A3279"/>
    <w:rsid w:val="00001242"/>
    <w:rsid w:val="00010192"/>
    <w:rsid w:val="00011725"/>
    <w:rsid w:val="00012C62"/>
    <w:rsid w:val="000138B1"/>
    <w:rsid w:val="0001396A"/>
    <w:rsid w:val="00016244"/>
    <w:rsid w:val="000229CD"/>
    <w:rsid w:val="0002544D"/>
    <w:rsid w:val="00025495"/>
    <w:rsid w:val="0004274D"/>
    <w:rsid w:val="00043348"/>
    <w:rsid w:val="0004483F"/>
    <w:rsid w:val="0004487E"/>
    <w:rsid w:val="00046122"/>
    <w:rsid w:val="00047E55"/>
    <w:rsid w:val="0005138B"/>
    <w:rsid w:val="000522B7"/>
    <w:rsid w:val="00056880"/>
    <w:rsid w:val="000675D1"/>
    <w:rsid w:val="000731BF"/>
    <w:rsid w:val="00073521"/>
    <w:rsid w:val="000748D6"/>
    <w:rsid w:val="000775DE"/>
    <w:rsid w:val="00081ED8"/>
    <w:rsid w:val="00086A45"/>
    <w:rsid w:val="00087FAF"/>
    <w:rsid w:val="00091D0B"/>
    <w:rsid w:val="000930F6"/>
    <w:rsid w:val="000A0E54"/>
    <w:rsid w:val="000A2129"/>
    <w:rsid w:val="000A2C5A"/>
    <w:rsid w:val="000A4885"/>
    <w:rsid w:val="000A657E"/>
    <w:rsid w:val="000C21C3"/>
    <w:rsid w:val="000C571D"/>
    <w:rsid w:val="000C5F40"/>
    <w:rsid w:val="000C6D8D"/>
    <w:rsid w:val="000D47D8"/>
    <w:rsid w:val="000E0B74"/>
    <w:rsid w:val="000E2348"/>
    <w:rsid w:val="000E3515"/>
    <w:rsid w:val="000E6350"/>
    <w:rsid w:val="000E7901"/>
    <w:rsid w:val="000F66A7"/>
    <w:rsid w:val="000F71C3"/>
    <w:rsid w:val="00106C35"/>
    <w:rsid w:val="00121EB4"/>
    <w:rsid w:val="00131DC3"/>
    <w:rsid w:val="00132293"/>
    <w:rsid w:val="00135E4C"/>
    <w:rsid w:val="001373F5"/>
    <w:rsid w:val="00150D99"/>
    <w:rsid w:val="00153CE8"/>
    <w:rsid w:val="00154D5E"/>
    <w:rsid w:val="001574C0"/>
    <w:rsid w:val="001606CF"/>
    <w:rsid w:val="0016128D"/>
    <w:rsid w:val="001628F9"/>
    <w:rsid w:val="00167EC0"/>
    <w:rsid w:val="0017089D"/>
    <w:rsid w:val="00171955"/>
    <w:rsid w:val="001842A4"/>
    <w:rsid w:val="00185B92"/>
    <w:rsid w:val="0019101A"/>
    <w:rsid w:val="0019388B"/>
    <w:rsid w:val="00194DCE"/>
    <w:rsid w:val="001972D2"/>
    <w:rsid w:val="001A4265"/>
    <w:rsid w:val="001B204A"/>
    <w:rsid w:val="001B6520"/>
    <w:rsid w:val="001C0D6D"/>
    <w:rsid w:val="001C358D"/>
    <w:rsid w:val="001C741E"/>
    <w:rsid w:val="001F1B27"/>
    <w:rsid w:val="002033D1"/>
    <w:rsid w:val="0021325E"/>
    <w:rsid w:val="002208AA"/>
    <w:rsid w:val="00221EC0"/>
    <w:rsid w:val="00231049"/>
    <w:rsid w:val="002314D2"/>
    <w:rsid w:val="00231701"/>
    <w:rsid w:val="0023305C"/>
    <w:rsid w:val="00233206"/>
    <w:rsid w:val="00235E3A"/>
    <w:rsid w:val="00237BEB"/>
    <w:rsid w:val="00241881"/>
    <w:rsid w:val="002418B4"/>
    <w:rsid w:val="0024294C"/>
    <w:rsid w:val="00245A02"/>
    <w:rsid w:val="002464A4"/>
    <w:rsid w:val="00251C43"/>
    <w:rsid w:val="002528DD"/>
    <w:rsid w:val="0025652F"/>
    <w:rsid w:val="002603E2"/>
    <w:rsid w:val="00260AA0"/>
    <w:rsid w:val="00263A6F"/>
    <w:rsid w:val="00263B6C"/>
    <w:rsid w:val="0027238D"/>
    <w:rsid w:val="00272939"/>
    <w:rsid w:val="002738D3"/>
    <w:rsid w:val="00273CEE"/>
    <w:rsid w:val="0027590B"/>
    <w:rsid w:val="00276CE3"/>
    <w:rsid w:val="00281FC8"/>
    <w:rsid w:val="00285969"/>
    <w:rsid w:val="00291CA1"/>
    <w:rsid w:val="00295DF3"/>
    <w:rsid w:val="00296DFD"/>
    <w:rsid w:val="00297448"/>
    <w:rsid w:val="002A2FF8"/>
    <w:rsid w:val="002A4989"/>
    <w:rsid w:val="002A74EF"/>
    <w:rsid w:val="002B3829"/>
    <w:rsid w:val="002C22EF"/>
    <w:rsid w:val="002C31E3"/>
    <w:rsid w:val="002C5258"/>
    <w:rsid w:val="002D4551"/>
    <w:rsid w:val="002E1569"/>
    <w:rsid w:val="002E2B91"/>
    <w:rsid w:val="002E3562"/>
    <w:rsid w:val="002E454C"/>
    <w:rsid w:val="002F617F"/>
    <w:rsid w:val="00300109"/>
    <w:rsid w:val="00301755"/>
    <w:rsid w:val="00302263"/>
    <w:rsid w:val="0030665E"/>
    <w:rsid w:val="00306894"/>
    <w:rsid w:val="003122F4"/>
    <w:rsid w:val="00313A09"/>
    <w:rsid w:val="00315400"/>
    <w:rsid w:val="003210EF"/>
    <w:rsid w:val="003268D5"/>
    <w:rsid w:val="00327F4F"/>
    <w:rsid w:val="003302F7"/>
    <w:rsid w:val="00333739"/>
    <w:rsid w:val="003362EA"/>
    <w:rsid w:val="00336480"/>
    <w:rsid w:val="0034039D"/>
    <w:rsid w:val="003448F6"/>
    <w:rsid w:val="00350759"/>
    <w:rsid w:val="0035195D"/>
    <w:rsid w:val="00354683"/>
    <w:rsid w:val="00354D27"/>
    <w:rsid w:val="00356BDC"/>
    <w:rsid w:val="0035738A"/>
    <w:rsid w:val="003858A6"/>
    <w:rsid w:val="00386059"/>
    <w:rsid w:val="00390A6E"/>
    <w:rsid w:val="00390AE0"/>
    <w:rsid w:val="0039261A"/>
    <w:rsid w:val="00392DCC"/>
    <w:rsid w:val="003936DB"/>
    <w:rsid w:val="003972F0"/>
    <w:rsid w:val="003A2258"/>
    <w:rsid w:val="003A5B36"/>
    <w:rsid w:val="003B1E82"/>
    <w:rsid w:val="003B4E94"/>
    <w:rsid w:val="003C24B4"/>
    <w:rsid w:val="003C4A78"/>
    <w:rsid w:val="003D40B3"/>
    <w:rsid w:val="003E1BDC"/>
    <w:rsid w:val="003E20D6"/>
    <w:rsid w:val="003E476C"/>
    <w:rsid w:val="003E4D87"/>
    <w:rsid w:val="003E71CF"/>
    <w:rsid w:val="003F254C"/>
    <w:rsid w:val="003F739D"/>
    <w:rsid w:val="00401082"/>
    <w:rsid w:val="00403200"/>
    <w:rsid w:val="0040598A"/>
    <w:rsid w:val="0040765E"/>
    <w:rsid w:val="004142C7"/>
    <w:rsid w:val="00416762"/>
    <w:rsid w:val="00416E55"/>
    <w:rsid w:val="0042518A"/>
    <w:rsid w:val="004276A0"/>
    <w:rsid w:val="0043257D"/>
    <w:rsid w:val="0044144B"/>
    <w:rsid w:val="00445265"/>
    <w:rsid w:val="00450078"/>
    <w:rsid w:val="00453200"/>
    <w:rsid w:val="00453288"/>
    <w:rsid w:val="004559CE"/>
    <w:rsid w:val="00457AC6"/>
    <w:rsid w:val="00460E1A"/>
    <w:rsid w:val="00463104"/>
    <w:rsid w:val="00463DF8"/>
    <w:rsid w:val="00464D63"/>
    <w:rsid w:val="00467D22"/>
    <w:rsid w:val="00475085"/>
    <w:rsid w:val="00476550"/>
    <w:rsid w:val="00476CF6"/>
    <w:rsid w:val="00477AA8"/>
    <w:rsid w:val="00492FCB"/>
    <w:rsid w:val="004A0F11"/>
    <w:rsid w:val="004A1927"/>
    <w:rsid w:val="004A3EAA"/>
    <w:rsid w:val="004A7D97"/>
    <w:rsid w:val="004B2679"/>
    <w:rsid w:val="004B5133"/>
    <w:rsid w:val="004C0B74"/>
    <w:rsid w:val="004C1C12"/>
    <w:rsid w:val="004C24D3"/>
    <w:rsid w:val="004C41B6"/>
    <w:rsid w:val="004C6DA1"/>
    <w:rsid w:val="004C70AA"/>
    <w:rsid w:val="004D0B8D"/>
    <w:rsid w:val="004D6E37"/>
    <w:rsid w:val="004D71E4"/>
    <w:rsid w:val="004E00EA"/>
    <w:rsid w:val="004E49CB"/>
    <w:rsid w:val="004E7C1F"/>
    <w:rsid w:val="004F4B92"/>
    <w:rsid w:val="004F5C94"/>
    <w:rsid w:val="0050027A"/>
    <w:rsid w:val="00503183"/>
    <w:rsid w:val="00506BC5"/>
    <w:rsid w:val="00506E2C"/>
    <w:rsid w:val="005113BA"/>
    <w:rsid w:val="00516785"/>
    <w:rsid w:val="005239AF"/>
    <w:rsid w:val="0052419D"/>
    <w:rsid w:val="005301F8"/>
    <w:rsid w:val="005312FC"/>
    <w:rsid w:val="0053569E"/>
    <w:rsid w:val="0053603D"/>
    <w:rsid w:val="0053742A"/>
    <w:rsid w:val="00537C85"/>
    <w:rsid w:val="00541D29"/>
    <w:rsid w:val="005439EB"/>
    <w:rsid w:val="00545A5F"/>
    <w:rsid w:val="00546ACE"/>
    <w:rsid w:val="0055109C"/>
    <w:rsid w:val="005523CF"/>
    <w:rsid w:val="005536E7"/>
    <w:rsid w:val="005575F4"/>
    <w:rsid w:val="00562F17"/>
    <w:rsid w:val="0056582C"/>
    <w:rsid w:val="00575E10"/>
    <w:rsid w:val="00576855"/>
    <w:rsid w:val="005868DE"/>
    <w:rsid w:val="005877AC"/>
    <w:rsid w:val="005966B7"/>
    <w:rsid w:val="005A342A"/>
    <w:rsid w:val="005A714D"/>
    <w:rsid w:val="005B5E2A"/>
    <w:rsid w:val="005C02A4"/>
    <w:rsid w:val="005C03FB"/>
    <w:rsid w:val="005C20D2"/>
    <w:rsid w:val="005C32FE"/>
    <w:rsid w:val="005C503A"/>
    <w:rsid w:val="005C58AD"/>
    <w:rsid w:val="005D024A"/>
    <w:rsid w:val="005D12FF"/>
    <w:rsid w:val="005D4FD4"/>
    <w:rsid w:val="005D6D64"/>
    <w:rsid w:val="005E0375"/>
    <w:rsid w:val="005E4B1E"/>
    <w:rsid w:val="005E76DF"/>
    <w:rsid w:val="005F4BFA"/>
    <w:rsid w:val="00601650"/>
    <w:rsid w:val="00602CD7"/>
    <w:rsid w:val="006040D9"/>
    <w:rsid w:val="00604EEF"/>
    <w:rsid w:val="00605AFD"/>
    <w:rsid w:val="006123D4"/>
    <w:rsid w:val="0061445B"/>
    <w:rsid w:val="006173A7"/>
    <w:rsid w:val="0061742C"/>
    <w:rsid w:val="00624C4B"/>
    <w:rsid w:val="00630C6F"/>
    <w:rsid w:val="0063330F"/>
    <w:rsid w:val="00636E70"/>
    <w:rsid w:val="006423DD"/>
    <w:rsid w:val="0065236C"/>
    <w:rsid w:val="006564D3"/>
    <w:rsid w:val="006573E9"/>
    <w:rsid w:val="00663EFC"/>
    <w:rsid w:val="006727E2"/>
    <w:rsid w:val="0067622C"/>
    <w:rsid w:val="00685CF7"/>
    <w:rsid w:val="00686165"/>
    <w:rsid w:val="0069072C"/>
    <w:rsid w:val="00691CB5"/>
    <w:rsid w:val="006923DF"/>
    <w:rsid w:val="00694765"/>
    <w:rsid w:val="00695D0D"/>
    <w:rsid w:val="006A033A"/>
    <w:rsid w:val="006A37F5"/>
    <w:rsid w:val="006A532A"/>
    <w:rsid w:val="006A6792"/>
    <w:rsid w:val="006B077F"/>
    <w:rsid w:val="006B32CA"/>
    <w:rsid w:val="006B38FF"/>
    <w:rsid w:val="006B3E22"/>
    <w:rsid w:val="006B3EA7"/>
    <w:rsid w:val="006B765F"/>
    <w:rsid w:val="006C1892"/>
    <w:rsid w:val="006C3E58"/>
    <w:rsid w:val="006C5B73"/>
    <w:rsid w:val="006C645D"/>
    <w:rsid w:val="006D51CD"/>
    <w:rsid w:val="006D6F51"/>
    <w:rsid w:val="006E2D2A"/>
    <w:rsid w:val="006E3CC3"/>
    <w:rsid w:val="006E45FA"/>
    <w:rsid w:val="006F59C5"/>
    <w:rsid w:val="007044B1"/>
    <w:rsid w:val="00706921"/>
    <w:rsid w:val="00706E8E"/>
    <w:rsid w:val="00707987"/>
    <w:rsid w:val="00722B53"/>
    <w:rsid w:val="007245BD"/>
    <w:rsid w:val="007253B5"/>
    <w:rsid w:val="00725718"/>
    <w:rsid w:val="00726795"/>
    <w:rsid w:val="007331C0"/>
    <w:rsid w:val="00741133"/>
    <w:rsid w:val="007509DD"/>
    <w:rsid w:val="007550C3"/>
    <w:rsid w:val="00763474"/>
    <w:rsid w:val="007764B4"/>
    <w:rsid w:val="00777198"/>
    <w:rsid w:val="00784C0A"/>
    <w:rsid w:val="00786100"/>
    <w:rsid w:val="0078764E"/>
    <w:rsid w:val="00794381"/>
    <w:rsid w:val="00794B40"/>
    <w:rsid w:val="007A1079"/>
    <w:rsid w:val="007A2058"/>
    <w:rsid w:val="007B2677"/>
    <w:rsid w:val="007B54CF"/>
    <w:rsid w:val="007B76AB"/>
    <w:rsid w:val="007C74EF"/>
    <w:rsid w:val="007C75EE"/>
    <w:rsid w:val="007D0275"/>
    <w:rsid w:val="007D23E8"/>
    <w:rsid w:val="007D2FB5"/>
    <w:rsid w:val="007D592B"/>
    <w:rsid w:val="007D5AA6"/>
    <w:rsid w:val="007D7A91"/>
    <w:rsid w:val="007E2C3B"/>
    <w:rsid w:val="007E6456"/>
    <w:rsid w:val="007F1168"/>
    <w:rsid w:val="007F40C8"/>
    <w:rsid w:val="007F6A87"/>
    <w:rsid w:val="00804E5D"/>
    <w:rsid w:val="00811943"/>
    <w:rsid w:val="00821BE1"/>
    <w:rsid w:val="008311B8"/>
    <w:rsid w:val="00834243"/>
    <w:rsid w:val="00835310"/>
    <w:rsid w:val="00835B5C"/>
    <w:rsid w:val="00843CAB"/>
    <w:rsid w:val="008445E0"/>
    <w:rsid w:val="00855E1C"/>
    <w:rsid w:val="00857969"/>
    <w:rsid w:val="0086063B"/>
    <w:rsid w:val="00864E4F"/>
    <w:rsid w:val="00882CC4"/>
    <w:rsid w:val="008844AC"/>
    <w:rsid w:val="008849C6"/>
    <w:rsid w:val="008A67D1"/>
    <w:rsid w:val="008B43F2"/>
    <w:rsid w:val="008C4806"/>
    <w:rsid w:val="008C7F71"/>
    <w:rsid w:val="008D339F"/>
    <w:rsid w:val="008D43C7"/>
    <w:rsid w:val="008E076E"/>
    <w:rsid w:val="008E369A"/>
    <w:rsid w:val="008E6292"/>
    <w:rsid w:val="008F23EB"/>
    <w:rsid w:val="00902871"/>
    <w:rsid w:val="009141B1"/>
    <w:rsid w:val="00917E28"/>
    <w:rsid w:val="00925AA5"/>
    <w:rsid w:val="0093540D"/>
    <w:rsid w:val="0093786B"/>
    <w:rsid w:val="0094019D"/>
    <w:rsid w:val="00942C11"/>
    <w:rsid w:val="0094351F"/>
    <w:rsid w:val="009547F8"/>
    <w:rsid w:val="0095554E"/>
    <w:rsid w:val="00956C07"/>
    <w:rsid w:val="009574D8"/>
    <w:rsid w:val="0095786D"/>
    <w:rsid w:val="0096240E"/>
    <w:rsid w:val="0096329B"/>
    <w:rsid w:val="00964465"/>
    <w:rsid w:val="00966437"/>
    <w:rsid w:val="00967B47"/>
    <w:rsid w:val="009729D4"/>
    <w:rsid w:val="009741DE"/>
    <w:rsid w:val="00976FBD"/>
    <w:rsid w:val="00980759"/>
    <w:rsid w:val="009817B0"/>
    <w:rsid w:val="009821CE"/>
    <w:rsid w:val="0098222A"/>
    <w:rsid w:val="0098472D"/>
    <w:rsid w:val="009965F3"/>
    <w:rsid w:val="009A277C"/>
    <w:rsid w:val="009A3279"/>
    <w:rsid w:val="009A658F"/>
    <w:rsid w:val="009C2205"/>
    <w:rsid w:val="009C5B3D"/>
    <w:rsid w:val="009C5C44"/>
    <w:rsid w:val="009D5ABD"/>
    <w:rsid w:val="009D6705"/>
    <w:rsid w:val="009E171B"/>
    <w:rsid w:val="009F2C9B"/>
    <w:rsid w:val="00A014C0"/>
    <w:rsid w:val="00A015E8"/>
    <w:rsid w:val="00A07D47"/>
    <w:rsid w:val="00A12F62"/>
    <w:rsid w:val="00A13375"/>
    <w:rsid w:val="00A14FE9"/>
    <w:rsid w:val="00A17C9C"/>
    <w:rsid w:val="00A25640"/>
    <w:rsid w:val="00A26891"/>
    <w:rsid w:val="00A317C3"/>
    <w:rsid w:val="00A34D3E"/>
    <w:rsid w:val="00A3749B"/>
    <w:rsid w:val="00A37D87"/>
    <w:rsid w:val="00A43924"/>
    <w:rsid w:val="00A50D88"/>
    <w:rsid w:val="00A56923"/>
    <w:rsid w:val="00A60D0B"/>
    <w:rsid w:val="00A62E42"/>
    <w:rsid w:val="00A6309B"/>
    <w:rsid w:val="00A64A71"/>
    <w:rsid w:val="00A712FC"/>
    <w:rsid w:val="00A72960"/>
    <w:rsid w:val="00A72D8F"/>
    <w:rsid w:val="00A73FC0"/>
    <w:rsid w:val="00A83400"/>
    <w:rsid w:val="00A93401"/>
    <w:rsid w:val="00A9495B"/>
    <w:rsid w:val="00A95331"/>
    <w:rsid w:val="00AA157F"/>
    <w:rsid w:val="00AA6929"/>
    <w:rsid w:val="00AB0427"/>
    <w:rsid w:val="00AB546E"/>
    <w:rsid w:val="00AB76A0"/>
    <w:rsid w:val="00AC02CE"/>
    <w:rsid w:val="00AC3196"/>
    <w:rsid w:val="00AC704F"/>
    <w:rsid w:val="00AD2080"/>
    <w:rsid w:val="00AE2F90"/>
    <w:rsid w:val="00AE6B43"/>
    <w:rsid w:val="00AF0C71"/>
    <w:rsid w:val="00AF3F2A"/>
    <w:rsid w:val="00B0335D"/>
    <w:rsid w:val="00B03DD6"/>
    <w:rsid w:val="00B10998"/>
    <w:rsid w:val="00B11A99"/>
    <w:rsid w:val="00B166E8"/>
    <w:rsid w:val="00B17310"/>
    <w:rsid w:val="00B174D5"/>
    <w:rsid w:val="00B24AB8"/>
    <w:rsid w:val="00B25FE2"/>
    <w:rsid w:val="00B3583B"/>
    <w:rsid w:val="00B36132"/>
    <w:rsid w:val="00B37A8F"/>
    <w:rsid w:val="00B43B22"/>
    <w:rsid w:val="00B44691"/>
    <w:rsid w:val="00B60C4A"/>
    <w:rsid w:val="00B65347"/>
    <w:rsid w:val="00B65DE1"/>
    <w:rsid w:val="00B71793"/>
    <w:rsid w:val="00B7233F"/>
    <w:rsid w:val="00B755B9"/>
    <w:rsid w:val="00B80A56"/>
    <w:rsid w:val="00B87927"/>
    <w:rsid w:val="00BA0705"/>
    <w:rsid w:val="00BA0FDA"/>
    <w:rsid w:val="00BA4D44"/>
    <w:rsid w:val="00BA4E20"/>
    <w:rsid w:val="00BB2F8E"/>
    <w:rsid w:val="00BB3724"/>
    <w:rsid w:val="00BC44EF"/>
    <w:rsid w:val="00BD26AA"/>
    <w:rsid w:val="00BD454F"/>
    <w:rsid w:val="00BD47FE"/>
    <w:rsid w:val="00BE0593"/>
    <w:rsid w:val="00BE49E1"/>
    <w:rsid w:val="00BF0C37"/>
    <w:rsid w:val="00BF359A"/>
    <w:rsid w:val="00BF3F5F"/>
    <w:rsid w:val="00BF6CA0"/>
    <w:rsid w:val="00C01013"/>
    <w:rsid w:val="00C015E8"/>
    <w:rsid w:val="00C01DCC"/>
    <w:rsid w:val="00C02164"/>
    <w:rsid w:val="00C120B0"/>
    <w:rsid w:val="00C13D74"/>
    <w:rsid w:val="00C202B3"/>
    <w:rsid w:val="00C21EE0"/>
    <w:rsid w:val="00C268C5"/>
    <w:rsid w:val="00C30297"/>
    <w:rsid w:val="00C33846"/>
    <w:rsid w:val="00C41813"/>
    <w:rsid w:val="00C51956"/>
    <w:rsid w:val="00C52419"/>
    <w:rsid w:val="00C61D2B"/>
    <w:rsid w:val="00C72318"/>
    <w:rsid w:val="00C724E6"/>
    <w:rsid w:val="00C747A5"/>
    <w:rsid w:val="00C834E0"/>
    <w:rsid w:val="00C85314"/>
    <w:rsid w:val="00C945CD"/>
    <w:rsid w:val="00CA0116"/>
    <w:rsid w:val="00CA22E3"/>
    <w:rsid w:val="00CA4BC0"/>
    <w:rsid w:val="00CA5CA8"/>
    <w:rsid w:val="00CB0157"/>
    <w:rsid w:val="00CB5205"/>
    <w:rsid w:val="00CB54F5"/>
    <w:rsid w:val="00CC2473"/>
    <w:rsid w:val="00CC559D"/>
    <w:rsid w:val="00CD54EA"/>
    <w:rsid w:val="00CD654B"/>
    <w:rsid w:val="00CE0B5D"/>
    <w:rsid w:val="00CE1863"/>
    <w:rsid w:val="00CE223E"/>
    <w:rsid w:val="00CF3F0D"/>
    <w:rsid w:val="00CF6B24"/>
    <w:rsid w:val="00D00023"/>
    <w:rsid w:val="00D101F7"/>
    <w:rsid w:val="00D11D35"/>
    <w:rsid w:val="00D144A1"/>
    <w:rsid w:val="00D145F5"/>
    <w:rsid w:val="00D25AEE"/>
    <w:rsid w:val="00D27046"/>
    <w:rsid w:val="00D35513"/>
    <w:rsid w:val="00D355F0"/>
    <w:rsid w:val="00D40CC9"/>
    <w:rsid w:val="00D43AC8"/>
    <w:rsid w:val="00D518B5"/>
    <w:rsid w:val="00D56113"/>
    <w:rsid w:val="00D57F72"/>
    <w:rsid w:val="00D61BC8"/>
    <w:rsid w:val="00D75E48"/>
    <w:rsid w:val="00D8233D"/>
    <w:rsid w:val="00D833D9"/>
    <w:rsid w:val="00D83B1E"/>
    <w:rsid w:val="00D83BD9"/>
    <w:rsid w:val="00D84467"/>
    <w:rsid w:val="00D91430"/>
    <w:rsid w:val="00D94DCF"/>
    <w:rsid w:val="00D94EAE"/>
    <w:rsid w:val="00DA1615"/>
    <w:rsid w:val="00DA20DC"/>
    <w:rsid w:val="00DA586F"/>
    <w:rsid w:val="00DB08DA"/>
    <w:rsid w:val="00DB7F09"/>
    <w:rsid w:val="00DC00E8"/>
    <w:rsid w:val="00DC1693"/>
    <w:rsid w:val="00DC1C56"/>
    <w:rsid w:val="00DC4756"/>
    <w:rsid w:val="00DC6379"/>
    <w:rsid w:val="00DD0697"/>
    <w:rsid w:val="00DD6F8E"/>
    <w:rsid w:val="00DE0660"/>
    <w:rsid w:val="00DE2D41"/>
    <w:rsid w:val="00DE3C77"/>
    <w:rsid w:val="00DE7A35"/>
    <w:rsid w:val="00DF15F7"/>
    <w:rsid w:val="00DF6F61"/>
    <w:rsid w:val="00E062A0"/>
    <w:rsid w:val="00E101C6"/>
    <w:rsid w:val="00E104AA"/>
    <w:rsid w:val="00E22075"/>
    <w:rsid w:val="00E22D51"/>
    <w:rsid w:val="00E23B11"/>
    <w:rsid w:val="00E27647"/>
    <w:rsid w:val="00E30BE9"/>
    <w:rsid w:val="00E311E0"/>
    <w:rsid w:val="00E33939"/>
    <w:rsid w:val="00E343A5"/>
    <w:rsid w:val="00E36224"/>
    <w:rsid w:val="00E416D3"/>
    <w:rsid w:val="00E46419"/>
    <w:rsid w:val="00E50E7C"/>
    <w:rsid w:val="00E51545"/>
    <w:rsid w:val="00E51D9E"/>
    <w:rsid w:val="00E537D1"/>
    <w:rsid w:val="00E54836"/>
    <w:rsid w:val="00E567E6"/>
    <w:rsid w:val="00E568FD"/>
    <w:rsid w:val="00E56971"/>
    <w:rsid w:val="00E61484"/>
    <w:rsid w:val="00E711D7"/>
    <w:rsid w:val="00E76D54"/>
    <w:rsid w:val="00E815E1"/>
    <w:rsid w:val="00E868FB"/>
    <w:rsid w:val="00E902B0"/>
    <w:rsid w:val="00E902E8"/>
    <w:rsid w:val="00E944E0"/>
    <w:rsid w:val="00E95732"/>
    <w:rsid w:val="00EA23AC"/>
    <w:rsid w:val="00EA7C3D"/>
    <w:rsid w:val="00EB6878"/>
    <w:rsid w:val="00EB7B35"/>
    <w:rsid w:val="00EC1E0E"/>
    <w:rsid w:val="00EC236D"/>
    <w:rsid w:val="00EC6B16"/>
    <w:rsid w:val="00EC7330"/>
    <w:rsid w:val="00EE1447"/>
    <w:rsid w:val="00EE6060"/>
    <w:rsid w:val="00EF145E"/>
    <w:rsid w:val="00EF2BBB"/>
    <w:rsid w:val="00EF7828"/>
    <w:rsid w:val="00F0082D"/>
    <w:rsid w:val="00F015AB"/>
    <w:rsid w:val="00F07C90"/>
    <w:rsid w:val="00F2072D"/>
    <w:rsid w:val="00F33DB8"/>
    <w:rsid w:val="00F54789"/>
    <w:rsid w:val="00F57BED"/>
    <w:rsid w:val="00F60198"/>
    <w:rsid w:val="00F63315"/>
    <w:rsid w:val="00F73BA6"/>
    <w:rsid w:val="00F7613A"/>
    <w:rsid w:val="00F802EE"/>
    <w:rsid w:val="00F82746"/>
    <w:rsid w:val="00F836F9"/>
    <w:rsid w:val="00F845D7"/>
    <w:rsid w:val="00F86FBD"/>
    <w:rsid w:val="00F92279"/>
    <w:rsid w:val="00F939D2"/>
    <w:rsid w:val="00F93C00"/>
    <w:rsid w:val="00F93DF2"/>
    <w:rsid w:val="00FA6420"/>
    <w:rsid w:val="00FB4D21"/>
    <w:rsid w:val="00FB762B"/>
    <w:rsid w:val="00FC4AC0"/>
    <w:rsid w:val="00FC6ADA"/>
    <w:rsid w:val="00FD28B8"/>
    <w:rsid w:val="00FD373A"/>
    <w:rsid w:val="00FD3F51"/>
    <w:rsid w:val="00FD6C8F"/>
    <w:rsid w:val="00FE0AFB"/>
    <w:rsid w:val="00FF447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3A2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6AA"/>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475085"/>
    <w:pPr>
      <w:spacing w:before="480"/>
      <w:outlineLvl w:val="0"/>
    </w:pPr>
    <w:rPr>
      <w:bCs w:val="0"/>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6564D3"/>
    <w:pPr>
      <w:spacing w:before="240"/>
      <w:outlineLvl w:val="2"/>
    </w:pPr>
    <w:rPr>
      <w:bCs w:val="0"/>
      <w:color w:val="3A6FAF" w:themeColor="accent2"/>
      <w:sz w:val="28"/>
      <w:szCs w:val="26"/>
    </w:rPr>
  </w:style>
  <w:style w:type="paragraph" w:styleId="Heading4">
    <w:name w:val="heading 4"/>
    <w:basedOn w:val="HeadingBase"/>
    <w:next w:val="Normal"/>
    <w:link w:val="Heading4Char"/>
    <w:qFormat/>
    <w:rsid w:val="006564D3"/>
    <w:pPr>
      <w:outlineLvl w:val="3"/>
    </w:pPr>
    <w:rPr>
      <w:bCs w:val="0"/>
      <w:color w:val="3A6FAF" w:themeColor="accent2"/>
      <w:sz w:val="26"/>
      <w:szCs w:val="26"/>
    </w:rPr>
  </w:style>
  <w:style w:type="paragraph" w:styleId="Heading5">
    <w:name w:val="heading 5"/>
    <w:basedOn w:val="HeadingBase"/>
    <w:next w:val="Normal"/>
    <w:link w:val="Heading5Char"/>
    <w:qFormat/>
    <w:rsid w:val="001972D2"/>
    <w:pPr>
      <w:outlineLvl w:val="4"/>
    </w:pPr>
    <w:rPr>
      <w:b/>
      <w:bCs w:val="0"/>
      <w:iCs/>
      <w:sz w:val="22"/>
    </w:rPr>
  </w:style>
  <w:style w:type="paragraph" w:styleId="Heading6">
    <w:name w:val="heading 6"/>
    <w:basedOn w:val="HeadingBase"/>
    <w:next w:val="Normal"/>
    <w:link w:val="Heading6Char"/>
    <w:qFormat/>
    <w:rsid w:val="001972D2"/>
    <w:pPr>
      <w:outlineLvl w:val="5"/>
    </w:pPr>
    <w:rPr>
      <w:bCs w:val="0"/>
      <w:sz w:val="22"/>
      <w:szCs w:val="22"/>
    </w:rPr>
  </w:style>
  <w:style w:type="paragraph" w:styleId="Heading7">
    <w:name w:val="heading 7"/>
    <w:basedOn w:val="Normal"/>
    <w:next w:val="Normal"/>
    <w:link w:val="Heading7Char"/>
    <w:uiPriority w:val="9"/>
    <w:semiHidden/>
    <w:unhideWhenUsed/>
    <w:qFormat/>
    <w:rsid w:val="00464D63"/>
    <w:pPr>
      <w:keepNext/>
      <w:keepLines/>
      <w:spacing w:before="40" w:after="0"/>
      <w:outlineLvl w:val="6"/>
    </w:pPr>
    <w:rPr>
      <w:rFonts w:asciiTheme="majorHAnsi" w:eastAsiaTheme="majorEastAsia" w:hAnsiTheme="majorHAnsi" w:cstheme="majorBidi"/>
      <w:i/>
      <w:iCs/>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5085"/>
    <w:rPr>
      <w:rFonts w:ascii="Calibri" w:eastAsia="Times New Roman" w:hAnsi="Calibri" w:cs="Arial"/>
      <w:color w:val="004A7F"/>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6564D3"/>
    <w:rPr>
      <w:rFonts w:ascii="Calibri" w:eastAsia="Times New Roman" w:hAnsi="Calibri" w:cs="Arial"/>
      <w:color w:val="3A6FAF" w:themeColor="accent2"/>
      <w:kern w:val="32"/>
      <w:sz w:val="28"/>
      <w:szCs w:val="26"/>
      <w:lang w:eastAsia="en-AU"/>
    </w:rPr>
  </w:style>
  <w:style w:type="character" w:customStyle="1" w:styleId="Heading4Char">
    <w:name w:val="Heading 4 Char"/>
    <w:basedOn w:val="DefaultParagraphFont"/>
    <w:link w:val="Heading4"/>
    <w:rsid w:val="006564D3"/>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1972D2"/>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1972D2"/>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F93C00"/>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b1,b + line,level 1,Body,Bullet + line,BodyNum,Bullet Char1,Bullet Char1 Char Char Char,Bullet Char1 Char Char Char Char,Bullet Char1 Char Char Char Char Char,b1 Char Char Char,bulleted"/>
    <w:basedOn w:val="Normal"/>
    <w:link w:val="BulletChar"/>
    <w:qFormat/>
    <w:rsid w:val="000E0B74"/>
    <w:pPr>
      <w:numPr>
        <w:numId w:val="1"/>
      </w:numPr>
      <w:spacing w:before="0"/>
      <w:ind w:left="284" w:hanging="284"/>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D43C7"/>
  </w:style>
  <w:style w:type="paragraph" w:customStyle="1" w:styleId="ChartorTableNote">
    <w:name w:val="Chart or Table Note"/>
    <w:next w:val="Normal"/>
    <w:rsid w:val="00BF0C37"/>
    <w:pPr>
      <w:spacing w:after="0" w:line="240" w:lineRule="auto"/>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564D3"/>
    <w:pPr>
      <w:jc w:val="center"/>
    </w:pPr>
  </w:style>
  <w:style w:type="paragraph" w:customStyle="1" w:styleId="ReportDate">
    <w:name w:val="Report Date"/>
    <w:basedOn w:val="Normal"/>
    <w:link w:val="ReportDateChar"/>
    <w:rsid w:val="006564D3"/>
    <w:pPr>
      <w:keepNext/>
      <w:spacing w:before="0" w:after="360"/>
    </w:pPr>
    <w:rPr>
      <w:color w:val="00818F" w:themeColor="accent5"/>
      <w:sz w:val="44"/>
    </w:rPr>
  </w:style>
  <w:style w:type="paragraph" w:customStyle="1" w:styleId="Dash">
    <w:name w:val="Dash"/>
    <w:basedOn w:val="Normal"/>
    <w:link w:val="DashChar"/>
    <w:qFormat/>
    <w:rsid w:val="000E0B74"/>
    <w:pPr>
      <w:numPr>
        <w:ilvl w:val="1"/>
        <w:numId w:val="1"/>
      </w:numPr>
      <w:spacing w:before="0"/>
      <w:ind w:left="568"/>
    </w:pPr>
  </w:style>
  <w:style w:type="paragraph" w:customStyle="1" w:styleId="DoubleDot">
    <w:name w:val="Double Dot"/>
    <w:basedOn w:val="Normal"/>
    <w:link w:val="DoubleDotChar"/>
    <w:qFormat/>
    <w:rsid w:val="000E0B74"/>
    <w:pPr>
      <w:numPr>
        <w:ilvl w:val="2"/>
        <w:numId w:val="1"/>
      </w:numPr>
      <w:spacing w:before="0"/>
      <w:ind w:left="851" w:hanging="284"/>
    </w:pPr>
  </w:style>
  <w:style w:type="paragraph" w:customStyle="1" w:styleId="TableMainHeading">
    <w:name w:val="Table Main Heading"/>
    <w:basedOn w:val="Heading3"/>
    <w:next w:val="Normal"/>
    <w:rsid w:val="005F4BFA"/>
    <w:pPr>
      <w:spacing w:before="360" w:after="60"/>
    </w:pPr>
    <w:rPr>
      <w:b/>
      <w:sz w:val="24"/>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rsid w:val="006564D3"/>
    <w:rPr>
      <w:color w:val="3A6FAF" w:themeColor="accent2"/>
      <w:u w:val="none"/>
    </w:rPr>
  </w:style>
  <w:style w:type="paragraph" w:customStyle="1" w:styleId="OutlineNumbered1">
    <w:name w:val="Outline Numbered 1"/>
    <w:basedOn w:val="Normal"/>
    <w:link w:val="OutlineNumbered1Char"/>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link w:val="OutlineNumbered2Char"/>
    <w:rsid w:val="000E0B74"/>
    <w:pPr>
      <w:numPr>
        <w:ilvl w:val="1"/>
        <w:numId w:val="6"/>
      </w:numPr>
      <w:spacing w:before="0"/>
    </w:pPr>
  </w:style>
  <w:style w:type="paragraph" w:customStyle="1" w:styleId="OutlineNumbered3">
    <w:name w:val="Outline Numbered 3"/>
    <w:basedOn w:val="Normal"/>
    <w:link w:val="OutlineNumbered3Char"/>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3A6FAF" w:themeColor="accent2"/>
    </w:rPr>
  </w:style>
  <w:style w:type="paragraph" w:customStyle="1" w:styleId="TableColumnHeadingCentred">
    <w:name w:val="Table Column Heading Centred"/>
    <w:basedOn w:val="TableTextLeft"/>
    <w:rsid w:val="006564D3"/>
    <w:pPr>
      <w:jc w:val="center"/>
    </w:pPr>
    <w:rPr>
      <w:b/>
      <w:color w:val="002C47" w:themeColor="accent1"/>
    </w:rPr>
  </w:style>
  <w:style w:type="paragraph" w:customStyle="1" w:styleId="TableColumnHeadingLeft">
    <w:name w:val="Table Column Heading Left"/>
    <w:basedOn w:val="TableTextLeft"/>
    <w:rsid w:val="006564D3"/>
    <w:rPr>
      <w:b/>
      <w:color w:val="002C47" w:themeColor="accent1"/>
    </w:rPr>
  </w:style>
  <w:style w:type="paragraph" w:customStyle="1" w:styleId="TableColumnHeadingRight">
    <w:name w:val="Table Column Heading Right"/>
    <w:basedOn w:val="TableTextLeft"/>
    <w:rsid w:val="006564D3"/>
    <w:pPr>
      <w:jc w:val="right"/>
    </w:pPr>
    <w:rPr>
      <w:b/>
      <w:color w:val="002C47" w:themeColor="accent1"/>
    </w:rPr>
  </w:style>
  <w:style w:type="table" w:styleId="TableGrid">
    <w:name w:val="Table Grid"/>
    <w:basedOn w:val="TableNormal"/>
    <w:uiPriority w:val="39"/>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5113BA"/>
    <w:pPr>
      <w:jc w:val="left"/>
    </w:pPr>
    <w:rPr>
      <w:sz w:val="20"/>
    </w:r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4D3"/>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6564D3"/>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6564D3"/>
    <w:pPr>
      <w:tabs>
        <w:tab w:val="right" w:leader="dot" w:pos="9072"/>
      </w:tabs>
      <w:spacing w:before="20" w:after="0"/>
      <w:ind w:left="284" w:right="-2"/>
    </w:pPr>
    <w:rPr>
      <w:rFonts w:cs="Calibri"/>
      <w:noProof/>
      <w:color w:val="3A6FAF" w:themeColor="accen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63330F"/>
    <w:pPr>
      <w:spacing w:before="0" w:after="300" w:line="560" w:lineRule="exact"/>
      <w:contextualSpacing/>
    </w:pPr>
    <w:rPr>
      <w:rFonts w:eastAsiaTheme="majorEastAsia" w:cstheme="majorBidi"/>
      <w:b/>
      <w:color w:val="002C47" w:themeColor="accent1"/>
      <w:spacing w:val="5"/>
      <w:kern w:val="28"/>
      <w:sz w:val="56"/>
      <w:szCs w:val="52"/>
    </w:rPr>
  </w:style>
  <w:style w:type="character" w:customStyle="1" w:styleId="TitleChar">
    <w:name w:val="Title Char"/>
    <w:basedOn w:val="DefaultParagraphFont"/>
    <w:link w:val="Title"/>
    <w:uiPriority w:val="10"/>
    <w:rsid w:val="0063330F"/>
    <w:rPr>
      <w:rFonts w:ascii="Calibri" w:eastAsiaTheme="majorEastAsia" w:hAnsi="Calibri" w:cstheme="majorBidi"/>
      <w:b/>
      <w:color w:val="002C47" w:themeColor="accent1"/>
      <w:spacing w:val="5"/>
      <w:kern w:val="28"/>
      <w:sz w:val="56"/>
      <w:szCs w:val="52"/>
      <w:lang w:eastAsia="en-AU"/>
    </w:rPr>
  </w:style>
  <w:style w:type="paragraph" w:styleId="Subtitle">
    <w:name w:val="Subtitle"/>
    <w:basedOn w:val="Normal"/>
    <w:next w:val="Normal"/>
    <w:link w:val="SubtitleChar"/>
    <w:uiPriority w:val="11"/>
    <w:qFormat/>
    <w:rsid w:val="006923DF"/>
    <w:pPr>
      <w:numPr>
        <w:ilvl w:val="1"/>
      </w:numPr>
    </w:pPr>
    <w:rPr>
      <w:rFonts w:eastAsiaTheme="majorEastAsia" w:cstheme="majorBidi"/>
      <w:iCs/>
      <w:color w:val="002C4A"/>
      <w:sz w:val="44"/>
      <w:szCs w:val="44"/>
    </w:rPr>
  </w:style>
  <w:style w:type="character" w:customStyle="1" w:styleId="SubtitleChar">
    <w:name w:val="Subtitle Char"/>
    <w:basedOn w:val="DefaultParagraphFont"/>
    <w:link w:val="Subtitle"/>
    <w:uiPriority w:val="11"/>
    <w:rsid w:val="006923DF"/>
    <w:rPr>
      <w:rFonts w:ascii="Calibri" w:eastAsiaTheme="majorEastAsia" w:hAnsi="Calibri" w:cstheme="majorBidi"/>
      <w:iCs/>
      <w:color w:val="002C4A"/>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iPriority w:val="99"/>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6564D3"/>
    <w:rPr>
      <w:rFonts w:ascii="Calibri" w:eastAsia="Times New Roman" w:hAnsi="Calibri" w:cs="Times New Roman"/>
      <w:color w:val="00818F" w:themeColor="accent5"/>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character" w:customStyle="1" w:styleId="Heading7Char">
    <w:name w:val="Heading 7 Char"/>
    <w:basedOn w:val="DefaultParagraphFont"/>
    <w:link w:val="Heading7"/>
    <w:uiPriority w:val="9"/>
    <w:semiHidden/>
    <w:rsid w:val="00464D63"/>
    <w:rPr>
      <w:rFonts w:asciiTheme="majorHAnsi" w:eastAsiaTheme="majorEastAsia" w:hAnsiTheme="majorHAnsi" w:cstheme="majorBidi"/>
      <w:i/>
      <w:iCs/>
      <w:color w:val="001523"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8E6292"/>
    <w:pPr>
      <w:spacing w:after="0"/>
    </w:pPr>
  </w:style>
  <w:style w:type="paragraph" w:customStyle="1" w:styleId="HeaderEven">
    <w:name w:val="Header Even"/>
    <w:basedOn w:val="Header"/>
    <w:qFormat/>
    <w:rsid w:val="00296DFD"/>
    <w:pPr>
      <w:spacing w:after="120"/>
      <w:jc w:val="left"/>
    </w:pPr>
    <w:rPr>
      <w:color w:val="002C47"/>
    </w:rPr>
  </w:style>
  <w:style w:type="paragraph" w:customStyle="1" w:styleId="HeaderOdd">
    <w:name w:val="Header Odd"/>
    <w:basedOn w:val="Header"/>
    <w:qFormat/>
    <w:rsid w:val="00296DFD"/>
    <w:pPr>
      <w:spacing w:after="120"/>
    </w:pPr>
    <w:rPr>
      <w:color w:val="002C47"/>
    </w:rPr>
  </w:style>
  <w:style w:type="paragraph" w:styleId="FootnoteText">
    <w:name w:val="footnote text"/>
    <w:basedOn w:val="Normal"/>
    <w:link w:val="FootnoteTextChar"/>
    <w:uiPriority w:val="99"/>
    <w:rsid w:val="00BF0C37"/>
    <w:pPr>
      <w:spacing w:before="0" w:after="0"/>
      <w:ind w:left="227" w:hanging="227"/>
    </w:pPr>
    <w:rPr>
      <w:sz w:val="18"/>
    </w:rPr>
  </w:style>
  <w:style w:type="character" w:customStyle="1" w:styleId="FootnoteTextChar">
    <w:name w:val="Footnote Text Char"/>
    <w:basedOn w:val="DefaultParagraphFont"/>
    <w:link w:val="FootnoteText"/>
    <w:uiPriority w:val="99"/>
    <w:rsid w:val="00BF0C37"/>
    <w:rPr>
      <w:rFonts w:ascii="Calibri" w:eastAsia="Times New Roman" w:hAnsi="Calibri" w:cs="Times New Roman"/>
      <w:sz w:val="18"/>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ulletChar">
    <w:name w:val="Bullet Char"/>
    <w:aliases w:val="Body Char,Bullet + line Char,Bullets Char,L Char,List Paragraph Char,List Paragraph1 Char,List Paragraph11 Char,List Paragraph2 Char,Number Char,Recommendation Char,b + line Char,b + line Char Char,b Char,b Char Char,b1 Char,level 1 Char"/>
    <w:basedOn w:val="DefaultParagraphFont"/>
    <w:link w:val="Bullet"/>
    <w:qFormat/>
    <w:rsid w:val="007F40C8"/>
    <w:rPr>
      <w:rFonts w:ascii="Calibri" w:eastAsia="Times New Roman" w:hAnsi="Calibri" w:cs="Times New Roman"/>
      <w:szCs w:val="20"/>
      <w:lang w:eastAsia="en-AU"/>
    </w:rPr>
  </w:style>
  <w:style w:type="character" w:customStyle="1" w:styleId="DashChar">
    <w:name w:val="Dash Char"/>
    <w:basedOn w:val="DefaultParagraphFont"/>
    <w:link w:val="Dash"/>
    <w:rsid w:val="007F40C8"/>
    <w:rPr>
      <w:rFonts w:ascii="Calibri" w:eastAsia="Times New Roman" w:hAnsi="Calibri" w:cs="Times New Roman"/>
      <w:szCs w:val="20"/>
      <w:lang w:eastAsia="en-AU"/>
    </w:rPr>
  </w:style>
  <w:style w:type="character" w:customStyle="1" w:styleId="DoubleDotChar">
    <w:name w:val="Double Dot Char"/>
    <w:basedOn w:val="DefaultParagraphFont"/>
    <w:link w:val="DoubleDot"/>
    <w:rsid w:val="007F40C8"/>
    <w:rPr>
      <w:rFonts w:ascii="Calibri" w:eastAsia="Times New Roman" w:hAnsi="Calibri" w:cs="Times New Roman"/>
      <w:szCs w:val="20"/>
      <w:lang w:eastAsia="en-AU"/>
    </w:rPr>
  </w:style>
  <w:style w:type="character" w:styleId="CommentReference">
    <w:name w:val="annotation reference"/>
    <w:basedOn w:val="DefaultParagraphFont"/>
    <w:uiPriority w:val="99"/>
    <w:semiHidden/>
    <w:unhideWhenUsed/>
    <w:rsid w:val="007F40C8"/>
    <w:rPr>
      <w:sz w:val="16"/>
      <w:szCs w:val="16"/>
    </w:rPr>
  </w:style>
  <w:style w:type="paragraph" w:styleId="CommentText">
    <w:name w:val="annotation text"/>
    <w:basedOn w:val="Normal"/>
    <w:link w:val="CommentTextChar"/>
    <w:uiPriority w:val="99"/>
    <w:unhideWhenUsed/>
    <w:rsid w:val="007F40C8"/>
    <w:pPr>
      <w:spacing w:before="0"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sid w:val="007F40C8"/>
    <w:rPr>
      <w:sz w:val="20"/>
      <w:szCs w:val="20"/>
    </w:rPr>
  </w:style>
  <w:style w:type="paragraph" w:styleId="CommentSubject">
    <w:name w:val="annotation subject"/>
    <w:basedOn w:val="CommentText"/>
    <w:next w:val="CommentText"/>
    <w:link w:val="CommentSubjectChar"/>
    <w:uiPriority w:val="99"/>
    <w:semiHidden/>
    <w:unhideWhenUsed/>
    <w:rsid w:val="007F40C8"/>
    <w:rPr>
      <w:b/>
      <w:bCs/>
    </w:rPr>
  </w:style>
  <w:style w:type="character" w:customStyle="1" w:styleId="CommentSubjectChar">
    <w:name w:val="Comment Subject Char"/>
    <w:basedOn w:val="CommentTextChar"/>
    <w:link w:val="CommentSubject"/>
    <w:uiPriority w:val="99"/>
    <w:semiHidden/>
    <w:rsid w:val="007F40C8"/>
    <w:rPr>
      <w:b/>
      <w:bCs/>
      <w:sz w:val="20"/>
      <w:szCs w:val="20"/>
    </w:rPr>
  </w:style>
  <w:style w:type="paragraph" w:styleId="ListParagraph">
    <w:name w:val="List Paragraph"/>
    <w:basedOn w:val="Normal"/>
    <w:uiPriority w:val="34"/>
    <w:qFormat/>
    <w:rsid w:val="007F40C8"/>
    <w:pPr>
      <w:spacing w:before="0" w:after="160" w:line="259" w:lineRule="auto"/>
      <w:ind w:left="720"/>
      <w:contextualSpacing/>
    </w:pPr>
    <w:rPr>
      <w:rFonts w:asciiTheme="minorHAnsi" w:eastAsiaTheme="minorHAnsi" w:hAnsiTheme="minorHAnsi" w:cstheme="minorBidi"/>
      <w:szCs w:val="22"/>
      <w:lang w:eastAsia="en-US"/>
    </w:rPr>
  </w:style>
  <w:style w:type="paragraph" w:styleId="Revision">
    <w:name w:val="Revision"/>
    <w:hidden/>
    <w:uiPriority w:val="99"/>
    <w:semiHidden/>
    <w:rsid w:val="007F40C8"/>
    <w:pPr>
      <w:spacing w:after="0" w:line="240" w:lineRule="auto"/>
    </w:pPr>
  </w:style>
  <w:style w:type="paragraph" w:styleId="NoSpacing">
    <w:name w:val="No Spacing"/>
    <w:link w:val="NoSpacingChar"/>
    <w:uiPriority w:val="1"/>
    <w:qFormat/>
    <w:rsid w:val="007F40C8"/>
    <w:pPr>
      <w:spacing w:after="0" w:line="240" w:lineRule="auto"/>
    </w:pPr>
    <w:rPr>
      <w:rFonts w:ascii="Calibri" w:hAnsi="Calibri" w:cs="Calibri"/>
    </w:rPr>
  </w:style>
  <w:style w:type="character" w:customStyle="1" w:styleId="NoSpacingChar">
    <w:name w:val="No Spacing Char"/>
    <w:basedOn w:val="DefaultParagraphFont"/>
    <w:link w:val="NoSpacing"/>
    <w:uiPriority w:val="1"/>
    <w:rsid w:val="007F40C8"/>
    <w:rPr>
      <w:rFonts w:ascii="Calibri" w:hAnsi="Calibri" w:cs="Calibri"/>
    </w:rPr>
  </w:style>
  <w:style w:type="paragraph" w:styleId="NormalWeb">
    <w:name w:val="Normal (Web)"/>
    <w:basedOn w:val="Normal"/>
    <w:uiPriority w:val="99"/>
    <w:semiHidden/>
    <w:unhideWhenUsed/>
    <w:rsid w:val="007F40C8"/>
    <w:pPr>
      <w:spacing w:before="100" w:beforeAutospacing="1" w:after="100" w:afterAutospacing="1"/>
    </w:pPr>
    <w:rPr>
      <w:rFonts w:eastAsiaTheme="minorHAnsi" w:cs="Calibri"/>
      <w:szCs w:val="22"/>
    </w:rPr>
  </w:style>
  <w:style w:type="paragraph" w:customStyle="1" w:styleId="SecurityClassificationHeader">
    <w:name w:val="Security Classification Header"/>
    <w:link w:val="SecurityClassificationHeaderChar"/>
    <w:rsid w:val="007F40C8"/>
    <w:pPr>
      <w:spacing w:before="240" w:after="60"/>
      <w:jc w:val="center"/>
    </w:pPr>
    <w:rPr>
      <w:rFonts w:ascii="Calibri" w:eastAsia="Times New Roman" w:hAnsi="Calibri" w:cs="Calibri"/>
      <w:b/>
      <w:caps/>
      <w:color w:val="004A7F"/>
      <w:sz w:val="24"/>
      <w:szCs w:val="20"/>
      <w:lang w:eastAsia="en-AU"/>
    </w:rPr>
  </w:style>
  <w:style w:type="character" w:customStyle="1" w:styleId="SecurityClassificationHeaderChar">
    <w:name w:val="Security Classification Header Char"/>
    <w:basedOn w:val="HeaderChar"/>
    <w:link w:val="SecurityClassificationHeader"/>
    <w:rsid w:val="007F40C8"/>
    <w:rPr>
      <w:rFonts w:ascii="Calibri" w:eastAsia="Times New Roman" w:hAnsi="Calibri" w:cs="Calibri"/>
      <w:b/>
      <w:caps/>
      <w:color w:val="004A7F"/>
      <w:sz w:val="24"/>
      <w:szCs w:val="20"/>
      <w:lang w:eastAsia="en-AU"/>
    </w:rPr>
  </w:style>
  <w:style w:type="paragraph" w:customStyle="1" w:styleId="SecurityClassificationFooter">
    <w:name w:val="Security Classification Footer"/>
    <w:link w:val="SecurityClassificationFooterChar"/>
    <w:rsid w:val="007F40C8"/>
    <w:pPr>
      <w:spacing w:before="60" w:after="240"/>
      <w:jc w:val="center"/>
    </w:pPr>
    <w:rPr>
      <w:rFonts w:ascii="Calibri" w:eastAsia="Times New Roman" w:hAnsi="Calibri" w:cs="Calibri"/>
      <w:b/>
      <w:caps/>
      <w:color w:val="004A7F"/>
      <w:sz w:val="24"/>
      <w:szCs w:val="20"/>
      <w:lang w:eastAsia="en-AU"/>
    </w:rPr>
  </w:style>
  <w:style w:type="character" w:customStyle="1" w:styleId="SecurityClassificationFooterChar">
    <w:name w:val="Security Classification Footer Char"/>
    <w:basedOn w:val="HeaderChar"/>
    <w:link w:val="SecurityClassificationFooter"/>
    <w:rsid w:val="007F40C8"/>
    <w:rPr>
      <w:rFonts w:ascii="Calibri" w:eastAsia="Times New Roman" w:hAnsi="Calibri" w:cs="Calibri"/>
      <w:b/>
      <w:caps/>
      <w:color w:val="004A7F"/>
      <w:sz w:val="24"/>
      <w:szCs w:val="20"/>
      <w:lang w:eastAsia="en-AU"/>
    </w:rPr>
  </w:style>
  <w:style w:type="paragraph" w:customStyle="1" w:styleId="DLMSecurityHeader">
    <w:name w:val="DLM Security Header"/>
    <w:link w:val="DLMSecurityHeaderChar"/>
    <w:rsid w:val="007F40C8"/>
    <w:pPr>
      <w:spacing w:before="60" w:after="240"/>
      <w:jc w:val="center"/>
    </w:pPr>
    <w:rPr>
      <w:rFonts w:ascii="Calibri" w:eastAsia="Times New Roman" w:hAnsi="Calibri" w:cs="Calibri"/>
      <w:b/>
      <w:caps/>
      <w:color w:val="004A7F"/>
      <w:sz w:val="24"/>
      <w:szCs w:val="20"/>
      <w:lang w:eastAsia="en-AU"/>
    </w:rPr>
  </w:style>
  <w:style w:type="character" w:customStyle="1" w:styleId="DLMSecurityHeaderChar">
    <w:name w:val="DLM Security Header Char"/>
    <w:basedOn w:val="HeaderChar"/>
    <w:link w:val="DLMSecurityHeader"/>
    <w:rsid w:val="007F40C8"/>
    <w:rPr>
      <w:rFonts w:ascii="Calibri" w:eastAsia="Times New Roman" w:hAnsi="Calibri" w:cs="Calibri"/>
      <w:b/>
      <w:caps/>
      <w:color w:val="004A7F"/>
      <w:sz w:val="24"/>
      <w:szCs w:val="20"/>
      <w:lang w:eastAsia="en-AU"/>
    </w:rPr>
  </w:style>
  <w:style w:type="paragraph" w:customStyle="1" w:styleId="DLMSecurityFooter">
    <w:name w:val="DLM Security Footer"/>
    <w:link w:val="DLMSecurityFooterChar"/>
    <w:rsid w:val="007F40C8"/>
    <w:pPr>
      <w:spacing w:before="240" w:after="60"/>
      <w:jc w:val="center"/>
    </w:pPr>
    <w:rPr>
      <w:rFonts w:ascii="Calibri" w:eastAsia="Times New Roman" w:hAnsi="Calibri" w:cs="Calibri"/>
      <w:b/>
      <w:caps/>
      <w:color w:val="004A7F"/>
      <w:sz w:val="24"/>
      <w:szCs w:val="20"/>
      <w:lang w:eastAsia="en-AU"/>
    </w:rPr>
  </w:style>
  <w:style w:type="character" w:customStyle="1" w:styleId="DLMSecurityFooterChar">
    <w:name w:val="DLM Security Footer Char"/>
    <w:basedOn w:val="HeaderChar"/>
    <w:link w:val="DLMSecurityFooter"/>
    <w:rsid w:val="007F40C8"/>
    <w:rPr>
      <w:rFonts w:ascii="Calibri" w:eastAsia="Times New Roman" w:hAnsi="Calibri" w:cs="Calibri"/>
      <w:b/>
      <w:caps/>
      <w:color w:val="004A7F"/>
      <w:sz w:val="24"/>
      <w:szCs w:val="20"/>
      <w:lang w:eastAsia="en-AU"/>
    </w:rPr>
  </w:style>
  <w:style w:type="character" w:customStyle="1" w:styleId="OutlineNumbered1Char">
    <w:name w:val="Outline Numbered 1 Char"/>
    <w:basedOn w:val="BulletChar"/>
    <w:link w:val="OutlineNumbered1"/>
    <w:rsid w:val="007F40C8"/>
    <w:rPr>
      <w:rFonts w:ascii="Calibri" w:eastAsia="Times New Roman" w:hAnsi="Calibri" w:cs="Times New Roman"/>
      <w:szCs w:val="20"/>
      <w:lang w:eastAsia="en-AU"/>
    </w:rPr>
  </w:style>
  <w:style w:type="character" w:customStyle="1" w:styleId="OutlineNumbered2Char">
    <w:name w:val="Outline Numbered 2 Char"/>
    <w:basedOn w:val="BulletChar"/>
    <w:link w:val="OutlineNumbered2"/>
    <w:rsid w:val="007F40C8"/>
    <w:rPr>
      <w:rFonts w:ascii="Calibri" w:eastAsia="Times New Roman" w:hAnsi="Calibri" w:cs="Times New Roman"/>
      <w:szCs w:val="20"/>
      <w:lang w:eastAsia="en-AU"/>
    </w:rPr>
  </w:style>
  <w:style w:type="character" w:customStyle="1" w:styleId="OutlineNumbered3Char">
    <w:name w:val="Outline Numbered 3 Char"/>
    <w:basedOn w:val="BulletChar"/>
    <w:link w:val="OutlineNumbered3"/>
    <w:rsid w:val="007F40C8"/>
    <w:rPr>
      <w:rFonts w:ascii="Calibri" w:eastAsia="Times New Roman" w:hAnsi="Calibri" w:cs="Times New Roman"/>
      <w:szCs w:val="20"/>
      <w:lang w:eastAsia="en-AU"/>
    </w:rPr>
  </w:style>
  <w:style w:type="paragraph" w:customStyle="1" w:styleId="TableBullet">
    <w:name w:val="Table Bullet"/>
    <w:basedOn w:val="Normal"/>
    <w:qFormat/>
    <w:rsid w:val="00B71793"/>
    <w:pPr>
      <w:numPr>
        <w:numId w:val="23"/>
      </w:numPr>
      <w:spacing w:before="40" w:after="40"/>
      <w:ind w:left="170" w:hanging="170"/>
    </w:pPr>
    <w:rPr>
      <w:rFonts w:asciiTheme="minorHAnsi" w:hAnsiTheme="minorHAnsi" w:cs="Arial"/>
      <w:color w:val="000000"/>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mc.gov.au/government/commonwealth-coat-arm" TargetMode="Externa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6.xml"/><Relationship Id="rId10" Type="http://schemas.openxmlformats.org/officeDocument/2006/relationships/hyperlink" Target="http://creativecommons.org/licenses/by/3.0/au/legalcod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hyperlink" Target="mailto:media@treasury.gov.au" TargetMode="Externa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theme" Target="theme/theme1.xml"/></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BBA07-08C7-4009-8ACB-27674FD1C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4864</Words>
  <Characters>26948</Characters>
  <Application>Microsoft Office Word</Application>
  <DocSecurity>0</DocSecurity>
  <Lines>709</Lines>
  <Paragraphs>407</Paragraphs>
  <ScaleCrop>false</ScaleCrop>
  <HeadingPairs>
    <vt:vector size="2" baseType="variant">
      <vt:variant>
        <vt:lpstr>Title</vt:lpstr>
      </vt:variant>
      <vt:variant>
        <vt:i4>1</vt:i4>
      </vt:variant>
    </vt:vector>
  </HeadingPairs>
  <TitlesOfParts>
    <vt:vector size="1" baseType="lpstr">
      <vt:lpstr>Economic Impact Analysis: National Plan to Transition to Australia’s National COVID 19 Response</vt:lpstr>
    </vt:vector>
  </TitlesOfParts>
  <Company/>
  <LinksUpToDate>false</LinksUpToDate>
  <CharactersWithSpaces>31405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Impact Analysis: National Plan to Transition to Australia’s National COVID 19 Response</dc:title>
  <dc:subject/>
  <dc:creator/>
  <cp:keywords/>
  <cp:lastModifiedBy/>
  <cp:revision>1</cp:revision>
  <dcterms:created xsi:type="dcterms:W3CDTF">2021-08-03T07:06:00Z</dcterms:created>
  <dcterms:modified xsi:type="dcterms:W3CDTF">2021-08-03T07:06:00Z</dcterms:modified>
  <cp:category/>
</cp:coreProperties>
</file>