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1ECC8" w14:textId="77777777" w:rsidR="000E0B74" w:rsidRPr="006D0240" w:rsidRDefault="000E0B74" w:rsidP="008E6292"/>
    <w:p w14:paraId="71A59E27" w14:textId="77777777" w:rsidR="0029654C" w:rsidRDefault="0029654C" w:rsidP="0029654C">
      <w:pPr>
        <w:pStyle w:val="Title"/>
        <w:spacing w:before="240"/>
      </w:pPr>
    </w:p>
    <w:p w14:paraId="79B134C7" w14:textId="77777777" w:rsidR="000E0B74" w:rsidRPr="00A524B9" w:rsidRDefault="00B55AC5" w:rsidP="0029654C">
      <w:pPr>
        <w:pStyle w:val="Title"/>
        <w:spacing w:before="240"/>
      </w:pPr>
      <w:r w:rsidRPr="00B55AC5">
        <w:t>J</w:t>
      </w:r>
      <w:r>
        <w:t xml:space="preserve">OINT ECONOMIC FORECASTING GROUP </w:t>
      </w:r>
      <w:r w:rsidRPr="00B55AC5">
        <w:t>REPORT</w:t>
      </w:r>
    </w:p>
    <w:p w14:paraId="1E42A4D1" w14:textId="77777777" w:rsidR="000E0B74" w:rsidRPr="00706E8E" w:rsidRDefault="00B55AC5" w:rsidP="00706E8E">
      <w:pPr>
        <w:pStyle w:val="Subtitle"/>
      </w:pPr>
      <w:r>
        <w:t>ECONOMIC OUTLOOK FOR</w:t>
      </w:r>
      <w:r>
        <w:br/>
        <w:t>2018-19 and 2019-20</w:t>
      </w:r>
    </w:p>
    <w:p w14:paraId="7DB99667" w14:textId="77777777" w:rsidR="00056880" w:rsidRDefault="00EE423C" w:rsidP="0029654C">
      <w:pPr>
        <w:pStyle w:val="ReportDate"/>
        <w:spacing w:after="0"/>
        <w:ind w:right="0"/>
        <w:rPr>
          <w:rStyle w:val="ReportDateChar"/>
        </w:rPr>
      </w:pPr>
      <w:r>
        <w:rPr>
          <w:rStyle w:val="ReportDateChar"/>
        </w:rPr>
        <w:t>September</w:t>
      </w:r>
      <w:r w:rsidR="00B55AC5">
        <w:rPr>
          <w:rStyle w:val="ReportDateChar"/>
        </w:rPr>
        <w:t xml:space="preserve"> 2018</w:t>
      </w:r>
      <w:r w:rsidR="0029654C">
        <w:rPr>
          <w:rStyle w:val="FootnoteReference"/>
        </w:rPr>
        <w:footnoteReference w:id="1"/>
      </w:r>
    </w:p>
    <w:p w14:paraId="53CBDB43" w14:textId="77777777" w:rsidR="002F617F" w:rsidRPr="005D561D" w:rsidRDefault="002F617F" w:rsidP="002F617F">
      <w:pPr>
        <w:pStyle w:val="Divider"/>
      </w:pPr>
    </w:p>
    <w:p w14:paraId="4EA77E45" w14:textId="77777777" w:rsidR="002F617F" w:rsidRDefault="002F617F"/>
    <w:p w14:paraId="0AA3EA3F" w14:textId="77777777" w:rsidR="000E0B74" w:rsidRDefault="000E0B74" w:rsidP="000E0B74">
      <w:pPr>
        <w:rPr>
          <w:rFonts w:cs="Calibri"/>
          <w:sz w:val="20"/>
        </w:rPr>
      </w:pPr>
    </w:p>
    <w:p w14:paraId="4D5E29CF" w14:textId="77777777" w:rsidR="000E0B74" w:rsidRDefault="000E0B74" w:rsidP="000E0B74">
      <w:pPr>
        <w:sectPr w:rsidR="000E0B74" w:rsidSect="00C01D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20"/>
        </w:sectPr>
      </w:pPr>
    </w:p>
    <w:p w14:paraId="3076C982" w14:textId="77777777" w:rsidR="002D14CF" w:rsidRDefault="00120EDB" w:rsidP="000278E5">
      <w:pPr>
        <w:pStyle w:val="OutlineNumbered1"/>
        <w:spacing w:after="180"/>
        <w:jc w:val="both"/>
        <w:rPr>
          <w:sz w:val="20"/>
        </w:rPr>
      </w:pPr>
      <w:r w:rsidRPr="000278E5">
        <w:rPr>
          <w:sz w:val="20"/>
        </w:rPr>
        <w:lastRenderedPageBreak/>
        <w:t>E</w:t>
      </w:r>
      <w:r w:rsidR="00240A7B" w:rsidRPr="000278E5">
        <w:rPr>
          <w:sz w:val="20"/>
        </w:rPr>
        <w:t xml:space="preserve">conomic conditions have evolved broadly in line with the 2018-19 Budget forecasts. </w:t>
      </w:r>
      <w:r w:rsidR="003F4D0C" w:rsidRPr="000278E5">
        <w:rPr>
          <w:sz w:val="20"/>
        </w:rPr>
        <w:t>The outlook for real GDP growth is unchanged</w:t>
      </w:r>
      <w:r w:rsidR="004A1F72" w:rsidRPr="000278E5">
        <w:rPr>
          <w:sz w:val="20"/>
        </w:rPr>
        <w:t>, with growth</w:t>
      </w:r>
      <w:r w:rsidR="003F4D0C" w:rsidRPr="000278E5">
        <w:rPr>
          <w:sz w:val="20"/>
        </w:rPr>
        <w:t xml:space="preserve"> forecast to </w:t>
      </w:r>
      <w:r w:rsidR="004A1F72" w:rsidRPr="000278E5">
        <w:rPr>
          <w:sz w:val="20"/>
        </w:rPr>
        <w:t>be</w:t>
      </w:r>
      <w:r w:rsidR="003F4D0C" w:rsidRPr="000278E5">
        <w:rPr>
          <w:sz w:val="20"/>
        </w:rPr>
        <w:t xml:space="preserve"> 3 per cent in both 2018-19 and 2019-20 (see Table 1). </w:t>
      </w:r>
      <w:r w:rsidR="0016069C">
        <w:rPr>
          <w:sz w:val="20"/>
        </w:rPr>
        <w:t xml:space="preserve">But </w:t>
      </w:r>
      <w:r w:rsidR="0016069C" w:rsidRPr="00D72E58">
        <w:rPr>
          <w:sz w:val="20"/>
        </w:rPr>
        <w:t>there have been some changes to the outlook for components of GD</w:t>
      </w:r>
      <w:r w:rsidR="0016069C" w:rsidRPr="0016069C">
        <w:rPr>
          <w:sz w:val="20"/>
        </w:rPr>
        <w:t>P, particularly in 2018</w:t>
      </w:r>
      <w:r w:rsidR="0016069C" w:rsidRPr="0016069C">
        <w:rPr>
          <w:sz w:val="20"/>
        </w:rPr>
        <w:noBreakHyphen/>
        <w:t xml:space="preserve">19. Upgrades to the forecasts for growth in public final demand and new business investment have been broadly offset by weaker growth in dwelling investment and consumption, as well as </w:t>
      </w:r>
      <w:r w:rsidR="000278E5">
        <w:rPr>
          <w:sz w:val="20"/>
        </w:rPr>
        <w:t xml:space="preserve">a </w:t>
      </w:r>
      <w:r w:rsidR="002D14CF">
        <w:rPr>
          <w:sz w:val="20"/>
        </w:rPr>
        <w:t>downgrade to the contribution from net exports, partly reflecting a downgrade to rural exports as a result of the drought.</w:t>
      </w:r>
    </w:p>
    <w:p w14:paraId="581D5BDD" w14:textId="12D4BF3D" w:rsidR="008313DA" w:rsidRPr="000278E5" w:rsidRDefault="008313DA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Global economic growth remains</w:t>
      </w:r>
      <w:r w:rsidR="00240A7B" w:rsidRPr="000278E5">
        <w:rPr>
          <w:sz w:val="20"/>
        </w:rPr>
        <w:t xml:space="preserve"> relatively strong</w:t>
      </w:r>
      <w:r w:rsidR="0016069C">
        <w:rPr>
          <w:sz w:val="20"/>
        </w:rPr>
        <w:t>, but</w:t>
      </w:r>
      <w:r w:rsidR="00240A7B" w:rsidRPr="000278E5">
        <w:rPr>
          <w:sz w:val="20"/>
        </w:rPr>
        <w:t xml:space="preserve"> </w:t>
      </w:r>
      <w:r w:rsidR="00D61A80" w:rsidRPr="000278E5">
        <w:rPr>
          <w:sz w:val="20"/>
        </w:rPr>
        <w:t>the global economy</w:t>
      </w:r>
      <w:r w:rsidR="00240A7B" w:rsidRPr="000278E5">
        <w:rPr>
          <w:sz w:val="20"/>
        </w:rPr>
        <w:t xml:space="preserve"> is less synchronised than it was in 2017. F</w:t>
      </w:r>
      <w:r w:rsidRPr="000278E5">
        <w:rPr>
          <w:sz w:val="20"/>
        </w:rPr>
        <w:t>orecasts for both global economic growth and major trading partner gr</w:t>
      </w:r>
      <w:r w:rsidR="003332F0" w:rsidRPr="000278E5">
        <w:rPr>
          <w:sz w:val="20"/>
        </w:rPr>
        <w:t>owth are unchanged since Budget</w:t>
      </w:r>
      <w:r w:rsidR="00D61A80" w:rsidRPr="000278E5">
        <w:rPr>
          <w:sz w:val="20"/>
        </w:rPr>
        <w:t>,</w:t>
      </w:r>
      <w:r w:rsidR="003332F0" w:rsidRPr="000278E5">
        <w:rPr>
          <w:sz w:val="20"/>
        </w:rPr>
        <w:t xml:space="preserve"> </w:t>
      </w:r>
      <w:r w:rsidR="00B306BF" w:rsidRPr="000278E5">
        <w:rPr>
          <w:sz w:val="20"/>
        </w:rPr>
        <w:t>despite modest downgrades to the growth outlook for both the US and China. D</w:t>
      </w:r>
      <w:r w:rsidRPr="000278E5">
        <w:rPr>
          <w:sz w:val="20"/>
        </w:rPr>
        <w:t xml:space="preserve">ownside risks have increased, most </w:t>
      </w:r>
      <w:r w:rsidR="00F61EA1" w:rsidRPr="000278E5">
        <w:rPr>
          <w:sz w:val="20"/>
        </w:rPr>
        <w:t xml:space="preserve">notably </w:t>
      </w:r>
      <w:proofErr w:type="gramStart"/>
      <w:r w:rsidR="000D3F2B">
        <w:rPr>
          <w:sz w:val="20"/>
        </w:rPr>
        <w:t>with regard to</w:t>
      </w:r>
      <w:proofErr w:type="gramEnd"/>
      <w:r w:rsidR="00F61EA1" w:rsidRPr="000278E5">
        <w:rPr>
          <w:sz w:val="20"/>
        </w:rPr>
        <w:t xml:space="preserve"> trade tensions</w:t>
      </w:r>
      <w:r w:rsidR="00B342AA">
        <w:rPr>
          <w:sz w:val="20"/>
        </w:rPr>
        <w:t xml:space="preserve"> and emerging economy debt</w:t>
      </w:r>
      <w:r w:rsidR="00F61EA1" w:rsidRPr="000278E5">
        <w:rPr>
          <w:sz w:val="20"/>
        </w:rPr>
        <w:t>. Other risks include financial market volatility and a faster than-expected tightening of monetary policy in advanced economies.</w:t>
      </w:r>
    </w:p>
    <w:p w14:paraId="795A0CBE" w14:textId="77777777" w:rsidR="00240A7B" w:rsidRPr="000278E5" w:rsidRDefault="003332F0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Real GDP grew by 2.</w:t>
      </w:r>
      <w:r w:rsidR="00876C51" w:rsidRPr="000278E5">
        <w:rPr>
          <w:sz w:val="20"/>
        </w:rPr>
        <w:t>9</w:t>
      </w:r>
      <w:r w:rsidR="00240A7B" w:rsidRPr="000278E5">
        <w:rPr>
          <w:sz w:val="20"/>
        </w:rPr>
        <w:t xml:space="preserve"> per cent in 2017-18, </w:t>
      </w:r>
      <w:r w:rsidR="00876C51" w:rsidRPr="000278E5">
        <w:rPr>
          <w:sz w:val="20"/>
        </w:rPr>
        <w:t xml:space="preserve">slightly above </w:t>
      </w:r>
      <w:r w:rsidR="00240A7B" w:rsidRPr="000278E5">
        <w:rPr>
          <w:sz w:val="20"/>
        </w:rPr>
        <w:t xml:space="preserve">the 2¾ per cent growth forecast in the 2018-19 Budget. Growth in consumption, public final demand and non-mining business investment was stronger than expected, while the detraction from dwelling and mining investment was smaller than expected. </w:t>
      </w:r>
      <w:r w:rsidR="00635593" w:rsidRPr="000278E5">
        <w:rPr>
          <w:sz w:val="20"/>
        </w:rPr>
        <w:t>Despite continued growth in mining and services exports, net exports detracted from growth, partly as a result of an increase in capital imports, linked to the strong growth in business investment</w:t>
      </w:r>
      <w:r w:rsidR="00240A7B" w:rsidRPr="000278E5">
        <w:rPr>
          <w:sz w:val="20"/>
        </w:rPr>
        <w:t>.</w:t>
      </w:r>
    </w:p>
    <w:p w14:paraId="0EA7BE9A" w14:textId="77777777" w:rsidR="008313DA" w:rsidRPr="000278E5" w:rsidRDefault="008313DA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Household consumption is forecast to grow by 2½ per cent in 2018</w:t>
      </w:r>
      <w:r w:rsidRPr="000278E5">
        <w:rPr>
          <w:sz w:val="20"/>
        </w:rPr>
        <w:noBreakHyphen/>
        <w:t>19 and 3 per cent in 2019</w:t>
      </w:r>
      <w:r w:rsidRPr="000278E5">
        <w:rPr>
          <w:sz w:val="20"/>
        </w:rPr>
        <w:noBreakHyphen/>
        <w:t>20, supported by a gradual pick</w:t>
      </w:r>
      <w:r w:rsidR="004A1F72" w:rsidRPr="000278E5">
        <w:rPr>
          <w:sz w:val="20"/>
        </w:rPr>
        <w:t>-</w:t>
      </w:r>
      <w:r w:rsidRPr="000278E5">
        <w:rPr>
          <w:sz w:val="20"/>
        </w:rPr>
        <w:t>up in wage growth and continued growth in employment.</w:t>
      </w:r>
      <w:r w:rsidR="00F25CAD" w:rsidRPr="000278E5">
        <w:rPr>
          <w:sz w:val="20"/>
        </w:rPr>
        <w:t xml:space="preserve"> The </w:t>
      </w:r>
      <w:r w:rsidR="00F55EC4" w:rsidRPr="000278E5">
        <w:rPr>
          <w:sz w:val="20"/>
        </w:rPr>
        <w:t xml:space="preserve">¼ of a percentage point </w:t>
      </w:r>
      <w:r w:rsidR="00F25CAD" w:rsidRPr="000278E5">
        <w:rPr>
          <w:sz w:val="20"/>
        </w:rPr>
        <w:t xml:space="preserve">downgrade to household consumption growth in 2018-19 </w:t>
      </w:r>
      <w:r w:rsidR="0023668C" w:rsidRPr="000278E5">
        <w:rPr>
          <w:sz w:val="20"/>
        </w:rPr>
        <w:t xml:space="preserve">since Budget </w:t>
      </w:r>
      <w:r w:rsidR="00F25CAD" w:rsidRPr="000278E5">
        <w:rPr>
          <w:sz w:val="20"/>
        </w:rPr>
        <w:t xml:space="preserve">reflects the </w:t>
      </w:r>
      <w:r w:rsidR="00A12EE1" w:rsidRPr="000278E5">
        <w:rPr>
          <w:sz w:val="20"/>
        </w:rPr>
        <w:t>anticipated</w:t>
      </w:r>
      <w:r w:rsidR="00F25CAD" w:rsidRPr="000278E5">
        <w:rPr>
          <w:sz w:val="20"/>
        </w:rPr>
        <w:t xml:space="preserve"> impact of </w:t>
      </w:r>
      <w:r w:rsidR="003332F0" w:rsidRPr="000278E5">
        <w:rPr>
          <w:sz w:val="20"/>
        </w:rPr>
        <w:t xml:space="preserve">the reclassification of some expenditure </w:t>
      </w:r>
      <w:r w:rsidR="004A1F72" w:rsidRPr="000278E5">
        <w:rPr>
          <w:sz w:val="20"/>
        </w:rPr>
        <w:t xml:space="preserve">from household consumption to public consumption as a result of changes to </w:t>
      </w:r>
      <w:r w:rsidR="00F25CAD" w:rsidRPr="000278E5">
        <w:rPr>
          <w:sz w:val="20"/>
        </w:rPr>
        <w:t xml:space="preserve">child care </w:t>
      </w:r>
      <w:r w:rsidR="004A1F72" w:rsidRPr="000278E5">
        <w:rPr>
          <w:sz w:val="20"/>
        </w:rPr>
        <w:t>support payments</w:t>
      </w:r>
      <w:r w:rsidR="0023668C" w:rsidRPr="000278E5">
        <w:rPr>
          <w:sz w:val="20"/>
        </w:rPr>
        <w:t>,</w:t>
      </w:r>
      <w:r w:rsidR="003332F0" w:rsidRPr="000278E5">
        <w:rPr>
          <w:sz w:val="20"/>
        </w:rPr>
        <w:t xml:space="preserve"> which came into effect on </w:t>
      </w:r>
      <w:r w:rsidR="00477005">
        <w:rPr>
          <w:sz w:val="20"/>
        </w:rPr>
        <w:t>2</w:t>
      </w:r>
      <w:r w:rsidR="00477005" w:rsidRPr="000278E5">
        <w:rPr>
          <w:sz w:val="20"/>
        </w:rPr>
        <w:t xml:space="preserve"> </w:t>
      </w:r>
      <w:r w:rsidR="003332F0" w:rsidRPr="000278E5">
        <w:rPr>
          <w:sz w:val="20"/>
        </w:rPr>
        <w:t>July 2018.</w:t>
      </w:r>
      <w:r w:rsidR="00AE620E">
        <w:rPr>
          <w:rStyle w:val="FootnoteReference"/>
        </w:rPr>
        <w:footnoteReference w:id="2"/>
      </w:r>
      <w:r w:rsidR="003332F0" w:rsidRPr="000278E5">
        <w:rPr>
          <w:sz w:val="20"/>
        </w:rPr>
        <w:t xml:space="preserve"> </w:t>
      </w:r>
      <w:r w:rsidR="00F25CAD" w:rsidRPr="000278E5">
        <w:rPr>
          <w:sz w:val="20"/>
        </w:rPr>
        <w:t xml:space="preserve"> </w:t>
      </w:r>
    </w:p>
    <w:p w14:paraId="5447CADF" w14:textId="77777777" w:rsidR="00240A7B" w:rsidRPr="000278E5" w:rsidRDefault="00240A7B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Dwelling investment is foreca</w:t>
      </w:r>
      <w:r w:rsidR="0023668C" w:rsidRPr="000278E5">
        <w:rPr>
          <w:sz w:val="20"/>
        </w:rPr>
        <w:t xml:space="preserve">st to grow by ½ of </w:t>
      </w:r>
      <w:r w:rsidR="004A1F72" w:rsidRPr="000278E5">
        <w:rPr>
          <w:sz w:val="20"/>
        </w:rPr>
        <w:t xml:space="preserve">a </w:t>
      </w:r>
      <w:r w:rsidRPr="000278E5">
        <w:rPr>
          <w:sz w:val="20"/>
        </w:rPr>
        <w:t>per cent in 2018</w:t>
      </w:r>
      <w:r w:rsidRPr="000278E5">
        <w:rPr>
          <w:sz w:val="20"/>
        </w:rPr>
        <w:noBreakHyphen/>
        <w:t>19 and to fall</w:t>
      </w:r>
      <w:r w:rsidR="00D61A80" w:rsidRPr="000278E5">
        <w:rPr>
          <w:sz w:val="20"/>
        </w:rPr>
        <w:t xml:space="preserve"> by 2 per cent in 2019</w:t>
      </w:r>
      <w:r w:rsidR="00D61A80" w:rsidRPr="000278E5">
        <w:rPr>
          <w:sz w:val="20"/>
        </w:rPr>
        <w:noBreakHyphen/>
        <w:t xml:space="preserve">20. </w:t>
      </w:r>
      <w:r w:rsidR="004A1F72" w:rsidRPr="000278E5">
        <w:rPr>
          <w:sz w:val="20"/>
        </w:rPr>
        <w:t>Although t</w:t>
      </w:r>
      <w:r w:rsidR="00D61A80" w:rsidRPr="000278E5">
        <w:rPr>
          <w:sz w:val="20"/>
        </w:rPr>
        <w:t>hese growth rates are weaker than were</w:t>
      </w:r>
      <w:r w:rsidRPr="000278E5">
        <w:rPr>
          <w:sz w:val="20"/>
        </w:rPr>
        <w:t xml:space="preserve"> forecast at Budget</w:t>
      </w:r>
      <w:r w:rsidR="004A1F72" w:rsidRPr="000278E5">
        <w:rPr>
          <w:sz w:val="20"/>
        </w:rPr>
        <w:t xml:space="preserve">, they </w:t>
      </w:r>
      <w:r w:rsidRPr="000278E5">
        <w:rPr>
          <w:sz w:val="20"/>
        </w:rPr>
        <w:t>reflect an unwinding of strength seen in the second half of 2017</w:t>
      </w:r>
      <w:r w:rsidRPr="000278E5">
        <w:rPr>
          <w:sz w:val="20"/>
        </w:rPr>
        <w:noBreakHyphen/>
        <w:t>18</w:t>
      </w:r>
      <w:r w:rsidR="004A1F72" w:rsidRPr="000278E5">
        <w:rPr>
          <w:sz w:val="20"/>
        </w:rPr>
        <w:t>, with</w:t>
      </w:r>
      <w:r w:rsidR="00F25CAD" w:rsidRPr="000278E5">
        <w:rPr>
          <w:sz w:val="20"/>
        </w:rPr>
        <w:t xml:space="preserve"> the level of dwelling investment </w:t>
      </w:r>
      <w:r w:rsidR="0023668C" w:rsidRPr="000278E5">
        <w:rPr>
          <w:sz w:val="20"/>
        </w:rPr>
        <w:t xml:space="preserve">still </w:t>
      </w:r>
      <w:r w:rsidR="00F25CAD" w:rsidRPr="000278E5">
        <w:rPr>
          <w:sz w:val="20"/>
        </w:rPr>
        <w:t xml:space="preserve">expected to be </w:t>
      </w:r>
      <w:r w:rsidR="00A12EE1" w:rsidRPr="000278E5">
        <w:rPr>
          <w:sz w:val="20"/>
        </w:rPr>
        <w:t>about the</w:t>
      </w:r>
      <w:r w:rsidR="00F25CAD" w:rsidRPr="000278E5">
        <w:rPr>
          <w:sz w:val="20"/>
        </w:rPr>
        <w:t xml:space="preserve"> same </w:t>
      </w:r>
      <w:r w:rsidR="004A1F72" w:rsidRPr="000278E5">
        <w:rPr>
          <w:sz w:val="20"/>
        </w:rPr>
        <w:t>at the end of the forecast period</w:t>
      </w:r>
      <w:r w:rsidR="00477005">
        <w:rPr>
          <w:sz w:val="20"/>
        </w:rPr>
        <w:t xml:space="preserve"> </w:t>
      </w:r>
      <w:r w:rsidR="00477005" w:rsidRPr="007024A3">
        <w:rPr>
          <w:sz w:val="20"/>
        </w:rPr>
        <w:t>as was forecast at Budget</w:t>
      </w:r>
      <w:r w:rsidR="00F25CAD" w:rsidRPr="000278E5">
        <w:rPr>
          <w:sz w:val="20"/>
        </w:rPr>
        <w:t xml:space="preserve">. </w:t>
      </w:r>
    </w:p>
    <w:p w14:paraId="613EBE4D" w14:textId="77777777" w:rsidR="008313DA" w:rsidRPr="000278E5" w:rsidRDefault="008313DA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New business investment is forecast to grow by 3½ per cent in 2018</w:t>
      </w:r>
      <w:r w:rsidRPr="000278E5">
        <w:rPr>
          <w:sz w:val="20"/>
        </w:rPr>
        <w:noBreakHyphen/>
        <w:t>19 and by 5 per cent in 2019</w:t>
      </w:r>
      <w:r w:rsidRPr="000278E5">
        <w:rPr>
          <w:sz w:val="20"/>
        </w:rPr>
        <w:noBreakHyphen/>
        <w:t>20, a little faster than was forecast at Budget.</w:t>
      </w:r>
      <w:r w:rsidR="00F25CAD" w:rsidRPr="000278E5">
        <w:rPr>
          <w:sz w:val="20"/>
        </w:rPr>
        <w:t xml:space="preserve"> This reflects</w:t>
      </w:r>
      <w:r w:rsidR="00A12EE1" w:rsidRPr="000278E5">
        <w:rPr>
          <w:sz w:val="20"/>
        </w:rPr>
        <w:t xml:space="preserve"> an upgrade to the outlook for both mining and non-mining business investment. </w:t>
      </w:r>
    </w:p>
    <w:p w14:paraId="3F178263" w14:textId="77777777" w:rsidR="00D07C84" w:rsidRDefault="00240A7B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Public final demand</w:t>
      </w:r>
      <w:r w:rsidR="00F25CAD" w:rsidRPr="000278E5">
        <w:rPr>
          <w:sz w:val="20"/>
        </w:rPr>
        <w:t xml:space="preserve"> is forecast to grow by 4¼ </w:t>
      </w:r>
      <w:r w:rsidRPr="000278E5">
        <w:rPr>
          <w:sz w:val="20"/>
        </w:rPr>
        <w:t>per cent in 2018</w:t>
      </w:r>
      <w:r w:rsidRPr="000278E5">
        <w:rPr>
          <w:sz w:val="20"/>
        </w:rPr>
        <w:noBreakHyphen/>
        <w:t xml:space="preserve">19 and by </w:t>
      </w:r>
      <w:r w:rsidR="00F25CAD" w:rsidRPr="000278E5">
        <w:rPr>
          <w:sz w:val="20"/>
        </w:rPr>
        <w:t xml:space="preserve">2¾ </w:t>
      </w:r>
      <w:r w:rsidRPr="000278E5">
        <w:rPr>
          <w:sz w:val="20"/>
        </w:rPr>
        <w:t>per cent in 2019</w:t>
      </w:r>
      <w:r w:rsidRPr="000278E5">
        <w:rPr>
          <w:sz w:val="20"/>
        </w:rPr>
        <w:noBreakHyphen/>
        <w:t>20, a little faster than was forecast at Budget.</w:t>
      </w:r>
      <w:r w:rsidR="00F25CAD" w:rsidRPr="000278E5">
        <w:rPr>
          <w:sz w:val="20"/>
        </w:rPr>
        <w:t xml:space="preserve"> The upgrade to public final demand reflects </w:t>
      </w:r>
      <w:r w:rsidR="00D07C84">
        <w:rPr>
          <w:sz w:val="20"/>
        </w:rPr>
        <w:t xml:space="preserve">recent outcomes, as well as </w:t>
      </w:r>
      <w:r w:rsidR="00D07C84" w:rsidRPr="00AB16C0">
        <w:rPr>
          <w:sz w:val="20"/>
        </w:rPr>
        <w:t>updated information on State and Territory expenditure from their b</w:t>
      </w:r>
      <w:r w:rsidR="00D07C84">
        <w:rPr>
          <w:sz w:val="20"/>
        </w:rPr>
        <w:t xml:space="preserve">udget updates and the anticipated impact of the </w:t>
      </w:r>
      <w:r w:rsidR="00D07C84" w:rsidRPr="007024A3">
        <w:rPr>
          <w:sz w:val="20"/>
        </w:rPr>
        <w:t>reclassification of some expenditure from household consumption to public consumption as a result of changes to child care support payments</w:t>
      </w:r>
      <w:r w:rsidR="00D07C84">
        <w:rPr>
          <w:sz w:val="20"/>
        </w:rPr>
        <w:t>.</w:t>
      </w:r>
    </w:p>
    <w:p w14:paraId="03F1F7D2" w14:textId="77777777" w:rsidR="008313DA" w:rsidRPr="000278E5" w:rsidRDefault="008313DA" w:rsidP="0029654C">
      <w:pPr>
        <w:pStyle w:val="OutlineNumbered1"/>
        <w:jc w:val="both"/>
        <w:rPr>
          <w:sz w:val="20"/>
        </w:rPr>
      </w:pPr>
      <w:r w:rsidRPr="000278E5">
        <w:rPr>
          <w:sz w:val="20"/>
        </w:rPr>
        <w:t>Net exports are forecast to detract ¼ of a percentage point from growth in 2018</w:t>
      </w:r>
      <w:r w:rsidRPr="000278E5">
        <w:rPr>
          <w:sz w:val="20"/>
        </w:rPr>
        <w:noBreakHyphen/>
        <w:t xml:space="preserve">19 and to </w:t>
      </w:r>
      <w:r w:rsidR="00944E7F" w:rsidRPr="000278E5">
        <w:rPr>
          <w:sz w:val="20"/>
        </w:rPr>
        <w:t>make no contribution</w:t>
      </w:r>
      <w:r w:rsidRPr="000278E5">
        <w:rPr>
          <w:sz w:val="20"/>
        </w:rPr>
        <w:t xml:space="preserve"> in 2019</w:t>
      </w:r>
      <w:r w:rsidRPr="000278E5">
        <w:rPr>
          <w:sz w:val="20"/>
        </w:rPr>
        <w:noBreakHyphen/>
        <w:t>20. This is a downgrade of ½ of a percentage point in 2018</w:t>
      </w:r>
      <w:r w:rsidRPr="000278E5">
        <w:rPr>
          <w:sz w:val="20"/>
        </w:rPr>
        <w:noBreakHyphen/>
        <w:t>19</w:t>
      </w:r>
      <w:r w:rsidR="00D07C84">
        <w:rPr>
          <w:sz w:val="20"/>
        </w:rPr>
        <w:t>, reflecting</w:t>
      </w:r>
      <w:r w:rsidRPr="000278E5">
        <w:rPr>
          <w:sz w:val="20"/>
        </w:rPr>
        <w:t xml:space="preserve"> the </w:t>
      </w:r>
      <w:r w:rsidR="00A12EE1" w:rsidRPr="000278E5">
        <w:rPr>
          <w:sz w:val="20"/>
        </w:rPr>
        <w:t xml:space="preserve">expected </w:t>
      </w:r>
      <w:r w:rsidRPr="000278E5">
        <w:rPr>
          <w:sz w:val="20"/>
        </w:rPr>
        <w:t>impact of the drought on rural exports</w:t>
      </w:r>
      <w:r w:rsidR="00D07C84">
        <w:rPr>
          <w:sz w:val="20"/>
        </w:rPr>
        <w:t xml:space="preserve"> and</w:t>
      </w:r>
      <w:r w:rsidRPr="000278E5">
        <w:rPr>
          <w:sz w:val="20"/>
        </w:rPr>
        <w:t xml:space="preserve"> slower growth in non</w:t>
      </w:r>
      <w:r w:rsidRPr="000278E5">
        <w:rPr>
          <w:sz w:val="20"/>
        </w:rPr>
        <w:noBreakHyphen/>
        <w:t>rural commodity exports following a period of temporary strength in late 2017</w:t>
      </w:r>
      <w:r w:rsidRPr="000278E5">
        <w:rPr>
          <w:sz w:val="20"/>
        </w:rPr>
        <w:noBreakHyphen/>
        <w:t>18.</w:t>
      </w:r>
      <w:r w:rsidR="00F25CAD" w:rsidRPr="000278E5">
        <w:rPr>
          <w:sz w:val="20"/>
        </w:rPr>
        <w:t xml:space="preserve"> </w:t>
      </w:r>
      <w:r w:rsidR="00D07C84">
        <w:rPr>
          <w:sz w:val="20"/>
        </w:rPr>
        <w:t>Import growth</w:t>
      </w:r>
      <w:r w:rsidR="00F25CAD" w:rsidRPr="000278E5">
        <w:rPr>
          <w:sz w:val="20"/>
        </w:rPr>
        <w:t xml:space="preserve"> </w:t>
      </w:r>
      <w:r w:rsidR="003F4D0C" w:rsidRPr="000278E5">
        <w:rPr>
          <w:sz w:val="20"/>
        </w:rPr>
        <w:t>is</w:t>
      </w:r>
      <w:r w:rsidR="00F25CAD" w:rsidRPr="000278E5">
        <w:rPr>
          <w:sz w:val="20"/>
        </w:rPr>
        <w:t xml:space="preserve"> also expected to be stronger than forecast at Budget. </w:t>
      </w:r>
    </w:p>
    <w:p w14:paraId="74BCDD52" w14:textId="77777777" w:rsidR="003F4D0C" w:rsidRPr="000278E5" w:rsidRDefault="00D72E58" w:rsidP="0029654C">
      <w:pPr>
        <w:pStyle w:val="OutlineNumbered1"/>
        <w:jc w:val="both"/>
        <w:rPr>
          <w:sz w:val="20"/>
        </w:rPr>
      </w:pPr>
      <w:r>
        <w:rPr>
          <w:sz w:val="20"/>
        </w:rPr>
        <w:t>D</w:t>
      </w:r>
      <w:r w:rsidR="00A12EE1" w:rsidRPr="000278E5">
        <w:rPr>
          <w:sz w:val="20"/>
        </w:rPr>
        <w:t>ry seasonal conditi</w:t>
      </w:r>
      <w:r w:rsidR="00D61A80" w:rsidRPr="000278E5">
        <w:rPr>
          <w:sz w:val="20"/>
        </w:rPr>
        <w:t>ons across south</w:t>
      </w:r>
      <w:r>
        <w:rPr>
          <w:sz w:val="20"/>
        </w:rPr>
        <w:t>-</w:t>
      </w:r>
      <w:r w:rsidR="00D61A80" w:rsidRPr="000278E5">
        <w:rPr>
          <w:sz w:val="20"/>
        </w:rPr>
        <w:t>east Australia</w:t>
      </w:r>
      <w:r w:rsidR="00A12EE1" w:rsidRPr="000278E5">
        <w:rPr>
          <w:sz w:val="20"/>
        </w:rPr>
        <w:t xml:space="preserve"> and </w:t>
      </w:r>
      <w:r>
        <w:rPr>
          <w:sz w:val="20"/>
        </w:rPr>
        <w:t xml:space="preserve">well-below-average rainfall across </w:t>
      </w:r>
      <w:r w:rsidR="00A12EE1" w:rsidRPr="000278E5">
        <w:rPr>
          <w:sz w:val="20"/>
        </w:rPr>
        <w:t xml:space="preserve">much of New South Wales and Queensland </w:t>
      </w:r>
      <w:r>
        <w:rPr>
          <w:sz w:val="20"/>
        </w:rPr>
        <w:t>mean</w:t>
      </w:r>
      <w:r w:rsidR="00A12EE1" w:rsidRPr="000278E5">
        <w:rPr>
          <w:sz w:val="20"/>
        </w:rPr>
        <w:t xml:space="preserve"> that farm production and rural exports will be </w:t>
      </w:r>
      <w:r w:rsidR="00944E7F" w:rsidRPr="000278E5">
        <w:rPr>
          <w:sz w:val="20"/>
        </w:rPr>
        <w:t>lower than forecast at Budget</w:t>
      </w:r>
      <w:r w:rsidR="00A12EE1" w:rsidRPr="000278E5">
        <w:rPr>
          <w:sz w:val="20"/>
        </w:rPr>
        <w:t xml:space="preserve">. </w:t>
      </w:r>
      <w:r w:rsidR="009D5B8E">
        <w:rPr>
          <w:sz w:val="20"/>
        </w:rPr>
        <w:t>T</w:t>
      </w:r>
      <w:r w:rsidR="00635593" w:rsidRPr="000278E5">
        <w:rPr>
          <w:sz w:val="20"/>
        </w:rPr>
        <w:t xml:space="preserve">he detraction </w:t>
      </w:r>
      <w:r w:rsidR="00944E7F" w:rsidRPr="000278E5">
        <w:rPr>
          <w:sz w:val="20"/>
        </w:rPr>
        <w:t xml:space="preserve">from GDP </w:t>
      </w:r>
      <w:r w:rsidR="009D5B8E">
        <w:rPr>
          <w:sz w:val="20"/>
        </w:rPr>
        <w:t xml:space="preserve">is expected </w:t>
      </w:r>
      <w:r w:rsidR="00635593" w:rsidRPr="000278E5">
        <w:rPr>
          <w:sz w:val="20"/>
        </w:rPr>
        <w:t>to be</w:t>
      </w:r>
      <w:r w:rsidR="00D61A80" w:rsidRPr="000278E5">
        <w:rPr>
          <w:sz w:val="20"/>
        </w:rPr>
        <w:t xml:space="preserve"> less than what was observed </w:t>
      </w:r>
      <w:r w:rsidR="008313DA" w:rsidRPr="000278E5">
        <w:rPr>
          <w:sz w:val="20"/>
        </w:rPr>
        <w:t>in 2002</w:t>
      </w:r>
      <w:r w:rsidR="008313DA" w:rsidRPr="000278E5">
        <w:rPr>
          <w:sz w:val="20"/>
        </w:rPr>
        <w:noBreakHyphen/>
        <w:t>03 and 2006</w:t>
      </w:r>
      <w:r w:rsidR="008313DA" w:rsidRPr="000278E5">
        <w:rPr>
          <w:sz w:val="20"/>
        </w:rPr>
        <w:noBreakHyphen/>
        <w:t>07</w:t>
      </w:r>
      <w:r w:rsidR="00D61A80" w:rsidRPr="000278E5">
        <w:rPr>
          <w:sz w:val="20"/>
        </w:rPr>
        <w:t>, when there were more</w:t>
      </w:r>
      <w:r w:rsidR="008313DA" w:rsidRPr="000278E5">
        <w:rPr>
          <w:sz w:val="20"/>
        </w:rPr>
        <w:t xml:space="preserve"> severe drought conditions over a greater part of the country. </w:t>
      </w:r>
      <w:r w:rsidR="00F25CAD" w:rsidRPr="000278E5">
        <w:rPr>
          <w:sz w:val="20"/>
        </w:rPr>
        <w:t xml:space="preserve">Weather conditions continue to evolve and </w:t>
      </w:r>
      <w:r w:rsidR="009D5B8E">
        <w:rPr>
          <w:sz w:val="20"/>
        </w:rPr>
        <w:t>the</w:t>
      </w:r>
      <w:r w:rsidR="00F25CAD" w:rsidRPr="000278E5">
        <w:rPr>
          <w:sz w:val="20"/>
        </w:rPr>
        <w:t xml:space="preserve"> forecasts remain dependent on timely rain through spring.</w:t>
      </w:r>
    </w:p>
    <w:p w14:paraId="0C838F2C" w14:textId="77777777" w:rsidR="009D5B8E" w:rsidRPr="009D5B8E" w:rsidRDefault="00B306BF">
      <w:pPr>
        <w:pStyle w:val="OutlineNumbered1"/>
        <w:spacing w:after="180"/>
        <w:jc w:val="both"/>
        <w:rPr>
          <w:sz w:val="20"/>
        </w:rPr>
      </w:pPr>
      <w:r w:rsidRPr="000278E5">
        <w:rPr>
          <w:sz w:val="20"/>
        </w:rPr>
        <w:t>N</w:t>
      </w:r>
      <w:r w:rsidR="00635593" w:rsidRPr="000278E5">
        <w:rPr>
          <w:sz w:val="20"/>
        </w:rPr>
        <w:t>ominal GDP grew by 4.7 per cent in 2017-18, which was stronger than the 2018-19 Budget forecast of 4¼</w:t>
      </w:r>
      <w:r w:rsidR="009D5B8E" w:rsidRPr="009D5B8E">
        <w:rPr>
          <w:sz w:val="20"/>
        </w:rPr>
        <w:t> </w:t>
      </w:r>
      <w:r w:rsidR="00635593" w:rsidRPr="000278E5">
        <w:rPr>
          <w:sz w:val="20"/>
        </w:rPr>
        <w:t>per cent.</w:t>
      </w:r>
      <w:r w:rsidRPr="000278E5">
        <w:rPr>
          <w:sz w:val="20"/>
        </w:rPr>
        <w:t xml:space="preserve"> The higher-than-expected result was primarily driven by </w:t>
      </w:r>
      <w:r w:rsidR="00876C51" w:rsidRPr="000278E5">
        <w:rPr>
          <w:sz w:val="20"/>
        </w:rPr>
        <w:t>stronger</w:t>
      </w:r>
      <w:r w:rsidR="00876C51" w:rsidRPr="000278E5">
        <w:rPr>
          <w:sz w:val="20"/>
        </w:rPr>
        <w:noBreakHyphen/>
        <w:t>than</w:t>
      </w:r>
      <w:r w:rsidR="00876C51" w:rsidRPr="000278E5">
        <w:rPr>
          <w:sz w:val="20"/>
        </w:rPr>
        <w:noBreakHyphen/>
        <w:t xml:space="preserve">expected real GDP growth and prices for </w:t>
      </w:r>
      <w:r w:rsidRPr="000278E5">
        <w:rPr>
          <w:sz w:val="20"/>
        </w:rPr>
        <w:t>key commodit</w:t>
      </w:r>
      <w:r w:rsidR="009D5B8E">
        <w:rPr>
          <w:sz w:val="20"/>
        </w:rPr>
        <w:t>ies</w:t>
      </w:r>
      <w:r w:rsidRPr="000278E5">
        <w:rPr>
          <w:sz w:val="20"/>
        </w:rPr>
        <w:t xml:space="preserve"> remain</w:t>
      </w:r>
      <w:r w:rsidR="009D5B8E">
        <w:rPr>
          <w:sz w:val="20"/>
        </w:rPr>
        <w:t>ed</w:t>
      </w:r>
      <w:r w:rsidRPr="000278E5">
        <w:rPr>
          <w:sz w:val="20"/>
        </w:rPr>
        <w:t xml:space="preserve"> elevated since the 2018-19 Budget. </w:t>
      </w:r>
      <w:r w:rsidR="009D5B8E" w:rsidRPr="009D5B8E">
        <w:rPr>
          <w:sz w:val="20"/>
        </w:rPr>
        <w:t>Reflecting new assumptions for commodity prices, the terms of trade are forecast to be higher in 2018-19 compared with the 2018-19 Budget, but then fall by more in 2019-20. As a result, nominal GDP is forecast to grow by 4¾</w:t>
      </w:r>
      <w:r w:rsidR="009D5B8E">
        <w:rPr>
          <w:sz w:val="20"/>
        </w:rPr>
        <w:t> </w:t>
      </w:r>
      <w:r w:rsidR="009D5B8E" w:rsidRPr="009D5B8E">
        <w:rPr>
          <w:sz w:val="20"/>
        </w:rPr>
        <w:t>per</w:t>
      </w:r>
      <w:r w:rsidR="009D5B8E">
        <w:rPr>
          <w:sz w:val="20"/>
        </w:rPr>
        <w:t> </w:t>
      </w:r>
      <w:r w:rsidR="009D5B8E" w:rsidRPr="009D5B8E">
        <w:rPr>
          <w:sz w:val="20"/>
        </w:rPr>
        <w:t>cent in 2018-19 and 4¼ per cent in 2019-20.</w:t>
      </w:r>
    </w:p>
    <w:p w14:paraId="2E18528B" w14:textId="77777777" w:rsidR="00B55AC5" w:rsidRPr="000278E5" w:rsidRDefault="009D5B8E">
      <w:pPr>
        <w:pStyle w:val="OutlineNumbered1"/>
        <w:spacing w:after="180"/>
        <w:jc w:val="both"/>
        <w:rPr>
          <w:sz w:val="20"/>
        </w:rPr>
      </w:pPr>
      <w:r>
        <w:rPr>
          <w:rFonts w:asciiTheme="minorHAnsi" w:hAnsiTheme="minorHAnsi"/>
          <w:sz w:val="20"/>
        </w:rPr>
        <w:lastRenderedPageBreak/>
        <w:t xml:space="preserve">The </w:t>
      </w:r>
      <w:r w:rsidR="002A0583" w:rsidRPr="000278E5">
        <w:rPr>
          <w:rFonts w:asciiTheme="minorHAnsi" w:hAnsiTheme="minorHAnsi"/>
          <w:sz w:val="20"/>
        </w:rPr>
        <w:t xml:space="preserve">iron ore </w:t>
      </w:r>
      <w:r w:rsidR="005D2A6F" w:rsidRPr="000278E5">
        <w:rPr>
          <w:rFonts w:asciiTheme="minorHAnsi" w:hAnsiTheme="minorHAnsi"/>
          <w:sz w:val="20"/>
        </w:rPr>
        <w:t xml:space="preserve">spot </w:t>
      </w:r>
      <w:r w:rsidR="002A0583" w:rsidRPr="000278E5">
        <w:rPr>
          <w:rFonts w:asciiTheme="minorHAnsi" w:hAnsiTheme="minorHAnsi"/>
          <w:sz w:val="20"/>
        </w:rPr>
        <w:t>price is assumed to</w:t>
      </w:r>
      <w:r w:rsidR="00FD0AAA" w:rsidRPr="000278E5">
        <w:rPr>
          <w:rFonts w:asciiTheme="minorHAnsi" w:hAnsiTheme="minorHAnsi"/>
          <w:sz w:val="20"/>
        </w:rPr>
        <w:t xml:space="preserve"> </w:t>
      </w:r>
      <w:r w:rsidR="006344A9" w:rsidRPr="000278E5">
        <w:rPr>
          <w:rFonts w:asciiTheme="minorHAnsi" w:hAnsiTheme="minorHAnsi"/>
          <w:sz w:val="20"/>
        </w:rPr>
        <w:t>be</w:t>
      </w:r>
      <w:r w:rsidR="002A0583" w:rsidRPr="000278E5">
        <w:rPr>
          <w:rFonts w:asciiTheme="minorHAnsi" w:hAnsiTheme="minorHAnsi"/>
          <w:sz w:val="20"/>
        </w:rPr>
        <w:t xml:space="preserve"> US$55 per tonne </w:t>
      </w:r>
      <w:r w:rsidR="006344A9" w:rsidRPr="000278E5">
        <w:rPr>
          <w:rFonts w:asciiTheme="minorHAnsi" w:hAnsiTheme="minorHAnsi"/>
          <w:sz w:val="20"/>
        </w:rPr>
        <w:t>throughout</w:t>
      </w:r>
      <w:r w:rsidR="00FD0AAA" w:rsidRPr="000278E5">
        <w:rPr>
          <w:rFonts w:asciiTheme="minorHAnsi" w:hAnsiTheme="minorHAnsi"/>
          <w:sz w:val="20"/>
        </w:rPr>
        <w:t xml:space="preserve"> </w:t>
      </w:r>
      <w:r w:rsidR="006344A9" w:rsidRPr="000278E5">
        <w:rPr>
          <w:rFonts w:asciiTheme="minorHAnsi" w:hAnsiTheme="minorHAnsi"/>
          <w:sz w:val="20"/>
        </w:rPr>
        <w:t xml:space="preserve">the </w:t>
      </w:r>
      <w:r w:rsidR="00FD0AAA" w:rsidRPr="000278E5">
        <w:rPr>
          <w:rFonts w:asciiTheme="minorHAnsi" w:hAnsiTheme="minorHAnsi"/>
          <w:sz w:val="20"/>
        </w:rPr>
        <w:t>forecast period</w:t>
      </w:r>
      <w:r w:rsidR="002A0583" w:rsidRPr="000278E5">
        <w:rPr>
          <w:rFonts w:asciiTheme="minorHAnsi" w:hAnsiTheme="minorHAnsi"/>
          <w:sz w:val="20"/>
        </w:rPr>
        <w:t xml:space="preserve">. The metallurgical coal </w:t>
      </w:r>
      <w:r w:rsidR="005D2A6F" w:rsidRPr="000278E5">
        <w:rPr>
          <w:rFonts w:asciiTheme="minorHAnsi" w:hAnsiTheme="minorHAnsi"/>
          <w:sz w:val="20"/>
        </w:rPr>
        <w:t xml:space="preserve">spot </w:t>
      </w:r>
      <w:r w:rsidR="002A0583" w:rsidRPr="000278E5">
        <w:rPr>
          <w:rFonts w:asciiTheme="minorHAnsi" w:hAnsiTheme="minorHAnsi"/>
          <w:sz w:val="20"/>
        </w:rPr>
        <w:t>price is assumed to fall</w:t>
      </w:r>
      <w:r w:rsidR="00FD0AAA" w:rsidRPr="000278E5">
        <w:rPr>
          <w:rFonts w:asciiTheme="minorHAnsi" w:hAnsiTheme="minorHAnsi"/>
          <w:sz w:val="20"/>
        </w:rPr>
        <w:t xml:space="preserve"> </w:t>
      </w:r>
      <w:r w:rsidR="002A0583" w:rsidRPr="000278E5">
        <w:rPr>
          <w:rFonts w:asciiTheme="minorHAnsi" w:hAnsiTheme="minorHAnsi"/>
          <w:sz w:val="20"/>
        </w:rPr>
        <w:t xml:space="preserve">through </w:t>
      </w:r>
      <w:r w:rsidR="00BA6F99" w:rsidRPr="000278E5">
        <w:rPr>
          <w:rFonts w:asciiTheme="minorHAnsi" w:hAnsiTheme="minorHAnsi"/>
          <w:sz w:val="20"/>
        </w:rPr>
        <w:t xml:space="preserve">the </w:t>
      </w:r>
      <w:r w:rsidR="00635593" w:rsidRPr="000278E5">
        <w:rPr>
          <w:rFonts w:asciiTheme="minorHAnsi" w:hAnsiTheme="minorHAnsi"/>
          <w:sz w:val="20"/>
        </w:rPr>
        <w:t>December quarter</w:t>
      </w:r>
      <w:r w:rsidR="002A0583" w:rsidRPr="000278E5">
        <w:rPr>
          <w:rFonts w:asciiTheme="minorHAnsi" w:hAnsiTheme="minorHAnsi"/>
          <w:sz w:val="20"/>
        </w:rPr>
        <w:t xml:space="preserve"> of 2018 </w:t>
      </w:r>
      <w:r w:rsidR="00635593" w:rsidRPr="000278E5">
        <w:rPr>
          <w:rFonts w:asciiTheme="minorHAnsi" w:hAnsiTheme="minorHAnsi"/>
          <w:sz w:val="20"/>
        </w:rPr>
        <w:t xml:space="preserve">and the March quarter of 2019 </w:t>
      </w:r>
      <w:r w:rsidR="002A0583" w:rsidRPr="000278E5">
        <w:rPr>
          <w:rFonts w:asciiTheme="minorHAnsi" w:hAnsiTheme="minorHAnsi"/>
          <w:sz w:val="20"/>
        </w:rPr>
        <w:t xml:space="preserve">to reach US$120 per tonne in the </w:t>
      </w:r>
      <w:r w:rsidR="00635593" w:rsidRPr="000278E5">
        <w:rPr>
          <w:rFonts w:asciiTheme="minorHAnsi" w:hAnsiTheme="minorHAnsi"/>
          <w:sz w:val="20"/>
        </w:rPr>
        <w:t>June quarter 2019</w:t>
      </w:r>
      <w:r w:rsidR="002A0583" w:rsidRPr="000278E5">
        <w:rPr>
          <w:rFonts w:asciiTheme="minorHAnsi" w:hAnsiTheme="minorHAnsi"/>
          <w:sz w:val="20"/>
        </w:rPr>
        <w:t xml:space="preserve">. The thermal coal </w:t>
      </w:r>
      <w:r w:rsidR="005D2A6F" w:rsidRPr="000278E5">
        <w:rPr>
          <w:rFonts w:asciiTheme="minorHAnsi" w:hAnsiTheme="minorHAnsi"/>
          <w:sz w:val="20"/>
        </w:rPr>
        <w:t xml:space="preserve">spot </w:t>
      </w:r>
      <w:r w:rsidR="002A0583" w:rsidRPr="000278E5">
        <w:rPr>
          <w:rFonts w:asciiTheme="minorHAnsi" w:hAnsiTheme="minorHAnsi"/>
          <w:sz w:val="20"/>
        </w:rPr>
        <w:t xml:space="preserve">price is assumed to </w:t>
      </w:r>
      <w:r w:rsidR="006344A9" w:rsidRPr="000278E5">
        <w:rPr>
          <w:rFonts w:asciiTheme="minorHAnsi" w:hAnsiTheme="minorHAnsi"/>
          <w:sz w:val="20"/>
        </w:rPr>
        <w:t>be</w:t>
      </w:r>
      <w:r w:rsidR="00635593" w:rsidRPr="000278E5">
        <w:rPr>
          <w:rFonts w:asciiTheme="minorHAnsi" w:hAnsiTheme="minorHAnsi"/>
          <w:sz w:val="20"/>
        </w:rPr>
        <w:t xml:space="preserve"> US$93</w:t>
      </w:r>
      <w:r w:rsidR="00D61A80" w:rsidRPr="000278E5">
        <w:rPr>
          <w:rFonts w:asciiTheme="minorHAnsi" w:hAnsiTheme="minorHAnsi"/>
          <w:sz w:val="20"/>
        </w:rPr>
        <w:t> </w:t>
      </w:r>
      <w:r w:rsidR="002A0583" w:rsidRPr="000278E5">
        <w:rPr>
          <w:rFonts w:asciiTheme="minorHAnsi" w:hAnsiTheme="minorHAnsi"/>
          <w:sz w:val="20"/>
        </w:rPr>
        <w:t>per tonne</w:t>
      </w:r>
      <w:r w:rsidR="0014590D" w:rsidRPr="000278E5">
        <w:rPr>
          <w:rFonts w:asciiTheme="minorHAnsi" w:hAnsiTheme="minorHAnsi"/>
          <w:sz w:val="20"/>
        </w:rPr>
        <w:t xml:space="preserve"> </w:t>
      </w:r>
      <w:r w:rsidR="006344A9" w:rsidRPr="000278E5">
        <w:rPr>
          <w:rFonts w:asciiTheme="minorHAnsi" w:hAnsiTheme="minorHAnsi"/>
          <w:sz w:val="20"/>
        </w:rPr>
        <w:t>throughout</w:t>
      </w:r>
      <w:r w:rsidR="0014590D" w:rsidRPr="000278E5">
        <w:rPr>
          <w:rFonts w:asciiTheme="minorHAnsi" w:hAnsiTheme="minorHAnsi"/>
          <w:sz w:val="20"/>
        </w:rPr>
        <w:t xml:space="preserve"> the forecast period</w:t>
      </w:r>
      <w:r w:rsidR="002A0583" w:rsidRPr="000278E5">
        <w:rPr>
          <w:rFonts w:asciiTheme="minorHAnsi" w:hAnsiTheme="minorHAnsi"/>
          <w:sz w:val="20"/>
        </w:rPr>
        <w:t xml:space="preserve">. </w:t>
      </w:r>
      <w:r w:rsidRPr="009D5B8E">
        <w:rPr>
          <w:rFonts w:asciiTheme="minorHAnsi" w:hAnsiTheme="minorHAnsi"/>
          <w:sz w:val="20"/>
        </w:rPr>
        <w:t xml:space="preserve"> </w:t>
      </w:r>
      <w:r w:rsidR="00635593" w:rsidRPr="000278E5">
        <w:rPr>
          <w:rFonts w:asciiTheme="minorHAnsi" w:hAnsiTheme="minorHAnsi"/>
          <w:sz w:val="20"/>
        </w:rPr>
        <w:t>T</w:t>
      </w:r>
      <w:r w:rsidR="00B55AC5" w:rsidRPr="000278E5">
        <w:rPr>
          <w:sz w:val="20"/>
        </w:rPr>
        <w:t>he exchange rate</w:t>
      </w:r>
      <w:r w:rsidR="00635593" w:rsidRPr="000278E5">
        <w:rPr>
          <w:sz w:val="20"/>
        </w:rPr>
        <w:t xml:space="preserve"> is</w:t>
      </w:r>
      <w:r w:rsidR="00B55AC5" w:rsidRPr="000278E5">
        <w:rPr>
          <w:sz w:val="20"/>
        </w:rPr>
        <w:t xml:space="preserve"> lower than the </w:t>
      </w:r>
      <w:r w:rsidR="00635593" w:rsidRPr="000278E5">
        <w:rPr>
          <w:sz w:val="20"/>
        </w:rPr>
        <w:t xml:space="preserve">2018-19 Budget </w:t>
      </w:r>
      <w:r w:rsidR="00B55AC5" w:rsidRPr="000278E5">
        <w:rPr>
          <w:sz w:val="20"/>
        </w:rPr>
        <w:t>assumption</w:t>
      </w:r>
      <w:r w:rsidR="00635593" w:rsidRPr="000278E5">
        <w:rPr>
          <w:sz w:val="20"/>
        </w:rPr>
        <w:t xml:space="preserve"> </w:t>
      </w:r>
      <w:r w:rsidR="00B55AC5" w:rsidRPr="000278E5">
        <w:rPr>
          <w:sz w:val="20"/>
        </w:rPr>
        <w:t xml:space="preserve">and </w:t>
      </w:r>
      <w:r w:rsidR="00FD0AAA" w:rsidRPr="000278E5">
        <w:rPr>
          <w:sz w:val="20"/>
        </w:rPr>
        <w:t xml:space="preserve">is </w:t>
      </w:r>
      <w:r w:rsidR="00677831" w:rsidRPr="000278E5">
        <w:rPr>
          <w:sz w:val="20"/>
        </w:rPr>
        <w:t xml:space="preserve">assumed to be </w:t>
      </w:r>
      <w:r w:rsidR="00FD0AAA" w:rsidRPr="000278E5">
        <w:rPr>
          <w:sz w:val="20"/>
        </w:rPr>
        <w:t>7</w:t>
      </w:r>
      <w:r w:rsidR="00635593" w:rsidRPr="000278E5">
        <w:rPr>
          <w:sz w:val="20"/>
        </w:rPr>
        <w:t>3</w:t>
      </w:r>
      <w:r w:rsidR="001B5AA6" w:rsidRPr="000278E5">
        <w:rPr>
          <w:sz w:val="20"/>
        </w:rPr>
        <w:t> </w:t>
      </w:r>
      <w:r w:rsidR="00FD0AAA" w:rsidRPr="000278E5">
        <w:rPr>
          <w:sz w:val="20"/>
        </w:rPr>
        <w:t>US</w:t>
      </w:r>
      <w:r w:rsidR="001B5AA6" w:rsidRPr="000278E5">
        <w:rPr>
          <w:sz w:val="20"/>
        </w:rPr>
        <w:t> </w:t>
      </w:r>
      <w:r w:rsidR="00FD0AAA" w:rsidRPr="000278E5">
        <w:rPr>
          <w:sz w:val="20"/>
        </w:rPr>
        <w:t>cents and 6</w:t>
      </w:r>
      <w:r w:rsidR="00635593" w:rsidRPr="000278E5">
        <w:rPr>
          <w:sz w:val="20"/>
        </w:rPr>
        <w:t>3</w:t>
      </w:r>
      <w:r w:rsidR="00677831" w:rsidRPr="000278E5">
        <w:rPr>
          <w:sz w:val="20"/>
        </w:rPr>
        <w:t xml:space="preserve"> on a trade-weighted basis (TWI)</w:t>
      </w:r>
      <w:r w:rsidR="00B55AC5" w:rsidRPr="000278E5">
        <w:rPr>
          <w:sz w:val="20"/>
        </w:rPr>
        <w:t xml:space="preserve">. </w:t>
      </w:r>
      <w:r w:rsidR="00635593" w:rsidRPr="000278E5">
        <w:rPr>
          <w:sz w:val="20"/>
        </w:rPr>
        <w:t xml:space="preserve">The oil price is higher than the 2018-19 Budget </w:t>
      </w:r>
      <w:r w:rsidR="00B306BF" w:rsidRPr="000278E5">
        <w:rPr>
          <w:sz w:val="20"/>
        </w:rPr>
        <w:t>assumption and is assumed to be</w:t>
      </w:r>
      <w:r w:rsidR="00635593" w:rsidRPr="000278E5">
        <w:rPr>
          <w:sz w:val="20"/>
        </w:rPr>
        <w:t xml:space="preserve"> US$76 per barrel</w:t>
      </w:r>
      <w:r w:rsidR="00B306BF" w:rsidRPr="000278E5">
        <w:rPr>
          <w:sz w:val="20"/>
        </w:rPr>
        <w:t xml:space="preserve"> (Malaysian Tapis)</w:t>
      </w:r>
      <w:r w:rsidR="00A12EE1" w:rsidRPr="000278E5">
        <w:rPr>
          <w:sz w:val="20"/>
        </w:rPr>
        <w:t>.</w:t>
      </w:r>
    </w:p>
    <w:p w14:paraId="762363E0" w14:textId="38D82475" w:rsidR="0029654C" w:rsidRPr="000278E5" w:rsidRDefault="008A3986">
      <w:pPr>
        <w:pStyle w:val="OutlineNumbered1"/>
        <w:spacing w:after="180"/>
        <w:jc w:val="both"/>
        <w:rPr>
          <w:sz w:val="20"/>
        </w:rPr>
      </w:pPr>
      <w:r w:rsidRPr="000278E5">
        <w:rPr>
          <w:sz w:val="20"/>
        </w:rPr>
        <w:t>Labour market conditions have been strong, with almost 350,000 jobs created in 2017-18. Employment grew by 2.7</w:t>
      </w:r>
      <w:r w:rsidR="007913C9">
        <w:rPr>
          <w:sz w:val="20"/>
        </w:rPr>
        <w:t> </w:t>
      </w:r>
      <w:r w:rsidRPr="000278E5">
        <w:rPr>
          <w:sz w:val="20"/>
        </w:rPr>
        <w:t xml:space="preserve">per cent through the year to the June quarter 2018 and the unemployment rate was 5.4 per cent in the June quarter 2018, both consistent with the 2018-19 Budget forecasts. Reflecting stronger labour market outcomes so far </w:t>
      </w:r>
      <w:r w:rsidR="00941733" w:rsidRPr="00941733">
        <w:rPr>
          <w:sz w:val="20"/>
        </w:rPr>
        <w:t>in 2018-19</w:t>
      </w:r>
      <w:r w:rsidRPr="000278E5">
        <w:rPr>
          <w:sz w:val="20"/>
        </w:rPr>
        <w:t>, t</w:t>
      </w:r>
      <w:r w:rsidR="00635593" w:rsidRPr="000278E5">
        <w:rPr>
          <w:sz w:val="20"/>
        </w:rPr>
        <w:t>he forecast for employment growth has been upgraded by ¼ of a percentage point to 1¾ per cent through the year to t</w:t>
      </w:r>
      <w:r w:rsidRPr="000278E5">
        <w:rPr>
          <w:sz w:val="20"/>
        </w:rPr>
        <w:t>he June quarter of 2019</w:t>
      </w:r>
      <w:r w:rsidR="00635593" w:rsidRPr="000278E5">
        <w:rPr>
          <w:sz w:val="20"/>
        </w:rPr>
        <w:t xml:space="preserve">. </w:t>
      </w:r>
      <w:r w:rsidRPr="000278E5">
        <w:rPr>
          <w:sz w:val="20"/>
        </w:rPr>
        <w:t>The unemployment rate is unchanged from Budget and is forecast to be 5¼ per cent in the June quarters of 2019 and 2020.</w:t>
      </w:r>
    </w:p>
    <w:p w14:paraId="46BB9038" w14:textId="77777777" w:rsidR="00F476F8" w:rsidRPr="000278E5" w:rsidRDefault="00B306BF" w:rsidP="0029654C">
      <w:pPr>
        <w:pStyle w:val="OutlineNumbered1"/>
        <w:spacing w:after="180"/>
        <w:jc w:val="both"/>
        <w:rPr>
          <w:sz w:val="20"/>
        </w:rPr>
      </w:pPr>
      <w:r w:rsidRPr="000278E5">
        <w:rPr>
          <w:sz w:val="20"/>
        </w:rPr>
        <w:t>Wage and consumer price growth have each been slightly downgraded, by ¼ of a percentage point through the year to the June quarter</w:t>
      </w:r>
      <w:r w:rsidR="00B56396">
        <w:rPr>
          <w:sz w:val="20"/>
        </w:rPr>
        <w:t>s</w:t>
      </w:r>
      <w:r w:rsidRPr="000278E5">
        <w:rPr>
          <w:sz w:val="20"/>
        </w:rPr>
        <w:t xml:space="preserve"> of 2019 and 2020. While wage and consumer price growth through the year to the June quarter 2018 were consistent with </w:t>
      </w:r>
      <w:r w:rsidR="00D61A80" w:rsidRPr="000278E5">
        <w:rPr>
          <w:sz w:val="20"/>
        </w:rPr>
        <w:t xml:space="preserve">the 2018-19 </w:t>
      </w:r>
      <w:r w:rsidRPr="000278E5">
        <w:rPr>
          <w:sz w:val="20"/>
        </w:rPr>
        <w:t xml:space="preserve">Budget forecasts, recent momentum has been a little weaker than would usually be expected at this stage of the economic cycle. </w:t>
      </w:r>
      <w:r w:rsidR="00F55EC4" w:rsidRPr="000278E5">
        <w:rPr>
          <w:sz w:val="20"/>
        </w:rPr>
        <w:t>The child care policy changes are also expected to result in a weaker CPI in the September quarter 2018, due to the impact on out</w:t>
      </w:r>
      <w:r w:rsidR="00F55EC4" w:rsidRPr="000278E5">
        <w:rPr>
          <w:sz w:val="20"/>
        </w:rPr>
        <w:noBreakHyphen/>
        <w:t>of</w:t>
      </w:r>
      <w:r w:rsidR="00F55EC4" w:rsidRPr="000278E5">
        <w:rPr>
          <w:sz w:val="20"/>
        </w:rPr>
        <w:noBreakHyphen/>
        <w:t xml:space="preserve">pocket child care costs. </w:t>
      </w:r>
      <w:r w:rsidRPr="000278E5">
        <w:rPr>
          <w:sz w:val="20"/>
        </w:rPr>
        <w:t>Wage growth and inflation are expected to pick</w:t>
      </w:r>
      <w:r w:rsidR="00944E7F" w:rsidRPr="000278E5">
        <w:rPr>
          <w:sz w:val="20"/>
        </w:rPr>
        <w:t xml:space="preserve"> </w:t>
      </w:r>
      <w:r w:rsidRPr="000278E5">
        <w:rPr>
          <w:sz w:val="20"/>
        </w:rPr>
        <w:t xml:space="preserve">up as </w:t>
      </w:r>
      <w:r w:rsidR="00944E7F" w:rsidRPr="000278E5">
        <w:rPr>
          <w:sz w:val="20"/>
        </w:rPr>
        <w:t xml:space="preserve">spare capacity in the economy is </w:t>
      </w:r>
      <w:r w:rsidR="00B56396">
        <w:rPr>
          <w:sz w:val="20"/>
        </w:rPr>
        <w:t>absorbed.</w:t>
      </w:r>
      <w:r w:rsidR="00F476F8" w:rsidRPr="000278E5">
        <w:rPr>
          <w:rFonts w:asciiTheme="minorHAnsi" w:hAnsiTheme="minorHAnsi"/>
          <w:b/>
          <w:sz w:val="20"/>
        </w:rPr>
        <w:br w:type="page"/>
      </w:r>
    </w:p>
    <w:p w14:paraId="24989A53" w14:textId="68116637" w:rsidR="00EE423C" w:rsidRDefault="00EE423C" w:rsidP="00EE423C">
      <w:pPr>
        <w:spacing w:before="0" w:after="200" w:line="276" w:lineRule="auto"/>
        <w:rPr>
          <w:rFonts w:eastAsia="Calibri"/>
          <w:b/>
          <w:szCs w:val="22"/>
          <w:lang w:eastAsia="en-US"/>
        </w:rPr>
      </w:pPr>
      <w:r w:rsidRPr="00EE423C">
        <w:rPr>
          <w:rFonts w:eastAsia="Calibri"/>
          <w:b/>
          <w:szCs w:val="22"/>
          <w:lang w:eastAsia="en-US"/>
        </w:rPr>
        <w:lastRenderedPageBreak/>
        <w:t>Table: Domestic economy forecasts</w:t>
      </w:r>
    </w:p>
    <w:p w14:paraId="0D651DCC" w14:textId="22BEA3A2" w:rsidR="00EE423C" w:rsidRPr="000D3F2B" w:rsidRDefault="000D3F2B" w:rsidP="000D3F2B">
      <w:pPr>
        <w:spacing w:before="0" w:after="200" w:line="276" w:lineRule="auto"/>
        <w:rPr>
          <w:rFonts w:eastAsia="Calibri"/>
          <w:b/>
          <w:szCs w:val="22"/>
          <w:lang w:eastAsia="en-US"/>
        </w:rPr>
      </w:pPr>
      <w:r w:rsidRPr="000D3F2B">
        <w:rPr>
          <w:rFonts w:eastAsia="Calibri"/>
        </w:rPr>
        <w:drawing>
          <wp:inline distT="0" distB="0" distL="0" distR="0" wp14:anchorId="7D0E9485" wp14:editId="6E8D07A2">
            <wp:extent cx="4676775" cy="5924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843"/>
      </w:tblGrid>
      <w:tr w:rsidR="00EE423C" w:rsidRPr="000D3F2B" w14:paraId="593D95FF" w14:textId="77777777" w:rsidTr="000D3F2B">
        <w:tc>
          <w:tcPr>
            <w:tcW w:w="4621" w:type="dxa"/>
          </w:tcPr>
          <w:p w14:paraId="7B34E50F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(a)  Percentage change on preceding year unless otherwise indicated.</w:t>
            </w:r>
          </w:p>
        </w:tc>
        <w:tc>
          <w:tcPr>
            <w:tcW w:w="4843" w:type="dxa"/>
          </w:tcPr>
          <w:p w14:paraId="37447B5E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(f)  Seasonally adjusted, through</w:t>
            </w:r>
            <w:r w:rsidRPr="000D3F2B">
              <w:rPr>
                <w:rFonts w:ascii="MS Gothic" w:eastAsia="MS Gothic" w:hAnsi="MS Gothic" w:cs="MS Gothic" w:hint="eastAsia"/>
                <w:sz w:val="14"/>
                <w:szCs w:val="14"/>
                <w:lang w:eastAsia="en-US"/>
              </w:rPr>
              <w:t>‑</w:t>
            </w: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the</w:t>
            </w:r>
            <w:r w:rsidRPr="000D3F2B">
              <w:rPr>
                <w:rFonts w:ascii="MS Gothic" w:eastAsia="MS Gothic" w:hAnsi="MS Gothic" w:cs="MS Gothic" w:hint="eastAsia"/>
                <w:sz w:val="14"/>
                <w:szCs w:val="14"/>
                <w:lang w:eastAsia="en-US"/>
              </w:rPr>
              <w:t>‑</w:t>
            </w: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year growth rate to the June quarter.</w:t>
            </w:r>
          </w:p>
        </w:tc>
      </w:tr>
      <w:tr w:rsidR="00EE423C" w:rsidRPr="000D3F2B" w14:paraId="13586636" w14:textId="77777777" w:rsidTr="000D3F2B">
        <w:tc>
          <w:tcPr>
            <w:tcW w:w="4621" w:type="dxa"/>
          </w:tcPr>
          <w:p w14:paraId="2AB0311A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(b)  Calculated using original data unless otherwise indicated.</w:t>
            </w:r>
          </w:p>
        </w:tc>
        <w:tc>
          <w:tcPr>
            <w:tcW w:w="4843" w:type="dxa"/>
          </w:tcPr>
          <w:p w14:paraId="445887A4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(g)  Seasonally adjusted rate for the June quarter.</w:t>
            </w:r>
          </w:p>
        </w:tc>
      </w:tr>
      <w:tr w:rsidR="00EE423C" w:rsidRPr="000D3F2B" w14:paraId="77BC0C6A" w14:textId="77777777" w:rsidTr="000D3F2B">
        <w:tc>
          <w:tcPr>
            <w:tcW w:w="4621" w:type="dxa"/>
          </w:tcPr>
          <w:p w14:paraId="4155F1F8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(c)  Excluding second</w:t>
            </w:r>
            <w:r w:rsidRPr="000D3F2B">
              <w:rPr>
                <w:rFonts w:ascii="MS Gothic" w:eastAsia="MS Gothic" w:hAnsi="MS Gothic" w:cs="MS Gothic" w:hint="eastAsia"/>
                <w:sz w:val="14"/>
                <w:szCs w:val="14"/>
                <w:lang w:eastAsia="en-US"/>
              </w:rPr>
              <w:t>‑</w:t>
            </w: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hand asset sales.</w:t>
            </w:r>
          </w:p>
        </w:tc>
        <w:tc>
          <w:tcPr>
            <w:tcW w:w="4843" w:type="dxa"/>
          </w:tcPr>
          <w:p w14:paraId="19309475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(h) Reported in calendar years (i.e. 2017-18 = 2017).</w:t>
            </w:r>
          </w:p>
        </w:tc>
      </w:tr>
      <w:tr w:rsidR="00EE423C" w:rsidRPr="000D3F2B" w14:paraId="70325529" w14:textId="77777777" w:rsidTr="000D3F2B">
        <w:tc>
          <w:tcPr>
            <w:tcW w:w="4621" w:type="dxa"/>
          </w:tcPr>
          <w:p w14:paraId="04353C64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(d)  Percentage point contribution to growth in GDP.</w:t>
            </w:r>
          </w:p>
        </w:tc>
        <w:tc>
          <w:tcPr>
            <w:tcW w:w="4843" w:type="dxa"/>
          </w:tcPr>
          <w:p w14:paraId="095A81CD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</w:t>
            </w:r>
            <w:proofErr w:type="spellStart"/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i</w:t>
            </w:r>
            <w:proofErr w:type="spellEnd"/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) Level in the June quarter.</w:t>
            </w:r>
          </w:p>
        </w:tc>
      </w:tr>
      <w:tr w:rsidR="00EE423C" w:rsidRPr="000D3F2B" w14:paraId="6E097144" w14:textId="77777777" w:rsidTr="000D3F2B">
        <w:trPr>
          <w:trHeight w:val="337"/>
        </w:trPr>
        <w:tc>
          <w:tcPr>
            <w:tcW w:w="4621" w:type="dxa"/>
          </w:tcPr>
          <w:p w14:paraId="55F9EEDE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(e)  Through-the-year growth rate to the June quarter.</w:t>
            </w:r>
          </w:p>
        </w:tc>
        <w:tc>
          <w:tcPr>
            <w:tcW w:w="4843" w:type="dxa"/>
          </w:tcPr>
          <w:p w14:paraId="704DA6EB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</w:tr>
      <w:tr w:rsidR="00EE423C" w:rsidRPr="000D3F2B" w14:paraId="78BDCD78" w14:textId="77777777" w:rsidTr="000D3F2B">
        <w:tc>
          <w:tcPr>
            <w:tcW w:w="9464" w:type="dxa"/>
            <w:gridSpan w:val="2"/>
          </w:tcPr>
          <w:p w14:paraId="6B1AA877" w14:textId="77777777" w:rsidR="00EE423C" w:rsidRPr="000D3F2B" w:rsidRDefault="00EE423C" w:rsidP="00EE423C">
            <w:pPr>
              <w:spacing w:before="0" w:after="0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0D3F2B">
              <w:rPr>
                <w:rFonts w:ascii="Arial" w:eastAsia="Calibri" w:hAnsi="Arial" w:cs="Arial"/>
                <w:sz w:val="14"/>
                <w:szCs w:val="14"/>
                <w:lang w:eastAsia="en-US"/>
              </w:rPr>
              <w:t>Source: ABS cat. no. 5206.0, 5302.0, 6202.0, 6345.0, 6401.0, unpublished ABS data and Treasury.</w:t>
            </w:r>
          </w:p>
        </w:tc>
      </w:tr>
    </w:tbl>
    <w:p w14:paraId="248078B2" w14:textId="77777777" w:rsidR="00B55AC5" w:rsidRPr="000D3F2B" w:rsidRDefault="00B55AC5" w:rsidP="00FD0AAA">
      <w:pPr>
        <w:pStyle w:val="TableGraphic"/>
        <w:rPr>
          <w:sz w:val="14"/>
          <w:szCs w:val="14"/>
        </w:rPr>
      </w:pPr>
    </w:p>
    <w:p w14:paraId="6FA30121" w14:textId="77777777" w:rsidR="00876C51" w:rsidRPr="00876C51" w:rsidRDefault="00876C51" w:rsidP="00876C51"/>
    <w:sectPr w:rsidR="00876C51" w:rsidRPr="00876C51" w:rsidSect="00B55A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A4508" w14:textId="77777777" w:rsidR="00B55AC5" w:rsidRDefault="00B55AC5">
      <w:pPr>
        <w:spacing w:before="0" w:after="0"/>
      </w:pPr>
      <w:r>
        <w:separator/>
      </w:r>
    </w:p>
  </w:endnote>
  <w:endnote w:type="continuationSeparator" w:id="0">
    <w:p w14:paraId="27206B1D" w14:textId="77777777" w:rsidR="00B55AC5" w:rsidRDefault="00B55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95F0" w14:textId="77777777" w:rsidR="00EF145E" w:rsidRDefault="00EF145E" w:rsidP="003C24B4">
    <w:pPr>
      <w:pStyle w:val="FooterEven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55AC5">
      <w:t>2</w:t>
    </w:r>
    <w:r>
      <w:fldChar w:fldCharType="end"/>
    </w:r>
  </w:p>
  <w:p w14:paraId="41571A90" w14:textId="3DCB2A50" w:rsidR="00B55AC5" w:rsidRDefault="00BF1AF9" w:rsidP="00B55AC5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544169">
      <w:t>Protected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EB6F" w14:textId="68D1E192" w:rsidR="00C72318" w:rsidRDefault="00C72318" w:rsidP="003A1F0A">
    <w:pPr>
      <w:pStyle w:val="SecurityClassificationHeader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B08419" wp14:editId="57C89443">
          <wp:simplePos x="904875" y="5705475"/>
          <wp:positionH relativeFrom="page">
            <wp:align>center</wp:align>
          </wp:positionH>
          <wp:positionV relativeFrom="page">
            <wp:align>bottom</wp:align>
          </wp:positionV>
          <wp:extent cx="7560000" cy="5959800"/>
          <wp:effectExtent l="0" t="0" r="317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A087" w14:textId="36D239D9" w:rsidR="00B55AC5" w:rsidRDefault="00BF1AF9" w:rsidP="00B55AC5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544169">
      <w:t>Protected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BCD5D" w14:textId="77777777" w:rsidR="00EF145E" w:rsidRDefault="00EF145E" w:rsidP="00784A98">
    <w:pPr>
      <w:pStyle w:val="FooterEven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91D78">
      <w:t>2</w:t>
    </w:r>
    <w:r>
      <w:fldChar w:fldCharType="end"/>
    </w:r>
  </w:p>
  <w:p w14:paraId="41622FD1" w14:textId="17F1F8FA" w:rsidR="00674B04" w:rsidRDefault="00674B04" w:rsidP="006344A9">
    <w:pPr>
      <w:pStyle w:val="SecurityClassificationHead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129F1" w14:textId="77777777" w:rsidR="00EF145E" w:rsidRDefault="00EF145E" w:rsidP="006C5B73">
    <w:pPr>
      <w:pStyle w:val="FooterOdd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991D78">
      <w:rPr>
        <w:noProof/>
      </w:rPr>
      <w:t>3</w:t>
    </w:r>
    <w:r>
      <w:rPr>
        <w:noProof/>
      </w:rPr>
      <w:fldChar w:fldCharType="end"/>
    </w:r>
  </w:p>
  <w:p w14:paraId="0F32E5FC" w14:textId="3E427E3E" w:rsidR="00B55AC5" w:rsidRDefault="00B55AC5" w:rsidP="006344A9">
    <w:pPr>
      <w:pStyle w:val="SecurityClassificationHead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77C5" w14:textId="0438517C" w:rsidR="00EF145E" w:rsidRDefault="00BF1AF9" w:rsidP="00B55AC5">
    <w:pPr>
      <w:pStyle w:val="SecurityClassificationFooter"/>
    </w:pPr>
    <w:r>
      <w:fldChar w:fldCharType="begin"/>
    </w:r>
    <w:r>
      <w:instrText xml:space="preserve"> DOCPROPERTY SecurityClassificati</w:instrText>
    </w:r>
    <w:r>
      <w:instrText xml:space="preserve">on \* MERGEFORMAT </w:instrText>
    </w:r>
    <w:r>
      <w:fldChar w:fldCharType="separate"/>
    </w:r>
    <w:r w:rsidR="00544169">
      <w:t>Protected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9982B" w14:textId="77777777" w:rsidR="00B55AC5" w:rsidRDefault="00B55AC5">
      <w:pPr>
        <w:spacing w:before="0" w:after="0"/>
      </w:pPr>
      <w:r>
        <w:separator/>
      </w:r>
    </w:p>
  </w:footnote>
  <w:footnote w:type="continuationSeparator" w:id="0">
    <w:p w14:paraId="44A92826" w14:textId="77777777" w:rsidR="00B55AC5" w:rsidRDefault="00B55AC5">
      <w:pPr>
        <w:spacing w:before="0" w:after="0"/>
      </w:pPr>
      <w:r>
        <w:continuationSeparator/>
      </w:r>
    </w:p>
  </w:footnote>
  <w:footnote w:id="1">
    <w:p w14:paraId="44ECBEBB" w14:textId="77777777" w:rsidR="0029654C" w:rsidRPr="000278E5" w:rsidRDefault="0029654C">
      <w:pPr>
        <w:pStyle w:val="FootnoteText"/>
        <w:rPr>
          <w:sz w:val="18"/>
          <w:szCs w:val="18"/>
        </w:rPr>
      </w:pPr>
      <w:r w:rsidRPr="000278E5">
        <w:rPr>
          <w:rStyle w:val="FootnoteReference"/>
          <w:sz w:val="18"/>
          <w:szCs w:val="18"/>
        </w:rPr>
        <w:footnoteRef/>
      </w:r>
      <w:r w:rsidRPr="000278E5">
        <w:rPr>
          <w:sz w:val="18"/>
          <w:szCs w:val="18"/>
        </w:rPr>
        <w:t xml:space="preserve"> This report is based on domestic and international data released up to 3 October 2018.</w:t>
      </w:r>
    </w:p>
  </w:footnote>
  <w:footnote w:id="2">
    <w:p w14:paraId="495DF775" w14:textId="77777777" w:rsidR="00AE620E" w:rsidRDefault="00AE620E">
      <w:pPr>
        <w:pStyle w:val="FootnoteText"/>
      </w:pPr>
      <w:r>
        <w:rPr>
          <w:rStyle w:val="FootnoteReference"/>
        </w:rPr>
        <w:footnoteRef/>
      </w:r>
      <w:r>
        <w:t xml:space="preserve"> These forecasts were prepared based on information Treasury had at the time that the changes to child care support payments in July 2018 would lead to a shift in activity between household consumption and public consumption.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C1EE" w14:textId="462238BF" w:rsidR="00B55AC5" w:rsidRDefault="00BF1AF9" w:rsidP="00B55AC5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544169">
      <w:t>Protected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DA205" w14:textId="26985D5D" w:rsidR="00C72318" w:rsidRDefault="00C72318" w:rsidP="003A1F0A">
    <w:pPr>
      <w:pStyle w:val="SecurityClassificationHeader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0D33CC" wp14:editId="0988BC67">
          <wp:simplePos x="904875" y="447675"/>
          <wp:positionH relativeFrom="page">
            <wp:align>center</wp:align>
          </wp:positionH>
          <wp:positionV relativeFrom="page">
            <wp:posOffset>180340</wp:posOffset>
          </wp:positionV>
          <wp:extent cx="7200000" cy="107964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48DDE" w14:textId="787CCA3F" w:rsidR="00B55AC5" w:rsidRDefault="00BF1AF9" w:rsidP="00B55AC5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544169">
      <w:t>Protected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F9B12" w14:textId="084E0072" w:rsidR="00B55AC5" w:rsidRPr="001F3912" w:rsidRDefault="00B55AC5" w:rsidP="00754C41">
    <w:pPr>
      <w:pStyle w:val="SecurityClassification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DAABE" w14:textId="38E94A3D" w:rsidR="00B55AC5" w:rsidRPr="006344A9" w:rsidRDefault="00B55AC5" w:rsidP="003A1F0A">
    <w:pPr>
      <w:pStyle w:val="SecurityClassification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D3D44" w14:textId="795E05D2" w:rsidR="00EF145E" w:rsidRDefault="00BF1AF9" w:rsidP="00B55AC5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544169">
      <w:t>Protected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29CA"/>
    <w:multiLevelType w:val="multilevel"/>
    <w:tmpl w:val="BE44C77E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C42909"/>
    <w:multiLevelType w:val="multilevel"/>
    <w:tmpl w:val="753AC1FE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4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C4E5D"/>
    <w:multiLevelType w:val="multilevel"/>
    <w:tmpl w:val="D10E9CF6"/>
    <w:numStyleLink w:val="OneLevelList"/>
  </w:abstractNum>
  <w:abstractNum w:abstractNumId="6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8" w15:restartNumberingAfterBreak="0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0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3" w15:restartNumberingAfterBreak="0">
    <w:nsid w:val="510D2021"/>
    <w:multiLevelType w:val="multilevel"/>
    <w:tmpl w:val="72F8140E"/>
    <w:numStyleLink w:val="OutlineList"/>
  </w:abstractNum>
  <w:abstractNum w:abstractNumId="14" w15:restartNumberingAfterBreak="0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7" w15:restartNumberingAfterBreak="0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10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6"/>
  </w:num>
  <w:num w:numId="9">
    <w:abstractNumId w:val="2"/>
  </w:num>
  <w:num w:numId="10">
    <w:abstractNumId w:val="8"/>
  </w:num>
  <w:num w:numId="11">
    <w:abstractNumId w:val="16"/>
  </w:num>
  <w:num w:numId="12">
    <w:abstractNumId w:val="13"/>
  </w:num>
  <w:num w:numId="13">
    <w:abstractNumId w:val="17"/>
  </w:num>
  <w:num w:numId="14">
    <w:abstractNumId w:val="12"/>
  </w:num>
  <w:num w:numId="15">
    <w:abstractNumId w:val="7"/>
  </w:num>
  <w:num w:numId="16">
    <w:abstractNumId w:val="14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ecurityClassificationInHeader" w:val="True"/>
  </w:docVars>
  <w:rsids>
    <w:rsidRoot w:val="00B55AC5"/>
    <w:rsid w:val="00011725"/>
    <w:rsid w:val="00012C62"/>
    <w:rsid w:val="0002544D"/>
    <w:rsid w:val="000278E5"/>
    <w:rsid w:val="0004274D"/>
    <w:rsid w:val="00043348"/>
    <w:rsid w:val="0004483F"/>
    <w:rsid w:val="0005138B"/>
    <w:rsid w:val="00051DFD"/>
    <w:rsid w:val="000522B7"/>
    <w:rsid w:val="00056880"/>
    <w:rsid w:val="000675D1"/>
    <w:rsid w:val="00073521"/>
    <w:rsid w:val="000775DE"/>
    <w:rsid w:val="00087FAF"/>
    <w:rsid w:val="00091ACB"/>
    <w:rsid w:val="000C571D"/>
    <w:rsid w:val="000C5B08"/>
    <w:rsid w:val="000C5F40"/>
    <w:rsid w:val="000D3F2B"/>
    <w:rsid w:val="000D3F64"/>
    <w:rsid w:val="000E0B74"/>
    <w:rsid w:val="000E7901"/>
    <w:rsid w:val="00120EDB"/>
    <w:rsid w:val="00131DC3"/>
    <w:rsid w:val="00135E4C"/>
    <w:rsid w:val="001373F5"/>
    <w:rsid w:val="0014590D"/>
    <w:rsid w:val="00147A19"/>
    <w:rsid w:val="00154063"/>
    <w:rsid w:val="0016069C"/>
    <w:rsid w:val="001606CF"/>
    <w:rsid w:val="0016128D"/>
    <w:rsid w:val="0016460C"/>
    <w:rsid w:val="0017089D"/>
    <w:rsid w:val="0018024F"/>
    <w:rsid w:val="0019101A"/>
    <w:rsid w:val="001972D2"/>
    <w:rsid w:val="001B5AA6"/>
    <w:rsid w:val="001C358D"/>
    <w:rsid w:val="001F1B27"/>
    <w:rsid w:val="00221EC0"/>
    <w:rsid w:val="00231049"/>
    <w:rsid w:val="002314D2"/>
    <w:rsid w:val="0023305C"/>
    <w:rsid w:val="0023668C"/>
    <w:rsid w:val="00240A7B"/>
    <w:rsid w:val="00241881"/>
    <w:rsid w:val="0024294C"/>
    <w:rsid w:val="0025652F"/>
    <w:rsid w:val="00263B6C"/>
    <w:rsid w:val="00272939"/>
    <w:rsid w:val="002746B0"/>
    <w:rsid w:val="0027590B"/>
    <w:rsid w:val="00285969"/>
    <w:rsid w:val="0029654C"/>
    <w:rsid w:val="002A0583"/>
    <w:rsid w:val="002A496C"/>
    <w:rsid w:val="002A74EF"/>
    <w:rsid w:val="002B3829"/>
    <w:rsid w:val="002C22EF"/>
    <w:rsid w:val="002C2ED4"/>
    <w:rsid w:val="002C75B9"/>
    <w:rsid w:val="002D14CF"/>
    <w:rsid w:val="002E454C"/>
    <w:rsid w:val="002F617F"/>
    <w:rsid w:val="00300109"/>
    <w:rsid w:val="00306894"/>
    <w:rsid w:val="003122F4"/>
    <w:rsid w:val="00313C57"/>
    <w:rsid w:val="00325888"/>
    <w:rsid w:val="003268D5"/>
    <w:rsid w:val="003332F0"/>
    <w:rsid w:val="003448F6"/>
    <w:rsid w:val="00350759"/>
    <w:rsid w:val="00354D27"/>
    <w:rsid w:val="0035738A"/>
    <w:rsid w:val="00375504"/>
    <w:rsid w:val="00383202"/>
    <w:rsid w:val="003858A6"/>
    <w:rsid w:val="00392DCC"/>
    <w:rsid w:val="003A1F0A"/>
    <w:rsid w:val="003A5B36"/>
    <w:rsid w:val="003C24B4"/>
    <w:rsid w:val="003E20D6"/>
    <w:rsid w:val="003E4D87"/>
    <w:rsid w:val="003F4D0C"/>
    <w:rsid w:val="003F58B2"/>
    <w:rsid w:val="00401082"/>
    <w:rsid w:val="004140D9"/>
    <w:rsid w:val="00416762"/>
    <w:rsid w:val="00416E55"/>
    <w:rsid w:val="0042518A"/>
    <w:rsid w:val="00445265"/>
    <w:rsid w:val="004559CE"/>
    <w:rsid w:val="00460E1A"/>
    <w:rsid w:val="00463DF8"/>
    <w:rsid w:val="00475085"/>
    <w:rsid w:val="00476CF6"/>
    <w:rsid w:val="00477005"/>
    <w:rsid w:val="00477AA8"/>
    <w:rsid w:val="00492FCB"/>
    <w:rsid w:val="004A0F11"/>
    <w:rsid w:val="004A1F72"/>
    <w:rsid w:val="004A3EAA"/>
    <w:rsid w:val="004A7D97"/>
    <w:rsid w:val="004B5133"/>
    <w:rsid w:val="004C1D2F"/>
    <w:rsid w:val="004C41B6"/>
    <w:rsid w:val="004D6E37"/>
    <w:rsid w:val="004E00EA"/>
    <w:rsid w:val="004F4B92"/>
    <w:rsid w:val="00511428"/>
    <w:rsid w:val="00516785"/>
    <w:rsid w:val="0052419D"/>
    <w:rsid w:val="005301F8"/>
    <w:rsid w:val="005312FC"/>
    <w:rsid w:val="0053569E"/>
    <w:rsid w:val="0053603D"/>
    <w:rsid w:val="0053742A"/>
    <w:rsid w:val="00537C85"/>
    <w:rsid w:val="00541D29"/>
    <w:rsid w:val="00544169"/>
    <w:rsid w:val="00557CDE"/>
    <w:rsid w:val="00562F17"/>
    <w:rsid w:val="0056582C"/>
    <w:rsid w:val="00584470"/>
    <w:rsid w:val="005868DE"/>
    <w:rsid w:val="005966B7"/>
    <w:rsid w:val="005B3B04"/>
    <w:rsid w:val="005B5E2A"/>
    <w:rsid w:val="005C02A4"/>
    <w:rsid w:val="005C20D2"/>
    <w:rsid w:val="005C32FE"/>
    <w:rsid w:val="005D024A"/>
    <w:rsid w:val="005D2A6F"/>
    <w:rsid w:val="005D4FD4"/>
    <w:rsid w:val="005D6D64"/>
    <w:rsid w:val="005E3B9A"/>
    <w:rsid w:val="005F47DC"/>
    <w:rsid w:val="00601650"/>
    <w:rsid w:val="00605AFD"/>
    <w:rsid w:val="006123D4"/>
    <w:rsid w:val="0061445B"/>
    <w:rsid w:val="00624C4B"/>
    <w:rsid w:val="006344A9"/>
    <w:rsid w:val="00635593"/>
    <w:rsid w:val="00654CDB"/>
    <w:rsid w:val="00663898"/>
    <w:rsid w:val="006656DD"/>
    <w:rsid w:val="00674B04"/>
    <w:rsid w:val="00677831"/>
    <w:rsid w:val="00685CF7"/>
    <w:rsid w:val="00686165"/>
    <w:rsid w:val="00691CB5"/>
    <w:rsid w:val="00694EEB"/>
    <w:rsid w:val="006A37F5"/>
    <w:rsid w:val="006C1892"/>
    <w:rsid w:val="006C5B73"/>
    <w:rsid w:val="006C645D"/>
    <w:rsid w:val="006E3CC3"/>
    <w:rsid w:val="006E486E"/>
    <w:rsid w:val="006E5D8A"/>
    <w:rsid w:val="00706E8E"/>
    <w:rsid w:val="00722B53"/>
    <w:rsid w:val="00740500"/>
    <w:rsid w:val="00745001"/>
    <w:rsid w:val="007509DD"/>
    <w:rsid w:val="00754C41"/>
    <w:rsid w:val="00763474"/>
    <w:rsid w:val="00784A98"/>
    <w:rsid w:val="00784C0A"/>
    <w:rsid w:val="007913C9"/>
    <w:rsid w:val="00794B40"/>
    <w:rsid w:val="007A1079"/>
    <w:rsid w:val="007B76AB"/>
    <w:rsid w:val="007C4761"/>
    <w:rsid w:val="007C5D9A"/>
    <w:rsid w:val="007D592B"/>
    <w:rsid w:val="007D5AA6"/>
    <w:rsid w:val="007D7A91"/>
    <w:rsid w:val="007E6456"/>
    <w:rsid w:val="007E7FA4"/>
    <w:rsid w:val="00811943"/>
    <w:rsid w:val="00825D97"/>
    <w:rsid w:val="008311B8"/>
    <w:rsid w:val="008313DA"/>
    <w:rsid w:val="00834243"/>
    <w:rsid w:val="008348AE"/>
    <w:rsid w:val="00857969"/>
    <w:rsid w:val="00876C51"/>
    <w:rsid w:val="00882CC4"/>
    <w:rsid w:val="00882FFD"/>
    <w:rsid w:val="008A3986"/>
    <w:rsid w:val="008C7F71"/>
    <w:rsid w:val="008D339F"/>
    <w:rsid w:val="008E6292"/>
    <w:rsid w:val="00925AA5"/>
    <w:rsid w:val="00934A5D"/>
    <w:rsid w:val="0093540D"/>
    <w:rsid w:val="0094019D"/>
    <w:rsid w:val="00941733"/>
    <w:rsid w:val="00942C11"/>
    <w:rsid w:val="0094351F"/>
    <w:rsid w:val="00944E7F"/>
    <w:rsid w:val="009547F8"/>
    <w:rsid w:val="00962CD7"/>
    <w:rsid w:val="009729D4"/>
    <w:rsid w:val="00973CB7"/>
    <w:rsid w:val="00975C8C"/>
    <w:rsid w:val="009817B0"/>
    <w:rsid w:val="009821CE"/>
    <w:rsid w:val="00991D78"/>
    <w:rsid w:val="009965A8"/>
    <w:rsid w:val="009A277C"/>
    <w:rsid w:val="009A658F"/>
    <w:rsid w:val="009D5B8E"/>
    <w:rsid w:val="009E171B"/>
    <w:rsid w:val="00A015E8"/>
    <w:rsid w:val="00A07D47"/>
    <w:rsid w:val="00A12EE1"/>
    <w:rsid w:val="00A12F62"/>
    <w:rsid w:val="00A14FE9"/>
    <w:rsid w:val="00A3749B"/>
    <w:rsid w:val="00A37D87"/>
    <w:rsid w:val="00A50D88"/>
    <w:rsid w:val="00A56923"/>
    <w:rsid w:val="00A62E42"/>
    <w:rsid w:val="00A64A71"/>
    <w:rsid w:val="00A72960"/>
    <w:rsid w:val="00A72D8F"/>
    <w:rsid w:val="00A93401"/>
    <w:rsid w:val="00AC3196"/>
    <w:rsid w:val="00AE2F90"/>
    <w:rsid w:val="00AE620E"/>
    <w:rsid w:val="00B03DD6"/>
    <w:rsid w:val="00B15F13"/>
    <w:rsid w:val="00B306BF"/>
    <w:rsid w:val="00B342AA"/>
    <w:rsid w:val="00B3583B"/>
    <w:rsid w:val="00B37A8F"/>
    <w:rsid w:val="00B55AC5"/>
    <w:rsid w:val="00B56396"/>
    <w:rsid w:val="00B65347"/>
    <w:rsid w:val="00B87927"/>
    <w:rsid w:val="00BA6F99"/>
    <w:rsid w:val="00BD26AA"/>
    <w:rsid w:val="00BD454F"/>
    <w:rsid w:val="00BF1AF9"/>
    <w:rsid w:val="00C01DCC"/>
    <w:rsid w:val="00C202B3"/>
    <w:rsid w:val="00C21EE0"/>
    <w:rsid w:val="00C30297"/>
    <w:rsid w:val="00C72318"/>
    <w:rsid w:val="00C724E6"/>
    <w:rsid w:val="00C747A5"/>
    <w:rsid w:val="00C85314"/>
    <w:rsid w:val="00CA0116"/>
    <w:rsid w:val="00CA1B62"/>
    <w:rsid w:val="00CA4BC0"/>
    <w:rsid w:val="00CA5CA8"/>
    <w:rsid w:val="00CB0157"/>
    <w:rsid w:val="00CB5205"/>
    <w:rsid w:val="00CB5706"/>
    <w:rsid w:val="00CC559D"/>
    <w:rsid w:val="00CD25E4"/>
    <w:rsid w:val="00CD654B"/>
    <w:rsid w:val="00CE223E"/>
    <w:rsid w:val="00CF3F0D"/>
    <w:rsid w:val="00D07C84"/>
    <w:rsid w:val="00D145F5"/>
    <w:rsid w:val="00D322DF"/>
    <w:rsid w:val="00D355F0"/>
    <w:rsid w:val="00D431EF"/>
    <w:rsid w:val="00D43AC8"/>
    <w:rsid w:val="00D56113"/>
    <w:rsid w:val="00D61A80"/>
    <w:rsid w:val="00D72E58"/>
    <w:rsid w:val="00D833D9"/>
    <w:rsid w:val="00D83BD9"/>
    <w:rsid w:val="00D84346"/>
    <w:rsid w:val="00D94DCF"/>
    <w:rsid w:val="00D94EAE"/>
    <w:rsid w:val="00D96017"/>
    <w:rsid w:val="00D97D33"/>
    <w:rsid w:val="00DA586F"/>
    <w:rsid w:val="00DB08DA"/>
    <w:rsid w:val="00DB7A0B"/>
    <w:rsid w:val="00DB7F09"/>
    <w:rsid w:val="00DC00E8"/>
    <w:rsid w:val="00DC1C56"/>
    <w:rsid w:val="00DC4756"/>
    <w:rsid w:val="00DC6379"/>
    <w:rsid w:val="00DE3C77"/>
    <w:rsid w:val="00DF6F61"/>
    <w:rsid w:val="00E101C6"/>
    <w:rsid w:val="00E15601"/>
    <w:rsid w:val="00E22D51"/>
    <w:rsid w:val="00E50E7C"/>
    <w:rsid w:val="00E51545"/>
    <w:rsid w:val="00E51D9E"/>
    <w:rsid w:val="00E537D1"/>
    <w:rsid w:val="00E567E6"/>
    <w:rsid w:val="00E56971"/>
    <w:rsid w:val="00E61484"/>
    <w:rsid w:val="00E711D7"/>
    <w:rsid w:val="00E815E1"/>
    <w:rsid w:val="00E902B0"/>
    <w:rsid w:val="00E902E8"/>
    <w:rsid w:val="00EA23AC"/>
    <w:rsid w:val="00EA7C3D"/>
    <w:rsid w:val="00EB6878"/>
    <w:rsid w:val="00EC1E0E"/>
    <w:rsid w:val="00EC236D"/>
    <w:rsid w:val="00EC6B16"/>
    <w:rsid w:val="00EC7D27"/>
    <w:rsid w:val="00ED07AF"/>
    <w:rsid w:val="00EE1447"/>
    <w:rsid w:val="00EE423C"/>
    <w:rsid w:val="00EF145E"/>
    <w:rsid w:val="00EF2BBB"/>
    <w:rsid w:val="00EF53DB"/>
    <w:rsid w:val="00F0082D"/>
    <w:rsid w:val="00F015AB"/>
    <w:rsid w:val="00F07C90"/>
    <w:rsid w:val="00F25CAD"/>
    <w:rsid w:val="00F476F8"/>
    <w:rsid w:val="00F55EC4"/>
    <w:rsid w:val="00F57BED"/>
    <w:rsid w:val="00F61EA1"/>
    <w:rsid w:val="00F7613A"/>
    <w:rsid w:val="00F82746"/>
    <w:rsid w:val="00F836F9"/>
    <w:rsid w:val="00F845D7"/>
    <w:rsid w:val="00F92279"/>
    <w:rsid w:val="00FB4D21"/>
    <w:rsid w:val="00FB762B"/>
    <w:rsid w:val="00FC6ADA"/>
    <w:rsid w:val="00FD0AAA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5115852"/>
  <w15:docId w15:val="{4A313180-0BB7-4AFF-AF38-2BD3C5A2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75085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972D2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972D2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085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972D2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972D2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aliases w:val="b,b + line,b1,Body,Bullet + line,level 1"/>
    <w:basedOn w:val="Normal"/>
    <w:link w:val="BulletChar"/>
    <w:qFormat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qFormat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link w:val="DoubleDotChar"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EE1447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F1B27"/>
    <w:rPr>
      <w:color w:val="004A7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4C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4294C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475085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A12F62"/>
    <w:pPr>
      <w:jc w:val="left"/>
    </w:pPr>
  </w:style>
  <w:style w:type="paragraph" w:customStyle="1" w:styleId="HeaderOdd">
    <w:name w:val="Header Odd"/>
    <w:basedOn w:val="Header"/>
    <w:qFormat/>
    <w:rsid w:val="00A12F62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B55AC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B55AC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B55AC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B55AC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B55AC5"/>
    <w:pPr>
      <w:spacing w:before="60" w:after="24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B55AC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B55AC5"/>
    <w:pPr>
      <w:spacing w:before="240" w:after="60"/>
      <w:jc w:val="center"/>
    </w:pPr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B55AC5"/>
    <w:rPr>
      <w:rFonts w:ascii="Calibri" w:eastAsia="Times New Roman" w:hAnsi="Calibri" w:cs="Times New Roman"/>
      <w:b/>
      <w:caps/>
      <w:color w:val="004A7F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A6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F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F99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F99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EE4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Char">
    <w:name w:val="Bullet Char"/>
    <w:aliases w:val="b Char,b + line Char Char,b Char Char,b1 Char,b + line Char,Body Char,level 1 Char,Bullet + line Char,Bullets Char,L Char,List Paragraph1 Char,List Paragraph11 Char,List Paragraph2 Char,Number Char,Recommendation Char"/>
    <w:basedOn w:val="DefaultParagraphFont"/>
    <w:link w:val="Bullet"/>
    <w:rsid w:val="008313DA"/>
    <w:rPr>
      <w:rFonts w:ascii="Calibri" w:eastAsia="Times New Roman" w:hAnsi="Calibri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8313DA"/>
    <w:rPr>
      <w:rFonts w:ascii="Calibri" w:eastAsia="Times New Roman" w:hAnsi="Calibri" w:cs="Times New Roman"/>
      <w:szCs w:val="20"/>
      <w:lang w:eastAsia="en-AU"/>
    </w:rPr>
  </w:style>
  <w:style w:type="character" w:customStyle="1" w:styleId="DoubleDotChar">
    <w:name w:val="Double Dot Char"/>
    <w:basedOn w:val="DefaultParagraphFont"/>
    <w:link w:val="DoubleDot"/>
    <w:rsid w:val="008313DA"/>
    <w:rPr>
      <w:rFonts w:ascii="Calibri" w:eastAsia="Times New Roman" w:hAnsi="Calibri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A4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4BE31-1101-414D-B5D8-F952494E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A4 Report.dotm</Template>
  <TotalTime>25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Mackay, Linden</dc:creator>
  <cp:lastModifiedBy>Zammit, Kirk</cp:lastModifiedBy>
  <cp:revision>3</cp:revision>
  <cp:lastPrinted>2021-05-06T06:20:00Z</cp:lastPrinted>
  <dcterms:created xsi:type="dcterms:W3CDTF">2021-05-06T06:20:00Z</dcterms:created>
  <dcterms:modified xsi:type="dcterms:W3CDTF">2021-05-06T07:53:00Z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ification">
    <vt:lpwstr>Protected</vt:lpwstr>
  </property>
  <property fmtid="{D5CDD505-2E9C-101B-9397-08002B2CF9AE}" pid="3" name="DLMSecurityClassification">
    <vt:lpwstr/>
  </property>
  <property fmtid="{D5CDD505-2E9C-101B-9397-08002B2CF9AE}" pid="4" name="_AdHocReviewCycleID">
    <vt:i4>-320257691</vt:i4>
  </property>
  <property fmtid="{D5CDD505-2E9C-101B-9397-08002B2CF9AE}" pid="5" name="_NewReviewCycle">
    <vt:lpwstr/>
  </property>
  <property fmtid="{D5CDD505-2E9C-101B-9397-08002B2CF9AE}" pid="6" name="_EmailSubject">
    <vt:lpwstr>JEFG Report [SEC=PROTECTED]</vt:lpwstr>
  </property>
  <property fmtid="{D5CDD505-2E9C-101B-9397-08002B2CF9AE}" pid="7" name="_AuthorEmail">
    <vt:lpwstr>Linden.Mackay@TREASURY.GOV.AU</vt:lpwstr>
  </property>
  <property fmtid="{D5CDD505-2E9C-101B-9397-08002B2CF9AE}" pid="8" name="_AuthorEmailDisplayName">
    <vt:lpwstr>Mackay, Linden</vt:lpwstr>
  </property>
  <property fmtid="{D5CDD505-2E9C-101B-9397-08002B2CF9AE}" pid="9" name="_ReviewingToolsShownOnce">
    <vt:lpwstr/>
  </property>
</Properties>
</file>