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B815" w14:textId="77777777" w:rsidR="00ED5F55" w:rsidRPr="00620D25" w:rsidRDefault="00ED5F55" w:rsidP="00ED5F55">
      <w:pPr>
        <w:pStyle w:val="Title"/>
        <w:jc w:val="both"/>
        <w:rPr>
          <w:b/>
          <w:color w:val="auto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EAD818F" wp14:editId="715030F6">
            <wp:simplePos x="0" y="0"/>
            <wp:positionH relativeFrom="column">
              <wp:posOffset>-419735</wp:posOffset>
            </wp:positionH>
            <wp:positionV relativeFrom="paragraph">
              <wp:posOffset>-468630</wp:posOffset>
            </wp:positionV>
            <wp:extent cx="1363980" cy="86677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734601" wp14:editId="5D5158EC">
                <wp:simplePos x="0" y="0"/>
                <wp:positionH relativeFrom="column">
                  <wp:posOffset>-443230</wp:posOffset>
                </wp:positionH>
                <wp:positionV relativeFrom="paragraph">
                  <wp:posOffset>-683260</wp:posOffset>
                </wp:positionV>
                <wp:extent cx="1400175" cy="9334500"/>
                <wp:effectExtent l="0" t="0" r="9525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9334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0000">
                              <a:srgbClr val="0000FF"/>
                            </a:gs>
                            <a:gs pos="0">
                              <a:sysClr val="windowText" lastClr="000000">
                                <a:lumMod val="75000"/>
                                <a:lumOff val="2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D482062" id="Rectangle 38" o:spid="_x0000_s1026" style="position:absolute;margin-left:-34.9pt;margin-top:-53.8pt;width:110.25pt;height:7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" fillcolor="#404040" stroked="f" strokeweight="2pt">
                <v:fill color2="blue" rotate="t" angle="180" colors="0 #404040;26214f blue" focus="100%" type="gradient"/>
                <v:path arrowok="t"/>
              </v:rect>
            </w:pict>
          </mc:Fallback>
        </mc:AlternateContent>
      </w:r>
    </w:p>
    <w:p w14:paraId="4B8FBA78" w14:textId="77777777" w:rsidR="00ED5F55" w:rsidRPr="00965416" w:rsidRDefault="00ED5F55" w:rsidP="00ED5F55">
      <w:pPr>
        <w:spacing w:line="600" w:lineRule="exact"/>
        <w:jc w:val="left"/>
        <w:rPr>
          <w:rFonts w:ascii="Tahoma" w:hAnsi="Tahoma" w:cs="Tahoma"/>
          <w:color w:val="0000FF"/>
          <w:sz w:val="60"/>
          <w:szCs w:val="60"/>
        </w:rPr>
      </w:pPr>
    </w:p>
    <w:p w14:paraId="63F17A50" w14:textId="77777777" w:rsidR="00ED5F55" w:rsidRPr="00965416" w:rsidRDefault="00ED5F55" w:rsidP="00ED5F55">
      <w:pPr>
        <w:spacing w:line="600" w:lineRule="exact"/>
        <w:jc w:val="left"/>
        <w:rPr>
          <w:rFonts w:ascii="Tahoma" w:hAnsi="Tahoma" w:cs="Tahoma"/>
          <w:color w:val="0000FF"/>
          <w:sz w:val="60"/>
          <w:szCs w:val="60"/>
        </w:rPr>
      </w:pPr>
    </w:p>
    <w:p w14:paraId="41EE3E68" w14:textId="77777777" w:rsidR="00ED5F55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</w:p>
    <w:p w14:paraId="6BDCF279" w14:textId="77777777" w:rsidR="00ED5F55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</w:p>
    <w:p w14:paraId="164EEBDE" w14:textId="77777777" w:rsidR="00ED5F55" w:rsidRPr="00965416" w:rsidRDefault="00ED5F55" w:rsidP="00ED5F55">
      <w:pPr>
        <w:spacing w:line="600" w:lineRule="exact"/>
        <w:ind w:left="2127"/>
        <w:jc w:val="left"/>
        <w:rPr>
          <w:rFonts w:ascii="Tahoma" w:hAnsi="Tahoma" w:cs="Tahoma"/>
          <w:color w:val="0000FF"/>
          <w:sz w:val="60"/>
          <w:szCs w:val="60"/>
        </w:rPr>
      </w:pPr>
      <w:r w:rsidRPr="00965416">
        <w:rPr>
          <w:rFonts w:ascii="Tahoma" w:hAnsi="Tahoma" w:cs="Tahoma"/>
          <w:color w:val="0000FF"/>
          <w:sz w:val="60"/>
          <w:szCs w:val="60"/>
        </w:rPr>
        <w:t>JOINT ECONOMIC FORECASTING GROUP REPORT</w:t>
      </w:r>
    </w:p>
    <w:p w14:paraId="6CBB6A4E" w14:textId="77777777" w:rsidR="00ED5F55" w:rsidRPr="008302A5" w:rsidRDefault="00ED5F55" w:rsidP="00ED5F55">
      <w:pPr>
        <w:ind w:left="2127"/>
        <w:jc w:val="right"/>
        <w:rPr>
          <w:rFonts w:ascii="Calibri" w:hAnsi="Calibri" w:cs="Arial"/>
          <w:b/>
          <w:color w:val="0000FF"/>
          <w:sz w:val="22"/>
          <w:szCs w:val="22"/>
        </w:rPr>
      </w:pPr>
    </w:p>
    <w:p w14:paraId="6CEA1730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6B887928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6D9CE2F2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  <w:r w:rsidRPr="008302A5">
        <w:rPr>
          <w:rFonts w:ascii="Calibri" w:hAnsi="Calibri" w:cs="Arial"/>
          <w:color w:val="0000FF"/>
          <w:sz w:val="40"/>
          <w:szCs w:val="40"/>
        </w:rPr>
        <w:t xml:space="preserve">ECONOMIC OUTLOOK FOR </w:t>
      </w:r>
      <w:r w:rsidRPr="008302A5">
        <w:rPr>
          <w:rFonts w:ascii="Calibri" w:hAnsi="Calibri" w:cs="Arial"/>
          <w:color w:val="0000FF"/>
          <w:sz w:val="40"/>
          <w:szCs w:val="40"/>
        </w:rPr>
        <w:br/>
        <w:t>201</w:t>
      </w:r>
      <w:r w:rsidR="00EE1F75">
        <w:rPr>
          <w:rFonts w:ascii="Calibri" w:hAnsi="Calibri" w:cs="Arial"/>
          <w:color w:val="0000FF"/>
          <w:sz w:val="40"/>
          <w:szCs w:val="40"/>
        </w:rPr>
        <w:t>7</w:t>
      </w:r>
      <w:r w:rsidRPr="008302A5">
        <w:rPr>
          <w:rFonts w:ascii="Calibri" w:hAnsi="Calibri" w:cs="Arial"/>
          <w:color w:val="0000FF"/>
          <w:sz w:val="40"/>
          <w:szCs w:val="40"/>
        </w:rPr>
        <w:t>-1</w:t>
      </w:r>
      <w:r w:rsidR="00EE1F75">
        <w:rPr>
          <w:rFonts w:ascii="Calibri" w:hAnsi="Calibri" w:cs="Arial"/>
          <w:color w:val="0000FF"/>
          <w:sz w:val="40"/>
          <w:szCs w:val="40"/>
        </w:rPr>
        <w:t>8</w:t>
      </w:r>
      <w:r>
        <w:rPr>
          <w:rFonts w:ascii="Calibri" w:hAnsi="Calibri" w:cs="Arial"/>
          <w:color w:val="0000FF"/>
          <w:sz w:val="40"/>
          <w:szCs w:val="40"/>
        </w:rPr>
        <w:t xml:space="preserve"> and 201</w:t>
      </w:r>
      <w:r w:rsidR="00EE1F75">
        <w:rPr>
          <w:rFonts w:ascii="Calibri" w:hAnsi="Calibri" w:cs="Arial"/>
          <w:color w:val="0000FF"/>
          <w:sz w:val="40"/>
          <w:szCs w:val="40"/>
        </w:rPr>
        <w:t>8</w:t>
      </w:r>
      <w:r>
        <w:rPr>
          <w:rFonts w:ascii="Calibri" w:hAnsi="Calibri" w:cs="Arial"/>
          <w:color w:val="0000FF"/>
          <w:sz w:val="40"/>
          <w:szCs w:val="40"/>
        </w:rPr>
        <w:t>-1</w:t>
      </w:r>
      <w:r w:rsidR="00EE1F75">
        <w:rPr>
          <w:rFonts w:ascii="Calibri" w:hAnsi="Calibri" w:cs="Arial"/>
          <w:color w:val="0000FF"/>
          <w:sz w:val="40"/>
          <w:szCs w:val="40"/>
        </w:rPr>
        <w:t>9</w:t>
      </w:r>
    </w:p>
    <w:p w14:paraId="36BB6203" w14:textId="77777777" w:rsidR="00ED5F55" w:rsidRPr="008302A5" w:rsidRDefault="002B3B69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  <w:r>
        <w:rPr>
          <w:rFonts w:ascii="Calibri" w:hAnsi="Calibri" w:cs="Arial"/>
          <w:color w:val="0000FF"/>
          <w:sz w:val="40"/>
          <w:szCs w:val="40"/>
        </w:rPr>
        <w:t>September</w:t>
      </w:r>
      <w:r w:rsidR="000F2D42">
        <w:rPr>
          <w:rFonts w:ascii="Calibri" w:hAnsi="Calibri" w:cs="Arial"/>
          <w:color w:val="0000FF"/>
          <w:sz w:val="40"/>
          <w:szCs w:val="40"/>
        </w:rPr>
        <w:t xml:space="preserve"> </w:t>
      </w:r>
      <w:r w:rsidR="00EE1F75">
        <w:rPr>
          <w:rFonts w:ascii="Calibri" w:hAnsi="Calibri" w:cs="Arial"/>
          <w:color w:val="0000FF"/>
          <w:sz w:val="40"/>
          <w:szCs w:val="40"/>
        </w:rPr>
        <w:t>201</w:t>
      </w:r>
      <w:r w:rsidR="000F2D42">
        <w:rPr>
          <w:rFonts w:ascii="Calibri" w:hAnsi="Calibri" w:cs="Arial"/>
          <w:color w:val="0000FF"/>
          <w:sz w:val="40"/>
          <w:szCs w:val="40"/>
        </w:rPr>
        <w:t>7</w:t>
      </w:r>
    </w:p>
    <w:p w14:paraId="4DABEFEB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581FFA9D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5DDE369E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30E24695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0000FF"/>
          <w:sz w:val="40"/>
          <w:szCs w:val="40"/>
        </w:rPr>
      </w:pPr>
    </w:p>
    <w:p w14:paraId="73BA8D47" w14:textId="77777777" w:rsidR="00ED5F55" w:rsidRPr="008302A5" w:rsidRDefault="00ED5F55" w:rsidP="00ED5F55">
      <w:pPr>
        <w:spacing w:line="400" w:lineRule="exact"/>
        <w:ind w:left="2127"/>
        <w:jc w:val="left"/>
        <w:rPr>
          <w:rFonts w:ascii="Calibri" w:hAnsi="Calibri" w:cs="Arial"/>
          <w:color w:val="404040"/>
          <w:sz w:val="16"/>
          <w:szCs w:val="16"/>
        </w:rPr>
      </w:pPr>
      <w:r w:rsidRPr="00070252">
        <w:rPr>
          <w:rFonts w:ascii="Calibri" w:hAnsi="Calibri" w:cs="Arial"/>
          <w:color w:val="404040"/>
          <w:sz w:val="16"/>
          <w:szCs w:val="16"/>
        </w:rPr>
        <w:t xml:space="preserve">This report incorporates domestic and international data released </w:t>
      </w:r>
      <w:r w:rsidRPr="00721FE0">
        <w:rPr>
          <w:rFonts w:ascii="Calibri" w:hAnsi="Calibri" w:cs="Arial"/>
          <w:color w:val="404040"/>
          <w:sz w:val="16"/>
          <w:szCs w:val="16"/>
        </w:rPr>
        <w:t xml:space="preserve">up to </w:t>
      </w:r>
      <w:r w:rsidR="008E031D">
        <w:rPr>
          <w:rFonts w:ascii="Calibri" w:hAnsi="Calibri" w:cs="Arial"/>
          <w:color w:val="404040"/>
          <w:sz w:val="16"/>
          <w:szCs w:val="16"/>
        </w:rPr>
        <w:t>September</w:t>
      </w:r>
      <w:r w:rsidR="000F2D42" w:rsidRPr="000C491E">
        <w:rPr>
          <w:rFonts w:ascii="Calibri" w:hAnsi="Calibri" w:cs="Arial"/>
          <w:color w:val="404040"/>
          <w:sz w:val="16"/>
          <w:szCs w:val="16"/>
        </w:rPr>
        <w:t xml:space="preserve"> </w:t>
      </w:r>
      <w:r w:rsidRPr="000C491E">
        <w:rPr>
          <w:rFonts w:ascii="Calibri" w:hAnsi="Calibri" w:cs="Arial"/>
          <w:color w:val="404040"/>
          <w:sz w:val="16"/>
          <w:szCs w:val="16"/>
        </w:rPr>
        <w:t>201</w:t>
      </w:r>
      <w:r w:rsidR="0059737A" w:rsidRPr="000C491E">
        <w:rPr>
          <w:rFonts w:ascii="Calibri" w:hAnsi="Calibri" w:cs="Arial"/>
          <w:color w:val="404040"/>
          <w:sz w:val="16"/>
          <w:szCs w:val="16"/>
        </w:rPr>
        <w:t>7</w:t>
      </w:r>
      <w:r w:rsidRPr="00721FE0">
        <w:rPr>
          <w:rFonts w:ascii="Calibri" w:hAnsi="Calibri" w:cs="Arial"/>
          <w:color w:val="404040"/>
          <w:sz w:val="16"/>
          <w:szCs w:val="16"/>
        </w:rPr>
        <w:t>.</w:t>
      </w:r>
    </w:p>
    <w:p w14:paraId="56CAE41D" w14:textId="77777777" w:rsidR="00ED5F55" w:rsidRDefault="00ED5F55" w:rsidP="00ED5F55">
      <w:pPr>
        <w:rPr>
          <w:highlight w:val="yellow"/>
        </w:rPr>
      </w:pPr>
    </w:p>
    <w:p w14:paraId="409E082C" w14:textId="77777777" w:rsidR="00ED5F55" w:rsidRPr="00E03CF2" w:rsidRDefault="00ED5F55" w:rsidP="00ED5F55">
      <w:pPr>
        <w:rPr>
          <w:highlight w:val="yellow"/>
        </w:rPr>
        <w:sectPr w:rsidR="00ED5F55" w:rsidRPr="00E03CF2" w:rsidSect="00843281">
          <w:footerReference w:type="even" r:id="rId9"/>
          <w:footerReference w:type="default" r:id="rId10"/>
          <w:pgSz w:w="11907" w:h="16840" w:code="9"/>
          <w:pgMar w:top="1961" w:right="1418" w:bottom="1276" w:left="1418" w:header="170" w:footer="170" w:gutter="0"/>
          <w:cols w:space="720"/>
          <w:titlePg/>
          <w:docGrid w:linePitch="272"/>
        </w:sectPr>
      </w:pPr>
    </w:p>
    <w:p w14:paraId="09AC5F72" w14:textId="77777777" w:rsidR="00EC71A9" w:rsidRDefault="00BA611D" w:rsidP="00EC71A9">
      <w:pPr>
        <w:pStyle w:val="OutlineNumbered1"/>
        <w:rPr>
          <w:rFonts w:asciiTheme="minorHAnsi" w:hAnsiTheme="minorHAnsi"/>
          <w:szCs w:val="20"/>
        </w:rPr>
      </w:pPr>
      <w:r w:rsidRPr="004A066C">
        <w:rPr>
          <w:rFonts w:asciiTheme="minorHAnsi" w:hAnsiTheme="minorHAnsi"/>
          <w:szCs w:val="20"/>
        </w:rPr>
        <w:lastRenderedPageBreak/>
        <w:t xml:space="preserve">The encouraging signs that the global outlook is firming have continued and the domestic economy has performed broadly as expected since the </w:t>
      </w:r>
      <w:r w:rsidR="00B72747">
        <w:rPr>
          <w:rFonts w:asciiTheme="minorHAnsi" w:hAnsiTheme="minorHAnsi"/>
          <w:szCs w:val="20"/>
        </w:rPr>
        <w:t xml:space="preserve">2017-18 </w:t>
      </w:r>
      <w:r w:rsidR="00326BAC">
        <w:rPr>
          <w:rFonts w:asciiTheme="minorHAnsi" w:hAnsiTheme="minorHAnsi"/>
          <w:szCs w:val="20"/>
        </w:rPr>
        <w:t>Budget</w:t>
      </w:r>
      <w:r w:rsidRPr="004A066C">
        <w:rPr>
          <w:rFonts w:asciiTheme="minorHAnsi" w:hAnsiTheme="minorHAnsi"/>
          <w:szCs w:val="20"/>
        </w:rPr>
        <w:t>. Real GDP grew by 1.9 per cent in 2016-17</w:t>
      </w:r>
      <w:r w:rsidR="004A066C" w:rsidRPr="004A066C">
        <w:rPr>
          <w:rFonts w:asciiTheme="minorHAnsi" w:hAnsiTheme="minorHAnsi"/>
          <w:szCs w:val="20"/>
        </w:rPr>
        <w:t xml:space="preserve">, with a smaller-than-expected detraction from business investment and a stronger-than-expected contribution from public final demand, which offset weaker contributions from net exports and dwelling investment. Real GDP growth is forecast to lift </w:t>
      </w:r>
      <w:r w:rsidR="00F94E4D">
        <w:rPr>
          <w:rFonts w:asciiTheme="minorHAnsi" w:hAnsiTheme="minorHAnsi"/>
          <w:szCs w:val="20"/>
        </w:rPr>
        <w:t xml:space="preserve">as the drag from </w:t>
      </w:r>
      <w:r w:rsidR="004A066C" w:rsidRPr="00F94E4D">
        <w:rPr>
          <w:rFonts w:asciiTheme="minorHAnsi" w:hAnsiTheme="minorHAnsi"/>
          <w:szCs w:val="20"/>
        </w:rPr>
        <w:t xml:space="preserve">mining investment diminishes, growth in household consumption improves and exports continue to grow strongly. Non-mining business investment </w:t>
      </w:r>
      <w:r w:rsidR="00EC71A9">
        <w:rPr>
          <w:rFonts w:asciiTheme="minorHAnsi" w:hAnsiTheme="minorHAnsi"/>
          <w:szCs w:val="20"/>
        </w:rPr>
        <w:t xml:space="preserve">is also forecast to strengthen. </w:t>
      </w:r>
      <w:r w:rsidR="00EC71A9" w:rsidRPr="00EC71A9">
        <w:rPr>
          <w:rFonts w:asciiTheme="minorHAnsi" w:hAnsiTheme="minorHAnsi"/>
          <w:szCs w:val="20"/>
        </w:rPr>
        <w:t>Real GDP is forecast to grow by 2¾ per cent in 2017-18 and 3</w:t>
      </w:r>
      <w:r w:rsidR="004755DC">
        <w:rPr>
          <w:rFonts w:asciiTheme="minorHAnsi" w:hAnsiTheme="minorHAnsi"/>
          <w:szCs w:val="20"/>
        </w:rPr>
        <w:t> </w:t>
      </w:r>
      <w:r w:rsidR="00EC71A9" w:rsidRPr="00EC71A9">
        <w:rPr>
          <w:rFonts w:asciiTheme="minorHAnsi" w:hAnsiTheme="minorHAnsi"/>
          <w:szCs w:val="20"/>
        </w:rPr>
        <w:t>per cent in 2018</w:t>
      </w:r>
      <w:r w:rsidR="00326BAC">
        <w:rPr>
          <w:rFonts w:asciiTheme="minorHAnsi" w:hAnsiTheme="minorHAnsi"/>
          <w:szCs w:val="20"/>
        </w:rPr>
        <w:noBreakHyphen/>
      </w:r>
      <w:r w:rsidR="00EC71A9" w:rsidRPr="00EC71A9">
        <w:rPr>
          <w:rFonts w:asciiTheme="minorHAnsi" w:hAnsiTheme="minorHAnsi"/>
          <w:szCs w:val="20"/>
        </w:rPr>
        <w:t>19.</w:t>
      </w:r>
    </w:p>
    <w:p w14:paraId="34D65BA0" w14:textId="77777777" w:rsidR="000610A4" w:rsidRDefault="00A62BF7" w:rsidP="006D09D9">
      <w:pPr>
        <w:pStyle w:val="OutlineNumbered1"/>
        <w:rPr>
          <w:rFonts w:asciiTheme="minorHAnsi" w:hAnsiTheme="minorHAnsi"/>
          <w:szCs w:val="20"/>
        </w:rPr>
      </w:pPr>
      <w:r w:rsidRPr="00A62BF7">
        <w:rPr>
          <w:rFonts w:asciiTheme="minorHAnsi" w:hAnsiTheme="minorHAnsi"/>
          <w:szCs w:val="20"/>
        </w:rPr>
        <w:t xml:space="preserve">Global growth is forecast to be 3½ per cent in 2017, 3½ per cent in 2018 and 3¾ per cent in 2019. This is a slight upgrade to the </w:t>
      </w:r>
      <w:r w:rsidR="00326BAC">
        <w:rPr>
          <w:rFonts w:asciiTheme="minorHAnsi" w:hAnsiTheme="minorHAnsi"/>
          <w:szCs w:val="20"/>
        </w:rPr>
        <w:t>Budget</w:t>
      </w:r>
      <w:r w:rsidRPr="00A62BF7">
        <w:rPr>
          <w:rFonts w:asciiTheme="minorHAnsi" w:hAnsiTheme="minorHAnsi"/>
          <w:szCs w:val="20"/>
        </w:rPr>
        <w:t xml:space="preserve"> forecast of 3¼ per cent in 2017. Major trading partner growth is forecast to be 4¼ per cent in 2017, 4 per cent in 2018 and 4 per cent in 2019</w:t>
      </w:r>
      <w:r w:rsidR="005C3313">
        <w:rPr>
          <w:rFonts w:asciiTheme="minorHAnsi" w:hAnsiTheme="minorHAnsi"/>
          <w:szCs w:val="20"/>
        </w:rPr>
        <w:t xml:space="preserve"> – </w:t>
      </w:r>
      <w:r w:rsidRPr="00A62BF7">
        <w:rPr>
          <w:rFonts w:asciiTheme="minorHAnsi" w:hAnsiTheme="minorHAnsi"/>
          <w:szCs w:val="20"/>
        </w:rPr>
        <w:t xml:space="preserve">this is </w:t>
      </w:r>
      <w:r w:rsidR="005C3313">
        <w:rPr>
          <w:rFonts w:asciiTheme="minorHAnsi" w:hAnsiTheme="minorHAnsi"/>
          <w:szCs w:val="20"/>
        </w:rPr>
        <w:t xml:space="preserve">also </w:t>
      </w:r>
      <w:r w:rsidRPr="00A62BF7">
        <w:rPr>
          <w:rFonts w:asciiTheme="minorHAnsi" w:hAnsiTheme="minorHAnsi"/>
          <w:szCs w:val="20"/>
        </w:rPr>
        <w:t>¼</w:t>
      </w:r>
      <w:r w:rsidR="005C3313">
        <w:rPr>
          <w:rFonts w:asciiTheme="minorHAnsi" w:hAnsiTheme="minorHAnsi"/>
          <w:szCs w:val="20"/>
        </w:rPr>
        <w:t> </w:t>
      </w:r>
      <w:r w:rsidR="00CF4FDF">
        <w:rPr>
          <w:rFonts w:asciiTheme="minorHAnsi" w:hAnsiTheme="minorHAnsi"/>
          <w:szCs w:val="20"/>
        </w:rPr>
        <w:t xml:space="preserve">of a </w:t>
      </w:r>
      <w:r w:rsidRPr="00A62BF7">
        <w:rPr>
          <w:rFonts w:asciiTheme="minorHAnsi" w:hAnsiTheme="minorHAnsi"/>
          <w:szCs w:val="20"/>
        </w:rPr>
        <w:t>percentage point</w:t>
      </w:r>
      <w:r w:rsidR="005C3313">
        <w:rPr>
          <w:rFonts w:asciiTheme="minorHAnsi" w:hAnsiTheme="minorHAnsi"/>
          <w:szCs w:val="20"/>
        </w:rPr>
        <w:t xml:space="preserve"> higher </w:t>
      </w:r>
      <w:r w:rsidRPr="00A62BF7">
        <w:rPr>
          <w:rFonts w:asciiTheme="minorHAnsi" w:hAnsiTheme="minorHAnsi"/>
          <w:szCs w:val="20"/>
        </w:rPr>
        <w:t xml:space="preserve">in 2017 compared with </w:t>
      </w:r>
      <w:r>
        <w:rPr>
          <w:rFonts w:asciiTheme="minorHAnsi" w:hAnsiTheme="minorHAnsi"/>
          <w:szCs w:val="20"/>
        </w:rPr>
        <w:t xml:space="preserve">the </w:t>
      </w:r>
      <w:r w:rsidR="00326BAC">
        <w:rPr>
          <w:rFonts w:asciiTheme="minorHAnsi" w:hAnsiTheme="minorHAnsi"/>
          <w:szCs w:val="20"/>
        </w:rPr>
        <w:t>Budget</w:t>
      </w:r>
      <w:r w:rsidR="006D09D9">
        <w:rPr>
          <w:rFonts w:asciiTheme="minorHAnsi" w:hAnsiTheme="minorHAnsi"/>
          <w:szCs w:val="20"/>
        </w:rPr>
        <w:t xml:space="preserve">. </w:t>
      </w:r>
      <w:r w:rsidR="00C74119" w:rsidRPr="006D09D9">
        <w:rPr>
          <w:rFonts w:asciiTheme="minorHAnsi" w:hAnsiTheme="minorHAnsi"/>
          <w:szCs w:val="20"/>
        </w:rPr>
        <w:t xml:space="preserve">In advanced economies, business investment and industrial production have </w:t>
      </w:r>
      <w:r w:rsidR="008214FF" w:rsidRPr="006D09D9">
        <w:rPr>
          <w:rFonts w:asciiTheme="minorHAnsi" w:hAnsiTheme="minorHAnsi"/>
          <w:szCs w:val="20"/>
        </w:rPr>
        <w:t>strengthened</w:t>
      </w:r>
      <w:r w:rsidR="00C74119" w:rsidRPr="006D09D9">
        <w:rPr>
          <w:rFonts w:asciiTheme="minorHAnsi" w:hAnsiTheme="minorHAnsi"/>
          <w:szCs w:val="20"/>
        </w:rPr>
        <w:t xml:space="preserve">. Unemployment rates for the </w:t>
      </w:r>
      <w:r w:rsidR="00A34594">
        <w:rPr>
          <w:rFonts w:asciiTheme="minorHAnsi" w:hAnsiTheme="minorHAnsi"/>
          <w:szCs w:val="20"/>
        </w:rPr>
        <w:t>US</w:t>
      </w:r>
      <w:r w:rsidR="00C74119" w:rsidRPr="006D09D9">
        <w:rPr>
          <w:rFonts w:asciiTheme="minorHAnsi" w:hAnsiTheme="minorHAnsi"/>
          <w:szCs w:val="20"/>
        </w:rPr>
        <w:t xml:space="preserve">, the euro area and Japan are now around or below estimates of </w:t>
      </w:r>
      <w:r w:rsidR="00BC44CA" w:rsidRPr="006D09D9">
        <w:rPr>
          <w:rFonts w:asciiTheme="minorHAnsi" w:hAnsiTheme="minorHAnsi"/>
          <w:szCs w:val="20"/>
        </w:rPr>
        <w:t xml:space="preserve">full employment. </w:t>
      </w:r>
      <w:r w:rsidR="00AD7E7B" w:rsidRPr="006D09D9">
        <w:rPr>
          <w:rFonts w:asciiTheme="minorHAnsi" w:hAnsiTheme="minorHAnsi"/>
          <w:szCs w:val="20"/>
        </w:rPr>
        <w:t xml:space="preserve">The Chinese economy has continued to perform </w:t>
      </w:r>
      <w:r w:rsidR="005B1D7D" w:rsidRPr="006D09D9">
        <w:rPr>
          <w:rFonts w:asciiTheme="minorHAnsi" w:hAnsiTheme="minorHAnsi"/>
          <w:szCs w:val="20"/>
        </w:rPr>
        <w:t>solid</w:t>
      </w:r>
      <w:r w:rsidR="00E11740" w:rsidRPr="006D09D9">
        <w:rPr>
          <w:rFonts w:asciiTheme="minorHAnsi" w:hAnsiTheme="minorHAnsi"/>
          <w:szCs w:val="20"/>
        </w:rPr>
        <w:t>ly</w:t>
      </w:r>
      <w:r w:rsidR="00A34594">
        <w:rPr>
          <w:rFonts w:asciiTheme="minorHAnsi" w:hAnsiTheme="minorHAnsi"/>
          <w:szCs w:val="20"/>
        </w:rPr>
        <w:t xml:space="preserve"> and </w:t>
      </w:r>
      <w:r w:rsidR="00AD7E7B" w:rsidRPr="006D09D9">
        <w:rPr>
          <w:rFonts w:asciiTheme="minorHAnsi" w:hAnsiTheme="minorHAnsi"/>
          <w:szCs w:val="20"/>
        </w:rPr>
        <w:t xml:space="preserve">growth among the ASEAN-5 economies has remained relatively </w:t>
      </w:r>
      <w:r w:rsidR="00461F46" w:rsidRPr="006D09D9">
        <w:rPr>
          <w:rFonts w:asciiTheme="minorHAnsi" w:hAnsiTheme="minorHAnsi"/>
          <w:szCs w:val="20"/>
        </w:rPr>
        <w:t>robust</w:t>
      </w:r>
      <w:r w:rsidR="00AD7E7B" w:rsidRPr="006D09D9">
        <w:rPr>
          <w:rFonts w:asciiTheme="minorHAnsi" w:hAnsiTheme="minorHAnsi"/>
          <w:szCs w:val="20"/>
        </w:rPr>
        <w:t xml:space="preserve">. </w:t>
      </w:r>
    </w:p>
    <w:p w14:paraId="1E85E058" w14:textId="77777777" w:rsidR="003A78EC" w:rsidRPr="003A78EC" w:rsidRDefault="00787CDA" w:rsidP="003A78EC">
      <w:pPr>
        <w:pStyle w:val="OutlineNumbered1"/>
        <w:rPr>
          <w:rFonts w:asciiTheme="minorHAnsi" w:hAnsiTheme="minorHAnsi"/>
          <w:szCs w:val="20"/>
        </w:rPr>
      </w:pPr>
      <w:r w:rsidRPr="003A78EC">
        <w:rPr>
          <w:rFonts w:asciiTheme="minorHAnsi" w:hAnsiTheme="minorHAnsi"/>
          <w:szCs w:val="20"/>
        </w:rPr>
        <w:t xml:space="preserve">The forecasts have been updated to reflect recent data on commodity prices. The iron ore price is assumed to be </w:t>
      </w:r>
      <w:r w:rsidR="00924933" w:rsidRPr="003A78EC">
        <w:rPr>
          <w:rFonts w:asciiTheme="minorHAnsi" w:hAnsiTheme="minorHAnsi"/>
          <w:szCs w:val="20"/>
        </w:rPr>
        <w:t>flat at US$55</w:t>
      </w:r>
      <w:r w:rsidR="003A0A3B" w:rsidRPr="003A78EC">
        <w:rPr>
          <w:rFonts w:asciiTheme="minorHAnsi" w:hAnsiTheme="minorHAnsi"/>
          <w:szCs w:val="20"/>
        </w:rPr>
        <w:t> </w:t>
      </w:r>
      <w:r w:rsidR="00924933" w:rsidRPr="003A78EC">
        <w:rPr>
          <w:rFonts w:asciiTheme="minorHAnsi" w:hAnsiTheme="minorHAnsi"/>
          <w:szCs w:val="20"/>
        </w:rPr>
        <w:t>per</w:t>
      </w:r>
      <w:r w:rsidR="003A0A3B" w:rsidRPr="003A78EC">
        <w:rPr>
          <w:rFonts w:asciiTheme="minorHAnsi" w:hAnsiTheme="minorHAnsi"/>
          <w:szCs w:val="20"/>
        </w:rPr>
        <w:t> </w:t>
      </w:r>
      <w:r w:rsidR="00924933" w:rsidRPr="003A78EC">
        <w:rPr>
          <w:rFonts w:asciiTheme="minorHAnsi" w:hAnsiTheme="minorHAnsi"/>
          <w:szCs w:val="20"/>
        </w:rPr>
        <w:t>tonne</w:t>
      </w:r>
      <w:r w:rsidR="006242D9" w:rsidRPr="003A78EC">
        <w:rPr>
          <w:rFonts w:asciiTheme="minorHAnsi" w:hAnsiTheme="minorHAnsi"/>
          <w:szCs w:val="20"/>
        </w:rPr>
        <w:t>.</w:t>
      </w:r>
      <w:r w:rsidR="00DE4796" w:rsidRPr="003A78EC">
        <w:rPr>
          <w:rFonts w:asciiTheme="minorHAnsi" w:hAnsiTheme="minorHAnsi"/>
          <w:szCs w:val="20"/>
        </w:rPr>
        <w:t xml:space="preserve"> The metallurgical coal price is assumed </w:t>
      </w:r>
      <w:r w:rsidR="00924933" w:rsidRPr="003A78EC">
        <w:rPr>
          <w:rFonts w:asciiTheme="minorHAnsi" w:hAnsiTheme="minorHAnsi"/>
          <w:szCs w:val="20"/>
        </w:rPr>
        <w:t>to fall</w:t>
      </w:r>
      <w:r w:rsidR="007375EB" w:rsidRPr="003A78EC">
        <w:rPr>
          <w:rFonts w:asciiTheme="minorHAnsi" w:hAnsiTheme="minorHAnsi"/>
          <w:szCs w:val="20"/>
        </w:rPr>
        <w:t xml:space="preserve"> </w:t>
      </w:r>
      <w:r w:rsidR="00DE4796" w:rsidRPr="003A78EC">
        <w:rPr>
          <w:rFonts w:asciiTheme="minorHAnsi" w:hAnsiTheme="minorHAnsi"/>
          <w:szCs w:val="20"/>
        </w:rPr>
        <w:t xml:space="preserve">through the September and December quarters of 2017 </w:t>
      </w:r>
      <w:r w:rsidR="007375EB" w:rsidRPr="003A78EC">
        <w:rPr>
          <w:rFonts w:asciiTheme="minorHAnsi" w:hAnsiTheme="minorHAnsi"/>
          <w:szCs w:val="20"/>
        </w:rPr>
        <w:t xml:space="preserve">to reach US$120 per tonne </w:t>
      </w:r>
      <w:r w:rsidR="00924933" w:rsidRPr="003A78EC">
        <w:rPr>
          <w:rFonts w:asciiTheme="minorHAnsi" w:hAnsiTheme="minorHAnsi"/>
          <w:szCs w:val="20"/>
        </w:rPr>
        <w:t>at the beginning of</w:t>
      </w:r>
      <w:r w:rsidR="006242D9" w:rsidRPr="003A78EC">
        <w:rPr>
          <w:rFonts w:asciiTheme="minorHAnsi" w:hAnsiTheme="minorHAnsi"/>
          <w:szCs w:val="20"/>
        </w:rPr>
        <w:t xml:space="preserve"> 2018</w:t>
      </w:r>
      <w:r w:rsidR="007375EB" w:rsidRPr="003A78EC">
        <w:rPr>
          <w:rFonts w:asciiTheme="minorHAnsi" w:hAnsiTheme="minorHAnsi"/>
          <w:szCs w:val="20"/>
        </w:rPr>
        <w:t>. Thermal coal prices are assumed to be</w:t>
      </w:r>
      <w:r w:rsidR="00924933" w:rsidRPr="003A78EC">
        <w:rPr>
          <w:rFonts w:asciiTheme="minorHAnsi" w:hAnsiTheme="minorHAnsi"/>
          <w:szCs w:val="20"/>
        </w:rPr>
        <w:t xml:space="preserve"> flat at U</w:t>
      </w:r>
      <w:r w:rsidR="007375EB" w:rsidRPr="003A78EC">
        <w:rPr>
          <w:rFonts w:asciiTheme="minorHAnsi" w:hAnsiTheme="minorHAnsi"/>
          <w:szCs w:val="20"/>
        </w:rPr>
        <w:t>S$</w:t>
      </w:r>
      <w:r w:rsidR="00924933" w:rsidRPr="003A78EC">
        <w:rPr>
          <w:rFonts w:asciiTheme="minorHAnsi" w:hAnsiTheme="minorHAnsi"/>
          <w:szCs w:val="20"/>
        </w:rPr>
        <w:t>85</w:t>
      </w:r>
      <w:r w:rsidR="007375EB" w:rsidRPr="003A78EC">
        <w:rPr>
          <w:rFonts w:asciiTheme="minorHAnsi" w:hAnsiTheme="minorHAnsi"/>
          <w:szCs w:val="20"/>
        </w:rPr>
        <w:t xml:space="preserve"> per tonne</w:t>
      </w:r>
      <w:r w:rsidRPr="003A78EC">
        <w:rPr>
          <w:rFonts w:asciiTheme="minorHAnsi" w:hAnsiTheme="minorHAnsi"/>
          <w:szCs w:val="20"/>
        </w:rPr>
        <w:t>.</w:t>
      </w:r>
      <w:r w:rsidR="003A78EC" w:rsidRPr="003A78EC">
        <w:rPr>
          <w:rFonts w:asciiTheme="minorHAnsi" w:hAnsiTheme="minorHAnsi"/>
          <w:szCs w:val="20"/>
        </w:rPr>
        <w:t xml:space="preserve"> The oil price assumption (Malaysian</w:t>
      </w:r>
      <w:r w:rsidR="005C3313">
        <w:rPr>
          <w:rFonts w:asciiTheme="minorHAnsi" w:hAnsiTheme="minorHAnsi"/>
          <w:szCs w:val="20"/>
        </w:rPr>
        <w:t> </w:t>
      </w:r>
      <w:r w:rsidR="003A78EC" w:rsidRPr="003A78EC">
        <w:rPr>
          <w:rFonts w:asciiTheme="minorHAnsi" w:hAnsiTheme="minorHAnsi"/>
          <w:szCs w:val="20"/>
        </w:rPr>
        <w:t>Tapis) is US$52 per barrel and</w:t>
      </w:r>
      <w:r w:rsidR="003A78EC">
        <w:rPr>
          <w:rFonts w:asciiTheme="minorHAnsi" w:hAnsiTheme="minorHAnsi"/>
          <w:szCs w:val="20"/>
        </w:rPr>
        <w:t xml:space="preserve"> </w:t>
      </w:r>
      <w:r w:rsidR="003A78EC" w:rsidRPr="003A78EC">
        <w:rPr>
          <w:rFonts w:ascii="Calibri" w:eastAsiaTheme="minorHAnsi" w:hAnsi="Calibri" w:cs="Calibri"/>
          <w:szCs w:val="20"/>
        </w:rPr>
        <w:t>the exchange rate assumption is 7</w:t>
      </w:r>
      <w:r w:rsidR="003A78EC">
        <w:rPr>
          <w:rFonts w:ascii="Calibri" w:eastAsiaTheme="minorHAnsi" w:hAnsi="Calibri" w:cs="Calibri"/>
          <w:szCs w:val="20"/>
        </w:rPr>
        <w:t>9</w:t>
      </w:r>
      <w:r w:rsidR="003A78EC" w:rsidRPr="003A78EC">
        <w:rPr>
          <w:rFonts w:ascii="Calibri" w:eastAsiaTheme="minorHAnsi" w:hAnsi="Calibri" w:cs="Calibri"/>
          <w:szCs w:val="20"/>
        </w:rPr>
        <w:t xml:space="preserve"> </w:t>
      </w:r>
      <w:r w:rsidR="004755DC">
        <w:rPr>
          <w:rFonts w:ascii="Calibri" w:eastAsiaTheme="minorHAnsi" w:hAnsi="Calibri" w:cs="Calibri"/>
          <w:szCs w:val="20"/>
        </w:rPr>
        <w:t xml:space="preserve">US </w:t>
      </w:r>
      <w:r w:rsidR="003A78EC" w:rsidRPr="003A78EC">
        <w:rPr>
          <w:rFonts w:ascii="Calibri" w:eastAsiaTheme="minorHAnsi" w:hAnsi="Calibri" w:cs="Calibri"/>
          <w:szCs w:val="20"/>
        </w:rPr>
        <w:t>cents and a TWI of 6</w:t>
      </w:r>
      <w:r w:rsidR="003A78EC">
        <w:rPr>
          <w:rFonts w:ascii="Calibri" w:eastAsiaTheme="minorHAnsi" w:hAnsi="Calibri" w:cs="Calibri"/>
          <w:szCs w:val="20"/>
        </w:rPr>
        <w:t>7</w:t>
      </w:r>
      <w:r w:rsidR="003A78EC" w:rsidRPr="003A78EC">
        <w:rPr>
          <w:rFonts w:ascii="Calibri" w:eastAsiaTheme="minorHAnsi" w:hAnsi="Calibri" w:cs="Calibri"/>
          <w:szCs w:val="20"/>
        </w:rPr>
        <w:t>.</w:t>
      </w:r>
    </w:p>
    <w:p w14:paraId="10FC53EF" w14:textId="77777777" w:rsidR="00FA4AD8" w:rsidRDefault="0064125A" w:rsidP="00FA4AD8">
      <w:pPr>
        <w:pStyle w:val="OutlineNumbered1"/>
        <w:rPr>
          <w:rFonts w:asciiTheme="minorHAnsi" w:hAnsiTheme="minorHAnsi"/>
          <w:szCs w:val="20"/>
        </w:rPr>
      </w:pPr>
      <w:r w:rsidRPr="00C406F2">
        <w:rPr>
          <w:rFonts w:asciiTheme="minorHAnsi" w:hAnsiTheme="minorHAnsi"/>
          <w:szCs w:val="20"/>
        </w:rPr>
        <w:t xml:space="preserve">Household consumption </w:t>
      </w:r>
      <w:r w:rsidR="00C406F2">
        <w:rPr>
          <w:rFonts w:asciiTheme="minorHAnsi" w:hAnsiTheme="minorHAnsi"/>
          <w:szCs w:val="20"/>
        </w:rPr>
        <w:t>is forecast to grow by 2¾ per cent in 2017-18 and 3</w:t>
      </w:r>
      <w:r w:rsidRPr="00721FE0">
        <w:rPr>
          <w:rFonts w:asciiTheme="minorHAnsi" w:hAnsiTheme="minorHAnsi"/>
          <w:szCs w:val="20"/>
        </w:rPr>
        <w:t xml:space="preserve"> per cent in 2018-19</w:t>
      </w:r>
      <w:r w:rsidR="00546FE9">
        <w:rPr>
          <w:rFonts w:asciiTheme="minorHAnsi" w:hAnsiTheme="minorHAnsi"/>
          <w:szCs w:val="20"/>
        </w:rPr>
        <w:t xml:space="preserve">, unchanged from the </w:t>
      </w:r>
      <w:r w:rsidR="00326BAC">
        <w:rPr>
          <w:rFonts w:asciiTheme="minorHAnsi" w:hAnsiTheme="minorHAnsi"/>
          <w:szCs w:val="20"/>
        </w:rPr>
        <w:t>Budget</w:t>
      </w:r>
      <w:r w:rsidR="00C406F2">
        <w:rPr>
          <w:rFonts w:asciiTheme="minorHAnsi" w:hAnsiTheme="minorHAnsi"/>
          <w:szCs w:val="20"/>
        </w:rPr>
        <w:t xml:space="preserve">. </w:t>
      </w:r>
      <w:r w:rsidR="003953BD">
        <w:rPr>
          <w:rFonts w:asciiTheme="minorHAnsi" w:hAnsiTheme="minorHAnsi"/>
          <w:szCs w:val="20"/>
        </w:rPr>
        <w:t xml:space="preserve">Household consumption </w:t>
      </w:r>
      <w:r w:rsidR="00FA4AD8">
        <w:rPr>
          <w:rFonts w:asciiTheme="minorHAnsi" w:hAnsiTheme="minorHAnsi"/>
          <w:szCs w:val="20"/>
        </w:rPr>
        <w:t>is expected to be supported by solid</w:t>
      </w:r>
      <w:r w:rsidR="00FA4AD8" w:rsidRPr="00FA4AD8">
        <w:rPr>
          <w:rFonts w:asciiTheme="minorHAnsi" w:hAnsiTheme="minorHAnsi"/>
          <w:szCs w:val="20"/>
        </w:rPr>
        <w:t xml:space="preserve"> labour market outcomes and an increase in wage growth. While strong rises in electricity prices are expected to have a dampening impact on consumption growth, it remains the case that consumer price inflation is forecast to be 2 per cent through the year to the June quarter 2018 and 2¼ per cent through the year to the June</w:t>
      </w:r>
      <w:r w:rsidR="002A685C">
        <w:rPr>
          <w:rFonts w:asciiTheme="minorHAnsi" w:hAnsiTheme="minorHAnsi"/>
          <w:szCs w:val="20"/>
        </w:rPr>
        <w:t> </w:t>
      </w:r>
      <w:r w:rsidR="00FA4AD8" w:rsidRPr="00FA4AD8">
        <w:rPr>
          <w:rFonts w:asciiTheme="minorHAnsi" w:hAnsiTheme="minorHAnsi"/>
          <w:szCs w:val="20"/>
        </w:rPr>
        <w:t xml:space="preserve">quarter 2019. </w:t>
      </w:r>
      <w:r w:rsidR="002A685C">
        <w:rPr>
          <w:rFonts w:asciiTheme="minorHAnsi" w:hAnsiTheme="minorHAnsi"/>
          <w:szCs w:val="20"/>
        </w:rPr>
        <w:t>T</w:t>
      </w:r>
      <w:r w:rsidR="00FA4AD8" w:rsidRPr="00FA4AD8">
        <w:rPr>
          <w:rFonts w:asciiTheme="minorHAnsi" w:hAnsiTheme="minorHAnsi"/>
          <w:szCs w:val="20"/>
        </w:rPr>
        <w:t xml:space="preserve">he household saving rate </w:t>
      </w:r>
      <w:r w:rsidR="002A685C">
        <w:rPr>
          <w:rFonts w:asciiTheme="minorHAnsi" w:hAnsiTheme="minorHAnsi"/>
          <w:szCs w:val="20"/>
        </w:rPr>
        <w:t xml:space="preserve">is also expected to </w:t>
      </w:r>
      <w:r w:rsidR="00FA4AD8" w:rsidRPr="00FA4AD8">
        <w:rPr>
          <w:rFonts w:asciiTheme="minorHAnsi" w:hAnsiTheme="minorHAnsi"/>
          <w:szCs w:val="20"/>
        </w:rPr>
        <w:t>continue to fall through the forecast period</w:t>
      </w:r>
      <w:r w:rsidR="002A685C">
        <w:rPr>
          <w:rFonts w:asciiTheme="minorHAnsi" w:hAnsiTheme="minorHAnsi"/>
          <w:szCs w:val="20"/>
        </w:rPr>
        <w:t xml:space="preserve"> – </w:t>
      </w:r>
      <w:r w:rsidR="00FA4AD8" w:rsidRPr="00FA4AD8">
        <w:rPr>
          <w:rFonts w:asciiTheme="minorHAnsi" w:hAnsiTheme="minorHAnsi"/>
          <w:szCs w:val="20"/>
        </w:rPr>
        <w:t xml:space="preserve">from </w:t>
      </w:r>
      <w:r w:rsidR="00326BAC">
        <w:rPr>
          <w:rFonts w:asciiTheme="minorHAnsi" w:hAnsiTheme="minorHAnsi"/>
          <w:szCs w:val="20"/>
        </w:rPr>
        <w:t>5.6</w:t>
      </w:r>
      <w:r w:rsidR="00FA4AD8" w:rsidRPr="00FA4AD8">
        <w:rPr>
          <w:rFonts w:asciiTheme="minorHAnsi" w:hAnsiTheme="minorHAnsi"/>
          <w:szCs w:val="20"/>
        </w:rPr>
        <w:t xml:space="preserve"> per cent in 2016-17 to </w:t>
      </w:r>
      <w:r w:rsidR="00FA4AD8">
        <w:rPr>
          <w:rFonts w:asciiTheme="minorHAnsi" w:hAnsiTheme="minorHAnsi"/>
          <w:szCs w:val="20"/>
        </w:rPr>
        <w:t xml:space="preserve">3¼ </w:t>
      </w:r>
      <w:r w:rsidR="00FA4AD8" w:rsidRPr="00FA4AD8">
        <w:rPr>
          <w:rFonts w:asciiTheme="minorHAnsi" w:hAnsiTheme="minorHAnsi"/>
          <w:szCs w:val="20"/>
        </w:rPr>
        <w:t>per cent in 2018-19.</w:t>
      </w:r>
    </w:p>
    <w:p w14:paraId="3B2CA1A3" w14:textId="77777777" w:rsidR="00FA4AD8" w:rsidRPr="000E766D" w:rsidRDefault="00FA4AD8" w:rsidP="000E766D">
      <w:pPr>
        <w:pStyle w:val="OutlineNumbered1"/>
        <w:rPr>
          <w:rFonts w:asciiTheme="minorHAnsi" w:hAnsiTheme="minorHAnsi"/>
          <w:szCs w:val="20"/>
        </w:rPr>
      </w:pPr>
      <w:r w:rsidRPr="00FA4AD8">
        <w:rPr>
          <w:rFonts w:asciiTheme="minorHAnsi" w:hAnsiTheme="minorHAnsi"/>
          <w:szCs w:val="20"/>
        </w:rPr>
        <w:t>Dwelling investment is forecast to fall by 1 per cent in 2017-18 and by 1½ per cent in 2018-19</w:t>
      </w:r>
      <w:r w:rsidR="000E766D">
        <w:rPr>
          <w:rFonts w:asciiTheme="minorHAnsi" w:hAnsiTheme="minorHAnsi"/>
          <w:szCs w:val="20"/>
        </w:rPr>
        <w:t xml:space="preserve">, which is a bring-forward of the decline in dwelling investment since the </w:t>
      </w:r>
      <w:r w:rsidR="00326BAC">
        <w:rPr>
          <w:rFonts w:asciiTheme="minorHAnsi" w:hAnsiTheme="minorHAnsi"/>
          <w:szCs w:val="20"/>
        </w:rPr>
        <w:t>Budget</w:t>
      </w:r>
      <w:r w:rsidRPr="00FA4AD8">
        <w:rPr>
          <w:rFonts w:asciiTheme="minorHAnsi" w:hAnsiTheme="minorHAnsi"/>
          <w:szCs w:val="20"/>
        </w:rPr>
        <w:t xml:space="preserve">. Building approvals have softened since around mid-2016, with significant falls in approvals for medium-to-high density dwellings. </w:t>
      </w:r>
      <w:r w:rsidR="000E766D">
        <w:rPr>
          <w:rFonts w:asciiTheme="minorHAnsi" w:hAnsiTheme="minorHAnsi"/>
          <w:szCs w:val="20"/>
        </w:rPr>
        <w:t xml:space="preserve">While the pipeline of construction work </w:t>
      </w:r>
      <w:r w:rsidR="00CF4FDF">
        <w:rPr>
          <w:rFonts w:asciiTheme="minorHAnsi" w:hAnsiTheme="minorHAnsi"/>
          <w:szCs w:val="20"/>
        </w:rPr>
        <w:t xml:space="preserve">is </w:t>
      </w:r>
      <w:r w:rsidR="000E766D">
        <w:rPr>
          <w:rFonts w:asciiTheme="minorHAnsi" w:hAnsiTheme="minorHAnsi"/>
          <w:szCs w:val="20"/>
        </w:rPr>
        <w:t>expected to provide support to dwelling investment in the near</w:t>
      </w:r>
      <w:r w:rsidR="00CF4FDF">
        <w:rPr>
          <w:rFonts w:asciiTheme="minorHAnsi" w:hAnsiTheme="minorHAnsi"/>
          <w:szCs w:val="20"/>
        </w:rPr>
        <w:noBreakHyphen/>
      </w:r>
      <w:r w:rsidR="000E766D">
        <w:rPr>
          <w:rFonts w:asciiTheme="minorHAnsi" w:hAnsiTheme="minorHAnsi"/>
          <w:szCs w:val="20"/>
        </w:rPr>
        <w:t xml:space="preserve">term, the work appears to be completing slightly </w:t>
      </w:r>
      <w:r w:rsidRPr="000E766D">
        <w:rPr>
          <w:rFonts w:asciiTheme="minorHAnsi" w:hAnsiTheme="minorHAnsi"/>
          <w:szCs w:val="20"/>
        </w:rPr>
        <w:t>sooner than anticipated and has not provided as much support to investment as expected.</w:t>
      </w:r>
      <w:r w:rsidR="000E766D">
        <w:rPr>
          <w:rFonts w:asciiTheme="minorHAnsi" w:hAnsiTheme="minorHAnsi"/>
          <w:szCs w:val="20"/>
        </w:rPr>
        <w:t xml:space="preserve"> As a result, dwelling investment is now forecast to decline in both 2017-18 and 2018-19, but the size of the decline remains modest.</w:t>
      </w:r>
    </w:p>
    <w:p w14:paraId="3A41AB54" w14:textId="77777777" w:rsidR="006B5985" w:rsidRPr="008E031D" w:rsidRDefault="003C6E31" w:rsidP="006B5985">
      <w:pPr>
        <w:pStyle w:val="OutlineNumbered1"/>
        <w:rPr>
          <w:rFonts w:asciiTheme="minorHAnsi" w:hAnsiTheme="minorHAnsi"/>
          <w:szCs w:val="20"/>
        </w:rPr>
      </w:pPr>
      <w:r w:rsidRPr="004E470B">
        <w:rPr>
          <w:rFonts w:asciiTheme="minorHAnsi" w:hAnsiTheme="minorHAnsi"/>
          <w:szCs w:val="20"/>
        </w:rPr>
        <w:t>Total n</w:t>
      </w:r>
      <w:r w:rsidR="007764C0" w:rsidRPr="004E470B">
        <w:rPr>
          <w:rFonts w:asciiTheme="minorHAnsi" w:hAnsiTheme="minorHAnsi"/>
          <w:szCs w:val="20"/>
        </w:rPr>
        <w:t xml:space="preserve">ew private business </w:t>
      </w:r>
      <w:r w:rsidR="00052A45" w:rsidRPr="004E470B">
        <w:rPr>
          <w:rFonts w:asciiTheme="minorHAnsi" w:hAnsiTheme="minorHAnsi"/>
          <w:szCs w:val="20"/>
        </w:rPr>
        <w:t xml:space="preserve">investment is forecast </w:t>
      </w:r>
      <w:r w:rsidR="007764C0" w:rsidRPr="004E470B">
        <w:rPr>
          <w:rFonts w:asciiTheme="minorHAnsi" w:hAnsiTheme="minorHAnsi"/>
          <w:szCs w:val="20"/>
        </w:rPr>
        <w:t>to be flat in 2017-18 an</w:t>
      </w:r>
      <w:r w:rsidR="00052A45" w:rsidRPr="004E470B">
        <w:rPr>
          <w:rFonts w:asciiTheme="minorHAnsi" w:hAnsiTheme="minorHAnsi"/>
          <w:szCs w:val="20"/>
        </w:rPr>
        <w:t xml:space="preserve">d </w:t>
      </w:r>
      <w:r w:rsidRPr="004E470B">
        <w:rPr>
          <w:rFonts w:asciiTheme="minorHAnsi" w:hAnsiTheme="minorHAnsi"/>
          <w:szCs w:val="20"/>
        </w:rPr>
        <w:t xml:space="preserve">grow </w:t>
      </w:r>
      <w:r w:rsidR="00052A45" w:rsidRPr="004E470B">
        <w:rPr>
          <w:rFonts w:asciiTheme="minorHAnsi" w:hAnsiTheme="minorHAnsi"/>
          <w:szCs w:val="20"/>
        </w:rPr>
        <w:t>by 3 per cent in 2018</w:t>
      </w:r>
      <w:r w:rsidR="00052A45" w:rsidRPr="004E470B">
        <w:rPr>
          <w:rFonts w:asciiTheme="minorHAnsi" w:hAnsiTheme="minorHAnsi"/>
          <w:szCs w:val="20"/>
        </w:rPr>
        <w:noBreakHyphen/>
      </w:r>
      <w:r w:rsidR="007764C0" w:rsidRPr="004E470B">
        <w:rPr>
          <w:rFonts w:asciiTheme="minorHAnsi" w:hAnsiTheme="minorHAnsi"/>
          <w:szCs w:val="20"/>
        </w:rPr>
        <w:t xml:space="preserve">19. </w:t>
      </w:r>
      <w:r w:rsidR="006B5985" w:rsidRPr="004E470B">
        <w:rPr>
          <w:rFonts w:asciiTheme="minorHAnsi" w:hAnsiTheme="minorHAnsi"/>
          <w:szCs w:val="20"/>
        </w:rPr>
        <w:t xml:space="preserve">Mining investment is expected to continue to fall over the forecast horizon as large resource projects are completed, while non-mining business investment is expected to pick-up. Non-mining business investment is estimated to have increased by a stronger-than-expected 4.8 per cent in 2016-17. It is forecast to grow by </w:t>
      </w:r>
      <w:r w:rsidR="00A64073" w:rsidRPr="004E470B">
        <w:rPr>
          <w:rFonts w:asciiTheme="minorHAnsi" w:hAnsiTheme="minorHAnsi"/>
          <w:szCs w:val="20"/>
        </w:rPr>
        <w:t>4½ per cent in both 2017-18 and 2018</w:t>
      </w:r>
      <w:r w:rsidR="0038793D" w:rsidRPr="004E470B">
        <w:rPr>
          <w:rFonts w:asciiTheme="minorHAnsi" w:hAnsiTheme="minorHAnsi"/>
          <w:szCs w:val="20"/>
        </w:rPr>
        <w:noBreakHyphen/>
      </w:r>
      <w:r w:rsidR="00A64073" w:rsidRPr="004E470B">
        <w:rPr>
          <w:rFonts w:asciiTheme="minorHAnsi" w:hAnsiTheme="minorHAnsi"/>
          <w:szCs w:val="20"/>
        </w:rPr>
        <w:t>19</w:t>
      </w:r>
      <w:r w:rsidR="006B5985" w:rsidRPr="004E470B">
        <w:rPr>
          <w:rFonts w:asciiTheme="minorHAnsi" w:hAnsiTheme="minorHAnsi"/>
          <w:szCs w:val="20"/>
        </w:rPr>
        <w:t xml:space="preserve">, supported by strengthening demand, solid business conditions and low financing costs. </w:t>
      </w:r>
      <w:r w:rsidR="004E470B" w:rsidRPr="004E470B">
        <w:rPr>
          <w:rFonts w:asciiTheme="minorHAnsi" w:hAnsiTheme="minorHAnsi"/>
          <w:szCs w:val="20"/>
        </w:rPr>
        <w:t>Non-mining business investment is also expected to benefit as negative spill</w:t>
      </w:r>
      <w:r w:rsidR="004E470B" w:rsidRPr="004E470B">
        <w:rPr>
          <w:rFonts w:asciiTheme="minorHAnsi" w:hAnsiTheme="minorHAnsi"/>
          <w:szCs w:val="20"/>
        </w:rPr>
        <w:noBreakHyphen/>
        <w:t xml:space="preserve">overs from the mining sector wane. </w:t>
      </w:r>
      <w:r w:rsidR="006B5985" w:rsidRPr="004E470B">
        <w:rPr>
          <w:rFonts w:asciiTheme="minorHAnsi" w:hAnsiTheme="minorHAnsi"/>
          <w:szCs w:val="20"/>
        </w:rPr>
        <w:t>There are early signs that global business investment is starting to lift. Mining investment as a share of GDP is forecas</w:t>
      </w:r>
      <w:r w:rsidR="004E470B">
        <w:rPr>
          <w:rFonts w:asciiTheme="minorHAnsi" w:hAnsiTheme="minorHAnsi"/>
          <w:szCs w:val="20"/>
        </w:rPr>
        <w:t xml:space="preserve">t to fall </w:t>
      </w:r>
      <w:r w:rsidR="004E470B" w:rsidRPr="008E031D">
        <w:rPr>
          <w:rFonts w:asciiTheme="minorHAnsi" w:hAnsiTheme="minorHAnsi"/>
          <w:szCs w:val="20"/>
        </w:rPr>
        <w:t xml:space="preserve">to </w:t>
      </w:r>
      <w:r w:rsidR="004755DC" w:rsidRPr="008E031D">
        <w:rPr>
          <w:rFonts w:asciiTheme="minorHAnsi" w:hAnsiTheme="minorHAnsi"/>
          <w:szCs w:val="20"/>
        </w:rPr>
        <w:t xml:space="preserve">2¾ </w:t>
      </w:r>
      <w:r w:rsidR="004E470B" w:rsidRPr="008E031D">
        <w:rPr>
          <w:rFonts w:asciiTheme="minorHAnsi" w:hAnsiTheme="minorHAnsi"/>
          <w:szCs w:val="20"/>
        </w:rPr>
        <w:t>per cent in 2018</w:t>
      </w:r>
      <w:r w:rsidR="004E470B" w:rsidRPr="008E031D">
        <w:rPr>
          <w:rFonts w:asciiTheme="minorHAnsi" w:hAnsiTheme="minorHAnsi"/>
          <w:szCs w:val="20"/>
        </w:rPr>
        <w:noBreakHyphen/>
      </w:r>
      <w:r w:rsidR="006B5985" w:rsidRPr="008E031D">
        <w:rPr>
          <w:rFonts w:asciiTheme="minorHAnsi" w:hAnsiTheme="minorHAnsi"/>
          <w:szCs w:val="20"/>
        </w:rPr>
        <w:t xml:space="preserve">19, while non-mining business investment is forecast to be </w:t>
      </w:r>
      <w:r w:rsidR="004755DC" w:rsidRPr="008E031D">
        <w:rPr>
          <w:rFonts w:asciiTheme="minorHAnsi" w:hAnsiTheme="minorHAnsi"/>
          <w:szCs w:val="20"/>
        </w:rPr>
        <w:t xml:space="preserve">9½ </w:t>
      </w:r>
      <w:r w:rsidR="006B5985" w:rsidRPr="008E031D">
        <w:rPr>
          <w:rFonts w:asciiTheme="minorHAnsi" w:hAnsiTheme="minorHAnsi"/>
          <w:szCs w:val="20"/>
        </w:rPr>
        <w:t>per cent</w:t>
      </w:r>
      <w:r w:rsidR="00386C2E" w:rsidRPr="008E031D">
        <w:rPr>
          <w:rFonts w:asciiTheme="minorHAnsi" w:hAnsiTheme="minorHAnsi"/>
          <w:szCs w:val="20"/>
        </w:rPr>
        <w:t xml:space="preserve"> as a share of GDP</w:t>
      </w:r>
      <w:r w:rsidR="006B5985" w:rsidRPr="008E031D">
        <w:rPr>
          <w:rFonts w:asciiTheme="minorHAnsi" w:hAnsiTheme="minorHAnsi"/>
          <w:szCs w:val="20"/>
        </w:rPr>
        <w:t>.</w:t>
      </w:r>
    </w:p>
    <w:p w14:paraId="04568970" w14:textId="77777777" w:rsidR="008253D0" w:rsidRDefault="00B47EC3" w:rsidP="00B47EC3">
      <w:pPr>
        <w:pStyle w:val="OutlineNumbered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Public final demand is forecast to grow by 4 per cent in 2017-18 and 3 per cent in 2018-19, following growth of 4.6 per cent in 2016-17. Public final demand is expected to be supported by both</w:t>
      </w:r>
      <w:r w:rsidR="008253D0">
        <w:rPr>
          <w:rFonts w:asciiTheme="minorHAnsi" w:hAnsiTheme="minorHAnsi"/>
          <w:szCs w:val="20"/>
        </w:rPr>
        <w:t xml:space="preserve"> investment and consumption expenditure</w:t>
      </w:r>
      <w:r>
        <w:rPr>
          <w:rFonts w:asciiTheme="minorHAnsi" w:hAnsiTheme="minorHAnsi"/>
          <w:szCs w:val="20"/>
        </w:rPr>
        <w:t>, with the</w:t>
      </w:r>
      <w:r w:rsidR="005B1D7D">
        <w:rPr>
          <w:rFonts w:asciiTheme="minorHAnsi" w:hAnsiTheme="minorHAnsi"/>
          <w:szCs w:val="20"/>
        </w:rPr>
        <w:t xml:space="preserve"> </w:t>
      </w:r>
      <w:r w:rsidR="0038793D">
        <w:rPr>
          <w:rFonts w:asciiTheme="minorHAnsi" w:hAnsiTheme="minorHAnsi"/>
          <w:szCs w:val="20"/>
        </w:rPr>
        <w:t>N</w:t>
      </w:r>
      <w:r w:rsidR="00F1302E">
        <w:rPr>
          <w:rFonts w:asciiTheme="minorHAnsi" w:hAnsiTheme="minorHAnsi"/>
          <w:szCs w:val="20"/>
        </w:rPr>
        <w:t xml:space="preserve">ational </w:t>
      </w:r>
      <w:r w:rsidR="0038793D">
        <w:rPr>
          <w:rFonts w:asciiTheme="minorHAnsi" w:hAnsiTheme="minorHAnsi"/>
          <w:szCs w:val="20"/>
        </w:rPr>
        <w:t>B</w:t>
      </w:r>
      <w:r w:rsidR="00F1302E">
        <w:rPr>
          <w:rFonts w:asciiTheme="minorHAnsi" w:hAnsiTheme="minorHAnsi"/>
          <w:szCs w:val="20"/>
        </w:rPr>
        <w:t xml:space="preserve">roadband </w:t>
      </w:r>
      <w:r w:rsidR="0038793D">
        <w:rPr>
          <w:rFonts w:asciiTheme="minorHAnsi" w:hAnsiTheme="minorHAnsi"/>
          <w:szCs w:val="20"/>
        </w:rPr>
        <w:t>N</w:t>
      </w:r>
      <w:r w:rsidR="00F1302E">
        <w:rPr>
          <w:rFonts w:asciiTheme="minorHAnsi" w:hAnsiTheme="minorHAnsi"/>
          <w:szCs w:val="20"/>
        </w:rPr>
        <w:t>etwork</w:t>
      </w:r>
      <w:r w:rsidR="005B1D7D">
        <w:rPr>
          <w:rFonts w:asciiTheme="minorHAnsi" w:hAnsiTheme="minorHAnsi"/>
          <w:szCs w:val="20"/>
        </w:rPr>
        <w:t xml:space="preserve">, </w:t>
      </w:r>
      <w:r w:rsidR="0038793D">
        <w:rPr>
          <w:rFonts w:asciiTheme="minorHAnsi" w:hAnsiTheme="minorHAnsi"/>
          <w:szCs w:val="20"/>
        </w:rPr>
        <w:t>N</w:t>
      </w:r>
      <w:r w:rsidR="00F1302E">
        <w:rPr>
          <w:rFonts w:asciiTheme="minorHAnsi" w:hAnsiTheme="minorHAnsi"/>
          <w:szCs w:val="20"/>
        </w:rPr>
        <w:t xml:space="preserve">ational </w:t>
      </w:r>
      <w:r w:rsidR="0038793D">
        <w:rPr>
          <w:rFonts w:asciiTheme="minorHAnsi" w:hAnsiTheme="minorHAnsi"/>
          <w:szCs w:val="20"/>
        </w:rPr>
        <w:t>D</w:t>
      </w:r>
      <w:r w:rsidR="00F1302E">
        <w:rPr>
          <w:rFonts w:asciiTheme="minorHAnsi" w:hAnsiTheme="minorHAnsi"/>
          <w:szCs w:val="20"/>
        </w:rPr>
        <w:t xml:space="preserve">isability </w:t>
      </w:r>
      <w:r w:rsidR="0038793D">
        <w:rPr>
          <w:rFonts w:asciiTheme="minorHAnsi" w:hAnsiTheme="minorHAnsi"/>
          <w:szCs w:val="20"/>
        </w:rPr>
        <w:t>I</w:t>
      </w:r>
      <w:r w:rsidR="00F1302E">
        <w:rPr>
          <w:rFonts w:asciiTheme="minorHAnsi" w:hAnsiTheme="minorHAnsi"/>
          <w:szCs w:val="20"/>
        </w:rPr>
        <w:t xml:space="preserve">nsurance </w:t>
      </w:r>
      <w:r w:rsidR="0038793D">
        <w:rPr>
          <w:rFonts w:asciiTheme="minorHAnsi" w:hAnsiTheme="minorHAnsi"/>
          <w:szCs w:val="20"/>
        </w:rPr>
        <w:t>S</w:t>
      </w:r>
      <w:r w:rsidR="00F1302E">
        <w:rPr>
          <w:rFonts w:asciiTheme="minorHAnsi" w:hAnsiTheme="minorHAnsi"/>
          <w:szCs w:val="20"/>
        </w:rPr>
        <w:t xml:space="preserve">cheme </w:t>
      </w:r>
      <w:r w:rsidR="005B1D7D">
        <w:rPr>
          <w:rFonts w:asciiTheme="minorHAnsi" w:hAnsiTheme="minorHAnsi"/>
          <w:szCs w:val="20"/>
        </w:rPr>
        <w:t xml:space="preserve">and strong investment by the States and Territories all expected to contribute to growth. </w:t>
      </w:r>
    </w:p>
    <w:p w14:paraId="06E351F3" w14:textId="77777777" w:rsidR="00D858F9" w:rsidRPr="00105D62" w:rsidRDefault="00023212" w:rsidP="00105D62">
      <w:pPr>
        <w:pStyle w:val="OutlineNumbered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t xml:space="preserve">The contribution to growth from net exports is expected to be flat in 2017-18 and ¼ of a percentage point in 2018-19. The contribution to growth in 2017-18 is weaker than </w:t>
      </w:r>
      <w:r w:rsidR="00BE3E9A">
        <w:rPr>
          <w:rFonts w:asciiTheme="minorHAnsi" w:hAnsiTheme="minorHAnsi"/>
          <w:szCs w:val="20"/>
        </w:rPr>
        <w:t>forecast</w:t>
      </w:r>
      <w:r>
        <w:rPr>
          <w:rFonts w:asciiTheme="minorHAnsi" w:hAnsiTheme="minorHAnsi"/>
          <w:szCs w:val="20"/>
        </w:rPr>
        <w:t xml:space="preserve"> at the </w:t>
      </w:r>
      <w:r w:rsidR="00132DFF">
        <w:rPr>
          <w:rFonts w:asciiTheme="minorHAnsi" w:hAnsiTheme="minorHAnsi"/>
          <w:szCs w:val="20"/>
        </w:rPr>
        <w:t>Budget</w:t>
      </w:r>
      <w:r>
        <w:rPr>
          <w:rFonts w:asciiTheme="minorHAnsi" w:hAnsiTheme="minorHAnsi"/>
          <w:szCs w:val="20"/>
        </w:rPr>
        <w:t xml:space="preserve"> due to lower growth in </w:t>
      </w:r>
      <w:r w:rsidR="00105D62">
        <w:rPr>
          <w:rFonts w:asciiTheme="minorHAnsi" w:hAnsiTheme="minorHAnsi"/>
          <w:szCs w:val="20"/>
        </w:rPr>
        <w:t>non-rural</w:t>
      </w:r>
      <w:r w:rsidR="00EF50DD" w:rsidRPr="00023212">
        <w:rPr>
          <w:rFonts w:asciiTheme="minorHAnsi" w:hAnsiTheme="minorHAnsi"/>
          <w:szCs w:val="20"/>
        </w:rPr>
        <w:t xml:space="preserve"> </w:t>
      </w:r>
      <w:r w:rsidR="00D858F9" w:rsidRPr="00023212">
        <w:rPr>
          <w:rFonts w:asciiTheme="minorHAnsi" w:hAnsiTheme="minorHAnsi"/>
          <w:szCs w:val="20"/>
        </w:rPr>
        <w:t xml:space="preserve">and rural commodity exports. </w:t>
      </w:r>
      <w:r w:rsidR="00105D62">
        <w:rPr>
          <w:rFonts w:asciiTheme="minorHAnsi" w:hAnsiTheme="minorHAnsi"/>
          <w:szCs w:val="20"/>
        </w:rPr>
        <w:t xml:space="preserve">There has been some slippage in the expected timing of LNG exports as a result of project delays, while rural exports are expected to be affected by drier-than-average seasonal conditions. </w:t>
      </w:r>
      <w:r w:rsidR="00880464" w:rsidRPr="00105D62">
        <w:rPr>
          <w:rFonts w:asciiTheme="minorHAnsi" w:hAnsiTheme="minorHAnsi"/>
          <w:szCs w:val="20"/>
        </w:rPr>
        <w:t>Service</w:t>
      </w:r>
      <w:r w:rsidR="00090987" w:rsidRPr="00105D62">
        <w:rPr>
          <w:rFonts w:asciiTheme="minorHAnsi" w:hAnsiTheme="minorHAnsi"/>
          <w:szCs w:val="20"/>
        </w:rPr>
        <w:t xml:space="preserve"> exports are expected to continue to make a solid contribution to growth, supported by growing Asian demand for tourism and education.</w:t>
      </w:r>
    </w:p>
    <w:p w14:paraId="59CB9CF6" w14:textId="77777777" w:rsidR="00776D58" w:rsidRPr="00B40795" w:rsidRDefault="005A5558" w:rsidP="00B40795">
      <w:pPr>
        <w:pStyle w:val="OutlineNumbered1"/>
        <w:rPr>
          <w:rFonts w:asciiTheme="minorHAnsi" w:hAnsiTheme="minorHAnsi"/>
          <w:szCs w:val="20"/>
        </w:rPr>
      </w:pPr>
      <w:r w:rsidRPr="00B40795">
        <w:rPr>
          <w:rFonts w:asciiTheme="minorHAnsi" w:hAnsiTheme="minorHAnsi"/>
          <w:szCs w:val="20"/>
        </w:rPr>
        <w:t>The unemployment rate is forecast to be 5½ per c</w:t>
      </w:r>
      <w:r w:rsidR="007457A2" w:rsidRPr="00B40795">
        <w:rPr>
          <w:rFonts w:asciiTheme="minorHAnsi" w:hAnsiTheme="minorHAnsi"/>
          <w:szCs w:val="20"/>
        </w:rPr>
        <w:t>ent in the June quarter of 2018</w:t>
      </w:r>
      <w:r w:rsidRPr="00B40795">
        <w:rPr>
          <w:rFonts w:asciiTheme="minorHAnsi" w:hAnsiTheme="minorHAnsi"/>
          <w:szCs w:val="20"/>
        </w:rPr>
        <w:t xml:space="preserve"> and 5¼ per cent in the June quarter of 2019</w:t>
      </w:r>
      <w:r w:rsidR="00B40795" w:rsidRPr="00B40795">
        <w:rPr>
          <w:rFonts w:asciiTheme="minorHAnsi" w:hAnsiTheme="minorHAnsi"/>
          <w:szCs w:val="20"/>
        </w:rPr>
        <w:t xml:space="preserve">, which is ¼ of a percentage point lower in both years compared with the </w:t>
      </w:r>
      <w:r w:rsidR="00132DFF">
        <w:rPr>
          <w:rFonts w:asciiTheme="minorHAnsi" w:hAnsiTheme="minorHAnsi"/>
          <w:szCs w:val="20"/>
        </w:rPr>
        <w:t>Budget</w:t>
      </w:r>
      <w:r w:rsidR="00B40795" w:rsidRPr="00B40795">
        <w:rPr>
          <w:rFonts w:asciiTheme="minorHAnsi" w:hAnsiTheme="minorHAnsi"/>
          <w:szCs w:val="20"/>
        </w:rPr>
        <w:t xml:space="preserve">. </w:t>
      </w:r>
      <w:r w:rsidRPr="00B40795">
        <w:rPr>
          <w:rFonts w:asciiTheme="minorHAnsi" w:hAnsiTheme="minorHAnsi"/>
          <w:szCs w:val="20"/>
        </w:rPr>
        <w:t xml:space="preserve">This reflects recent positive labour market outcomes. </w:t>
      </w:r>
      <w:r w:rsidR="000C0AC9" w:rsidRPr="00B40795">
        <w:rPr>
          <w:rFonts w:asciiTheme="minorHAnsi" w:hAnsiTheme="minorHAnsi"/>
          <w:szCs w:val="20"/>
        </w:rPr>
        <w:t>Following growth of 1.9 per cent through the year to the June quarter 201</w:t>
      </w:r>
      <w:r w:rsidR="0059410C" w:rsidRPr="00B40795">
        <w:rPr>
          <w:rFonts w:asciiTheme="minorHAnsi" w:hAnsiTheme="minorHAnsi"/>
          <w:szCs w:val="20"/>
        </w:rPr>
        <w:t>7, employment</w:t>
      </w:r>
      <w:r w:rsidR="00B40795">
        <w:rPr>
          <w:rFonts w:asciiTheme="minorHAnsi" w:hAnsiTheme="minorHAnsi"/>
          <w:szCs w:val="20"/>
        </w:rPr>
        <w:t xml:space="preserve"> is expected to grow by </w:t>
      </w:r>
      <w:r w:rsidR="0059410C" w:rsidRPr="00B40795">
        <w:rPr>
          <w:rFonts w:asciiTheme="minorHAnsi" w:hAnsiTheme="minorHAnsi"/>
          <w:szCs w:val="20"/>
        </w:rPr>
        <w:t xml:space="preserve">1¾ per cent through the year to the June quarter 2018 and </w:t>
      </w:r>
      <w:r w:rsidR="00246CFE">
        <w:rPr>
          <w:rFonts w:asciiTheme="minorHAnsi" w:hAnsiTheme="minorHAnsi"/>
          <w:szCs w:val="20"/>
        </w:rPr>
        <w:t xml:space="preserve">by </w:t>
      </w:r>
      <w:r w:rsidR="00776D58" w:rsidRPr="00B40795">
        <w:rPr>
          <w:rFonts w:asciiTheme="minorHAnsi" w:hAnsiTheme="minorHAnsi"/>
          <w:szCs w:val="20"/>
        </w:rPr>
        <w:t>1½ per cent</w:t>
      </w:r>
      <w:r w:rsidR="00665D21" w:rsidRPr="00B40795">
        <w:rPr>
          <w:rFonts w:asciiTheme="minorHAnsi" w:hAnsiTheme="minorHAnsi"/>
          <w:szCs w:val="20"/>
        </w:rPr>
        <w:t xml:space="preserve"> through the year to the June quarter 2019</w:t>
      </w:r>
      <w:r w:rsidR="00776D58" w:rsidRPr="00B40795">
        <w:rPr>
          <w:rFonts w:asciiTheme="minorHAnsi" w:hAnsiTheme="minorHAnsi"/>
          <w:szCs w:val="20"/>
        </w:rPr>
        <w:t>. The participat</w:t>
      </w:r>
      <w:r w:rsidR="00F1302E" w:rsidRPr="00B40795">
        <w:rPr>
          <w:rFonts w:asciiTheme="minorHAnsi" w:hAnsiTheme="minorHAnsi"/>
          <w:szCs w:val="20"/>
        </w:rPr>
        <w:t>ion</w:t>
      </w:r>
      <w:r w:rsidR="00776D58" w:rsidRPr="00B40795">
        <w:rPr>
          <w:rFonts w:asciiTheme="minorHAnsi" w:hAnsiTheme="minorHAnsi"/>
          <w:szCs w:val="20"/>
        </w:rPr>
        <w:t xml:space="preserve"> rate is forecast to be </w:t>
      </w:r>
      <w:r w:rsidR="00F1302E" w:rsidRPr="00B40795">
        <w:rPr>
          <w:rFonts w:asciiTheme="minorHAnsi" w:hAnsiTheme="minorHAnsi"/>
          <w:szCs w:val="20"/>
        </w:rPr>
        <w:t>65 per cent in the June quarter of 2018 and 64¾ per cent in</w:t>
      </w:r>
      <w:r w:rsidR="00B40795">
        <w:rPr>
          <w:rFonts w:asciiTheme="minorHAnsi" w:hAnsiTheme="minorHAnsi"/>
          <w:szCs w:val="20"/>
        </w:rPr>
        <w:t xml:space="preserve"> the June quarter of 2019.</w:t>
      </w:r>
    </w:p>
    <w:p w14:paraId="7351605B" w14:textId="77777777" w:rsidR="0090401F" w:rsidRDefault="005A5558" w:rsidP="00DB2263">
      <w:pPr>
        <w:pStyle w:val="OutlineNumbered1"/>
        <w:rPr>
          <w:rFonts w:asciiTheme="minorHAnsi" w:hAnsiTheme="minorHAnsi"/>
          <w:szCs w:val="20"/>
        </w:rPr>
      </w:pPr>
      <w:r w:rsidRPr="00805E9E">
        <w:rPr>
          <w:rFonts w:asciiTheme="minorHAnsi" w:hAnsiTheme="minorHAnsi"/>
          <w:szCs w:val="20"/>
        </w:rPr>
        <w:t xml:space="preserve">The outlook for </w:t>
      </w:r>
      <w:r w:rsidR="00DB2263" w:rsidRPr="00805E9E">
        <w:rPr>
          <w:rFonts w:asciiTheme="minorHAnsi" w:hAnsiTheme="minorHAnsi"/>
          <w:szCs w:val="20"/>
        </w:rPr>
        <w:t>wage growth and consumer price inflation</w:t>
      </w:r>
      <w:r w:rsidRPr="00805E9E">
        <w:rPr>
          <w:rFonts w:asciiTheme="minorHAnsi" w:hAnsiTheme="minorHAnsi"/>
          <w:szCs w:val="20"/>
        </w:rPr>
        <w:t xml:space="preserve"> is unchanged from </w:t>
      </w:r>
      <w:r w:rsidR="00132DFF">
        <w:rPr>
          <w:rFonts w:asciiTheme="minorHAnsi" w:hAnsiTheme="minorHAnsi"/>
          <w:szCs w:val="20"/>
        </w:rPr>
        <w:t>the Budget</w:t>
      </w:r>
      <w:r w:rsidRPr="00805E9E">
        <w:rPr>
          <w:rFonts w:asciiTheme="minorHAnsi" w:hAnsiTheme="minorHAnsi"/>
          <w:szCs w:val="20"/>
        </w:rPr>
        <w:t xml:space="preserve">. </w:t>
      </w:r>
      <w:r w:rsidR="00DB2263" w:rsidRPr="00805E9E">
        <w:rPr>
          <w:rFonts w:asciiTheme="minorHAnsi" w:hAnsiTheme="minorHAnsi"/>
          <w:szCs w:val="20"/>
        </w:rPr>
        <w:t xml:space="preserve">Wage growth, as measured by the Wage Price Index, is forecast to be 2½ per cent through the year to the June quarter 2018 and 3 per cent through the year to the June quarter 2019. Wage growth is forecast to pick-up in line with strengthening domestic demand, a fall in the unemployment rate and rising inflation. </w:t>
      </w:r>
      <w:r w:rsidR="00872C5B">
        <w:rPr>
          <w:rFonts w:asciiTheme="minorHAnsi" w:hAnsiTheme="minorHAnsi"/>
          <w:szCs w:val="20"/>
        </w:rPr>
        <w:t>The headline Consumer Price Index</w:t>
      </w:r>
      <w:r w:rsidR="00423B45" w:rsidRPr="00805E9E">
        <w:rPr>
          <w:rFonts w:asciiTheme="minorHAnsi" w:hAnsiTheme="minorHAnsi"/>
          <w:szCs w:val="20"/>
        </w:rPr>
        <w:t xml:space="preserve"> </w:t>
      </w:r>
      <w:r w:rsidR="00246CFE" w:rsidRPr="00805E9E">
        <w:rPr>
          <w:rFonts w:asciiTheme="minorHAnsi" w:hAnsiTheme="minorHAnsi"/>
          <w:szCs w:val="20"/>
        </w:rPr>
        <w:t xml:space="preserve">is forecast to </w:t>
      </w:r>
      <w:r w:rsidR="00872C5B">
        <w:rPr>
          <w:rFonts w:asciiTheme="minorHAnsi" w:hAnsiTheme="minorHAnsi"/>
          <w:szCs w:val="20"/>
        </w:rPr>
        <w:t>grow by</w:t>
      </w:r>
      <w:r w:rsidR="00423B45" w:rsidRPr="00805E9E">
        <w:rPr>
          <w:rFonts w:asciiTheme="minorHAnsi" w:hAnsiTheme="minorHAnsi"/>
          <w:szCs w:val="20"/>
        </w:rPr>
        <w:t xml:space="preserve"> 2 per cent through the year </w:t>
      </w:r>
      <w:r w:rsidR="00EB7452">
        <w:rPr>
          <w:rFonts w:asciiTheme="minorHAnsi" w:hAnsiTheme="minorHAnsi"/>
          <w:szCs w:val="20"/>
        </w:rPr>
        <w:t>to the June quarter 2018 and 2¼ </w:t>
      </w:r>
      <w:r w:rsidR="00423B45" w:rsidRPr="00805E9E">
        <w:rPr>
          <w:rFonts w:asciiTheme="minorHAnsi" w:hAnsiTheme="minorHAnsi"/>
          <w:szCs w:val="20"/>
        </w:rPr>
        <w:t>per cent through the year to the June</w:t>
      </w:r>
      <w:r w:rsidR="0038793D" w:rsidRPr="00805E9E">
        <w:rPr>
          <w:rFonts w:asciiTheme="minorHAnsi" w:hAnsiTheme="minorHAnsi"/>
          <w:szCs w:val="20"/>
        </w:rPr>
        <w:t> </w:t>
      </w:r>
      <w:r w:rsidR="00423B45" w:rsidRPr="00805E9E">
        <w:rPr>
          <w:rFonts w:asciiTheme="minorHAnsi" w:hAnsiTheme="minorHAnsi"/>
          <w:szCs w:val="20"/>
        </w:rPr>
        <w:t xml:space="preserve">quarter 2019. </w:t>
      </w:r>
      <w:r w:rsidR="007F1373" w:rsidRPr="00805E9E">
        <w:rPr>
          <w:rFonts w:asciiTheme="minorHAnsi" w:hAnsiTheme="minorHAnsi"/>
          <w:szCs w:val="20"/>
        </w:rPr>
        <w:t xml:space="preserve">Downward pressure on inflation is expected to come from </w:t>
      </w:r>
      <w:r w:rsidR="00386C2E">
        <w:rPr>
          <w:rFonts w:asciiTheme="minorHAnsi" w:hAnsiTheme="minorHAnsi"/>
          <w:szCs w:val="20"/>
        </w:rPr>
        <w:t xml:space="preserve">subdued </w:t>
      </w:r>
      <w:r w:rsidR="007F1373" w:rsidRPr="00805E9E">
        <w:rPr>
          <w:rFonts w:asciiTheme="minorHAnsi" w:hAnsiTheme="minorHAnsi"/>
          <w:szCs w:val="20"/>
        </w:rPr>
        <w:t xml:space="preserve">growth in rents and heightened competition </w:t>
      </w:r>
      <w:r w:rsidR="0090401F">
        <w:rPr>
          <w:rFonts w:asciiTheme="minorHAnsi" w:hAnsiTheme="minorHAnsi"/>
          <w:szCs w:val="20"/>
        </w:rPr>
        <w:t>in</w:t>
      </w:r>
      <w:r w:rsidR="007F1373" w:rsidRPr="00805E9E">
        <w:rPr>
          <w:rFonts w:asciiTheme="minorHAnsi" w:hAnsiTheme="minorHAnsi"/>
          <w:szCs w:val="20"/>
        </w:rPr>
        <w:t xml:space="preserve"> the retail sector, while upward pressure is expected to come from electricity prices. </w:t>
      </w:r>
      <w:r w:rsidR="00E65D1E">
        <w:rPr>
          <w:rFonts w:asciiTheme="minorHAnsi" w:hAnsiTheme="minorHAnsi"/>
          <w:szCs w:val="20"/>
        </w:rPr>
        <w:t xml:space="preserve">The updating of the weights to </w:t>
      </w:r>
      <w:r w:rsidR="0090401F">
        <w:rPr>
          <w:rFonts w:asciiTheme="minorHAnsi" w:hAnsiTheme="minorHAnsi"/>
          <w:szCs w:val="20"/>
        </w:rPr>
        <w:t>the</w:t>
      </w:r>
      <w:r w:rsidR="00E65D1E">
        <w:rPr>
          <w:rFonts w:asciiTheme="minorHAnsi" w:hAnsiTheme="minorHAnsi"/>
          <w:szCs w:val="20"/>
        </w:rPr>
        <w:t xml:space="preserve"> expenditure class</w:t>
      </w:r>
      <w:r w:rsidR="0090401F">
        <w:rPr>
          <w:rFonts w:asciiTheme="minorHAnsi" w:hAnsiTheme="minorHAnsi"/>
          <w:szCs w:val="20"/>
        </w:rPr>
        <w:t>es</w:t>
      </w:r>
      <w:r w:rsidR="00E65D1E">
        <w:rPr>
          <w:rFonts w:asciiTheme="minorHAnsi" w:hAnsiTheme="minorHAnsi"/>
          <w:szCs w:val="20"/>
        </w:rPr>
        <w:t xml:space="preserve"> in the Consumer Price Index in the De</w:t>
      </w:r>
      <w:r w:rsidR="00C83289">
        <w:rPr>
          <w:rFonts w:asciiTheme="minorHAnsi" w:hAnsiTheme="minorHAnsi"/>
          <w:szCs w:val="20"/>
        </w:rPr>
        <w:t>cember quarter 2017 release is also likely to reduce measured inflation, but the size of the effect is difficult to estimate.</w:t>
      </w:r>
      <w:r w:rsidR="0090401F" w:rsidRPr="0090401F">
        <w:rPr>
          <w:rFonts w:asciiTheme="minorHAnsi" w:hAnsiTheme="minorHAnsi"/>
          <w:szCs w:val="20"/>
        </w:rPr>
        <w:t xml:space="preserve"> </w:t>
      </w:r>
    </w:p>
    <w:p w14:paraId="13EA7ED8" w14:textId="5CA4B0F8" w:rsidR="00A51E09" w:rsidRPr="0090401F" w:rsidRDefault="000D04E8" w:rsidP="0090401F">
      <w:pPr>
        <w:pStyle w:val="OutlineNumbered1"/>
        <w:rPr>
          <w:rFonts w:asciiTheme="minorHAnsi" w:hAnsiTheme="minorHAnsi"/>
          <w:szCs w:val="20"/>
        </w:rPr>
      </w:pPr>
      <w:r w:rsidRPr="007B1798">
        <w:rPr>
          <w:rFonts w:asciiTheme="minorHAnsi" w:hAnsiTheme="minorHAnsi"/>
          <w:szCs w:val="20"/>
        </w:rPr>
        <w:t>Following growth of 6.0 per cent in 2016-17, n</w:t>
      </w:r>
      <w:r w:rsidR="0090401F" w:rsidRPr="007B1798">
        <w:rPr>
          <w:rFonts w:asciiTheme="minorHAnsi" w:hAnsiTheme="minorHAnsi"/>
          <w:szCs w:val="20"/>
        </w:rPr>
        <w:t>ominal</w:t>
      </w:r>
      <w:r w:rsidR="0090401F">
        <w:rPr>
          <w:rFonts w:asciiTheme="minorHAnsi" w:hAnsiTheme="minorHAnsi"/>
          <w:szCs w:val="20"/>
        </w:rPr>
        <w:t xml:space="preserve"> GDP is expected to grow by </w:t>
      </w:r>
      <w:r w:rsidR="0090401F" w:rsidRPr="00A51E09">
        <w:rPr>
          <w:rFonts w:asciiTheme="minorHAnsi" w:hAnsiTheme="minorHAnsi"/>
          <w:szCs w:val="20"/>
        </w:rPr>
        <w:t xml:space="preserve">4 per cent </w:t>
      </w:r>
      <w:r w:rsidR="0090401F">
        <w:rPr>
          <w:rFonts w:asciiTheme="minorHAnsi" w:hAnsiTheme="minorHAnsi"/>
          <w:szCs w:val="20"/>
        </w:rPr>
        <w:t>in</w:t>
      </w:r>
      <w:r w:rsidR="0090401F" w:rsidRPr="00A51E09">
        <w:rPr>
          <w:rFonts w:asciiTheme="minorHAnsi" w:hAnsiTheme="minorHAnsi"/>
          <w:szCs w:val="20"/>
        </w:rPr>
        <w:t xml:space="preserve"> both 2017</w:t>
      </w:r>
      <w:r w:rsidR="008C284A">
        <w:rPr>
          <w:rFonts w:asciiTheme="minorHAnsi" w:hAnsiTheme="minorHAnsi"/>
          <w:szCs w:val="20"/>
        </w:rPr>
        <w:noBreakHyphen/>
      </w:r>
      <w:r w:rsidR="0090401F" w:rsidRPr="00A51E09">
        <w:rPr>
          <w:rFonts w:asciiTheme="minorHAnsi" w:hAnsiTheme="minorHAnsi"/>
          <w:szCs w:val="20"/>
        </w:rPr>
        <w:t>18 and 2018-19.</w:t>
      </w:r>
      <w:r w:rsidR="0090401F">
        <w:rPr>
          <w:rFonts w:asciiTheme="minorHAnsi" w:hAnsiTheme="minorHAnsi"/>
          <w:szCs w:val="20"/>
        </w:rPr>
        <w:t xml:space="preserve"> Following growth of 3.9 per cent in 2016-17, the GDP def</w:t>
      </w:r>
      <w:r w:rsidR="00EB7452">
        <w:rPr>
          <w:rFonts w:asciiTheme="minorHAnsi" w:hAnsiTheme="minorHAnsi"/>
          <w:szCs w:val="20"/>
        </w:rPr>
        <w:t>lator is expected to grow by 1¼ </w:t>
      </w:r>
      <w:r w:rsidR="0090401F">
        <w:rPr>
          <w:rFonts w:asciiTheme="minorHAnsi" w:hAnsiTheme="minorHAnsi"/>
          <w:szCs w:val="20"/>
        </w:rPr>
        <w:t xml:space="preserve">per cent in 2017-18 and 1 per cent in 2018-19. The terms of trade </w:t>
      </w:r>
      <w:r w:rsidR="00A51E09" w:rsidRPr="0090401F">
        <w:rPr>
          <w:rFonts w:asciiTheme="minorHAnsi" w:hAnsiTheme="minorHAnsi"/>
          <w:szCs w:val="20"/>
        </w:rPr>
        <w:t>are forecast to fall by 2½ per cent in 2017-18 and by 4 per cent in 2018-19</w:t>
      </w:r>
      <w:r w:rsidR="0090401F">
        <w:rPr>
          <w:rFonts w:asciiTheme="minorHAnsi" w:hAnsiTheme="minorHAnsi"/>
          <w:szCs w:val="20"/>
        </w:rPr>
        <w:t>, after growing by 14.6 per cent in 2016-17 as a result of strong rises in commodity prices.</w:t>
      </w:r>
    </w:p>
    <w:p w14:paraId="2610DAA5" w14:textId="77777777" w:rsidR="00F84165" w:rsidRDefault="006661CA" w:rsidP="00F84165">
      <w:pPr>
        <w:pStyle w:val="OutlineNumbered1"/>
        <w:rPr>
          <w:rFonts w:asciiTheme="minorHAnsi" w:hAnsiTheme="minorHAnsi"/>
          <w:szCs w:val="20"/>
        </w:rPr>
      </w:pPr>
      <w:r w:rsidRPr="00F84165">
        <w:rPr>
          <w:rFonts w:asciiTheme="minorHAnsi" w:hAnsiTheme="minorHAnsi"/>
          <w:szCs w:val="20"/>
        </w:rPr>
        <w:t xml:space="preserve">There are a </w:t>
      </w:r>
      <w:r w:rsidR="00200B8C" w:rsidRPr="00F84165">
        <w:rPr>
          <w:rFonts w:asciiTheme="minorHAnsi" w:hAnsiTheme="minorHAnsi"/>
          <w:szCs w:val="20"/>
        </w:rPr>
        <w:t xml:space="preserve">number of uncertainties for both </w:t>
      </w:r>
      <w:r w:rsidR="00A11F7F" w:rsidRPr="00F84165">
        <w:rPr>
          <w:rFonts w:asciiTheme="minorHAnsi" w:hAnsiTheme="minorHAnsi"/>
          <w:szCs w:val="20"/>
        </w:rPr>
        <w:t xml:space="preserve">the </w:t>
      </w:r>
      <w:r w:rsidR="00200B8C" w:rsidRPr="00F84165">
        <w:rPr>
          <w:rFonts w:asciiTheme="minorHAnsi" w:hAnsiTheme="minorHAnsi"/>
          <w:szCs w:val="20"/>
        </w:rPr>
        <w:t xml:space="preserve">international and domestic </w:t>
      </w:r>
      <w:r w:rsidRPr="00F84165">
        <w:rPr>
          <w:rFonts w:asciiTheme="minorHAnsi" w:hAnsiTheme="minorHAnsi"/>
          <w:szCs w:val="20"/>
        </w:rPr>
        <w:t xml:space="preserve">forecasts. </w:t>
      </w:r>
      <w:r w:rsidR="00EA1F46" w:rsidRPr="00F84165">
        <w:rPr>
          <w:rFonts w:asciiTheme="minorHAnsi" w:hAnsiTheme="minorHAnsi"/>
          <w:szCs w:val="20"/>
        </w:rPr>
        <w:t>While current adjustments to US monetary policy have been anticipated by markets, faster-than-expected tightening in US monetary policy could lead to tighter world financial conditions and disruptions in markets</w:t>
      </w:r>
      <w:r w:rsidR="00F84165">
        <w:rPr>
          <w:rFonts w:asciiTheme="minorHAnsi" w:hAnsiTheme="minorHAnsi"/>
          <w:szCs w:val="20"/>
        </w:rPr>
        <w:t>. H</w:t>
      </w:r>
      <w:r w:rsidR="00EA1F46" w:rsidRPr="00F84165">
        <w:rPr>
          <w:rFonts w:asciiTheme="minorHAnsi" w:hAnsiTheme="minorHAnsi"/>
          <w:szCs w:val="20"/>
        </w:rPr>
        <w:t xml:space="preserve">igh levels of debt in some euro area countries could </w:t>
      </w:r>
      <w:r w:rsidR="00F84165">
        <w:rPr>
          <w:rFonts w:asciiTheme="minorHAnsi" w:hAnsiTheme="minorHAnsi"/>
          <w:szCs w:val="20"/>
        </w:rPr>
        <w:t xml:space="preserve">also </w:t>
      </w:r>
      <w:r w:rsidR="00EA1F46" w:rsidRPr="00F84165">
        <w:rPr>
          <w:rFonts w:asciiTheme="minorHAnsi" w:hAnsiTheme="minorHAnsi"/>
          <w:szCs w:val="20"/>
        </w:rPr>
        <w:t>pose a risk</w:t>
      </w:r>
      <w:r w:rsidR="00F84165">
        <w:rPr>
          <w:rFonts w:asciiTheme="minorHAnsi" w:hAnsiTheme="minorHAnsi"/>
          <w:szCs w:val="20"/>
        </w:rPr>
        <w:t xml:space="preserve">, </w:t>
      </w:r>
      <w:r w:rsidR="00A2080D">
        <w:rPr>
          <w:rFonts w:asciiTheme="minorHAnsi" w:hAnsiTheme="minorHAnsi"/>
          <w:szCs w:val="20"/>
        </w:rPr>
        <w:t xml:space="preserve">and </w:t>
      </w:r>
      <w:r w:rsidR="00F84165">
        <w:rPr>
          <w:rFonts w:asciiTheme="minorHAnsi" w:hAnsiTheme="minorHAnsi"/>
          <w:szCs w:val="20"/>
        </w:rPr>
        <w:t>risks to the Chinese economy remain in the medium-term with high levels of debt and overcapacity in some sectors. Further, the global outlook remains subject to uncertainty from geopolitical risks.</w:t>
      </w:r>
    </w:p>
    <w:p w14:paraId="6FA0ABED" w14:textId="2E4732D7" w:rsidR="0070392C" w:rsidRPr="006D0F28" w:rsidRDefault="00BD3AE0" w:rsidP="006D0F28">
      <w:pPr>
        <w:pStyle w:val="OutlineNumbered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</w:t>
      </w:r>
      <w:r w:rsidR="00137FF8" w:rsidRPr="00137FF8">
        <w:rPr>
          <w:rFonts w:asciiTheme="minorHAnsi" w:hAnsiTheme="minorHAnsi"/>
          <w:szCs w:val="20"/>
        </w:rPr>
        <w:t xml:space="preserve">here are both upside and downside risks </w:t>
      </w:r>
      <w:r>
        <w:rPr>
          <w:rFonts w:asciiTheme="minorHAnsi" w:hAnsiTheme="minorHAnsi"/>
          <w:szCs w:val="20"/>
        </w:rPr>
        <w:t>to the domestic</w:t>
      </w:r>
      <w:r w:rsidR="0070392C" w:rsidRPr="00137FF8">
        <w:rPr>
          <w:rFonts w:asciiTheme="minorHAnsi" w:hAnsiTheme="minorHAnsi"/>
          <w:szCs w:val="20"/>
        </w:rPr>
        <w:t xml:space="preserve"> forecasts. </w:t>
      </w:r>
      <w:r w:rsidR="001B6C91" w:rsidRPr="00137FF8">
        <w:rPr>
          <w:rFonts w:asciiTheme="minorHAnsi" w:hAnsiTheme="minorHAnsi"/>
          <w:szCs w:val="20"/>
        </w:rPr>
        <w:t xml:space="preserve">Labour </w:t>
      </w:r>
      <w:r w:rsidR="0070392C" w:rsidRPr="00137FF8">
        <w:rPr>
          <w:rFonts w:asciiTheme="minorHAnsi" w:hAnsiTheme="minorHAnsi"/>
          <w:szCs w:val="20"/>
        </w:rPr>
        <w:t xml:space="preserve">market conditions have </w:t>
      </w:r>
      <w:r>
        <w:rPr>
          <w:rFonts w:asciiTheme="minorHAnsi" w:hAnsiTheme="minorHAnsi"/>
          <w:szCs w:val="20"/>
        </w:rPr>
        <w:t>recently been stronger-than-expected and b</w:t>
      </w:r>
      <w:r w:rsidR="0070392C" w:rsidRPr="00137FF8">
        <w:rPr>
          <w:rFonts w:asciiTheme="minorHAnsi" w:hAnsiTheme="minorHAnsi"/>
          <w:szCs w:val="20"/>
        </w:rPr>
        <w:t xml:space="preserve">usiness conditions and confidence have </w:t>
      </w:r>
      <w:r w:rsidR="00137FF8" w:rsidRPr="00137FF8">
        <w:rPr>
          <w:rFonts w:asciiTheme="minorHAnsi" w:hAnsiTheme="minorHAnsi"/>
          <w:szCs w:val="20"/>
        </w:rPr>
        <w:t>improved</w:t>
      </w:r>
      <w:r w:rsidR="0070392C" w:rsidRPr="00137FF8">
        <w:rPr>
          <w:rFonts w:asciiTheme="minorHAnsi" w:hAnsiTheme="minorHAnsi"/>
          <w:szCs w:val="20"/>
        </w:rPr>
        <w:t xml:space="preserve">. </w:t>
      </w:r>
      <w:r w:rsidR="001B6C91" w:rsidRPr="00137FF8">
        <w:rPr>
          <w:rFonts w:asciiTheme="minorHAnsi" w:hAnsiTheme="minorHAnsi"/>
          <w:szCs w:val="20"/>
        </w:rPr>
        <w:t xml:space="preserve">However, </w:t>
      </w:r>
      <w:r w:rsidR="0070392C" w:rsidRPr="00137FF8">
        <w:rPr>
          <w:rFonts w:asciiTheme="minorHAnsi" w:hAnsiTheme="minorHAnsi"/>
          <w:szCs w:val="20"/>
        </w:rPr>
        <w:t xml:space="preserve">there is uncertainty around the impact of the prolonged period of </w:t>
      </w:r>
      <w:r>
        <w:rPr>
          <w:rFonts w:asciiTheme="minorHAnsi" w:hAnsiTheme="minorHAnsi"/>
          <w:szCs w:val="20"/>
        </w:rPr>
        <w:t>subdued income</w:t>
      </w:r>
      <w:r w:rsidR="0070392C" w:rsidRPr="00137FF8">
        <w:rPr>
          <w:rFonts w:asciiTheme="minorHAnsi" w:hAnsiTheme="minorHAnsi"/>
          <w:szCs w:val="20"/>
        </w:rPr>
        <w:t xml:space="preserve"> growth on household consumption</w:t>
      </w:r>
      <w:r>
        <w:rPr>
          <w:rFonts w:asciiTheme="minorHAnsi" w:hAnsiTheme="minorHAnsi"/>
          <w:szCs w:val="20"/>
        </w:rPr>
        <w:t xml:space="preserve"> and a change in households’ attitudes </w:t>
      </w:r>
      <w:r w:rsidRPr="00BD3AE0">
        <w:rPr>
          <w:rFonts w:asciiTheme="minorHAnsi" w:hAnsiTheme="minorHAnsi"/>
          <w:szCs w:val="20"/>
        </w:rPr>
        <w:t>toward saving or a change in the factors that have driven the decline in the household saving</w:t>
      </w:r>
      <w:r w:rsidR="008C284A">
        <w:rPr>
          <w:rFonts w:asciiTheme="minorHAnsi" w:hAnsiTheme="minorHAnsi"/>
          <w:szCs w:val="20"/>
        </w:rPr>
        <w:t>s</w:t>
      </w:r>
      <w:r w:rsidRPr="00BD3AE0">
        <w:rPr>
          <w:rFonts w:asciiTheme="minorHAnsi" w:hAnsiTheme="minorHAnsi"/>
          <w:szCs w:val="20"/>
        </w:rPr>
        <w:t xml:space="preserve"> rate over the past few years could lead to household consumption being weaker than forecast.</w:t>
      </w:r>
      <w:r>
        <w:rPr>
          <w:rFonts w:asciiTheme="minorHAnsi" w:hAnsiTheme="minorHAnsi"/>
          <w:szCs w:val="20"/>
        </w:rPr>
        <w:t xml:space="preserve"> </w:t>
      </w:r>
      <w:r w:rsidR="002328B9">
        <w:rPr>
          <w:rFonts w:asciiTheme="minorHAnsi" w:hAnsiTheme="minorHAnsi"/>
          <w:szCs w:val="20"/>
        </w:rPr>
        <w:t xml:space="preserve">A larger-than-expected fall in dwelling investment </w:t>
      </w:r>
      <w:r w:rsidR="006D0F28">
        <w:rPr>
          <w:rFonts w:asciiTheme="minorHAnsi" w:hAnsiTheme="minorHAnsi"/>
          <w:szCs w:val="20"/>
        </w:rPr>
        <w:t xml:space="preserve">could also have implications </w:t>
      </w:r>
      <w:r w:rsidR="008C284A">
        <w:rPr>
          <w:rFonts w:asciiTheme="minorHAnsi" w:hAnsiTheme="minorHAnsi"/>
          <w:szCs w:val="20"/>
        </w:rPr>
        <w:t xml:space="preserve">for </w:t>
      </w:r>
      <w:r w:rsidR="006D0F28">
        <w:rPr>
          <w:rFonts w:asciiTheme="minorHAnsi" w:hAnsiTheme="minorHAnsi"/>
          <w:szCs w:val="20"/>
        </w:rPr>
        <w:t xml:space="preserve">the attitudes of households toward saving. </w:t>
      </w:r>
      <w:r w:rsidR="0070392C" w:rsidRPr="006D0F28">
        <w:rPr>
          <w:rFonts w:asciiTheme="minorHAnsi" w:hAnsiTheme="minorHAnsi"/>
          <w:szCs w:val="20"/>
        </w:rPr>
        <w:t xml:space="preserve">In addition, commodity prices remain volatile and </w:t>
      </w:r>
      <w:r w:rsidRPr="006D0F28">
        <w:rPr>
          <w:rFonts w:asciiTheme="minorHAnsi" w:hAnsiTheme="minorHAnsi"/>
          <w:szCs w:val="20"/>
        </w:rPr>
        <w:t xml:space="preserve">subject to policy changes in China and </w:t>
      </w:r>
      <w:r w:rsidR="0070392C" w:rsidRPr="006D0F28">
        <w:rPr>
          <w:rFonts w:asciiTheme="minorHAnsi" w:hAnsiTheme="minorHAnsi"/>
          <w:szCs w:val="20"/>
        </w:rPr>
        <w:t>are a key uncertainty for the outlook for nominal GDP.</w:t>
      </w:r>
    </w:p>
    <w:p w14:paraId="01F0A7F3" w14:textId="77777777" w:rsidR="009E7768" w:rsidRDefault="006D5A5E" w:rsidP="001E5D37">
      <w:pPr>
        <w:keepNext/>
        <w:spacing w:after="200" w:line="276" w:lineRule="auto"/>
        <w:contextualSpacing/>
        <w:jc w:val="left"/>
        <w:rPr>
          <w:rFonts w:asciiTheme="minorHAnsi" w:hAnsiTheme="minorHAnsi"/>
          <w:b/>
          <w:sz w:val="22"/>
          <w:szCs w:val="22"/>
        </w:rPr>
      </w:pPr>
      <w:r w:rsidRPr="00881E0F">
        <w:rPr>
          <w:rFonts w:asciiTheme="minorHAnsi" w:hAnsiTheme="minorHAnsi"/>
          <w:b/>
          <w:sz w:val="22"/>
          <w:szCs w:val="22"/>
        </w:rPr>
        <w:lastRenderedPageBreak/>
        <w:t>T</w:t>
      </w:r>
      <w:r w:rsidR="00943678" w:rsidRPr="00881E0F">
        <w:rPr>
          <w:rFonts w:asciiTheme="minorHAnsi" w:hAnsiTheme="minorHAnsi"/>
          <w:b/>
          <w:sz w:val="22"/>
          <w:szCs w:val="22"/>
        </w:rPr>
        <w:t>able 1: Domestic economy forecasts</w:t>
      </w:r>
    </w:p>
    <w:p w14:paraId="0867CAB4" w14:textId="7CF0F9FF" w:rsidR="00CC6452" w:rsidRPr="00DA52C7" w:rsidRDefault="00D57B52" w:rsidP="001E5D37">
      <w:pPr>
        <w:pStyle w:val="TableGraphic"/>
      </w:pPr>
      <w:r>
        <w:rPr>
          <w:noProof/>
        </w:rPr>
        <w:drawing>
          <wp:inline distT="0" distB="0" distL="0" distR="0" wp14:anchorId="3A7BBE9B" wp14:editId="113A1843">
            <wp:extent cx="5517515" cy="5919470"/>
            <wp:effectExtent l="0" t="0" r="698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591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8226E" w14:textId="083F3C17" w:rsidR="00DA52C7" w:rsidRPr="00DA52C7" w:rsidRDefault="00DA52C7" w:rsidP="00DA52C7">
      <w:pPr>
        <w:pStyle w:val="TableGraphic"/>
      </w:pPr>
      <w:r w:rsidRPr="00DA52C7">
        <w:rPr>
          <w:noProof/>
        </w:rPr>
        <w:drawing>
          <wp:inline distT="0" distB="0" distL="0" distR="0" wp14:anchorId="63100907" wp14:editId="7937465A">
            <wp:extent cx="5731510" cy="859703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2C7" w:rsidRPr="00DA5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CB29" w14:textId="77777777" w:rsidR="00CB3A12" w:rsidRDefault="00CB3A12" w:rsidP="00ED5F55">
      <w:pPr>
        <w:spacing w:after="0" w:line="240" w:lineRule="auto"/>
      </w:pPr>
      <w:r>
        <w:separator/>
      </w:r>
    </w:p>
  </w:endnote>
  <w:endnote w:type="continuationSeparator" w:id="0">
    <w:p w14:paraId="62366495" w14:textId="77777777" w:rsidR="00CB3A12" w:rsidRDefault="00CB3A12" w:rsidP="00ED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111D7" w14:textId="77777777" w:rsidR="00FC79CC" w:rsidRDefault="00064C36" w:rsidP="00A377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6631AF" w14:textId="77777777" w:rsidR="00FC79CC" w:rsidRDefault="009A63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36C3D" w14:textId="77777777" w:rsidR="00FC79CC" w:rsidRDefault="00064C36" w:rsidP="00BC4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2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0C126F" w14:textId="77777777" w:rsidR="00FC79CC" w:rsidRDefault="009A63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FDF9C" w14:textId="77777777" w:rsidR="00CB3A12" w:rsidRDefault="00CB3A12" w:rsidP="00ED5F55">
      <w:pPr>
        <w:spacing w:after="0" w:line="240" w:lineRule="auto"/>
      </w:pPr>
      <w:r>
        <w:separator/>
      </w:r>
    </w:p>
  </w:footnote>
  <w:footnote w:type="continuationSeparator" w:id="0">
    <w:p w14:paraId="44CED853" w14:textId="77777777" w:rsidR="00CB3A12" w:rsidRDefault="00CB3A12" w:rsidP="00ED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C2710"/>
    <w:multiLevelType w:val="multilevel"/>
    <w:tmpl w:val="D8CCB9A0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37167D44"/>
    <w:multiLevelType w:val="multilevel"/>
    <w:tmpl w:val="607877A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465"/>
        </w:tabs>
        <w:ind w:left="1465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004F15"/>
    <w:multiLevelType w:val="multilevel"/>
    <w:tmpl w:val="06B24F6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" w15:restartNumberingAfterBreak="0">
    <w:nsid w:val="3C554A3D"/>
    <w:multiLevelType w:val="multilevel"/>
    <w:tmpl w:val="9F9A498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E05363F"/>
    <w:multiLevelType w:val="hybridMultilevel"/>
    <w:tmpl w:val="76C4AB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43F26"/>
    <w:multiLevelType w:val="hybridMultilevel"/>
    <w:tmpl w:val="BBF06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C1C08"/>
    <w:multiLevelType w:val="hybridMultilevel"/>
    <w:tmpl w:val="2DE06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77F86"/>
    <w:multiLevelType w:val="hybridMultilevel"/>
    <w:tmpl w:val="062AFC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2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0"/>
  </w:num>
  <w:num w:numId="48">
    <w:abstractNumId w:val="3"/>
  </w:num>
  <w:num w:numId="49">
    <w:abstractNumId w:val="1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55"/>
    <w:rsid w:val="00007577"/>
    <w:rsid w:val="00012A72"/>
    <w:rsid w:val="00023212"/>
    <w:rsid w:val="0003161B"/>
    <w:rsid w:val="00036D08"/>
    <w:rsid w:val="00052A45"/>
    <w:rsid w:val="000540EA"/>
    <w:rsid w:val="000610A4"/>
    <w:rsid w:val="00064C36"/>
    <w:rsid w:val="0006506F"/>
    <w:rsid w:val="00066CC8"/>
    <w:rsid w:val="00070252"/>
    <w:rsid w:val="0007545C"/>
    <w:rsid w:val="000827CF"/>
    <w:rsid w:val="0008498B"/>
    <w:rsid w:val="00090987"/>
    <w:rsid w:val="000A1363"/>
    <w:rsid w:val="000A2C8A"/>
    <w:rsid w:val="000A4950"/>
    <w:rsid w:val="000B056C"/>
    <w:rsid w:val="000B0B96"/>
    <w:rsid w:val="000B6359"/>
    <w:rsid w:val="000C0AC9"/>
    <w:rsid w:val="000C491E"/>
    <w:rsid w:val="000D04E8"/>
    <w:rsid w:val="000E5D91"/>
    <w:rsid w:val="000E766D"/>
    <w:rsid w:val="000F26DB"/>
    <w:rsid w:val="000F2D42"/>
    <w:rsid w:val="000F2FC6"/>
    <w:rsid w:val="00105D62"/>
    <w:rsid w:val="001147B5"/>
    <w:rsid w:val="001160B8"/>
    <w:rsid w:val="00130187"/>
    <w:rsid w:val="001326A1"/>
    <w:rsid w:val="00132DFF"/>
    <w:rsid w:val="00137FF8"/>
    <w:rsid w:val="00141A62"/>
    <w:rsid w:val="001453A8"/>
    <w:rsid w:val="00147995"/>
    <w:rsid w:val="00153C20"/>
    <w:rsid w:val="00163DE8"/>
    <w:rsid w:val="00171200"/>
    <w:rsid w:val="001717BE"/>
    <w:rsid w:val="00180007"/>
    <w:rsid w:val="0018190A"/>
    <w:rsid w:val="00182CB1"/>
    <w:rsid w:val="00186847"/>
    <w:rsid w:val="001905A8"/>
    <w:rsid w:val="00193718"/>
    <w:rsid w:val="001B1164"/>
    <w:rsid w:val="001B6C91"/>
    <w:rsid w:val="001D072F"/>
    <w:rsid w:val="001D282C"/>
    <w:rsid w:val="001D48D5"/>
    <w:rsid w:val="001E51DD"/>
    <w:rsid w:val="001E5D37"/>
    <w:rsid w:val="001F0697"/>
    <w:rsid w:val="001F554A"/>
    <w:rsid w:val="001F647F"/>
    <w:rsid w:val="002000B7"/>
    <w:rsid w:val="00200B8C"/>
    <w:rsid w:val="00201932"/>
    <w:rsid w:val="002032EE"/>
    <w:rsid w:val="00214E19"/>
    <w:rsid w:val="002261BB"/>
    <w:rsid w:val="002328B9"/>
    <w:rsid w:val="002377A2"/>
    <w:rsid w:val="00246CFE"/>
    <w:rsid w:val="002546EA"/>
    <w:rsid w:val="00275628"/>
    <w:rsid w:val="00275D46"/>
    <w:rsid w:val="00291816"/>
    <w:rsid w:val="002A685C"/>
    <w:rsid w:val="002B2234"/>
    <w:rsid w:val="002B3B69"/>
    <w:rsid w:val="002B4488"/>
    <w:rsid w:val="002B6671"/>
    <w:rsid w:val="002C5D12"/>
    <w:rsid w:val="002E7BFA"/>
    <w:rsid w:val="002F2244"/>
    <w:rsid w:val="003064BB"/>
    <w:rsid w:val="00312CD8"/>
    <w:rsid w:val="003133D1"/>
    <w:rsid w:val="00315523"/>
    <w:rsid w:val="00326BAC"/>
    <w:rsid w:val="003332DF"/>
    <w:rsid w:val="00333F51"/>
    <w:rsid w:val="00340624"/>
    <w:rsid w:val="00341D30"/>
    <w:rsid w:val="003448C7"/>
    <w:rsid w:val="0034675E"/>
    <w:rsid w:val="00351CEB"/>
    <w:rsid w:val="00353FC3"/>
    <w:rsid w:val="003572D9"/>
    <w:rsid w:val="003611E0"/>
    <w:rsid w:val="00375AD0"/>
    <w:rsid w:val="00376225"/>
    <w:rsid w:val="00381C01"/>
    <w:rsid w:val="00383AFF"/>
    <w:rsid w:val="00386C2E"/>
    <w:rsid w:val="0038793D"/>
    <w:rsid w:val="0039266D"/>
    <w:rsid w:val="00394EF3"/>
    <w:rsid w:val="003953BD"/>
    <w:rsid w:val="003A0A3B"/>
    <w:rsid w:val="003A2334"/>
    <w:rsid w:val="003A42C7"/>
    <w:rsid w:val="003A78EC"/>
    <w:rsid w:val="003B5AEF"/>
    <w:rsid w:val="003C6E31"/>
    <w:rsid w:val="003D00AE"/>
    <w:rsid w:val="003D4B54"/>
    <w:rsid w:val="003D6C4D"/>
    <w:rsid w:val="003D7A78"/>
    <w:rsid w:val="003E0FCB"/>
    <w:rsid w:val="003E4996"/>
    <w:rsid w:val="003E4BCC"/>
    <w:rsid w:val="003E73D5"/>
    <w:rsid w:val="003F710D"/>
    <w:rsid w:val="00402390"/>
    <w:rsid w:val="004150F0"/>
    <w:rsid w:val="00416CE2"/>
    <w:rsid w:val="00423B45"/>
    <w:rsid w:val="00427D83"/>
    <w:rsid w:val="00437F18"/>
    <w:rsid w:val="00446CB0"/>
    <w:rsid w:val="004543A5"/>
    <w:rsid w:val="00461F46"/>
    <w:rsid w:val="004755DC"/>
    <w:rsid w:val="004772E6"/>
    <w:rsid w:val="004825AF"/>
    <w:rsid w:val="00484734"/>
    <w:rsid w:val="00486901"/>
    <w:rsid w:val="004A066C"/>
    <w:rsid w:val="004B2DE0"/>
    <w:rsid w:val="004B45AD"/>
    <w:rsid w:val="004C1577"/>
    <w:rsid w:val="004E470B"/>
    <w:rsid w:val="004F404F"/>
    <w:rsid w:val="0050033C"/>
    <w:rsid w:val="00505065"/>
    <w:rsid w:val="0050574C"/>
    <w:rsid w:val="00510DCF"/>
    <w:rsid w:val="00522651"/>
    <w:rsid w:val="00527E3C"/>
    <w:rsid w:val="00546FE9"/>
    <w:rsid w:val="0056591A"/>
    <w:rsid w:val="00571BD7"/>
    <w:rsid w:val="005777E0"/>
    <w:rsid w:val="00584D88"/>
    <w:rsid w:val="0059410C"/>
    <w:rsid w:val="0059737A"/>
    <w:rsid w:val="005A172F"/>
    <w:rsid w:val="005A5558"/>
    <w:rsid w:val="005B1D7D"/>
    <w:rsid w:val="005B2566"/>
    <w:rsid w:val="005C2AF0"/>
    <w:rsid w:val="005C3313"/>
    <w:rsid w:val="005C3A13"/>
    <w:rsid w:val="005D0F2B"/>
    <w:rsid w:val="005E3443"/>
    <w:rsid w:val="005F12FE"/>
    <w:rsid w:val="005F2D6D"/>
    <w:rsid w:val="005F4C37"/>
    <w:rsid w:val="00611901"/>
    <w:rsid w:val="00614FFD"/>
    <w:rsid w:val="006242D9"/>
    <w:rsid w:val="006267DE"/>
    <w:rsid w:val="00631A4B"/>
    <w:rsid w:val="0063711B"/>
    <w:rsid w:val="0064022B"/>
    <w:rsid w:val="0064125A"/>
    <w:rsid w:val="00641E27"/>
    <w:rsid w:val="006475E6"/>
    <w:rsid w:val="00654ABE"/>
    <w:rsid w:val="00664E70"/>
    <w:rsid w:val="00665D21"/>
    <w:rsid w:val="006661CA"/>
    <w:rsid w:val="00667567"/>
    <w:rsid w:val="0067620E"/>
    <w:rsid w:val="00690626"/>
    <w:rsid w:val="006942D4"/>
    <w:rsid w:val="006A3282"/>
    <w:rsid w:val="006B0600"/>
    <w:rsid w:val="006B5985"/>
    <w:rsid w:val="006C2D1D"/>
    <w:rsid w:val="006D09D9"/>
    <w:rsid w:val="006D0F28"/>
    <w:rsid w:val="006D26D6"/>
    <w:rsid w:val="006D5A5E"/>
    <w:rsid w:val="0070392C"/>
    <w:rsid w:val="00703D44"/>
    <w:rsid w:val="00714F86"/>
    <w:rsid w:val="00717032"/>
    <w:rsid w:val="007213DA"/>
    <w:rsid w:val="00721A63"/>
    <w:rsid w:val="00721FE0"/>
    <w:rsid w:val="00722D7A"/>
    <w:rsid w:val="00725ED7"/>
    <w:rsid w:val="007260D7"/>
    <w:rsid w:val="00732D98"/>
    <w:rsid w:val="007348E3"/>
    <w:rsid w:val="007357C5"/>
    <w:rsid w:val="007375EB"/>
    <w:rsid w:val="007457A2"/>
    <w:rsid w:val="00745F0B"/>
    <w:rsid w:val="0075273D"/>
    <w:rsid w:val="00752CD3"/>
    <w:rsid w:val="007559E0"/>
    <w:rsid w:val="00773DC2"/>
    <w:rsid w:val="0077579B"/>
    <w:rsid w:val="00775C67"/>
    <w:rsid w:val="007764C0"/>
    <w:rsid w:val="00776D58"/>
    <w:rsid w:val="00777412"/>
    <w:rsid w:val="00787CDA"/>
    <w:rsid w:val="007974BC"/>
    <w:rsid w:val="007A09F7"/>
    <w:rsid w:val="007B1798"/>
    <w:rsid w:val="007B396C"/>
    <w:rsid w:val="007F1373"/>
    <w:rsid w:val="00805E9E"/>
    <w:rsid w:val="0080687F"/>
    <w:rsid w:val="0080797F"/>
    <w:rsid w:val="008214FF"/>
    <w:rsid w:val="008253D0"/>
    <w:rsid w:val="0082705A"/>
    <w:rsid w:val="00830AD3"/>
    <w:rsid w:val="00833833"/>
    <w:rsid w:val="00863DEC"/>
    <w:rsid w:val="00872C5B"/>
    <w:rsid w:val="00875A42"/>
    <w:rsid w:val="00876B3E"/>
    <w:rsid w:val="00880464"/>
    <w:rsid w:val="00881E0F"/>
    <w:rsid w:val="00892DAB"/>
    <w:rsid w:val="00897820"/>
    <w:rsid w:val="008A4883"/>
    <w:rsid w:val="008B42FB"/>
    <w:rsid w:val="008B5269"/>
    <w:rsid w:val="008C284A"/>
    <w:rsid w:val="008D17BE"/>
    <w:rsid w:val="008D2701"/>
    <w:rsid w:val="008E031D"/>
    <w:rsid w:val="008E2476"/>
    <w:rsid w:val="008F3AD2"/>
    <w:rsid w:val="0090401F"/>
    <w:rsid w:val="00913BA0"/>
    <w:rsid w:val="00924933"/>
    <w:rsid w:val="00926B46"/>
    <w:rsid w:val="00932A52"/>
    <w:rsid w:val="00934E55"/>
    <w:rsid w:val="00935F7D"/>
    <w:rsid w:val="00936A85"/>
    <w:rsid w:val="00943678"/>
    <w:rsid w:val="00943E92"/>
    <w:rsid w:val="009460C6"/>
    <w:rsid w:val="009519A6"/>
    <w:rsid w:val="00951D63"/>
    <w:rsid w:val="00960403"/>
    <w:rsid w:val="00972E66"/>
    <w:rsid w:val="00982A3B"/>
    <w:rsid w:val="0099686A"/>
    <w:rsid w:val="009A63EE"/>
    <w:rsid w:val="009B2D47"/>
    <w:rsid w:val="009C690B"/>
    <w:rsid w:val="009C79AC"/>
    <w:rsid w:val="009D1CE9"/>
    <w:rsid w:val="009D3C41"/>
    <w:rsid w:val="009E7768"/>
    <w:rsid w:val="00A06434"/>
    <w:rsid w:val="00A102A2"/>
    <w:rsid w:val="00A11F7F"/>
    <w:rsid w:val="00A2080D"/>
    <w:rsid w:val="00A24F1F"/>
    <w:rsid w:val="00A25744"/>
    <w:rsid w:val="00A34594"/>
    <w:rsid w:val="00A437E1"/>
    <w:rsid w:val="00A51E09"/>
    <w:rsid w:val="00A61787"/>
    <w:rsid w:val="00A62BF7"/>
    <w:rsid w:val="00A64073"/>
    <w:rsid w:val="00A76BF3"/>
    <w:rsid w:val="00A815B0"/>
    <w:rsid w:val="00A83497"/>
    <w:rsid w:val="00A87379"/>
    <w:rsid w:val="00AA4BFF"/>
    <w:rsid w:val="00AA7DAF"/>
    <w:rsid w:val="00AB4731"/>
    <w:rsid w:val="00AB70E8"/>
    <w:rsid w:val="00AC1FB0"/>
    <w:rsid w:val="00AD7E7B"/>
    <w:rsid w:val="00B06400"/>
    <w:rsid w:val="00B1739A"/>
    <w:rsid w:val="00B23122"/>
    <w:rsid w:val="00B316EE"/>
    <w:rsid w:val="00B40795"/>
    <w:rsid w:val="00B451B4"/>
    <w:rsid w:val="00B47EC3"/>
    <w:rsid w:val="00B6114A"/>
    <w:rsid w:val="00B72747"/>
    <w:rsid w:val="00B7524A"/>
    <w:rsid w:val="00B84FCF"/>
    <w:rsid w:val="00BA4823"/>
    <w:rsid w:val="00BA611D"/>
    <w:rsid w:val="00BA6DE7"/>
    <w:rsid w:val="00BB2CB2"/>
    <w:rsid w:val="00BB7DE3"/>
    <w:rsid w:val="00BC44CA"/>
    <w:rsid w:val="00BD3AE0"/>
    <w:rsid w:val="00BD56A3"/>
    <w:rsid w:val="00BD6086"/>
    <w:rsid w:val="00BD719F"/>
    <w:rsid w:val="00BE3E9A"/>
    <w:rsid w:val="00C243AB"/>
    <w:rsid w:val="00C406F2"/>
    <w:rsid w:val="00C41343"/>
    <w:rsid w:val="00C41AC5"/>
    <w:rsid w:val="00C514ED"/>
    <w:rsid w:val="00C54EA0"/>
    <w:rsid w:val="00C6738F"/>
    <w:rsid w:val="00C716C2"/>
    <w:rsid w:val="00C71D01"/>
    <w:rsid w:val="00C73D0C"/>
    <w:rsid w:val="00C74119"/>
    <w:rsid w:val="00C771AC"/>
    <w:rsid w:val="00C82E52"/>
    <w:rsid w:val="00C83289"/>
    <w:rsid w:val="00C8422F"/>
    <w:rsid w:val="00C85A60"/>
    <w:rsid w:val="00CA0FF7"/>
    <w:rsid w:val="00CA3EC6"/>
    <w:rsid w:val="00CA4545"/>
    <w:rsid w:val="00CB3A12"/>
    <w:rsid w:val="00CC287C"/>
    <w:rsid w:val="00CC31BE"/>
    <w:rsid w:val="00CC6452"/>
    <w:rsid w:val="00CD1B67"/>
    <w:rsid w:val="00CE4F03"/>
    <w:rsid w:val="00CE686F"/>
    <w:rsid w:val="00CE7B68"/>
    <w:rsid w:val="00CF0407"/>
    <w:rsid w:val="00CF3231"/>
    <w:rsid w:val="00CF4FDF"/>
    <w:rsid w:val="00CF5A45"/>
    <w:rsid w:val="00CF7197"/>
    <w:rsid w:val="00D179A3"/>
    <w:rsid w:val="00D216D1"/>
    <w:rsid w:val="00D34F9D"/>
    <w:rsid w:val="00D42573"/>
    <w:rsid w:val="00D44420"/>
    <w:rsid w:val="00D57B52"/>
    <w:rsid w:val="00D6723F"/>
    <w:rsid w:val="00D7423D"/>
    <w:rsid w:val="00D830A5"/>
    <w:rsid w:val="00D858F9"/>
    <w:rsid w:val="00DA0DBB"/>
    <w:rsid w:val="00DA1757"/>
    <w:rsid w:val="00DA52C7"/>
    <w:rsid w:val="00DB2263"/>
    <w:rsid w:val="00DC3865"/>
    <w:rsid w:val="00DC5A62"/>
    <w:rsid w:val="00DD2C92"/>
    <w:rsid w:val="00DE0424"/>
    <w:rsid w:val="00DE09B0"/>
    <w:rsid w:val="00DE4796"/>
    <w:rsid w:val="00DF25A2"/>
    <w:rsid w:val="00E02438"/>
    <w:rsid w:val="00E05B69"/>
    <w:rsid w:val="00E06C3C"/>
    <w:rsid w:val="00E11740"/>
    <w:rsid w:val="00E11E84"/>
    <w:rsid w:val="00E147EE"/>
    <w:rsid w:val="00E20007"/>
    <w:rsid w:val="00E21EED"/>
    <w:rsid w:val="00E376B7"/>
    <w:rsid w:val="00E4130E"/>
    <w:rsid w:val="00E44FEC"/>
    <w:rsid w:val="00E531C7"/>
    <w:rsid w:val="00E65D1E"/>
    <w:rsid w:val="00E80AA7"/>
    <w:rsid w:val="00E80BAA"/>
    <w:rsid w:val="00E95F9D"/>
    <w:rsid w:val="00EA1F46"/>
    <w:rsid w:val="00EA272E"/>
    <w:rsid w:val="00EB7452"/>
    <w:rsid w:val="00EC5E4B"/>
    <w:rsid w:val="00EC716D"/>
    <w:rsid w:val="00EC71A9"/>
    <w:rsid w:val="00ED5F55"/>
    <w:rsid w:val="00EE130B"/>
    <w:rsid w:val="00EE1897"/>
    <w:rsid w:val="00EE1F75"/>
    <w:rsid w:val="00EE66EC"/>
    <w:rsid w:val="00EF3868"/>
    <w:rsid w:val="00EF50DD"/>
    <w:rsid w:val="00F03121"/>
    <w:rsid w:val="00F03289"/>
    <w:rsid w:val="00F04FA2"/>
    <w:rsid w:val="00F1302E"/>
    <w:rsid w:val="00F35F9B"/>
    <w:rsid w:val="00F47170"/>
    <w:rsid w:val="00F70ED4"/>
    <w:rsid w:val="00F71C58"/>
    <w:rsid w:val="00F72617"/>
    <w:rsid w:val="00F7704C"/>
    <w:rsid w:val="00F82A87"/>
    <w:rsid w:val="00F84165"/>
    <w:rsid w:val="00F87BF6"/>
    <w:rsid w:val="00F93770"/>
    <w:rsid w:val="00F94E4D"/>
    <w:rsid w:val="00FA0F78"/>
    <w:rsid w:val="00FA4AD8"/>
    <w:rsid w:val="00FA6F27"/>
    <w:rsid w:val="00FB0F7A"/>
    <w:rsid w:val="00FB7DA7"/>
    <w:rsid w:val="00FC4BED"/>
    <w:rsid w:val="00FC70A0"/>
    <w:rsid w:val="00FE6B9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55BC"/>
  <w15:docId w15:val="{6E51E600-F3A3-4450-8292-8E7F0B4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55"/>
    <w:pPr>
      <w:spacing w:after="240" w:line="260" w:lineRule="exact"/>
      <w:jc w:val="both"/>
    </w:pPr>
    <w:rPr>
      <w:rFonts w:ascii="Book Antiqua" w:eastAsia="SimSun" w:hAnsi="Book Antiqu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5F55"/>
    <w:pPr>
      <w:tabs>
        <w:tab w:val="center" w:pos="3856"/>
        <w:tab w:val="right" w:pos="7711"/>
      </w:tabs>
    </w:pPr>
    <w:rPr>
      <w:rFonts w:ascii="Tahoma" w:hAnsi="Tahoma"/>
      <w:sz w:val="18"/>
    </w:rPr>
  </w:style>
  <w:style w:type="character" w:customStyle="1" w:styleId="HeaderChar">
    <w:name w:val="Header Char"/>
    <w:basedOn w:val="DefaultParagraphFont"/>
    <w:link w:val="Header"/>
    <w:rsid w:val="00ED5F55"/>
    <w:rPr>
      <w:rFonts w:ascii="Tahoma" w:eastAsia="SimSun" w:hAnsi="Tahom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rsid w:val="00ED5F55"/>
    <w:pPr>
      <w:spacing w:after="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ED5F55"/>
    <w:rPr>
      <w:rFonts w:ascii="Tahoma" w:eastAsia="SimSun" w:hAnsi="Tahoma" w:cs="Times New Roman"/>
      <w:sz w:val="20"/>
      <w:szCs w:val="24"/>
    </w:rPr>
  </w:style>
  <w:style w:type="character" w:styleId="PageNumber">
    <w:name w:val="page number"/>
    <w:basedOn w:val="DefaultParagraphFont"/>
    <w:rsid w:val="00ED5F55"/>
  </w:style>
  <w:style w:type="paragraph" w:customStyle="1" w:styleId="StatementContentsHeading">
    <w:name w:val="StatementContentsHeading"/>
    <w:basedOn w:val="Heading1"/>
    <w:next w:val="Normal"/>
    <w:rsid w:val="00ED5F55"/>
    <w:pPr>
      <w:keepLines w:val="0"/>
      <w:spacing w:before="0" w:after="240"/>
      <w:jc w:val="center"/>
    </w:pPr>
    <w:rPr>
      <w:rFonts w:ascii="Tahoma" w:eastAsia="SimSun" w:hAnsi="Tahoma" w:cs="Times New Roman"/>
      <w:bCs w:val="0"/>
      <w:smallCaps/>
      <w:color w:val="auto"/>
      <w:kern w:val="28"/>
      <w:sz w:val="34"/>
      <w:szCs w:val="24"/>
    </w:rPr>
  </w:style>
  <w:style w:type="paragraph" w:styleId="Title">
    <w:name w:val="Title"/>
    <w:basedOn w:val="Normal"/>
    <w:link w:val="TitleChar"/>
    <w:uiPriority w:val="10"/>
    <w:qFormat/>
    <w:rsid w:val="00ED5F55"/>
    <w:pPr>
      <w:spacing w:line="240" w:lineRule="auto"/>
      <w:jc w:val="center"/>
    </w:pPr>
    <w:rPr>
      <w:rFonts w:ascii="Tahoma" w:hAnsi="Tahoma"/>
      <w:smallCaps/>
      <w:color w:val="000000"/>
      <w:sz w:val="3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D5F55"/>
    <w:rPr>
      <w:rFonts w:ascii="Tahoma" w:eastAsia="SimSun" w:hAnsi="Tahoma" w:cs="Times New Roman"/>
      <w:smallCaps/>
      <w:color w:val="000000"/>
      <w:sz w:val="3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5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55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D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lineNumbered1">
    <w:name w:val="Outline Numbered 1"/>
    <w:basedOn w:val="Normal"/>
    <w:link w:val="OutlineNumbered1Char"/>
    <w:rsid w:val="00ED5F55"/>
    <w:pPr>
      <w:numPr>
        <w:numId w:val="1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2">
    <w:name w:val="Outline Numbered 2"/>
    <w:basedOn w:val="Normal"/>
    <w:link w:val="OutlineNumbered2Char"/>
    <w:rsid w:val="00ED5F55"/>
    <w:pPr>
      <w:numPr>
        <w:ilvl w:val="1"/>
        <w:numId w:val="1"/>
      </w:numPr>
      <w:tabs>
        <w:tab w:val="clear" w:pos="1465"/>
        <w:tab w:val="num" w:pos="944"/>
      </w:tabs>
      <w:ind w:left="944"/>
    </w:pPr>
  </w:style>
  <w:style w:type="character" w:customStyle="1" w:styleId="OutlineNumbered2Char">
    <w:name w:val="Outline Numbered 2 Char"/>
    <w:basedOn w:val="DefaultParagraphFont"/>
    <w:link w:val="OutlineNumbered2"/>
    <w:rsid w:val="00ED5F55"/>
    <w:rPr>
      <w:rFonts w:ascii="Book Antiqua" w:eastAsia="SimSun" w:hAnsi="Book Antiqua" w:cs="Times New Roman"/>
      <w:sz w:val="20"/>
      <w:szCs w:val="24"/>
    </w:rPr>
  </w:style>
  <w:style w:type="paragraph" w:customStyle="1" w:styleId="OutlineNumbered3">
    <w:name w:val="Outline Numbered 3"/>
    <w:basedOn w:val="Normal"/>
    <w:link w:val="OutlineNumbered3Char"/>
    <w:rsid w:val="00ED5F55"/>
    <w:pPr>
      <w:numPr>
        <w:ilvl w:val="2"/>
        <w:numId w:val="1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ED5F55"/>
    <w:rPr>
      <w:rFonts w:ascii="Book Antiqua" w:eastAsia="SimSun" w:hAnsi="Book Antiqu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7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03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qFormat/>
    <w:rsid w:val="0050033C"/>
  </w:style>
  <w:style w:type="table" w:styleId="TableGrid">
    <w:name w:val="Table Grid"/>
    <w:basedOn w:val="TableNormal"/>
    <w:uiPriority w:val="59"/>
    <w:rsid w:val="007A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F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F2B"/>
    <w:rPr>
      <w:rFonts w:ascii="Book Antiqua" w:eastAsia="SimSu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F2B"/>
    <w:rPr>
      <w:rFonts w:ascii="Book Antiqua" w:eastAsia="SimSun" w:hAnsi="Book Antiqu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579B"/>
    <w:pPr>
      <w:spacing w:before="180" w:after="180" w:line="255" w:lineRule="atLeast"/>
      <w:jc w:val="left"/>
    </w:pPr>
    <w:rPr>
      <w:rFonts w:ascii="Times New Roman" w:eastAsia="Times New Roman" w:hAnsi="Times New Roman"/>
      <w:sz w:val="24"/>
      <w:lang w:eastAsia="en-AU"/>
    </w:rPr>
  </w:style>
  <w:style w:type="paragraph" w:customStyle="1" w:styleId="TableGraphic">
    <w:name w:val="Table Graphic"/>
    <w:basedOn w:val="Normal"/>
    <w:next w:val="Normal"/>
    <w:link w:val="TableGraphicChar"/>
    <w:rsid w:val="001E5D37"/>
    <w:pPr>
      <w:spacing w:before="120" w:after="120" w:line="276" w:lineRule="auto"/>
      <w:contextualSpacing/>
      <w:jc w:val="left"/>
    </w:pPr>
    <w:rPr>
      <w:rFonts w:ascii="Calibri" w:hAnsi="Calibri"/>
      <w:szCs w:val="22"/>
    </w:rPr>
  </w:style>
  <w:style w:type="character" w:customStyle="1" w:styleId="TableGraphicChar">
    <w:name w:val="Table Graphic Char"/>
    <w:basedOn w:val="DefaultParagraphFont"/>
    <w:link w:val="TableGraphic"/>
    <w:rsid w:val="001E5D37"/>
    <w:rPr>
      <w:rFonts w:ascii="Calibri" w:eastAsia="SimSun" w:hAnsi="Calibri" w:cs="Times New Roman"/>
      <w:sz w:val="20"/>
    </w:rPr>
  </w:style>
  <w:style w:type="paragraph" w:customStyle="1" w:styleId="Bullet">
    <w:name w:val="Bullet"/>
    <w:aliases w:val="b,b1,b + line,level 1,Body,Bullet + line"/>
    <w:basedOn w:val="Normal"/>
    <w:link w:val="BulletChar"/>
    <w:qFormat/>
    <w:rsid w:val="003572D9"/>
    <w:pPr>
      <w:numPr>
        <w:numId w:val="33"/>
      </w:numPr>
      <w:spacing w:after="200" w:line="276" w:lineRule="auto"/>
      <w:jc w:val="left"/>
    </w:pPr>
    <w:rPr>
      <w:rFonts w:ascii="Times New Roman" w:eastAsiaTheme="minorHAnsi" w:hAnsi="Times New Roman"/>
      <w:sz w:val="24"/>
      <w:szCs w:val="22"/>
    </w:rPr>
  </w:style>
  <w:style w:type="character" w:customStyle="1" w:styleId="BulletChar">
    <w:name w:val="Bullet Char"/>
    <w:aliases w:val="b Char Char,b Char,b + line Char Char,L Char,List Paragraph1 Char,List Paragraph11 Char,Number Char,Recommendation Char"/>
    <w:basedOn w:val="DefaultParagraphFont"/>
    <w:link w:val="Bullet"/>
    <w:rsid w:val="003572D9"/>
    <w:rPr>
      <w:rFonts w:ascii="Times New Roman" w:hAnsi="Times New Roman" w:cs="Times New Roman"/>
      <w:sz w:val="24"/>
    </w:rPr>
  </w:style>
  <w:style w:type="paragraph" w:customStyle="1" w:styleId="Dash">
    <w:name w:val="Dash"/>
    <w:basedOn w:val="Normal"/>
    <w:qFormat/>
    <w:rsid w:val="003572D9"/>
    <w:pPr>
      <w:numPr>
        <w:ilvl w:val="1"/>
        <w:numId w:val="33"/>
      </w:numPr>
      <w:spacing w:after="200" w:line="276" w:lineRule="auto"/>
      <w:jc w:val="left"/>
    </w:pPr>
    <w:rPr>
      <w:rFonts w:ascii="Times New Roman" w:eastAsiaTheme="minorHAnsi" w:hAnsi="Times New Roman"/>
      <w:sz w:val="24"/>
      <w:szCs w:val="22"/>
    </w:rPr>
  </w:style>
  <w:style w:type="paragraph" w:customStyle="1" w:styleId="DoubleDot">
    <w:name w:val="Double Dot"/>
    <w:basedOn w:val="Normal"/>
    <w:qFormat/>
    <w:rsid w:val="003572D9"/>
    <w:pPr>
      <w:numPr>
        <w:ilvl w:val="2"/>
        <w:numId w:val="33"/>
      </w:numPr>
      <w:spacing w:after="200" w:line="276" w:lineRule="auto"/>
      <w:jc w:val="left"/>
    </w:pPr>
    <w:rPr>
      <w:rFonts w:ascii="Times New Roman" w:eastAsiaTheme="minorHAnsi" w:hAnsi="Times New Roman"/>
      <w:sz w:val="24"/>
      <w:szCs w:val="22"/>
    </w:rPr>
  </w:style>
  <w:style w:type="paragraph" w:styleId="Revision">
    <w:name w:val="Revision"/>
    <w:hidden/>
    <w:uiPriority w:val="99"/>
    <w:semiHidden/>
    <w:rsid w:val="003A0A3B"/>
    <w:pPr>
      <w:spacing w:after="0" w:line="240" w:lineRule="auto"/>
    </w:pPr>
    <w:rPr>
      <w:rFonts w:ascii="Book Antiqua" w:eastAsia="SimSun" w:hAnsi="Book Antiqua" w:cs="Times New Roman"/>
      <w:sz w:val="20"/>
      <w:szCs w:val="24"/>
    </w:rPr>
  </w:style>
  <w:style w:type="numbering" w:customStyle="1" w:styleId="BulletedList">
    <w:name w:val="Bulleted List"/>
    <w:uiPriority w:val="99"/>
    <w:rsid w:val="00DB2263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72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75CA-1BB4-4BE4-8A3E-3B5A0776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1481</Words>
  <Characters>7304</Characters>
  <Application>Microsoft Office Word</Application>
  <DocSecurity>0</DocSecurity>
  <Lines>112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Economic Forecasting Group Report - September 2017</vt:lpstr>
    </vt:vector>
  </TitlesOfParts>
  <Company>Australian Government - The Treasury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Economic Forecasting Group Report - September 2017</dc:title>
  <dc:creator>The Treasury</dc:creator>
  <cp:lastModifiedBy>Hill, Christine</cp:lastModifiedBy>
  <cp:revision>9</cp:revision>
  <cp:lastPrinted>2021-01-15T06:20:00Z</cp:lastPrinted>
  <dcterms:created xsi:type="dcterms:W3CDTF">2021-01-15T06:18:00Z</dcterms:created>
  <dcterms:modified xsi:type="dcterms:W3CDTF">2021-08-05T05:11:00Z</dcterms:modified>
</cp:coreProperties>
</file>